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240B29" w14:textId="77777777" w:rsidR="007C2D22" w:rsidRPr="007C2D22" w:rsidRDefault="007C2D22" w:rsidP="007C2D22">
      <w:pPr>
        <w:autoSpaceDE w:val="0"/>
        <w:autoSpaceDN w:val="0"/>
        <w:adjustRightInd w:val="0"/>
        <w:jc w:val="center"/>
        <w:rPr>
          <w:sz w:val="22"/>
          <w:szCs w:val="22"/>
          <w:u w:val="single"/>
        </w:rPr>
      </w:pPr>
      <w:r w:rsidRPr="007C2D22">
        <w:rPr>
          <w:sz w:val="22"/>
          <w:szCs w:val="22"/>
          <w:u w:val="single"/>
        </w:rPr>
        <w:t>EXPLANATORY STATEMENT</w:t>
      </w:r>
    </w:p>
    <w:p w14:paraId="7FCCE8AD" w14:textId="77777777" w:rsidR="007C2D22" w:rsidRPr="007C2D22" w:rsidRDefault="007C2D22" w:rsidP="007C2D22">
      <w:pPr>
        <w:autoSpaceDE w:val="0"/>
        <w:autoSpaceDN w:val="0"/>
        <w:adjustRightInd w:val="0"/>
        <w:jc w:val="center"/>
        <w:rPr>
          <w:b/>
          <w:sz w:val="22"/>
          <w:szCs w:val="22"/>
        </w:rPr>
      </w:pPr>
    </w:p>
    <w:p w14:paraId="73072B4E" w14:textId="77777777" w:rsidR="007C2D22" w:rsidRPr="007C2D22" w:rsidRDefault="007C2D22" w:rsidP="007C2D22">
      <w:pPr>
        <w:autoSpaceDE w:val="0"/>
        <w:autoSpaceDN w:val="0"/>
        <w:adjustRightInd w:val="0"/>
        <w:jc w:val="center"/>
        <w:rPr>
          <w:b/>
          <w:sz w:val="22"/>
          <w:szCs w:val="22"/>
        </w:rPr>
      </w:pPr>
      <w:r w:rsidRPr="007C2D22">
        <w:rPr>
          <w:b/>
          <w:sz w:val="22"/>
          <w:szCs w:val="22"/>
        </w:rPr>
        <w:t>Issued by the Authority of the Australian Fisheries Management Authority</w:t>
      </w:r>
    </w:p>
    <w:p w14:paraId="75155647" w14:textId="77777777" w:rsidR="007C2D22" w:rsidRPr="007C2D22" w:rsidRDefault="007C2D22" w:rsidP="007C2D22">
      <w:pPr>
        <w:autoSpaceDE w:val="0"/>
        <w:autoSpaceDN w:val="0"/>
        <w:adjustRightInd w:val="0"/>
        <w:jc w:val="center"/>
        <w:rPr>
          <w:b/>
          <w:sz w:val="22"/>
          <w:szCs w:val="22"/>
        </w:rPr>
      </w:pPr>
    </w:p>
    <w:p w14:paraId="4E9BE73D" w14:textId="77777777" w:rsidR="007C2D22" w:rsidRPr="007C2D22" w:rsidRDefault="007C2D22" w:rsidP="007C2D22">
      <w:pPr>
        <w:autoSpaceDE w:val="0"/>
        <w:autoSpaceDN w:val="0"/>
        <w:adjustRightInd w:val="0"/>
        <w:jc w:val="center"/>
        <w:rPr>
          <w:i/>
          <w:iCs/>
        </w:rPr>
      </w:pPr>
      <w:r w:rsidRPr="007C2D22">
        <w:rPr>
          <w:i/>
          <w:iCs/>
        </w:rPr>
        <w:t>Fisheries Management Act 1991</w:t>
      </w:r>
    </w:p>
    <w:p w14:paraId="4E02FC55" w14:textId="77777777" w:rsidR="007C2D22" w:rsidRPr="007C2D22" w:rsidRDefault="00D12ABB" w:rsidP="007C2D22">
      <w:pPr>
        <w:autoSpaceDE w:val="0"/>
        <w:autoSpaceDN w:val="0"/>
        <w:adjustRightInd w:val="0"/>
        <w:jc w:val="center"/>
        <w:rPr>
          <w:i/>
          <w:iCs/>
        </w:rPr>
      </w:pPr>
      <w:r>
        <w:rPr>
          <w:i/>
          <w:iCs/>
        </w:rPr>
        <w:t>Small Pelagic Fishery Management Plan 2009</w:t>
      </w:r>
    </w:p>
    <w:p w14:paraId="6397154E" w14:textId="77777777" w:rsidR="007C2D22" w:rsidRPr="007C2D22" w:rsidRDefault="007C2D22" w:rsidP="007C2D22">
      <w:pPr>
        <w:autoSpaceDE w:val="0"/>
        <w:autoSpaceDN w:val="0"/>
        <w:adjustRightInd w:val="0"/>
        <w:jc w:val="center"/>
        <w:rPr>
          <w:b/>
          <w:sz w:val="22"/>
          <w:szCs w:val="22"/>
        </w:rPr>
      </w:pPr>
    </w:p>
    <w:p w14:paraId="361935AA" w14:textId="72146CBF" w:rsidR="007C2D22" w:rsidRPr="007C2D22" w:rsidRDefault="00803667" w:rsidP="007C2D22">
      <w:pPr>
        <w:autoSpaceDE w:val="0"/>
        <w:autoSpaceDN w:val="0"/>
        <w:adjustRightInd w:val="0"/>
        <w:ind w:left="360"/>
        <w:jc w:val="center"/>
        <w:rPr>
          <w:b/>
          <w:color w:val="000000"/>
          <w:lang w:val="en-AU"/>
        </w:rPr>
      </w:pPr>
      <w:r w:rsidRPr="00803667">
        <w:rPr>
          <w:b/>
          <w:iCs/>
          <w:color w:val="000000"/>
          <w:lang w:val="en-AU"/>
        </w:rPr>
        <w:t>FISHERIES MANAGEMENT (SMALL PELAGIC FISHERY OVERCATCH AND UNDERCATCH) FISHING CAPACITY DETERMINATION 2018</w:t>
      </w:r>
    </w:p>
    <w:p w14:paraId="002C9CEB" w14:textId="77777777" w:rsidR="00FE2EDE" w:rsidRPr="007C2D22" w:rsidRDefault="00FE2EDE" w:rsidP="000A1256">
      <w:pPr>
        <w:autoSpaceDE w:val="0"/>
        <w:autoSpaceDN w:val="0"/>
        <w:adjustRightInd w:val="0"/>
        <w:jc w:val="center"/>
        <w:rPr>
          <w:b/>
          <w:sz w:val="22"/>
          <w:szCs w:val="22"/>
        </w:rPr>
      </w:pPr>
    </w:p>
    <w:p w14:paraId="0E3917DF" w14:textId="77777777" w:rsidR="00AD73BA" w:rsidRPr="00AD73BA" w:rsidRDefault="00AD73BA" w:rsidP="00AD73BA">
      <w:pPr>
        <w:numPr>
          <w:ilvl w:val="12"/>
          <w:numId w:val="0"/>
        </w:numPr>
        <w:spacing w:before="180"/>
        <w:jc w:val="both"/>
        <w:rPr>
          <w:sz w:val="22"/>
          <w:szCs w:val="22"/>
          <w:lang w:val="en-AU"/>
        </w:rPr>
      </w:pPr>
      <w:r w:rsidRPr="00AD73BA">
        <w:rPr>
          <w:sz w:val="22"/>
          <w:szCs w:val="22"/>
          <w:lang w:val="en-AU"/>
        </w:rPr>
        <w:t xml:space="preserve">Section 17 of the </w:t>
      </w:r>
      <w:r w:rsidRPr="00AD73BA">
        <w:rPr>
          <w:i/>
          <w:sz w:val="22"/>
          <w:szCs w:val="22"/>
          <w:lang w:val="en-AU"/>
        </w:rPr>
        <w:t>Fisheries Management Act 1991</w:t>
      </w:r>
      <w:r w:rsidRPr="00AD73BA">
        <w:rPr>
          <w:sz w:val="22"/>
          <w:szCs w:val="22"/>
          <w:lang w:val="en-AU"/>
        </w:rPr>
        <w:t xml:space="preserve"> (the Act) provides for the Australian Fisheries Management Authority (the Authority) to determine plans of management for a fishery.</w:t>
      </w:r>
    </w:p>
    <w:p w14:paraId="3F557F7B" w14:textId="77777777" w:rsidR="00AD73BA" w:rsidRPr="00AD73BA" w:rsidRDefault="00AD73BA" w:rsidP="00AD73BA">
      <w:pPr>
        <w:numPr>
          <w:ilvl w:val="12"/>
          <w:numId w:val="0"/>
        </w:numPr>
        <w:spacing w:before="180"/>
        <w:jc w:val="both"/>
        <w:rPr>
          <w:sz w:val="22"/>
          <w:szCs w:val="22"/>
          <w:lang w:val="en-AU"/>
        </w:rPr>
      </w:pPr>
      <w:r w:rsidRPr="00AD73BA">
        <w:rPr>
          <w:sz w:val="22"/>
          <w:szCs w:val="22"/>
          <w:lang w:val="en-AU"/>
        </w:rPr>
        <w:t>Paragraph (aa) of subsection 17(6) of the Act provides that a plan of management may determine, or provide for the Authority to determine, the fishing capacity, for a fishery measured by that method or those methods, permitted for the fishery or a part of the fishery in respect of a particular period or periods.</w:t>
      </w:r>
    </w:p>
    <w:p w14:paraId="4E0877BC" w14:textId="77777777" w:rsidR="000A1256" w:rsidRPr="007C2D22" w:rsidRDefault="000A1256" w:rsidP="000A1256">
      <w:pPr>
        <w:autoSpaceDE w:val="0"/>
        <w:autoSpaceDN w:val="0"/>
        <w:adjustRightInd w:val="0"/>
        <w:jc w:val="both"/>
        <w:rPr>
          <w:sz w:val="22"/>
          <w:szCs w:val="22"/>
        </w:rPr>
      </w:pPr>
    </w:p>
    <w:p w14:paraId="35E65046" w14:textId="77777777" w:rsidR="00EC0E21" w:rsidRDefault="00EC0E21" w:rsidP="00EC0E21">
      <w:pPr>
        <w:autoSpaceDE w:val="0"/>
        <w:autoSpaceDN w:val="0"/>
        <w:adjustRightInd w:val="0"/>
        <w:jc w:val="both"/>
        <w:rPr>
          <w:color w:val="000000"/>
          <w:sz w:val="22"/>
          <w:szCs w:val="22"/>
        </w:rPr>
      </w:pPr>
      <w:r>
        <w:rPr>
          <w:color w:val="000000"/>
          <w:sz w:val="22"/>
          <w:szCs w:val="22"/>
        </w:rPr>
        <w:t>S</w:t>
      </w:r>
      <w:r w:rsidRPr="00C70BD9">
        <w:rPr>
          <w:color w:val="000000"/>
          <w:sz w:val="22"/>
          <w:szCs w:val="22"/>
        </w:rPr>
        <w:t xml:space="preserve">ection </w:t>
      </w:r>
      <w:r>
        <w:rPr>
          <w:color w:val="000000"/>
          <w:sz w:val="22"/>
          <w:szCs w:val="22"/>
        </w:rPr>
        <w:t xml:space="preserve">29 </w:t>
      </w:r>
      <w:r w:rsidRPr="00C70BD9">
        <w:rPr>
          <w:color w:val="000000"/>
          <w:sz w:val="22"/>
          <w:szCs w:val="22"/>
        </w:rPr>
        <w:t xml:space="preserve">of the </w:t>
      </w:r>
      <w:r>
        <w:rPr>
          <w:i/>
          <w:color w:val="000000"/>
          <w:sz w:val="22"/>
          <w:szCs w:val="22"/>
        </w:rPr>
        <w:t>Small Pelagic Fishery Management Plan 2009</w:t>
      </w:r>
      <w:r w:rsidRPr="00C70BD9">
        <w:rPr>
          <w:i/>
          <w:color w:val="000000"/>
          <w:sz w:val="22"/>
          <w:szCs w:val="22"/>
        </w:rPr>
        <w:t xml:space="preserve"> </w:t>
      </w:r>
      <w:r w:rsidRPr="00C70BD9">
        <w:rPr>
          <w:color w:val="000000"/>
          <w:sz w:val="22"/>
          <w:szCs w:val="22"/>
        </w:rPr>
        <w:t xml:space="preserve">(the Plan) provides that </w:t>
      </w:r>
      <w:r>
        <w:rPr>
          <w:color w:val="000000"/>
          <w:sz w:val="22"/>
          <w:szCs w:val="22"/>
        </w:rPr>
        <w:t>the Authority</w:t>
      </w:r>
      <w:r w:rsidRPr="00C70BD9">
        <w:rPr>
          <w:color w:val="000000"/>
          <w:sz w:val="22"/>
          <w:szCs w:val="22"/>
        </w:rPr>
        <w:t xml:space="preserve"> </w:t>
      </w:r>
      <w:r>
        <w:rPr>
          <w:color w:val="000000"/>
          <w:sz w:val="22"/>
          <w:szCs w:val="22"/>
        </w:rPr>
        <w:t xml:space="preserve">may </w:t>
      </w:r>
      <w:r w:rsidRPr="00C70BD9">
        <w:rPr>
          <w:color w:val="000000"/>
          <w:sz w:val="22"/>
          <w:szCs w:val="22"/>
        </w:rPr>
        <w:t xml:space="preserve">determine percentages </w:t>
      </w:r>
      <w:r>
        <w:rPr>
          <w:color w:val="000000"/>
          <w:sz w:val="22"/>
          <w:szCs w:val="22"/>
        </w:rPr>
        <w:t>and weights for a quota species, for a sub-area of the fishery for a fishing season</w:t>
      </w:r>
      <w:r w:rsidRPr="00C70BD9">
        <w:rPr>
          <w:color w:val="000000"/>
          <w:sz w:val="22"/>
          <w:szCs w:val="22"/>
        </w:rPr>
        <w:t xml:space="preserve">. These provisions concern the calculation of </w:t>
      </w:r>
      <w:proofErr w:type="spellStart"/>
      <w:r w:rsidRPr="00C70BD9">
        <w:rPr>
          <w:color w:val="000000"/>
          <w:sz w:val="22"/>
          <w:szCs w:val="22"/>
        </w:rPr>
        <w:t>overcatch</w:t>
      </w:r>
      <w:proofErr w:type="spellEnd"/>
      <w:r w:rsidR="00F12626">
        <w:rPr>
          <w:color w:val="000000"/>
          <w:sz w:val="22"/>
          <w:szCs w:val="22"/>
        </w:rPr>
        <w:t>.</w:t>
      </w:r>
    </w:p>
    <w:p w14:paraId="5FA25343" w14:textId="77777777" w:rsidR="00EC0E21" w:rsidRPr="00C70BD9" w:rsidRDefault="00EC0E21" w:rsidP="00EC0E21">
      <w:pPr>
        <w:rPr>
          <w:color w:val="000000"/>
        </w:rPr>
      </w:pPr>
    </w:p>
    <w:p w14:paraId="71611644" w14:textId="77777777" w:rsidR="00EC0E21" w:rsidRPr="00C70BD9" w:rsidRDefault="00EC0E21" w:rsidP="00EC0E21">
      <w:pPr>
        <w:autoSpaceDE w:val="0"/>
        <w:autoSpaceDN w:val="0"/>
        <w:adjustRightInd w:val="0"/>
        <w:jc w:val="both"/>
        <w:rPr>
          <w:color w:val="000000"/>
          <w:sz w:val="22"/>
          <w:szCs w:val="22"/>
        </w:rPr>
      </w:pPr>
      <w:r>
        <w:rPr>
          <w:color w:val="000000"/>
          <w:sz w:val="22"/>
          <w:szCs w:val="22"/>
        </w:rPr>
        <w:t>S</w:t>
      </w:r>
      <w:r w:rsidRPr="00C70BD9">
        <w:rPr>
          <w:color w:val="000000"/>
          <w:sz w:val="22"/>
          <w:szCs w:val="22"/>
        </w:rPr>
        <w:t xml:space="preserve">ection </w:t>
      </w:r>
      <w:r>
        <w:rPr>
          <w:color w:val="000000"/>
          <w:sz w:val="22"/>
          <w:szCs w:val="22"/>
        </w:rPr>
        <w:t xml:space="preserve">30 </w:t>
      </w:r>
      <w:r w:rsidRPr="00C70BD9">
        <w:rPr>
          <w:color w:val="000000"/>
          <w:sz w:val="22"/>
          <w:szCs w:val="22"/>
        </w:rPr>
        <w:t xml:space="preserve">of </w:t>
      </w:r>
      <w:r>
        <w:rPr>
          <w:color w:val="000000"/>
          <w:sz w:val="22"/>
          <w:szCs w:val="22"/>
        </w:rPr>
        <w:t>the Plan</w:t>
      </w:r>
      <w:r w:rsidRPr="00C70BD9">
        <w:rPr>
          <w:color w:val="000000"/>
          <w:sz w:val="22"/>
          <w:szCs w:val="22"/>
        </w:rPr>
        <w:t xml:space="preserve"> provides that </w:t>
      </w:r>
      <w:r>
        <w:rPr>
          <w:color w:val="000000"/>
          <w:sz w:val="22"/>
          <w:szCs w:val="22"/>
        </w:rPr>
        <w:t>the Authority</w:t>
      </w:r>
      <w:r w:rsidRPr="00C70BD9">
        <w:rPr>
          <w:color w:val="000000"/>
          <w:sz w:val="22"/>
          <w:szCs w:val="22"/>
        </w:rPr>
        <w:t xml:space="preserve"> </w:t>
      </w:r>
      <w:r>
        <w:rPr>
          <w:color w:val="000000"/>
          <w:sz w:val="22"/>
          <w:szCs w:val="22"/>
        </w:rPr>
        <w:t xml:space="preserve">may </w:t>
      </w:r>
      <w:r w:rsidRPr="00C70BD9">
        <w:rPr>
          <w:color w:val="000000"/>
          <w:sz w:val="22"/>
          <w:szCs w:val="22"/>
        </w:rPr>
        <w:t xml:space="preserve">determine percentages </w:t>
      </w:r>
      <w:r>
        <w:rPr>
          <w:color w:val="000000"/>
          <w:sz w:val="22"/>
          <w:szCs w:val="22"/>
        </w:rPr>
        <w:t>for a quota species for a fishing season</w:t>
      </w:r>
      <w:r w:rsidRPr="00C70BD9">
        <w:rPr>
          <w:color w:val="000000"/>
          <w:sz w:val="22"/>
          <w:szCs w:val="22"/>
        </w:rPr>
        <w:t>. These provisions concern the calculation of</w:t>
      </w:r>
      <w:r>
        <w:rPr>
          <w:color w:val="000000"/>
          <w:sz w:val="22"/>
          <w:szCs w:val="22"/>
        </w:rPr>
        <w:t xml:space="preserve"> </w:t>
      </w:r>
      <w:proofErr w:type="spellStart"/>
      <w:r>
        <w:rPr>
          <w:color w:val="000000"/>
          <w:sz w:val="22"/>
          <w:szCs w:val="22"/>
        </w:rPr>
        <w:t>under</w:t>
      </w:r>
      <w:r w:rsidRPr="00C70BD9">
        <w:rPr>
          <w:color w:val="000000"/>
          <w:sz w:val="22"/>
          <w:szCs w:val="22"/>
        </w:rPr>
        <w:t>catch</w:t>
      </w:r>
      <w:proofErr w:type="spellEnd"/>
      <w:r w:rsidRPr="00C70BD9">
        <w:rPr>
          <w:color w:val="000000"/>
          <w:sz w:val="22"/>
          <w:szCs w:val="22"/>
        </w:rPr>
        <w:t>.</w:t>
      </w:r>
    </w:p>
    <w:p w14:paraId="34A0223E" w14:textId="77777777" w:rsidR="00EC0E21" w:rsidRDefault="00EC0E21" w:rsidP="00EC0E21">
      <w:pPr>
        <w:autoSpaceDE w:val="0"/>
        <w:autoSpaceDN w:val="0"/>
        <w:adjustRightInd w:val="0"/>
        <w:jc w:val="both"/>
        <w:rPr>
          <w:color w:val="000000"/>
          <w:sz w:val="22"/>
          <w:szCs w:val="22"/>
        </w:rPr>
      </w:pPr>
    </w:p>
    <w:p w14:paraId="7E4E81F5" w14:textId="614D14AB" w:rsidR="00EC0E21" w:rsidRPr="0092602F" w:rsidRDefault="00EC0E21" w:rsidP="00EC0E21">
      <w:pPr>
        <w:pStyle w:val="AFMANormal"/>
        <w:spacing w:before="0" w:after="240"/>
        <w:rPr>
          <w:sz w:val="22"/>
          <w:szCs w:val="22"/>
        </w:rPr>
      </w:pPr>
      <w:r w:rsidRPr="0092602F">
        <w:rPr>
          <w:sz w:val="22"/>
          <w:szCs w:val="22"/>
        </w:rPr>
        <w:t xml:space="preserve">The </w:t>
      </w:r>
      <w:r w:rsidR="00803667" w:rsidRPr="00803667">
        <w:rPr>
          <w:i/>
          <w:sz w:val="22"/>
          <w:szCs w:val="22"/>
          <w:lang w:val="en-US"/>
        </w:rPr>
        <w:t xml:space="preserve">Fisheries Management (Small Pelagic Fishery </w:t>
      </w:r>
      <w:proofErr w:type="spellStart"/>
      <w:r w:rsidR="00803667" w:rsidRPr="00803667">
        <w:rPr>
          <w:i/>
          <w:sz w:val="22"/>
          <w:szCs w:val="22"/>
          <w:lang w:val="en-US"/>
        </w:rPr>
        <w:t>Overcatch</w:t>
      </w:r>
      <w:proofErr w:type="spellEnd"/>
      <w:r w:rsidR="00803667" w:rsidRPr="00803667">
        <w:rPr>
          <w:i/>
          <w:sz w:val="22"/>
          <w:szCs w:val="22"/>
          <w:lang w:val="en-US"/>
        </w:rPr>
        <w:t xml:space="preserve"> and </w:t>
      </w:r>
      <w:proofErr w:type="spellStart"/>
      <w:r w:rsidR="00803667" w:rsidRPr="00803667">
        <w:rPr>
          <w:i/>
          <w:sz w:val="22"/>
          <w:szCs w:val="22"/>
          <w:lang w:val="en-US"/>
        </w:rPr>
        <w:t>Undercatch</w:t>
      </w:r>
      <w:proofErr w:type="spellEnd"/>
      <w:r w:rsidR="00803667" w:rsidRPr="00803667">
        <w:rPr>
          <w:i/>
          <w:sz w:val="22"/>
          <w:szCs w:val="22"/>
          <w:lang w:val="en-US"/>
        </w:rPr>
        <w:t>) Fishing Capacity Determination 2018</w:t>
      </w:r>
      <w:r>
        <w:rPr>
          <w:sz w:val="22"/>
          <w:szCs w:val="22"/>
        </w:rPr>
        <w:t xml:space="preserve"> </w:t>
      </w:r>
      <w:r w:rsidRPr="0092602F">
        <w:rPr>
          <w:sz w:val="22"/>
          <w:szCs w:val="22"/>
        </w:rPr>
        <w:t xml:space="preserve">(the Determination) is a legislative instrument for the purposes of the </w:t>
      </w:r>
      <w:r w:rsidR="009A06D3">
        <w:rPr>
          <w:i/>
          <w:sz w:val="22"/>
          <w:szCs w:val="22"/>
        </w:rPr>
        <w:t>Legislation</w:t>
      </w:r>
      <w:r w:rsidRPr="0092602F">
        <w:rPr>
          <w:i/>
          <w:sz w:val="22"/>
          <w:szCs w:val="22"/>
        </w:rPr>
        <w:t xml:space="preserve"> Act 2003</w:t>
      </w:r>
      <w:r w:rsidRPr="0092602F">
        <w:rPr>
          <w:sz w:val="22"/>
          <w:szCs w:val="22"/>
        </w:rPr>
        <w:t>.</w:t>
      </w:r>
    </w:p>
    <w:p w14:paraId="24DC8140" w14:textId="77777777" w:rsidR="00F25C65" w:rsidRPr="004C3710" w:rsidRDefault="00EC0E21" w:rsidP="00F25C65">
      <w:pPr>
        <w:spacing w:before="120" w:after="120"/>
        <w:jc w:val="both"/>
        <w:rPr>
          <w:color w:val="000000"/>
          <w:sz w:val="22"/>
          <w:szCs w:val="22"/>
        </w:rPr>
      </w:pPr>
      <w:r w:rsidRPr="004C3710">
        <w:rPr>
          <w:color w:val="000000"/>
          <w:sz w:val="22"/>
          <w:szCs w:val="22"/>
        </w:rPr>
        <w:t xml:space="preserve">The Determination determines the amounts and percentages for each quota species for a sub-area in relation to </w:t>
      </w:r>
      <w:proofErr w:type="spellStart"/>
      <w:r w:rsidRPr="004C3710">
        <w:rPr>
          <w:color w:val="000000"/>
          <w:sz w:val="22"/>
          <w:szCs w:val="22"/>
        </w:rPr>
        <w:t>undercatch</w:t>
      </w:r>
      <w:proofErr w:type="spellEnd"/>
      <w:r w:rsidRPr="004C3710">
        <w:rPr>
          <w:color w:val="000000"/>
          <w:sz w:val="22"/>
          <w:szCs w:val="22"/>
        </w:rPr>
        <w:t xml:space="preserve"> and </w:t>
      </w:r>
      <w:proofErr w:type="spellStart"/>
      <w:r w:rsidRPr="004C3710">
        <w:rPr>
          <w:color w:val="000000"/>
          <w:sz w:val="22"/>
          <w:szCs w:val="22"/>
        </w:rPr>
        <w:t>overcatch</w:t>
      </w:r>
      <w:proofErr w:type="spellEnd"/>
      <w:r w:rsidRPr="004C3710">
        <w:rPr>
          <w:color w:val="000000"/>
          <w:sz w:val="22"/>
          <w:szCs w:val="22"/>
        </w:rPr>
        <w:t xml:space="preserve"> for the </w:t>
      </w:r>
      <w:r w:rsidR="00D13B80" w:rsidRPr="004C3710">
        <w:rPr>
          <w:color w:val="000000"/>
          <w:sz w:val="22"/>
          <w:szCs w:val="22"/>
        </w:rPr>
        <w:t>201</w:t>
      </w:r>
      <w:r w:rsidR="008E5E21">
        <w:rPr>
          <w:color w:val="000000"/>
          <w:sz w:val="22"/>
          <w:szCs w:val="22"/>
        </w:rPr>
        <w:t>8</w:t>
      </w:r>
      <w:r w:rsidRPr="004C3710">
        <w:rPr>
          <w:color w:val="000000"/>
          <w:sz w:val="22"/>
          <w:szCs w:val="22"/>
        </w:rPr>
        <w:t xml:space="preserve"> fishing </w:t>
      </w:r>
      <w:r w:rsidR="003368AE" w:rsidRPr="004C3710">
        <w:rPr>
          <w:color w:val="000000"/>
          <w:sz w:val="22"/>
          <w:szCs w:val="22"/>
        </w:rPr>
        <w:t>season</w:t>
      </w:r>
      <w:r w:rsidRPr="004C3710">
        <w:rPr>
          <w:color w:val="000000"/>
          <w:sz w:val="22"/>
          <w:szCs w:val="22"/>
        </w:rPr>
        <w:t xml:space="preserve">. </w:t>
      </w:r>
      <w:proofErr w:type="spellStart"/>
      <w:r w:rsidRPr="004C3710">
        <w:rPr>
          <w:color w:val="000000"/>
          <w:sz w:val="22"/>
          <w:szCs w:val="22"/>
        </w:rPr>
        <w:t>Undercatch</w:t>
      </w:r>
      <w:proofErr w:type="spellEnd"/>
      <w:r w:rsidRPr="004C3710">
        <w:rPr>
          <w:color w:val="000000"/>
          <w:sz w:val="22"/>
          <w:szCs w:val="22"/>
        </w:rPr>
        <w:t xml:space="preserve"> and </w:t>
      </w:r>
      <w:proofErr w:type="spellStart"/>
      <w:r w:rsidRPr="004C3710">
        <w:rPr>
          <w:color w:val="000000"/>
          <w:sz w:val="22"/>
          <w:szCs w:val="22"/>
        </w:rPr>
        <w:t>overcatch</w:t>
      </w:r>
      <w:proofErr w:type="spellEnd"/>
      <w:r w:rsidRPr="004C3710">
        <w:rPr>
          <w:color w:val="000000"/>
          <w:sz w:val="22"/>
          <w:szCs w:val="22"/>
        </w:rPr>
        <w:t xml:space="preserve"> provides for ‘carry over’ or ‘carry under’ of quota between fishing seasons thereby allowing fishers the flexibility to catch a certain amount of fish over or under their quota, and debit or credit this to or from their next season’s fishing quota</w:t>
      </w:r>
      <w:r w:rsidR="00F25C65" w:rsidRPr="004C3710">
        <w:rPr>
          <w:color w:val="000000"/>
          <w:sz w:val="22"/>
          <w:szCs w:val="22"/>
        </w:rPr>
        <w:t xml:space="preserve">, noting that the determined weight is decremented against their holdings the following season at twice the rate. </w:t>
      </w:r>
    </w:p>
    <w:p w14:paraId="3A5747CC" w14:textId="77777777" w:rsidR="00094EF7" w:rsidRPr="007C2D22" w:rsidRDefault="00094EF7" w:rsidP="000A1256">
      <w:pPr>
        <w:autoSpaceDE w:val="0"/>
        <w:autoSpaceDN w:val="0"/>
        <w:adjustRightInd w:val="0"/>
        <w:jc w:val="both"/>
        <w:rPr>
          <w:sz w:val="22"/>
          <w:szCs w:val="22"/>
        </w:rPr>
      </w:pPr>
    </w:p>
    <w:p w14:paraId="416A24E4" w14:textId="77777777" w:rsidR="00952F13" w:rsidRDefault="000A1256" w:rsidP="00952F13">
      <w:pPr>
        <w:autoSpaceDE w:val="0"/>
        <w:autoSpaceDN w:val="0"/>
        <w:adjustRightInd w:val="0"/>
        <w:rPr>
          <w:sz w:val="22"/>
          <w:szCs w:val="22"/>
        </w:rPr>
      </w:pPr>
      <w:r w:rsidRPr="007C2D22">
        <w:rPr>
          <w:b/>
          <w:bCs/>
          <w:sz w:val="22"/>
          <w:szCs w:val="22"/>
        </w:rPr>
        <w:t xml:space="preserve">The </w:t>
      </w:r>
      <w:r w:rsidR="0021739B" w:rsidRPr="007C2D22">
        <w:rPr>
          <w:b/>
          <w:bCs/>
          <w:sz w:val="22"/>
          <w:szCs w:val="22"/>
        </w:rPr>
        <w:t>F</w:t>
      </w:r>
      <w:r w:rsidRPr="007C2D22">
        <w:rPr>
          <w:b/>
          <w:bCs/>
          <w:sz w:val="22"/>
          <w:szCs w:val="22"/>
        </w:rPr>
        <w:t>ishery</w:t>
      </w:r>
      <w:r w:rsidR="0021739B" w:rsidRPr="007C2D22">
        <w:rPr>
          <w:b/>
          <w:bCs/>
          <w:sz w:val="22"/>
          <w:szCs w:val="22"/>
        </w:rPr>
        <w:br/>
      </w:r>
    </w:p>
    <w:p w14:paraId="2016191E" w14:textId="77777777" w:rsidR="00952F13" w:rsidRPr="00952F13" w:rsidRDefault="00952F13" w:rsidP="005C76BF">
      <w:pPr>
        <w:autoSpaceDE w:val="0"/>
        <w:autoSpaceDN w:val="0"/>
        <w:adjustRightInd w:val="0"/>
        <w:jc w:val="both"/>
        <w:rPr>
          <w:b/>
          <w:bCs/>
          <w:sz w:val="22"/>
          <w:szCs w:val="22"/>
        </w:rPr>
      </w:pPr>
      <w:r w:rsidRPr="00505FFE">
        <w:rPr>
          <w:sz w:val="22"/>
          <w:szCs w:val="22"/>
        </w:rPr>
        <w:t>The Small Pelagic Fishery (</w:t>
      </w:r>
      <w:r>
        <w:rPr>
          <w:sz w:val="22"/>
          <w:szCs w:val="22"/>
        </w:rPr>
        <w:t xml:space="preserve">the </w:t>
      </w:r>
      <w:r w:rsidR="00143816">
        <w:rPr>
          <w:sz w:val="22"/>
          <w:szCs w:val="22"/>
        </w:rPr>
        <w:t>f</w:t>
      </w:r>
      <w:r>
        <w:rPr>
          <w:sz w:val="22"/>
          <w:szCs w:val="22"/>
        </w:rPr>
        <w:t>ishery</w:t>
      </w:r>
      <w:r w:rsidRPr="00505FFE">
        <w:rPr>
          <w:sz w:val="22"/>
          <w:szCs w:val="22"/>
        </w:rPr>
        <w:t xml:space="preserve">) extends from the Queensland/New South Wales border, typically outside 3 nautical miles, around southern Australia to a line at latitude 31° south (near </w:t>
      </w:r>
      <w:proofErr w:type="spellStart"/>
      <w:r w:rsidRPr="00505FFE">
        <w:rPr>
          <w:sz w:val="22"/>
          <w:szCs w:val="22"/>
        </w:rPr>
        <w:t>Lancelin</w:t>
      </w:r>
      <w:proofErr w:type="spellEnd"/>
      <w:r w:rsidRPr="00505FFE">
        <w:rPr>
          <w:sz w:val="22"/>
          <w:szCs w:val="22"/>
        </w:rPr>
        <w:t>, north of Perth).</w:t>
      </w:r>
      <w:r>
        <w:rPr>
          <w:sz w:val="22"/>
          <w:szCs w:val="22"/>
        </w:rPr>
        <w:t xml:space="preserve">  </w:t>
      </w:r>
      <w:r w:rsidRPr="00505FFE">
        <w:rPr>
          <w:sz w:val="22"/>
          <w:szCs w:val="22"/>
        </w:rPr>
        <w:t>The fishery is</w:t>
      </w:r>
      <w:r w:rsidR="003368AE">
        <w:rPr>
          <w:sz w:val="22"/>
          <w:szCs w:val="22"/>
        </w:rPr>
        <w:t xml:space="preserve"> currently divided into two sub-</w:t>
      </w:r>
      <w:r w:rsidRPr="00505FFE">
        <w:rPr>
          <w:sz w:val="22"/>
          <w:szCs w:val="22"/>
        </w:rPr>
        <w:t>areas East and West of latitude 146°30’00”.</w:t>
      </w:r>
    </w:p>
    <w:p w14:paraId="0ACE6905" w14:textId="77777777" w:rsidR="00952F13" w:rsidRPr="00931428" w:rsidRDefault="00952F13" w:rsidP="005C76BF">
      <w:pPr>
        <w:autoSpaceDE w:val="0"/>
        <w:autoSpaceDN w:val="0"/>
        <w:adjustRightInd w:val="0"/>
        <w:spacing w:before="240" w:after="120"/>
        <w:jc w:val="both"/>
        <w:rPr>
          <w:color w:val="000000"/>
          <w:sz w:val="22"/>
          <w:szCs w:val="22"/>
        </w:rPr>
      </w:pPr>
      <w:r w:rsidRPr="00931428">
        <w:rPr>
          <w:color w:val="000000"/>
          <w:sz w:val="22"/>
          <w:szCs w:val="22"/>
        </w:rPr>
        <w:t xml:space="preserve">Management in the </w:t>
      </w:r>
      <w:r w:rsidR="003A4506">
        <w:rPr>
          <w:color w:val="000000"/>
          <w:sz w:val="22"/>
          <w:szCs w:val="22"/>
        </w:rPr>
        <w:t>f</w:t>
      </w:r>
      <w:r>
        <w:rPr>
          <w:color w:val="000000"/>
          <w:sz w:val="22"/>
          <w:szCs w:val="22"/>
        </w:rPr>
        <w:t>ishery</w:t>
      </w:r>
      <w:r w:rsidRPr="00931428">
        <w:rPr>
          <w:color w:val="000000"/>
          <w:sz w:val="22"/>
          <w:szCs w:val="22"/>
        </w:rPr>
        <w:t xml:space="preserve"> </w:t>
      </w:r>
      <w:r>
        <w:rPr>
          <w:color w:val="000000"/>
          <w:sz w:val="22"/>
          <w:szCs w:val="22"/>
        </w:rPr>
        <w:t xml:space="preserve">is </w:t>
      </w:r>
      <w:r w:rsidRPr="00931428">
        <w:rPr>
          <w:color w:val="000000"/>
          <w:sz w:val="22"/>
          <w:szCs w:val="22"/>
        </w:rPr>
        <w:t xml:space="preserve">through output controls in the form of individually transferable quotas </w:t>
      </w:r>
      <w:r>
        <w:rPr>
          <w:color w:val="000000"/>
          <w:sz w:val="22"/>
          <w:szCs w:val="22"/>
        </w:rPr>
        <w:t xml:space="preserve">with a Total Allowable Catch determined for each quota species for each fishing </w:t>
      </w:r>
      <w:r w:rsidR="003368AE">
        <w:rPr>
          <w:color w:val="000000"/>
          <w:sz w:val="22"/>
          <w:szCs w:val="22"/>
        </w:rPr>
        <w:t>season</w:t>
      </w:r>
      <w:r>
        <w:rPr>
          <w:color w:val="000000"/>
          <w:sz w:val="22"/>
          <w:szCs w:val="22"/>
        </w:rPr>
        <w:t xml:space="preserve">.  The main target species in the </w:t>
      </w:r>
      <w:r w:rsidR="003368AE">
        <w:rPr>
          <w:color w:val="000000"/>
          <w:sz w:val="22"/>
          <w:szCs w:val="22"/>
        </w:rPr>
        <w:t>f</w:t>
      </w:r>
      <w:r>
        <w:rPr>
          <w:color w:val="000000"/>
          <w:sz w:val="22"/>
          <w:szCs w:val="22"/>
        </w:rPr>
        <w:t>ishery are Jack Mackerel, Blue Mackerel, Re</w:t>
      </w:r>
      <w:r w:rsidR="00032089">
        <w:rPr>
          <w:color w:val="000000"/>
          <w:sz w:val="22"/>
          <w:szCs w:val="22"/>
        </w:rPr>
        <w:t xml:space="preserve">dbait and Australian Sardines. </w:t>
      </w:r>
    </w:p>
    <w:p w14:paraId="13B9D822" w14:textId="77777777" w:rsidR="00960480" w:rsidRDefault="00960480">
      <w:pPr>
        <w:rPr>
          <w:sz w:val="22"/>
          <w:szCs w:val="22"/>
        </w:rPr>
      </w:pPr>
      <w:r>
        <w:rPr>
          <w:sz w:val="22"/>
          <w:szCs w:val="22"/>
        </w:rPr>
        <w:br w:type="page"/>
      </w:r>
    </w:p>
    <w:p w14:paraId="3959E1DF" w14:textId="70C369AC" w:rsidR="004C5553" w:rsidRPr="007C2D22" w:rsidRDefault="000A1256" w:rsidP="000A1256">
      <w:pPr>
        <w:autoSpaceDE w:val="0"/>
        <w:autoSpaceDN w:val="0"/>
        <w:adjustRightInd w:val="0"/>
        <w:rPr>
          <w:b/>
          <w:bCs/>
          <w:sz w:val="22"/>
          <w:szCs w:val="22"/>
        </w:rPr>
      </w:pPr>
      <w:r w:rsidRPr="007C2D22">
        <w:rPr>
          <w:b/>
          <w:bCs/>
          <w:sz w:val="22"/>
          <w:szCs w:val="22"/>
        </w:rPr>
        <w:lastRenderedPageBreak/>
        <w:t>Consultation</w:t>
      </w:r>
    </w:p>
    <w:p w14:paraId="5BA55283" w14:textId="77777777" w:rsidR="00960480" w:rsidRDefault="00960480" w:rsidP="003C1B98">
      <w:pPr>
        <w:autoSpaceDE w:val="0"/>
        <w:autoSpaceDN w:val="0"/>
        <w:adjustRightInd w:val="0"/>
        <w:jc w:val="both"/>
        <w:rPr>
          <w:color w:val="000000"/>
          <w:sz w:val="22"/>
          <w:szCs w:val="22"/>
        </w:rPr>
      </w:pPr>
    </w:p>
    <w:p w14:paraId="483B05F9" w14:textId="36DF9403" w:rsidR="003C1B98" w:rsidRPr="001720C7" w:rsidRDefault="003C1B98" w:rsidP="003C1B98">
      <w:pPr>
        <w:autoSpaceDE w:val="0"/>
        <w:autoSpaceDN w:val="0"/>
        <w:adjustRightInd w:val="0"/>
        <w:jc w:val="both"/>
        <w:rPr>
          <w:color w:val="000000"/>
          <w:sz w:val="22"/>
          <w:szCs w:val="22"/>
        </w:rPr>
      </w:pPr>
      <w:r w:rsidRPr="001720C7">
        <w:rPr>
          <w:color w:val="000000"/>
          <w:sz w:val="22"/>
          <w:szCs w:val="22"/>
        </w:rPr>
        <w:t xml:space="preserve">The Small Pelagic Fishery Scientific Panel (the Panel) provides advice to </w:t>
      </w:r>
      <w:r w:rsidR="00987EBD">
        <w:rPr>
          <w:color w:val="000000"/>
          <w:sz w:val="22"/>
          <w:szCs w:val="22"/>
        </w:rPr>
        <w:t>the Authority</w:t>
      </w:r>
      <w:r w:rsidRPr="001720C7">
        <w:rPr>
          <w:color w:val="000000"/>
          <w:sz w:val="22"/>
          <w:szCs w:val="22"/>
        </w:rPr>
        <w:t xml:space="preserve"> on the recommended biological catch (RBC) for each stock in the </w:t>
      </w:r>
      <w:r w:rsidR="00987EBD">
        <w:rPr>
          <w:color w:val="000000"/>
          <w:sz w:val="22"/>
          <w:szCs w:val="22"/>
        </w:rPr>
        <w:t xml:space="preserve">fishery. </w:t>
      </w:r>
      <w:r w:rsidR="00BC4401" w:rsidRPr="00E92C65">
        <w:rPr>
          <w:kern w:val="20"/>
          <w:sz w:val="22"/>
          <w:szCs w:val="22"/>
        </w:rPr>
        <w:t xml:space="preserve">In providing this advice, the Panel considers advice from interested stakeholders, for example recreational fishers, conservation groups, </w:t>
      </w:r>
      <w:r w:rsidR="00BC4401">
        <w:rPr>
          <w:kern w:val="20"/>
          <w:sz w:val="22"/>
          <w:szCs w:val="22"/>
        </w:rPr>
        <w:t xml:space="preserve">and </w:t>
      </w:r>
      <w:r w:rsidR="00BC4401" w:rsidRPr="00E92C65">
        <w:rPr>
          <w:kern w:val="20"/>
          <w:sz w:val="22"/>
          <w:szCs w:val="22"/>
        </w:rPr>
        <w:t>commercial industry, through the Small Pelagic Fishery Stakeholder Forum (the Forum).</w:t>
      </w:r>
      <w:r w:rsidR="00BC4401">
        <w:rPr>
          <w:kern w:val="20"/>
          <w:sz w:val="22"/>
          <w:szCs w:val="22"/>
        </w:rPr>
        <w:t xml:space="preserve"> </w:t>
      </w:r>
      <w:r w:rsidR="00987EBD">
        <w:rPr>
          <w:color w:val="000000"/>
          <w:sz w:val="22"/>
          <w:szCs w:val="22"/>
        </w:rPr>
        <w:t>T</w:t>
      </w:r>
      <w:r w:rsidRPr="001720C7">
        <w:rPr>
          <w:color w:val="000000"/>
          <w:sz w:val="22"/>
          <w:szCs w:val="22"/>
        </w:rPr>
        <w:t xml:space="preserve">he South East Management Advisory Committee (SEMAC) provides advice to </w:t>
      </w:r>
      <w:r w:rsidR="00987EBD">
        <w:rPr>
          <w:color w:val="000000"/>
          <w:sz w:val="22"/>
          <w:szCs w:val="22"/>
        </w:rPr>
        <w:t>the Authority</w:t>
      </w:r>
      <w:r w:rsidRPr="001720C7">
        <w:rPr>
          <w:color w:val="000000"/>
          <w:sz w:val="22"/>
          <w:szCs w:val="22"/>
        </w:rPr>
        <w:t xml:space="preserve"> on </w:t>
      </w:r>
      <w:r>
        <w:rPr>
          <w:color w:val="000000"/>
          <w:sz w:val="22"/>
          <w:szCs w:val="22"/>
        </w:rPr>
        <w:t>the</w:t>
      </w:r>
      <w:r w:rsidR="00987EBD">
        <w:rPr>
          <w:color w:val="000000"/>
          <w:sz w:val="22"/>
          <w:szCs w:val="22"/>
        </w:rPr>
        <w:t xml:space="preserve"> </w:t>
      </w:r>
      <w:proofErr w:type="spellStart"/>
      <w:r>
        <w:rPr>
          <w:color w:val="000000"/>
          <w:sz w:val="22"/>
          <w:szCs w:val="22"/>
        </w:rPr>
        <w:t>undercatch</w:t>
      </w:r>
      <w:proofErr w:type="spellEnd"/>
      <w:r>
        <w:rPr>
          <w:color w:val="000000"/>
          <w:sz w:val="22"/>
          <w:szCs w:val="22"/>
        </w:rPr>
        <w:t xml:space="preserve"> and </w:t>
      </w:r>
      <w:proofErr w:type="spellStart"/>
      <w:r>
        <w:rPr>
          <w:color w:val="000000"/>
          <w:sz w:val="22"/>
          <w:szCs w:val="22"/>
        </w:rPr>
        <w:t>overcatch</w:t>
      </w:r>
      <w:proofErr w:type="spellEnd"/>
      <w:r>
        <w:rPr>
          <w:color w:val="000000"/>
          <w:sz w:val="22"/>
          <w:szCs w:val="22"/>
        </w:rPr>
        <w:t xml:space="preserve"> percentages and weights </w:t>
      </w:r>
      <w:r w:rsidRPr="001720C7">
        <w:rPr>
          <w:color w:val="000000"/>
          <w:sz w:val="22"/>
          <w:szCs w:val="22"/>
        </w:rPr>
        <w:t xml:space="preserve">for each stock. Advice </w:t>
      </w:r>
      <w:r>
        <w:rPr>
          <w:color w:val="000000"/>
          <w:sz w:val="22"/>
          <w:szCs w:val="22"/>
        </w:rPr>
        <w:t xml:space="preserve">on </w:t>
      </w:r>
      <w:proofErr w:type="spellStart"/>
      <w:r>
        <w:rPr>
          <w:color w:val="000000"/>
          <w:sz w:val="22"/>
          <w:szCs w:val="22"/>
        </w:rPr>
        <w:t>undercatch</w:t>
      </w:r>
      <w:proofErr w:type="spellEnd"/>
      <w:r>
        <w:rPr>
          <w:color w:val="000000"/>
          <w:sz w:val="22"/>
          <w:szCs w:val="22"/>
        </w:rPr>
        <w:t xml:space="preserve"> and </w:t>
      </w:r>
      <w:proofErr w:type="spellStart"/>
      <w:r>
        <w:rPr>
          <w:color w:val="000000"/>
          <w:sz w:val="22"/>
          <w:szCs w:val="22"/>
        </w:rPr>
        <w:t>overcatch</w:t>
      </w:r>
      <w:proofErr w:type="spellEnd"/>
      <w:r>
        <w:rPr>
          <w:color w:val="000000"/>
          <w:sz w:val="22"/>
          <w:szCs w:val="22"/>
        </w:rPr>
        <w:t xml:space="preserve"> percentages and weights </w:t>
      </w:r>
      <w:r w:rsidRPr="001720C7">
        <w:rPr>
          <w:color w:val="000000"/>
          <w:sz w:val="22"/>
          <w:szCs w:val="22"/>
        </w:rPr>
        <w:t>was sought fr</w:t>
      </w:r>
      <w:r w:rsidR="00987EBD">
        <w:rPr>
          <w:color w:val="000000"/>
          <w:sz w:val="22"/>
          <w:szCs w:val="22"/>
        </w:rPr>
        <w:t>o</w:t>
      </w:r>
      <w:r w:rsidRPr="001720C7">
        <w:rPr>
          <w:color w:val="000000"/>
          <w:sz w:val="22"/>
          <w:szCs w:val="22"/>
        </w:rPr>
        <w:t xml:space="preserve">m SEMAC </w:t>
      </w:r>
      <w:r>
        <w:rPr>
          <w:color w:val="000000"/>
          <w:sz w:val="22"/>
          <w:szCs w:val="22"/>
        </w:rPr>
        <w:t xml:space="preserve">on </w:t>
      </w:r>
      <w:r w:rsidR="008E5E21">
        <w:rPr>
          <w:color w:val="000000"/>
          <w:sz w:val="22"/>
          <w:szCs w:val="22"/>
        </w:rPr>
        <w:t xml:space="preserve">6-8 </w:t>
      </w:r>
      <w:r>
        <w:rPr>
          <w:color w:val="000000"/>
          <w:sz w:val="22"/>
          <w:szCs w:val="22"/>
        </w:rPr>
        <w:t xml:space="preserve">February </w:t>
      </w:r>
      <w:r w:rsidRPr="001720C7">
        <w:rPr>
          <w:color w:val="000000"/>
          <w:sz w:val="22"/>
          <w:szCs w:val="22"/>
        </w:rPr>
        <w:t>201</w:t>
      </w:r>
      <w:r w:rsidR="008E5E21">
        <w:rPr>
          <w:color w:val="000000"/>
          <w:sz w:val="22"/>
          <w:szCs w:val="22"/>
        </w:rPr>
        <w:t>8</w:t>
      </w:r>
      <w:r w:rsidRPr="001720C7">
        <w:rPr>
          <w:color w:val="000000"/>
          <w:sz w:val="22"/>
          <w:szCs w:val="22"/>
        </w:rPr>
        <w:t xml:space="preserve">. </w:t>
      </w:r>
    </w:p>
    <w:p w14:paraId="1B60F2C2" w14:textId="77777777" w:rsidR="003C1B98" w:rsidRPr="001720C7" w:rsidRDefault="003C1B98" w:rsidP="003C1B98">
      <w:pPr>
        <w:autoSpaceDE w:val="0"/>
        <w:autoSpaceDN w:val="0"/>
        <w:adjustRightInd w:val="0"/>
        <w:jc w:val="both"/>
        <w:rPr>
          <w:color w:val="000000"/>
          <w:sz w:val="22"/>
          <w:szCs w:val="22"/>
        </w:rPr>
      </w:pPr>
    </w:p>
    <w:p w14:paraId="714DB306" w14:textId="77777777" w:rsidR="003C1B98" w:rsidRPr="001720C7" w:rsidRDefault="003C1B98" w:rsidP="003C1B98">
      <w:pPr>
        <w:autoSpaceDE w:val="0"/>
        <w:autoSpaceDN w:val="0"/>
        <w:adjustRightInd w:val="0"/>
        <w:jc w:val="both"/>
        <w:rPr>
          <w:color w:val="000000"/>
          <w:sz w:val="22"/>
          <w:szCs w:val="22"/>
        </w:rPr>
      </w:pPr>
      <w:r w:rsidRPr="001720C7">
        <w:rPr>
          <w:color w:val="000000"/>
          <w:sz w:val="22"/>
          <w:szCs w:val="22"/>
        </w:rPr>
        <w:t xml:space="preserve">The </w:t>
      </w:r>
      <w:r w:rsidR="00987EBD">
        <w:rPr>
          <w:color w:val="000000"/>
          <w:sz w:val="22"/>
          <w:szCs w:val="22"/>
        </w:rPr>
        <w:t>Authority’s</w:t>
      </w:r>
      <w:r w:rsidRPr="001720C7">
        <w:rPr>
          <w:color w:val="000000"/>
          <w:sz w:val="22"/>
          <w:szCs w:val="22"/>
        </w:rPr>
        <w:t xml:space="preserve"> Commission considered the advice from SEMAC when determining the </w:t>
      </w:r>
      <w:proofErr w:type="spellStart"/>
      <w:r>
        <w:rPr>
          <w:color w:val="000000"/>
          <w:sz w:val="22"/>
          <w:szCs w:val="22"/>
        </w:rPr>
        <w:t>undercatch</w:t>
      </w:r>
      <w:proofErr w:type="spellEnd"/>
      <w:r>
        <w:rPr>
          <w:color w:val="000000"/>
          <w:sz w:val="22"/>
          <w:szCs w:val="22"/>
        </w:rPr>
        <w:t xml:space="preserve"> and </w:t>
      </w:r>
      <w:proofErr w:type="spellStart"/>
      <w:r>
        <w:rPr>
          <w:color w:val="000000"/>
          <w:sz w:val="22"/>
          <w:szCs w:val="22"/>
        </w:rPr>
        <w:t>overcatch</w:t>
      </w:r>
      <w:proofErr w:type="spellEnd"/>
      <w:r>
        <w:rPr>
          <w:color w:val="000000"/>
          <w:sz w:val="22"/>
          <w:szCs w:val="22"/>
        </w:rPr>
        <w:t xml:space="preserve"> </w:t>
      </w:r>
      <w:r w:rsidRPr="001720C7">
        <w:rPr>
          <w:color w:val="000000"/>
          <w:sz w:val="22"/>
          <w:szCs w:val="22"/>
        </w:rPr>
        <w:t>for each stock for the 201</w:t>
      </w:r>
      <w:r w:rsidR="008E5E21">
        <w:rPr>
          <w:color w:val="000000"/>
          <w:sz w:val="22"/>
          <w:szCs w:val="22"/>
        </w:rPr>
        <w:t>8</w:t>
      </w:r>
      <w:r w:rsidRPr="001720C7">
        <w:rPr>
          <w:color w:val="000000"/>
          <w:sz w:val="22"/>
          <w:szCs w:val="22"/>
        </w:rPr>
        <w:t>-1</w:t>
      </w:r>
      <w:r w:rsidR="008E5E21">
        <w:rPr>
          <w:color w:val="000000"/>
          <w:sz w:val="22"/>
          <w:szCs w:val="22"/>
        </w:rPr>
        <w:t>9</w:t>
      </w:r>
      <w:r w:rsidRPr="001720C7">
        <w:rPr>
          <w:color w:val="000000"/>
          <w:sz w:val="22"/>
          <w:szCs w:val="22"/>
        </w:rPr>
        <w:t xml:space="preserve"> fishing season.  </w:t>
      </w:r>
    </w:p>
    <w:p w14:paraId="4CD9D002" w14:textId="77777777" w:rsidR="005C76BF" w:rsidRDefault="005C76BF" w:rsidP="000A1256">
      <w:pPr>
        <w:autoSpaceDE w:val="0"/>
        <w:autoSpaceDN w:val="0"/>
        <w:adjustRightInd w:val="0"/>
        <w:rPr>
          <w:b/>
          <w:bCs/>
          <w:sz w:val="22"/>
          <w:szCs w:val="22"/>
        </w:rPr>
      </w:pPr>
    </w:p>
    <w:p w14:paraId="5B0DCD0B" w14:textId="77777777" w:rsidR="000A1256" w:rsidRPr="007C2D22" w:rsidRDefault="000A1256" w:rsidP="000A1256">
      <w:pPr>
        <w:autoSpaceDE w:val="0"/>
        <w:autoSpaceDN w:val="0"/>
        <w:adjustRightInd w:val="0"/>
        <w:rPr>
          <w:b/>
          <w:bCs/>
          <w:sz w:val="22"/>
          <w:szCs w:val="22"/>
        </w:rPr>
      </w:pPr>
      <w:r w:rsidRPr="007C2D22">
        <w:rPr>
          <w:b/>
          <w:bCs/>
          <w:sz w:val="22"/>
          <w:szCs w:val="22"/>
        </w:rPr>
        <w:t>Regulation Impact Statement</w:t>
      </w:r>
    </w:p>
    <w:p w14:paraId="3B80038D" w14:textId="77777777" w:rsidR="004C5553" w:rsidRPr="007C2D22" w:rsidRDefault="004C5553" w:rsidP="000A1256">
      <w:pPr>
        <w:autoSpaceDE w:val="0"/>
        <w:autoSpaceDN w:val="0"/>
        <w:adjustRightInd w:val="0"/>
        <w:rPr>
          <w:b/>
          <w:bCs/>
          <w:sz w:val="22"/>
          <w:szCs w:val="22"/>
        </w:rPr>
      </w:pPr>
    </w:p>
    <w:p w14:paraId="391508EC" w14:textId="77777777" w:rsidR="00406595" w:rsidRPr="007C2D22" w:rsidRDefault="00B62718" w:rsidP="00406595">
      <w:pPr>
        <w:pStyle w:val="AFMANormal"/>
        <w:spacing w:before="0" w:after="220"/>
        <w:rPr>
          <w:sz w:val="22"/>
          <w:szCs w:val="22"/>
        </w:rPr>
      </w:pPr>
      <w:r w:rsidRPr="00B62718">
        <w:rPr>
          <w:sz w:val="22"/>
          <w:szCs w:val="22"/>
        </w:rPr>
        <w:t>The Office of Best Practice Regulation does not require a Regulatory Impact Statement for this determination consistent with the carve out arrangement with AFMA (OBPR reference 14421) for instruments of a minor or machinery nature and which specifically refers to Total Allowable Catch Determinations for a fishery.</w:t>
      </w:r>
      <w:r w:rsidR="00634E92" w:rsidRPr="007C2D22">
        <w:rPr>
          <w:sz w:val="22"/>
          <w:szCs w:val="22"/>
        </w:rPr>
        <w:t xml:space="preserve">  </w:t>
      </w:r>
    </w:p>
    <w:p w14:paraId="77041142" w14:textId="77777777" w:rsidR="007C2D22" w:rsidRPr="007C2D22" w:rsidRDefault="007C2D22" w:rsidP="007C2D22">
      <w:pPr>
        <w:spacing w:before="100" w:beforeAutospacing="1" w:after="100" w:afterAutospacing="1"/>
        <w:rPr>
          <w:b/>
          <w:sz w:val="22"/>
          <w:szCs w:val="22"/>
        </w:rPr>
      </w:pPr>
      <w:r w:rsidRPr="007C2D22">
        <w:rPr>
          <w:b/>
          <w:sz w:val="22"/>
          <w:szCs w:val="22"/>
        </w:rPr>
        <w:t xml:space="preserve">Statement of compatibility prepared in accordance with Part 3 of the </w:t>
      </w:r>
      <w:r w:rsidRPr="007C2D22">
        <w:rPr>
          <w:b/>
          <w:i/>
          <w:sz w:val="22"/>
          <w:szCs w:val="22"/>
        </w:rPr>
        <w:t xml:space="preserve">Human Rights (Parliamentary Scrutiny) Act 2011 </w:t>
      </w:r>
    </w:p>
    <w:p w14:paraId="721714C6" w14:textId="77777777" w:rsidR="007C2D22" w:rsidRPr="007C2D22" w:rsidRDefault="00B16E22" w:rsidP="007C2D22">
      <w:pPr>
        <w:keepNext/>
        <w:spacing w:before="100" w:beforeAutospacing="1" w:after="100" w:afterAutospacing="1"/>
        <w:rPr>
          <w:rFonts w:ascii="Helvetica Neue" w:hAnsi="Helvetica Neue"/>
          <w:sz w:val="22"/>
          <w:szCs w:val="22"/>
          <w:lang w:val="en-AU" w:eastAsia="en-AU"/>
        </w:rPr>
      </w:pPr>
      <w:r>
        <w:rPr>
          <w:sz w:val="22"/>
          <w:szCs w:val="22"/>
          <w:lang w:val="en-AU" w:eastAsia="en-AU"/>
        </w:rPr>
        <w:t>The Authority</w:t>
      </w:r>
      <w:r w:rsidR="007C2D22" w:rsidRPr="007C2D22">
        <w:rPr>
          <w:sz w:val="22"/>
          <w:szCs w:val="22"/>
          <w:lang w:val="en-AU" w:eastAsia="en-AU"/>
        </w:rPr>
        <w:t xml:space="preserve"> assesses under section 3 of the </w:t>
      </w:r>
      <w:r w:rsidR="007C2D22" w:rsidRPr="007C2D22">
        <w:rPr>
          <w:i/>
          <w:iCs/>
          <w:sz w:val="22"/>
          <w:szCs w:val="22"/>
          <w:lang w:val="en-AU" w:eastAsia="en-AU"/>
        </w:rPr>
        <w:t xml:space="preserve">Human Rights (Parliamentary Scrutiny) Act 2011 </w:t>
      </w:r>
      <w:r w:rsidR="007C2D22" w:rsidRPr="007C2D22">
        <w:rPr>
          <w:iCs/>
          <w:sz w:val="22"/>
          <w:szCs w:val="22"/>
          <w:lang w:val="en-AU" w:eastAsia="en-AU"/>
        </w:rPr>
        <w:t>that this legislative instrument is compatible with human rights</w:t>
      </w:r>
      <w:r w:rsidR="007C2D22" w:rsidRPr="007C2D22">
        <w:rPr>
          <w:sz w:val="22"/>
          <w:szCs w:val="22"/>
          <w:lang w:val="en-AU" w:eastAsia="en-AU"/>
        </w:rPr>
        <w:t xml:space="preserve">. </w:t>
      </w:r>
      <w:r>
        <w:rPr>
          <w:sz w:val="22"/>
          <w:szCs w:val="22"/>
          <w:lang w:val="en-AU" w:eastAsia="en-AU"/>
        </w:rPr>
        <w:t>The Authority</w:t>
      </w:r>
      <w:r w:rsidR="007C2D22">
        <w:rPr>
          <w:sz w:val="22"/>
          <w:szCs w:val="22"/>
          <w:lang w:val="en-AU" w:eastAsia="en-AU"/>
        </w:rPr>
        <w:t xml:space="preserve">’s </w:t>
      </w:r>
      <w:r w:rsidR="007C2D22" w:rsidRPr="007C2D22">
        <w:rPr>
          <w:sz w:val="22"/>
          <w:szCs w:val="22"/>
          <w:lang w:val="en-AU" w:eastAsia="en-AU"/>
        </w:rPr>
        <w:t xml:space="preserve">Statement of Compatibility is attached as a supporting document.  </w:t>
      </w:r>
    </w:p>
    <w:p w14:paraId="7A84DD3F" w14:textId="77777777" w:rsidR="000A1256" w:rsidRDefault="000A1256" w:rsidP="000A1256">
      <w:pPr>
        <w:autoSpaceDE w:val="0"/>
        <w:autoSpaceDN w:val="0"/>
        <w:adjustRightInd w:val="0"/>
        <w:spacing w:line="360" w:lineRule="auto"/>
        <w:rPr>
          <w:sz w:val="22"/>
          <w:szCs w:val="22"/>
        </w:rPr>
      </w:pPr>
      <w:r w:rsidRPr="007C2D22">
        <w:rPr>
          <w:sz w:val="22"/>
          <w:szCs w:val="22"/>
        </w:rPr>
        <w:t>Details of the Determination are set out below:</w:t>
      </w:r>
    </w:p>
    <w:p w14:paraId="5628BAB0" w14:textId="1C5D20E0" w:rsidR="007C2D22" w:rsidRPr="007C2D22" w:rsidRDefault="007C2D22" w:rsidP="000A1256">
      <w:pPr>
        <w:autoSpaceDE w:val="0"/>
        <w:autoSpaceDN w:val="0"/>
        <w:adjustRightInd w:val="0"/>
        <w:spacing w:line="360" w:lineRule="auto"/>
        <w:rPr>
          <w:sz w:val="22"/>
          <w:szCs w:val="22"/>
        </w:rPr>
      </w:pPr>
    </w:p>
    <w:tbl>
      <w:tblPr>
        <w:tblW w:w="0" w:type="auto"/>
        <w:tblLook w:val="01E0" w:firstRow="1" w:lastRow="1" w:firstColumn="1" w:lastColumn="1" w:noHBand="0" w:noVBand="0"/>
      </w:tblPr>
      <w:tblGrid>
        <w:gridCol w:w="1333"/>
        <w:gridCol w:w="7307"/>
      </w:tblGrid>
      <w:tr w:rsidR="007C2D22" w:rsidRPr="00F82E6B" w14:paraId="53F8C1B6" w14:textId="77777777" w:rsidTr="00F82E6B">
        <w:tc>
          <w:tcPr>
            <w:tcW w:w="1350" w:type="dxa"/>
            <w:shd w:val="clear" w:color="auto" w:fill="auto"/>
          </w:tcPr>
          <w:p w14:paraId="738ED511" w14:textId="77777777" w:rsidR="007C2D22" w:rsidRPr="00F82E6B" w:rsidRDefault="007C2D22" w:rsidP="00F82E6B">
            <w:pPr>
              <w:pStyle w:val="AFMANormal"/>
              <w:keepNext/>
              <w:spacing w:before="0" w:after="240"/>
              <w:rPr>
                <w:b/>
                <w:i/>
                <w:sz w:val="22"/>
                <w:szCs w:val="22"/>
              </w:rPr>
            </w:pPr>
            <w:r w:rsidRPr="00F82E6B">
              <w:rPr>
                <w:b/>
                <w:i/>
                <w:sz w:val="22"/>
                <w:szCs w:val="22"/>
              </w:rPr>
              <w:t>Clause 1</w:t>
            </w:r>
          </w:p>
        </w:tc>
        <w:tc>
          <w:tcPr>
            <w:tcW w:w="7506" w:type="dxa"/>
            <w:shd w:val="clear" w:color="auto" w:fill="auto"/>
          </w:tcPr>
          <w:p w14:paraId="4990D2EE" w14:textId="4F0ED2A2" w:rsidR="007C2D22" w:rsidRPr="00F82E6B" w:rsidRDefault="007F1CFF" w:rsidP="008E5E21">
            <w:pPr>
              <w:pStyle w:val="AFMANormal"/>
              <w:keepNext/>
              <w:spacing w:before="0" w:after="240"/>
              <w:rPr>
                <w:sz w:val="22"/>
                <w:szCs w:val="22"/>
              </w:rPr>
            </w:pPr>
            <w:r w:rsidRPr="009057F6">
              <w:rPr>
                <w:sz w:val="22"/>
                <w:szCs w:val="22"/>
              </w:rPr>
              <w:t xml:space="preserve">Provides </w:t>
            </w:r>
            <w:r>
              <w:rPr>
                <w:sz w:val="22"/>
                <w:szCs w:val="22"/>
              </w:rPr>
              <w:t xml:space="preserve">that the name of the </w:t>
            </w:r>
            <w:r w:rsidRPr="009057F6">
              <w:rPr>
                <w:sz w:val="22"/>
                <w:szCs w:val="22"/>
              </w:rPr>
              <w:t xml:space="preserve">Determination </w:t>
            </w:r>
            <w:r>
              <w:rPr>
                <w:sz w:val="22"/>
                <w:szCs w:val="22"/>
              </w:rPr>
              <w:t xml:space="preserve">is the </w:t>
            </w:r>
            <w:r w:rsidR="00803667" w:rsidRPr="00803667">
              <w:rPr>
                <w:i/>
                <w:sz w:val="22"/>
                <w:szCs w:val="22"/>
                <w:lang w:val="en-US"/>
              </w:rPr>
              <w:t xml:space="preserve">Fisheries Management (Small Pelagic Fishery </w:t>
            </w:r>
            <w:proofErr w:type="spellStart"/>
            <w:r w:rsidR="00803667" w:rsidRPr="00803667">
              <w:rPr>
                <w:i/>
                <w:sz w:val="22"/>
                <w:szCs w:val="22"/>
                <w:lang w:val="en-US"/>
              </w:rPr>
              <w:t>Overcatch</w:t>
            </w:r>
            <w:proofErr w:type="spellEnd"/>
            <w:r w:rsidR="00803667" w:rsidRPr="00803667">
              <w:rPr>
                <w:i/>
                <w:sz w:val="22"/>
                <w:szCs w:val="22"/>
                <w:lang w:val="en-US"/>
              </w:rPr>
              <w:t xml:space="preserve"> and </w:t>
            </w:r>
            <w:proofErr w:type="spellStart"/>
            <w:r w:rsidR="00803667" w:rsidRPr="00803667">
              <w:rPr>
                <w:i/>
                <w:sz w:val="22"/>
                <w:szCs w:val="22"/>
                <w:lang w:val="en-US"/>
              </w:rPr>
              <w:t>Undercatch</w:t>
            </w:r>
            <w:proofErr w:type="spellEnd"/>
            <w:r w:rsidR="00803667" w:rsidRPr="00803667">
              <w:rPr>
                <w:i/>
                <w:sz w:val="22"/>
                <w:szCs w:val="22"/>
                <w:lang w:val="en-US"/>
              </w:rPr>
              <w:t>) Fishing Capacity Determination 2018</w:t>
            </w:r>
            <w:r w:rsidR="007C2D22" w:rsidRPr="00F82E6B">
              <w:rPr>
                <w:sz w:val="22"/>
                <w:szCs w:val="22"/>
              </w:rPr>
              <w:t>.</w:t>
            </w:r>
          </w:p>
        </w:tc>
      </w:tr>
      <w:tr w:rsidR="007C2D22" w:rsidRPr="00F82E6B" w14:paraId="5697C90A" w14:textId="77777777" w:rsidTr="00F82E6B">
        <w:tc>
          <w:tcPr>
            <w:tcW w:w="1350" w:type="dxa"/>
            <w:shd w:val="clear" w:color="auto" w:fill="auto"/>
          </w:tcPr>
          <w:p w14:paraId="092C4760" w14:textId="77777777" w:rsidR="007C2D22" w:rsidRPr="00F82E6B" w:rsidRDefault="007C2D22" w:rsidP="00F82E6B">
            <w:pPr>
              <w:pStyle w:val="AFMANormal"/>
              <w:spacing w:before="0" w:after="240"/>
              <w:rPr>
                <w:b/>
                <w:i/>
                <w:sz w:val="22"/>
                <w:szCs w:val="22"/>
              </w:rPr>
            </w:pPr>
            <w:r w:rsidRPr="00F82E6B">
              <w:rPr>
                <w:b/>
                <w:i/>
                <w:sz w:val="22"/>
                <w:szCs w:val="22"/>
              </w:rPr>
              <w:t>Clause 2</w:t>
            </w:r>
          </w:p>
        </w:tc>
        <w:tc>
          <w:tcPr>
            <w:tcW w:w="7506" w:type="dxa"/>
            <w:shd w:val="clear" w:color="auto" w:fill="auto"/>
          </w:tcPr>
          <w:p w14:paraId="02BAE2B4" w14:textId="3C136178" w:rsidR="007C2D22" w:rsidRPr="00F82E6B" w:rsidRDefault="007C2D22" w:rsidP="0008534A">
            <w:pPr>
              <w:pStyle w:val="AFMANormal"/>
              <w:spacing w:before="0" w:after="240"/>
              <w:rPr>
                <w:sz w:val="22"/>
                <w:szCs w:val="22"/>
              </w:rPr>
            </w:pPr>
            <w:r w:rsidRPr="00F82E6B">
              <w:rPr>
                <w:sz w:val="22"/>
                <w:szCs w:val="22"/>
              </w:rPr>
              <w:t>Provides that the Determination commences on the day after registration on the Federal Register of Legis</w:t>
            </w:r>
            <w:r w:rsidR="0008534A">
              <w:rPr>
                <w:sz w:val="22"/>
                <w:szCs w:val="22"/>
              </w:rPr>
              <w:t>lation</w:t>
            </w:r>
            <w:r w:rsidRPr="00F82E6B">
              <w:rPr>
                <w:sz w:val="22"/>
                <w:szCs w:val="22"/>
              </w:rPr>
              <w:t>.</w:t>
            </w:r>
          </w:p>
        </w:tc>
      </w:tr>
      <w:tr w:rsidR="005F41F7" w:rsidRPr="00F82E6B" w14:paraId="3F5F2259" w14:textId="77777777" w:rsidTr="00F82E6B">
        <w:tc>
          <w:tcPr>
            <w:tcW w:w="1350" w:type="dxa"/>
            <w:shd w:val="clear" w:color="auto" w:fill="auto"/>
          </w:tcPr>
          <w:p w14:paraId="14DC5D9A" w14:textId="3FB5964F" w:rsidR="005F41F7" w:rsidRPr="00F82E6B" w:rsidRDefault="005F41F7" w:rsidP="00F82E6B">
            <w:pPr>
              <w:pStyle w:val="AFMANormal"/>
              <w:spacing w:before="0" w:after="240"/>
              <w:rPr>
                <w:b/>
                <w:i/>
                <w:sz w:val="22"/>
                <w:szCs w:val="22"/>
              </w:rPr>
            </w:pPr>
            <w:r>
              <w:rPr>
                <w:b/>
                <w:i/>
                <w:sz w:val="22"/>
                <w:szCs w:val="22"/>
              </w:rPr>
              <w:t>Clause 3</w:t>
            </w:r>
          </w:p>
        </w:tc>
        <w:tc>
          <w:tcPr>
            <w:tcW w:w="7506" w:type="dxa"/>
            <w:shd w:val="clear" w:color="auto" w:fill="auto"/>
          </w:tcPr>
          <w:p w14:paraId="64FFAB65" w14:textId="58C89CA2" w:rsidR="005F41F7" w:rsidRPr="009057F6" w:rsidRDefault="005F41F7" w:rsidP="008E5E21">
            <w:pPr>
              <w:pStyle w:val="AFMANormal"/>
              <w:spacing w:before="0" w:after="240"/>
              <w:rPr>
                <w:color w:val="000000"/>
                <w:sz w:val="22"/>
                <w:szCs w:val="22"/>
              </w:rPr>
            </w:pPr>
            <w:r>
              <w:rPr>
                <w:color w:val="000000"/>
                <w:sz w:val="22"/>
                <w:szCs w:val="22"/>
              </w:rPr>
              <w:t xml:space="preserve">Provides that the Determination </w:t>
            </w:r>
            <w:r w:rsidR="00217EE5" w:rsidRPr="00E70828">
              <w:t>is repealed on 1 May 201</w:t>
            </w:r>
            <w:r w:rsidR="00217EE5">
              <w:t>9</w:t>
            </w:r>
            <w:r w:rsidR="00217EE5" w:rsidRPr="00E70828">
              <w:t xml:space="preserve"> unless earlier revoked</w:t>
            </w:r>
            <w:r w:rsidR="00217EE5">
              <w:t>.</w:t>
            </w:r>
          </w:p>
        </w:tc>
      </w:tr>
      <w:tr w:rsidR="007C2D22" w:rsidRPr="00F82E6B" w14:paraId="4E931C1D" w14:textId="77777777" w:rsidTr="00F82E6B">
        <w:tc>
          <w:tcPr>
            <w:tcW w:w="1350" w:type="dxa"/>
            <w:shd w:val="clear" w:color="auto" w:fill="auto"/>
          </w:tcPr>
          <w:p w14:paraId="18086093" w14:textId="1DC387B6" w:rsidR="007C2D22" w:rsidRPr="00F82E6B" w:rsidRDefault="007C2D22" w:rsidP="005F41F7">
            <w:pPr>
              <w:pStyle w:val="AFMANormal"/>
              <w:spacing w:before="0" w:after="240"/>
              <w:rPr>
                <w:b/>
                <w:i/>
                <w:sz w:val="22"/>
                <w:szCs w:val="22"/>
              </w:rPr>
            </w:pPr>
            <w:r w:rsidRPr="00F82E6B">
              <w:rPr>
                <w:b/>
                <w:i/>
                <w:sz w:val="22"/>
                <w:szCs w:val="22"/>
              </w:rPr>
              <w:t xml:space="preserve">Clause </w:t>
            </w:r>
            <w:r w:rsidR="005F41F7">
              <w:rPr>
                <w:b/>
                <w:i/>
                <w:sz w:val="22"/>
                <w:szCs w:val="22"/>
              </w:rPr>
              <w:t>4</w:t>
            </w:r>
          </w:p>
        </w:tc>
        <w:tc>
          <w:tcPr>
            <w:tcW w:w="7506" w:type="dxa"/>
            <w:shd w:val="clear" w:color="auto" w:fill="auto"/>
          </w:tcPr>
          <w:p w14:paraId="146DAD04" w14:textId="43FE05BA" w:rsidR="007C2D22" w:rsidRPr="00F82E6B" w:rsidRDefault="00803667" w:rsidP="008E5E21">
            <w:pPr>
              <w:pStyle w:val="AFMANormal"/>
              <w:spacing w:before="0" w:after="240"/>
              <w:rPr>
                <w:sz w:val="22"/>
                <w:szCs w:val="22"/>
              </w:rPr>
            </w:pPr>
            <w:r w:rsidRPr="009057F6">
              <w:rPr>
                <w:color w:val="000000"/>
                <w:sz w:val="22"/>
                <w:szCs w:val="22"/>
              </w:rPr>
              <w:t xml:space="preserve">Provides </w:t>
            </w:r>
            <w:r>
              <w:rPr>
                <w:color w:val="000000"/>
                <w:sz w:val="22"/>
                <w:szCs w:val="22"/>
              </w:rPr>
              <w:t xml:space="preserve">the authority under which </w:t>
            </w:r>
            <w:r w:rsidRPr="009057F6">
              <w:rPr>
                <w:color w:val="000000"/>
                <w:sz w:val="22"/>
                <w:szCs w:val="22"/>
              </w:rPr>
              <w:t>the Deter</w:t>
            </w:r>
            <w:r>
              <w:rPr>
                <w:color w:val="000000"/>
                <w:sz w:val="22"/>
                <w:szCs w:val="22"/>
              </w:rPr>
              <w:t>mination is made</w:t>
            </w:r>
            <w:r w:rsidRPr="009057F6">
              <w:rPr>
                <w:color w:val="000000"/>
                <w:sz w:val="22"/>
                <w:szCs w:val="22"/>
              </w:rPr>
              <w:t>.</w:t>
            </w:r>
          </w:p>
        </w:tc>
      </w:tr>
      <w:tr w:rsidR="007C2D22" w:rsidRPr="00F82E6B" w14:paraId="0FCBDED7" w14:textId="77777777" w:rsidTr="00F82E6B">
        <w:tc>
          <w:tcPr>
            <w:tcW w:w="1350" w:type="dxa"/>
            <w:shd w:val="clear" w:color="auto" w:fill="auto"/>
          </w:tcPr>
          <w:p w14:paraId="7CAA5E12" w14:textId="5B6A1A65" w:rsidR="007C2D22" w:rsidRPr="00F82E6B" w:rsidRDefault="007C2D22" w:rsidP="005F41F7">
            <w:pPr>
              <w:pStyle w:val="AFMANormal"/>
              <w:spacing w:before="0" w:after="240"/>
              <w:rPr>
                <w:b/>
                <w:i/>
                <w:sz w:val="22"/>
                <w:szCs w:val="22"/>
              </w:rPr>
            </w:pPr>
            <w:r w:rsidRPr="00F82E6B">
              <w:rPr>
                <w:b/>
                <w:i/>
                <w:sz w:val="22"/>
                <w:szCs w:val="22"/>
              </w:rPr>
              <w:t xml:space="preserve">Clause </w:t>
            </w:r>
            <w:r w:rsidR="005F41F7">
              <w:rPr>
                <w:b/>
                <w:i/>
                <w:sz w:val="22"/>
                <w:szCs w:val="22"/>
              </w:rPr>
              <w:t>5</w:t>
            </w:r>
          </w:p>
        </w:tc>
        <w:tc>
          <w:tcPr>
            <w:tcW w:w="7506" w:type="dxa"/>
            <w:shd w:val="clear" w:color="auto" w:fill="auto"/>
          </w:tcPr>
          <w:p w14:paraId="2EE7DB11" w14:textId="77777777" w:rsidR="007C2D22" w:rsidRPr="00F82E6B" w:rsidRDefault="007C2D22" w:rsidP="00F82E6B">
            <w:pPr>
              <w:pStyle w:val="AFMANormal"/>
              <w:spacing w:before="0" w:after="240"/>
              <w:rPr>
                <w:sz w:val="22"/>
                <w:szCs w:val="22"/>
              </w:rPr>
            </w:pPr>
            <w:r w:rsidRPr="00F82E6B">
              <w:rPr>
                <w:snapToGrid/>
                <w:sz w:val="22"/>
                <w:szCs w:val="22"/>
              </w:rPr>
              <w:t>Provides that a term used in the Determination and in the Plan or Act has the same meaning in the Determination as in the Plan or Act</w:t>
            </w:r>
            <w:r w:rsidRPr="00F82E6B">
              <w:rPr>
                <w:i/>
                <w:sz w:val="22"/>
                <w:szCs w:val="22"/>
              </w:rPr>
              <w:t>.</w:t>
            </w:r>
          </w:p>
        </w:tc>
      </w:tr>
      <w:tr w:rsidR="007C2D22" w:rsidRPr="00F82E6B" w14:paraId="4EA368A9" w14:textId="77777777" w:rsidTr="00F82E6B">
        <w:tc>
          <w:tcPr>
            <w:tcW w:w="1350" w:type="dxa"/>
            <w:shd w:val="clear" w:color="auto" w:fill="auto"/>
          </w:tcPr>
          <w:p w14:paraId="1B309268" w14:textId="20D1BF70" w:rsidR="007C2D22" w:rsidRPr="00F82E6B" w:rsidRDefault="007C2D22" w:rsidP="005F41F7">
            <w:pPr>
              <w:pStyle w:val="AFMANormal"/>
              <w:spacing w:before="0" w:after="240"/>
              <w:rPr>
                <w:b/>
                <w:i/>
                <w:sz w:val="22"/>
                <w:szCs w:val="22"/>
              </w:rPr>
            </w:pPr>
            <w:r w:rsidRPr="00F82E6B">
              <w:rPr>
                <w:b/>
                <w:i/>
                <w:sz w:val="22"/>
                <w:szCs w:val="22"/>
              </w:rPr>
              <w:t xml:space="preserve">Clause </w:t>
            </w:r>
            <w:r w:rsidR="005F41F7">
              <w:rPr>
                <w:b/>
                <w:i/>
                <w:sz w:val="22"/>
                <w:szCs w:val="22"/>
              </w:rPr>
              <w:t>6</w:t>
            </w:r>
          </w:p>
        </w:tc>
        <w:tc>
          <w:tcPr>
            <w:tcW w:w="7506" w:type="dxa"/>
            <w:shd w:val="clear" w:color="auto" w:fill="auto"/>
          </w:tcPr>
          <w:p w14:paraId="316D7161" w14:textId="77777777" w:rsidR="007C2D22" w:rsidRPr="00F82E6B" w:rsidRDefault="007C2D22" w:rsidP="005179F7">
            <w:pPr>
              <w:pStyle w:val="AFMANormal"/>
              <w:spacing w:before="0" w:after="240"/>
              <w:rPr>
                <w:sz w:val="22"/>
                <w:szCs w:val="22"/>
              </w:rPr>
            </w:pPr>
            <w:r w:rsidRPr="00F82E6B">
              <w:rPr>
                <w:bCs/>
                <w:iCs/>
                <w:sz w:val="22"/>
                <w:szCs w:val="22"/>
              </w:rPr>
              <w:t xml:space="preserve">Determines the </w:t>
            </w:r>
            <w:r w:rsidRPr="00F82E6B">
              <w:rPr>
                <w:sz w:val="22"/>
                <w:szCs w:val="22"/>
              </w:rPr>
              <w:t xml:space="preserve">percentage and weight, under section </w:t>
            </w:r>
            <w:r w:rsidR="00E95AFD">
              <w:rPr>
                <w:sz w:val="22"/>
                <w:szCs w:val="22"/>
              </w:rPr>
              <w:t>29 of the Plan (Obligation</w:t>
            </w:r>
            <w:r w:rsidRPr="00F82E6B">
              <w:rPr>
                <w:sz w:val="22"/>
                <w:szCs w:val="22"/>
              </w:rPr>
              <w:t xml:space="preserve"> relating to </w:t>
            </w:r>
            <w:proofErr w:type="spellStart"/>
            <w:r w:rsidRPr="00F82E6B">
              <w:rPr>
                <w:sz w:val="22"/>
                <w:szCs w:val="22"/>
              </w:rPr>
              <w:t>overcatch</w:t>
            </w:r>
            <w:proofErr w:type="spellEnd"/>
            <w:r w:rsidRPr="00F82E6B">
              <w:rPr>
                <w:sz w:val="22"/>
                <w:szCs w:val="22"/>
              </w:rPr>
              <w:t>), and</w:t>
            </w:r>
            <w:r w:rsidR="00E95AFD">
              <w:rPr>
                <w:sz w:val="22"/>
                <w:szCs w:val="22"/>
              </w:rPr>
              <w:t xml:space="preserve"> the percentage under section 30</w:t>
            </w:r>
            <w:r w:rsidRPr="00F82E6B">
              <w:rPr>
                <w:sz w:val="22"/>
                <w:szCs w:val="22"/>
              </w:rPr>
              <w:t xml:space="preserve"> of the Plan (</w:t>
            </w:r>
            <w:r w:rsidR="00E95AFD">
              <w:rPr>
                <w:sz w:val="22"/>
                <w:szCs w:val="22"/>
              </w:rPr>
              <w:t>Obligation</w:t>
            </w:r>
            <w:r w:rsidRPr="00F82E6B">
              <w:rPr>
                <w:sz w:val="22"/>
                <w:szCs w:val="22"/>
              </w:rPr>
              <w:t xml:space="preserve"> relating to </w:t>
            </w:r>
            <w:proofErr w:type="spellStart"/>
            <w:r w:rsidRPr="00F82E6B">
              <w:rPr>
                <w:sz w:val="22"/>
                <w:szCs w:val="22"/>
              </w:rPr>
              <w:t>undercatch</w:t>
            </w:r>
            <w:proofErr w:type="spellEnd"/>
            <w:r w:rsidRPr="00F82E6B">
              <w:rPr>
                <w:sz w:val="22"/>
                <w:szCs w:val="22"/>
              </w:rPr>
              <w:t xml:space="preserve">) for each quota species </w:t>
            </w:r>
            <w:r w:rsidR="00B16E22">
              <w:rPr>
                <w:sz w:val="22"/>
                <w:szCs w:val="22"/>
              </w:rPr>
              <w:t xml:space="preserve">for a sub-area </w:t>
            </w:r>
            <w:r w:rsidRPr="00F82E6B">
              <w:rPr>
                <w:sz w:val="22"/>
                <w:szCs w:val="22"/>
              </w:rPr>
              <w:t>for the 201</w:t>
            </w:r>
            <w:r w:rsidR="008E5E21">
              <w:rPr>
                <w:sz w:val="22"/>
                <w:szCs w:val="22"/>
              </w:rPr>
              <w:t>8</w:t>
            </w:r>
            <w:r w:rsidRPr="00F82E6B">
              <w:rPr>
                <w:sz w:val="22"/>
                <w:szCs w:val="22"/>
              </w:rPr>
              <w:t xml:space="preserve"> fishing season commencing on 1 </w:t>
            </w:r>
            <w:r w:rsidR="00E95AFD">
              <w:rPr>
                <w:sz w:val="22"/>
                <w:szCs w:val="22"/>
              </w:rPr>
              <w:t>May</w:t>
            </w:r>
            <w:r w:rsidRPr="00F82E6B">
              <w:rPr>
                <w:sz w:val="22"/>
                <w:szCs w:val="22"/>
              </w:rPr>
              <w:t xml:space="preserve"> 201</w:t>
            </w:r>
            <w:r w:rsidR="008E5E21">
              <w:rPr>
                <w:sz w:val="22"/>
                <w:szCs w:val="22"/>
              </w:rPr>
              <w:t>8</w:t>
            </w:r>
            <w:r w:rsidRPr="00F82E6B">
              <w:rPr>
                <w:sz w:val="22"/>
                <w:szCs w:val="22"/>
              </w:rPr>
              <w:t xml:space="preserve"> and ending on </w:t>
            </w:r>
            <w:r w:rsidR="00E95AFD">
              <w:rPr>
                <w:sz w:val="22"/>
                <w:szCs w:val="22"/>
              </w:rPr>
              <w:t>30 April</w:t>
            </w:r>
            <w:r w:rsidRPr="00F82E6B">
              <w:rPr>
                <w:sz w:val="22"/>
                <w:szCs w:val="22"/>
              </w:rPr>
              <w:t xml:space="preserve"> 201</w:t>
            </w:r>
            <w:r w:rsidR="008E5E21">
              <w:rPr>
                <w:sz w:val="22"/>
                <w:szCs w:val="22"/>
              </w:rPr>
              <w:t>9</w:t>
            </w:r>
            <w:r w:rsidRPr="00F82E6B">
              <w:rPr>
                <w:sz w:val="22"/>
                <w:szCs w:val="22"/>
              </w:rPr>
              <w:t>.</w:t>
            </w:r>
          </w:p>
        </w:tc>
      </w:tr>
    </w:tbl>
    <w:p w14:paraId="6DF2EDBD" w14:textId="6C474AA1" w:rsidR="00960480" w:rsidRDefault="00960480" w:rsidP="000C4985"/>
    <w:p w14:paraId="5780F9C3" w14:textId="6BFDE0AE" w:rsidR="00960480" w:rsidRDefault="00960480">
      <w:r>
        <w:br w:type="page"/>
      </w:r>
    </w:p>
    <w:p w14:paraId="1B975D67" w14:textId="05A16F12" w:rsidR="000C4985" w:rsidRPr="000C4985" w:rsidRDefault="00960480" w:rsidP="00960480">
      <w:pPr>
        <w:spacing w:before="360" w:after="120" w:line="276" w:lineRule="auto"/>
        <w:rPr>
          <w:rFonts w:eastAsia="Calibri"/>
          <w:color w:val="000000"/>
          <w:sz w:val="22"/>
          <w:szCs w:val="22"/>
          <w:lang w:val="en-AU"/>
        </w:rPr>
      </w:pPr>
      <w:r w:rsidRPr="000C4985">
        <w:rPr>
          <w:rFonts w:ascii="Calibri" w:eastAsia="Calibri" w:hAnsi="Calibri"/>
          <w:noProof/>
          <w:sz w:val="22"/>
          <w:szCs w:val="22"/>
          <w:lang w:val="en-AU" w:eastAsia="en-AU"/>
        </w:rPr>
        <mc:AlternateContent>
          <mc:Choice Requires="wps">
            <w:drawing>
              <wp:anchor distT="0" distB="0" distL="114300" distR="114300" simplePos="0" relativeHeight="251659264" behindDoc="0" locked="0" layoutInCell="1" allowOverlap="1" wp14:anchorId="3269493B" wp14:editId="39FEDE48">
                <wp:simplePos x="0" y="0"/>
                <wp:positionH relativeFrom="column">
                  <wp:posOffset>-400050</wp:posOffset>
                </wp:positionH>
                <wp:positionV relativeFrom="paragraph">
                  <wp:posOffset>-190500</wp:posOffset>
                </wp:positionV>
                <wp:extent cx="6286500" cy="8591550"/>
                <wp:effectExtent l="38100" t="38100" r="38100" b="381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8591550"/>
                        </a:xfrm>
                        <a:prstGeom prst="rect">
                          <a:avLst/>
                        </a:prstGeom>
                        <a:solidFill>
                          <a:srgbClr val="FFFFFF"/>
                        </a:solidFill>
                        <a:ln w="76200" cmpd="tri">
                          <a:solidFill>
                            <a:srgbClr val="000000"/>
                          </a:solidFill>
                          <a:miter lim="800000"/>
                          <a:headEnd/>
                          <a:tailEnd/>
                        </a:ln>
                      </wps:spPr>
                      <wps:txbx>
                        <w:txbxContent>
                          <w:p w14:paraId="704AE8F1" w14:textId="77777777" w:rsidR="00960480" w:rsidRPr="00E4135E" w:rsidRDefault="00960480" w:rsidP="00960480">
                            <w:pPr>
                              <w:spacing w:before="360" w:after="120"/>
                              <w:jc w:val="center"/>
                              <w:rPr>
                                <w:b/>
                                <w:sz w:val="28"/>
                                <w:szCs w:val="28"/>
                              </w:rPr>
                            </w:pPr>
                            <w:bookmarkStart w:id="0" w:name="_GoBack"/>
                            <w:r w:rsidRPr="00E4135E">
                              <w:rPr>
                                <w:b/>
                                <w:sz w:val="28"/>
                                <w:szCs w:val="28"/>
                              </w:rPr>
                              <w:t>Statement of Compatibility with Human Rights</w:t>
                            </w:r>
                          </w:p>
                          <w:p w14:paraId="04D750C7" w14:textId="77777777" w:rsidR="00960480" w:rsidRPr="00E4135E" w:rsidRDefault="00960480" w:rsidP="00960480">
                            <w:pPr>
                              <w:spacing w:before="120" w:after="120"/>
                              <w:jc w:val="center"/>
                            </w:pPr>
                            <w:r w:rsidRPr="00E4135E">
                              <w:rPr>
                                <w:i/>
                              </w:rPr>
                              <w:t>Prepared in accordance with Part 3 of the Human Rights (Parliamentary Scrutiny) Act 2011</w:t>
                            </w:r>
                          </w:p>
                          <w:p w14:paraId="53429312" w14:textId="77777777" w:rsidR="00960480" w:rsidRPr="00E4135E" w:rsidRDefault="00960480" w:rsidP="00960480">
                            <w:pPr>
                              <w:spacing w:before="120" w:after="120"/>
                              <w:jc w:val="center"/>
                            </w:pPr>
                          </w:p>
                          <w:p w14:paraId="3C10FCE5" w14:textId="77777777" w:rsidR="00960480" w:rsidRPr="00803667" w:rsidRDefault="00960480" w:rsidP="00960480">
                            <w:pPr>
                              <w:spacing w:before="120" w:after="120"/>
                              <w:jc w:val="center"/>
                              <w:rPr>
                                <w:b/>
                              </w:rPr>
                            </w:pPr>
                            <w:r>
                              <w:rPr>
                                <w:b/>
                              </w:rPr>
                              <w:t xml:space="preserve"> </w:t>
                            </w:r>
                            <w:r w:rsidRPr="00803667">
                              <w:rPr>
                                <w:b/>
                                <w:lang w:val="en-AU"/>
                              </w:rPr>
                              <w:t xml:space="preserve">Fisheries Management </w:t>
                            </w:r>
                            <w:r w:rsidRPr="007859B2">
                              <w:rPr>
                                <w:b/>
                                <w:lang w:val="en-AU"/>
                              </w:rPr>
                              <w:t xml:space="preserve">(Small Pelagic Fishery </w:t>
                            </w:r>
                            <w:proofErr w:type="spellStart"/>
                            <w:r w:rsidRPr="007859B2">
                              <w:rPr>
                                <w:b/>
                                <w:lang w:val="en-AU"/>
                              </w:rPr>
                              <w:t>Overcatch</w:t>
                            </w:r>
                            <w:proofErr w:type="spellEnd"/>
                            <w:r w:rsidRPr="007859B2">
                              <w:rPr>
                                <w:b/>
                                <w:lang w:val="en-AU"/>
                              </w:rPr>
                              <w:t xml:space="preserve"> and </w:t>
                            </w:r>
                            <w:proofErr w:type="spellStart"/>
                            <w:r w:rsidRPr="007859B2">
                              <w:rPr>
                                <w:b/>
                                <w:lang w:val="en-AU"/>
                              </w:rPr>
                              <w:t>Undercatch</w:t>
                            </w:r>
                            <w:proofErr w:type="spellEnd"/>
                            <w:r w:rsidRPr="007859B2">
                              <w:rPr>
                                <w:b/>
                                <w:lang w:val="en-AU"/>
                              </w:rPr>
                              <w:t>)</w:t>
                            </w:r>
                            <w:r w:rsidRPr="00803667">
                              <w:rPr>
                                <w:b/>
                                <w:lang w:val="en-AU"/>
                              </w:rPr>
                              <w:t xml:space="preserve"> Fishing Capacity Determination 2018</w:t>
                            </w:r>
                          </w:p>
                          <w:p w14:paraId="72C2B17C" w14:textId="77777777" w:rsidR="00960480" w:rsidRDefault="00960480" w:rsidP="00960480">
                            <w:pPr>
                              <w:spacing w:before="120" w:after="120"/>
                              <w:jc w:val="center"/>
                            </w:pPr>
                          </w:p>
                          <w:p w14:paraId="321FC926" w14:textId="77777777" w:rsidR="00960480" w:rsidRPr="00E4135E" w:rsidRDefault="00960480" w:rsidP="00960480">
                            <w:pPr>
                              <w:spacing w:before="120" w:after="120"/>
                              <w:jc w:val="center"/>
                            </w:pPr>
                            <w:r w:rsidRPr="00E4135E">
                              <w:t xml:space="preserve">This Legislative Instrument is compatible with the human rights and freedoms </w:t>
                            </w:r>
                            <w:proofErr w:type="spellStart"/>
                            <w:r w:rsidRPr="00E4135E">
                              <w:t>recognised</w:t>
                            </w:r>
                            <w:proofErr w:type="spellEnd"/>
                            <w:r w:rsidRPr="00E4135E">
                              <w:t xml:space="preserve"> or declared in the international instruments listed in section 3 of the </w:t>
                            </w:r>
                            <w:r w:rsidRPr="00E4135E">
                              <w:rPr>
                                <w:i/>
                              </w:rPr>
                              <w:t>Human Rights (Parliamentary Scrutiny) Act 2011</w:t>
                            </w:r>
                            <w:r w:rsidRPr="00E4135E">
                              <w:t>.</w:t>
                            </w:r>
                          </w:p>
                          <w:p w14:paraId="08748E40" w14:textId="77777777" w:rsidR="00960480" w:rsidRPr="00E4135E" w:rsidRDefault="00960480" w:rsidP="00960480">
                            <w:pPr>
                              <w:spacing w:before="120" w:after="120"/>
                              <w:jc w:val="center"/>
                            </w:pPr>
                          </w:p>
                          <w:p w14:paraId="7A81DFC0" w14:textId="77777777" w:rsidR="00960480" w:rsidRPr="00E4135E" w:rsidRDefault="00960480" w:rsidP="00960480">
                            <w:pPr>
                              <w:spacing w:before="120" w:after="120"/>
                              <w:jc w:val="both"/>
                              <w:rPr>
                                <w:b/>
                              </w:rPr>
                            </w:pPr>
                            <w:r w:rsidRPr="00E4135E">
                              <w:rPr>
                                <w:b/>
                              </w:rPr>
                              <w:t>Overview of the Legislative Instrument</w:t>
                            </w:r>
                          </w:p>
                          <w:p w14:paraId="6371B2EC" w14:textId="77777777" w:rsidR="00960480" w:rsidRDefault="00960480" w:rsidP="00960480">
                            <w:pPr>
                              <w:spacing w:before="120" w:after="120"/>
                              <w:jc w:val="both"/>
                              <w:rPr>
                                <w:color w:val="000000"/>
                              </w:rPr>
                            </w:pPr>
                            <w:r>
                              <w:rPr>
                                <w:color w:val="000000"/>
                              </w:rPr>
                              <w:t xml:space="preserve">Sections 29 and 30 of the </w:t>
                            </w:r>
                            <w:r w:rsidRPr="00B630EC">
                              <w:rPr>
                                <w:i/>
                                <w:color w:val="000000"/>
                              </w:rPr>
                              <w:t>Small Pelagic Fishery Management Plan 2009</w:t>
                            </w:r>
                            <w:r>
                              <w:rPr>
                                <w:color w:val="000000"/>
                              </w:rPr>
                              <w:t xml:space="preserve"> (the Plan) provide that AFMA may determine a percentage of </w:t>
                            </w:r>
                            <w:proofErr w:type="spellStart"/>
                            <w:r>
                              <w:rPr>
                                <w:color w:val="000000"/>
                              </w:rPr>
                              <w:t>overcatch</w:t>
                            </w:r>
                            <w:proofErr w:type="spellEnd"/>
                            <w:r>
                              <w:rPr>
                                <w:color w:val="000000"/>
                              </w:rPr>
                              <w:t xml:space="preserve"> and </w:t>
                            </w:r>
                            <w:proofErr w:type="spellStart"/>
                            <w:r>
                              <w:rPr>
                                <w:color w:val="000000"/>
                              </w:rPr>
                              <w:t>undercatch</w:t>
                            </w:r>
                            <w:proofErr w:type="spellEnd"/>
                            <w:r>
                              <w:rPr>
                                <w:color w:val="000000"/>
                              </w:rPr>
                              <w:t xml:space="preserve"> for a quota species for each sub-area of the Small Pelagic Fishery for a fishing season.  The Plan limits AFMA to determining a percentage for </w:t>
                            </w:r>
                            <w:proofErr w:type="spellStart"/>
                            <w:r>
                              <w:rPr>
                                <w:color w:val="000000"/>
                              </w:rPr>
                              <w:t>overcatch</w:t>
                            </w:r>
                            <w:proofErr w:type="spellEnd"/>
                            <w:r>
                              <w:rPr>
                                <w:color w:val="000000"/>
                              </w:rPr>
                              <w:t xml:space="preserve"> or </w:t>
                            </w:r>
                            <w:proofErr w:type="spellStart"/>
                            <w:r>
                              <w:rPr>
                                <w:color w:val="000000"/>
                              </w:rPr>
                              <w:t>undercatch</w:t>
                            </w:r>
                            <w:proofErr w:type="spellEnd"/>
                            <w:r>
                              <w:rPr>
                                <w:color w:val="000000"/>
                              </w:rPr>
                              <w:t xml:space="preserve"> no greater than 10 per cent. </w:t>
                            </w:r>
                          </w:p>
                          <w:p w14:paraId="1BE9F069" w14:textId="77777777" w:rsidR="00960480" w:rsidRDefault="00960480" w:rsidP="00960480">
                            <w:pPr>
                              <w:spacing w:before="120" w:after="120"/>
                              <w:jc w:val="both"/>
                              <w:rPr>
                                <w:color w:val="000000"/>
                              </w:rPr>
                            </w:pPr>
                            <w:proofErr w:type="spellStart"/>
                            <w:r>
                              <w:rPr>
                                <w:color w:val="000000"/>
                              </w:rPr>
                              <w:t>Overcatch</w:t>
                            </w:r>
                            <w:proofErr w:type="spellEnd"/>
                            <w:r>
                              <w:rPr>
                                <w:color w:val="000000"/>
                              </w:rPr>
                              <w:t xml:space="preserve"> and </w:t>
                            </w:r>
                            <w:proofErr w:type="spellStart"/>
                            <w:r>
                              <w:rPr>
                                <w:color w:val="000000"/>
                              </w:rPr>
                              <w:t>undercatch</w:t>
                            </w:r>
                            <w:proofErr w:type="spellEnd"/>
                            <w:r w:rsidRPr="009235EF">
                              <w:rPr>
                                <w:color w:val="000000"/>
                              </w:rPr>
                              <w:t xml:space="preserve"> provides for ‘carry over’ or ‘carry under’ of </w:t>
                            </w:r>
                            <w:r>
                              <w:rPr>
                                <w:color w:val="000000"/>
                              </w:rPr>
                              <w:t xml:space="preserve">up to the determined percentage of </w:t>
                            </w:r>
                            <w:r w:rsidRPr="009235EF">
                              <w:rPr>
                                <w:color w:val="000000"/>
                              </w:rPr>
                              <w:t>quota between fishing seasons</w:t>
                            </w:r>
                            <w:r>
                              <w:rPr>
                                <w:color w:val="000000"/>
                              </w:rPr>
                              <w:t>. This allows</w:t>
                            </w:r>
                            <w:r w:rsidRPr="009235EF">
                              <w:rPr>
                                <w:color w:val="000000"/>
                              </w:rPr>
                              <w:t xml:space="preserve"> fishers the flexibility to catch a certain amount of fish over or under their quota, and debit or credit this to or from the following season’s quota</w:t>
                            </w:r>
                            <w:r>
                              <w:rPr>
                                <w:color w:val="000000"/>
                              </w:rPr>
                              <w:t xml:space="preserve">.  </w:t>
                            </w:r>
                          </w:p>
                          <w:p w14:paraId="78B8BC77" w14:textId="77777777" w:rsidR="00960480" w:rsidRDefault="00960480" w:rsidP="00960480">
                            <w:pPr>
                              <w:spacing w:before="120" w:after="120"/>
                              <w:jc w:val="both"/>
                              <w:rPr>
                                <w:b/>
                              </w:rPr>
                            </w:pPr>
                          </w:p>
                          <w:p w14:paraId="622316A4" w14:textId="77777777" w:rsidR="00960480" w:rsidRPr="00E4135E" w:rsidRDefault="00960480" w:rsidP="00960480">
                            <w:pPr>
                              <w:spacing w:before="120" w:after="120"/>
                              <w:jc w:val="both"/>
                              <w:rPr>
                                <w:b/>
                              </w:rPr>
                            </w:pPr>
                            <w:r w:rsidRPr="00E4135E">
                              <w:rPr>
                                <w:b/>
                              </w:rPr>
                              <w:t>Human rights implications</w:t>
                            </w:r>
                          </w:p>
                          <w:p w14:paraId="772883B1" w14:textId="77777777" w:rsidR="00960480" w:rsidRPr="00E4135E" w:rsidRDefault="00960480" w:rsidP="00960480">
                            <w:pPr>
                              <w:spacing w:before="120" w:after="120"/>
                              <w:jc w:val="both"/>
                            </w:pPr>
                            <w:r w:rsidRPr="00E4135E">
                              <w:t>This Legislative Instrument does not engage any of the applicable rights or freedoms.</w:t>
                            </w:r>
                          </w:p>
                          <w:p w14:paraId="68510FA4" w14:textId="77777777" w:rsidR="00960480" w:rsidRPr="00E4135E" w:rsidRDefault="00960480" w:rsidP="00960480">
                            <w:pPr>
                              <w:spacing w:before="120" w:after="120"/>
                            </w:pPr>
                          </w:p>
                          <w:p w14:paraId="08D1E79D" w14:textId="77777777" w:rsidR="00960480" w:rsidRDefault="00960480" w:rsidP="00960480">
                            <w:pPr>
                              <w:spacing w:before="120" w:after="120"/>
                              <w:rPr>
                                <w:b/>
                              </w:rPr>
                            </w:pPr>
                            <w:r w:rsidRPr="00E4135E">
                              <w:rPr>
                                <w:b/>
                              </w:rPr>
                              <w:t>Conclusion</w:t>
                            </w:r>
                          </w:p>
                          <w:p w14:paraId="77AF2E20" w14:textId="77777777" w:rsidR="00960480" w:rsidRPr="000C4985" w:rsidRDefault="00960480" w:rsidP="00960480">
                            <w:pPr>
                              <w:spacing w:before="120" w:after="120"/>
                              <w:jc w:val="both"/>
                              <w:rPr>
                                <w:color w:val="000000"/>
                              </w:rPr>
                            </w:pPr>
                            <w:r w:rsidRPr="00E4135E">
                              <w:t xml:space="preserve">This </w:t>
                            </w:r>
                            <w:r w:rsidRPr="00E90182">
                              <w:rPr>
                                <w:color w:val="000000"/>
                              </w:rPr>
                              <w:t xml:space="preserve">Legislative Instrument is compatible with human rights as it does not raise any human rights issues. The AFMA Commission is satisfied that the instrument is consistent with AFMA’s obligation to pursue its statutory objectives.  The instrument is machinery in nature and sets </w:t>
                            </w:r>
                            <w:proofErr w:type="spellStart"/>
                            <w:r w:rsidRPr="00E90182">
                              <w:rPr>
                                <w:color w:val="000000"/>
                              </w:rPr>
                              <w:t>undercatch</w:t>
                            </w:r>
                            <w:proofErr w:type="spellEnd"/>
                            <w:r w:rsidRPr="00E90182">
                              <w:rPr>
                                <w:color w:val="000000"/>
                              </w:rPr>
                              <w:t xml:space="preserve"> and </w:t>
                            </w:r>
                            <w:proofErr w:type="spellStart"/>
                            <w:r w:rsidRPr="00E90182">
                              <w:rPr>
                                <w:color w:val="000000"/>
                              </w:rPr>
                              <w:t>overcatch</w:t>
                            </w:r>
                            <w:proofErr w:type="spellEnd"/>
                            <w:r w:rsidRPr="00E90182">
                              <w:rPr>
                                <w:color w:val="000000"/>
                              </w:rPr>
                              <w:t xml:space="preserve"> </w:t>
                            </w:r>
                            <w:r>
                              <w:rPr>
                                <w:color w:val="000000"/>
                              </w:rPr>
                              <w:t xml:space="preserve">values </w:t>
                            </w:r>
                            <w:r w:rsidRPr="00E90182">
                              <w:rPr>
                                <w:color w:val="000000"/>
                              </w:rPr>
                              <w:t xml:space="preserve">for quota species in the fishery thereby allowing statutory fishing right holders the ability to take a proportion of </w:t>
                            </w:r>
                            <w:r>
                              <w:rPr>
                                <w:color w:val="000000"/>
                              </w:rPr>
                              <w:t xml:space="preserve">quota over or under their holdings that can be </w:t>
                            </w:r>
                            <w:r w:rsidRPr="009235EF">
                              <w:rPr>
                                <w:color w:val="000000"/>
                              </w:rPr>
                              <w:t>debit</w:t>
                            </w:r>
                            <w:r>
                              <w:rPr>
                                <w:color w:val="000000"/>
                              </w:rPr>
                              <w:t>ed</w:t>
                            </w:r>
                            <w:r w:rsidRPr="009235EF">
                              <w:rPr>
                                <w:color w:val="000000"/>
                              </w:rPr>
                              <w:t xml:space="preserve"> or credit</w:t>
                            </w:r>
                            <w:r>
                              <w:rPr>
                                <w:color w:val="000000"/>
                              </w:rPr>
                              <w:t>ed t</w:t>
                            </w:r>
                            <w:r w:rsidRPr="009235EF">
                              <w:rPr>
                                <w:color w:val="000000"/>
                              </w:rPr>
                              <w:t>o or from the</w:t>
                            </w:r>
                            <w:r>
                              <w:rPr>
                                <w:color w:val="000000"/>
                              </w:rPr>
                              <w:t>ir holdings in the</w:t>
                            </w:r>
                            <w:r w:rsidRPr="009235EF">
                              <w:rPr>
                                <w:color w:val="000000"/>
                              </w:rPr>
                              <w:t xml:space="preserve"> following season</w:t>
                            </w:r>
                            <w:r>
                              <w:rPr>
                                <w:color w:val="000000"/>
                              </w:rPr>
                              <w:t xml:space="preserve">. </w:t>
                            </w:r>
                            <w:bookmarkEnd w:id="0"/>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9493B" id="Rectangle 1" o:spid="_x0000_s1026" style="position:absolute;margin-left:-31.5pt;margin-top:-15pt;width:495pt;height:6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" strokeweight="6pt">
                <v:stroke linestyle="thickBetweenThin"/>
                <v:textbox inset="5mm,,5mm">
                  <w:txbxContent>
                    <w:p w14:paraId="704AE8F1" w14:textId="77777777" w:rsidR="00960480" w:rsidRPr="00E4135E" w:rsidRDefault="00960480" w:rsidP="00960480">
                      <w:pPr>
                        <w:spacing w:before="360" w:after="120"/>
                        <w:jc w:val="center"/>
                        <w:rPr>
                          <w:b/>
                          <w:sz w:val="28"/>
                          <w:szCs w:val="28"/>
                        </w:rPr>
                      </w:pPr>
                      <w:bookmarkStart w:id="1" w:name="_GoBack"/>
                      <w:r w:rsidRPr="00E4135E">
                        <w:rPr>
                          <w:b/>
                          <w:sz w:val="28"/>
                          <w:szCs w:val="28"/>
                        </w:rPr>
                        <w:t>Statement of Compatibility with Human Rights</w:t>
                      </w:r>
                    </w:p>
                    <w:p w14:paraId="04D750C7" w14:textId="77777777" w:rsidR="00960480" w:rsidRPr="00E4135E" w:rsidRDefault="00960480" w:rsidP="00960480">
                      <w:pPr>
                        <w:spacing w:before="120" w:after="120"/>
                        <w:jc w:val="center"/>
                      </w:pPr>
                      <w:r w:rsidRPr="00E4135E">
                        <w:rPr>
                          <w:i/>
                        </w:rPr>
                        <w:t>Prepared in accordance with Part 3 of the Human Rights (Parliamentary Scrutiny) Act 2011</w:t>
                      </w:r>
                    </w:p>
                    <w:p w14:paraId="53429312" w14:textId="77777777" w:rsidR="00960480" w:rsidRPr="00E4135E" w:rsidRDefault="00960480" w:rsidP="00960480">
                      <w:pPr>
                        <w:spacing w:before="120" w:after="120"/>
                        <w:jc w:val="center"/>
                      </w:pPr>
                    </w:p>
                    <w:p w14:paraId="3C10FCE5" w14:textId="77777777" w:rsidR="00960480" w:rsidRPr="00803667" w:rsidRDefault="00960480" w:rsidP="00960480">
                      <w:pPr>
                        <w:spacing w:before="120" w:after="120"/>
                        <w:jc w:val="center"/>
                        <w:rPr>
                          <w:b/>
                        </w:rPr>
                      </w:pPr>
                      <w:r>
                        <w:rPr>
                          <w:b/>
                        </w:rPr>
                        <w:t xml:space="preserve"> </w:t>
                      </w:r>
                      <w:r w:rsidRPr="00803667">
                        <w:rPr>
                          <w:b/>
                          <w:lang w:val="en-AU"/>
                        </w:rPr>
                        <w:t xml:space="preserve">Fisheries Management </w:t>
                      </w:r>
                      <w:r w:rsidRPr="007859B2">
                        <w:rPr>
                          <w:b/>
                          <w:lang w:val="en-AU"/>
                        </w:rPr>
                        <w:t xml:space="preserve">(Small Pelagic Fishery </w:t>
                      </w:r>
                      <w:proofErr w:type="spellStart"/>
                      <w:r w:rsidRPr="007859B2">
                        <w:rPr>
                          <w:b/>
                          <w:lang w:val="en-AU"/>
                        </w:rPr>
                        <w:t>Overcatch</w:t>
                      </w:r>
                      <w:proofErr w:type="spellEnd"/>
                      <w:r w:rsidRPr="007859B2">
                        <w:rPr>
                          <w:b/>
                          <w:lang w:val="en-AU"/>
                        </w:rPr>
                        <w:t xml:space="preserve"> and </w:t>
                      </w:r>
                      <w:proofErr w:type="spellStart"/>
                      <w:r w:rsidRPr="007859B2">
                        <w:rPr>
                          <w:b/>
                          <w:lang w:val="en-AU"/>
                        </w:rPr>
                        <w:t>Undercatch</w:t>
                      </w:r>
                      <w:proofErr w:type="spellEnd"/>
                      <w:r w:rsidRPr="007859B2">
                        <w:rPr>
                          <w:b/>
                          <w:lang w:val="en-AU"/>
                        </w:rPr>
                        <w:t>)</w:t>
                      </w:r>
                      <w:r w:rsidRPr="00803667">
                        <w:rPr>
                          <w:b/>
                          <w:lang w:val="en-AU"/>
                        </w:rPr>
                        <w:t xml:space="preserve"> Fishing Capacity Determination 2018</w:t>
                      </w:r>
                    </w:p>
                    <w:p w14:paraId="72C2B17C" w14:textId="77777777" w:rsidR="00960480" w:rsidRDefault="00960480" w:rsidP="00960480">
                      <w:pPr>
                        <w:spacing w:before="120" w:after="120"/>
                        <w:jc w:val="center"/>
                      </w:pPr>
                    </w:p>
                    <w:p w14:paraId="321FC926" w14:textId="77777777" w:rsidR="00960480" w:rsidRPr="00E4135E" w:rsidRDefault="00960480" w:rsidP="00960480">
                      <w:pPr>
                        <w:spacing w:before="120" w:after="120"/>
                        <w:jc w:val="center"/>
                      </w:pPr>
                      <w:r w:rsidRPr="00E4135E">
                        <w:t xml:space="preserve">This Legislative Instrument is compatible with the human rights and freedoms </w:t>
                      </w:r>
                      <w:proofErr w:type="spellStart"/>
                      <w:r w:rsidRPr="00E4135E">
                        <w:t>recognised</w:t>
                      </w:r>
                      <w:proofErr w:type="spellEnd"/>
                      <w:r w:rsidRPr="00E4135E">
                        <w:t xml:space="preserve"> or declared in the international instruments listed in section 3 of the </w:t>
                      </w:r>
                      <w:r w:rsidRPr="00E4135E">
                        <w:rPr>
                          <w:i/>
                        </w:rPr>
                        <w:t>Human Rights (Parliamentary Scrutiny) Act 2011</w:t>
                      </w:r>
                      <w:r w:rsidRPr="00E4135E">
                        <w:t>.</w:t>
                      </w:r>
                    </w:p>
                    <w:p w14:paraId="08748E40" w14:textId="77777777" w:rsidR="00960480" w:rsidRPr="00E4135E" w:rsidRDefault="00960480" w:rsidP="00960480">
                      <w:pPr>
                        <w:spacing w:before="120" w:after="120"/>
                        <w:jc w:val="center"/>
                      </w:pPr>
                    </w:p>
                    <w:p w14:paraId="7A81DFC0" w14:textId="77777777" w:rsidR="00960480" w:rsidRPr="00E4135E" w:rsidRDefault="00960480" w:rsidP="00960480">
                      <w:pPr>
                        <w:spacing w:before="120" w:after="120"/>
                        <w:jc w:val="both"/>
                        <w:rPr>
                          <w:b/>
                        </w:rPr>
                      </w:pPr>
                      <w:r w:rsidRPr="00E4135E">
                        <w:rPr>
                          <w:b/>
                        </w:rPr>
                        <w:t>Overview of the Legislative Instrument</w:t>
                      </w:r>
                    </w:p>
                    <w:p w14:paraId="6371B2EC" w14:textId="77777777" w:rsidR="00960480" w:rsidRDefault="00960480" w:rsidP="00960480">
                      <w:pPr>
                        <w:spacing w:before="120" w:after="120"/>
                        <w:jc w:val="both"/>
                        <w:rPr>
                          <w:color w:val="000000"/>
                        </w:rPr>
                      </w:pPr>
                      <w:r>
                        <w:rPr>
                          <w:color w:val="000000"/>
                        </w:rPr>
                        <w:t xml:space="preserve">Sections 29 and 30 of the </w:t>
                      </w:r>
                      <w:r w:rsidRPr="00B630EC">
                        <w:rPr>
                          <w:i/>
                          <w:color w:val="000000"/>
                        </w:rPr>
                        <w:t>Small Pelagic Fishery Management Plan 2009</w:t>
                      </w:r>
                      <w:r>
                        <w:rPr>
                          <w:color w:val="000000"/>
                        </w:rPr>
                        <w:t xml:space="preserve"> (the Plan) provide that AFMA may determine a percentage of </w:t>
                      </w:r>
                      <w:proofErr w:type="spellStart"/>
                      <w:r>
                        <w:rPr>
                          <w:color w:val="000000"/>
                        </w:rPr>
                        <w:t>overcatch</w:t>
                      </w:r>
                      <w:proofErr w:type="spellEnd"/>
                      <w:r>
                        <w:rPr>
                          <w:color w:val="000000"/>
                        </w:rPr>
                        <w:t xml:space="preserve"> and </w:t>
                      </w:r>
                      <w:proofErr w:type="spellStart"/>
                      <w:r>
                        <w:rPr>
                          <w:color w:val="000000"/>
                        </w:rPr>
                        <w:t>undercatch</w:t>
                      </w:r>
                      <w:proofErr w:type="spellEnd"/>
                      <w:r>
                        <w:rPr>
                          <w:color w:val="000000"/>
                        </w:rPr>
                        <w:t xml:space="preserve"> for a quota species for each sub-area of the Small Pelagic Fishery for a fishing season.  The Plan limits AFMA to determining a percentage for </w:t>
                      </w:r>
                      <w:proofErr w:type="spellStart"/>
                      <w:r>
                        <w:rPr>
                          <w:color w:val="000000"/>
                        </w:rPr>
                        <w:t>overcatch</w:t>
                      </w:r>
                      <w:proofErr w:type="spellEnd"/>
                      <w:r>
                        <w:rPr>
                          <w:color w:val="000000"/>
                        </w:rPr>
                        <w:t xml:space="preserve"> or </w:t>
                      </w:r>
                      <w:proofErr w:type="spellStart"/>
                      <w:r>
                        <w:rPr>
                          <w:color w:val="000000"/>
                        </w:rPr>
                        <w:t>undercatch</w:t>
                      </w:r>
                      <w:proofErr w:type="spellEnd"/>
                      <w:r>
                        <w:rPr>
                          <w:color w:val="000000"/>
                        </w:rPr>
                        <w:t xml:space="preserve"> no greater than 10 per cent. </w:t>
                      </w:r>
                    </w:p>
                    <w:p w14:paraId="1BE9F069" w14:textId="77777777" w:rsidR="00960480" w:rsidRDefault="00960480" w:rsidP="00960480">
                      <w:pPr>
                        <w:spacing w:before="120" w:after="120"/>
                        <w:jc w:val="both"/>
                        <w:rPr>
                          <w:color w:val="000000"/>
                        </w:rPr>
                      </w:pPr>
                      <w:proofErr w:type="spellStart"/>
                      <w:r>
                        <w:rPr>
                          <w:color w:val="000000"/>
                        </w:rPr>
                        <w:t>Overcatch</w:t>
                      </w:r>
                      <w:proofErr w:type="spellEnd"/>
                      <w:r>
                        <w:rPr>
                          <w:color w:val="000000"/>
                        </w:rPr>
                        <w:t xml:space="preserve"> and </w:t>
                      </w:r>
                      <w:proofErr w:type="spellStart"/>
                      <w:r>
                        <w:rPr>
                          <w:color w:val="000000"/>
                        </w:rPr>
                        <w:t>undercatch</w:t>
                      </w:r>
                      <w:proofErr w:type="spellEnd"/>
                      <w:r w:rsidRPr="009235EF">
                        <w:rPr>
                          <w:color w:val="000000"/>
                        </w:rPr>
                        <w:t xml:space="preserve"> provides for ‘carry over’ or ‘carry under’ of </w:t>
                      </w:r>
                      <w:r>
                        <w:rPr>
                          <w:color w:val="000000"/>
                        </w:rPr>
                        <w:t xml:space="preserve">up to the determined percentage of </w:t>
                      </w:r>
                      <w:r w:rsidRPr="009235EF">
                        <w:rPr>
                          <w:color w:val="000000"/>
                        </w:rPr>
                        <w:t>quota between fishing seasons</w:t>
                      </w:r>
                      <w:r>
                        <w:rPr>
                          <w:color w:val="000000"/>
                        </w:rPr>
                        <w:t>. This allows</w:t>
                      </w:r>
                      <w:r w:rsidRPr="009235EF">
                        <w:rPr>
                          <w:color w:val="000000"/>
                        </w:rPr>
                        <w:t xml:space="preserve"> fishers the flexibility to catch a certain amount of fish over or under their quota, and debit or credit this to or from the following season’s quota</w:t>
                      </w:r>
                      <w:r>
                        <w:rPr>
                          <w:color w:val="000000"/>
                        </w:rPr>
                        <w:t xml:space="preserve">.  </w:t>
                      </w:r>
                    </w:p>
                    <w:p w14:paraId="78B8BC77" w14:textId="77777777" w:rsidR="00960480" w:rsidRDefault="00960480" w:rsidP="00960480">
                      <w:pPr>
                        <w:spacing w:before="120" w:after="120"/>
                        <w:jc w:val="both"/>
                        <w:rPr>
                          <w:b/>
                        </w:rPr>
                      </w:pPr>
                    </w:p>
                    <w:p w14:paraId="622316A4" w14:textId="77777777" w:rsidR="00960480" w:rsidRPr="00E4135E" w:rsidRDefault="00960480" w:rsidP="00960480">
                      <w:pPr>
                        <w:spacing w:before="120" w:after="120"/>
                        <w:jc w:val="both"/>
                        <w:rPr>
                          <w:b/>
                        </w:rPr>
                      </w:pPr>
                      <w:r w:rsidRPr="00E4135E">
                        <w:rPr>
                          <w:b/>
                        </w:rPr>
                        <w:t>Human rights implications</w:t>
                      </w:r>
                    </w:p>
                    <w:p w14:paraId="772883B1" w14:textId="77777777" w:rsidR="00960480" w:rsidRPr="00E4135E" w:rsidRDefault="00960480" w:rsidP="00960480">
                      <w:pPr>
                        <w:spacing w:before="120" w:after="120"/>
                        <w:jc w:val="both"/>
                      </w:pPr>
                      <w:r w:rsidRPr="00E4135E">
                        <w:t>This Legislative Instrument does not engage any of the applicable rights or freedoms.</w:t>
                      </w:r>
                    </w:p>
                    <w:p w14:paraId="68510FA4" w14:textId="77777777" w:rsidR="00960480" w:rsidRPr="00E4135E" w:rsidRDefault="00960480" w:rsidP="00960480">
                      <w:pPr>
                        <w:spacing w:before="120" w:after="120"/>
                      </w:pPr>
                    </w:p>
                    <w:p w14:paraId="08D1E79D" w14:textId="77777777" w:rsidR="00960480" w:rsidRDefault="00960480" w:rsidP="00960480">
                      <w:pPr>
                        <w:spacing w:before="120" w:after="120"/>
                        <w:rPr>
                          <w:b/>
                        </w:rPr>
                      </w:pPr>
                      <w:r w:rsidRPr="00E4135E">
                        <w:rPr>
                          <w:b/>
                        </w:rPr>
                        <w:t>Conclusion</w:t>
                      </w:r>
                    </w:p>
                    <w:p w14:paraId="77AF2E20" w14:textId="77777777" w:rsidR="00960480" w:rsidRPr="000C4985" w:rsidRDefault="00960480" w:rsidP="00960480">
                      <w:pPr>
                        <w:spacing w:before="120" w:after="120"/>
                        <w:jc w:val="both"/>
                        <w:rPr>
                          <w:color w:val="000000"/>
                        </w:rPr>
                      </w:pPr>
                      <w:r w:rsidRPr="00E4135E">
                        <w:t xml:space="preserve">This </w:t>
                      </w:r>
                      <w:r w:rsidRPr="00E90182">
                        <w:rPr>
                          <w:color w:val="000000"/>
                        </w:rPr>
                        <w:t xml:space="preserve">Legislative Instrument is compatible with human rights as it does not raise any human rights issues. The AFMA Commission is satisfied that the instrument is consistent with AFMA’s obligation to pursue its statutory objectives.  The instrument is machinery in nature and sets </w:t>
                      </w:r>
                      <w:proofErr w:type="spellStart"/>
                      <w:r w:rsidRPr="00E90182">
                        <w:rPr>
                          <w:color w:val="000000"/>
                        </w:rPr>
                        <w:t>undercatch</w:t>
                      </w:r>
                      <w:proofErr w:type="spellEnd"/>
                      <w:r w:rsidRPr="00E90182">
                        <w:rPr>
                          <w:color w:val="000000"/>
                        </w:rPr>
                        <w:t xml:space="preserve"> and </w:t>
                      </w:r>
                      <w:proofErr w:type="spellStart"/>
                      <w:r w:rsidRPr="00E90182">
                        <w:rPr>
                          <w:color w:val="000000"/>
                        </w:rPr>
                        <w:t>overcatch</w:t>
                      </w:r>
                      <w:proofErr w:type="spellEnd"/>
                      <w:r w:rsidRPr="00E90182">
                        <w:rPr>
                          <w:color w:val="000000"/>
                        </w:rPr>
                        <w:t xml:space="preserve"> </w:t>
                      </w:r>
                      <w:r>
                        <w:rPr>
                          <w:color w:val="000000"/>
                        </w:rPr>
                        <w:t xml:space="preserve">values </w:t>
                      </w:r>
                      <w:r w:rsidRPr="00E90182">
                        <w:rPr>
                          <w:color w:val="000000"/>
                        </w:rPr>
                        <w:t xml:space="preserve">for quota species in the fishery thereby allowing statutory fishing right holders the ability to take a proportion of </w:t>
                      </w:r>
                      <w:r>
                        <w:rPr>
                          <w:color w:val="000000"/>
                        </w:rPr>
                        <w:t xml:space="preserve">quota over or under their holdings that can be </w:t>
                      </w:r>
                      <w:r w:rsidRPr="009235EF">
                        <w:rPr>
                          <w:color w:val="000000"/>
                        </w:rPr>
                        <w:t>debit</w:t>
                      </w:r>
                      <w:r>
                        <w:rPr>
                          <w:color w:val="000000"/>
                        </w:rPr>
                        <w:t>ed</w:t>
                      </w:r>
                      <w:r w:rsidRPr="009235EF">
                        <w:rPr>
                          <w:color w:val="000000"/>
                        </w:rPr>
                        <w:t xml:space="preserve"> or credit</w:t>
                      </w:r>
                      <w:r>
                        <w:rPr>
                          <w:color w:val="000000"/>
                        </w:rPr>
                        <w:t>ed t</w:t>
                      </w:r>
                      <w:r w:rsidRPr="009235EF">
                        <w:rPr>
                          <w:color w:val="000000"/>
                        </w:rPr>
                        <w:t>o or from the</w:t>
                      </w:r>
                      <w:r>
                        <w:rPr>
                          <w:color w:val="000000"/>
                        </w:rPr>
                        <w:t>ir holdings in the</w:t>
                      </w:r>
                      <w:r w:rsidRPr="009235EF">
                        <w:rPr>
                          <w:color w:val="000000"/>
                        </w:rPr>
                        <w:t xml:space="preserve"> following season</w:t>
                      </w:r>
                      <w:r>
                        <w:rPr>
                          <w:color w:val="000000"/>
                        </w:rPr>
                        <w:t xml:space="preserve">. </w:t>
                      </w:r>
                      <w:bookmarkEnd w:id="1"/>
                    </w:p>
                  </w:txbxContent>
                </v:textbox>
              </v:rect>
            </w:pict>
          </mc:Fallback>
        </mc:AlternateContent>
      </w:r>
    </w:p>
    <w:p w14:paraId="18E70812" w14:textId="77777777" w:rsidR="000C4985" w:rsidRPr="000C4985" w:rsidRDefault="000C4985" w:rsidP="000C4985">
      <w:pPr>
        <w:spacing w:before="120" w:after="120" w:line="276" w:lineRule="auto"/>
        <w:jc w:val="both"/>
        <w:rPr>
          <w:rFonts w:eastAsia="Calibri"/>
          <w:color w:val="000000"/>
          <w:sz w:val="22"/>
          <w:szCs w:val="22"/>
          <w:lang w:val="en-AU"/>
        </w:rPr>
      </w:pPr>
      <w:r w:rsidRPr="000C4985">
        <w:rPr>
          <w:rFonts w:eastAsia="Calibri"/>
          <w:color w:val="000000"/>
          <w:sz w:val="22"/>
          <w:szCs w:val="22"/>
          <w:lang w:val="en-AU"/>
        </w:rPr>
        <w:t xml:space="preserve"> </w:t>
      </w:r>
    </w:p>
    <w:sectPr w:rsidR="000C4985" w:rsidRPr="000C4985" w:rsidSect="00960480">
      <w:footerReference w:type="default" r:id="rId10"/>
      <w:pgSz w:w="12240" w:h="15840"/>
      <w:pgMar w:top="1440" w:right="1800" w:bottom="993"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7AEA8C" w14:textId="77777777" w:rsidR="000A247B" w:rsidRDefault="000A247B">
      <w:r>
        <w:separator/>
      </w:r>
    </w:p>
  </w:endnote>
  <w:endnote w:type="continuationSeparator" w:id="0">
    <w:p w14:paraId="5F52C104" w14:textId="77777777" w:rsidR="000A247B" w:rsidRDefault="000A2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A57BB" w14:textId="77777777" w:rsidR="00F70A59" w:rsidRDefault="00F70A59" w:rsidP="00F70A59">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233A46" w14:textId="77777777" w:rsidR="000A247B" w:rsidRDefault="000A247B">
      <w:r>
        <w:separator/>
      </w:r>
    </w:p>
  </w:footnote>
  <w:footnote w:type="continuationSeparator" w:id="0">
    <w:p w14:paraId="0DC9ABE4" w14:textId="77777777" w:rsidR="000A247B" w:rsidRDefault="000A24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695842"/>
    <w:multiLevelType w:val="hybridMultilevel"/>
    <w:tmpl w:val="C2FCBEC2"/>
    <w:lvl w:ilvl="0" w:tplc="04D25D90">
      <w:start w:val="1"/>
      <w:numFmt w:val="decimal"/>
      <w:lvlText w:val="%1."/>
      <w:lvlJc w:val="left"/>
      <w:pPr>
        <w:tabs>
          <w:tab w:val="num" w:pos="720"/>
        </w:tabs>
        <w:ind w:left="720" w:hanging="360"/>
      </w:pPr>
      <w:rPr>
        <w:rFonts w:cs="Times New Roman" w:hint="default"/>
        <w:b w:val="0"/>
        <w:sz w:val="24"/>
      </w:rPr>
    </w:lvl>
    <w:lvl w:ilvl="1" w:tplc="CF440CCC">
      <w:start w:val="1"/>
      <w:numFmt w:val="lowerLetter"/>
      <w:lvlText w:val="%2)"/>
      <w:lvlJc w:val="left"/>
      <w:pPr>
        <w:tabs>
          <w:tab w:val="num" w:pos="1440"/>
        </w:tabs>
        <w:ind w:left="1440" w:hanging="360"/>
      </w:pPr>
      <w:rPr>
        <w:rFonts w:cs="Times New Roman" w:hint="default"/>
        <w:b w:val="0"/>
        <w:sz w:val="24"/>
      </w:rPr>
    </w:lvl>
    <w:lvl w:ilvl="2" w:tplc="BFFEE4F4">
      <w:start w:val="1"/>
      <w:numFmt w:val="lowerLetter"/>
      <w:lvlText w:val="(%3.)"/>
      <w:lvlJc w:val="left"/>
      <w:pPr>
        <w:tabs>
          <w:tab w:val="num" w:pos="2370"/>
        </w:tabs>
        <w:ind w:left="2370" w:hanging="390"/>
      </w:pPr>
      <w:rPr>
        <w:rFonts w:cs="Times New Roman" w:hint="default"/>
        <w:b/>
        <w:i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256"/>
    <w:rsid w:val="000032C6"/>
    <w:rsid w:val="00032089"/>
    <w:rsid w:val="00037D0F"/>
    <w:rsid w:val="00045BD5"/>
    <w:rsid w:val="00080903"/>
    <w:rsid w:val="0008534A"/>
    <w:rsid w:val="00094EF7"/>
    <w:rsid w:val="000A1256"/>
    <w:rsid w:val="000A247B"/>
    <w:rsid w:val="000B14FF"/>
    <w:rsid w:val="000C4985"/>
    <w:rsid w:val="00112243"/>
    <w:rsid w:val="0011246E"/>
    <w:rsid w:val="00114819"/>
    <w:rsid w:val="00143816"/>
    <w:rsid w:val="001640A5"/>
    <w:rsid w:val="001663CA"/>
    <w:rsid w:val="00171E77"/>
    <w:rsid w:val="001C454B"/>
    <w:rsid w:val="0021739B"/>
    <w:rsid w:val="00217EE5"/>
    <w:rsid w:val="0025214B"/>
    <w:rsid w:val="00254B37"/>
    <w:rsid w:val="002D0D3C"/>
    <w:rsid w:val="002E225D"/>
    <w:rsid w:val="00303828"/>
    <w:rsid w:val="003125FA"/>
    <w:rsid w:val="00321159"/>
    <w:rsid w:val="003368AE"/>
    <w:rsid w:val="00350B12"/>
    <w:rsid w:val="0036736B"/>
    <w:rsid w:val="00372895"/>
    <w:rsid w:val="003A4506"/>
    <w:rsid w:val="003C1B98"/>
    <w:rsid w:val="003D3D2D"/>
    <w:rsid w:val="003E20B0"/>
    <w:rsid w:val="00406595"/>
    <w:rsid w:val="004110AF"/>
    <w:rsid w:val="00437C77"/>
    <w:rsid w:val="004657EE"/>
    <w:rsid w:val="00480A98"/>
    <w:rsid w:val="0048597F"/>
    <w:rsid w:val="004B48D5"/>
    <w:rsid w:val="004C3710"/>
    <w:rsid w:val="004C5553"/>
    <w:rsid w:val="004F324A"/>
    <w:rsid w:val="00511E34"/>
    <w:rsid w:val="005179F7"/>
    <w:rsid w:val="005454D6"/>
    <w:rsid w:val="00557C37"/>
    <w:rsid w:val="005927C4"/>
    <w:rsid w:val="00594FC0"/>
    <w:rsid w:val="005C76BF"/>
    <w:rsid w:val="005E1425"/>
    <w:rsid w:val="005F41F7"/>
    <w:rsid w:val="00634E92"/>
    <w:rsid w:val="006721A9"/>
    <w:rsid w:val="00696C6E"/>
    <w:rsid w:val="007128BB"/>
    <w:rsid w:val="0074530C"/>
    <w:rsid w:val="007859B2"/>
    <w:rsid w:val="007C2D22"/>
    <w:rsid w:val="007D5A84"/>
    <w:rsid w:val="007D5FE9"/>
    <w:rsid w:val="007F1CFF"/>
    <w:rsid w:val="00803667"/>
    <w:rsid w:val="00823E9C"/>
    <w:rsid w:val="0087445C"/>
    <w:rsid w:val="008C048C"/>
    <w:rsid w:val="008E5E21"/>
    <w:rsid w:val="008F23A8"/>
    <w:rsid w:val="00927305"/>
    <w:rsid w:val="0093740F"/>
    <w:rsid w:val="00952F13"/>
    <w:rsid w:val="00960480"/>
    <w:rsid w:val="00987EBD"/>
    <w:rsid w:val="009A06D3"/>
    <w:rsid w:val="009A13FA"/>
    <w:rsid w:val="009B0BF9"/>
    <w:rsid w:val="009E2A67"/>
    <w:rsid w:val="00A50E75"/>
    <w:rsid w:val="00A916F5"/>
    <w:rsid w:val="00AA7BA0"/>
    <w:rsid w:val="00AD73BA"/>
    <w:rsid w:val="00AD79F0"/>
    <w:rsid w:val="00B16E22"/>
    <w:rsid w:val="00B21741"/>
    <w:rsid w:val="00B218B8"/>
    <w:rsid w:val="00B62718"/>
    <w:rsid w:val="00B70200"/>
    <w:rsid w:val="00B833FD"/>
    <w:rsid w:val="00BA34C7"/>
    <w:rsid w:val="00BA4DEB"/>
    <w:rsid w:val="00BC4401"/>
    <w:rsid w:val="00C203A2"/>
    <w:rsid w:val="00C70B66"/>
    <w:rsid w:val="00C83AF1"/>
    <w:rsid w:val="00CB48CD"/>
    <w:rsid w:val="00D12ABB"/>
    <w:rsid w:val="00D13B80"/>
    <w:rsid w:val="00DE1B0C"/>
    <w:rsid w:val="00DE7B26"/>
    <w:rsid w:val="00E01E0A"/>
    <w:rsid w:val="00E211A1"/>
    <w:rsid w:val="00E30313"/>
    <w:rsid w:val="00E57066"/>
    <w:rsid w:val="00E84328"/>
    <w:rsid w:val="00E95AFD"/>
    <w:rsid w:val="00EC0E21"/>
    <w:rsid w:val="00ED5A9B"/>
    <w:rsid w:val="00F12626"/>
    <w:rsid w:val="00F25C65"/>
    <w:rsid w:val="00F70A59"/>
    <w:rsid w:val="00F70C74"/>
    <w:rsid w:val="00F82E6B"/>
    <w:rsid w:val="00FA4123"/>
    <w:rsid w:val="00FD33CF"/>
    <w:rsid w:val="00FE2E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4C1284"/>
  <w15:docId w15:val="{3A97EEC2-F7A5-4603-8680-8A778AC82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2">
    <w:name w:val="heading 2"/>
    <w:basedOn w:val="Normal"/>
    <w:next w:val="Normal"/>
    <w:link w:val="Heading2Char"/>
    <w:qFormat/>
    <w:rsid w:val="005C76BF"/>
    <w:pPr>
      <w:keepNext/>
      <w:spacing w:before="240"/>
      <w:jc w:val="both"/>
      <w:outlineLvl w:val="1"/>
    </w:pPr>
    <w:rPr>
      <w:rFonts w:ascii="Arial" w:hAnsi="Arial"/>
      <w:b/>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87445C"/>
    <w:rPr>
      <w:sz w:val="16"/>
      <w:szCs w:val="16"/>
    </w:rPr>
  </w:style>
  <w:style w:type="paragraph" w:styleId="CommentText">
    <w:name w:val="annotation text"/>
    <w:basedOn w:val="Normal"/>
    <w:semiHidden/>
    <w:rsid w:val="0087445C"/>
    <w:rPr>
      <w:sz w:val="20"/>
      <w:szCs w:val="20"/>
    </w:rPr>
  </w:style>
  <w:style w:type="paragraph" w:styleId="CommentSubject">
    <w:name w:val="annotation subject"/>
    <w:basedOn w:val="CommentText"/>
    <w:next w:val="CommentText"/>
    <w:semiHidden/>
    <w:rsid w:val="0087445C"/>
    <w:rPr>
      <w:b/>
      <w:bCs/>
    </w:rPr>
  </w:style>
  <w:style w:type="paragraph" w:styleId="BalloonText">
    <w:name w:val="Balloon Text"/>
    <w:basedOn w:val="Normal"/>
    <w:semiHidden/>
    <w:rsid w:val="0087445C"/>
    <w:rPr>
      <w:rFonts w:ascii="Tahoma" w:hAnsi="Tahoma" w:cs="Tahoma"/>
      <w:sz w:val="16"/>
      <w:szCs w:val="16"/>
    </w:rPr>
  </w:style>
  <w:style w:type="paragraph" w:customStyle="1" w:styleId="AFMANormal">
    <w:name w:val="AFMA Normal"/>
    <w:rsid w:val="00634E92"/>
    <w:pPr>
      <w:spacing w:before="240"/>
      <w:jc w:val="both"/>
    </w:pPr>
    <w:rPr>
      <w:snapToGrid w:val="0"/>
      <w:kern w:val="20"/>
      <w:sz w:val="24"/>
      <w:lang w:eastAsia="en-US"/>
    </w:rPr>
  </w:style>
  <w:style w:type="paragraph" w:styleId="Header">
    <w:name w:val="header"/>
    <w:basedOn w:val="Normal"/>
    <w:rsid w:val="00F70A59"/>
    <w:pPr>
      <w:tabs>
        <w:tab w:val="center" w:pos="4153"/>
        <w:tab w:val="right" w:pos="8306"/>
      </w:tabs>
    </w:pPr>
  </w:style>
  <w:style w:type="paragraph" w:styleId="Footer">
    <w:name w:val="footer"/>
    <w:basedOn w:val="Normal"/>
    <w:rsid w:val="00F70A59"/>
    <w:pPr>
      <w:tabs>
        <w:tab w:val="center" w:pos="4153"/>
        <w:tab w:val="right" w:pos="8306"/>
      </w:tabs>
    </w:pPr>
  </w:style>
  <w:style w:type="table" w:styleId="TableGrid">
    <w:name w:val="Table Grid"/>
    <w:basedOn w:val="TableNormal"/>
    <w:rsid w:val="007C2D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52F13"/>
    <w:pPr>
      <w:spacing w:before="100" w:beforeAutospacing="1" w:after="100" w:afterAutospacing="1"/>
    </w:pPr>
    <w:rPr>
      <w:lang w:val="en-AU" w:eastAsia="en-AU"/>
    </w:rPr>
  </w:style>
  <w:style w:type="character" w:customStyle="1" w:styleId="Heading2Char">
    <w:name w:val="Heading 2 Char"/>
    <w:link w:val="Heading2"/>
    <w:rsid w:val="005C76BF"/>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889BB84EC9B842A9279B7506DBED72" ma:contentTypeVersion="0" ma:contentTypeDescription="Create a new document." ma:contentTypeScope="" ma:versionID="019595a0ef560aa4cd1c4e92e4180ec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375C5E-C3D0-427C-999D-05B84FBF9C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8E759D6-5E27-4740-8F44-1A5613CD1D87}">
  <ds:schemaRefs>
    <ds:schemaRef ds:uri="http://purl.org/dc/dcmitype/"/>
    <ds:schemaRef ds:uri="http://purl.org/dc/terms/"/>
    <ds:schemaRef ds:uri="http://schemas.microsoft.com/office/2006/documentManagement/types"/>
    <ds:schemaRef ds:uri="http://purl.org/dc/elements/1.1/"/>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D21FBCDE-5452-4C07-91E1-523153E41F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766</Words>
  <Characters>4329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afma</Company>
  <LinksUpToDate>false</LinksUpToDate>
  <CharactersWithSpaces>5085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AFMJPS</dc:creator>
  <cp:lastModifiedBy>MCKILLOP, Kylie</cp:lastModifiedBy>
  <cp:revision>4</cp:revision>
  <cp:lastPrinted>2018-03-20T03:04:00Z</cp:lastPrinted>
  <dcterms:created xsi:type="dcterms:W3CDTF">2018-03-16T00:31:00Z</dcterms:created>
  <dcterms:modified xsi:type="dcterms:W3CDTF">2018-03-20T03:06:00Z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0x01010015889BB84EC9B842A9279B7506DBED72</vt:lpwstr>
  </property>
  <property fmtid="{D5CDD505-2E9C-101B-9397-08002B2CF9AE}" pid="3" name="TitusGUID">
    <vt:lpwstr>b0f0b7e2-b1e6-4282-a3a2-6f09768684fa</vt:lpwstr>
  </property>
  <property fmtid="{D5CDD505-2E9C-101B-9397-08002B2CF9AE}" pid="4" name="SEC">
    <vt:lpwstr>UNCLASSIFIED</vt:lpwstr>
  </property>
  <property fmtid="{D5CDD505-2E9C-101B-9397-08002B2CF9AE}" pid="5" name="DLM">
    <vt:lpwstr>No DLM</vt:lpwstr>
  </property>
  <property fmtid="{D5CDD505-2E9C-101B-9397-08002B2CF9AE}" pid="6" name="ApplyMark">
    <vt:lpwstr>false</vt:lpwstr>
  </property>
</Properties>
</file>