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77920" w14:textId="45057BE8" w:rsidR="00611453" w:rsidRPr="00DF13B1" w:rsidRDefault="00611453" w:rsidP="00DF13B1">
      <w:pPr>
        <w:shd w:val="clear" w:color="auto" w:fill="FFFFFF"/>
        <w:spacing w:before="120" w:after="100" w:afterAutospacing="1" w:line="276" w:lineRule="auto"/>
        <w:jc w:val="center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bookmarkStart w:id="0" w:name="_GoBack"/>
      <w:bookmarkEnd w:id="0"/>
      <w:r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Banking </w:t>
      </w:r>
      <w:r w:rsidR="00B35E17"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</w:t>
      </w:r>
      <w:r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xemption No</w:t>
      </w:r>
      <w:r w:rsidR="00B35E17"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. 1</w:t>
      </w:r>
      <w:r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of 2018</w:t>
      </w:r>
      <w:r w:rsidR="00B35E17" w:rsidRPr="00DF13B1" w:rsidDel="00B35E1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3DE77921" w14:textId="77777777" w:rsidR="00611453" w:rsidRPr="00DF13B1" w:rsidRDefault="00611453" w:rsidP="00DF13B1">
      <w:pPr>
        <w:shd w:val="clear" w:color="auto" w:fill="FFFFFF"/>
        <w:spacing w:before="120" w:after="100" w:afterAutospacing="1" w:line="276" w:lineRule="auto"/>
        <w:jc w:val="center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bookmarkStart w:id="1" w:name="bkInstrumentSubTitle"/>
      <w:bookmarkStart w:id="2" w:name="bkStart"/>
      <w:bookmarkEnd w:id="1"/>
      <w:bookmarkEnd w:id="2"/>
      <w:r w:rsidRPr="00DF13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EXPLANATORY STATEMENT</w:t>
      </w:r>
    </w:p>
    <w:p w14:paraId="3DE77922" w14:textId="77777777" w:rsidR="00611453" w:rsidRPr="00DF13B1" w:rsidRDefault="00611453" w:rsidP="00DF13B1">
      <w:pPr>
        <w:shd w:val="clear" w:color="auto" w:fill="FFFFFF"/>
        <w:spacing w:before="120" w:after="100" w:afterAutospacing="1" w:line="276" w:lineRule="auto"/>
        <w:jc w:val="center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r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Prepared by the Australian Prudential Regulation Authority (APRA)</w:t>
      </w:r>
    </w:p>
    <w:p w14:paraId="3DE77923" w14:textId="5CD45E04" w:rsidR="00611453" w:rsidRPr="00611453" w:rsidRDefault="00611453" w:rsidP="00DF13B1">
      <w:pPr>
        <w:shd w:val="clear" w:color="auto" w:fill="FFFFFF"/>
        <w:spacing w:before="120" w:after="100" w:afterAutospacing="1" w:line="276" w:lineRule="auto"/>
        <w:jc w:val="center"/>
        <w:rPr>
          <w:rFonts w:ascii="Arial" w:eastAsia="Times New Roman" w:hAnsi="Arial" w:cs="Arial"/>
          <w:sz w:val="19"/>
          <w:szCs w:val="19"/>
          <w:lang w:val="en-US" w:eastAsia="en-A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Banking Act</w:t>
      </w:r>
      <w:r w:rsidR="00220B0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1959, </w:t>
      </w:r>
      <w:r w:rsidR="009D59C6" w:rsidRPr="00DF13B1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section 11</w:t>
      </w:r>
    </w:p>
    <w:p w14:paraId="3DE77925" w14:textId="7916BA6A" w:rsidR="00611453" w:rsidRPr="00611453" w:rsidRDefault="00611453" w:rsidP="00DF13B1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bookmarkStart w:id="3" w:name="bkAct"/>
      <w:bookmarkStart w:id="4" w:name="bkExplanatory"/>
      <w:bookmarkEnd w:id="3"/>
      <w:bookmarkEnd w:id="4"/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</w:t>
      </w:r>
      <w:r w:rsidR="009D59C6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11(1)</w:t>
      </w:r>
      <w:r w:rsidR="00BB1A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9D59C6" w:rsidRPr="009D59C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Banking Act 1959</w:t>
      </w:r>
      <w:r w:rsidR="009D59C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(the Act), APRA</w:t>
      </w:r>
      <w:r w:rsidR="00B35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may, in writing,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B1A77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</w:t>
      </w:r>
      <w:r w:rsidR="00B35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 </w:t>
      </w:r>
      <w:r w:rsidR="00BB1A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</w:t>
      </w:r>
      <w:r w:rsidR="00B35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any or all of </w:t>
      </w:r>
      <w:r w:rsidR="00BB1A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provisions of the Act </w:t>
      </w:r>
      <w:r w:rsidR="00220B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referred to in paragraphs 11(1)(a) to </w:t>
      </w:r>
      <w:r w:rsidR="00C87AAD">
        <w:rPr>
          <w:rFonts w:ascii="Times New Roman" w:eastAsia="Times New Roman" w:hAnsi="Times New Roman" w:cs="Times New Roman"/>
          <w:sz w:val="24"/>
          <w:szCs w:val="24"/>
          <w:lang w:eastAsia="en-AU"/>
        </w:rPr>
        <w:t>(e)</w:t>
      </w:r>
      <w:r w:rsidR="00D401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Act</w:t>
      </w:r>
      <w:r w:rsidR="00220B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B1A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 not apply to a </w:t>
      </w:r>
      <w:r w:rsidR="00B35E17">
        <w:rPr>
          <w:rFonts w:ascii="Times New Roman" w:eastAsia="Times New Roman" w:hAnsi="Times New Roman" w:cs="Times New Roman"/>
          <w:sz w:val="24"/>
          <w:szCs w:val="24"/>
          <w:lang w:eastAsia="en-AU"/>
        </w:rPr>
        <w:t>person</w:t>
      </w:r>
      <w:r w:rsidR="005347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while the determination is in force.</w:t>
      </w:r>
    </w:p>
    <w:p w14:paraId="3DE77926" w14:textId="607AD7CA" w:rsidR="00611453" w:rsidRPr="00611453" w:rsidRDefault="00611453" w:rsidP="00DF13B1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0D05E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21 </w:t>
      </w:r>
      <w:r w:rsidR="005347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March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201</w:t>
      </w:r>
      <w:r w:rsidR="005347AD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APRA made </w:t>
      </w:r>
      <w:r w:rsidR="005347AD">
        <w:rPr>
          <w:rFonts w:ascii="Times New Roman" w:eastAsia="Times New Roman" w:hAnsi="Times New Roman" w:cs="Times New Roman"/>
          <w:sz w:val="24"/>
          <w:szCs w:val="24"/>
          <w:lang w:eastAsia="en-AU"/>
        </w:rPr>
        <w:t>Banking exemption No.1</w:t>
      </w:r>
      <w:r w:rsidR="00B261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2018 (the instrument) which </w:t>
      </w:r>
      <w:r w:rsidR="00AC3B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replaces </w:t>
      </w:r>
      <w:r w:rsidR="00B261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Banking </w:t>
      </w:r>
      <w:r w:rsidR="00C548EB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B261EF">
        <w:rPr>
          <w:rFonts w:ascii="Times New Roman" w:eastAsia="Times New Roman" w:hAnsi="Times New Roman" w:cs="Times New Roman"/>
          <w:sz w:val="24"/>
          <w:szCs w:val="24"/>
          <w:lang w:eastAsia="en-AU"/>
        </w:rPr>
        <w:t>Exemption</w:t>
      </w:r>
      <w:r w:rsidR="00C548EB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B261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Order No</w:t>
      </w:r>
      <w:r w:rsidR="00F33B7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B261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82 </w:t>
      </w:r>
      <w:r w:rsidR="00BF37AB">
        <w:rPr>
          <w:rFonts w:ascii="Times New Roman" w:eastAsia="Times New Roman" w:hAnsi="Times New Roman" w:cs="Times New Roman"/>
          <w:sz w:val="24"/>
          <w:szCs w:val="24"/>
          <w:lang w:eastAsia="en-AU"/>
        </w:rPr>
        <w:t>made on</w:t>
      </w:r>
      <w:r w:rsidR="00B261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</w:t>
      </w:r>
      <w:r w:rsidR="00266B8A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B261E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September 1996 </w:t>
      </w:r>
      <w:r w:rsidR="00AC3B94">
        <w:rPr>
          <w:rFonts w:ascii="Times New Roman" w:eastAsia="Times New Roman" w:hAnsi="Times New Roman" w:cs="Times New Roman"/>
          <w:sz w:val="24"/>
          <w:szCs w:val="24"/>
          <w:lang w:eastAsia="en-AU"/>
        </w:rPr>
        <w:t>(the 1996 Exemption)</w:t>
      </w:r>
      <w:r w:rsidR="005210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3DE77927" w14:textId="77777777" w:rsidR="00611453" w:rsidRPr="00611453" w:rsidRDefault="00611453" w:rsidP="00DF13B1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The instrument commence</w:t>
      </w:r>
      <w:r w:rsidR="00521020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 date </w:t>
      </w:r>
      <w:r w:rsidR="005210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is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registered on the Federal Register of legislation (FRL).</w:t>
      </w:r>
    </w:p>
    <w:p w14:paraId="3DE77928" w14:textId="77777777" w:rsidR="00611453" w:rsidRPr="00DF13B1" w:rsidRDefault="00611453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r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1.         Background</w:t>
      </w:r>
    </w:p>
    <w:p w14:paraId="42AEABA3" w14:textId="53C95646" w:rsidR="00AC3B94" w:rsidRPr="00DF13B1" w:rsidRDefault="00EE46BA" w:rsidP="00DF13B1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5" w:name="bkBackground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Under section 66 of the Banking Act, it is an offence for a person t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 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carry on a financial business, whether</w:t>
      </w:r>
      <w:r w:rsidR="00FE2CD8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not in Australia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assume or use, in Australia, a restricted word or expression in rela</w:t>
      </w:r>
      <w:r w:rsidR="00FE2CD8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tion to that financial business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FE2CD8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01314">
        <w:rPr>
          <w:rFonts w:ascii="Times New Roman" w:eastAsia="Times New Roman" w:hAnsi="Times New Roman" w:cs="Times New Roman"/>
          <w:sz w:val="24"/>
          <w:szCs w:val="24"/>
          <w:lang w:eastAsia="en-AU"/>
        </w:rPr>
        <w:t>except where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01314" w:rsidRPr="00C87A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66(1AB) 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or subsection 66(1AC) allows the assumption o</w:t>
      </w:r>
      <w:r w:rsidR="00FE2CD8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 use of that word or </w:t>
      </w:r>
      <w:r w:rsidR="004A31D4">
        <w:rPr>
          <w:rFonts w:ascii="Times New Roman" w:eastAsia="Times New Roman" w:hAnsi="Times New Roman" w:cs="Times New Roman"/>
          <w:sz w:val="24"/>
          <w:szCs w:val="24"/>
          <w:lang w:eastAsia="en-AU"/>
        </w:rPr>
        <w:t>expression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01314">
        <w:rPr>
          <w:rFonts w:ascii="Times New Roman" w:eastAsia="Times New Roman" w:hAnsi="Times New Roman" w:cs="Times New Roman"/>
          <w:sz w:val="24"/>
          <w:szCs w:val="24"/>
          <w:lang w:eastAsia="en-AU"/>
        </w:rPr>
        <w:t>or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APRA consent</w:t>
      </w:r>
      <w:r w:rsidR="0010131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to the assumption or use of that word or expression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101314">
        <w:rPr>
          <w:rFonts w:ascii="Times New Roman" w:eastAsia="Times New Roman" w:hAnsi="Times New Roman" w:cs="Times New Roman"/>
          <w:sz w:val="24"/>
          <w:szCs w:val="24"/>
          <w:lang w:eastAsia="en-AU"/>
        </w:rPr>
        <w:t>or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where </w:t>
      </w:r>
      <w:r w:rsidR="000164AD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there is </w:t>
      </w:r>
      <w:r w:rsidR="00456848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0164AD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 in force under section 11 that section 66 does not apply to the person.</w:t>
      </w:r>
      <w:r w:rsidR="004D3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Restricted word or exemption relevantly includes the terms “bank”</w:t>
      </w:r>
      <w:r w:rsidR="001705EC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4D33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banker” and “banking”.</w:t>
      </w:r>
    </w:p>
    <w:p w14:paraId="23E6B141" w14:textId="14162893" w:rsidR="00EE2477" w:rsidRPr="00DF13B1" w:rsidRDefault="000164AD" w:rsidP="00DF13B1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1996 Exemption</w:t>
      </w:r>
      <w:r w:rsidR="005210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3489E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determined that f</w:t>
      </w:r>
      <w:r w:rsidR="008E1713">
        <w:rPr>
          <w:rFonts w:ascii="Times New Roman" w:eastAsia="Times New Roman" w:hAnsi="Times New Roman" w:cs="Times New Roman"/>
          <w:sz w:val="24"/>
          <w:szCs w:val="24"/>
          <w:lang w:eastAsia="en-AU"/>
        </w:rPr>
        <w:t>oreign corporations, authorised as banks in their home countries, that raise funds in the Australian wholesale capital markets by way of issuing securities</w:t>
      </w:r>
      <w:r w:rsidR="00674FF4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8E17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 </w:t>
      </w:r>
      <w:r w:rsidR="00FE2CD8">
        <w:rPr>
          <w:rFonts w:ascii="Times New Roman" w:eastAsia="Times New Roman" w:hAnsi="Times New Roman" w:cs="Times New Roman"/>
          <w:sz w:val="24"/>
          <w:szCs w:val="24"/>
          <w:lang w:eastAsia="en-AU"/>
        </w:rPr>
        <w:t>exempt</w:t>
      </w:r>
      <w:r w:rsidR="008E17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section 66 of the Act, provided that they comply with the conditions specified in paragraph 4 of that determination. </w:t>
      </w:r>
      <w:r w:rsidR="008E171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</w:t>
      </w:r>
      <w:r w:rsidR="00E2676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</w:t>
      </w:r>
      <w:r w:rsidR="008E171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 conditions </w:t>
      </w:r>
      <w:r w:rsidR="00E2676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wer</w:t>
      </w:r>
      <w:r w:rsidR="008E171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</w:t>
      </w:r>
      <w:r w:rsidR="00FE2CD8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that</w:t>
      </w:r>
      <w:r w:rsidR="008E171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:</w:t>
      </w:r>
    </w:p>
    <w:p w14:paraId="2C2F1466" w14:textId="7DE9362E" w:rsidR="008E1713" w:rsidRPr="00DF13B1" w:rsidRDefault="008E1713" w:rsidP="00DF13B1">
      <w:pPr>
        <w:pStyle w:val="ListParagraph"/>
        <w:numPr>
          <w:ilvl w:val="0"/>
          <w:numId w:val="2"/>
        </w:num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securities offered and/or traded are in parcels of not less than A$500,000; and</w:t>
      </w:r>
    </w:p>
    <w:p w14:paraId="70B5AD9E" w14:textId="2D92522F" w:rsidR="008E1713" w:rsidRPr="00DF13B1" w:rsidRDefault="008E1713" w:rsidP="00DF13B1">
      <w:pPr>
        <w:pStyle w:val="ListParagraph"/>
        <w:numPr>
          <w:ilvl w:val="0"/>
          <w:numId w:val="2"/>
        </w:num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lastRenderedPageBreak/>
        <w:t xml:space="preserve">it </w:t>
      </w:r>
      <w:r w:rsidR="00674FF4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clearly stated on the securities and any related information memoranda that the securities are being issued by an entity that is not authorized under the Act.</w:t>
      </w:r>
    </w:p>
    <w:p w14:paraId="6513E002" w14:textId="39087444" w:rsidR="00CB516F" w:rsidRPr="00DF13B1" w:rsidRDefault="000164AD" w:rsidP="00DF13B1">
      <w:pPr>
        <w:shd w:val="clear" w:color="auto" w:fill="FFFFFF"/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266B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1996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Exemption </w:t>
      </w:r>
      <w:r w:rsidR="00266B8A">
        <w:rPr>
          <w:rFonts w:ascii="Times New Roman" w:eastAsia="Times New Roman" w:hAnsi="Times New Roman" w:cs="Times New Roman"/>
          <w:sz w:val="24"/>
          <w:szCs w:val="24"/>
          <w:lang w:eastAsia="en-AU"/>
        </w:rPr>
        <w:t>w</w:t>
      </w:r>
      <w:r w:rsidR="00E26767">
        <w:rPr>
          <w:rFonts w:ascii="Times New Roman" w:eastAsia="Times New Roman" w:hAnsi="Times New Roman" w:cs="Times New Roman"/>
          <w:sz w:val="24"/>
          <w:szCs w:val="24"/>
          <w:lang w:eastAsia="en-AU"/>
        </w:rPr>
        <w:t>ould have been repealed</w:t>
      </w:r>
      <w:r w:rsidR="00611453"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1 </w:t>
      </w:r>
      <w:r w:rsidR="009C14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April 2018 </w:t>
      </w:r>
      <w:r w:rsidR="00611453"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by operation of section 50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11453"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</w:t>
      </w:r>
      <w:r w:rsidR="00611453" w:rsidRPr="0061145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Legislation Act 2003</w:t>
      </w:r>
      <w:r w:rsidR="00611453"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Under subsection 50(1) of the </w:t>
      </w:r>
      <w:r w:rsidR="00611453" w:rsidRPr="0061145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Legislation Act 2003</w:t>
      </w:r>
      <w:r w:rsidR="00611453"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, a legislative instrument registered after 1 January 2005 will sunset on the earlier of 1 April or 1 October, 10 years after the instrument was registered on the FR</w:t>
      </w:r>
      <w:r w:rsidR="00FE2CD8">
        <w:rPr>
          <w:rFonts w:ascii="Times New Roman" w:eastAsia="Times New Roman" w:hAnsi="Times New Roman" w:cs="Times New Roman"/>
          <w:sz w:val="24"/>
          <w:szCs w:val="24"/>
          <w:lang w:eastAsia="en-AU"/>
        </w:rPr>
        <w:t>L.</w:t>
      </w:r>
      <w:r w:rsidR="00FE2CD8"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DE7792B" w14:textId="1461318B" w:rsidR="00611453" w:rsidRPr="00DF13B1" w:rsidRDefault="00611453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r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2.         </w:t>
      </w:r>
      <w:r w:rsidR="0052529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Purpose and function of the instrument</w:t>
      </w:r>
    </w:p>
    <w:p w14:paraId="3DE7792C" w14:textId="4B95FF88" w:rsidR="00735CA0" w:rsidRDefault="00611453" w:rsidP="00DF13B1">
      <w:pPr>
        <w:shd w:val="clear" w:color="auto" w:fill="FFFFFF"/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6" w:name="bkPurpose"/>
      <w:bookmarkEnd w:id="6"/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The purpose of the</w:t>
      </w:r>
      <w:r w:rsidR="00145F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to </w:t>
      </w:r>
      <w:r w:rsidR="009C14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continue </w:t>
      </w:r>
      <w:r w:rsidR="00145F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exemption </w:t>
      </w:r>
      <w:r w:rsidR="009C14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</w:t>
      </w:r>
      <w:r w:rsidR="00145FA3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9C14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66 of the Act.  The conditions 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contained in </w:t>
      </w:r>
      <w:r w:rsidR="00145FA3">
        <w:rPr>
          <w:rFonts w:ascii="Times New Roman" w:eastAsia="Times New Roman" w:hAnsi="Times New Roman" w:cs="Times New Roman"/>
          <w:sz w:val="24"/>
          <w:szCs w:val="24"/>
          <w:lang w:eastAsia="en-AU"/>
        </w:rPr>
        <w:t>the 1996 Exemption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have been continued with some </w:t>
      </w:r>
      <w:r w:rsidR="00FE2C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minor 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modifications </w:t>
      </w:r>
      <w:r w:rsidR="00FE2C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</w:t>
      </w:r>
      <w:r w:rsidR="00D24B62">
        <w:rPr>
          <w:rFonts w:ascii="Times New Roman" w:eastAsia="Times New Roman" w:hAnsi="Times New Roman" w:cs="Times New Roman"/>
          <w:sz w:val="24"/>
          <w:szCs w:val="24"/>
          <w:lang w:eastAsia="en-AU"/>
        </w:rPr>
        <w:t>clarify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status of the</w:t>
      </w:r>
      <w:r w:rsidR="00FE2CD8">
        <w:rPr>
          <w:rFonts w:ascii="Times New Roman" w:eastAsia="Times New Roman" w:hAnsi="Times New Roman" w:cs="Times New Roman"/>
          <w:sz w:val="24"/>
          <w:szCs w:val="24"/>
          <w:lang w:eastAsia="en-AU"/>
        </w:rPr>
        <w:t>se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foreign </w:t>
      </w:r>
      <w:r w:rsidR="00FE2CD8">
        <w:rPr>
          <w:rFonts w:ascii="Times New Roman" w:eastAsia="Times New Roman" w:hAnsi="Times New Roman" w:cs="Times New Roman"/>
          <w:sz w:val="24"/>
          <w:szCs w:val="24"/>
          <w:lang w:eastAsia="en-AU"/>
        </w:rPr>
        <w:t>corporations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reflect the introduction </w:t>
      </w:r>
      <w:r w:rsidR="00C548E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 Claims Scheme provisions in the Act.  I</w:t>
      </w:r>
      <w:r w:rsidR="00735CA0">
        <w:rPr>
          <w:rFonts w:ascii="Times New Roman" w:eastAsia="Times New Roman" w:hAnsi="Times New Roman" w:cs="Times New Roman"/>
          <w:sz w:val="24"/>
          <w:szCs w:val="24"/>
          <w:lang w:eastAsia="en-AU"/>
        </w:rPr>
        <w:t>n</w:t>
      </w:r>
      <w:r w:rsidR="002F2B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addition, the form of disclosure </w:t>
      </w:r>
      <w:r w:rsidR="0073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been updated to reflect the wider forms of communications </w:t>
      </w:r>
      <w:r w:rsidR="00636A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now </w:t>
      </w:r>
      <w:r w:rsidR="00145F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used </w:t>
      </w:r>
      <w:r w:rsidR="0073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</w:t>
      </w:r>
      <w:r w:rsidR="00636A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Australian </w:t>
      </w:r>
      <w:r w:rsidR="00735CA0">
        <w:rPr>
          <w:rFonts w:ascii="Times New Roman" w:eastAsia="Times New Roman" w:hAnsi="Times New Roman" w:cs="Times New Roman"/>
          <w:sz w:val="24"/>
          <w:szCs w:val="24"/>
          <w:lang w:eastAsia="en-AU"/>
        </w:rPr>
        <w:t>wholesale capital markets</w:t>
      </w:r>
      <w:r w:rsidR="00636A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marketing and issuance of securities</w:t>
      </w:r>
      <w:r w:rsidR="00735CA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C2C2507" w14:textId="08528036" w:rsidR="00EF7E9C" w:rsidRDefault="00BA52EE" w:rsidP="00DF13B1">
      <w:pPr>
        <w:shd w:val="clear" w:color="auto" w:fill="FFFFFF"/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conditions require disclosure that:</w:t>
      </w:r>
    </w:p>
    <w:p w14:paraId="732FA2D9" w14:textId="3B6E39F2" w:rsidR="002E0F46" w:rsidRDefault="000853B1" w:rsidP="00DF13B1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2E0F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securities are issued by an entity that is not authorised under the Act and </w:t>
      </w:r>
      <w:r w:rsidR="00636A1D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E26767">
        <w:rPr>
          <w:rFonts w:ascii="Times New Roman" w:eastAsia="Times New Roman" w:hAnsi="Times New Roman" w:cs="Times New Roman"/>
          <w:sz w:val="24"/>
          <w:szCs w:val="24"/>
          <w:lang w:eastAsia="en-AU"/>
        </w:rPr>
        <w:t>at</w:t>
      </w:r>
      <w:r w:rsidR="002E0F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</w:t>
      </w:r>
      <w:r w:rsidR="002F471A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not supervised by APRA</w:t>
      </w:r>
      <w:r w:rsidR="002E0F46">
        <w:rPr>
          <w:rFonts w:ascii="Times New Roman" w:eastAsia="Times New Roman" w:hAnsi="Times New Roman" w:cs="Times New Roman"/>
          <w:sz w:val="24"/>
          <w:szCs w:val="24"/>
          <w:lang w:eastAsia="en-AU"/>
        </w:rPr>
        <w:t>; and</w:t>
      </w:r>
    </w:p>
    <w:p w14:paraId="3DE7792D" w14:textId="7247CB81" w:rsidR="00735CA0" w:rsidRPr="00DF13B1" w:rsidRDefault="002F471A" w:rsidP="00DF13B1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investm</w:t>
      </w:r>
      <w:r w:rsidR="00273664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nts in securities issued by the entity are not covered by the depositor protection provis</w:t>
      </w:r>
      <w:r w:rsidR="00273664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ons in the Act and do not entitle holders of the securities to claim under </w:t>
      </w:r>
      <w:r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Division 2A</w:t>
      </w:r>
      <w:r w:rsidR="00273664"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</w:t>
      </w:r>
      <w:r w:rsidR="00C548E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- Fi</w:t>
      </w:r>
      <w:r w:rsidR="00273664"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n</w:t>
      </w:r>
      <w:r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ancial cl</w:t>
      </w:r>
      <w:r w:rsidR="00273664"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</w:t>
      </w:r>
      <w:r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ims s</w:t>
      </w:r>
      <w:r w:rsidR="00273664"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</w:t>
      </w:r>
      <w:r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hemes for account</w:t>
      </w:r>
      <w:r w:rsidR="00AC500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-</w:t>
      </w:r>
      <w:r w:rsidRPr="00DF13B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holders</w:t>
      </w:r>
      <w:r w:rsidR="00AC500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with insolvent ADIs</w:t>
      </w:r>
      <w:r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Act.</w:t>
      </w:r>
      <w:r w:rsidR="00735CA0" w:rsidRPr="00DF13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DE7792E" w14:textId="4F663648" w:rsidR="00611453" w:rsidRPr="00611453" w:rsidRDefault="00611453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APRA conducted an assessment of the effectiveness and efficiency of continuing </w:t>
      </w:r>
      <w:r w:rsidR="002F471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BA52EE">
        <w:rPr>
          <w:rFonts w:ascii="Times New Roman" w:eastAsia="Times New Roman" w:hAnsi="Times New Roman" w:cs="Times New Roman"/>
          <w:sz w:val="24"/>
          <w:szCs w:val="24"/>
          <w:lang w:eastAsia="en-AU"/>
        </w:rPr>
        <w:t>1996 Exemption</w:t>
      </w:r>
      <w:r w:rsidR="002F471A">
        <w:rPr>
          <w:rFonts w:ascii="Times New Roman" w:eastAsia="Times New Roman" w:hAnsi="Times New Roman" w:cs="Times New Roman"/>
          <w:sz w:val="24"/>
          <w:szCs w:val="24"/>
          <w:lang w:eastAsia="en-AU"/>
        </w:rPr>
        <w:t>. AP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RA concluded it was appropriate that </w:t>
      </w:r>
      <w:r w:rsidR="00BA52EE">
        <w:rPr>
          <w:rFonts w:ascii="Times New Roman" w:eastAsia="Times New Roman" w:hAnsi="Times New Roman" w:cs="Times New Roman"/>
          <w:sz w:val="24"/>
          <w:szCs w:val="24"/>
          <w:lang w:eastAsia="en-AU"/>
        </w:rPr>
        <w:t>the 1996 Exemption</w:t>
      </w:r>
      <w:r w:rsidR="002F471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be remade without substantive amendment.</w:t>
      </w:r>
    </w:p>
    <w:p w14:paraId="3DE7792F" w14:textId="18EFCF32" w:rsidR="00611453" w:rsidRPr="00DF13B1" w:rsidRDefault="000853B1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611453"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Consultation</w:t>
      </w:r>
    </w:p>
    <w:p w14:paraId="3DE77930" w14:textId="0FAE9C0F" w:rsidR="00611453" w:rsidRPr="00611453" w:rsidRDefault="00611453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sz w:val="19"/>
          <w:szCs w:val="19"/>
          <w:lang w:val="en-US" w:eastAsia="en-AU"/>
        </w:rPr>
      </w:pPr>
      <w:bookmarkStart w:id="7" w:name="bkConsultation"/>
      <w:bookmarkStart w:id="8" w:name="bkRISNO"/>
      <w:bookmarkEnd w:id="7"/>
      <w:bookmarkEnd w:id="8"/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The instrument</w:t>
      </w:r>
      <w:r w:rsidR="002F471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do</w:t>
      </w:r>
      <w:r w:rsidR="002F471A"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not substantially alter existing arrangements. Consequently, APRA did not consult externally in relation to the instrument.</w:t>
      </w:r>
    </w:p>
    <w:p w14:paraId="3DE77931" w14:textId="5A28F0CC" w:rsidR="00611453" w:rsidRPr="00DF13B1" w:rsidRDefault="000853B1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611453"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Regulation Impact Statement</w:t>
      </w:r>
    </w:p>
    <w:p w14:paraId="3DE77932" w14:textId="4333AE43" w:rsidR="00611453" w:rsidRPr="00611453" w:rsidRDefault="00611453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Office of Best Practice Regulation has advised that a Regulation Impact Statement is not required for </w:t>
      </w:r>
      <w:r w:rsidR="00C548EB">
        <w:rPr>
          <w:rFonts w:ascii="Times New Roman" w:eastAsia="Times New Roman" w:hAnsi="Times New Roman" w:cs="Times New Roman"/>
          <w:sz w:val="24"/>
          <w:szCs w:val="24"/>
          <w:lang w:eastAsia="en-AU"/>
        </w:rPr>
        <w:t>the Instrument</w:t>
      </w:r>
      <w:r w:rsidR="000853B1"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DE77933" w14:textId="1026949F" w:rsidR="00611453" w:rsidRPr="00DF13B1" w:rsidRDefault="000853B1" w:rsidP="00DF13B1">
      <w:pPr>
        <w:shd w:val="clear" w:color="auto" w:fill="FFFFFF"/>
        <w:spacing w:before="120" w:after="100" w:afterAutospacing="1" w:line="276" w:lineRule="auto"/>
        <w:ind w:left="720" w:hanging="720"/>
        <w:jc w:val="both"/>
        <w:rPr>
          <w:rFonts w:ascii="Arial" w:eastAsia="Times New Roman" w:hAnsi="Arial" w:cs="Arial"/>
          <w:b/>
          <w:sz w:val="19"/>
          <w:szCs w:val="19"/>
          <w:lang w:val="en-US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="00611453" w:rsidRPr="00DF13B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Statement of compatibility prepared in accordance with Part 3 of the </w:t>
      </w:r>
      <w:r w:rsidR="00611453" w:rsidRPr="00DF13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  <w:t>Human Rights (Parliamentary Scrutiny) Act 2011</w:t>
      </w:r>
    </w:p>
    <w:p w14:paraId="3DE77934" w14:textId="77777777" w:rsidR="00611453" w:rsidRPr="00611453" w:rsidRDefault="00611453" w:rsidP="00DF13B1">
      <w:pPr>
        <w:shd w:val="clear" w:color="auto" w:fill="FFFFFF"/>
        <w:spacing w:before="120" w:after="100" w:afterAutospacing="1" w:line="276" w:lineRule="auto"/>
        <w:jc w:val="both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statement of compatibility prepared in accordance with Part 3 of the </w:t>
      </w:r>
      <w:r w:rsidRPr="0061145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provided at Attachment A to this Explanatory Statement.</w:t>
      </w:r>
    </w:p>
    <w:p w14:paraId="3DE77935" w14:textId="77777777" w:rsidR="00611453" w:rsidRPr="00DF13B1" w:rsidRDefault="00611453" w:rsidP="00DF13B1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</w:pPr>
      <w:r w:rsidRPr="0061145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 w:type="page"/>
      </w:r>
      <w:r w:rsidRPr="00DF13B1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lastRenderedPageBreak/>
        <w:t>Attachment A</w:t>
      </w:r>
    </w:p>
    <w:p w14:paraId="3DE77936" w14:textId="77777777" w:rsidR="00611453" w:rsidRPr="00611453" w:rsidRDefault="00611453" w:rsidP="00DF13B1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611453">
        <w:rPr>
          <w:rFonts w:ascii="Arial" w:eastAsia="Times New Roman" w:hAnsi="Arial" w:cs="Arial"/>
          <w:sz w:val="19"/>
          <w:szCs w:val="19"/>
          <w:lang w:val="en-US" w:eastAsia="en-AU"/>
        </w:rPr>
        <w:t> </w:t>
      </w:r>
    </w:p>
    <w:p w14:paraId="3DE77937" w14:textId="77777777" w:rsidR="00611453" w:rsidRPr="00611453" w:rsidRDefault="00611453" w:rsidP="00DF13B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61145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Statement of Compatibility with Human Rights</w:t>
      </w:r>
    </w:p>
    <w:p w14:paraId="3DE77939" w14:textId="305CC2CC" w:rsidR="00611453" w:rsidRPr="00611453" w:rsidRDefault="00611453" w:rsidP="00DF13B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61145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Prepared in accordance with Part 3 of the Human Rights (Parliamentary Scrutiny) Act 2011</w:t>
      </w:r>
    </w:p>
    <w:p w14:paraId="3DE7793A" w14:textId="194FC1D9" w:rsidR="00611453" w:rsidRPr="003240AD" w:rsidRDefault="00273664" w:rsidP="00DF13B1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240A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Banking </w:t>
      </w:r>
      <w:r w:rsidR="000853B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exemption No. 1</w:t>
      </w:r>
      <w:r w:rsidR="00611453" w:rsidRPr="003240A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of 201</w:t>
      </w:r>
      <w:r w:rsidRPr="003240A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8</w:t>
      </w:r>
    </w:p>
    <w:p w14:paraId="3DE7793B" w14:textId="70844E48" w:rsidR="00611453" w:rsidRPr="00611453" w:rsidRDefault="00611453" w:rsidP="00DF13B1">
      <w:p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AC500C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Legislative Instrument 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compatible with the human rights and freedoms recognised or declared in the international instruments listed in section 3 of the </w:t>
      </w:r>
      <w:r w:rsidRPr="003240A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="000B69A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0B69AA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(HRPS Act)</w:t>
      </w:r>
      <w:r w:rsidRPr="00611453">
        <w:rPr>
          <w:rFonts w:ascii="Arial" w:eastAsia="Times New Roman" w:hAnsi="Arial" w:cs="Arial"/>
          <w:i/>
          <w:iCs/>
          <w:sz w:val="19"/>
          <w:szCs w:val="19"/>
          <w:lang w:eastAsia="en-AU"/>
        </w:rPr>
        <w:t>.</w:t>
      </w:r>
    </w:p>
    <w:p w14:paraId="3DE7793C" w14:textId="1EBC230F" w:rsidR="00611453" w:rsidRPr="003240AD" w:rsidRDefault="00611453" w:rsidP="00DF13B1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611453">
        <w:rPr>
          <w:rFonts w:ascii="Arial" w:eastAsia="Times New Roman" w:hAnsi="Arial" w:cs="Arial"/>
          <w:i/>
          <w:iCs/>
          <w:sz w:val="19"/>
          <w:szCs w:val="19"/>
          <w:lang w:eastAsia="en-AU"/>
        </w:rPr>
        <w:t> </w:t>
      </w:r>
      <w:r w:rsidRPr="003240A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Overview of the Legislative Instrument</w:t>
      </w:r>
    </w:p>
    <w:p w14:paraId="3DE7793D" w14:textId="3D9A39B3" w:rsidR="00611453" w:rsidRPr="003240AD" w:rsidRDefault="000853B1" w:rsidP="00DF13B1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</w:t>
      </w:r>
      <w:r w:rsidR="00611453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evokes 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Banking </w:t>
      </w:r>
      <w:r w:rsidR="00C548EB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Exemption</w:t>
      </w:r>
      <w:r w:rsidR="00C548EB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Order No</w:t>
      </w:r>
      <w:r w:rsidR="00E93B0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82 of 23 September 1996 </w:t>
      </w:r>
      <w:r w:rsidR="00E93B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1996 Exemption) 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611453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nd </w:t>
      </w:r>
      <w:r w:rsidR="00BA52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remakes </w:t>
      </w:r>
      <w:r w:rsidR="00E93B02">
        <w:rPr>
          <w:rFonts w:ascii="Times New Roman" w:eastAsia="Times New Roman" w:hAnsi="Times New Roman" w:cs="Times New Roman"/>
          <w:sz w:val="24"/>
          <w:szCs w:val="24"/>
          <w:lang w:eastAsia="en-AU"/>
        </w:rPr>
        <w:t>the 1996 Exemption</w:t>
      </w:r>
      <w:r w:rsidR="00273664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11453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without substantive change.</w:t>
      </w:r>
    </w:p>
    <w:p w14:paraId="3DE7793E" w14:textId="1014621B" w:rsidR="008F370D" w:rsidRDefault="00E93B02" w:rsidP="00DF13B1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</w:t>
      </w:r>
      <w:r w:rsidR="00611453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Legislative Instrument </w:t>
      </w:r>
      <w:r w:rsidR="00BA52EE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="00611453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made for the purpose of</w:t>
      </w:r>
      <w:r w:rsidR="003240AD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B69AA">
        <w:rPr>
          <w:rFonts w:ascii="Times New Roman" w:eastAsia="Times New Roman" w:hAnsi="Times New Roman" w:cs="Times New Roman"/>
          <w:sz w:val="24"/>
          <w:szCs w:val="24"/>
          <w:lang w:eastAsia="en-AU"/>
        </w:rPr>
        <w:t>exempting</w:t>
      </w:r>
      <w:r w:rsidR="00172DB8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foreign co</w:t>
      </w:r>
      <w:r w:rsidR="003240AD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172DB8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3240AD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="00172DB8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>rations</w:t>
      </w:r>
      <w:r w:rsidR="008F37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authorised as banks in their home country, </w:t>
      </w:r>
      <w:r w:rsidR="000B69AA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r w:rsidR="000B69AA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240AD"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issue securities </w:t>
      </w:r>
      <w:r w:rsidR="008F370D">
        <w:rPr>
          <w:rFonts w:ascii="Times New Roman" w:eastAsia="Times New Roman" w:hAnsi="Times New Roman" w:cs="Times New Roman"/>
          <w:sz w:val="24"/>
          <w:szCs w:val="24"/>
          <w:lang w:eastAsia="en-AU"/>
        </w:rPr>
        <w:t>in the Australian wholesale capital markets</w:t>
      </w:r>
      <w:r w:rsidR="000B69AA">
        <w:rPr>
          <w:rFonts w:ascii="Times New Roman" w:eastAsia="Times New Roman" w:hAnsi="Times New Roman" w:cs="Times New Roman"/>
          <w:sz w:val="24"/>
          <w:szCs w:val="24"/>
          <w:lang w:eastAsia="en-AU"/>
        </w:rPr>
        <w:t>, from</w:t>
      </w:r>
      <w:r w:rsidR="008F37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section 66 of the </w:t>
      </w:r>
      <w:r w:rsidR="008F370D" w:rsidRPr="008F370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Banking Act 1959</w:t>
      </w:r>
      <w:r w:rsidR="000B69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1705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relevantly permits the foreign corporations to use the terms “bank”, “banker” and “banking” in relation to the issue of securities.  </w:t>
      </w:r>
      <w:r w:rsidR="000B69AA">
        <w:rPr>
          <w:rFonts w:ascii="Times New Roman" w:eastAsia="Times New Roman" w:hAnsi="Times New Roman" w:cs="Times New Roman"/>
          <w:sz w:val="24"/>
          <w:szCs w:val="24"/>
          <w:lang w:eastAsia="en-AU"/>
        </w:rPr>
        <w:t>The exemption is subject to conditions which</w:t>
      </w:r>
      <w:r w:rsidR="008F370D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3DE7793F" w14:textId="41724575" w:rsidR="008F370D" w:rsidRDefault="008F370D" w:rsidP="00DF13B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limit the issue of securities to amounts of $500,000 or greater;</w:t>
      </w:r>
      <w:r w:rsidR="003C7AD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and </w:t>
      </w:r>
    </w:p>
    <w:p w14:paraId="3DE77940" w14:textId="650AF5A6" w:rsidR="00611453" w:rsidRPr="008F370D" w:rsidRDefault="000B69AA" w:rsidP="00DF13B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</w:t>
      </w:r>
      <w:r w:rsidR="003C7AD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rescribe the form and manner of disclosures associated with the issue of securities.  </w:t>
      </w:r>
    </w:p>
    <w:p w14:paraId="3DE77941" w14:textId="77777777" w:rsidR="00611453" w:rsidRPr="003240AD" w:rsidRDefault="00611453" w:rsidP="00DF13B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240A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Human rights implications</w:t>
      </w:r>
    </w:p>
    <w:p w14:paraId="3DE77943" w14:textId="678F9D05" w:rsidR="00611453" w:rsidRPr="003240AD" w:rsidRDefault="00611453" w:rsidP="00DF1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APRA has assessed the instrument and is of the view that it does not engage any of</w:t>
      </w:r>
      <w:r w:rsidR="000B69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>the applicable rights or freedoms recognised or declared in the international</w:t>
      </w:r>
      <w:r w:rsidR="00D244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instruments listed in section 3 of </w:t>
      </w:r>
      <w:r w:rsidRPr="00611453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the HRPS Act. Accordingly, in APRA’s assessment,</w:t>
      </w:r>
      <w:r w:rsidR="00D244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 is compatible with human rights. </w:t>
      </w:r>
    </w:p>
    <w:p w14:paraId="3DE77944" w14:textId="77777777" w:rsidR="00611453" w:rsidRPr="003240AD" w:rsidRDefault="00611453" w:rsidP="00DF13B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240A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Conclusion</w:t>
      </w:r>
    </w:p>
    <w:p w14:paraId="3DE77945" w14:textId="77777777" w:rsidR="00611453" w:rsidRPr="00611453" w:rsidRDefault="00611453" w:rsidP="00DF13B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These Legislative Instrument </w:t>
      </w:r>
      <w:r w:rsidR="00D244D0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Pr="003240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compatible with human rights as they do not raise any human rights issues</w:t>
      </w:r>
      <w:r w:rsidRPr="00611453">
        <w:rPr>
          <w:rFonts w:ascii="Arial" w:eastAsia="Times New Roman" w:hAnsi="Arial" w:cs="Arial"/>
          <w:sz w:val="19"/>
          <w:szCs w:val="19"/>
          <w:lang w:eastAsia="en-AU"/>
        </w:rPr>
        <w:t>.</w:t>
      </w:r>
    </w:p>
    <w:p w14:paraId="3DE77946" w14:textId="77777777" w:rsidR="00C86922" w:rsidRDefault="00C55280" w:rsidP="00DF13B1">
      <w:pPr>
        <w:spacing w:line="276" w:lineRule="auto"/>
      </w:pPr>
    </w:p>
    <w:sectPr w:rsidR="00C86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77949" w14:textId="77777777" w:rsidR="00611453" w:rsidRDefault="00611453" w:rsidP="00611453">
      <w:pPr>
        <w:spacing w:after="0" w:line="240" w:lineRule="auto"/>
      </w:pPr>
      <w:r>
        <w:separator/>
      </w:r>
    </w:p>
  </w:endnote>
  <w:endnote w:type="continuationSeparator" w:id="0">
    <w:p w14:paraId="3DE7794A" w14:textId="77777777" w:rsidR="00611453" w:rsidRDefault="00611453" w:rsidP="0061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77947" w14:textId="77777777" w:rsidR="00611453" w:rsidRDefault="00611453" w:rsidP="00611453">
      <w:pPr>
        <w:spacing w:after="0" w:line="240" w:lineRule="auto"/>
      </w:pPr>
      <w:r>
        <w:separator/>
      </w:r>
    </w:p>
  </w:footnote>
  <w:footnote w:type="continuationSeparator" w:id="0">
    <w:p w14:paraId="3DE77948" w14:textId="77777777" w:rsidR="00611453" w:rsidRDefault="00611453" w:rsidP="0061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905"/>
    <w:multiLevelType w:val="hybridMultilevel"/>
    <w:tmpl w:val="14F69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4135"/>
    <w:multiLevelType w:val="hybridMultilevel"/>
    <w:tmpl w:val="8CD411C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5844F6"/>
    <w:multiLevelType w:val="hybridMultilevel"/>
    <w:tmpl w:val="90E4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73"/>
    <w:multiLevelType w:val="hybridMultilevel"/>
    <w:tmpl w:val="40CE8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53"/>
    <w:rsid w:val="000164AD"/>
    <w:rsid w:val="0002033A"/>
    <w:rsid w:val="000853B1"/>
    <w:rsid w:val="000B69AA"/>
    <w:rsid w:val="000D1D14"/>
    <w:rsid w:val="00101314"/>
    <w:rsid w:val="00145FA3"/>
    <w:rsid w:val="00157A60"/>
    <w:rsid w:val="001705EC"/>
    <w:rsid w:val="00172DB8"/>
    <w:rsid w:val="0020068B"/>
    <w:rsid w:val="00220B07"/>
    <w:rsid w:val="00266B8A"/>
    <w:rsid w:val="00273664"/>
    <w:rsid w:val="002E0F46"/>
    <w:rsid w:val="002F2B50"/>
    <w:rsid w:val="002F471A"/>
    <w:rsid w:val="003240AD"/>
    <w:rsid w:val="003C7AD5"/>
    <w:rsid w:val="00453FF0"/>
    <w:rsid w:val="00456848"/>
    <w:rsid w:val="00486EFF"/>
    <w:rsid w:val="004A31D4"/>
    <w:rsid w:val="004D33EA"/>
    <w:rsid w:val="004E1617"/>
    <w:rsid w:val="00521020"/>
    <w:rsid w:val="00525292"/>
    <w:rsid w:val="005347AD"/>
    <w:rsid w:val="005E5D9D"/>
    <w:rsid w:val="00611453"/>
    <w:rsid w:val="00636A1D"/>
    <w:rsid w:val="00674FF4"/>
    <w:rsid w:val="006756D1"/>
    <w:rsid w:val="00735CA0"/>
    <w:rsid w:val="00791592"/>
    <w:rsid w:val="007B7E14"/>
    <w:rsid w:val="008E1713"/>
    <w:rsid w:val="008F370D"/>
    <w:rsid w:val="00923897"/>
    <w:rsid w:val="0093489E"/>
    <w:rsid w:val="009942E4"/>
    <w:rsid w:val="009C14E9"/>
    <w:rsid w:val="009D59C6"/>
    <w:rsid w:val="009F73DC"/>
    <w:rsid w:val="00A10F78"/>
    <w:rsid w:val="00AC3B94"/>
    <w:rsid w:val="00AC500C"/>
    <w:rsid w:val="00B170DC"/>
    <w:rsid w:val="00B261EF"/>
    <w:rsid w:val="00B35E17"/>
    <w:rsid w:val="00B41E00"/>
    <w:rsid w:val="00B46215"/>
    <w:rsid w:val="00B5187D"/>
    <w:rsid w:val="00B55F92"/>
    <w:rsid w:val="00BA52EE"/>
    <w:rsid w:val="00BB1A77"/>
    <w:rsid w:val="00BE7AC1"/>
    <w:rsid w:val="00BF37AB"/>
    <w:rsid w:val="00C548EB"/>
    <w:rsid w:val="00C55280"/>
    <w:rsid w:val="00C87AAD"/>
    <w:rsid w:val="00CA7BDD"/>
    <w:rsid w:val="00CB516F"/>
    <w:rsid w:val="00D05ED0"/>
    <w:rsid w:val="00D244D0"/>
    <w:rsid w:val="00D24B62"/>
    <w:rsid w:val="00D4013F"/>
    <w:rsid w:val="00D869CB"/>
    <w:rsid w:val="00DF13B1"/>
    <w:rsid w:val="00E26767"/>
    <w:rsid w:val="00E93B02"/>
    <w:rsid w:val="00EE2477"/>
    <w:rsid w:val="00EE46BA"/>
    <w:rsid w:val="00EF7E9C"/>
    <w:rsid w:val="00F33B72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7920"/>
  <w15:chartTrackingRefBased/>
  <w15:docId w15:val="{D2C8530A-33C3-408D-8A42-1494BC3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53"/>
  </w:style>
  <w:style w:type="paragraph" w:styleId="Footer">
    <w:name w:val="footer"/>
    <w:basedOn w:val="Normal"/>
    <w:link w:val="FooterChar"/>
    <w:uiPriority w:val="99"/>
    <w:unhideWhenUsed/>
    <w:rsid w:val="00611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53"/>
  </w:style>
  <w:style w:type="paragraph" w:styleId="ListParagraph">
    <w:name w:val="List Paragraph"/>
    <w:basedOn w:val="Normal"/>
    <w:uiPriority w:val="34"/>
    <w:qFormat/>
    <w:rsid w:val="008F3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9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7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6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86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1" ma:contentTypeDescription="Create a new document." ma:contentTypeScope="" ma:versionID="593a7336944447a431342e13939a075b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_dlc_DocId xmlns="814d62cb-2db6-4c25-ab62-b9075facbc11">5JENXJJSCC7A-445999044-7619</_dlc_DocId>
    <TaxCatchAll xmlns="814d62cb-2db6-4c25-ab62-b9075facbc11">
      <Value>24</Value>
      <Value>83</Value>
      <Value>234</Value>
      <Value>134</Value>
      <Value>10</Value>
      <Value>26</Value>
      <Value>93</Value>
      <Value>109</Value>
      <Value>158</Value>
      <Value>4</Value>
      <Value>19</Value>
      <Value>171</Value>
    </TaxCatchAll>
    <_dlc_DocIdUrl xmlns="814d62cb-2db6-4c25-ab62-b9075facbc11">
      <Url>https://im/teams/LEGAL/_layouts/15/DocIdRedir.aspx?ID=5JENXJJSCC7A-445999044-7619</Url>
      <Description>5JENXJJSCC7A-445999044-7619</Description>
    </_dlc_DocIdUrl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2018-03-20T13:00:00+00:00</APRADate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Banking Exemption No. 1 of 2018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337d548e-be9a-4363-bbb3-ec2b7c3daa90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Props1.xml><?xml version="1.0" encoding="utf-8"?>
<ds:datastoreItem xmlns:ds="http://schemas.openxmlformats.org/officeDocument/2006/customXml" ds:itemID="{DEC2EF66-4306-479D-B0CB-B4CF57FB1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76805-E3B4-4438-8B11-F574135586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1F2D96-E9CB-43F8-8E8A-2A844915AB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12E987-E938-40A0-8B35-79EE7831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FB005E-A5D3-4AD6-BE3E-6AE94E2889C0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814d62cb-2db6-4c25-ab62-b9075facbc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4769</Characters>
  <Application>Microsoft Office Word</Application>
  <DocSecurity>0</DocSecurity>
  <Lines>85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20180314 Banking Exemption Order draft EM</vt:lpstr>
    </vt:vector>
  </TitlesOfParts>
  <Company>APRA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Banking Exemption No. 1 of 2018</dc:title>
  <dc:subject/>
  <dc:creator>Jones, William</dc:creator>
  <cp:keywords>[SEC=UNCLASSIFIED]</cp:keywords>
  <dc:description/>
  <cp:lastModifiedBy>Toni Michalis</cp:lastModifiedBy>
  <cp:revision>2</cp:revision>
  <dcterms:created xsi:type="dcterms:W3CDTF">2018-03-21T04:10:00Z</dcterms:created>
  <dcterms:modified xsi:type="dcterms:W3CDTF">2018-03-21T04:10:00Z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DBF2C23E4BADD8D7D0B29BB6B332033121013C98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0166A4CA89D32420A5CC5ED11129380EA7E1CD4F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36F4D588FE9B460FB6C970DB5FA94505</vt:lpwstr>
  </property>
  <property fmtid="{D5CDD505-2E9C-101B-9397-08002B2CF9AE}" pid="16" name="PM_OriginationTimeStamp">
    <vt:lpwstr>2018-03-14T01:43:43Z</vt:lpwstr>
  </property>
  <property fmtid="{D5CDD505-2E9C-101B-9397-08002B2CF9AE}" pid="17" name="PM_Hash_Version">
    <vt:lpwstr>2016.1</vt:lpwstr>
  </property>
  <property fmtid="{D5CDD505-2E9C-101B-9397-08002B2CF9AE}" pid="18" name="PM_Hash_Salt_Prev">
    <vt:lpwstr>0585D2EEA77326A91F969DE7CC17CA66</vt:lpwstr>
  </property>
  <property fmtid="{D5CDD505-2E9C-101B-9397-08002B2CF9AE}" pid="19" name="PM_Hash_Salt">
    <vt:lpwstr>EEE5D313EFE907AB208E170D5DCC07A8</vt:lpwstr>
  </property>
  <property fmtid="{D5CDD505-2E9C-101B-9397-08002B2CF9AE}" pid="20" name="PM_SecurityClassification_Prev">
    <vt:lpwstr>DLM-ONLY</vt:lpwstr>
  </property>
  <property fmtid="{D5CDD505-2E9C-101B-9397-08002B2CF9AE}" pid="21" name="PM_Qualifier_Prev">
    <vt:lpwstr>For-Official-Use-Only</vt:lpwstr>
  </property>
  <property fmtid="{D5CDD505-2E9C-101B-9397-08002B2CF9AE}" pid="22" name="ContentTypeId">
    <vt:lpwstr>0x0101008CA7A4F8331B45C7B0D3158B4994D0CA0200577EC0F5A1FBFC498F9A8436B963F8A6</vt:lpwstr>
  </property>
  <property fmtid="{D5CDD505-2E9C-101B-9397-08002B2CF9AE}" pid="23" name="_dlc_DocIdItemGuid">
    <vt:lpwstr>3a77f506-2979-42e8-85a9-437093d1d9e1</vt:lpwstr>
  </property>
  <property fmtid="{D5CDD505-2E9C-101B-9397-08002B2CF9AE}" pid="24" name="IsLocked">
    <vt:lpwstr>False</vt:lpwstr>
  </property>
  <property fmtid="{D5CDD505-2E9C-101B-9397-08002B2CF9AE}" pid="25" name="APRAStatus">
    <vt:lpwstr>19;#Final|84d6b2d0-8498-4d62-bf46-bab38babbe9e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General|8229dc1a-d7f2-47b2-844a-b026fed0c13d;#83;#Legal - Insurance: Life|56f18b50-6605-4f3f-97e3-cad1cb5394e0;#93;#Legal - Insurance: Health|21611e62-d688-4f0d-8807-02701cc43699;#134;#Legal - Superannuation|cce3181d-fd23-4eee-94d3-c66abc2350cf;#4;#Legal - Resolution ＆ Corporate|696624b1-19f4-47b2-a07b-57868a922a96</vt:lpwstr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234;#Explanatory statement|b22f2e2f-3f73-411b-9a7c-34264d26fa25</vt:lpwstr>
  </property>
  <property fmtid="{D5CDD505-2E9C-101B-9397-08002B2CF9AE}" pid="30" name="APRAPRSG">
    <vt:lpwstr/>
  </property>
  <property fmtid="{D5CDD505-2E9C-101B-9397-08002B2CF9AE}" pid="31" name="APRAActivity">
    <vt:lpwstr>10;#Registration|390476ce-d76d-4e8d-905f-28e32d2df127;#109;#Statutory instrument|fe68928c-5a9c-4caf-bc8c-6c18cedcb17f</vt:lpwstr>
  </property>
  <property fmtid="{D5CDD505-2E9C-101B-9397-08002B2CF9AE}" pid="32" name="APRAEntityAdviceSupport">
    <vt:lpwstr/>
  </property>
  <property fmtid="{D5CDD505-2E9C-101B-9397-08002B2CF9AE}" pid="33" name="APRAIndustry">
    <vt:lpwstr/>
  </property>
  <property fmtid="{D5CDD505-2E9C-101B-9397-08002B2CF9AE}" pid="34" name="APRALegislation">
    <vt:lpwstr/>
  </property>
  <property fmtid="{D5CDD505-2E9C-101B-9397-08002B2CF9AE}" pid="35" name="APRAYear">
    <vt:lpwstr>171;#2018|337d548e-be9a-4363-bbb3-ec2b7c3daa90</vt:lpwstr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APRAPeriod">
    <vt:lpwstr/>
  </property>
  <property fmtid="{D5CDD505-2E9C-101B-9397-08002B2CF9AE}" pid="39" name="RecordPoint_WorkflowType">
    <vt:lpwstr>ActiveSubmitStub</vt:lpwstr>
  </property>
  <property fmtid="{D5CDD505-2E9C-101B-9397-08002B2CF9AE}" pid="40" name="RecordPoint_ActiveItemUniqueId">
    <vt:lpwstr>{3a77f506-2979-42e8-85a9-437093d1d9e1}</vt:lpwstr>
  </property>
  <property fmtid="{D5CDD505-2E9C-101B-9397-08002B2CF9AE}" pid="41" name="RecordPoint_SubmissionCompleted">
    <vt:lpwstr>2018-03-21T15:14:14.4185316+11:00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{0e59e171-09d8-4401-800a-327154450cb3}</vt:lpwstr>
  </property>
  <property fmtid="{D5CDD505-2E9C-101B-9397-08002B2CF9AE}" pid="44" name="RecordPoint_ActiveItemWebId">
    <vt:lpwstr>{75a71c27-8d66-4282-ae60-1bfc22a83be1}</vt:lpwstr>
  </property>
  <property fmtid="{D5CDD505-2E9C-101B-9397-08002B2CF9AE}" pid="45" name="RecordPoint_RecordNumberSubmitted">
    <vt:lpwstr>R0000327883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</Properties>
</file>