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A588A" w14:textId="77777777"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4637B53" w14:textId="77777777" w:rsidR="00CB7C40" w:rsidRDefault="00CB7C40" w:rsidP="00CB7C40">
      <w:pPr>
        <w:jc w:val="center"/>
        <w:rPr>
          <w:rFonts w:ascii="Times New Roman" w:hAnsi="Times New Roman" w:cs="Times New Roman"/>
        </w:rPr>
      </w:pPr>
      <w:r>
        <w:rPr>
          <w:rFonts w:ascii="Times New Roman" w:hAnsi="Times New Roman" w:cs="Times New Roman"/>
        </w:rPr>
        <w:t>Approved by the Australian Communications and Media Authority</w:t>
      </w:r>
    </w:p>
    <w:p w14:paraId="077F0D27" w14:textId="5700328D" w:rsidR="00CB7C40" w:rsidRDefault="00C12B3D" w:rsidP="00CB7C40">
      <w:pPr>
        <w:jc w:val="center"/>
        <w:rPr>
          <w:rFonts w:ascii="Times New Roman" w:hAnsi="Times New Roman" w:cs="Times New Roman"/>
          <w:i/>
        </w:rPr>
      </w:pPr>
      <w:r>
        <w:rPr>
          <w:rFonts w:ascii="Times New Roman" w:hAnsi="Times New Roman" w:cs="Times New Roman"/>
          <w:i/>
        </w:rPr>
        <w:t>Broadcasting Services Act 1992</w:t>
      </w:r>
    </w:p>
    <w:p w14:paraId="30283728" w14:textId="0572B2E0" w:rsidR="00CB7C40" w:rsidRPr="00641906" w:rsidRDefault="00C12B3D" w:rsidP="00CB7C40">
      <w:pPr>
        <w:jc w:val="center"/>
        <w:rPr>
          <w:rFonts w:ascii="Times New Roman" w:hAnsi="Times New Roman" w:cs="Times New Roman"/>
          <w:b/>
          <w:i/>
        </w:rPr>
      </w:pPr>
      <w:r>
        <w:rPr>
          <w:rFonts w:ascii="Times New Roman" w:hAnsi="Times New Roman" w:cs="Times New Roman"/>
          <w:b/>
          <w:i/>
        </w:rPr>
        <w:t>Broadcasting Services Local Programming Determination 2018</w:t>
      </w:r>
    </w:p>
    <w:p w14:paraId="11D8D6E5" w14:textId="77777777" w:rsidR="00CB7C40" w:rsidRDefault="00CB7C40" w:rsidP="00CB7C40">
      <w:pPr>
        <w:spacing w:before="280"/>
        <w:rPr>
          <w:rFonts w:ascii="Times New Roman" w:hAnsi="Times New Roman" w:cs="Times New Roman"/>
          <w:b/>
        </w:rPr>
      </w:pPr>
      <w:r w:rsidRPr="004D2843">
        <w:rPr>
          <w:rFonts w:ascii="Times New Roman" w:hAnsi="Times New Roman" w:cs="Times New Roman"/>
          <w:b/>
        </w:rPr>
        <w:t>Authority</w:t>
      </w:r>
    </w:p>
    <w:p w14:paraId="46B8CF1B" w14:textId="0FCC9409" w:rsidR="00CB7C40" w:rsidRPr="00D63433" w:rsidRDefault="00CB7C40" w:rsidP="00CB7C40">
      <w:pPr>
        <w:rPr>
          <w:rFonts w:ascii="Times New Roman" w:hAnsi="Times New Roman" w:cs="Times New Roman"/>
        </w:rPr>
      </w:pPr>
      <w:r w:rsidRPr="00D63433">
        <w:rPr>
          <w:rFonts w:ascii="Times New Roman" w:hAnsi="Times New Roman" w:cs="Times New Roman"/>
        </w:rPr>
        <w:t>The Australian Communications and Media Authority (</w:t>
      </w:r>
      <w:r w:rsidRPr="00D63433">
        <w:rPr>
          <w:rFonts w:ascii="Times New Roman" w:hAnsi="Times New Roman" w:cs="Times New Roman"/>
          <w:b/>
        </w:rPr>
        <w:t>the ACMA</w:t>
      </w:r>
      <w:r w:rsidRPr="00D63433">
        <w:rPr>
          <w:rFonts w:ascii="Times New Roman" w:hAnsi="Times New Roman" w:cs="Times New Roman"/>
        </w:rPr>
        <w:t xml:space="preserve">) has made the </w:t>
      </w:r>
      <w:r w:rsidR="00D63433" w:rsidRPr="00D63433">
        <w:rPr>
          <w:rFonts w:ascii="Times New Roman" w:hAnsi="Times New Roman" w:cs="Times New Roman"/>
          <w:i/>
        </w:rPr>
        <w:t>Broadcasting Services Local Programming Determination 2018</w:t>
      </w:r>
      <w:r w:rsidRPr="00D63433">
        <w:rPr>
          <w:rFonts w:ascii="Times New Roman" w:hAnsi="Times New Roman" w:cs="Times New Roman"/>
          <w:i/>
        </w:rPr>
        <w:t xml:space="preserve"> </w:t>
      </w:r>
      <w:r w:rsidRPr="00D63433">
        <w:rPr>
          <w:rFonts w:ascii="Times New Roman" w:hAnsi="Times New Roman" w:cs="Times New Roman"/>
        </w:rPr>
        <w:t>(</w:t>
      </w:r>
      <w:r w:rsidRPr="00D63433">
        <w:rPr>
          <w:rFonts w:ascii="Times New Roman" w:hAnsi="Times New Roman" w:cs="Times New Roman"/>
          <w:b/>
        </w:rPr>
        <w:t>the instrument</w:t>
      </w:r>
      <w:r w:rsidRPr="00D63433">
        <w:rPr>
          <w:rFonts w:ascii="Times New Roman" w:hAnsi="Times New Roman" w:cs="Times New Roman"/>
        </w:rPr>
        <w:t xml:space="preserve">) under </w:t>
      </w:r>
      <w:r w:rsidR="00D63433" w:rsidRPr="00D63433">
        <w:rPr>
          <w:rFonts w:ascii="Times New Roman" w:hAnsi="Times New Roman" w:cs="Times New Roman"/>
        </w:rPr>
        <w:t xml:space="preserve">subsection </w:t>
      </w:r>
      <w:proofErr w:type="gramStart"/>
      <w:r w:rsidR="00D63433" w:rsidRPr="00D63433">
        <w:rPr>
          <w:rFonts w:ascii="Times New Roman" w:hAnsi="Times New Roman" w:cs="Times New Roman"/>
        </w:rPr>
        <w:t>61CZ(</w:t>
      </w:r>
      <w:proofErr w:type="gramEnd"/>
      <w:r w:rsidR="00D63433" w:rsidRPr="00D63433">
        <w:rPr>
          <w:rFonts w:ascii="Times New Roman" w:hAnsi="Times New Roman" w:cs="Times New Roman"/>
        </w:rPr>
        <w:t xml:space="preserve">1) </w:t>
      </w:r>
      <w:r w:rsidRPr="00D63433">
        <w:rPr>
          <w:rFonts w:ascii="Times New Roman" w:hAnsi="Times New Roman" w:cs="Times New Roman"/>
        </w:rPr>
        <w:t xml:space="preserve">of the </w:t>
      </w:r>
      <w:r w:rsidR="00D63433" w:rsidRPr="00D63433">
        <w:rPr>
          <w:rFonts w:ascii="Times New Roman" w:hAnsi="Times New Roman" w:cs="Times New Roman"/>
          <w:i/>
        </w:rPr>
        <w:t>Broadcasting Services Act 1992</w:t>
      </w:r>
      <w:r w:rsidRPr="00D63433">
        <w:rPr>
          <w:rFonts w:ascii="Times New Roman" w:hAnsi="Times New Roman" w:cs="Times New Roman"/>
        </w:rPr>
        <w:t xml:space="preserve"> (</w:t>
      </w:r>
      <w:r w:rsidRPr="00D63433">
        <w:rPr>
          <w:rFonts w:ascii="Times New Roman" w:hAnsi="Times New Roman" w:cs="Times New Roman"/>
          <w:b/>
        </w:rPr>
        <w:t>the Act</w:t>
      </w:r>
      <w:r w:rsidRPr="00D63433">
        <w:rPr>
          <w:rFonts w:ascii="Times New Roman" w:hAnsi="Times New Roman" w:cs="Times New Roman"/>
        </w:rPr>
        <w:t>).</w:t>
      </w:r>
    </w:p>
    <w:p w14:paraId="3AEE1653" w14:textId="144057D7" w:rsidR="00CB7C40" w:rsidRPr="00D63433" w:rsidRDefault="00D63433" w:rsidP="00CB7C40">
      <w:pPr>
        <w:rPr>
          <w:rFonts w:ascii="Times New Roman" w:hAnsi="Times New Roman" w:cs="Times New Roman"/>
        </w:rPr>
      </w:pPr>
      <w:r w:rsidRPr="00D63433">
        <w:rPr>
          <w:rFonts w:ascii="Times New Roman" w:hAnsi="Times New Roman" w:cs="Times New Roman"/>
        </w:rPr>
        <w:t xml:space="preserve">Subsection </w:t>
      </w:r>
      <w:proofErr w:type="gramStart"/>
      <w:r w:rsidRPr="00D63433">
        <w:rPr>
          <w:rFonts w:ascii="Times New Roman" w:hAnsi="Times New Roman" w:cs="Times New Roman"/>
        </w:rPr>
        <w:t>61</w:t>
      </w:r>
      <w:r w:rsidR="00291422">
        <w:rPr>
          <w:rFonts w:ascii="Times New Roman" w:hAnsi="Times New Roman" w:cs="Times New Roman"/>
        </w:rPr>
        <w:t>CZ(</w:t>
      </w:r>
      <w:proofErr w:type="gramEnd"/>
      <w:r w:rsidR="00291422">
        <w:rPr>
          <w:rFonts w:ascii="Times New Roman" w:hAnsi="Times New Roman" w:cs="Times New Roman"/>
        </w:rPr>
        <w:t>1) of the Act provides that t</w:t>
      </w:r>
      <w:r w:rsidRPr="00D63433">
        <w:rPr>
          <w:rFonts w:ascii="Times New Roman" w:hAnsi="Times New Roman" w:cs="Times New Roman"/>
        </w:rPr>
        <w:t xml:space="preserve">he ACMA may, by legislative instrument, make a determination (the </w:t>
      </w:r>
      <w:r w:rsidRPr="00430A91">
        <w:rPr>
          <w:rFonts w:ascii="Times New Roman" w:hAnsi="Times New Roman" w:cs="Times New Roman"/>
          <w:b/>
          <w:bCs/>
          <w:iCs/>
        </w:rPr>
        <w:t>local programming determination</w:t>
      </w:r>
      <w:r w:rsidRPr="00430A91">
        <w:rPr>
          <w:rFonts w:ascii="Times New Roman" w:hAnsi="Times New Roman" w:cs="Times New Roman"/>
        </w:rPr>
        <w:t>)</w:t>
      </w:r>
      <w:r w:rsidRPr="00D63433">
        <w:rPr>
          <w:rFonts w:ascii="Times New Roman" w:hAnsi="Times New Roman" w:cs="Times New Roman"/>
        </w:rPr>
        <w:t xml:space="preserve"> prescribing matters required or permitted by th</w:t>
      </w:r>
      <w:r w:rsidR="00966FB2">
        <w:rPr>
          <w:rFonts w:ascii="Times New Roman" w:hAnsi="Times New Roman" w:cs="Times New Roman"/>
        </w:rPr>
        <w:t>e</w:t>
      </w:r>
      <w:r w:rsidRPr="00D63433">
        <w:rPr>
          <w:rFonts w:ascii="Times New Roman" w:hAnsi="Times New Roman" w:cs="Times New Roman"/>
        </w:rPr>
        <w:t xml:space="preserve"> Act</w:t>
      </w:r>
      <w:r w:rsidR="00966FB2">
        <w:rPr>
          <w:rFonts w:ascii="Times New Roman" w:hAnsi="Times New Roman" w:cs="Times New Roman"/>
        </w:rPr>
        <w:t xml:space="preserve"> to be prescribed </w:t>
      </w:r>
      <w:r w:rsidR="00B25709">
        <w:rPr>
          <w:rFonts w:ascii="Times New Roman" w:hAnsi="Times New Roman" w:cs="Times New Roman"/>
        </w:rPr>
        <w:t>by</w:t>
      </w:r>
      <w:r w:rsidR="00966FB2">
        <w:rPr>
          <w:rFonts w:ascii="Times New Roman" w:hAnsi="Times New Roman" w:cs="Times New Roman"/>
        </w:rPr>
        <w:t xml:space="preserve"> the local programming determination</w:t>
      </w:r>
      <w:r w:rsidRPr="00D63433">
        <w:rPr>
          <w:rFonts w:ascii="Times New Roman" w:hAnsi="Times New Roman" w:cs="Times New Roman"/>
        </w:rPr>
        <w:t xml:space="preserve">.  </w:t>
      </w:r>
    </w:p>
    <w:p w14:paraId="199BD2F9" w14:textId="39AE30AF" w:rsidR="00D05730" w:rsidRDefault="00D05730" w:rsidP="00CB7C40">
      <w:pPr>
        <w:rPr>
          <w:rFonts w:ascii="Times New Roman" w:hAnsi="Times New Roman" w:cs="Times New Roman"/>
          <w:b/>
        </w:rPr>
      </w:pPr>
      <w:r>
        <w:rPr>
          <w:rFonts w:ascii="Times New Roman" w:hAnsi="Times New Roman" w:cs="Times New Roman"/>
          <w:b/>
        </w:rPr>
        <w:t xml:space="preserve">Background </w:t>
      </w:r>
    </w:p>
    <w:p w14:paraId="309AB212" w14:textId="2A39FA4C" w:rsidR="00D05730" w:rsidRPr="007B7A55" w:rsidRDefault="00D05730" w:rsidP="00CB7C40">
      <w:pPr>
        <w:rPr>
          <w:rFonts w:ascii="Times New Roman" w:hAnsi="Times New Roman" w:cs="Times New Roman"/>
          <w:snapToGrid w:val="0"/>
          <w:spacing w:val="-2"/>
        </w:rPr>
      </w:pPr>
      <w:r w:rsidRPr="007B7A55">
        <w:rPr>
          <w:rFonts w:ascii="Times New Roman" w:hAnsi="Times New Roman" w:cs="Times New Roman"/>
          <w:snapToGrid w:val="0"/>
          <w:spacing w:val="-2"/>
        </w:rPr>
        <w:t>Since 2001</w:t>
      </w:r>
      <w:r w:rsidR="00851B04">
        <w:rPr>
          <w:rFonts w:ascii="Times New Roman" w:hAnsi="Times New Roman" w:cs="Times New Roman"/>
          <w:snapToGrid w:val="0"/>
          <w:spacing w:val="-2"/>
        </w:rPr>
        <w:t>,</w:t>
      </w:r>
      <w:r w:rsidRPr="007B7A55">
        <w:rPr>
          <w:rFonts w:ascii="Times New Roman" w:hAnsi="Times New Roman" w:cs="Times New Roman"/>
          <w:snapToGrid w:val="0"/>
          <w:spacing w:val="-2"/>
        </w:rPr>
        <w:t xml:space="preserve"> the ACMA (and </w:t>
      </w:r>
      <w:r w:rsidR="004554C1" w:rsidRPr="007B7A55">
        <w:rPr>
          <w:rFonts w:ascii="Times New Roman" w:hAnsi="Times New Roman" w:cs="Times New Roman"/>
          <w:snapToGrid w:val="0"/>
          <w:spacing w:val="-2"/>
        </w:rPr>
        <w:t>its predecessor</w:t>
      </w:r>
      <w:r w:rsidR="007B7A55" w:rsidRPr="007B7A55">
        <w:rPr>
          <w:rFonts w:ascii="Times New Roman" w:hAnsi="Times New Roman" w:cs="Times New Roman"/>
          <w:snapToGrid w:val="0"/>
          <w:spacing w:val="-2"/>
        </w:rPr>
        <w:t>,</w:t>
      </w:r>
      <w:r w:rsidR="004554C1" w:rsidRPr="007B7A55">
        <w:rPr>
          <w:rFonts w:ascii="Times New Roman" w:hAnsi="Times New Roman" w:cs="Times New Roman"/>
          <w:snapToGrid w:val="0"/>
          <w:spacing w:val="-2"/>
        </w:rPr>
        <w:t xml:space="preserve"> </w:t>
      </w:r>
      <w:r w:rsidRPr="007B7A55">
        <w:rPr>
          <w:rFonts w:ascii="Times New Roman" w:hAnsi="Times New Roman" w:cs="Times New Roman"/>
          <w:snapToGrid w:val="0"/>
          <w:spacing w:val="-2"/>
        </w:rPr>
        <w:t xml:space="preserve">the Australian Broadcasting Authority) </w:t>
      </w:r>
      <w:r w:rsidR="007B7A55" w:rsidRPr="007B7A55">
        <w:rPr>
          <w:rFonts w:ascii="Times New Roman" w:hAnsi="Times New Roman" w:cs="Times New Roman"/>
          <w:snapToGrid w:val="0"/>
          <w:spacing w:val="-2"/>
        </w:rPr>
        <w:t xml:space="preserve">has </w:t>
      </w:r>
      <w:r w:rsidRPr="007B7A55">
        <w:rPr>
          <w:rFonts w:ascii="Times New Roman" w:hAnsi="Times New Roman" w:cs="Times New Roman"/>
          <w:snapToGrid w:val="0"/>
          <w:spacing w:val="-2"/>
        </w:rPr>
        <w:t xml:space="preserve">maintained a series of licence conditions that required minimum levels of ‘material of local significance’ (also referred to as ‘local content’) to be provided by </w:t>
      </w:r>
      <w:r w:rsidR="00E908A8">
        <w:rPr>
          <w:rFonts w:ascii="Times New Roman" w:hAnsi="Times New Roman" w:cs="Times New Roman"/>
          <w:snapToGrid w:val="0"/>
          <w:spacing w:val="-2"/>
        </w:rPr>
        <w:t xml:space="preserve">licensees holding </w:t>
      </w:r>
      <w:r w:rsidRPr="007B7A55">
        <w:rPr>
          <w:rFonts w:ascii="Times New Roman" w:hAnsi="Times New Roman" w:cs="Times New Roman"/>
          <w:snapToGrid w:val="0"/>
          <w:spacing w:val="-2"/>
        </w:rPr>
        <w:t>regional aggregated commercial television broadcasting licences</w:t>
      </w:r>
      <w:r w:rsidR="00955C70">
        <w:rPr>
          <w:rFonts w:ascii="Times New Roman" w:hAnsi="Times New Roman" w:cs="Times New Roman"/>
          <w:snapToGrid w:val="0"/>
          <w:spacing w:val="-2"/>
        </w:rPr>
        <w:t xml:space="preserve"> (</w:t>
      </w:r>
      <w:r w:rsidR="001E5FE7" w:rsidRPr="00966FB2">
        <w:rPr>
          <w:rFonts w:ascii="Times New Roman" w:hAnsi="Times New Roman" w:cs="Times New Roman"/>
          <w:b/>
          <w:snapToGrid w:val="0"/>
          <w:spacing w:val="-2"/>
        </w:rPr>
        <w:t xml:space="preserve">regional </w:t>
      </w:r>
      <w:r w:rsidR="00955C70" w:rsidRPr="00966FB2">
        <w:rPr>
          <w:rFonts w:ascii="Times New Roman" w:hAnsi="Times New Roman" w:cs="Times New Roman"/>
          <w:b/>
          <w:snapToGrid w:val="0"/>
          <w:spacing w:val="-2"/>
        </w:rPr>
        <w:t>aggregated licences</w:t>
      </w:r>
      <w:r w:rsidR="00955C70">
        <w:rPr>
          <w:rFonts w:ascii="Times New Roman" w:hAnsi="Times New Roman" w:cs="Times New Roman"/>
          <w:snapToGrid w:val="0"/>
          <w:spacing w:val="-2"/>
        </w:rPr>
        <w:t>)</w:t>
      </w:r>
      <w:r w:rsidRPr="007B7A55">
        <w:rPr>
          <w:rFonts w:ascii="Times New Roman" w:hAnsi="Times New Roman" w:cs="Times New Roman"/>
          <w:snapToGrid w:val="0"/>
          <w:spacing w:val="-2"/>
        </w:rPr>
        <w:t xml:space="preserve">. </w:t>
      </w:r>
      <w:r w:rsidR="007B7A55" w:rsidRPr="007B7A55">
        <w:rPr>
          <w:rFonts w:ascii="Times New Roman" w:hAnsi="Times New Roman" w:cs="Times New Roman"/>
          <w:snapToGrid w:val="0"/>
          <w:spacing w:val="-2"/>
        </w:rPr>
        <w:t>These licence conditions were made in accordance with the power to impose additional licence conditions on commercial television licensees under section 43 of the Act, and since 2007 the</w:t>
      </w:r>
      <w:r w:rsidR="0059759D">
        <w:rPr>
          <w:rFonts w:ascii="Times New Roman" w:hAnsi="Times New Roman" w:cs="Times New Roman"/>
          <w:snapToGrid w:val="0"/>
          <w:spacing w:val="-2"/>
        </w:rPr>
        <w:t xml:space="preserve"> </w:t>
      </w:r>
      <w:r w:rsidR="00966FB2">
        <w:rPr>
          <w:rFonts w:ascii="Times New Roman" w:hAnsi="Times New Roman" w:cs="Times New Roman"/>
          <w:snapToGrid w:val="0"/>
          <w:spacing w:val="-2"/>
        </w:rPr>
        <w:t xml:space="preserve">requirements contained </w:t>
      </w:r>
      <w:r w:rsidR="0059759D" w:rsidRPr="007B7A55">
        <w:rPr>
          <w:rFonts w:ascii="Times New Roman" w:hAnsi="Times New Roman" w:cs="Times New Roman"/>
          <w:snapToGrid w:val="0"/>
          <w:spacing w:val="-2"/>
        </w:rPr>
        <w:t xml:space="preserve">in section 43A of the Act </w:t>
      </w:r>
      <w:r w:rsidR="00966FB2">
        <w:rPr>
          <w:rFonts w:ascii="Times New Roman" w:hAnsi="Times New Roman" w:cs="Times New Roman"/>
          <w:snapToGrid w:val="0"/>
          <w:spacing w:val="-2"/>
        </w:rPr>
        <w:t>for</w:t>
      </w:r>
      <w:r w:rsidR="00966FB2" w:rsidRPr="007B7A55">
        <w:rPr>
          <w:rFonts w:ascii="Times New Roman" w:hAnsi="Times New Roman" w:cs="Times New Roman"/>
          <w:snapToGrid w:val="0"/>
          <w:spacing w:val="-2"/>
        </w:rPr>
        <w:t xml:space="preserve"> </w:t>
      </w:r>
      <w:r w:rsidR="007B7A55" w:rsidRPr="007B7A55">
        <w:rPr>
          <w:rFonts w:ascii="Times New Roman" w:hAnsi="Times New Roman" w:cs="Times New Roman"/>
          <w:snapToGrid w:val="0"/>
          <w:spacing w:val="-2"/>
        </w:rPr>
        <w:t>the ACMA to make a local content licence condition for regional aggregated licences.</w:t>
      </w:r>
    </w:p>
    <w:p w14:paraId="0738A1C9" w14:textId="40415D67" w:rsidR="00D05730" w:rsidRDefault="00D05730" w:rsidP="00CB7C40">
      <w:pPr>
        <w:rPr>
          <w:rFonts w:ascii="Times New Roman" w:hAnsi="Times New Roman" w:cs="Times New Roman"/>
          <w:snapToGrid w:val="0"/>
          <w:spacing w:val="-2"/>
        </w:rPr>
      </w:pPr>
      <w:r w:rsidRPr="009C6EB0">
        <w:rPr>
          <w:rFonts w:ascii="Times New Roman" w:hAnsi="Times New Roman" w:cs="Times New Roman"/>
          <w:snapToGrid w:val="0"/>
          <w:spacing w:val="-2"/>
        </w:rPr>
        <w:t xml:space="preserve">The most recent licence condition </w:t>
      </w:r>
      <w:r w:rsidR="00E908A8">
        <w:rPr>
          <w:rFonts w:ascii="Times New Roman" w:hAnsi="Times New Roman" w:cs="Times New Roman"/>
          <w:snapToGrid w:val="0"/>
          <w:spacing w:val="-2"/>
        </w:rPr>
        <w:t xml:space="preserve">made </w:t>
      </w:r>
      <w:r w:rsidR="00851B04">
        <w:rPr>
          <w:rFonts w:ascii="Times New Roman" w:hAnsi="Times New Roman" w:cs="Times New Roman"/>
          <w:snapToGrid w:val="0"/>
          <w:spacing w:val="-2"/>
        </w:rPr>
        <w:t xml:space="preserve">pursuant to the obligation under section 43A </w:t>
      </w:r>
      <w:r w:rsidR="00E908A8">
        <w:rPr>
          <w:rFonts w:ascii="Times New Roman" w:hAnsi="Times New Roman" w:cs="Times New Roman"/>
          <w:snapToGrid w:val="0"/>
          <w:spacing w:val="-2"/>
        </w:rPr>
        <w:t>wa</w:t>
      </w:r>
      <w:r w:rsidRPr="009C6EB0">
        <w:rPr>
          <w:rFonts w:ascii="Times New Roman" w:hAnsi="Times New Roman" w:cs="Times New Roman"/>
          <w:snapToGrid w:val="0"/>
          <w:spacing w:val="-2"/>
        </w:rPr>
        <w:t xml:space="preserve">s the </w:t>
      </w:r>
      <w:r w:rsidRPr="009C6EB0">
        <w:rPr>
          <w:rFonts w:ascii="Times New Roman" w:hAnsi="Times New Roman" w:cs="Times New Roman"/>
          <w:i/>
          <w:snapToGrid w:val="0"/>
          <w:spacing w:val="-2"/>
        </w:rPr>
        <w:t>Broadcasting Services (Additional Television Licence Condition) Notice 2014</w:t>
      </w:r>
      <w:r w:rsidRPr="009C6EB0">
        <w:rPr>
          <w:rFonts w:ascii="Times New Roman" w:hAnsi="Times New Roman" w:cs="Times New Roman"/>
          <w:snapToGrid w:val="0"/>
          <w:spacing w:val="-2"/>
        </w:rPr>
        <w:t xml:space="preserve"> (</w:t>
      </w:r>
      <w:r w:rsidRPr="00966FB2">
        <w:rPr>
          <w:rFonts w:ascii="Times New Roman" w:hAnsi="Times New Roman" w:cs="Times New Roman"/>
          <w:b/>
          <w:snapToGrid w:val="0"/>
          <w:spacing w:val="-2"/>
        </w:rPr>
        <w:t xml:space="preserve">the </w:t>
      </w:r>
      <w:r w:rsidR="00B3270D">
        <w:rPr>
          <w:rFonts w:ascii="Times New Roman" w:hAnsi="Times New Roman" w:cs="Times New Roman"/>
          <w:b/>
          <w:snapToGrid w:val="0"/>
          <w:spacing w:val="-2"/>
        </w:rPr>
        <w:t>2014</w:t>
      </w:r>
      <w:r w:rsidR="00E908A8" w:rsidRPr="00966FB2">
        <w:rPr>
          <w:rFonts w:ascii="Times New Roman" w:hAnsi="Times New Roman" w:cs="Times New Roman"/>
          <w:b/>
          <w:snapToGrid w:val="0"/>
          <w:spacing w:val="-2"/>
        </w:rPr>
        <w:t xml:space="preserve"> </w:t>
      </w:r>
      <w:r w:rsidRPr="00966FB2">
        <w:rPr>
          <w:rFonts w:ascii="Times New Roman" w:hAnsi="Times New Roman" w:cs="Times New Roman"/>
          <w:b/>
          <w:snapToGrid w:val="0"/>
          <w:spacing w:val="-2"/>
        </w:rPr>
        <w:t>licence condition</w:t>
      </w:r>
      <w:r w:rsidRPr="009C6EB0">
        <w:rPr>
          <w:rFonts w:ascii="Times New Roman" w:hAnsi="Times New Roman" w:cs="Times New Roman"/>
          <w:snapToGrid w:val="0"/>
          <w:spacing w:val="-2"/>
        </w:rPr>
        <w:t xml:space="preserve">). The </w:t>
      </w:r>
      <w:r w:rsidR="00B3270D">
        <w:rPr>
          <w:rFonts w:ascii="Times New Roman" w:hAnsi="Times New Roman" w:cs="Times New Roman"/>
          <w:snapToGrid w:val="0"/>
          <w:spacing w:val="-2"/>
        </w:rPr>
        <w:t>2014</w:t>
      </w:r>
      <w:r w:rsidR="00E908A8">
        <w:rPr>
          <w:rFonts w:ascii="Times New Roman" w:hAnsi="Times New Roman" w:cs="Times New Roman"/>
          <w:snapToGrid w:val="0"/>
          <w:spacing w:val="-2"/>
        </w:rPr>
        <w:t xml:space="preserve"> </w:t>
      </w:r>
      <w:r w:rsidRPr="009C6EB0">
        <w:rPr>
          <w:rFonts w:ascii="Times New Roman" w:hAnsi="Times New Roman" w:cs="Times New Roman"/>
          <w:snapToGrid w:val="0"/>
          <w:spacing w:val="-2"/>
        </w:rPr>
        <w:t>licence condition require</w:t>
      </w:r>
      <w:r w:rsidR="00E908A8">
        <w:rPr>
          <w:rFonts w:ascii="Times New Roman" w:hAnsi="Times New Roman" w:cs="Times New Roman"/>
          <w:snapToGrid w:val="0"/>
          <w:spacing w:val="-2"/>
        </w:rPr>
        <w:t>d</w:t>
      </w:r>
      <w:r w:rsidRPr="009C6EB0">
        <w:rPr>
          <w:rFonts w:ascii="Times New Roman" w:hAnsi="Times New Roman" w:cs="Times New Roman"/>
          <w:snapToGrid w:val="0"/>
          <w:spacing w:val="-2"/>
        </w:rPr>
        <w:t xml:space="preserve"> </w:t>
      </w:r>
      <w:r w:rsidR="0063497D">
        <w:rPr>
          <w:rFonts w:ascii="Times New Roman" w:hAnsi="Times New Roman" w:cs="Times New Roman"/>
          <w:snapToGrid w:val="0"/>
          <w:spacing w:val="-2"/>
        </w:rPr>
        <w:t xml:space="preserve">regional </w:t>
      </w:r>
      <w:r w:rsidRPr="009C6EB0">
        <w:rPr>
          <w:rFonts w:ascii="Times New Roman" w:hAnsi="Times New Roman" w:cs="Times New Roman"/>
          <w:snapToGrid w:val="0"/>
          <w:spacing w:val="-2"/>
        </w:rPr>
        <w:t xml:space="preserve">aggregated </w:t>
      </w:r>
      <w:r w:rsidR="00D24B40">
        <w:rPr>
          <w:rFonts w:ascii="Times New Roman" w:hAnsi="Times New Roman" w:cs="Times New Roman"/>
          <w:snapToGrid w:val="0"/>
          <w:spacing w:val="-2"/>
        </w:rPr>
        <w:t xml:space="preserve">commercial television broadcasting </w:t>
      </w:r>
      <w:r w:rsidRPr="009C6EB0">
        <w:rPr>
          <w:rFonts w:ascii="Times New Roman" w:hAnsi="Times New Roman" w:cs="Times New Roman"/>
          <w:snapToGrid w:val="0"/>
          <w:spacing w:val="-2"/>
        </w:rPr>
        <w:t>licences to provide 720 points of local content in a given six week timing period</w:t>
      </w:r>
      <w:r w:rsidR="00B81849">
        <w:rPr>
          <w:rFonts w:ascii="Times New Roman" w:hAnsi="Times New Roman" w:cs="Times New Roman"/>
          <w:snapToGrid w:val="0"/>
          <w:spacing w:val="-2"/>
        </w:rPr>
        <w:t xml:space="preserve"> (</w:t>
      </w:r>
      <w:r w:rsidR="00B81849" w:rsidRPr="00966FB2">
        <w:rPr>
          <w:rFonts w:ascii="Times New Roman" w:hAnsi="Times New Roman" w:cs="Times New Roman"/>
          <w:b/>
          <w:snapToGrid w:val="0"/>
          <w:spacing w:val="-2"/>
        </w:rPr>
        <w:t>timing period</w:t>
      </w:r>
      <w:r w:rsidR="00B81849">
        <w:rPr>
          <w:rFonts w:ascii="Times New Roman" w:hAnsi="Times New Roman" w:cs="Times New Roman"/>
          <w:snapToGrid w:val="0"/>
          <w:spacing w:val="-2"/>
        </w:rPr>
        <w:t>)</w:t>
      </w:r>
      <w:r w:rsidRPr="009C6EB0">
        <w:rPr>
          <w:rFonts w:ascii="Times New Roman" w:hAnsi="Times New Roman" w:cs="Times New Roman"/>
          <w:snapToGrid w:val="0"/>
          <w:spacing w:val="-2"/>
        </w:rPr>
        <w:t xml:space="preserve">. </w:t>
      </w:r>
      <w:r w:rsidR="009C6EB0" w:rsidRPr="009C6EB0">
        <w:rPr>
          <w:rFonts w:ascii="Times New Roman" w:hAnsi="Times New Roman" w:cs="Times New Roman"/>
          <w:snapToGrid w:val="0"/>
          <w:spacing w:val="-2"/>
        </w:rPr>
        <w:t xml:space="preserve">The </w:t>
      </w:r>
      <w:r w:rsidR="00B3270D">
        <w:rPr>
          <w:rFonts w:ascii="Times New Roman" w:hAnsi="Times New Roman" w:cs="Times New Roman"/>
          <w:snapToGrid w:val="0"/>
          <w:spacing w:val="-2"/>
        </w:rPr>
        <w:t xml:space="preserve">2014 </w:t>
      </w:r>
      <w:r w:rsidR="009C6EB0" w:rsidRPr="009C6EB0">
        <w:rPr>
          <w:rFonts w:ascii="Times New Roman" w:hAnsi="Times New Roman" w:cs="Times New Roman"/>
          <w:snapToGrid w:val="0"/>
          <w:spacing w:val="-2"/>
        </w:rPr>
        <w:t>licence condition also define</w:t>
      </w:r>
      <w:r w:rsidR="00E908A8">
        <w:rPr>
          <w:rFonts w:ascii="Times New Roman" w:hAnsi="Times New Roman" w:cs="Times New Roman"/>
          <w:snapToGrid w:val="0"/>
          <w:spacing w:val="-2"/>
        </w:rPr>
        <w:t>d</w:t>
      </w:r>
      <w:r w:rsidR="009C6EB0" w:rsidRPr="009C6EB0">
        <w:rPr>
          <w:rFonts w:ascii="Times New Roman" w:hAnsi="Times New Roman" w:cs="Times New Roman"/>
          <w:snapToGrid w:val="0"/>
          <w:spacing w:val="-2"/>
        </w:rPr>
        <w:t xml:space="preserve"> local areas for each </w:t>
      </w:r>
      <w:r w:rsidR="0063497D">
        <w:rPr>
          <w:rFonts w:ascii="Times New Roman" w:hAnsi="Times New Roman" w:cs="Times New Roman"/>
          <w:snapToGrid w:val="0"/>
          <w:spacing w:val="-2"/>
        </w:rPr>
        <w:t xml:space="preserve">regional </w:t>
      </w:r>
      <w:r w:rsidR="009C6EB0" w:rsidRPr="009C6EB0">
        <w:rPr>
          <w:rFonts w:ascii="Times New Roman" w:hAnsi="Times New Roman" w:cs="Times New Roman"/>
          <w:snapToGrid w:val="0"/>
          <w:spacing w:val="-2"/>
        </w:rPr>
        <w:t>aggregated</w:t>
      </w:r>
      <w:r w:rsidR="00D24B40">
        <w:rPr>
          <w:rFonts w:ascii="Times New Roman" w:hAnsi="Times New Roman" w:cs="Times New Roman"/>
          <w:snapToGrid w:val="0"/>
          <w:spacing w:val="-2"/>
        </w:rPr>
        <w:t xml:space="preserve"> </w:t>
      </w:r>
      <w:r w:rsidR="009C6EB0" w:rsidRPr="009C6EB0">
        <w:rPr>
          <w:rFonts w:ascii="Times New Roman" w:hAnsi="Times New Roman" w:cs="Times New Roman"/>
          <w:snapToGrid w:val="0"/>
          <w:spacing w:val="-2"/>
        </w:rPr>
        <w:t xml:space="preserve">licence. </w:t>
      </w:r>
    </w:p>
    <w:p w14:paraId="5A044952" w14:textId="43C25C8D" w:rsidR="009C6EB0" w:rsidRDefault="009C6EB0" w:rsidP="00CB7C40">
      <w:pPr>
        <w:rPr>
          <w:rFonts w:ascii="Times New Roman" w:hAnsi="Times New Roman" w:cs="Times New Roman"/>
          <w:snapToGrid w:val="0"/>
        </w:rPr>
      </w:pPr>
      <w:r w:rsidRPr="009C6EB0">
        <w:rPr>
          <w:rFonts w:ascii="Times New Roman" w:hAnsi="Times New Roman" w:cs="Times New Roman"/>
          <w:snapToGrid w:val="0"/>
        </w:rPr>
        <w:t xml:space="preserve">On 16 October 2017, Parliament enacted the </w:t>
      </w:r>
      <w:r w:rsidRPr="009C6EB0">
        <w:rPr>
          <w:rFonts w:ascii="Times New Roman" w:hAnsi="Times New Roman" w:cs="Times New Roman"/>
          <w:i/>
          <w:snapToGrid w:val="0"/>
        </w:rPr>
        <w:t>Broadcasting Legislation Amendment (Broadcasting Reform) Act 2017</w:t>
      </w:r>
      <w:r w:rsidRPr="009C6EB0">
        <w:rPr>
          <w:rFonts w:ascii="Times New Roman" w:hAnsi="Times New Roman" w:cs="Times New Roman"/>
          <w:snapToGrid w:val="0"/>
        </w:rPr>
        <w:t xml:space="preserve"> (</w:t>
      </w:r>
      <w:r w:rsidRPr="00A51880">
        <w:rPr>
          <w:rFonts w:ascii="Times New Roman" w:hAnsi="Times New Roman" w:cs="Times New Roman"/>
          <w:b/>
          <w:snapToGrid w:val="0"/>
        </w:rPr>
        <w:t>the</w:t>
      </w:r>
      <w:r w:rsidRPr="009C6EB0">
        <w:rPr>
          <w:rFonts w:ascii="Times New Roman" w:hAnsi="Times New Roman" w:cs="Times New Roman"/>
          <w:snapToGrid w:val="0"/>
        </w:rPr>
        <w:t xml:space="preserve"> </w:t>
      </w:r>
      <w:r w:rsidRPr="00A51880">
        <w:rPr>
          <w:rFonts w:ascii="Times New Roman" w:hAnsi="Times New Roman" w:cs="Times New Roman"/>
          <w:b/>
          <w:snapToGrid w:val="0"/>
        </w:rPr>
        <w:t>Broadcasting Reform Act</w:t>
      </w:r>
      <w:r w:rsidRPr="009C6EB0">
        <w:rPr>
          <w:rFonts w:ascii="Times New Roman" w:hAnsi="Times New Roman" w:cs="Times New Roman"/>
          <w:snapToGrid w:val="0"/>
        </w:rPr>
        <w:t>). The Broadcasting Reform Act introduce</w:t>
      </w:r>
      <w:r w:rsidR="00E908A8">
        <w:rPr>
          <w:rFonts w:ascii="Times New Roman" w:hAnsi="Times New Roman" w:cs="Times New Roman"/>
          <w:snapToGrid w:val="0"/>
        </w:rPr>
        <w:t>d</w:t>
      </w:r>
      <w:r w:rsidRPr="009C6EB0">
        <w:rPr>
          <w:rFonts w:ascii="Times New Roman" w:hAnsi="Times New Roman" w:cs="Times New Roman"/>
          <w:snapToGrid w:val="0"/>
        </w:rPr>
        <w:t xml:space="preserve"> a new regulatory framework for local content in Division 5D of Part 5 of the </w:t>
      </w:r>
      <w:r w:rsidR="00CA2C2C">
        <w:rPr>
          <w:rFonts w:ascii="Times New Roman" w:hAnsi="Times New Roman" w:cs="Times New Roman"/>
          <w:snapToGrid w:val="0"/>
        </w:rPr>
        <w:t>Act</w:t>
      </w:r>
      <w:r w:rsidRPr="009C6EB0">
        <w:rPr>
          <w:rFonts w:ascii="Times New Roman" w:hAnsi="Times New Roman" w:cs="Times New Roman"/>
          <w:snapToGrid w:val="0"/>
        </w:rPr>
        <w:t xml:space="preserve"> (</w:t>
      </w:r>
      <w:r w:rsidRPr="00221776">
        <w:rPr>
          <w:rFonts w:ascii="Times New Roman" w:hAnsi="Times New Roman" w:cs="Times New Roman"/>
          <w:b/>
          <w:snapToGrid w:val="0"/>
        </w:rPr>
        <w:t>Division 5D</w:t>
      </w:r>
      <w:r w:rsidRPr="009C6EB0">
        <w:rPr>
          <w:rFonts w:ascii="Times New Roman" w:hAnsi="Times New Roman" w:cs="Times New Roman"/>
          <w:snapToGrid w:val="0"/>
        </w:rPr>
        <w:t xml:space="preserve">). </w:t>
      </w:r>
    </w:p>
    <w:p w14:paraId="322DFA18" w14:textId="69CEE561" w:rsidR="009C6EB0" w:rsidRPr="009C6EB0" w:rsidRDefault="009C6EB0" w:rsidP="00CB7C40">
      <w:pPr>
        <w:rPr>
          <w:rFonts w:ascii="Times New Roman" w:hAnsi="Times New Roman" w:cs="Times New Roman"/>
          <w:snapToGrid w:val="0"/>
          <w:spacing w:val="-2"/>
        </w:rPr>
      </w:pPr>
      <w:r w:rsidRPr="009C6EB0">
        <w:rPr>
          <w:rFonts w:ascii="Times New Roman" w:hAnsi="Times New Roman" w:cs="Times New Roman"/>
          <w:snapToGrid w:val="0"/>
          <w:spacing w:val="-2"/>
        </w:rPr>
        <w:t>In summary the new regulatory framework for local content in Division 5D:</w:t>
      </w:r>
    </w:p>
    <w:p w14:paraId="0F7CAAF0" w14:textId="44530132" w:rsidR="009C6EB0" w:rsidRPr="00966FB2" w:rsidRDefault="00955C70" w:rsidP="009C6EB0">
      <w:pPr>
        <w:pStyle w:val="ACMABulletLevel1"/>
        <w:numPr>
          <w:ilvl w:val="0"/>
          <w:numId w:val="9"/>
        </w:numPr>
        <w:rPr>
          <w:i/>
          <w:snapToGrid w:val="0"/>
          <w:sz w:val="22"/>
          <w:szCs w:val="22"/>
        </w:rPr>
      </w:pPr>
      <w:r>
        <w:rPr>
          <w:snapToGrid w:val="0"/>
          <w:sz w:val="22"/>
          <w:szCs w:val="22"/>
        </w:rPr>
        <w:t>r</w:t>
      </w:r>
      <w:r w:rsidR="009C6EB0" w:rsidRPr="009C6EB0">
        <w:rPr>
          <w:snapToGrid w:val="0"/>
          <w:sz w:val="22"/>
          <w:szCs w:val="22"/>
        </w:rPr>
        <w:t>e</w:t>
      </w:r>
      <w:r w:rsidR="00E908A8">
        <w:rPr>
          <w:snapToGrid w:val="0"/>
          <w:sz w:val="22"/>
          <w:szCs w:val="22"/>
        </w:rPr>
        <w:t>peal</w:t>
      </w:r>
      <w:r w:rsidR="00966FB2">
        <w:rPr>
          <w:snapToGrid w:val="0"/>
          <w:sz w:val="22"/>
          <w:szCs w:val="22"/>
        </w:rPr>
        <w:t>s</w:t>
      </w:r>
      <w:r w:rsidR="00E908A8">
        <w:rPr>
          <w:snapToGrid w:val="0"/>
          <w:sz w:val="22"/>
          <w:szCs w:val="22"/>
        </w:rPr>
        <w:t xml:space="preserve"> </w:t>
      </w:r>
      <w:r w:rsidR="009C6EB0" w:rsidRPr="009C6EB0">
        <w:rPr>
          <w:snapToGrid w:val="0"/>
          <w:sz w:val="22"/>
          <w:szCs w:val="22"/>
        </w:rPr>
        <w:t xml:space="preserve">section 43A </w:t>
      </w:r>
      <w:r w:rsidR="004554C1">
        <w:rPr>
          <w:snapToGrid w:val="0"/>
          <w:sz w:val="22"/>
          <w:szCs w:val="22"/>
        </w:rPr>
        <w:t xml:space="preserve">of the Act </w:t>
      </w:r>
      <w:r w:rsidR="009C6EB0" w:rsidRPr="009C6EB0">
        <w:rPr>
          <w:snapToGrid w:val="0"/>
          <w:sz w:val="22"/>
          <w:szCs w:val="22"/>
        </w:rPr>
        <w:t xml:space="preserve">and the </w:t>
      </w:r>
      <w:r w:rsidR="00B3270D">
        <w:rPr>
          <w:snapToGrid w:val="0"/>
          <w:sz w:val="22"/>
          <w:szCs w:val="22"/>
        </w:rPr>
        <w:t xml:space="preserve">2014 </w:t>
      </w:r>
      <w:r w:rsidR="009C6EB0" w:rsidRPr="009C6EB0">
        <w:rPr>
          <w:snapToGrid w:val="0"/>
          <w:sz w:val="22"/>
          <w:szCs w:val="22"/>
        </w:rPr>
        <w:t>licence condition</w:t>
      </w:r>
      <w:r w:rsidR="00E908A8">
        <w:rPr>
          <w:snapToGrid w:val="0"/>
          <w:sz w:val="22"/>
          <w:szCs w:val="22"/>
        </w:rPr>
        <w:t xml:space="preserve">, effective </w:t>
      </w:r>
      <w:r w:rsidR="00430A91">
        <w:rPr>
          <w:snapToGrid w:val="0"/>
          <w:sz w:val="22"/>
          <w:szCs w:val="22"/>
        </w:rPr>
        <w:t>17</w:t>
      </w:r>
      <w:r w:rsidR="00430A91" w:rsidRPr="009C6EB0">
        <w:rPr>
          <w:snapToGrid w:val="0"/>
          <w:sz w:val="22"/>
          <w:szCs w:val="22"/>
        </w:rPr>
        <w:t xml:space="preserve"> </w:t>
      </w:r>
      <w:r w:rsidR="009C6EB0" w:rsidRPr="009C6EB0">
        <w:rPr>
          <w:snapToGrid w:val="0"/>
          <w:sz w:val="22"/>
          <w:szCs w:val="22"/>
        </w:rPr>
        <w:t>April 201</w:t>
      </w:r>
      <w:r w:rsidR="00966FB2">
        <w:rPr>
          <w:snapToGrid w:val="0"/>
          <w:sz w:val="22"/>
          <w:szCs w:val="22"/>
        </w:rPr>
        <w:t>8</w:t>
      </w:r>
      <w:r w:rsidR="009C6EB0" w:rsidRPr="009C6EB0">
        <w:rPr>
          <w:snapToGrid w:val="0"/>
          <w:sz w:val="22"/>
          <w:szCs w:val="22"/>
        </w:rPr>
        <w:t xml:space="preserve">; </w:t>
      </w:r>
    </w:p>
    <w:p w14:paraId="2B750479" w14:textId="0346031E" w:rsidR="00E908A8" w:rsidRPr="009C6EB0" w:rsidRDefault="001E5FE7" w:rsidP="009C6EB0">
      <w:pPr>
        <w:pStyle w:val="ACMABulletLevel1"/>
        <w:numPr>
          <w:ilvl w:val="0"/>
          <w:numId w:val="9"/>
        </w:numPr>
        <w:rPr>
          <w:i/>
          <w:snapToGrid w:val="0"/>
          <w:sz w:val="22"/>
          <w:szCs w:val="22"/>
        </w:rPr>
      </w:pPr>
      <w:r>
        <w:rPr>
          <w:snapToGrid w:val="0"/>
          <w:sz w:val="22"/>
          <w:szCs w:val="22"/>
        </w:rPr>
        <w:t>for regional aggregated licences</w:t>
      </w:r>
      <w:r w:rsidR="00B3270D">
        <w:rPr>
          <w:snapToGrid w:val="0"/>
          <w:sz w:val="22"/>
          <w:szCs w:val="22"/>
        </w:rPr>
        <w:t>,</w:t>
      </w:r>
      <w:r>
        <w:rPr>
          <w:snapToGrid w:val="0"/>
          <w:sz w:val="22"/>
          <w:szCs w:val="22"/>
        </w:rPr>
        <w:t xml:space="preserve"> </w:t>
      </w:r>
      <w:r w:rsidR="00955C70">
        <w:rPr>
          <w:snapToGrid w:val="0"/>
          <w:sz w:val="22"/>
          <w:szCs w:val="22"/>
        </w:rPr>
        <w:t>sets out substantively equivalent local content requirements to those in place prior to the reforms</w:t>
      </w:r>
      <w:r>
        <w:rPr>
          <w:snapToGrid w:val="0"/>
          <w:sz w:val="22"/>
          <w:szCs w:val="22"/>
        </w:rPr>
        <w:t>, unless a trigger event occurs (see below)</w:t>
      </w:r>
      <w:r w:rsidR="00955C70">
        <w:rPr>
          <w:snapToGrid w:val="0"/>
          <w:sz w:val="22"/>
          <w:szCs w:val="22"/>
        </w:rPr>
        <w:t>; and</w:t>
      </w:r>
    </w:p>
    <w:p w14:paraId="44479F38" w14:textId="33637528" w:rsidR="009C6EB0" w:rsidRPr="009C6EB0" w:rsidRDefault="009C6EB0" w:rsidP="009C6EB0">
      <w:pPr>
        <w:pStyle w:val="ListParagraph"/>
        <w:numPr>
          <w:ilvl w:val="0"/>
          <w:numId w:val="9"/>
        </w:numPr>
        <w:rPr>
          <w:rFonts w:ascii="Times New Roman" w:hAnsi="Times New Roman" w:cs="Times New Roman"/>
          <w:b/>
        </w:rPr>
      </w:pPr>
      <w:r w:rsidRPr="009C6EB0">
        <w:rPr>
          <w:rFonts w:ascii="Times New Roman" w:hAnsi="Times New Roman" w:cs="Times New Roman"/>
          <w:snapToGrid w:val="0"/>
        </w:rPr>
        <w:t xml:space="preserve">introduces additional local content obligations for </w:t>
      </w:r>
      <w:r w:rsidR="0063497D">
        <w:rPr>
          <w:rFonts w:ascii="Times New Roman" w:hAnsi="Times New Roman" w:cs="Times New Roman"/>
          <w:snapToGrid w:val="0"/>
        </w:rPr>
        <w:t xml:space="preserve">regional </w:t>
      </w:r>
      <w:r w:rsidRPr="009C6EB0">
        <w:rPr>
          <w:rFonts w:ascii="Times New Roman" w:hAnsi="Times New Roman" w:cs="Times New Roman"/>
          <w:snapToGrid w:val="0"/>
        </w:rPr>
        <w:t xml:space="preserve">aggregated licences and for </w:t>
      </w:r>
      <w:r w:rsidR="0063497D">
        <w:rPr>
          <w:rFonts w:ascii="Times New Roman" w:hAnsi="Times New Roman" w:cs="Times New Roman"/>
          <w:snapToGrid w:val="0"/>
        </w:rPr>
        <w:t xml:space="preserve">regional </w:t>
      </w:r>
      <w:r w:rsidRPr="009C6EB0">
        <w:rPr>
          <w:rFonts w:ascii="Times New Roman" w:hAnsi="Times New Roman" w:cs="Times New Roman"/>
          <w:snapToGrid w:val="0"/>
        </w:rPr>
        <w:t xml:space="preserve">non-aggregated commercial television licences </w:t>
      </w:r>
      <w:r w:rsidR="00955C70">
        <w:rPr>
          <w:rFonts w:ascii="Times New Roman" w:hAnsi="Times New Roman" w:cs="Times New Roman"/>
          <w:snapToGrid w:val="0"/>
        </w:rPr>
        <w:t>(</w:t>
      </w:r>
      <w:r w:rsidR="001E5FE7" w:rsidRPr="00966FB2">
        <w:rPr>
          <w:rFonts w:ascii="Times New Roman" w:hAnsi="Times New Roman" w:cs="Times New Roman"/>
          <w:b/>
          <w:snapToGrid w:val="0"/>
        </w:rPr>
        <w:t xml:space="preserve">regional </w:t>
      </w:r>
      <w:r w:rsidR="00955C70" w:rsidRPr="00966FB2">
        <w:rPr>
          <w:rFonts w:ascii="Times New Roman" w:hAnsi="Times New Roman" w:cs="Times New Roman"/>
          <w:b/>
          <w:snapToGrid w:val="0"/>
        </w:rPr>
        <w:t>non-aggregated licences</w:t>
      </w:r>
      <w:r w:rsidR="00955C70">
        <w:rPr>
          <w:rFonts w:ascii="Times New Roman" w:hAnsi="Times New Roman" w:cs="Times New Roman"/>
          <w:snapToGrid w:val="0"/>
        </w:rPr>
        <w:t xml:space="preserve">) </w:t>
      </w:r>
      <w:r w:rsidRPr="009C6EB0">
        <w:rPr>
          <w:rFonts w:ascii="Times New Roman" w:hAnsi="Times New Roman" w:cs="Times New Roman"/>
          <w:snapToGrid w:val="0"/>
        </w:rPr>
        <w:t xml:space="preserve">in circumstances where a licence becomes part of a network with a common controller with a reach in excess of 75 per cent of the Australian population (a </w:t>
      </w:r>
      <w:r w:rsidRPr="00221776">
        <w:rPr>
          <w:rFonts w:ascii="Times New Roman" w:hAnsi="Times New Roman" w:cs="Times New Roman"/>
          <w:b/>
          <w:snapToGrid w:val="0"/>
        </w:rPr>
        <w:t>trigger event</w:t>
      </w:r>
      <w:r w:rsidRPr="009C6EB0">
        <w:rPr>
          <w:rFonts w:ascii="Times New Roman" w:hAnsi="Times New Roman" w:cs="Times New Roman"/>
          <w:snapToGrid w:val="0"/>
        </w:rPr>
        <w:t>); and</w:t>
      </w:r>
    </w:p>
    <w:p w14:paraId="0227F562" w14:textId="1EA3E473" w:rsidR="009C6EB0" w:rsidRPr="00A51880" w:rsidRDefault="009C6EB0" w:rsidP="00955C70">
      <w:pPr>
        <w:pStyle w:val="ListParagraph"/>
        <w:numPr>
          <w:ilvl w:val="0"/>
          <w:numId w:val="9"/>
        </w:numPr>
        <w:rPr>
          <w:rFonts w:ascii="Times New Roman" w:hAnsi="Times New Roman" w:cs="Times New Roman"/>
          <w:b/>
        </w:rPr>
      </w:pPr>
      <w:proofErr w:type="gramStart"/>
      <w:r w:rsidRPr="009C6EB0">
        <w:rPr>
          <w:rFonts w:ascii="Times New Roman" w:hAnsi="Times New Roman" w:cs="Times New Roman"/>
          <w:snapToGrid w:val="0"/>
        </w:rPr>
        <w:t>introduces</w:t>
      </w:r>
      <w:proofErr w:type="gramEnd"/>
      <w:r w:rsidRPr="009C6EB0">
        <w:rPr>
          <w:rFonts w:ascii="Times New Roman" w:hAnsi="Times New Roman" w:cs="Times New Roman"/>
          <w:snapToGrid w:val="0"/>
        </w:rPr>
        <w:t xml:space="preserve"> a new </w:t>
      </w:r>
      <w:r w:rsidR="00221776">
        <w:rPr>
          <w:rFonts w:ascii="Times New Roman" w:hAnsi="Times New Roman" w:cs="Times New Roman"/>
          <w:snapToGrid w:val="0"/>
        </w:rPr>
        <w:t xml:space="preserve">points </w:t>
      </w:r>
      <w:r w:rsidR="00B81849">
        <w:rPr>
          <w:rFonts w:ascii="Times New Roman" w:hAnsi="Times New Roman" w:cs="Times New Roman"/>
          <w:snapToGrid w:val="0"/>
        </w:rPr>
        <w:t xml:space="preserve">system for calculating local content in a timing period, which includes a new </w:t>
      </w:r>
      <w:r w:rsidRPr="009C6EB0">
        <w:rPr>
          <w:rFonts w:ascii="Times New Roman" w:hAnsi="Times New Roman" w:cs="Times New Roman"/>
          <w:snapToGrid w:val="0"/>
        </w:rPr>
        <w:t xml:space="preserve">category </w:t>
      </w:r>
      <w:r w:rsidR="00B81849">
        <w:rPr>
          <w:rFonts w:ascii="Times New Roman" w:hAnsi="Times New Roman" w:cs="Times New Roman"/>
          <w:snapToGrid w:val="0"/>
        </w:rPr>
        <w:t xml:space="preserve">that enables licensees to </w:t>
      </w:r>
      <w:r w:rsidRPr="009C6EB0">
        <w:rPr>
          <w:rFonts w:ascii="Times New Roman" w:hAnsi="Times New Roman" w:cs="Times New Roman"/>
          <w:snapToGrid w:val="0"/>
        </w:rPr>
        <w:t>accumulate three points per minute</w:t>
      </w:r>
      <w:r w:rsidR="00B81849">
        <w:rPr>
          <w:rFonts w:ascii="Times New Roman" w:hAnsi="Times New Roman" w:cs="Times New Roman"/>
          <w:snapToGrid w:val="0"/>
        </w:rPr>
        <w:t xml:space="preserve"> (the maximum under the </w:t>
      </w:r>
      <w:r w:rsidR="00B3270D">
        <w:rPr>
          <w:rFonts w:ascii="Times New Roman" w:hAnsi="Times New Roman" w:cs="Times New Roman"/>
          <w:snapToGrid w:val="0"/>
        </w:rPr>
        <w:t>2014 licence condition</w:t>
      </w:r>
      <w:r w:rsidR="00B81849">
        <w:rPr>
          <w:rFonts w:ascii="Times New Roman" w:hAnsi="Times New Roman" w:cs="Times New Roman"/>
          <w:snapToGrid w:val="0"/>
        </w:rPr>
        <w:t xml:space="preserve"> was two points per minute)</w:t>
      </w:r>
      <w:r w:rsidRPr="009C6EB0">
        <w:rPr>
          <w:rFonts w:ascii="Times New Roman" w:hAnsi="Times New Roman" w:cs="Times New Roman"/>
          <w:snapToGrid w:val="0"/>
        </w:rPr>
        <w:t>.</w:t>
      </w:r>
    </w:p>
    <w:p w14:paraId="409816D6" w14:textId="5218E6F5" w:rsidR="007B7A55" w:rsidRPr="00FC7C90" w:rsidRDefault="00966FB2" w:rsidP="00B238E1">
      <w:pPr>
        <w:spacing w:before="120" w:after="120" w:line="240" w:lineRule="auto"/>
        <w:rPr>
          <w:rFonts w:ascii="Times New Roman" w:hAnsi="Times New Roman" w:cs="Times New Roman"/>
          <w:b/>
        </w:rPr>
      </w:pPr>
      <w:r>
        <w:rPr>
          <w:rFonts w:ascii="Times New Roman" w:hAnsi="Times New Roman" w:cs="Times New Roman"/>
          <w:snapToGrid w:val="0"/>
        </w:rPr>
        <w:t>As mentioned above, s</w:t>
      </w:r>
      <w:r w:rsidR="00A51880" w:rsidRPr="00FC7C90">
        <w:rPr>
          <w:rFonts w:ascii="Times New Roman" w:hAnsi="Times New Roman" w:cs="Times New Roman"/>
          <w:snapToGrid w:val="0"/>
        </w:rPr>
        <w:t xml:space="preserve">ubsection 61CZ(1) of the Act </w:t>
      </w:r>
      <w:r w:rsidR="00033D57">
        <w:rPr>
          <w:rFonts w:ascii="Times New Roman" w:hAnsi="Times New Roman" w:cs="Times New Roman"/>
          <w:snapToGrid w:val="0"/>
        </w:rPr>
        <w:t xml:space="preserve">provides </w:t>
      </w:r>
      <w:r w:rsidR="00955C70">
        <w:rPr>
          <w:rFonts w:ascii="Times New Roman" w:hAnsi="Times New Roman" w:cs="Times New Roman"/>
          <w:snapToGrid w:val="0"/>
        </w:rPr>
        <w:t>that the ACMA</w:t>
      </w:r>
      <w:r w:rsidR="00CF0EDC">
        <w:rPr>
          <w:rFonts w:ascii="Times New Roman" w:hAnsi="Times New Roman" w:cs="Times New Roman"/>
          <w:snapToGrid w:val="0"/>
        </w:rPr>
        <w:t xml:space="preserve"> may, by legislative instrument, ma</w:t>
      </w:r>
      <w:r w:rsidR="00B81849">
        <w:rPr>
          <w:rFonts w:ascii="Times New Roman" w:hAnsi="Times New Roman" w:cs="Times New Roman"/>
          <w:snapToGrid w:val="0"/>
        </w:rPr>
        <w:t>k</w:t>
      </w:r>
      <w:r w:rsidR="00CF0EDC">
        <w:rPr>
          <w:rFonts w:ascii="Times New Roman" w:hAnsi="Times New Roman" w:cs="Times New Roman"/>
          <w:snapToGrid w:val="0"/>
        </w:rPr>
        <w:t xml:space="preserve">e a </w:t>
      </w:r>
      <w:r w:rsidR="00033D57">
        <w:rPr>
          <w:rFonts w:ascii="Times New Roman" w:hAnsi="Times New Roman" w:cs="Times New Roman"/>
          <w:snapToGrid w:val="0"/>
        </w:rPr>
        <w:t xml:space="preserve"> local programming determination </w:t>
      </w:r>
      <w:r w:rsidR="00CF0EDC">
        <w:rPr>
          <w:rFonts w:ascii="Times New Roman" w:hAnsi="Times New Roman" w:cs="Times New Roman"/>
          <w:snapToGrid w:val="0"/>
        </w:rPr>
        <w:t>prescribing matters required or permitted by the Act to be prescribed in that instrument</w:t>
      </w:r>
      <w:r w:rsidR="00FC7C90" w:rsidRPr="00FC7C90">
        <w:rPr>
          <w:rFonts w:ascii="Times New Roman" w:hAnsi="Times New Roman" w:cs="Times New Roman"/>
          <w:snapToGrid w:val="0"/>
        </w:rPr>
        <w:t xml:space="preserve">. </w:t>
      </w:r>
      <w:r w:rsidR="00FC7C90" w:rsidRPr="00B238E1">
        <w:rPr>
          <w:rFonts w:ascii="Times New Roman" w:hAnsi="Times New Roman" w:cs="Times New Roman"/>
          <w:snapToGrid w:val="0"/>
          <w:spacing w:val="-2"/>
        </w:rPr>
        <w:t xml:space="preserve">The local programming determination facilitates the local content obligations set out in Division 5D by establishing the meaning of material of local significance, </w:t>
      </w:r>
      <w:r w:rsidR="00FC7C90" w:rsidRPr="00B238E1">
        <w:rPr>
          <w:rFonts w:ascii="Times New Roman" w:hAnsi="Times New Roman" w:cs="Times New Roman"/>
          <w:snapToGrid w:val="0"/>
          <w:spacing w:val="-2"/>
        </w:rPr>
        <w:lastRenderedPageBreak/>
        <w:t xml:space="preserve">setting out local areas and setting out additional requirements </w:t>
      </w:r>
      <w:r w:rsidR="00CF0EDC">
        <w:rPr>
          <w:rFonts w:ascii="Times New Roman" w:hAnsi="Times New Roman" w:cs="Times New Roman"/>
          <w:snapToGrid w:val="0"/>
          <w:spacing w:val="-2"/>
        </w:rPr>
        <w:t xml:space="preserve">to obtain </w:t>
      </w:r>
      <w:r w:rsidR="00FC7C90" w:rsidRPr="00B238E1">
        <w:rPr>
          <w:rFonts w:ascii="Times New Roman" w:hAnsi="Times New Roman" w:cs="Times New Roman"/>
          <w:snapToGrid w:val="0"/>
          <w:spacing w:val="-2"/>
        </w:rPr>
        <w:t>three points</w:t>
      </w:r>
      <w:r w:rsidR="00CF0EDC">
        <w:rPr>
          <w:rFonts w:ascii="Times New Roman" w:hAnsi="Times New Roman" w:cs="Times New Roman"/>
          <w:snapToGrid w:val="0"/>
          <w:spacing w:val="-2"/>
        </w:rPr>
        <w:t xml:space="preserve"> per minute of local content (the maximum available)</w:t>
      </w:r>
      <w:r w:rsidR="00FC7C90" w:rsidRPr="00FC7C90">
        <w:rPr>
          <w:rFonts w:ascii="Times New Roman" w:hAnsi="Times New Roman" w:cs="Times New Roman"/>
          <w:snapToGrid w:val="0"/>
          <w:spacing w:val="-2"/>
        </w:rPr>
        <w:t xml:space="preserve">. </w:t>
      </w:r>
      <w:r w:rsidR="00CF0EDC">
        <w:rPr>
          <w:rFonts w:ascii="Times New Roman" w:hAnsi="Times New Roman" w:cs="Times New Roman"/>
          <w:snapToGrid w:val="0"/>
          <w:spacing w:val="-2"/>
        </w:rPr>
        <w:t xml:space="preserve">Subsection </w:t>
      </w:r>
      <w:proofErr w:type="gramStart"/>
      <w:r w:rsidR="00CF0EDC">
        <w:rPr>
          <w:rFonts w:ascii="Times New Roman" w:hAnsi="Times New Roman" w:cs="Times New Roman"/>
          <w:snapToGrid w:val="0"/>
          <w:spacing w:val="-2"/>
        </w:rPr>
        <w:t>61CZ(</w:t>
      </w:r>
      <w:proofErr w:type="gramEnd"/>
      <w:r w:rsidR="00CF0EDC">
        <w:rPr>
          <w:rFonts w:ascii="Times New Roman" w:hAnsi="Times New Roman" w:cs="Times New Roman"/>
          <w:snapToGrid w:val="0"/>
          <w:spacing w:val="-2"/>
        </w:rPr>
        <w:t xml:space="preserve">2) of the Act requires the ACMA to ensure that at all times </w:t>
      </w:r>
      <w:r w:rsidR="002F70D8">
        <w:rPr>
          <w:rFonts w:ascii="Times New Roman" w:hAnsi="Times New Roman" w:cs="Times New Roman"/>
          <w:snapToGrid w:val="0"/>
          <w:spacing w:val="-2"/>
        </w:rPr>
        <w:t>from 17 April 2018</w:t>
      </w:r>
      <w:r w:rsidR="00B3270D">
        <w:rPr>
          <w:rFonts w:ascii="Times New Roman" w:hAnsi="Times New Roman" w:cs="Times New Roman"/>
          <w:snapToGrid w:val="0"/>
          <w:spacing w:val="-2"/>
        </w:rPr>
        <w:t>,</w:t>
      </w:r>
      <w:r w:rsidR="002F70D8">
        <w:rPr>
          <w:rFonts w:ascii="Times New Roman" w:hAnsi="Times New Roman" w:cs="Times New Roman"/>
          <w:snapToGrid w:val="0"/>
          <w:spacing w:val="-2"/>
        </w:rPr>
        <w:t xml:space="preserve"> a local programming determination is in place.</w:t>
      </w:r>
      <w:r w:rsidR="0053005B">
        <w:rPr>
          <w:rFonts w:ascii="Times New Roman" w:hAnsi="Times New Roman" w:cs="Times New Roman"/>
          <w:snapToGrid w:val="0"/>
          <w:spacing w:val="-2"/>
        </w:rPr>
        <w:t xml:space="preserve"> </w:t>
      </w:r>
      <w:r w:rsidR="002F70D8">
        <w:rPr>
          <w:rFonts w:ascii="Times New Roman" w:hAnsi="Times New Roman" w:cs="Times New Roman"/>
          <w:snapToGrid w:val="0"/>
          <w:spacing w:val="-2"/>
        </w:rPr>
        <w:t xml:space="preserve"> </w:t>
      </w:r>
    </w:p>
    <w:p w14:paraId="5ADB4DFC" w14:textId="77777777" w:rsidR="00CB7C40" w:rsidRDefault="00CB7C40" w:rsidP="00B238E1">
      <w:pPr>
        <w:keepNext/>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74C77E18" w14:textId="20613699" w:rsidR="005B6619" w:rsidRPr="005B6619" w:rsidRDefault="00414C75" w:rsidP="005B6619">
      <w:pPr>
        <w:spacing w:before="120" w:after="120" w:line="240" w:lineRule="auto"/>
        <w:rPr>
          <w:rFonts w:ascii="Times New Roman" w:hAnsi="Times New Roman" w:cs="Times New Roman"/>
        </w:rPr>
      </w:pPr>
      <w:r>
        <w:rPr>
          <w:rFonts w:ascii="Times New Roman" w:hAnsi="Times New Roman" w:cs="Times New Roman"/>
          <w:snapToGrid w:val="0"/>
          <w:spacing w:val="-2"/>
        </w:rPr>
        <w:t xml:space="preserve">Consistent with the provisions introduced by the </w:t>
      </w:r>
      <w:r w:rsidRPr="00414C75">
        <w:rPr>
          <w:rFonts w:ascii="Times New Roman" w:hAnsi="Times New Roman" w:cs="Times New Roman"/>
          <w:snapToGrid w:val="0"/>
          <w:spacing w:val="-2"/>
        </w:rPr>
        <w:t>Broadcasting Reform Act</w:t>
      </w:r>
      <w:r>
        <w:rPr>
          <w:rFonts w:ascii="Times New Roman" w:hAnsi="Times New Roman" w:cs="Times New Roman"/>
          <w:snapToGrid w:val="0"/>
          <w:spacing w:val="-2"/>
        </w:rPr>
        <w:t>,</w:t>
      </w:r>
      <w:r w:rsidRPr="00414C75">
        <w:rPr>
          <w:rFonts w:ascii="Times New Roman" w:hAnsi="Times New Roman" w:cs="Times New Roman"/>
          <w:snapToGrid w:val="0"/>
          <w:spacing w:val="-2"/>
        </w:rPr>
        <w:t xml:space="preserve"> </w:t>
      </w:r>
      <w:r>
        <w:rPr>
          <w:rFonts w:ascii="Times New Roman" w:hAnsi="Times New Roman" w:cs="Times New Roman"/>
          <w:snapToGrid w:val="0"/>
          <w:spacing w:val="-2"/>
        </w:rPr>
        <w:t>t</w:t>
      </w:r>
      <w:r w:rsidR="005B6619" w:rsidRPr="005B6619">
        <w:rPr>
          <w:rFonts w:ascii="Times New Roman" w:hAnsi="Times New Roman" w:cs="Times New Roman"/>
          <w:snapToGrid w:val="0"/>
          <w:spacing w:val="-2"/>
        </w:rPr>
        <w:t xml:space="preserve">he purpose of the instrument is to prescribe various matters relevant to the operation of the local content obligations in Division 5D. These matters </w:t>
      </w:r>
      <w:r w:rsidR="0053005B">
        <w:rPr>
          <w:rFonts w:ascii="Times New Roman" w:hAnsi="Times New Roman" w:cs="Times New Roman"/>
          <w:snapToGrid w:val="0"/>
          <w:spacing w:val="-2"/>
        </w:rPr>
        <w:t>are</w:t>
      </w:r>
      <w:r w:rsidR="0053005B" w:rsidRPr="005B6619">
        <w:rPr>
          <w:rFonts w:ascii="Times New Roman" w:hAnsi="Times New Roman" w:cs="Times New Roman"/>
          <w:snapToGrid w:val="0"/>
          <w:spacing w:val="-2"/>
        </w:rPr>
        <w:t xml:space="preserve"> </w:t>
      </w:r>
      <w:r w:rsidR="005B6619" w:rsidRPr="005B6619">
        <w:rPr>
          <w:rFonts w:ascii="Times New Roman" w:hAnsi="Times New Roman" w:cs="Times New Roman"/>
        </w:rPr>
        <w:t>the meaning of:</w:t>
      </w:r>
    </w:p>
    <w:p w14:paraId="243D5076" w14:textId="77777777" w:rsidR="005B6619" w:rsidRPr="005B6619" w:rsidRDefault="005B6619" w:rsidP="005B6619">
      <w:pPr>
        <w:pStyle w:val="ListParagraph"/>
        <w:numPr>
          <w:ilvl w:val="0"/>
          <w:numId w:val="8"/>
        </w:numPr>
        <w:spacing w:before="120" w:after="120" w:line="240" w:lineRule="auto"/>
        <w:rPr>
          <w:rFonts w:ascii="Times New Roman" w:hAnsi="Times New Roman" w:cs="Times New Roman"/>
        </w:rPr>
      </w:pPr>
      <w:r w:rsidRPr="005B6619">
        <w:rPr>
          <w:rFonts w:ascii="Times New Roman" w:hAnsi="Times New Roman" w:cs="Times New Roman"/>
        </w:rPr>
        <w:t xml:space="preserve">‘material of local significance’ in relation to a local area; </w:t>
      </w:r>
    </w:p>
    <w:p w14:paraId="5F448E84" w14:textId="01B022A5" w:rsidR="005B6619" w:rsidRPr="005B6619" w:rsidRDefault="005B6619" w:rsidP="005B6619">
      <w:pPr>
        <w:pStyle w:val="ListParagraph"/>
        <w:numPr>
          <w:ilvl w:val="0"/>
          <w:numId w:val="8"/>
        </w:numPr>
        <w:spacing w:before="120" w:after="120" w:line="240" w:lineRule="auto"/>
        <w:rPr>
          <w:rFonts w:ascii="Times New Roman" w:hAnsi="Times New Roman" w:cs="Times New Roman"/>
        </w:rPr>
      </w:pPr>
      <w:r w:rsidRPr="005B6619">
        <w:rPr>
          <w:rFonts w:ascii="Times New Roman" w:hAnsi="Times New Roman" w:cs="Times New Roman"/>
        </w:rPr>
        <w:t xml:space="preserve">the ‘local area’ for each regional commercial television broadcasting licence that will be subject to local content obligations under the </w:t>
      </w:r>
      <w:r w:rsidR="00CA2C2C">
        <w:rPr>
          <w:rFonts w:ascii="Times New Roman" w:hAnsi="Times New Roman" w:cs="Times New Roman"/>
        </w:rPr>
        <w:t>Act</w:t>
      </w:r>
      <w:r w:rsidRPr="005B6619">
        <w:rPr>
          <w:rFonts w:ascii="Times New Roman" w:hAnsi="Times New Roman" w:cs="Times New Roman"/>
        </w:rPr>
        <w:t>; and</w:t>
      </w:r>
    </w:p>
    <w:p w14:paraId="641C3B03" w14:textId="1CED96B5" w:rsidR="005B6619" w:rsidRPr="005B6619" w:rsidRDefault="005B6619" w:rsidP="005B6619">
      <w:pPr>
        <w:pStyle w:val="ListParagraph"/>
        <w:numPr>
          <w:ilvl w:val="0"/>
          <w:numId w:val="8"/>
        </w:numPr>
        <w:spacing w:before="120" w:after="120" w:line="240" w:lineRule="auto"/>
        <w:rPr>
          <w:rFonts w:ascii="Times New Roman" w:hAnsi="Times New Roman" w:cs="Times New Roman"/>
        </w:rPr>
      </w:pPr>
      <w:proofErr w:type="gramStart"/>
      <w:r w:rsidRPr="005B6619">
        <w:rPr>
          <w:rFonts w:ascii="Times New Roman" w:hAnsi="Times New Roman" w:cs="Times New Roman"/>
          <w:spacing w:val="-2"/>
        </w:rPr>
        <w:t>additional</w:t>
      </w:r>
      <w:proofErr w:type="gramEnd"/>
      <w:r w:rsidRPr="005B6619">
        <w:rPr>
          <w:rFonts w:ascii="Times New Roman" w:hAnsi="Times New Roman" w:cs="Times New Roman"/>
          <w:spacing w:val="-2"/>
        </w:rPr>
        <w:t xml:space="preserve"> criteria required for material of local significance broadcast by a licensee under a trigger event affected regional </w:t>
      </w:r>
      <w:r w:rsidR="00D24B40">
        <w:rPr>
          <w:rFonts w:ascii="Times New Roman" w:hAnsi="Times New Roman" w:cs="Times New Roman"/>
          <w:spacing w:val="-2"/>
        </w:rPr>
        <w:t xml:space="preserve">commercial television broadcasting </w:t>
      </w:r>
      <w:r w:rsidRPr="005B6619">
        <w:rPr>
          <w:rFonts w:ascii="Times New Roman" w:hAnsi="Times New Roman" w:cs="Times New Roman"/>
          <w:spacing w:val="-2"/>
        </w:rPr>
        <w:t xml:space="preserve">licence to accumulate three points per minute. </w:t>
      </w:r>
    </w:p>
    <w:p w14:paraId="47379064" w14:textId="5D2DBBF4" w:rsidR="005B6619" w:rsidRPr="00A51880" w:rsidRDefault="003949EE" w:rsidP="00A51880">
      <w:pPr>
        <w:rPr>
          <w:rFonts w:ascii="Times New Roman" w:hAnsi="Times New Roman" w:cs="Times New Roman"/>
        </w:rPr>
      </w:pPr>
      <w:r w:rsidRPr="003949EE">
        <w:rPr>
          <w:rFonts w:ascii="Times New Roman" w:hAnsi="Times New Roman" w:cs="Times New Roman"/>
        </w:rPr>
        <w:t xml:space="preserve">The instrument </w:t>
      </w:r>
      <w:r w:rsidRPr="00A51880">
        <w:rPr>
          <w:rFonts w:ascii="Times New Roman" w:hAnsi="Times New Roman" w:cs="Times New Roman"/>
        </w:rPr>
        <w:t xml:space="preserve">is a necessary element of the legislative framework for the regional </w:t>
      </w:r>
      <w:r w:rsidR="00D24B40" w:rsidRPr="00A51880">
        <w:rPr>
          <w:rFonts w:ascii="Times New Roman" w:hAnsi="Times New Roman" w:cs="Times New Roman"/>
        </w:rPr>
        <w:t xml:space="preserve">commercial </w:t>
      </w:r>
      <w:r w:rsidRPr="00A51880">
        <w:rPr>
          <w:rFonts w:ascii="Times New Roman" w:hAnsi="Times New Roman" w:cs="Times New Roman"/>
        </w:rPr>
        <w:t xml:space="preserve">television local content obligations established by </w:t>
      </w:r>
      <w:r w:rsidR="00C70874">
        <w:rPr>
          <w:rFonts w:ascii="Times New Roman" w:hAnsi="Times New Roman" w:cs="Times New Roman"/>
        </w:rPr>
        <w:t>Division 5D</w:t>
      </w:r>
      <w:r w:rsidRPr="00A51880">
        <w:rPr>
          <w:rFonts w:ascii="Times New Roman" w:hAnsi="Times New Roman" w:cs="Times New Roman"/>
        </w:rPr>
        <w:t xml:space="preserve">. </w:t>
      </w:r>
    </w:p>
    <w:p w14:paraId="0FD50BAC" w14:textId="77777777" w:rsidR="00CB7C40" w:rsidRDefault="00CB7C40" w:rsidP="00CB7C40">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sidRPr="00025ACE">
        <w:rPr>
          <w:rFonts w:ascii="Times New Roman" w:hAnsi="Times New Roman" w:cs="Times New Roman"/>
          <w:b/>
        </w:rPr>
        <w:t>Attachment A</w:t>
      </w:r>
      <w:r>
        <w:rPr>
          <w:rFonts w:ascii="Times New Roman" w:hAnsi="Times New Roman" w:cs="Times New Roman"/>
        </w:rPr>
        <w:t>.</w:t>
      </w:r>
    </w:p>
    <w:p w14:paraId="7B2D7C67" w14:textId="77777777" w:rsidR="00CB7C40" w:rsidRPr="000B4B6C" w:rsidRDefault="00CB7C40" w:rsidP="00CB7C40">
      <w:pPr>
        <w:rPr>
          <w:rFonts w:ascii="Times New Roman" w:hAnsi="Times New Roman" w:cs="Times New Roman"/>
        </w:rPr>
      </w:pPr>
      <w:r>
        <w:rPr>
          <w:rFonts w:ascii="Times New Roman" w:hAnsi="Times New Roman" w:cs="Times New Roman"/>
        </w:rPr>
        <w:t xml:space="preserve">The instrument is a legislative instrument for the purposes of the </w:t>
      </w:r>
      <w:r w:rsidRPr="00450F48">
        <w:rPr>
          <w:rFonts w:ascii="Times New Roman" w:hAnsi="Times New Roman" w:cs="Times New Roman"/>
          <w:i/>
        </w:rPr>
        <w:t>Legislation Act 2003</w:t>
      </w:r>
      <w:r>
        <w:rPr>
          <w:rFonts w:ascii="Times New Roman" w:hAnsi="Times New Roman" w:cs="Times New Roman"/>
          <w:i/>
        </w:rPr>
        <w:t xml:space="preserve"> </w:t>
      </w:r>
      <w:r w:rsidRPr="00696659">
        <w:rPr>
          <w:rFonts w:ascii="Times New Roman" w:hAnsi="Times New Roman" w:cs="Times New Roman"/>
        </w:rPr>
        <w:t>(</w:t>
      </w:r>
      <w:r w:rsidRPr="00696659">
        <w:rPr>
          <w:rFonts w:ascii="Times New Roman" w:hAnsi="Times New Roman" w:cs="Times New Roman"/>
          <w:b/>
        </w:rPr>
        <w:t>the LA</w:t>
      </w:r>
      <w:r w:rsidRPr="00696659">
        <w:rPr>
          <w:rFonts w:ascii="Times New Roman" w:hAnsi="Times New Roman" w:cs="Times New Roman"/>
        </w:rPr>
        <w:t>)</w:t>
      </w:r>
      <w:r>
        <w:rPr>
          <w:rFonts w:ascii="Times New Roman" w:hAnsi="Times New Roman" w:cs="Times New Roman"/>
        </w:rPr>
        <w:t xml:space="preserve">. </w:t>
      </w:r>
    </w:p>
    <w:p w14:paraId="1B0A8118" w14:textId="117ECA12" w:rsidR="00CB7C40" w:rsidRDefault="00CB7C40" w:rsidP="00CB7C40">
      <w:pPr>
        <w:rPr>
          <w:rFonts w:ascii="Times New Roman" w:hAnsi="Times New Roman" w:cs="Times New Roman"/>
          <w:b/>
        </w:rPr>
      </w:pPr>
      <w:r>
        <w:rPr>
          <w:rFonts w:ascii="Times New Roman" w:hAnsi="Times New Roman" w:cs="Times New Roman"/>
          <w:b/>
        </w:rPr>
        <w:t>Documents incorporated by reference</w:t>
      </w:r>
    </w:p>
    <w:p w14:paraId="0AB93FBC" w14:textId="354867B6" w:rsidR="007404DD" w:rsidRDefault="007404DD" w:rsidP="008E3E70">
      <w:pPr>
        <w:shd w:val="clear" w:color="auto" w:fill="FFFFFF"/>
        <w:spacing w:before="100" w:beforeAutospacing="1" w:after="100" w:after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 number of expressions used in the instrument are defined in the Act. </w:t>
      </w:r>
      <w:r w:rsidR="003A16C5">
        <w:rPr>
          <w:rFonts w:ascii="Times New Roman" w:eastAsia="Times New Roman" w:hAnsi="Times New Roman" w:cs="Times New Roman"/>
          <w:lang w:eastAsia="en-AU"/>
        </w:rPr>
        <w:t xml:space="preserve">The instrument also refers to 2001 Census data published by the Australian Bureau of Statistics.  </w:t>
      </w:r>
      <w:r>
        <w:rPr>
          <w:rFonts w:ascii="Times New Roman" w:eastAsia="Times New Roman" w:hAnsi="Times New Roman" w:cs="Times New Roman"/>
          <w:lang w:eastAsia="en-AU"/>
        </w:rPr>
        <w:t xml:space="preserve">The instrument does not apply, adopt, or </w:t>
      </w:r>
      <w:r w:rsidR="00491657">
        <w:rPr>
          <w:rFonts w:ascii="Times New Roman" w:eastAsia="Times New Roman" w:hAnsi="Times New Roman" w:cs="Times New Roman"/>
          <w:lang w:eastAsia="en-AU"/>
        </w:rPr>
        <w:t xml:space="preserve">incorporate any other matter by </w:t>
      </w:r>
      <w:r w:rsidR="00644055">
        <w:rPr>
          <w:rFonts w:ascii="Times New Roman" w:eastAsia="Times New Roman" w:hAnsi="Times New Roman" w:cs="Times New Roman"/>
          <w:lang w:eastAsia="en-AU"/>
        </w:rPr>
        <w:t>reference</w:t>
      </w:r>
      <w:r w:rsidR="00491657">
        <w:rPr>
          <w:rFonts w:ascii="Times New Roman" w:eastAsia="Times New Roman" w:hAnsi="Times New Roman" w:cs="Times New Roman"/>
          <w:lang w:eastAsia="en-AU"/>
        </w:rPr>
        <w:t>.</w:t>
      </w:r>
      <w:r w:rsidR="00644055">
        <w:rPr>
          <w:rFonts w:ascii="Times New Roman" w:eastAsia="Times New Roman" w:hAnsi="Times New Roman" w:cs="Times New Roman"/>
          <w:lang w:eastAsia="en-AU"/>
        </w:rPr>
        <w:t xml:space="preserve"> </w:t>
      </w:r>
    </w:p>
    <w:p w14:paraId="1E70F6FC" w14:textId="7F13377F" w:rsidR="008E3E70" w:rsidRPr="008E3E70" w:rsidRDefault="00966FB2" w:rsidP="008E3E70">
      <w:pPr>
        <w:shd w:val="clear" w:color="auto" w:fill="FFFFFF"/>
        <w:spacing w:before="100" w:beforeAutospacing="1" w:after="100" w:afterAutospacing="1" w:line="240" w:lineRule="auto"/>
        <w:rPr>
          <w:rFonts w:ascii="Times New Roman" w:eastAsia="Times New Roman" w:hAnsi="Times New Roman" w:cs="Times New Roman"/>
          <w:lang w:val="en-US" w:eastAsia="en-AU"/>
        </w:rPr>
      </w:pPr>
      <w:r>
        <w:rPr>
          <w:rFonts w:ascii="Times New Roman" w:eastAsia="Times New Roman" w:hAnsi="Times New Roman" w:cs="Times New Roman"/>
          <w:lang w:eastAsia="en-AU"/>
        </w:rPr>
        <w:t>T</w:t>
      </w:r>
      <w:r w:rsidR="008E3E70" w:rsidRPr="008E3E70">
        <w:rPr>
          <w:rFonts w:ascii="Times New Roman" w:eastAsia="Times New Roman" w:hAnsi="Times New Roman" w:cs="Times New Roman"/>
          <w:lang w:eastAsia="en-AU"/>
        </w:rPr>
        <w:t>he Act may be obtained from the Federal Register of Legislation (</w:t>
      </w:r>
      <w:hyperlink r:id="rId12" w:history="1">
        <w:r w:rsidR="003A16C5" w:rsidRPr="00996456">
          <w:rPr>
            <w:rStyle w:val="Hyperlink"/>
            <w:rFonts w:ascii="Times New Roman" w:eastAsia="Times New Roman" w:hAnsi="Times New Roman" w:cs="Times New Roman"/>
            <w:lang w:eastAsia="en-AU"/>
          </w:rPr>
          <w:t>www.legislation.gov.au</w:t>
        </w:r>
      </w:hyperlink>
      <w:r w:rsidR="008E3E70" w:rsidRPr="008E3E70">
        <w:rPr>
          <w:rFonts w:ascii="Times New Roman" w:eastAsia="Times New Roman" w:hAnsi="Times New Roman" w:cs="Times New Roman"/>
          <w:lang w:eastAsia="en-AU"/>
        </w:rPr>
        <w:t>).  The Act</w:t>
      </w:r>
      <w:r w:rsidR="0053005B">
        <w:rPr>
          <w:rFonts w:ascii="Times New Roman" w:eastAsia="Times New Roman" w:hAnsi="Times New Roman" w:cs="Times New Roman"/>
          <w:lang w:eastAsia="en-AU"/>
        </w:rPr>
        <w:t xml:space="preserve"> is</w:t>
      </w:r>
      <w:r w:rsidR="008E3E70" w:rsidRPr="008E3E70">
        <w:rPr>
          <w:rFonts w:ascii="Times New Roman" w:eastAsia="Times New Roman" w:hAnsi="Times New Roman" w:cs="Times New Roman"/>
          <w:lang w:eastAsia="en-AU"/>
        </w:rPr>
        <w:t xml:space="preserve"> incorporated as in force from time to time, in accordance with section 10 of the </w:t>
      </w:r>
      <w:r w:rsidR="008E3E70" w:rsidRPr="008E3E70">
        <w:rPr>
          <w:rFonts w:ascii="Times New Roman" w:eastAsia="Times New Roman" w:hAnsi="Times New Roman" w:cs="Times New Roman"/>
          <w:i/>
          <w:iCs/>
          <w:lang w:eastAsia="en-AU"/>
        </w:rPr>
        <w:t>Acts Interpretation Act 1901</w:t>
      </w:r>
      <w:r w:rsidR="008E3E70" w:rsidRPr="008E3E70">
        <w:rPr>
          <w:rFonts w:ascii="Times New Roman" w:eastAsia="Times New Roman" w:hAnsi="Times New Roman" w:cs="Times New Roman"/>
          <w:lang w:eastAsia="en-AU"/>
        </w:rPr>
        <w:t xml:space="preserve"> and subsection 13(1) of the LA.  </w:t>
      </w:r>
      <w:r w:rsidR="003A16C5">
        <w:rPr>
          <w:rFonts w:ascii="Times New Roman" w:eastAsia="Times New Roman" w:hAnsi="Times New Roman" w:cs="Times New Roman"/>
          <w:lang w:eastAsia="en-AU"/>
        </w:rPr>
        <w:t>Census data is available, free of charge, from the Australian Bureau of Statistics’ website (</w:t>
      </w:r>
      <w:hyperlink r:id="rId13" w:history="1">
        <w:r w:rsidR="003A16C5" w:rsidRPr="00996456">
          <w:rPr>
            <w:rStyle w:val="Hyperlink"/>
            <w:rFonts w:ascii="Times New Roman" w:eastAsia="Times New Roman" w:hAnsi="Times New Roman" w:cs="Times New Roman"/>
            <w:lang w:eastAsia="en-AU"/>
          </w:rPr>
          <w:t>www.abs.gov.au</w:t>
        </w:r>
      </w:hyperlink>
      <w:r w:rsidR="003A16C5">
        <w:rPr>
          <w:rFonts w:ascii="Times New Roman" w:eastAsia="Times New Roman" w:hAnsi="Times New Roman" w:cs="Times New Roman"/>
          <w:lang w:eastAsia="en-AU"/>
        </w:rPr>
        <w:t xml:space="preserve">).  </w:t>
      </w:r>
    </w:p>
    <w:p w14:paraId="092F4086" w14:textId="77777777" w:rsidR="00CB7C40" w:rsidRPr="00BB076E" w:rsidRDefault="00CB7C40" w:rsidP="00CB7C40">
      <w:pPr>
        <w:rPr>
          <w:rFonts w:ascii="Times New Roman" w:hAnsi="Times New Roman" w:cs="Times New Roman"/>
          <w:b/>
        </w:rPr>
      </w:pPr>
      <w:r w:rsidRPr="00BB076E">
        <w:rPr>
          <w:rFonts w:ascii="Times New Roman" w:hAnsi="Times New Roman" w:cs="Times New Roman"/>
          <w:b/>
        </w:rPr>
        <w:t>Consultation</w:t>
      </w:r>
    </w:p>
    <w:p w14:paraId="74CB023C" w14:textId="77777777" w:rsidR="00CB7C40" w:rsidRDefault="00CB7C40" w:rsidP="00CB7C40">
      <w:pPr>
        <w:rPr>
          <w:rFonts w:ascii="Times New Roman" w:hAnsi="Times New Roman" w:cs="Times New Roman"/>
        </w:rPr>
      </w:pPr>
      <w:r>
        <w:rPr>
          <w:rFonts w:ascii="Times New Roman" w:hAnsi="Times New Roman" w:cs="Times New Roman"/>
        </w:rPr>
        <w:t xml:space="preserve">Before the instrument was made, the ACMA was satisfied that consultation was undertaken to the extent appropriate and reasonably practicable, in accordance with section 17 of the LA.  </w:t>
      </w:r>
    </w:p>
    <w:p w14:paraId="1612BEDA" w14:textId="65CDC473" w:rsidR="00EA75D3" w:rsidRDefault="00C12B3D" w:rsidP="00CB7C40">
      <w:pPr>
        <w:rPr>
          <w:rFonts w:ascii="Times New Roman" w:hAnsi="Times New Roman" w:cs="Times New Roman"/>
        </w:rPr>
      </w:pPr>
      <w:r w:rsidRPr="00376C8B">
        <w:rPr>
          <w:rFonts w:ascii="Times New Roman" w:hAnsi="Times New Roman" w:cs="Times New Roman"/>
        </w:rPr>
        <w:t xml:space="preserve">On 8 December 2017, the ACMA </w:t>
      </w:r>
      <w:r w:rsidR="00376C8B" w:rsidRPr="00376C8B">
        <w:rPr>
          <w:rFonts w:ascii="Times New Roman" w:hAnsi="Times New Roman" w:cs="Times New Roman"/>
        </w:rPr>
        <w:t>released a consultation paper</w:t>
      </w:r>
      <w:r w:rsidR="00376C8B">
        <w:rPr>
          <w:rFonts w:ascii="Times New Roman" w:hAnsi="Times New Roman" w:cs="Times New Roman"/>
        </w:rPr>
        <w:t xml:space="preserve"> titled ‘Proposal to make Broadcasting Services Local Programming Determination 2018’ </w:t>
      </w:r>
      <w:r w:rsidR="00376C8B" w:rsidRPr="00376C8B">
        <w:rPr>
          <w:rFonts w:ascii="Times New Roman" w:hAnsi="Times New Roman" w:cs="Times New Roman"/>
        </w:rPr>
        <w:t xml:space="preserve">and </w:t>
      </w:r>
      <w:r w:rsidR="00966FB2">
        <w:rPr>
          <w:rFonts w:ascii="Times New Roman" w:hAnsi="Times New Roman" w:cs="Times New Roman"/>
        </w:rPr>
        <w:t xml:space="preserve">a </w:t>
      </w:r>
      <w:r w:rsidR="00376C8B" w:rsidRPr="00376C8B">
        <w:rPr>
          <w:rFonts w:ascii="Times New Roman" w:hAnsi="Times New Roman" w:cs="Times New Roman"/>
        </w:rPr>
        <w:t xml:space="preserve">draft instrument for public consultation </w:t>
      </w:r>
      <w:r w:rsidR="00376C8B">
        <w:rPr>
          <w:rFonts w:ascii="Times New Roman" w:hAnsi="Times New Roman" w:cs="Times New Roman"/>
        </w:rPr>
        <w:t xml:space="preserve">on the ACMA website. The </w:t>
      </w:r>
      <w:r w:rsidR="00EA75D3">
        <w:rPr>
          <w:rFonts w:ascii="Times New Roman" w:hAnsi="Times New Roman" w:cs="Times New Roman"/>
        </w:rPr>
        <w:t xml:space="preserve">ACMA alerted key stakeholders to the consultation, including relevant industry associations. </w:t>
      </w:r>
    </w:p>
    <w:p w14:paraId="7C444AAB" w14:textId="1F5CFC51" w:rsidR="00414C75" w:rsidRDefault="00EA75D3" w:rsidP="00CB7C40">
      <w:pPr>
        <w:rPr>
          <w:rFonts w:ascii="Times New Roman" w:hAnsi="Times New Roman" w:cs="Times New Roman"/>
        </w:rPr>
      </w:pPr>
      <w:r w:rsidRPr="007A7BD7">
        <w:rPr>
          <w:rFonts w:ascii="Times New Roman" w:hAnsi="Times New Roman" w:cs="Times New Roman"/>
        </w:rPr>
        <w:t>The consultation period ran for eight weeks and closed on</w:t>
      </w:r>
      <w:r w:rsidR="00376C8B" w:rsidRPr="007A7BD7">
        <w:rPr>
          <w:rFonts w:ascii="Times New Roman" w:hAnsi="Times New Roman" w:cs="Times New Roman"/>
        </w:rPr>
        <w:t xml:space="preserve"> 5 February 2018. </w:t>
      </w:r>
      <w:r w:rsidRPr="007A7BD7">
        <w:rPr>
          <w:rFonts w:ascii="Times New Roman" w:hAnsi="Times New Roman" w:cs="Times New Roman"/>
        </w:rPr>
        <w:t xml:space="preserve">The ACMA received one submission from Free TV Australia </w:t>
      </w:r>
      <w:r w:rsidR="00F2534D">
        <w:rPr>
          <w:rFonts w:ascii="Times New Roman" w:hAnsi="Times New Roman" w:cs="Times New Roman"/>
        </w:rPr>
        <w:t>(</w:t>
      </w:r>
      <w:r w:rsidR="00F2534D" w:rsidRPr="00E52019">
        <w:rPr>
          <w:rFonts w:ascii="Times New Roman" w:hAnsi="Times New Roman" w:cs="Times New Roman"/>
          <w:b/>
        </w:rPr>
        <w:t>FTA</w:t>
      </w:r>
      <w:r w:rsidR="00F2534D">
        <w:rPr>
          <w:rFonts w:ascii="Times New Roman" w:hAnsi="Times New Roman" w:cs="Times New Roman"/>
        </w:rPr>
        <w:t>)</w:t>
      </w:r>
      <w:r w:rsidRPr="007A7BD7">
        <w:rPr>
          <w:rFonts w:ascii="Times New Roman" w:hAnsi="Times New Roman" w:cs="Times New Roman"/>
        </w:rPr>
        <w:t>. F</w:t>
      </w:r>
      <w:r w:rsidR="00F2534D">
        <w:rPr>
          <w:rFonts w:ascii="Times New Roman" w:hAnsi="Times New Roman" w:cs="Times New Roman"/>
        </w:rPr>
        <w:t>TA</w:t>
      </w:r>
      <w:r w:rsidRPr="007A7BD7">
        <w:rPr>
          <w:rFonts w:ascii="Times New Roman" w:hAnsi="Times New Roman" w:cs="Times New Roman"/>
        </w:rPr>
        <w:t xml:space="preserve"> </w:t>
      </w:r>
      <w:r w:rsidR="002315D3" w:rsidRPr="007A7BD7">
        <w:rPr>
          <w:rFonts w:ascii="Times New Roman" w:hAnsi="Times New Roman" w:cs="Times New Roman"/>
        </w:rPr>
        <w:t xml:space="preserve">was supportive of the draft instrument with the exception of the local area definition for regional commercial television licences within Western Australia. </w:t>
      </w:r>
      <w:r w:rsidR="00E367FE" w:rsidRPr="007A7BD7">
        <w:rPr>
          <w:rFonts w:ascii="Times New Roman" w:hAnsi="Times New Roman" w:cs="Times New Roman"/>
        </w:rPr>
        <w:t>F</w:t>
      </w:r>
      <w:r w:rsidR="00F2534D">
        <w:rPr>
          <w:rFonts w:ascii="Times New Roman" w:hAnsi="Times New Roman" w:cs="Times New Roman"/>
        </w:rPr>
        <w:t>TA</w:t>
      </w:r>
      <w:r w:rsidR="00E367FE" w:rsidRPr="007A7BD7">
        <w:rPr>
          <w:rFonts w:ascii="Times New Roman" w:hAnsi="Times New Roman" w:cs="Times New Roman"/>
        </w:rPr>
        <w:t xml:space="preserve"> </w:t>
      </w:r>
      <w:r w:rsidR="00433521" w:rsidRPr="007A7BD7">
        <w:rPr>
          <w:rFonts w:ascii="Times New Roman" w:hAnsi="Times New Roman" w:cs="Times New Roman"/>
        </w:rPr>
        <w:t>requested that</w:t>
      </w:r>
      <w:r w:rsidR="00414C75">
        <w:rPr>
          <w:rFonts w:ascii="Times New Roman" w:hAnsi="Times New Roman" w:cs="Times New Roman"/>
        </w:rPr>
        <w:t xml:space="preserve">, for each of the </w:t>
      </w:r>
      <w:r w:rsidR="00414C75" w:rsidRPr="007A7BD7">
        <w:rPr>
          <w:rFonts w:ascii="Times New Roman" w:hAnsi="Times New Roman" w:cs="Times New Roman"/>
        </w:rPr>
        <w:t>licence areas of Geraldton TV1, Kalgoorlie TV1, South West and Great Southern TV1</w:t>
      </w:r>
      <w:r w:rsidR="00414C75">
        <w:rPr>
          <w:rFonts w:ascii="Times New Roman" w:hAnsi="Times New Roman" w:cs="Times New Roman"/>
        </w:rPr>
        <w:t xml:space="preserve">, </w:t>
      </w:r>
      <w:r w:rsidR="00433521" w:rsidRPr="007A7BD7">
        <w:rPr>
          <w:rFonts w:ascii="Times New Roman" w:hAnsi="Times New Roman" w:cs="Times New Roman"/>
        </w:rPr>
        <w:t xml:space="preserve">the </w:t>
      </w:r>
      <w:r w:rsidR="00E367FE" w:rsidRPr="007A7BD7">
        <w:rPr>
          <w:rFonts w:ascii="Times New Roman" w:hAnsi="Times New Roman" w:cs="Times New Roman"/>
        </w:rPr>
        <w:t>ACMA specify</w:t>
      </w:r>
      <w:r w:rsidR="00433521" w:rsidRPr="007A7BD7">
        <w:rPr>
          <w:rFonts w:ascii="Times New Roman" w:hAnsi="Times New Roman" w:cs="Times New Roman"/>
        </w:rPr>
        <w:t xml:space="preserve"> a</w:t>
      </w:r>
      <w:r w:rsidR="00414C75">
        <w:rPr>
          <w:rFonts w:ascii="Times New Roman" w:hAnsi="Times New Roman" w:cs="Times New Roman"/>
        </w:rPr>
        <w:t xml:space="preserve"> single</w:t>
      </w:r>
      <w:r w:rsidR="00433521" w:rsidRPr="007A7BD7">
        <w:rPr>
          <w:rFonts w:ascii="Times New Roman" w:hAnsi="Times New Roman" w:cs="Times New Roman"/>
        </w:rPr>
        <w:t xml:space="preserve"> </w:t>
      </w:r>
      <w:r w:rsidR="00E367FE" w:rsidRPr="007A7BD7">
        <w:rPr>
          <w:rFonts w:ascii="Times New Roman" w:hAnsi="Times New Roman" w:cs="Times New Roman"/>
        </w:rPr>
        <w:t xml:space="preserve">local area </w:t>
      </w:r>
      <w:r w:rsidR="00414C75">
        <w:rPr>
          <w:rFonts w:ascii="Times New Roman" w:hAnsi="Times New Roman" w:cs="Times New Roman"/>
        </w:rPr>
        <w:t>that equates to the combined area of those three licence areas</w:t>
      </w:r>
      <w:r w:rsidR="00E367FE" w:rsidRPr="007A7BD7">
        <w:rPr>
          <w:rFonts w:ascii="Times New Roman" w:hAnsi="Times New Roman" w:cs="Times New Roman"/>
        </w:rPr>
        <w:t>.</w:t>
      </w:r>
      <w:r w:rsidR="00433521" w:rsidRPr="007A7BD7">
        <w:rPr>
          <w:rFonts w:ascii="Times New Roman" w:hAnsi="Times New Roman" w:cs="Times New Roman"/>
        </w:rPr>
        <w:t xml:space="preserve"> </w:t>
      </w:r>
    </w:p>
    <w:p w14:paraId="4460CEFE" w14:textId="19A67071" w:rsidR="00CB7C40" w:rsidRPr="007A7BD7" w:rsidRDefault="007A7BD7" w:rsidP="00CB7C40">
      <w:pPr>
        <w:rPr>
          <w:rFonts w:ascii="Times New Roman" w:hAnsi="Times New Roman" w:cs="Times New Roman"/>
        </w:rPr>
      </w:pPr>
      <w:r w:rsidRPr="007A7BD7">
        <w:rPr>
          <w:rFonts w:ascii="Times New Roman" w:hAnsi="Times New Roman" w:cs="Times New Roman"/>
        </w:rPr>
        <w:t>The ACMA considered the FTA submission</w:t>
      </w:r>
      <w:r w:rsidR="00414C75">
        <w:rPr>
          <w:rFonts w:ascii="Times New Roman" w:hAnsi="Times New Roman" w:cs="Times New Roman"/>
        </w:rPr>
        <w:t>,</w:t>
      </w:r>
      <w:r w:rsidRPr="007A7BD7">
        <w:rPr>
          <w:rFonts w:ascii="Times New Roman" w:hAnsi="Times New Roman" w:cs="Times New Roman"/>
        </w:rPr>
        <w:t xml:space="preserve"> </w:t>
      </w:r>
      <w:r w:rsidR="00B3270D">
        <w:rPr>
          <w:rFonts w:ascii="Times New Roman" w:hAnsi="Times New Roman" w:cs="Times New Roman"/>
        </w:rPr>
        <w:t xml:space="preserve">and </w:t>
      </w:r>
      <w:r w:rsidR="001E5FE7">
        <w:rPr>
          <w:rFonts w:ascii="Times New Roman" w:hAnsi="Times New Roman" w:cs="Times New Roman"/>
        </w:rPr>
        <w:t xml:space="preserve">does not consider that the </w:t>
      </w:r>
      <w:r w:rsidRPr="007A7BD7">
        <w:rPr>
          <w:rFonts w:ascii="Times New Roman" w:hAnsi="Times New Roman" w:cs="Times New Roman"/>
        </w:rPr>
        <w:t>Act permit</w:t>
      </w:r>
      <w:r w:rsidR="001E5FE7">
        <w:rPr>
          <w:rFonts w:ascii="Times New Roman" w:hAnsi="Times New Roman" w:cs="Times New Roman"/>
        </w:rPr>
        <w:t xml:space="preserve">s it to </w:t>
      </w:r>
      <w:r w:rsidRPr="007A7BD7">
        <w:rPr>
          <w:rFonts w:ascii="Times New Roman" w:hAnsi="Times New Roman" w:cs="Times New Roman"/>
        </w:rPr>
        <w:t xml:space="preserve">define </w:t>
      </w:r>
      <w:r w:rsidRPr="007A7BD7">
        <w:rPr>
          <w:rFonts w:ascii="Times New Roman" w:hAnsi="Times New Roman" w:cs="Times New Roman"/>
          <w:bCs/>
          <w:color w:val="000000"/>
        </w:rPr>
        <w:t xml:space="preserve">a local area </w:t>
      </w:r>
      <w:r w:rsidRPr="007A7BD7">
        <w:rPr>
          <w:rFonts w:ascii="Times New Roman" w:hAnsi="Times New Roman" w:cs="Times New Roman"/>
        </w:rPr>
        <w:t xml:space="preserve">for a licence as </w:t>
      </w:r>
      <w:r w:rsidRPr="007A7BD7">
        <w:rPr>
          <w:rFonts w:ascii="Times New Roman" w:hAnsi="Times New Roman" w:cs="Times New Roman"/>
          <w:bCs/>
          <w:color w:val="000000"/>
        </w:rPr>
        <w:t>being significantly larger than the licence area for that licence.</w:t>
      </w:r>
      <w:r w:rsidR="00A00268">
        <w:rPr>
          <w:rFonts w:ascii="Times New Roman" w:hAnsi="Times New Roman" w:cs="Times New Roman"/>
          <w:bCs/>
          <w:color w:val="000000"/>
        </w:rPr>
        <w:t xml:space="preserve"> </w:t>
      </w:r>
    </w:p>
    <w:p w14:paraId="7215F238" w14:textId="70D57DBF" w:rsidR="00E367FE" w:rsidRPr="00376C8B" w:rsidRDefault="00E367FE" w:rsidP="00CB7C40">
      <w:pPr>
        <w:rPr>
          <w:rFonts w:ascii="Times New Roman" w:hAnsi="Times New Roman" w:cs="Times New Roman"/>
          <w:b/>
        </w:rPr>
      </w:pPr>
      <w:r>
        <w:rPr>
          <w:rFonts w:ascii="Times New Roman" w:hAnsi="Times New Roman" w:cs="Times New Roman"/>
        </w:rPr>
        <w:lastRenderedPageBreak/>
        <w:t xml:space="preserve">In </w:t>
      </w:r>
      <w:r w:rsidR="00966FB2">
        <w:rPr>
          <w:rFonts w:ascii="Times New Roman" w:hAnsi="Times New Roman" w:cs="Times New Roman"/>
        </w:rPr>
        <w:t xml:space="preserve">making </w:t>
      </w:r>
      <w:r>
        <w:rPr>
          <w:rFonts w:ascii="Times New Roman" w:hAnsi="Times New Roman" w:cs="Times New Roman"/>
        </w:rPr>
        <w:t xml:space="preserve">the instrument, the ACMA has had regard to all matters raised during consultation. </w:t>
      </w:r>
    </w:p>
    <w:p w14:paraId="66020318" w14:textId="77777777" w:rsidR="00CB7C40" w:rsidRDefault="00CB7C40" w:rsidP="00CB7C40">
      <w:pPr>
        <w:rPr>
          <w:rFonts w:ascii="Times New Roman" w:hAnsi="Times New Roman" w:cs="Times New Roman"/>
          <w:b/>
        </w:rPr>
      </w:pPr>
      <w:r>
        <w:rPr>
          <w:rFonts w:ascii="Times New Roman" w:hAnsi="Times New Roman" w:cs="Times New Roman"/>
          <w:b/>
        </w:rPr>
        <w:t>Regulatory impact assessment</w:t>
      </w:r>
    </w:p>
    <w:p w14:paraId="763D8CA0" w14:textId="4BC5B103" w:rsidR="00CB7C40" w:rsidRPr="0052687A" w:rsidRDefault="00684F77" w:rsidP="00CB7C40">
      <w:pPr>
        <w:rPr>
          <w:rFonts w:ascii="Times New Roman" w:hAnsi="Times New Roman" w:cs="Times New Roman"/>
        </w:rPr>
      </w:pPr>
      <w:r>
        <w:rPr>
          <w:rFonts w:ascii="Times New Roman" w:hAnsi="Times New Roman" w:cs="Times New Roman"/>
        </w:rPr>
        <w:t xml:space="preserve">A preliminary assessment of the proposal to make the instrument was conducted by the Office of </w:t>
      </w:r>
      <w:r w:rsidR="00F95D1D">
        <w:rPr>
          <w:rFonts w:ascii="Times New Roman" w:hAnsi="Times New Roman" w:cs="Times New Roman"/>
        </w:rPr>
        <w:t>B</w:t>
      </w:r>
      <w:r>
        <w:rPr>
          <w:rFonts w:ascii="Times New Roman" w:hAnsi="Times New Roman" w:cs="Times New Roman"/>
        </w:rPr>
        <w:t>est Practice Regulation (</w:t>
      </w:r>
      <w:r w:rsidRPr="00E52019">
        <w:rPr>
          <w:rFonts w:ascii="Times New Roman" w:hAnsi="Times New Roman" w:cs="Times New Roman"/>
          <w:b/>
        </w:rPr>
        <w:t>OBPR</w:t>
      </w:r>
      <w:r>
        <w:rPr>
          <w:rFonts w:ascii="Times New Roman" w:hAnsi="Times New Roman" w:cs="Times New Roman"/>
        </w:rPr>
        <w:t>), based on information provided by the ACMA, for the purposes of determining whether a Regulation Impact Statement (</w:t>
      </w:r>
      <w:r w:rsidRPr="00E52019">
        <w:rPr>
          <w:rFonts w:ascii="Times New Roman" w:hAnsi="Times New Roman" w:cs="Times New Roman"/>
          <w:b/>
        </w:rPr>
        <w:t>RIS</w:t>
      </w:r>
      <w:r>
        <w:rPr>
          <w:rFonts w:ascii="Times New Roman" w:hAnsi="Times New Roman" w:cs="Times New Roman"/>
        </w:rPr>
        <w:t xml:space="preserve">) would be required. OBPR advised that a RIS would not be required because the instrument was not expected to have a regulatory impact on businesses, community organisations or individuals (OBPR reference number </w:t>
      </w:r>
      <w:r w:rsidR="006A55E0">
        <w:rPr>
          <w:rFonts w:ascii="Times New Roman" w:hAnsi="Times New Roman" w:cs="Times New Roman"/>
        </w:rPr>
        <w:t>23536</w:t>
      </w:r>
      <w:r>
        <w:rPr>
          <w:rFonts w:ascii="Times New Roman" w:hAnsi="Times New Roman" w:cs="Times New Roman"/>
        </w:rPr>
        <w:t xml:space="preserve">).  </w:t>
      </w:r>
    </w:p>
    <w:p w14:paraId="3248DF52" w14:textId="77777777" w:rsidR="00CB7C40" w:rsidRDefault="00CB7C40" w:rsidP="00CB7C40">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30AC16BF" w14:textId="77777777" w:rsidR="00CB7C40" w:rsidRDefault="00CB7C40" w:rsidP="00CB7C40">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 to be prepared in respect of that legislative instrument.</w:t>
      </w:r>
      <w:r>
        <w:rPr>
          <w:rFonts w:ascii="Times New Roman" w:hAnsi="Times New Roman" w:cs="Times New Roman"/>
        </w:rPr>
        <w:t xml:space="preserve">  </w:t>
      </w:r>
    </w:p>
    <w:p w14:paraId="54F15B94" w14:textId="79AFAC9A" w:rsidR="00CB7C40" w:rsidRDefault="00CB7C40" w:rsidP="00CB7C40">
      <w:pPr>
        <w:rPr>
          <w:rFonts w:ascii="Times New Roman" w:hAnsi="Times New Roman" w:cs="Times New Roman"/>
        </w:rPr>
      </w:pPr>
      <w:r>
        <w:rPr>
          <w:rFonts w:ascii="Times New Roman" w:hAnsi="Times New Roman" w:cs="Times New Roman"/>
        </w:rPr>
        <w:t xml:space="preserve">The statement of compatibility set out </w:t>
      </w:r>
      <w:r w:rsidR="001E5FE7">
        <w:rPr>
          <w:rFonts w:ascii="Times New Roman" w:hAnsi="Times New Roman" w:cs="Times New Roman"/>
        </w:rPr>
        <w:t xml:space="preserve">below </w:t>
      </w:r>
      <w:r>
        <w:rPr>
          <w:rFonts w:ascii="Times New Roman" w:hAnsi="Times New Roman" w:cs="Times New Roman"/>
        </w:rPr>
        <w:t>has been prepared to meet that requirement.</w:t>
      </w:r>
    </w:p>
    <w:p w14:paraId="32CEBD76" w14:textId="77777777" w:rsidR="001E5FE7" w:rsidRDefault="001E5FE7" w:rsidP="001E5FE7">
      <w:pPr>
        <w:spacing w:before="280"/>
        <w:rPr>
          <w:rFonts w:ascii="Times New Roman" w:hAnsi="Times New Roman" w:cs="Times New Roman"/>
          <w:b/>
          <w:i/>
        </w:rPr>
      </w:pPr>
      <w:r>
        <w:rPr>
          <w:rFonts w:ascii="Times New Roman" w:hAnsi="Times New Roman" w:cs="Times New Roman"/>
          <w:b/>
          <w:i/>
        </w:rPr>
        <w:t>Overview of the instrument</w:t>
      </w:r>
    </w:p>
    <w:p w14:paraId="4047208C" w14:textId="7ABDD529" w:rsidR="001E5FE7" w:rsidRDefault="001E5FE7" w:rsidP="001E5FE7">
      <w:pPr>
        <w:jc w:val="both"/>
        <w:rPr>
          <w:rFonts w:ascii="Times New Roman" w:hAnsi="Times New Roman" w:cs="Times New Roman"/>
        </w:rPr>
      </w:pPr>
      <w:r w:rsidRPr="00CD2831">
        <w:rPr>
          <w:rFonts w:ascii="Times New Roman" w:hAnsi="Times New Roman" w:cs="Times New Roman"/>
        </w:rPr>
        <w:t xml:space="preserve">This </w:t>
      </w:r>
      <w:r>
        <w:rPr>
          <w:rFonts w:ascii="Times New Roman" w:hAnsi="Times New Roman" w:cs="Times New Roman"/>
        </w:rPr>
        <w:t>l</w:t>
      </w:r>
      <w:r w:rsidRPr="00CD2831">
        <w:rPr>
          <w:rFonts w:ascii="Times New Roman" w:hAnsi="Times New Roman" w:cs="Times New Roman"/>
        </w:rPr>
        <w:t xml:space="preserve">egislative </w:t>
      </w:r>
      <w:r>
        <w:rPr>
          <w:rFonts w:ascii="Times New Roman" w:hAnsi="Times New Roman" w:cs="Times New Roman"/>
        </w:rPr>
        <w:t>i</w:t>
      </w:r>
      <w:r w:rsidRPr="00CD2831">
        <w:rPr>
          <w:rFonts w:ascii="Times New Roman" w:hAnsi="Times New Roman" w:cs="Times New Roman"/>
        </w:rPr>
        <w:t xml:space="preserve">nstrument </w:t>
      </w:r>
      <w:r>
        <w:rPr>
          <w:rFonts w:ascii="Times New Roman" w:hAnsi="Times New Roman" w:cs="Times New Roman"/>
        </w:rPr>
        <w:t xml:space="preserve">has been made in accordance with subsection </w:t>
      </w:r>
      <w:proofErr w:type="gramStart"/>
      <w:r>
        <w:rPr>
          <w:rFonts w:ascii="Times New Roman" w:hAnsi="Times New Roman" w:cs="Times New Roman"/>
        </w:rPr>
        <w:t>61CZ(</w:t>
      </w:r>
      <w:proofErr w:type="gramEnd"/>
      <w:r>
        <w:rPr>
          <w:rFonts w:ascii="Times New Roman" w:hAnsi="Times New Roman" w:cs="Times New Roman"/>
        </w:rPr>
        <w:t xml:space="preserve">1) of the </w:t>
      </w:r>
      <w:r w:rsidRPr="00D63433">
        <w:rPr>
          <w:rFonts w:ascii="Times New Roman" w:hAnsi="Times New Roman" w:cs="Times New Roman"/>
          <w:i/>
        </w:rPr>
        <w:t>Broadcasting Services Act 1992</w:t>
      </w:r>
      <w:r w:rsidRPr="00D63433">
        <w:rPr>
          <w:rFonts w:ascii="Times New Roman" w:hAnsi="Times New Roman" w:cs="Times New Roman"/>
        </w:rPr>
        <w:t xml:space="preserve"> </w:t>
      </w:r>
      <w:r>
        <w:rPr>
          <w:rFonts w:ascii="Times New Roman" w:hAnsi="Times New Roman" w:cs="Times New Roman"/>
        </w:rPr>
        <w:t xml:space="preserve">(the </w:t>
      </w:r>
      <w:r w:rsidRPr="00B238E1">
        <w:rPr>
          <w:rFonts w:ascii="Times New Roman" w:hAnsi="Times New Roman" w:cs="Times New Roman"/>
          <w:b/>
        </w:rPr>
        <w:t>Act</w:t>
      </w:r>
      <w:r>
        <w:rPr>
          <w:rFonts w:ascii="Times New Roman" w:hAnsi="Times New Roman" w:cs="Times New Roman"/>
        </w:rPr>
        <w:t xml:space="preserve">), noting that subsection 61CZ(2) of the Act requires that the ACMA take all reasonable steps to ensure that </w:t>
      </w:r>
      <w:r w:rsidR="00966FB2">
        <w:rPr>
          <w:rFonts w:ascii="Times New Roman" w:hAnsi="Times New Roman" w:cs="Times New Roman"/>
        </w:rPr>
        <w:t xml:space="preserve">such an </w:t>
      </w:r>
      <w:r>
        <w:rPr>
          <w:rFonts w:ascii="Times New Roman" w:hAnsi="Times New Roman" w:cs="Times New Roman"/>
        </w:rPr>
        <w:t xml:space="preserve">instrument be in </w:t>
      </w:r>
      <w:r w:rsidR="00966FB2">
        <w:rPr>
          <w:rFonts w:ascii="Times New Roman" w:hAnsi="Times New Roman" w:cs="Times New Roman"/>
        </w:rPr>
        <w:t xml:space="preserve">force </w:t>
      </w:r>
      <w:r w:rsidR="00B25709">
        <w:rPr>
          <w:rFonts w:ascii="Times New Roman" w:hAnsi="Times New Roman" w:cs="Times New Roman"/>
        </w:rPr>
        <w:t>at</w:t>
      </w:r>
      <w:r w:rsidR="00966FB2">
        <w:rPr>
          <w:rFonts w:ascii="Times New Roman" w:hAnsi="Times New Roman" w:cs="Times New Roman"/>
        </w:rPr>
        <w:t xml:space="preserve"> all times from and after</w:t>
      </w:r>
      <w:r>
        <w:rPr>
          <w:rFonts w:ascii="Times New Roman" w:hAnsi="Times New Roman" w:cs="Times New Roman"/>
        </w:rPr>
        <w:t xml:space="preserve">17 April 2018. </w:t>
      </w:r>
    </w:p>
    <w:p w14:paraId="577B7C06" w14:textId="17C5B15D" w:rsidR="001E5FE7" w:rsidRPr="00CA2C2C" w:rsidRDefault="001E5FE7" w:rsidP="001E5FE7">
      <w:pPr>
        <w:rPr>
          <w:rFonts w:ascii="Times New Roman" w:hAnsi="Times New Roman" w:cs="Times New Roman"/>
          <w:b/>
        </w:rPr>
      </w:pPr>
      <w:r w:rsidRPr="00CA2C2C">
        <w:rPr>
          <w:rFonts w:ascii="Times New Roman" w:hAnsi="Times New Roman" w:cs="Times New Roman"/>
          <w:snapToGrid w:val="0"/>
        </w:rPr>
        <w:t xml:space="preserve">The new regulatory framework imposes local content obligations for </w:t>
      </w:r>
      <w:r>
        <w:rPr>
          <w:rFonts w:ascii="Times New Roman" w:hAnsi="Times New Roman" w:cs="Times New Roman"/>
          <w:snapToGrid w:val="0"/>
        </w:rPr>
        <w:t xml:space="preserve">regional </w:t>
      </w:r>
      <w:r w:rsidRPr="00CA2C2C">
        <w:rPr>
          <w:rFonts w:ascii="Times New Roman" w:hAnsi="Times New Roman" w:cs="Times New Roman"/>
          <w:snapToGrid w:val="0"/>
        </w:rPr>
        <w:t xml:space="preserve">aggregated licences and for </w:t>
      </w:r>
      <w:r>
        <w:rPr>
          <w:rFonts w:ascii="Times New Roman" w:hAnsi="Times New Roman" w:cs="Times New Roman"/>
          <w:snapToGrid w:val="0"/>
        </w:rPr>
        <w:t xml:space="preserve">both regional aggregated licences and regional </w:t>
      </w:r>
      <w:r w:rsidRPr="00CA2C2C">
        <w:rPr>
          <w:rFonts w:ascii="Times New Roman" w:hAnsi="Times New Roman" w:cs="Times New Roman"/>
          <w:snapToGrid w:val="0"/>
        </w:rPr>
        <w:t xml:space="preserve">non-aggregated licences in circumstances where a licence becomes </w:t>
      </w:r>
      <w:r>
        <w:rPr>
          <w:rFonts w:ascii="Times New Roman" w:hAnsi="Times New Roman" w:cs="Times New Roman"/>
          <w:snapToGrid w:val="0"/>
        </w:rPr>
        <w:t>trigger event affected</w:t>
      </w:r>
      <w:r w:rsidRPr="00CA2C2C">
        <w:rPr>
          <w:rFonts w:ascii="Times New Roman" w:hAnsi="Times New Roman" w:cs="Times New Roman"/>
          <w:snapToGrid w:val="0"/>
        </w:rPr>
        <w:t xml:space="preserve">. </w:t>
      </w:r>
    </w:p>
    <w:p w14:paraId="3751DDB4" w14:textId="3A572D3E" w:rsidR="001E5FE7" w:rsidRPr="00AC04A6" w:rsidRDefault="001E5FE7" w:rsidP="001E5FE7">
      <w:pPr>
        <w:rPr>
          <w:rFonts w:ascii="Times New Roman" w:hAnsi="Times New Roman" w:cs="Times New Roman"/>
          <w:snapToGrid w:val="0"/>
        </w:rPr>
      </w:pPr>
      <w:r>
        <w:rPr>
          <w:rFonts w:ascii="Times New Roman" w:hAnsi="Times New Roman" w:cs="Times New Roman"/>
          <w:snapToGrid w:val="0"/>
        </w:rPr>
        <w:t xml:space="preserve">The instrument defines the meaning of material of local significance, specifies local areas for regional commercial television licences and establishes additional criteria for material of local significance to accumulate three points per minute (i.e. the maximum) towards the total required points for a licence in any </w:t>
      </w:r>
      <w:r w:rsidR="00C70874">
        <w:rPr>
          <w:rFonts w:ascii="Times New Roman" w:hAnsi="Times New Roman" w:cs="Times New Roman"/>
          <w:snapToGrid w:val="0"/>
        </w:rPr>
        <w:t>timing period</w:t>
      </w:r>
      <w:r>
        <w:rPr>
          <w:rFonts w:ascii="Times New Roman" w:hAnsi="Times New Roman" w:cs="Times New Roman"/>
          <w:snapToGrid w:val="0"/>
        </w:rPr>
        <w:t xml:space="preserve">. </w:t>
      </w:r>
    </w:p>
    <w:p w14:paraId="5AB30EF7" w14:textId="77777777" w:rsidR="001E5FE7" w:rsidRPr="00A213A8" w:rsidRDefault="001E5FE7" w:rsidP="001E5FE7">
      <w:pPr>
        <w:rPr>
          <w:rFonts w:ascii="Times New Roman" w:hAnsi="Times New Roman" w:cs="Times New Roman"/>
          <w:b/>
          <w:i/>
        </w:rPr>
      </w:pPr>
      <w:r>
        <w:rPr>
          <w:rFonts w:ascii="Times New Roman" w:hAnsi="Times New Roman" w:cs="Times New Roman"/>
          <w:b/>
          <w:i/>
        </w:rPr>
        <w:t>Human rights implications</w:t>
      </w:r>
    </w:p>
    <w:p w14:paraId="4A986CDD" w14:textId="749A4AC1" w:rsidR="001E5FE7" w:rsidRPr="00EF69A6" w:rsidRDefault="001E5FE7" w:rsidP="00EF69A6">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 xml:space="preserve">as they apply to Australia. </w:t>
      </w:r>
      <w:r w:rsidR="00CD5BFC">
        <w:rPr>
          <w:rFonts w:ascii="Times New Roman" w:hAnsi="Times New Roman" w:cs="Times New Roman"/>
        </w:rPr>
        <w:t xml:space="preserve"> The ACMA has considered, in particular</w:t>
      </w:r>
      <w:r w:rsidR="00966FB2">
        <w:rPr>
          <w:rFonts w:ascii="Times New Roman" w:hAnsi="Times New Roman" w:cs="Times New Roman"/>
        </w:rPr>
        <w:t xml:space="preserve">, </w:t>
      </w:r>
      <w:r w:rsidRPr="00EF69A6">
        <w:rPr>
          <w:rFonts w:ascii="Times New Roman" w:hAnsi="Times New Roman" w:cs="Times New Roman"/>
        </w:rPr>
        <w:t xml:space="preserve">the right to freedom of expression, including the freedom to receive information and ideas of all kinds, regardless of frontiers, either orally, in writing or in print, in the form of art, or through any other chosen media in Article 19.2 of the </w:t>
      </w:r>
      <w:r w:rsidRPr="00EF69A6">
        <w:rPr>
          <w:rFonts w:ascii="Times New Roman" w:hAnsi="Times New Roman" w:cs="Times New Roman"/>
          <w:i/>
        </w:rPr>
        <w:t xml:space="preserve">International Covenant on Civil and Political Rights </w:t>
      </w:r>
      <w:r w:rsidRPr="00EF69A6">
        <w:rPr>
          <w:rFonts w:ascii="Times New Roman" w:hAnsi="Times New Roman" w:cs="Times New Roman"/>
        </w:rPr>
        <w:t>(</w:t>
      </w:r>
      <w:r w:rsidRPr="00EF69A6">
        <w:rPr>
          <w:rFonts w:ascii="Times New Roman" w:hAnsi="Times New Roman" w:cs="Times New Roman"/>
          <w:b/>
        </w:rPr>
        <w:t>ICCPR</w:t>
      </w:r>
      <w:r w:rsidRPr="00EF69A6">
        <w:rPr>
          <w:rFonts w:ascii="Times New Roman" w:hAnsi="Times New Roman" w:cs="Times New Roman"/>
        </w:rPr>
        <w:t xml:space="preserve">). </w:t>
      </w:r>
    </w:p>
    <w:p w14:paraId="7A4E292F" w14:textId="48543A79" w:rsidR="001E5FE7" w:rsidRPr="00CD2831" w:rsidRDefault="00966FB2" w:rsidP="00CD5BFC">
      <w:pPr>
        <w:spacing w:before="120" w:line="276" w:lineRule="auto"/>
        <w:jc w:val="both"/>
        <w:rPr>
          <w:rFonts w:ascii="Times New Roman" w:hAnsi="Times New Roman" w:cs="Times New Roman"/>
        </w:rPr>
      </w:pPr>
      <w:r>
        <w:rPr>
          <w:rFonts w:ascii="Times New Roman" w:hAnsi="Times New Roman" w:cs="Times New Roman"/>
        </w:rPr>
        <w:t>T</w:t>
      </w:r>
      <w:r w:rsidR="00CD5BFC">
        <w:rPr>
          <w:rFonts w:ascii="Times New Roman" w:hAnsi="Times New Roman" w:cs="Times New Roman"/>
        </w:rPr>
        <w:t xml:space="preserve">he effect of </w:t>
      </w:r>
      <w:r w:rsidR="00B3270D">
        <w:rPr>
          <w:rFonts w:ascii="Times New Roman" w:hAnsi="Times New Roman" w:cs="Times New Roman"/>
        </w:rPr>
        <w:t xml:space="preserve">the </w:t>
      </w:r>
      <w:r w:rsidR="00CD5BFC">
        <w:rPr>
          <w:rFonts w:ascii="Times New Roman" w:hAnsi="Times New Roman" w:cs="Times New Roman"/>
        </w:rPr>
        <w:t>instrument does engage with th</w:t>
      </w:r>
      <w:r>
        <w:rPr>
          <w:rFonts w:ascii="Times New Roman" w:hAnsi="Times New Roman" w:cs="Times New Roman"/>
        </w:rPr>
        <w:t>is</w:t>
      </w:r>
      <w:r w:rsidR="00CD5BFC">
        <w:rPr>
          <w:rFonts w:ascii="Times New Roman" w:hAnsi="Times New Roman" w:cs="Times New Roman"/>
        </w:rPr>
        <w:t xml:space="preserve"> right to freedom of expression.  B</w:t>
      </w:r>
      <w:r w:rsidR="001E5FE7" w:rsidRPr="00AC04A6">
        <w:rPr>
          <w:rFonts w:ascii="Times New Roman" w:hAnsi="Times New Roman" w:cs="Times New Roman"/>
        </w:rPr>
        <w:t xml:space="preserve">y </w:t>
      </w:r>
      <w:r w:rsidR="002F7E1E">
        <w:rPr>
          <w:rFonts w:ascii="Times New Roman" w:hAnsi="Times New Roman" w:cs="Times New Roman"/>
        </w:rPr>
        <w:t>defining matters to support the operation of Division 5D</w:t>
      </w:r>
      <w:r w:rsidR="00CD5BFC">
        <w:rPr>
          <w:rFonts w:ascii="Times New Roman" w:hAnsi="Times New Roman" w:cs="Times New Roman"/>
        </w:rPr>
        <w:t xml:space="preserve">, </w:t>
      </w:r>
      <w:r w:rsidR="001E5FE7" w:rsidRPr="00AC04A6">
        <w:rPr>
          <w:rFonts w:ascii="Times New Roman" w:hAnsi="Times New Roman" w:cs="Times New Roman"/>
        </w:rPr>
        <w:t xml:space="preserve">this instrument promotes the freedom to receive information and ideas of local significance, disseminated through television programs to people living in regional areas of Australia. </w:t>
      </w:r>
    </w:p>
    <w:p w14:paraId="238EDEAC" w14:textId="77777777" w:rsidR="001E5FE7" w:rsidRPr="00671216" w:rsidRDefault="001E5FE7" w:rsidP="001E5FE7">
      <w:pPr>
        <w:keepNext/>
        <w:rPr>
          <w:rFonts w:ascii="Times New Roman" w:hAnsi="Times New Roman" w:cs="Times New Roman"/>
          <w:b/>
          <w:i/>
        </w:rPr>
      </w:pPr>
      <w:r w:rsidRPr="00671216">
        <w:rPr>
          <w:rFonts w:ascii="Times New Roman" w:hAnsi="Times New Roman" w:cs="Times New Roman"/>
          <w:b/>
          <w:i/>
        </w:rPr>
        <w:t>Conclusion</w:t>
      </w:r>
    </w:p>
    <w:p w14:paraId="3B0123DB" w14:textId="62540F25" w:rsidR="001E5FE7" w:rsidRDefault="001E5FE7" w:rsidP="001E5FE7">
      <w:pPr>
        <w:rPr>
          <w:rFonts w:ascii="Times New Roman" w:hAnsi="Times New Roman" w:cs="Times New Roman"/>
          <w:b/>
        </w:rPr>
      </w:pPr>
      <w:r>
        <w:rPr>
          <w:rFonts w:ascii="Times New Roman" w:hAnsi="Times New Roman" w:cs="Times New Roman"/>
        </w:rPr>
        <w:t xml:space="preserve">The instrument is compatible with human rights </w:t>
      </w:r>
      <w:r w:rsidR="002F7E1E">
        <w:rPr>
          <w:rFonts w:ascii="Times New Roman" w:hAnsi="Times New Roman" w:cs="Times New Roman"/>
        </w:rPr>
        <w:t xml:space="preserve">as it </w:t>
      </w:r>
      <w:r w:rsidR="00966FB2">
        <w:rPr>
          <w:rFonts w:ascii="Times New Roman" w:hAnsi="Times New Roman" w:cs="Times New Roman"/>
        </w:rPr>
        <w:t>promotes the right to freedom of expression</w:t>
      </w:r>
      <w:r>
        <w:rPr>
          <w:rFonts w:ascii="Times New Roman" w:hAnsi="Times New Roman" w:cs="Times New Roman"/>
        </w:rPr>
        <w:t xml:space="preserve">. </w:t>
      </w:r>
    </w:p>
    <w:p w14:paraId="30D27E08" w14:textId="77777777" w:rsidR="00CB7C40" w:rsidRDefault="00CB7C40" w:rsidP="00CB7C40">
      <w:pPr>
        <w:rPr>
          <w:rFonts w:ascii="Times New Roman" w:hAnsi="Times New Roman" w:cs="Times New Roman"/>
          <w:b/>
        </w:rPr>
      </w:pPr>
      <w:bookmarkStart w:id="0" w:name="_GoBack"/>
      <w:bookmarkEnd w:id="0"/>
      <w:r>
        <w:rPr>
          <w:rFonts w:ascii="Times New Roman" w:hAnsi="Times New Roman" w:cs="Times New Roman"/>
          <w:b/>
        </w:rPr>
        <w:br w:type="page"/>
      </w:r>
    </w:p>
    <w:p w14:paraId="1639CD94" w14:textId="77777777" w:rsidR="00CB7C40" w:rsidRPr="00641906" w:rsidRDefault="00CB7C40" w:rsidP="00CB7C40">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29063FB" w14:textId="0DDC35BF" w:rsidR="00CB7C40" w:rsidRPr="00641906" w:rsidRDefault="00CB7C40" w:rsidP="00CB7C40">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7A7BD7">
        <w:rPr>
          <w:rFonts w:ascii="Times New Roman" w:hAnsi="Times New Roman" w:cs="Times New Roman"/>
          <w:b/>
          <w:i/>
          <w:sz w:val="28"/>
          <w:szCs w:val="28"/>
        </w:rPr>
        <w:t>Broadcasting Service Local Programming Determination 2018</w:t>
      </w:r>
    </w:p>
    <w:p w14:paraId="38587D62" w14:textId="77777777" w:rsidR="00CB7C40" w:rsidRDefault="00CB7C40" w:rsidP="00CB7C40">
      <w:pPr>
        <w:spacing w:before="280"/>
        <w:rPr>
          <w:rFonts w:ascii="Times New Roman" w:hAnsi="Times New Roman" w:cs="Times New Roman"/>
          <w:b/>
        </w:rPr>
      </w:pPr>
      <w:r>
        <w:rPr>
          <w:rFonts w:ascii="Times New Roman" w:hAnsi="Times New Roman" w:cs="Times New Roman"/>
          <w:b/>
        </w:rPr>
        <w:t>Part 1–Preliminary</w:t>
      </w:r>
    </w:p>
    <w:p w14:paraId="35CEF357" w14:textId="77777777" w:rsidR="00CB7C40" w:rsidRDefault="00CB7C40" w:rsidP="00CB7C40">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F5A292B" w14:textId="2E647281" w:rsidR="00CB7C40" w:rsidRPr="006940DB" w:rsidRDefault="00CB7C40" w:rsidP="00CB7C40">
      <w:pPr>
        <w:rPr>
          <w:rFonts w:ascii="Times New Roman" w:hAnsi="Times New Roman" w:cs="Times New Roman"/>
        </w:rPr>
      </w:pPr>
      <w:r>
        <w:rPr>
          <w:rFonts w:ascii="Times New Roman" w:hAnsi="Times New Roman" w:cs="Times New Roman"/>
        </w:rPr>
        <w:t xml:space="preserve">This section provides for the instrument to be cited as the </w:t>
      </w:r>
      <w:r w:rsidR="007A7BD7">
        <w:rPr>
          <w:rFonts w:ascii="Times New Roman" w:hAnsi="Times New Roman" w:cs="Times New Roman"/>
          <w:i/>
        </w:rPr>
        <w:t>Broadcasting Service Local Programming Determination 2018</w:t>
      </w:r>
      <w:r>
        <w:rPr>
          <w:rFonts w:ascii="Times New Roman" w:hAnsi="Times New Roman" w:cs="Times New Roman"/>
        </w:rPr>
        <w:t>.</w:t>
      </w:r>
    </w:p>
    <w:p w14:paraId="20EA4B49" w14:textId="77777777" w:rsidR="00CB7C40" w:rsidRDefault="00CB7C40" w:rsidP="00CB7C40">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757023D" w14:textId="772DDA64" w:rsidR="00CB7C40" w:rsidRDefault="00CB7C40" w:rsidP="00CB7C40">
      <w:pPr>
        <w:rPr>
          <w:rFonts w:ascii="Times New Roman" w:hAnsi="Times New Roman" w:cs="Times New Roman"/>
        </w:rPr>
      </w:pPr>
      <w:r>
        <w:rPr>
          <w:rFonts w:ascii="Times New Roman" w:hAnsi="Times New Roman" w:cs="Times New Roman"/>
        </w:rPr>
        <w:t>This section provides for the instrument to commence at the start of the day after it is registered on the Federal Register of Legislation</w:t>
      </w:r>
      <w:r w:rsidR="008374BC">
        <w:rPr>
          <w:rFonts w:ascii="Times New Roman" w:hAnsi="Times New Roman" w:cs="Times New Roman"/>
        </w:rPr>
        <w:t xml:space="preserve"> or 17 April 2018, whichever date is </w:t>
      </w:r>
      <w:r w:rsidR="006A3621">
        <w:rPr>
          <w:rFonts w:ascii="Times New Roman" w:hAnsi="Times New Roman" w:cs="Times New Roman"/>
        </w:rPr>
        <w:t>later</w:t>
      </w:r>
      <w:r>
        <w:rPr>
          <w:rFonts w:ascii="Times New Roman" w:hAnsi="Times New Roman" w:cs="Times New Roman"/>
        </w:rPr>
        <w:t xml:space="preserve">.  </w:t>
      </w:r>
    </w:p>
    <w:p w14:paraId="06968680" w14:textId="77777777" w:rsidR="00CB7C40" w:rsidRDefault="00CB7C40" w:rsidP="00CB7C40">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57B28722" w14:textId="3AE14461" w:rsidR="00CB7C40" w:rsidRPr="006940DB" w:rsidRDefault="00CB7C40" w:rsidP="00CB7C40">
      <w:pPr>
        <w:rPr>
          <w:rFonts w:ascii="Times New Roman" w:hAnsi="Times New Roman" w:cs="Times New Roman"/>
        </w:rPr>
      </w:pPr>
      <w:r>
        <w:rPr>
          <w:rFonts w:ascii="Times New Roman" w:hAnsi="Times New Roman" w:cs="Times New Roman"/>
        </w:rPr>
        <w:t xml:space="preserve">This section identifies </w:t>
      </w:r>
      <w:r w:rsidR="008A38AA">
        <w:rPr>
          <w:rFonts w:ascii="Times New Roman" w:hAnsi="Times New Roman" w:cs="Times New Roman"/>
        </w:rPr>
        <w:t xml:space="preserve">subsection </w:t>
      </w:r>
      <w:proofErr w:type="gramStart"/>
      <w:r w:rsidR="008A38AA">
        <w:rPr>
          <w:rFonts w:ascii="Times New Roman" w:hAnsi="Times New Roman" w:cs="Times New Roman"/>
        </w:rPr>
        <w:t>61CZ(</w:t>
      </w:r>
      <w:proofErr w:type="gramEnd"/>
      <w:r w:rsidR="008A38AA">
        <w:rPr>
          <w:rFonts w:ascii="Times New Roman" w:hAnsi="Times New Roman" w:cs="Times New Roman"/>
        </w:rPr>
        <w:t xml:space="preserve">1) of the Act as </w:t>
      </w:r>
      <w:r>
        <w:rPr>
          <w:rFonts w:ascii="Times New Roman" w:hAnsi="Times New Roman" w:cs="Times New Roman"/>
        </w:rPr>
        <w:t xml:space="preserve">the </w:t>
      </w:r>
      <w:r w:rsidR="008A38AA">
        <w:rPr>
          <w:rFonts w:ascii="Times New Roman" w:hAnsi="Times New Roman" w:cs="Times New Roman"/>
        </w:rPr>
        <w:t xml:space="preserve">statutory </w:t>
      </w:r>
      <w:r>
        <w:rPr>
          <w:rFonts w:ascii="Times New Roman" w:hAnsi="Times New Roman" w:cs="Times New Roman"/>
        </w:rPr>
        <w:t>provision that authorises the making of the instrument</w:t>
      </w:r>
      <w:r w:rsidR="006015A7">
        <w:rPr>
          <w:rFonts w:ascii="Times New Roman" w:hAnsi="Times New Roman" w:cs="Times New Roman"/>
        </w:rPr>
        <w:t xml:space="preserve">. </w:t>
      </w:r>
      <w:r>
        <w:rPr>
          <w:rFonts w:ascii="Times New Roman" w:hAnsi="Times New Roman" w:cs="Times New Roman"/>
        </w:rPr>
        <w:t xml:space="preserve"> </w:t>
      </w:r>
    </w:p>
    <w:p w14:paraId="14794A54" w14:textId="5F66629B" w:rsidR="00CB7C40" w:rsidRDefault="008374BC" w:rsidP="00CB7C40">
      <w:pPr>
        <w:rPr>
          <w:rFonts w:ascii="Times New Roman" w:hAnsi="Times New Roman" w:cs="Times New Roman"/>
          <w:b/>
        </w:rPr>
      </w:pPr>
      <w:r>
        <w:rPr>
          <w:rFonts w:ascii="Times New Roman" w:hAnsi="Times New Roman" w:cs="Times New Roman"/>
          <w:b/>
        </w:rPr>
        <w:t>Section 4</w:t>
      </w:r>
      <w:r w:rsidR="00CB7C40">
        <w:rPr>
          <w:rFonts w:ascii="Times New Roman" w:hAnsi="Times New Roman" w:cs="Times New Roman"/>
          <w:b/>
        </w:rPr>
        <w:tab/>
        <w:t>Definitions</w:t>
      </w:r>
    </w:p>
    <w:p w14:paraId="0C253F7A" w14:textId="171A843D" w:rsidR="00CB7C40" w:rsidRDefault="00CB7C40" w:rsidP="00CB7C40">
      <w:pPr>
        <w:rPr>
          <w:rFonts w:ascii="Times New Roman" w:hAnsi="Times New Roman" w:cs="Times New Roman"/>
        </w:rPr>
      </w:pPr>
      <w:r>
        <w:rPr>
          <w:rFonts w:ascii="Times New Roman" w:hAnsi="Times New Roman" w:cs="Times New Roman"/>
        </w:rPr>
        <w:t xml:space="preserve">This section defines a number of key terms used </w:t>
      </w:r>
      <w:r w:rsidR="00966FB2">
        <w:rPr>
          <w:rFonts w:ascii="Times New Roman" w:hAnsi="Times New Roman" w:cs="Times New Roman"/>
        </w:rPr>
        <w:t xml:space="preserve">in </w:t>
      </w:r>
      <w:r>
        <w:rPr>
          <w:rFonts w:ascii="Times New Roman" w:hAnsi="Times New Roman" w:cs="Times New Roman"/>
        </w:rPr>
        <w:t xml:space="preserve">the instrument.  </w:t>
      </w:r>
    </w:p>
    <w:p w14:paraId="0C00DF53" w14:textId="77777777" w:rsidR="00CB7C40" w:rsidRPr="006940DB" w:rsidRDefault="00CB7C40" w:rsidP="00CB7C40">
      <w:pPr>
        <w:rPr>
          <w:rFonts w:ascii="Times New Roman" w:hAnsi="Times New Roman" w:cs="Times New Roman"/>
        </w:rPr>
      </w:pPr>
      <w:r>
        <w:rPr>
          <w:rFonts w:ascii="Times New Roman" w:hAnsi="Times New Roman" w:cs="Times New Roman"/>
        </w:rPr>
        <w:t>A number of other expressions used in the instrument are defined in the Act.</w:t>
      </w:r>
    </w:p>
    <w:p w14:paraId="188428E1" w14:textId="6DC8DAA3" w:rsidR="00CB7C40" w:rsidRDefault="00CB7C40" w:rsidP="00CB7C40">
      <w:pPr>
        <w:rPr>
          <w:rFonts w:ascii="Times New Roman" w:hAnsi="Times New Roman" w:cs="Times New Roman"/>
          <w:b/>
        </w:rPr>
      </w:pPr>
      <w:r>
        <w:rPr>
          <w:rFonts w:ascii="Times New Roman" w:hAnsi="Times New Roman" w:cs="Times New Roman"/>
          <w:b/>
        </w:rPr>
        <w:t xml:space="preserve">Section </w:t>
      </w:r>
      <w:r w:rsidR="008374BC">
        <w:rPr>
          <w:rFonts w:ascii="Times New Roman" w:hAnsi="Times New Roman" w:cs="Times New Roman"/>
          <w:b/>
        </w:rPr>
        <w:t>5</w:t>
      </w:r>
      <w:r>
        <w:rPr>
          <w:rFonts w:ascii="Times New Roman" w:hAnsi="Times New Roman" w:cs="Times New Roman"/>
          <w:b/>
        </w:rPr>
        <w:tab/>
        <w:t>References to other instruments</w:t>
      </w:r>
    </w:p>
    <w:p w14:paraId="2120FC48" w14:textId="77777777" w:rsidR="00CB7C40" w:rsidRDefault="00CB7C40" w:rsidP="00CB7C40">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097B2702" w14:textId="77777777" w:rsidR="00CB7C40" w:rsidRPr="0036752E" w:rsidRDefault="00CB7C40" w:rsidP="00CB7C40">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54942AD4" w14:textId="7EAB367D" w:rsidR="00CB7C40" w:rsidRPr="0036752E" w:rsidRDefault="00CB7C40" w:rsidP="00CB7C40">
      <w:pPr>
        <w:pStyle w:val="ListParagraph"/>
        <w:numPr>
          <w:ilvl w:val="0"/>
          <w:numId w:val="7"/>
        </w:numPr>
        <w:rPr>
          <w:rFonts w:ascii="Times New Roman" w:hAnsi="Times New Roman" w:cs="Times New Roman"/>
        </w:rPr>
      </w:pPr>
      <w:proofErr w:type="gramStart"/>
      <w:r w:rsidRPr="0036752E">
        <w:rPr>
          <w:rFonts w:ascii="Times New Roman" w:hAnsi="Times New Roman" w:cs="Times New Roman"/>
        </w:rPr>
        <w:t>a</w:t>
      </w:r>
      <w:proofErr w:type="gramEnd"/>
      <w:r w:rsidRPr="0036752E">
        <w:rPr>
          <w:rFonts w:ascii="Times New Roman" w:hAnsi="Times New Roman" w:cs="Times New Roman"/>
        </w:rPr>
        <w:t xml:space="preserve"> reference to any other kind of instrument is a reference to that other instrument as in f</w:t>
      </w:r>
      <w:r>
        <w:rPr>
          <w:rFonts w:ascii="Times New Roman" w:hAnsi="Times New Roman" w:cs="Times New Roman"/>
        </w:rPr>
        <w:t>orce at the commencement of the</w:t>
      </w:r>
      <w:r w:rsidRPr="0036752E">
        <w:rPr>
          <w:rFonts w:ascii="Times New Roman" w:hAnsi="Times New Roman" w:cs="Times New Roman"/>
        </w:rPr>
        <w:t xml:space="preserve"> instrument.</w:t>
      </w:r>
    </w:p>
    <w:p w14:paraId="533BDC35" w14:textId="7A27B460" w:rsidR="00CB7C40" w:rsidRDefault="00CB7C40" w:rsidP="00CB7C40">
      <w:pPr>
        <w:rPr>
          <w:rFonts w:ascii="Times New Roman" w:hAnsi="Times New Roman" w:cs="Times New Roman"/>
          <w:b/>
        </w:rPr>
      </w:pPr>
      <w:r>
        <w:rPr>
          <w:rFonts w:ascii="Times New Roman" w:hAnsi="Times New Roman" w:cs="Times New Roman"/>
          <w:b/>
        </w:rPr>
        <w:t>Part 2–</w:t>
      </w:r>
      <w:r w:rsidR="00FD0C69">
        <w:rPr>
          <w:rFonts w:ascii="Times New Roman" w:hAnsi="Times New Roman" w:cs="Times New Roman"/>
          <w:b/>
        </w:rPr>
        <w:t>Material of local significance</w:t>
      </w:r>
    </w:p>
    <w:p w14:paraId="3A7BCB40" w14:textId="75C74ABF" w:rsidR="00CB7C40" w:rsidRDefault="00CB7C40" w:rsidP="00CB7C40">
      <w:pPr>
        <w:rPr>
          <w:rFonts w:ascii="Times New Roman" w:hAnsi="Times New Roman" w:cs="Times New Roman"/>
          <w:b/>
        </w:rPr>
      </w:pPr>
      <w:r>
        <w:rPr>
          <w:rFonts w:ascii="Times New Roman" w:hAnsi="Times New Roman" w:cs="Times New Roman"/>
          <w:b/>
        </w:rPr>
        <w:t xml:space="preserve">Section </w:t>
      </w:r>
      <w:r w:rsidR="00FD0C69">
        <w:rPr>
          <w:rFonts w:ascii="Times New Roman" w:hAnsi="Times New Roman" w:cs="Times New Roman"/>
          <w:b/>
        </w:rPr>
        <w:t>6</w:t>
      </w:r>
      <w:r>
        <w:rPr>
          <w:rFonts w:ascii="Times New Roman" w:hAnsi="Times New Roman" w:cs="Times New Roman"/>
          <w:b/>
        </w:rPr>
        <w:tab/>
      </w:r>
      <w:r w:rsidR="00FD0C69">
        <w:rPr>
          <w:rFonts w:ascii="Times New Roman" w:hAnsi="Times New Roman" w:cs="Times New Roman"/>
          <w:b/>
        </w:rPr>
        <w:t>Material of local significance</w:t>
      </w:r>
    </w:p>
    <w:p w14:paraId="3A31229A" w14:textId="39B3A43D" w:rsidR="00CB7C40" w:rsidRDefault="00FD0C69" w:rsidP="00CB7C40">
      <w:pPr>
        <w:rPr>
          <w:rFonts w:ascii="Times New Roman" w:hAnsi="Times New Roman" w:cs="Times New Roman"/>
        </w:rPr>
      </w:pPr>
      <w:r>
        <w:rPr>
          <w:rFonts w:ascii="Times New Roman" w:hAnsi="Times New Roman" w:cs="Times New Roman"/>
        </w:rPr>
        <w:t xml:space="preserve">Section 6 defines material of local significance. </w:t>
      </w:r>
      <w:r w:rsidR="00AB52D0">
        <w:rPr>
          <w:rFonts w:ascii="Times New Roman" w:hAnsi="Times New Roman" w:cs="Times New Roman"/>
        </w:rPr>
        <w:t xml:space="preserve">This definition is substantially unchanged from the </w:t>
      </w:r>
      <w:r w:rsidR="00033D57">
        <w:rPr>
          <w:rFonts w:ascii="Times New Roman" w:hAnsi="Times New Roman" w:cs="Times New Roman"/>
        </w:rPr>
        <w:t xml:space="preserve">definition provided in the </w:t>
      </w:r>
      <w:r w:rsidR="00B3270D">
        <w:rPr>
          <w:rFonts w:ascii="Times New Roman" w:hAnsi="Times New Roman" w:cs="Times New Roman"/>
        </w:rPr>
        <w:t>2014</w:t>
      </w:r>
      <w:r w:rsidR="006A3621">
        <w:rPr>
          <w:rFonts w:ascii="Times New Roman" w:hAnsi="Times New Roman" w:cs="Times New Roman"/>
        </w:rPr>
        <w:t xml:space="preserve"> </w:t>
      </w:r>
      <w:r w:rsidR="00AB52D0">
        <w:rPr>
          <w:rFonts w:ascii="Times New Roman" w:hAnsi="Times New Roman" w:cs="Times New Roman"/>
        </w:rPr>
        <w:t xml:space="preserve">licence condition. </w:t>
      </w:r>
      <w:r w:rsidR="006A3621">
        <w:rPr>
          <w:rFonts w:ascii="Times New Roman" w:hAnsi="Times New Roman" w:cs="Times New Roman"/>
        </w:rPr>
        <w:t xml:space="preserve">In order to be material of local significance, the material must directly relate to the local area for the licence, or the licence area for that licence.  Advertising and sponsorship matter is expressly excluded from the scope of the definition; however, community service announcements may fall within the definition of material of local significance.  Material that constitutes an announcement that material of local significance will appear later is not material of local significance.  For example, a promotion of an upcoming </w:t>
      </w:r>
      <w:r w:rsidR="005B548E">
        <w:rPr>
          <w:rFonts w:ascii="Times New Roman" w:hAnsi="Times New Roman" w:cs="Times New Roman"/>
        </w:rPr>
        <w:t>local news show does not count as material of local significance, and cannot accumulate points towards the total required for that particular licence in the relevant timing period.</w:t>
      </w:r>
    </w:p>
    <w:p w14:paraId="7DD026E3" w14:textId="77777777" w:rsidR="00B25709" w:rsidRDefault="00B25709" w:rsidP="00FD0C69">
      <w:pPr>
        <w:rPr>
          <w:rFonts w:ascii="Times New Roman" w:hAnsi="Times New Roman" w:cs="Times New Roman"/>
          <w:b/>
        </w:rPr>
      </w:pPr>
    </w:p>
    <w:p w14:paraId="3570CB07" w14:textId="77777777" w:rsidR="00B25709" w:rsidRDefault="00B25709" w:rsidP="00FD0C69">
      <w:pPr>
        <w:rPr>
          <w:rFonts w:ascii="Times New Roman" w:hAnsi="Times New Roman" w:cs="Times New Roman"/>
          <w:b/>
        </w:rPr>
      </w:pPr>
    </w:p>
    <w:p w14:paraId="4329890F" w14:textId="77777777" w:rsidR="00B25709" w:rsidRDefault="00B25709" w:rsidP="00FD0C69">
      <w:pPr>
        <w:rPr>
          <w:rFonts w:ascii="Times New Roman" w:hAnsi="Times New Roman" w:cs="Times New Roman"/>
          <w:b/>
        </w:rPr>
      </w:pPr>
    </w:p>
    <w:p w14:paraId="2B7BE329" w14:textId="77777777" w:rsidR="00B25709" w:rsidRDefault="00B25709" w:rsidP="00FD0C69">
      <w:pPr>
        <w:rPr>
          <w:rFonts w:ascii="Times New Roman" w:hAnsi="Times New Roman" w:cs="Times New Roman"/>
          <w:b/>
        </w:rPr>
      </w:pPr>
    </w:p>
    <w:p w14:paraId="2C5A243C" w14:textId="16A5ECFB" w:rsidR="00FD0C69" w:rsidRDefault="00FD0C69" w:rsidP="00FD0C69">
      <w:pPr>
        <w:rPr>
          <w:rFonts w:ascii="Times New Roman" w:hAnsi="Times New Roman" w:cs="Times New Roman"/>
          <w:b/>
        </w:rPr>
      </w:pPr>
      <w:r>
        <w:rPr>
          <w:rFonts w:ascii="Times New Roman" w:hAnsi="Times New Roman" w:cs="Times New Roman"/>
          <w:b/>
        </w:rPr>
        <w:lastRenderedPageBreak/>
        <w:t>Part 3–Local area</w:t>
      </w:r>
    </w:p>
    <w:p w14:paraId="0A094B4F" w14:textId="59306296" w:rsidR="00CB7C40" w:rsidRDefault="00CB7C40" w:rsidP="00CB7C40">
      <w:pPr>
        <w:rPr>
          <w:rFonts w:ascii="Times New Roman" w:hAnsi="Times New Roman" w:cs="Times New Roman"/>
          <w:b/>
        </w:rPr>
      </w:pPr>
      <w:r>
        <w:rPr>
          <w:rFonts w:ascii="Times New Roman" w:hAnsi="Times New Roman" w:cs="Times New Roman"/>
          <w:b/>
        </w:rPr>
        <w:t>Section</w:t>
      </w:r>
      <w:r w:rsidR="00FD0C69">
        <w:rPr>
          <w:rFonts w:ascii="Times New Roman" w:hAnsi="Times New Roman" w:cs="Times New Roman"/>
          <w:b/>
        </w:rPr>
        <w:t xml:space="preserve"> 7</w:t>
      </w:r>
      <w:r>
        <w:rPr>
          <w:rFonts w:ascii="Times New Roman" w:hAnsi="Times New Roman" w:cs="Times New Roman"/>
          <w:b/>
        </w:rPr>
        <w:t xml:space="preserve"> </w:t>
      </w:r>
      <w:r>
        <w:rPr>
          <w:rFonts w:ascii="Times New Roman" w:hAnsi="Times New Roman" w:cs="Times New Roman"/>
          <w:b/>
        </w:rPr>
        <w:tab/>
      </w:r>
      <w:r w:rsidR="00FD0C69">
        <w:rPr>
          <w:rFonts w:ascii="Times New Roman" w:hAnsi="Times New Roman" w:cs="Times New Roman"/>
          <w:b/>
        </w:rPr>
        <w:t xml:space="preserve">Local area for regional aggregated commercial television </w:t>
      </w:r>
      <w:r w:rsidR="00F937BC">
        <w:rPr>
          <w:rFonts w:ascii="Times New Roman" w:hAnsi="Times New Roman" w:cs="Times New Roman"/>
          <w:b/>
        </w:rPr>
        <w:t xml:space="preserve">broadcasting </w:t>
      </w:r>
      <w:r w:rsidR="00FD0C69">
        <w:rPr>
          <w:rFonts w:ascii="Times New Roman" w:hAnsi="Times New Roman" w:cs="Times New Roman"/>
          <w:b/>
        </w:rPr>
        <w:t xml:space="preserve">licences </w:t>
      </w:r>
    </w:p>
    <w:p w14:paraId="0AD0F703" w14:textId="7F34434C" w:rsidR="00C82323" w:rsidRDefault="00FD0C69" w:rsidP="00C82323">
      <w:pPr>
        <w:rPr>
          <w:rFonts w:ascii="Times New Roman" w:hAnsi="Times New Roman" w:cs="Times New Roman"/>
        </w:rPr>
      </w:pPr>
      <w:r>
        <w:rPr>
          <w:rFonts w:ascii="Times New Roman" w:hAnsi="Times New Roman" w:cs="Times New Roman"/>
        </w:rPr>
        <w:t xml:space="preserve">Section 7 specifies the </w:t>
      </w:r>
      <w:r w:rsidR="008A38AA">
        <w:rPr>
          <w:rFonts w:ascii="Times New Roman" w:hAnsi="Times New Roman" w:cs="Times New Roman"/>
        </w:rPr>
        <w:t xml:space="preserve">local </w:t>
      </w:r>
      <w:r>
        <w:rPr>
          <w:rFonts w:ascii="Times New Roman" w:hAnsi="Times New Roman" w:cs="Times New Roman"/>
        </w:rPr>
        <w:t xml:space="preserve">areas </w:t>
      </w:r>
      <w:r w:rsidR="008A38AA">
        <w:rPr>
          <w:rFonts w:ascii="Times New Roman" w:hAnsi="Times New Roman" w:cs="Times New Roman"/>
        </w:rPr>
        <w:t xml:space="preserve">for each </w:t>
      </w:r>
      <w:r>
        <w:rPr>
          <w:rFonts w:ascii="Times New Roman" w:hAnsi="Times New Roman" w:cs="Times New Roman"/>
        </w:rPr>
        <w:t>of the regional aggregated licences to which the instrument relates.</w:t>
      </w:r>
      <w:r w:rsidR="00C82323" w:rsidRPr="00C82323">
        <w:rPr>
          <w:rFonts w:ascii="Times New Roman" w:hAnsi="Times New Roman" w:cs="Times New Roman"/>
        </w:rPr>
        <w:t xml:space="preserve"> </w:t>
      </w:r>
      <w:r w:rsidR="00C82323">
        <w:rPr>
          <w:rFonts w:ascii="Times New Roman" w:hAnsi="Times New Roman" w:cs="Times New Roman"/>
        </w:rPr>
        <w:t xml:space="preserve">Local areas for each of the regional aggregated commercial television broadcasting licences are the same as the local areas defined for those licences in the </w:t>
      </w:r>
      <w:r w:rsidR="00B3270D">
        <w:rPr>
          <w:rFonts w:ascii="Times New Roman" w:hAnsi="Times New Roman" w:cs="Times New Roman"/>
        </w:rPr>
        <w:t>2014</w:t>
      </w:r>
      <w:r w:rsidR="005B548E">
        <w:rPr>
          <w:rFonts w:ascii="Times New Roman" w:hAnsi="Times New Roman" w:cs="Times New Roman"/>
        </w:rPr>
        <w:t xml:space="preserve"> </w:t>
      </w:r>
      <w:r w:rsidR="00C82323">
        <w:rPr>
          <w:rFonts w:ascii="Times New Roman" w:hAnsi="Times New Roman" w:cs="Times New Roman"/>
        </w:rPr>
        <w:t xml:space="preserve">licence condition.  </w:t>
      </w:r>
      <w:r w:rsidR="005B548E">
        <w:rPr>
          <w:rFonts w:ascii="Times New Roman" w:hAnsi="Times New Roman" w:cs="Times New Roman"/>
        </w:rPr>
        <w:t xml:space="preserve">The areas are defined by reference to </w:t>
      </w:r>
      <w:r w:rsidR="00862052">
        <w:rPr>
          <w:rFonts w:ascii="Times New Roman" w:hAnsi="Times New Roman" w:cs="Times New Roman"/>
        </w:rPr>
        <w:t>geographical areas defined for the purposes of the 7 August 2001 Census conducted by the Australian Bureau of Statistics.</w:t>
      </w:r>
    </w:p>
    <w:p w14:paraId="7A1E640D" w14:textId="2DE5A651" w:rsidR="00CB7C40" w:rsidRDefault="00CB7C40" w:rsidP="00B25709">
      <w:pPr>
        <w:ind w:left="1440" w:hanging="1440"/>
        <w:rPr>
          <w:rFonts w:ascii="Times New Roman" w:hAnsi="Times New Roman" w:cs="Times New Roman"/>
          <w:b/>
        </w:rPr>
      </w:pPr>
      <w:r>
        <w:rPr>
          <w:rFonts w:ascii="Times New Roman" w:hAnsi="Times New Roman" w:cs="Times New Roman"/>
          <w:b/>
        </w:rPr>
        <w:t xml:space="preserve">Section </w:t>
      </w:r>
      <w:r w:rsidR="00FD0C69">
        <w:rPr>
          <w:rFonts w:ascii="Times New Roman" w:hAnsi="Times New Roman" w:cs="Times New Roman"/>
          <w:b/>
        </w:rPr>
        <w:t>8</w:t>
      </w:r>
      <w:r>
        <w:rPr>
          <w:rFonts w:ascii="Times New Roman" w:hAnsi="Times New Roman" w:cs="Times New Roman"/>
          <w:b/>
        </w:rPr>
        <w:tab/>
      </w:r>
      <w:r w:rsidR="00FD0C69">
        <w:rPr>
          <w:rFonts w:ascii="Times New Roman" w:hAnsi="Times New Roman" w:cs="Times New Roman"/>
          <w:b/>
        </w:rPr>
        <w:t>Local area for regional non-aggregated commercial television broadcasting licences</w:t>
      </w:r>
    </w:p>
    <w:p w14:paraId="7AF15323" w14:textId="76340C84" w:rsidR="00CB7C40" w:rsidRDefault="00FD0C69" w:rsidP="00CB7C40">
      <w:pPr>
        <w:rPr>
          <w:rFonts w:ascii="Times New Roman" w:hAnsi="Times New Roman" w:cs="Times New Roman"/>
        </w:rPr>
      </w:pPr>
      <w:r>
        <w:rPr>
          <w:rFonts w:ascii="Times New Roman" w:hAnsi="Times New Roman" w:cs="Times New Roman"/>
        </w:rPr>
        <w:t xml:space="preserve">Section 8 specifies the </w:t>
      </w:r>
      <w:r w:rsidR="008A38AA">
        <w:rPr>
          <w:rFonts w:ascii="Times New Roman" w:hAnsi="Times New Roman" w:cs="Times New Roman"/>
        </w:rPr>
        <w:t xml:space="preserve">local </w:t>
      </w:r>
      <w:r>
        <w:rPr>
          <w:rFonts w:ascii="Times New Roman" w:hAnsi="Times New Roman" w:cs="Times New Roman"/>
        </w:rPr>
        <w:t>area</w:t>
      </w:r>
      <w:r w:rsidR="008A38AA">
        <w:rPr>
          <w:rFonts w:ascii="Times New Roman" w:hAnsi="Times New Roman" w:cs="Times New Roman"/>
        </w:rPr>
        <w:t xml:space="preserve"> for each</w:t>
      </w:r>
      <w:r>
        <w:rPr>
          <w:rFonts w:ascii="Times New Roman" w:hAnsi="Times New Roman" w:cs="Times New Roman"/>
        </w:rPr>
        <w:t xml:space="preserve"> of the regional non-aggregated commercial television broadcasting licences to which the instrument relates. </w:t>
      </w:r>
      <w:r w:rsidR="008A38AA">
        <w:rPr>
          <w:rFonts w:ascii="Times New Roman" w:hAnsi="Times New Roman" w:cs="Times New Roman"/>
        </w:rPr>
        <w:t>With the exception of the licence for the Regional and Remote Western Australia TV1 licence area (</w:t>
      </w:r>
      <w:r w:rsidR="008A38AA">
        <w:rPr>
          <w:rFonts w:ascii="Times New Roman" w:hAnsi="Times New Roman" w:cs="Times New Roman"/>
          <w:b/>
        </w:rPr>
        <w:t>RRWA TV1</w:t>
      </w:r>
      <w:r w:rsidR="008A38AA" w:rsidRPr="00731646">
        <w:rPr>
          <w:rFonts w:ascii="Times New Roman" w:hAnsi="Times New Roman" w:cs="Times New Roman"/>
        </w:rPr>
        <w:t>)</w:t>
      </w:r>
      <w:r w:rsidR="008A38AA">
        <w:rPr>
          <w:rFonts w:ascii="Times New Roman" w:hAnsi="Times New Roman" w:cs="Times New Roman"/>
        </w:rPr>
        <w:t xml:space="preserve">, </w:t>
      </w:r>
      <w:r w:rsidR="00033D57">
        <w:rPr>
          <w:rFonts w:ascii="Times New Roman" w:hAnsi="Times New Roman" w:cs="Times New Roman"/>
        </w:rPr>
        <w:t xml:space="preserve">the </w:t>
      </w:r>
      <w:r w:rsidR="008A38AA">
        <w:rPr>
          <w:rFonts w:ascii="Times New Roman" w:hAnsi="Times New Roman" w:cs="Times New Roman"/>
        </w:rPr>
        <w:t xml:space="preserve">local area for a regional non-aggregated commercial television broadcasting licence is defined to be </w:t>
      </w:r>
      <w:r w:rsidR="00033D57">
        <w:rPr>
          <w:rFonts w:ascii="Times New Roman" w:hAnsi="Times New Roman" w:cs="Times New Roman"/>
        </w:rPr>
        <w:t>an area equivalent to</w:t>
      </w:r>
      <w:r w:rsidR="008A38AA">
        <w:rPr>
          <w:rFonts w:ascii="Times New Roman" w:hAnsi="Times New Roman" w:cs="Times New Roman"/>
        </w:rPr>
        <w:t xml:space="preserve"> the licence area for that licence.</w:t>
      </w:r>
    </w:p>
    <w:p w14:paraId="1D199EA6" w14:textId="5260E5C2" w:rsidR="00FD0C69" w:rsidRDefault="008A38AA" w:rsidP="00CB7C40">
      <w:pPr>
        <w:rPr>
          <w:rFonts w:ascii="Times New Roman" w:hAnsi="Times New Roman" w:cs="Times New Roman"/>
        </w:rPr>
      </w:pPr>
      <w:r>
        <w:rPr>
          <w:rFonts w:ascii="Times New Roman" w:hAnsi="Times New Roman" w:cs="Times New Roman"/>
        </w:rPr>
        <w:t xml:space="preserve">In the case of the licence for RRWA TV1, the local area is defined to be the combined area equivalent to the licence areas of </w:t>
      </w:r>
      <w:r w:rsidRPr="008A38AA">
        <w:rPr>
          <w:rFonts w:ascii="Times New Roman" w:hAnsi="Times New Roman" w:cs="Times New Roman"/>
        </w:rPr>
        <w:t>Geraldton TV1, Kalgoorlie TV1, South West and Great Southern TV1</w:t>
      </w:r>
      <w:r w:rsidR="00862052">
        <w:rPr>
          <w:rFonts w:ascii="Times New Roman" w:hAnsi="Times New Roman" w:cs="Times New Roman"/>
        </w:rPr>
        <w:t xml:space="preserve">, which are </w:t>
      </w:r>
      <w:r w:rsidR="00810EE3">
        <w:rPr>
          <w:rFonts w:ascii="Times New Roman" w:hAnsi="Times New Roman" w:cs="Times New Roman"/>
        </w:rPr>
        <w:t xml:space="preserve">currently </w:t>
      </w:r>
      <w:r w:rsidR="00862052">
        <w:rPr>
          <w:rFonts w:ascii="Times New Roman" w:hAnsi="Times New Roman" w:cs="Times New Roman"/>
        </w:rPr>
        <w:t xml:space="preserve">set out in the </w:t>
      </w:r>
      <w:r w:rsidR="00862052" w:rsidRPr="00736092">
        <w:rPr>
          <w:rFonts w:ascii="Times New Roman" w:hAnsi="Times New Roman" w:cs="Times New Roman"/>
          <w:i/>
        </w:rPr>
        <w:t>Television Licence Area Plan (Remote and Regional Western Australia) 2013</w:t>
      </w:r>
      <w:r>
        <w:rPr>
          <w:rFonts w:ascii="Times New Roman" w:hAnsi="Times New Roman" w:cs="Times New Roman"/>
        </w:rPr>
        <w:t>.</w:t>
      </w:r>
    </w:p>
    <w:p w14:paraId="6BF6357A" w14:textId="5313D80D" w:rsidR="00FD0C69" w:rsidRDefault="00FD0C69" w:rsidP="00FD0C69">
      <w:pPr>
        <w:rPr>
          <w:rFonts w:ascii="Times New Roman" w:hAnsi="Times New Roman" w:cs="Times New Roman"/>
          <w:b/>
        </w:rPr>
      </w:pPr>
      <w:r>
        <w:rPr>
          <w:rFonts w:ascii="Times New Roman" w:hAnsi="Times New Roman" w:cs="Times New Roman"/>
          <w:b/>
        </w:rPr>
        <w:t>Part 4–Additional requirements for certain material of local significance</w:t>
      </w:r>
    </w:p>
    <w:p w14:paraId="4403BE1F" w14:textId="77777777" w:rsidR="00FD0C69" w:rsidRDefault="00FD0C69" w:rsidP="00FD0C69">
      <w:pPr>
        <w:rPr>
          <w:rFonts w:ascii="Times New Roman" w:hAnsi="Times New Roman" w:cs="Times New Roman"/>
          <w:b/>
        </w:rPr>
      </w:pPr>
      <w:r>
        <w:rPr>
          <w:rFonts w:ascii="Times New Roman" w:hAnsi="Times New Roman" w:cs="Times New Roman"/>
          <w:b/>
        </w:rPr>
        <w:t>Section 9</w:t>
      </w:r>
      <w:r>
        <w:rPr>
          <w:rFonts w:ascii="Times New Roman" w:hAnsi="Times New Roman" w:cs="Times New Roman"/>
          <w:b/>
        </w:rPr>
        <w:tab/>
        <w:t>Additional requirements to accumulate 3 points per minute</w:t>
      </w:r>
    </w:p>
    <w:p w14:paraId="2EB67944" w14:textId="5385D5F8" w:rsidR="00736092" w:rsidRDefault="00FD0C69" w:rsidP="00736092">
      <w:pPr>
        <w:rPr>
          <w:rFonts w:ascii="Times New Roman" w:hAnsi="Times New Roman" w:cs="Times New Roman"/>
        </w:rPr>
      </w:pPr>
      <w:r>
        <w:rPr>
          <w:rFonts w:ascii="Times New Roman" w:hAnsi="Times New Roman" w:cs="Times New Roman"/>
        </w:rPr>
        <w:t xml:space="preserve">Section </w:t>
      </w:r>
      <w:r w:rsidR="00736092">
        <w:rPr>
          <w:rFonts w:ascii="Times New Roman" w:hAnsi="Times New Roman" w:cs="Times New Roman"/>
        </w:rPr>
        <w:t xml:space="preserve">61CY of the Act sets out the system for calculating points for licences required to accumulate points of local content in timing periods.  Relevantly, item 1 of the table following subsection </w:t>
      </w:r>
      <w:proofErr w:type="gramStart"/>
      <w:r w:rsidR="00736092">
        <w:rPr>
          <w:rFonts w:ascii="Times New Roman" w:hAnsi="Times New Roman" w:cs="Times New Roman"/>
        </w:rPr>
        <w:t>61CY(</w:t>
      </w:r>
      <w:proofErr w:type="gramEnd"/>
      <w:r w:rsidR="00736092">
        <w:rPr>
          <w:rFonts w:ascii="Times New Roman" w:hAnsi="Times New Roman" w:cs="Times New Roman"/>
        </w:rPr>
        <w:t xml:space="preserve">3) of the Act includes specifications for material that will accumulate 3 points per minute (the maximum available), and provides that the ACMA may specify additional requirements in the local programming determination.  Section </w:t>
      </w:r>
      <w:r>
        <w:rPr>
          <w:rFonts w:ascii="Times New Roman" w:hAnsi="Times New Roman" w:cs="Times New Roman"/>
        </w:rPr>
        <w:t xml:space="preserve">9 </w:t>
      </w:r>
      <w:r w:rsidR="00810EE3">
        <w:rPr>
          <w:rFonts w:ascii="Times New Roman" w:hAnsi="Times New Roman" w:cs="Times New Roman"/>
        </w:rPr>
        <w:t xml:space="preserve">of the instrument </w:t>
      </w:r>
      <w:r>
        <w:rPr>
          <w:rFonts w:ascii="Times New Roman" w:hAnsi="Times New Roman" w:cs="Times New Roman"/>
        </w:rPr>
        <w:t xml:space="preserve">specifies the additional requirements </w:t>
      </w:r>
      <w:r w:rsidR="00E322D9">
        <w:rPr>
          <w:rFonts w:ascii="Times New Roman" w:hAnsi="Times New Roman" w:cs="Times New Roman"/>
        </w:rPr>
        <w:t>to accumulate 3 points per minute</w:t>
      </w:r>
      <w:r w:rsidR="00E322D9" w:rsidRPr="00736092">
        <w:rPr>
          <w:rFonts w:ascii="Times New Roman" w:hAnsi="Times New Roman" w:cs="Times New Roman"/>
        </w:rPr>
        <w:t xml:space="preserve">. </w:t>
      </w:r>
      <w:r w:rsidR="00736092">
        <w:rPr>
          <w:rFonts w:ascii="Times New Roman" w:hAnsi="Times New Roman" w:cs="Times New Roman"/>
        </w:rPr>
        <w:t>The ACMA has specified the following additional requirements:</w:t>
      </w:r>
    </w:p>
    <w:p w14:paraId="3B7D7CFB" w14:textId="3042E93D" w:rsidR="00736092" w:rsidRPr="00736092" w:rsidRDefault="00810EE3" w:rsidP="00736092">
      <w:pPr>
        <w:pStyle w:val="ListParagraph"/>
        <w:numPr>
          <w:ilvl w:val="0"/>
          <w:numId w:val="16"/>
        </w:numPr>
        <w:rPr>
          <w:rFonts w:ascii="Times New Roman" w:hAnsi="Times New Roman" w:cs="Times New Roman"/>
        </w:rPr>
      </w:pPr>
      <w:r>
        <w:rPr>
          <w:rFonts w:ascii="Times New Roman" w:hAnsi="Times New Roman" w:cs="Times New Roman"/>
        </w:rPr>
        <w:t xml:space="preserve">the </w:t>
      </w:r>
      <w:r w:rsidR="00736092" w:rsidRPr="00736092">
        <w:rPr>
          <w:rFonts w:ascii="Times New Roman" w:hAnsi="Times New Roman" w:cs="Times New Roman"/>
        </w:rPr>
        <w:t>news item in question must relate directly to the local area;</w:t>
      </w:r>
      <w:r w:rsidR="00F937BC">
        <w:rPr>
          <w:rFonts w:ascii="Times New Roman" w:hAnsi="Times New Roman" w:cs="Times New Roman"/>
        </w:rPr>
        <w:t xml:space="preserve"> and</w:t>
      </w:r>
    </w:p>
    <w:p w14:paraId="1F56D05D" w14:textId="3406874F" w:rsidR="00736092" w:rsidRPr="00810EE3" w:rsidRDefault="00736092" w:rsidP="00736092">
      <w:pPr>
        <w:pStyle w:val="ListParagraph"/>
        <w:numPr>
          <w:ilvl w:val="0"/>
          <w:numId w:val="16"/>
        </w:numPr>
        <w:rPr>
          <w:rFonts w:ascii="Times New Roman" w:hAnsi="Times New Roman" w:cs="Times New Roman"/>
        </w:rPr>
      </w:pPr>
      <w:r>
        <w:rPr>
          <w:rFonts w:ascii="Times New Roman" w:hAnsi="Times New Roman" w:cs="Times New Roman"/>
        </w:rPr>
        <w:t xml:space="preserve">the depiction of </w:t>
      </w:r>
      <w:r w:rsidR="00B238E1" w:rsidRPr="00736092">
        <w:rPr>
          <w:rFonts w:ascii="Times New Roman" w:hAnsi="Times New Roman" w:cs="Times New Roman"/>
          <w:snapToGrid w:val="0"/>
        </w:rPr>
        <w:t xml:space="preserve">people, places or things </w:t>
      </w:r>
      <w:r>
        <w:rPr>
          <w:rFonts w:ascii="Times New Roman" w:hAnsi="Times New Roman" w:cs="Times New Roman"/>
          <w:snapToGrid w:val="0"/>
        </w:rPr>
        <w:t>must predominantly consist of moving images; and</w:t>
      </w:r>
    </w:p>
    <w:p w14:paraId="625AF7C2" w14:textId="6F4FCAE2" w:rsidR="00736092" w:rsidRDefault="00F937BC" w:rsidP="00736092">
      <w:pPr>
        <w:pStyle w:val="ListParagraph"/>
        <w:numPr>
          <w:ilvl w:val="0"/>
          <w:numId w:val="16"/>
        </w:numPr>
        <w:rPr>
          <w:rFonts w:ascii="Times New Roman" w:hAnsi="Times New Roman" w:cs="Times New Roman"/>
        </w:rPr>
      </w:pPr>
      <w:proofErr w:type="gramStart"/>
      <w:r>
        <w:rPr>
          <w:rFonts w:ascii="Times New Roman" w:hAnsi="Times New Roman" w:cs="Times New Roman"/>
          <w:snapToGrid w:val="0"/>
        </w:rPr>
        <w:t>certain</w:t>
      </w:r>
      <w:proofErr w:type="gramEnd"/>
      <w:r>
        <w:rPr>
          <w:rFonts w:ascii="Times New Roman" w:hAnsi="Times New Roman" w:cs="Times New Roman"/>
          <w:snapToGrid w:val="0"/>
        </w:rPr>
        <w:t xml:space="preserve"> </w:t>
      </w:r>
      <w:r w:rsidR="00736092">
        <w:rPr>
          <w:rFonts w:ascii="Times New Roman" w:hAnsi="Times New Roman" w:cs="Times New Roman"/>
          <w:snapToGrid w:val="0"/>
        </w:rPr>
        <w:t xml:space="preserve">restrictions </w:t>
      </w:r>
      <w:r>
        <w:rPr>
          <w:rFonts w:ascii="Times New Roman" w:hAnsi="Times New Roman" w:cs="Times New Roman"/>
          <w:snapToGrid w:val="0"/>
        </w:rPr>
        <w:t>on the extent and nature of</w:t>
      </w:r>
      <w:r w:rsidR="00736092">
        <w:rPr>
          <w:rFonts w:ascii="Times New Roman" w:hAnsi="Times New Roman" w:cs="Times New Roman"/>
          <w:snapToGrid w:val="0"/>
        </w:rPr>
        <w:t xml:space="preserve"> file footage</w:t>
      </w:r>
      <w:r>
        <w:rPr>
          <w:rFonts w:ascii="Times New Roman" w:hAnsi="Times New Roman" w:cs="Times New Roman"/>
          <w:snapToGrid w:val="0"/>
        </w:rPr>
        <w:t xml:space="preserve"> which</w:t>
      </w:r>
      <w:r w:rsidR="00736092">
        <w:rPr>
          <w:rFonts w:ascii="Times New Roman" w:hAnsi="Times New Roman" w:cs="Times New Roman"/>
          <w:snapToGrid w:val="0"/>
        </w:rPr>
        <w:t xml:space="preserve"> may be used</w:t>
      </w:r>
      <w:r w:rsidR="00365199" w:rsidRPr="00810EE3">
        <w:rPr>
          <w:rFonts w:ascii="Times New Roman" w:hAnsi="Times New Roman" w:cs="Times New Roman"/>
        </w:rPr>
        <w:t>.</w:t>
      </w:r>
    </w:p>
    <w:p w14:paraId="7BAE9465" w14:textId="77777777" w:rsidR="00810EE3" w:rsidRDefault="00736092" w:rsidP="00736092">
      <w:pPr>
        <w:rPr>
          <w:rFonts w:ascii="Times New Roman" w:hAnsi="Times New Roman" w:cs="Times New Roman"/>
        </w:rPr>
      </w:pPr>
      <w:r>
        <w:rPr>
          <w:rFonts w:ascii="Times New Roman" w:hAnsi="Times New Roman" w:cs="Times New Roman"/>
        </w:rPr>
        <w:t>In relation to the latter point, section 9 sets out that file footage must</w:t>
      </w:r>
      <w:r w:rsidR="00810EE3">
        <w:rPr>
          <w:rFonts w:ascii="Times New Roman" w:hAnsi="Times New Roman" w:cs="Times New Roman"/>
        </w:rPr>
        <w:t>:</w:t>
      </w:r>
    </w:p>
    <w:p w14:paraId="0BD9B447" w14:textId="77777777" w:rsidR="00810EE3" w:rsidRPr="00810EE3" w:rsidRDefault="00736092" w:rsidP="00810EE3">
      <w:pPr>
        <w:pStyle w:val="ListParagraph"/>
        <w:numPr>
          <w:ilvl w:val="0"/>
          <w:numId w:val="16"/>
        </w:numPr>
        <w:rPr>
          <w:rFonts w:ascii="Times New Roman" w:hAnsi="Times New Roman" w:cs="Times New Roman"/>
        </w:rPr>
      </w:pPr>
      <w:r w:rsidRPr="00810EE3">
        <w:rPr>
          <w:rFonts w:ascii="Times New Roman" w:hAnsi="Times New Roman" w:cs="Times New Roman"/>
        </w:rPr>
        <w:t>not be</w:t>
      </w:r>
      <w:r w:rsidR="00810EE3" w:rsidRPr="00810EE3">
        <w:rPr>
          <w:rFonts w:ascii="Times New Roman" w:hAnsi="Times New Roman" w:cs="Times New Roman"/>
        </w:rPr>
        <w:t xml:space="preserve"> the only kind of footage used;</w:t>
      </w:r>
    </w:p>
    <w:p w14:paraId="6C41E9DC" w14:textId="77777777" w:rsidR="00F937BC" w:rsidRDefault="00736092" w:rsidP="00810EE3">
      <w:pPr>
        <w:pStyle w:val="ListParagraph"/>
        <w:numPr>
          <w:ilvl w:val="0"/>
          <w:numId w:val="16"/>
        </w:numPr>
        <w:rPr>
          <w:rFonts w:ascii="Times New Roman" w:hAnsi="Times New Roman" w:cs="Times New Roman"/>
        </w:rPr>
      </w:pPr>
      <w:r w:rsidRPr="00810EE3">
        <w:rPr>
          <w:rFonts w:ascii="Times New Roman" w:hAnsi="Times New Roman" w:cs="Times New Roman"/>
        </w:rPr>
        <w:t>be visually relevant to the news item</w:t>
      </w:r>
      <w:r w:rsidR="00F937BC">
        <w:rPr>
          <w:rFonts w:ascii="Times New Roman" w:hAnsi="Times New Roman" w:cs="Times New Roman"/>
        </w:rPr>
        <w:t>;</w:t>
      </w:r>
    </w:p>
    <w:p w14:paraId="3B66CC27" w14:textId="63273F2E" w:rsidR="00810EE3" w:rsidRDefault="00736092" w:rsidP="00810EE3">
      <w:pPr>
        <w:pStyle w:val="ListParagraph"/>
        <w:numPr>
          <w:ilvl w:val="0"/>
          <w:numId w:val="16"/>
        </w:numPr>
        <w:rPr>
          <w:rFonts w:ascii="Times New Roman" w:hAnsi="Times New Roman" w:cs="Times New Roman"/>
        </w:rPr>
      </w:pPr>
      <w:r w:rsidRPr="00810EE3">
        <w:rPr>
          <w:rFonts w:ascii="Times New Roman" w:hAnsi="Times New Roman" w:cs="Times New Roman"/>
        </w:rPr>
        <w:t>be recently obtained or provide a differe</w:t>
      </w:r>
      <w:r w:rsidR="00810EE3" w:rsidRPr="00810EE3">
        <w:rPr>
          <w:rFonts w:ascii="Times New Roman" w:hAnsi="Times New Roman" w:cs="Times New Roman"/>
        </w:rPr>
        <w:t>nt perspective to the news item;</w:t>
      </w:r>
      <w:r w:rsidRPr="00810EE3">
        <w:rPr>
          <w:rFonts w:ascii="Times New Roman" w:hAnsi="Times New Roman" w:cs="Times New Roman"/>
        </w:rPr>
        <w:t xml:space="preserve"> and </w:t>
      </w:r>
    </w:p>
    <w:p w14:paraId="0046F3EA" w14:textId="77777777" w:rsidR="00810EE3" w:rsidRDefault="00736092" w:rsidP="00810EE3">
      <w:pPr>
        <w:pStyle w:val="ListParagraph"/>
        <w:numPr>
          <w:ilvl w:val="0"/>
          <w:numId w:val="16"/>
        </w:numPr>
        <w:rPr>
          <w:rFonts w:ascii="Times New Roman" w:hAnsi="Times New Roman" w:cs="Times New Roman"/>
        </w:rPr>
      </w:pPr>
      <w:proofErr w:type="gramStart"/>
      <w:r w:rsidRPr="00810EE3">
        <w:rPr>
          <w:rFonts w:ascii="Times New Roman" w:hAnsi="Times New Roman" w:cs="Times New Roman"/>
        </w:rPr>
        <w:t>not</w:t>
      </w:r>
      <w:proofErr w:type="gramEnd"/>
      <w:r w:rsidRPr="00810EE3">
        <w:rPr>
          <w:rFonts w:ascii="Times New Roman" w:hAnsi="Times New Roman" w:cs="Times New Roman"/>
        </w:rPr>
        <w:t xml:space="preserve"> be used ex</w:t>
      </w:r>
      <w:r w:rsidR="00810EE3">
        <w:rPr>
          <w:rFonts w:ascii="Times New Roman" w:hAnsi="Times New Roman" w:cs="Times New Roman"/>
        </w:rPr>
        <w:t>t</w:t>
      </w:r>
      <w:r w:rsidRPr="00810EE3">
        <w:rPr>
          <w:rFonts w:ascii="Times New Roman" w:hAnsi="Times New Roman" w:cs="Times New Roman"/>
        </w:rPr>
        <w:t xml:space="preserve">ensively (unless it is directly relevant to the news item).  </w:t>
      </w:r>
    </w:p>
    <w:p w14:paraId="5F6E6794" w14:textId="73AFA3F2" w:rsidR="00FD0C69" w:rsidRPr="00810EE3" w:rsidRDefault="00736092" w:rsidP="00966FB2">
      <w:pPr>
        <w:rPr>
          <w:rFonts w:ascii="Times New Roman" w:hAnsi="Times New Roman" w:cs="Times New Roman"/>
        </w:rPr>
      </w:pPr>
      <w:r w:rsidRPr="00810EE3">
        <w:rPr>
          <w:rFonts w:ascii="Times New Roman" w:hAnsi="Times New Roman" w:cs="Times New Roman"/>
        </w:rPr>
        <w:t xml:space="preserve">File footage is defined in section 4 as any footage other than live footage </w:t>
      </w:r>
      <w:r w:rsidR="00F937BC">
        <w:rPr>
          <w:rFonts w:ascii="Times New Roman" w:hAnsi="Times New Roman" w:cs="Times New Roman"/>
        </w:rPr>
        <w:t>or</w:t>
      </w:r>
      <w:r w:rsidR="00F937BC" w:rsidRPr="00810EE3">
        <w:rPr>
          <w:rFonts w:ascii="Times New Roman" w:hAnsi="Times New Roman" w:cs="Times New Roman"/>
        </w:rPr>
        <w:t xml:space="preserve"> </w:t>
      </w:r>
      <w:r w:rsidRPr="00810EE3">
        <w:rPr>
          <w:rFonts w:ascii="Times New Roman" w:hAnsi="Times New Roman" w:cs="Times New Roman"/>
        </w:rPr>
        <w:t>footage that has been specifically obtained for the purpose of accompanying the broadcast of the news material in question.</w:t>
      </w:r>
      <w:r w:rsidR="00365199" w:rsidRPr="00810EE3">
        <w:rPr>
          <w:rFonts w:ascii="Times New Roman" w:hAnsi="Times New Roman" w:cs="Times New Roman"/>
        </w:rPr>
        <w:t xml:space="preserve"> </w:t>
      </w:r>
    </w:p>
    <w:p w14:paraId="29390C48" w14:textId="77777777" w:rsidR="00B25709" w:rsidRDefault="00B25709" w:rsidP="00E322D9">
      <w:pPr>
        <w:rPr>
          <w:rFonts w:ascii="Times New Roman" w:hAnsi="Times New Roman" w:cs="Times New Roman"/>
          <w:b/>
        </w:rPr>
      </w:pPr>
    </w:p>
    <w:p w14:paraId="0C98F4D6" w14:textId="77777777" w:rsidR="00B25709" w:rsidRDefault="00B25709" w:rsidP="00E322D9">
      <w:pPr>
        <w:rPr>
          <w:rFonts w:ascii="Times New Roman" w:hAnsi="Times New Roman" w:cs="Times New Roman"/>
          <w:b/>
        </w:rPr>
      </w:pPr>
    </w:p>
    <w:p w14:paraId="4AC66626" w14:textId="77777777" w:rsidR="00B25709" w:rsidRDefault="00B25709" w:rsidP="00E322D9">
      <w:pPr>
        <w:rPr>
          <w:rFonts w:ascii="Times New Roman" w:hAnsi="Times New Roman" w:cs="Times New Roman"/>
          <w:b/>
        </w:rPr>
      </w:pPr>
    </w:p>
    <w:p w14:paraId="6960A36C" w14:textId="3718CC67" w:rsidR="00E322D9" w:rsidRDefault="00E322D9" w:rsidP="00E322D9">
      <w:pPr>
        <w:rPr>
          <w:rFonts w:ascii="Times New Roman" w:hAnsi="Times New Roman" w:cs="Times New Roman"/>
          <w:b/>
        </w:rPr>
      </w:pPr>
      <w:r>
        <w:rPr>
          <w:rFonts w:ascii="Times New Roman" w:hAnsi="Times New Roman" w:cs="Times New Roman"/>
          <w:b/>
        </w:rPr>
        <w:lastRenderedPageBreak/>
        <w:t xml:space="preserve">Schedule 1–Areas of commercial television broadcasting licences </w:t>
      </w:r>
    </w:p>
    <w:p w14:paraId="19147ED7" w14:textId="2289DEE2" w:rsidR="008A18DD" w:rsidRPr="00B273AA" w:rsidRDefault="00B273AA" w:rsidP="00E322D9">
      <w:pPr>
        <w:rPr>
          <w:rFonts w:ascii="Times New Roman" w:hAnsi="Times New Roman" w:cs="Times New Roman"/>
        </w:rPr>
      </w:pPr>
      <w:r w:rsidRPr="00B273AA">
        <w:rPr>
          <w:rFonts w:ascii="Times New Roman" w:hAnsi="Times New Roman" w:cs="Times New Roman"/>
        </w:rPr>
        <w:t xml:space="preserve">Schedule </w:t>
      </w:r>
      <w:r>
        <w:rPr>
          <w:rFonts w:ascii="Times New Roman" w:hAnsi="Times New Roman" w:cs="Times New Roman"/>
        </w:rPr>
        <w:t>1 sets out the areas of the regional aggregated television broadcasting licences</w:t>
      </w:r>
      <w:r w:rsidR="00810EE3">
        <w:rPr>
          <w:rFonts w:ascii="Times New Roman" w:hAnsi="Times New Roman" w:cs="Times New Roman"/>
        </w:rPr>
        <w:t xml:space="preserve">, for the purposes of the defined </w:t>
      </w:r>
      <w:r w:rsidR="00033D57">
        <w:rPr>
          <w:rFonts w:ascii="Times New Roman" w:hAnsi="Times New Roman" w:cs="Times New Roman"/>
        </w:rPr>
        <w:t>local areas</w:t>
      </w:r>
      <w:r w:rsidR="002C0582">
        <w:rPr>
          <w:rFonts w:ascii="Times New Roman" w:hAnsi="Times New Roman" w:cs="Times New Roman"/>
        </w:rPr>
        <w:t xml:space="preserve"> in section 7</w:t>
      </w:r>
      <w:r w:rsidR="002C0582" w:rsidDel="002C0582">
        <w:rPr>
          <w:rFonts w:ascii="Times New Roman" w:hAnsi="Times New Roman" w:cs="Times New Roman"/>
        </w:rPr>
        <w:t xml:space="preserve"> </w:t>
      </w:r>
      <w:r w:rsidR="002C0582">
        <w:rPr>
          <w:rFonts w:ascii="Times New Roman" w:hAnsi="Times New Roman" w:cs="Times New Roman"/>
        </w:rPr>
        <w:t>of the instrument</w:t>
      </w:r>
      <w:r>
        <w:rPr>
          <w:rFonts w:ascii="Times New Roman" w:hAnsi="Times New Roman" w:cs="Times New Roman"/>
        </w:rPr>
        <w:t xml:space="preserve">. </w:t>
      </w:r>
    </w:p>
    <w:p w14:paraId="4E35E6D4" w14:textId="77777777" w:rsidR="00E322D9" w:rsidRDefault="00E322D9" w:rsidP="00FD0C69">
      <w:pPr>
        <w:rPr>
          <w:rFonts w:ascii="Times New Roman" w:hAnsi="Times New Roman" w:cs="Times New Roman"/>
          <w:b/>
        </w:rPr>
      </w:pPr>
    </w:p>
    <w:p w14:paraId="458AF617" w14:textId="77777777" w:rsidR="00025ACE" w:rsidRPr="00CB7C40" w:rsidRDefault="00025ACE" w:rsidP="00CB7C40"/>
    <w:sectPr w:rsidR="00025ACE" w:rsidRPr="00CB7C40"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04B10" w14:textId="77777777" w:rsidR="0023757D" w:rsidRDefault="0023757D" w:rsidP="00025ACE">
      <w:pPr>
        <w:spacing w:after="0" w:line="240" w:lineRule="auto"/>
      </w:pPr>
      <w:r>
        <w:separator/>
      </w:r>
    </w:p>
  </w:endnote>
  <w:endnote w:type="continuationSeparator" w:id="0">
    <w:p w14:paraId="7D25C183" w14:textId="77777777" w:rsidR="0023757D" w:rsidRDefault="0023757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03BE8E8A"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AC04A6">
          <w:rPr>
            <w:rFonts w:ascii="Times New Roman" w:hAnsi="Times New Roman" w:cs="Times New Roman"/>
            <w:i/>
          </w:rPr>
          <w:t>Broadcasting Services Local Programming Determination 2018</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4F2131">
          <w:rPr>
            <w:rFonts w:ascii="Times New Roman" w:hAnsi="Times New Roman" w:cs="Times New Roman"/>
            <w:i/>
            <w:noProof/>
          </w:rPr>
          <w:t>5</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78C44" w14:textId="77777777" w:rsidR="0023757D" w:rsidRDefault="0023757D" w:rsidP="00025ACE">
      <w:pPr>
        <w:spacing w:after="0" w:line="240" w:lineRule="auto"/>
      </w:pPr>
      <w:r>
        <w:separator/>
      </w:r>
    </w:p>
  </w:footnote>
  <w:footnote w:type="continuationSeparator" w:id="0">
    <w:p w14:paraId="582A62B9" w14:textId="77777777" w:rsidR="0023757D" w:rsidRDefault="0023757D" w:rsidP="00025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F81"/>
    <w:multiLevelType w:val="hybridMultilevel"/>
    <w:tmpl w:val="884A1BC8"/>
    <w:lvl w:ilvl="0" w:tplc="32204036">
      <w:start w:val="1"/>
      <w:numFmt w:val="decimal"/>
      <w:pStyle w:val="LegislationLvl1"/>
      <w:lvlText w:val="%1"/>
      <w:lvlJc w:val="left"/>
      <w:pPr>
        <w:tabs>
          <w:tab w:val="num" w:pos="1080"/>
        </w:tabs>
        <w:ind w:left="1080" w:hanging="720"/>
      </w:pPr>
      <w:rPr>
        <w:rFonts w:hint="default"/>
      </w:rPr>
    </w:lvl>
    <w:lvl w:ilvl="1" w:tplc="93C69154">
      <w:start w:val="1"/>
      <w:numFmt w:val="decimal"/>
      <w:pStyle w:val="LegislationLvl2"/>
      <w:lvlText w:val="(%2)"/>
      <w:lvlJc w:val="left"/>
      <w:pPr>
        <w:tabs>
          <w:tab w:val="num" w:pos="1440"/>
        </w:tabs>
        <w:ind w:left="1440" w:hanging="360"/>
      </w:pPr>
      <w:rPr>
        <w:rFonts w:hint="default"/>
      </w:rPr>
    </w:lvl>
    <w:lvl w:ilvl="2" w:tplc="BD8A0056">
      <w:start w:val="1"/>
      <w:numFmt w:val="lowerLetter"/>
      <w:pStyle w:val="LegislationLvl3"/>
      <w:lvlText w:val="(%3)"/>
      <w:lvlJc w:val="left"/>
      <w:pPr>
        <w:tabs>
          <w:tab w:val="num" w:pos="2340"/>
        </w:tabs>
        <w:ind w:left="2340" w:hanging="360"/>
      </w:pPr>
      <w:rPr>
        <w:rFonts w:hint="default"/>
      </w:rPr>
    </w:lvl>
    <w:lvl w:ilvl="3" w:tplc="BF665EE0">
      <w:start w:val="1"/>
      <w:numFmt w:val="lowerRoman"/>
      <w:pStyle w:val="Legislation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BB3408"/>
    <w:multiLevelType w:val="hybridMultilevel"/>
    <w:tmpl w:val="86200744"/>
    <w:lvl w:ilvl="0" w:tplc="D0E45AC4">
      <w:start w:val="9"/>
      <w:numFmt w:val="bullet"/>
      <w:lvlText w:val="-"/>
      <w:lvlJc w:val="left"/>
      <w:pPr>
        <w:ind w:left="720" w:hanging="360"/>
      </w:pPr>
      <w:rPr>
        <w:rFonts w:ascii="Times New Roman" w:eastAsiaTheme="minorHAnsi"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8C7D47"/>
    <w:multiLevelType w:val="hybridMultilevel"/>
    <w:tmpl w:val="6FEC223A"/>
    <w:lvl w:ilvl="0" w:tplc="77B870BC">
      <w:start w:val="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245BDB"/>
    <w:multiLevelType w:val="hybridMultilevel"/>
    <w:tmpl w:val="79008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1104D9"/>
    <w:multiLevelType w:val="hybridMultilevel"/>
    <w:tmpl w:val="6470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7B07A04"/>
    <w:multiLevelType w:val="hybridMultilevel"/>
    <w:tmpl w:val="5A909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9D7D44"/>
    <w:multiLevelType w:val="hybridMultilevel"/>
    <w:tmpl w:val="D292BCE8"/>
    <w:lvl w:ilvl="0" w:tplc="AD7A912A">
      <w:start w:val="1"/>
      <w:numFmt w:val="bullet"/>
      <w:lvlText w:val=""/>
      <w:lvlJc w:val="left"/>
      <w:pPr>
        <w:tabs>
          <w:tab w:val="num" w:pos="-568"/>
        </w:tabs>
        <w:ind w:left="283" w:hanging="283"/>
      </w:pPr>
      <w:rPr>
        <w:rFonts w:ascii="Symbol" w:hAnsi="Symbol" w:hint="default"/>
        <w:color w:val="auto"/>
      </w:rPr>
    </w:lvl>
    <w:lvl w:ilvl="1" w:tplc="04090003">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num w:numId="1">
    <w:abstractNumId w:val="11"/>
  </w:num>
  <w:num w:numId="2">
    <w:abstractNumId w:val="9"/>
  </w:num>
  <w:num w:numId="3">
    <w:abstractNumId w:val="2"/>
  </w:num>
  <w:num w:numId="4">
    <w:abstractNumId w:val="6"/>
  </w:num>
  <w:num w:numId="5">
    <w:abstractNumId w:val="5"/>
  </w:num>
  <w:num w:numId="6">
    <w:abstractNumId w:val="1"/>
  </w:num>
  <w:num w:numId="7">
    <w:abstractNumId w:val="3"/>
  </w:num>
  <w:num w:numId="8">
    <w:abstractNumId w:val="12"/>
  </w:num>
  <w:num w:numId="9">
    <w:abstractNumId w:val="13"/>
  </w:num>
  <w:num w:numId="10">
    <w:abstractNumId w:val="0"/>
    <w:lvlOverride w:ilvl="0">
      <w:startOverride w:val="1"/>
    </w:lvlOverride>
  </w:num>
  <w:num w:numId="11">
    <w:abstractNumId w:val="0"/>
  </w:num>
  <w:num w:numId="12">
    <w:abstractNumId w:val="8"/>
  </w:num>
  <w:num w:numId="13">
    <w:abstractNumId w:val="14"/>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25ACE"/>
    <w:rsid w:val="00033D57"/>
    <w:rsid w:val="00037F0E"/>
    <w:rsid w:val="0004140A"/>
    <w:rsid w:val="00070D91"/>
    <w:rsid w:val="000726C7"/>
    <w:rsid w:val="00074A8D"/>
    <w:rsid w:val="00082354"/>
    <w:rsid w:val="0008540A"/>
    <w:rsid w:val="00095AB3"/>
    <w:rsid w:val="000A3A94"/>
    <w:rsid w:val="000B0BA7"/>
    <w:rsid w:val="000B33B6"/>
    <w:rsid w:val="000B4B6C"/>
    <w:rsid w:val="000C6436"/>
    <w:rsid w:val="000D0D7A"/>
    <w:rsid w:val="000D4ECE"/>
    <w:rsid w:val="000E38C9"/>
    <w:rsid w:val="000F3C8B"/>
    <w:rsid w:val="000F6255"/>
    <w:rsid w:val="00112987"/>
    <w:rsid w:val="00117351"/>
    <w:rsid w:val="00121B9E"/>
    <w:rsid w:val="00122072"/>
    <w:rsid w:val="00134705"/>
    <w:rsid w:val="00146A0C"/>
    <w:rsid w:val="00161C73"/>
    <w:rsid w:val="00185BDC"/>
    <w:rsid w:val="001C4BF8"/>
    <w:rsid w:val="001C5421"/>
    <w:rsid w:val="001D5C25"/>
    <w:rsid w:val="001E5FE7"/>
    <w:rsid w:val="002109B2"/>
    <w:rsid w:val="00212847"/>
    <w:rsid w:val="00221776"/>
    <w:rsid w:val="002315D3"/>
    <w:rsid w:val="0023757D"/>
    <w:rsid w:val="002508F7"/>
    <w:rsid w:val="00291422"/>
    <w:rsid w:val="002B2282"/>
    <w:rsid w:val="002B6699"/>
    <w:rsid w:val="002C0582"/>
    <w:rsid w:val="002C2256"/>
    <w:rsid w:val="002D5010"/>
    <w:rsid w:val="002E3B2A"/>
    <w:rsid w:val="002F36E0"/>
    <w:rsid w:val="002F70D8"/>
    <w:rsid w:val="002F7E1E"/>
    <w:rsid w:val="003434D4"/>
    <w:rsid w:val="00365199"/>
    <w:rsid w:val="0036724E"/>
    <w:rsid w:val="00370620"/>
    <w:rsid w:val="00375FA7"/>
    <w:rsid w:val="00376C8B"/>
    <w:rsid w:val="00385EF1"/>
    <w:rsid w:val="003949EE"/>
    <w:rsid w:val="003A16C5"/>
    <w:rsid w:val="003A3635"/>
    <w:rsid w:val="003A7407"/>
    <w:rsid w:val="003B3D92"/>
    <w:rsid w:val="003C2F82"/>
    <w:rsid w:val="003C44B4"/>
    <w:rsid w:val="003D2C79"/>
    <w:rsid w:val="003D74BE"/>
    <w:rsid w:val="0041003E"/>
    <w:rsid w:val="00414C75"/>
    <w:rsid w:val="00430A91"/>
    <w:rsid w:val="00433521"/>
    <w:rsid w:val="004360A5"/>
    <w:rsid w:val="004362E3"/>
    <w:rsid w:val="00450F48"/>
    <w:rsid w:val="0045489F"/>
    <w:rsid w:val="004554C1"/>
    <w:rsid w:val="00473B3B"/>
    <w:rsid w:val="00474889"/>
    <w:rsid w:val="004826DD"/>
    <w:rsid w:val="00491657"/>
    <w:rsid w:val="004971D6"/>
    <w:rsid w:val="004A1064"/>
    <w:rsid w:val="004C5F53"/>
    <w:rsid w:val="004D2843"/>
    <w:rsid w:val="004D351C"/>
    <w:rsid w:val="004E790E"/>
    <w:rsid w:val="004F2131"/>
    <w:rsid w:val="0050389F"/>
    <w:rsid w:val="0052687A"/>
    <w:rsid w:val="0053005B"/>
    <w:rsid w:val="0054599A"/>
    <w:rsid w:val="00570974"/>
    <w:rsid w:val="005958D6"/>
    <w:rsid w:val="005964CF"/>
    <w:rsid w:val="0059759D"/>
    <w:rsid w:val="005B548E"/>
    <w:rsid w:val="005B6619"/>
    <w:rsid w:val="005C65EB"/>
    <w:rsid w:val="005F5BE6"/>
    <w:rsid w:val="006015A7"/>
    <w:rsid w:val="00603B3F"/>
    <w:rsid w:val="00604E22"/>
    <w:rsid w:val="0063497D"/>
    <w:rsid w:val="00641906"/>
    <w:rsid w:val="00644055"/>
    <w:rsid w:val="00663AF2"/>
    <w:rsid w:val="00671216"/>
    <w:rsid w:val="00681986"/>
    <w:rsid w:val="00684F77"/>
    <w:rsid w:val="00686F06"/>
    <w:rsid w:val="00687290"/>
    <w:rsid w:val="006940DB"/>
    <w:rsid w:val="00696659"/>
    <w:rsid w:val="006A0BDF"/>
    <w:rsid w:val="006A3621"/>
    <w:rsid w:val="006A53BB"/>
    <w:rsid w:val="006A55E0"/>
    <w:rsid w:val="006B4474"/>
    <w:rsid w:val="006C59D5"/>
    <w:rsid w:val="006F32BF"/>
    <w:rsid w:val="00706F43"/>
    <w:rsid w:val="00731646"/>
    <w:rsid w:val="00736092"/>
    <w:rsid w:val="007404DD"/>
    <w:rsid w:val="0074661C"/>
    <w:rsid w:val="00750397"/>
    <w:rsid w:val="00760B83"/>
    <w:rsid w:val="00766475"/>
    <w:rsid w:val="0077364D"/>
    <w:rsid w:val="00794C5F"/>
    <w:rsid w:val="007A0103"/>
    <w:rsid w:val="007A2277"/>
    <w:rsid w:val="007A7BD7"/>
    <w:rsid w:val="007B7A55"/>
    <w:rsid w:val="00805358"/>
    <w:rsid w:val="008070A8"/>
    <w:rsid w:val="00810499"/>
    <w:rsid w:val="00810EE3"/>
    <w:rsid w:val="0081166D"/>
    <w:rsid w:val="0081203C"/>
    <w:rsid w:val="00821F3F"/>
    <w:rsid w:val="008374BC"/>
    <w:rsid w:val="008441CF"/>
    <w:rsid w:val="0084470A"/>
    <w:rsid w:val="00851B04"/>
    <w:rsid w:val="00862052"/>
    <w:rsid w:val="0087707C"/>
    <w:rsid w:val="008A18DD"/>
    <w:rsid w:val="008A38AA"/>
    <w:rsid w:val="008C584E"/>
    <w:rsid w:val="008C6BCA"/>
    <w:rsid w:val="008E3483"/>
    <w:rsid w:val="008E3E70"/>
    <w:rsid w:val="008F4C58"/>
    <w:rsid w:val="0090572C"/>
    <w:rsid w:val="0091080B"/>
    <w:rsid w:val="00926833"/>
    <w:rsid w:val="00955C70"/>
    <w:rsid w:val="00966FB2"/>
    <w:rsid w:val="009670B7"/>
    <w:rsid w:val="009723D1"/>
    <w:rsid w:val="009732C1"/>
    <w:rsid w:val="00977705"/>
    <w:rsid w:val="009C6EB0"/>
    <w:rsid w:val="009D5783"/>
    <w:rsid w:val="009D67A8"/>
    <w:rsid w:val="009D745D"/>
    <w:rsid w:val="009F7219"/>
    <w:rsid w:val="00A00268"/>
    <w:rsid w:val="00A07A2F"/>
    <w:rsid w:val="00A213A8"/>
    <w:rsid w:val="00A21F3E"/>
    <w:rsid w:val="00A323ED"/>
    <w:rsid w:val="00A40E67"/>
    <w:rsid w:val="00A51880"/>
    <w:rsid w:val="00A64EC4"/>
    <w:rsid w:val="00A67133"/>
    <w:rsid w:val="00A7023B"/>
    <w:rsid w:val="00AA6088"/>
    <w:rsid w:val="00AB52D0"/>
    <w:rsid w:val="00AB65E7"/>
    <w:rsid w:val="00AC04A6"/>
    <w:rsid w:val="00AD3414"/>
    <w:rsid w:val="00AD500F"/>
    <w:rsid w:val="00AE2CB4"/>
    <w:rsid w:val="00AE6898"/>
    <w:rsid w:val="00AF080D"/>
    <w:rsid w:val="00AF6545"/>
    <w:rsid w:val="00B00FC3"/>
    <w:rsid w:val="00B238E1"/>
    <w:rsid w:val="00B25709"/>
    <w:rsid w:val="00B273AA"/>
    <w:rsid w:val="00B3270D"/>
    <w:rsid w:val="00B52584"/>
    <w:rsid w:val="00B665E6"/>
    <w:rsid w:val="00B727F3"/>
    <w:rsid w:val="00B81849"/>
    <w:rsid w:val="00B90F17"/>
    <w:rsid w:val="00B94B30"/>
    <w:rsid w:val="00BA7D17"/>
    <w:rsid w:val="00BB076E"/>
    <w:rsid w:val="00BB1CF2"/>
    <w:rsid w:val="00BB7A25"/>
    <w:rsid w:val="00BC0A3C"/>
    <w:rsid w:val="00BC5916"/>
    <w:rsid w:val="00BC621F"/>
    <w:rsid w:val="00C032F0"/>
    <w:rsid w:val="00C03503"/>
    <w:rsid w:val="00C04508"/>
    <w:rsid w:val="00C10E3A"/>
    <w:rsid w:val="00C12B3D"/>
    <w:rsid w:val="00C20621"/>
    <w:rsid w:val="00C21933"/>
    <w:rsid w:val="00C52681"/>
    <w:rsid w:val="00C57E29"/>
    <w:rsid w:val="00C63E8C"/>
    <w:rsid w:val="00C659A7"/>
    <w:rsid w:val="00C70874"/>
    <w:rsid w:val="00C76FFC"/>
    <w:rsid w:val="00C82323"/>
    <w:rsid w:val="00C9259F"/>
    <w:rsid w:val="00CA2C2C"/>
    <w:rsid w:val="00CA3398"/>
    <w:rsid w:val="00CA40FA"/>
    <w:rsid w:val="00CA6926"/>
    <w:rsid w:val="00CA735C"/>
    <w:rsid w:val="00CB3AD5"/>
    <w:rsid w:val="00CB7C40"/>
    <w:rsid w:val="00CC47D8"/>
    <w:rsid w:val="00CD2831"/>
    <w:rsid w:val="00CD5BFC"/>
    <w:rsid w:val="00CD71EB"/>
    <w:rsid w:val="00CF0EDC"/>
    <w:rsid w:val="00D05730"/>
    <w:rsid w:val="00D13D39"/>
    <w:rsid w:val="00D24B40"/>
    <w:rsid w:val="00D2518B"/>
    <w:rsid w:val="00D32E4E"/>
    <w:rsid w:val="00D35790"/>
    <w:rsid w:val="00D5385A"/>
    <w:rsid w:val="00D57387"/>
    <w:rsid w:val="00D62318"/>
    <w:rsid w:val="00D63433"/>
    <w:rsid w:val="00DA0D39"/>
    <w:rsid w:val="00DB4A50"/>
    <w:rsid w:val="00DC399C"/>
    <w:rsid w:val="00DF2758"/>
    <w:rsid w:val="00E27891"/>
    <w:rsid w:val="00E322D9"/>
    <w:rsid w:val="00E367FE"/>
    <w:rsid w:val="00E52019"/>
    <w:rsid w:val="00E56CD0"/>
    <w:rsid w:val="00E833DA"/>
    <w:rsid w:val="00E908A8"/>
    <w:rsid w:val="00EA75D3"/>
    <w:rsid w:val="00EB0C79"/>
    <w:rsid w:val="00EC54C3"/>
    <w:rsid w:val="00EC76A0"/>
    <w:rsid w:val="00EE5E7F"/>
    <w:rsid w:val="00EF0820"/>
    <w:rsid w:val="00EF69A6"/>
    <w:rsid w:val="00EF7757"/>
    <w:rsid w:val="00F2534D"/>
    <w:rsid w:val="00F33BD8"/>
    <w:rsid w:val="00F406BB"/>
    <w:rsid w:val="00F4414D"/>
    <w:rsid w:val="00F675AA"/>
    <w:rsid w:val="00F76815"/>
    <w:rsid w:val="00F937BC"/>
    <w:rsid w:val="00F95D1D"/>
    <w:rsid w:val="00FB4437"/>
    <w:rsid w:val="00FC0BF3"/>
    <w:rsid w:val="00FC67DA"/>
    <w:rsid w:val="00FC7C90"/>
    <w:rsid w:val="00FD0C6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A7BD7"/>
    <w:rPr>
      <w:color w:val="954F72" w:themeColor="followedHyperlink"/>
      <w:u w:val="single"/>
    </w:rPr>
  </w:style>
  <w:style w:type="paragraph" w:customStyle="1" w:styleId="ACMABulletLevel1">
    <w:name w:val="ACMA Bullet Level 1"/>
    <w:rsid w:val="009C6EB0"/>
    <w:pPr>
      <w:numPr>
        <w:numId w:val="12"/>
      </w:numPr>
      <w:spacing w:after="120" w:line="240" w:lineRule="auto"/>
    </w:pPr>
    <w:rPr>
      <w:rFonts w:ascii="Times New Roman" w:eastAsia="Times New Roman" w:hAnsi="Times New Roman" w:cs="Times New Roman"/>
      <w:sz w:val="24"/>
      <w:szCs w:val="20"/>
    </w:rPr>
  </w:style>
  <w:style w:type="paragraph" w:customStyle="1" w:styleId="ACMAHeaderOdd">
    <w:name w:val="ACMA Header (Odd)"/>
    <w:rsid w:val="009C6EB0"/>
    <w:pPr>
      <w:spacing w:after="0" w:line="240" w:lineRule="auto"/>
      <w:jc w:val="right"/>
    </w:pPr>
    <w:rPr>
      <w:rFonts w:ascii="Times New Roman" w:eastAsia="Times New Roman" w:hAnsi="Times New Roman" w:cs="Times New Roman"/>
      <w:i/>
      <w:sz w:val="20"/>
      <w:szCs w:val="20"/>
      <w:lang w:val="en-US"/>
    </w:rPr>
  </w:style>
  <w:style w:type="paragraph" w:customStyle="1" w:styleId="LegislationLvl1">
    <w:name w:val="Legislation Lvl 1"/>
    <w:rsid w:val="009C6EB0"/>
    <w:pPr>
      <w:numPr>
        <w:numId w:val="10"/>
      </w:numPr>
      <w:tabs>
        <w:tab w:val="clear" w:pos="1080"/>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9C6EB0"/>
    <w:pPr>
      <w:numPr>
        <w:ilvl w:val="1"/>
        <w:numId w:val="10"/>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9C6EB0"/>
    <w:pPr>
      <w:numPr>
        <w:ilvl w:val="2"/>
        <w:numId w:val="10"/>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9C6EB0"/>
    <w:pPr>
      <w:numPr>
        <w:ilvl w:val="3"/>
        <w:numId w:val="10"/>
      </w:numPr>
      <w:tabs>
        <w:tab w:val="clear" w:pos="2700"/>
        <w:tab w:val="num" w:pos="2694"/>
      </w:tabs>
      <w:spacing w:after="0" w:line="240" w:lineRule="auto"/>
      <w:ind w:left="2694" w:hanging="426"/>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68190">
      <w:bodyDiv w:val="1"/>
      <w:marLeft w:val="0"/>
      <w:marRight w:val="0"/>
      <w:marTop w:val="0"/>
      <w:marBottom w:val="0"/>
      <w:divBdr>
        <w:top w:val="none" w:sz="0" w:space="0" w:color="auto"/>
        <w:left w:val="none" w:sz="0" w:space="0" w:color="auto"/>
        <w:bottom w:val="none" w:sz="0" w:space="0" w:color="auto"/>
        <w:right w:val="none" w:sz="0" w:space="0" w:color="auto"/>
      </w:divBdr>
      <w:divsChild>
        <w:div w:id="1268535843">
          <w:marLeft w:val="0"/>
          <w:marRight w:val="0"/>
          <w:marTop w:val="0"/>
          <w:marBottom w:val="0"/>
          <w:divBdr>
            <w:top w:val="none" w:sz="0" w:space="0" w:color="auto"/>
            <w:left w:val="none" w:sz="0" w:space="0" w:color="auto"/>
            <w:bottom w:val="none" w:sz="0" w:space="0" w:color="auto"/>
            <w:right w:val="none" w:sz="0" w:space="0" w:color="auto"/>
          </w:divBdr>
          <w:divsChild>
            <w:div w:id="1506894300">
              <w:marLeft w:val="0"/>
              <w:marRight w:val="0"/>
              <w:marTop w:val="0"/>
              <w:marBottom w:val="0"/>
              <w:divBdr>
                <w:top w:val="none" w:sz="0" w:space="0" w:color="auto"/>
                <w:left w:val="none" w:sz="0" w:space="0" w:color="auto"/>
                <w:bottom w:val="none" w:sz="0" w:space="0" w:color="auto"/>
                <w:right w:val="none" w:sz="0" w:space="0" w:color="auto"/>
              </w:divBdr>
              <w:divsChild>
                <w:div w:id="1869560628">
                  <w:marLeft w:val="0"/>
                  <w:marRight w:val="0"/>
                  <w:marTop w:val="0"/>
                  <w:marBottom w:val="0"/>
                  <w:divBdr>
                    <w:top w:val="none" w:sz="0" w:space="0" w:color="auto"/>
                    <w:left w:val="none" w:sz="0" w:space="0" w:color="auto"/>
                    <w:bottom w:val="none" w:sz="0" w:space="0" w:color="auto"/>
                    <w:right w:val="none" w:sz="0" w:space="0" w:color="auto"/>
                  </w:divBdr>
                  <w:divsChild>
                    <w:div w:id="1722943541">
                      <w:marLeft w:val="0"/>
                      <w:marRight w:val="0"/>
                      <w:marTop w:val="0"/>
                      <w:marBottom w:val="0"/>
                      <w:divBdr>
                        <w:top w:val="none" w:sz="0" w:space="0" w:color="auto"/>
                        <w:left w:val="none" w:sz="0" w:space="0" w:color="auto"/>
                        <w:bottom w:val="none" w:sz="0" w:space="0" w:color="auto"/>
                        <w:right w:val="none" w:sz="0" w:space="0" w:color="auto"/>
                      </w:divBdr>
                      <w:divsChild>
                        <w:div w:id="1942256004">
                          <w:marLeft w:val="0"/>
                          <w:marRight w:val="0"/>
                          <w:marTop w:val="0"/>
                          <w:marBottom w:val="0"/>
                          <w:divBdr>
                            <w:top w:val="none" w:sz="0" w:space="0" w:color="auto"/>
                            <w:left w:val="none" w:sz="0" w:space="0" w:color="auto"/>
                            <w:bottom w:val="none" w:sz="0" w:space="0" w:color="auto"/>
                            <w:right w:val="none" w:sz="0" w:space="0" w:color="auto"/>
                          </w:divBdr>
                          <w:divsChild>
                            <w:div w:id="1307466978">
                              <w:marLeft w:val="0"/>
                              <w:marRight w:val="0"/>
                              <w:marTop w:val="0"/>
                              <w:marBottom w:val="0"/>
                              <w:divBdr>
                                <w:top w:val="none" w:sz="0" w:space="0" w:color="auto"/>
                                <w:left w:val="none" w:sz="0" w:space="0" w:color="auto"/>
                                <w:bottom w:val="none" w:sz="0" w:space="0" w:color="auto"/>
                                <w:right w:val="none" w:sz="0" w:space="0" w:color="auto"/>
                              </w:divBdr>
                              <w:divsChild>
                                <w:div w:id="715130736">
                                  <w:marLeft w:val="0"/>
                                  <w:marRight w:val="0"/>
                                  <w:marTop w:val="0"/>
                                  <w:marBottom w:val="0"/>
                                  <w:divBdr>
                                    <w:top w:val="none" w:sz="0" w:space="0" w:color="auto"/>
                                    <w:left w:val="none" w:sz="0" w:space="0" w:color="auto"/>
                                    <w:bottom w:val="none" w:sz="0" w:space="0" w:color="auto"/>
                                    <w:right w:val="none" w:sz="0" w:space="0" w:color="auto"/>
                                  </w:divBdr>
                                  <w:divsChild>
                                    <w:div w:id="597104449">
                                      <w:marLeft w:val="0"/>
                                      <w:marRight w:val="0"/>
                                      <w:marTop w:val="0"/>
                                      <w:marBottom w:val="0"/>
                                      <w:divBdr>
                                        <w:top w:val="none" w:sz="0" w:space="0" w:color="auto"/>
                                        <w:left w:val="none" w:sz="0" w:space="0" w:color="auto"/>
                                        <w:bottom w:val="none" w:sz="0" w:space="0" w:color="auto"/>
                                        <w:right w:val="none" w:sz="0" w:space="0" w:color="auto"/>
                                      </w:divBdr>
                                      <w:divsChild>
                                        <w:div w:id="1840731229">
                                          <w:marLeft w:val="0"/>
                                          <w:marRight w:val="0"/>
                                          <w:marTop w:val="0"/>
                                          <w:marBottom w:val="0"/>
                                          <w:divBdr>
                                            <w:top w:val="none" w:sz="0" w:space="0" w:color="auto"/>
                                            <w:left w:val="none" w:sz="0" w:space="0" w:color="auto"/>
                                            <w:bottom w:val="none" w:sz="0" w:space="0" w:color="auto"/>
                                            <w:right w:val="none" w:sz="0" w:space="0" w:color="auto"/>
                                          </w:divBdr>
                                          <w:divsChild>
                                            <w:div w:id="468088263">
                                              <w:marLeft w:val="0"/>
                                              <w:marRight w:val="0"/>
                                              <w:marTop w:val="0"/>
                                              <w:marBottom w:val="0"/>
                                              <w:divBdr>
                                                <w:top w:val="none" w:sz="0" w:space="0" w:color="auto"/>
                                                <w:left w:val="none" w:sz="0" w:space="0" w:color="auto"/>
                                                <w:bottom w:val="none" w:sz="0" w:space="0" w:color="auto"/>
                                                <w:right w:val="none" w:sz="0" w:space="0" w:color="auto"/>
                                              </w:divBdr>
                                              <w:divsChild>
                                                <w:div w:id="174807998">
                                                  <w:marLeft w:val="0"/>
                                                  <w:marRight w:val="0"/>
                                                  <w:marTop w:val="0"/>
                                                  <w:marBottom w:val="0"/>
                                                  <w:divBdr>
                                                    <w:top w:val="none" w:sz="0" w:space="0" w:color="auto"/>
                                                    <w:left w:val="none" w:sz="0" w:space="0" w:color="auto"/>
                                                    <w:bottom w:val="none" w:sz="0" w:space="0" w:color="auto"/>
                                                    <w:right w:val="none" w:sz="0" w:space="0" w:color="auto"/>
                                                  </w:divBdr>
                                                  <w:divsChild>
                                                    <w:div w:id="1036540718">
                                                      <w:marLeft w:val="0"/>
                                                      <w:marRight w:val="0"/>
                                                      <w:marTop w:val="0"/>
                                                      <w:marBottom w:val="0"/>
                                                      <w:divBdr>
                                                        <w:top w:val="none" w:sz="0" w:space="0" w:color="auto"/>
                                                        <w:left w:val="none" w:sz="0" w:space="0" w:color="auto"/>
                                                        <w:bottom w:val="none" w:sz="0" w:space="0" w:color="auto"/>
                                                        <w:right w:val="none" w:sz="0" w:space="0" w:color="auto"/>
                                                      </w:divBdr>
                                                      <w:divsChild>
                                                        <w:div w:id="1443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s.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AM7W7QW6R7VW-184941016-921</_dlc_DocId>
    <_dlc_DocIdUrl xmlns="d71819ef-55b9-420a-86a4-d36bc037540e">
      <Url>http://collaboration/organisation/cccd/CCB/MOD/_layouts/15/DocIdRedir.aspx?ID=AM7W7QW6R7VW-184941016-921</Url>
      <Description>AM7W7QW6R7VW-184941016-921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C98B947F7CA409FC236519351963B" ma:contentTypeVersion="5" ma:contentTypeDescription="Create a new document." ma:contentTypeScope="" ma:versionID="f95df8ea3fa33bdf876e4e10a336fe43">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4624-7078-46BC-85A9-F85F3DA07311}">
  <ds:schemaRefs>
    <ds:schemaRef ds:uri="http://schemas.microsoft.com/sharepoint/v3/contenttype/forms"/>
  </ds:schemaRefs>
</ds:datastoreItem>
</file>

<file path=customXml/itemProps2.xml><?xml version="1.0" encoding="utf-8"?>
<ds:datastoreItem xmlns:ds="http://schemas.openxmlformats.org/officeDocument/2006/customXml" ds:itemID="{874C0BB2-8B8E-4D7F-A1EB-011078CFB03B}">
  <ds:schemaRefs>
    <ds:schemaRef ds:uri="http://schemas.microsoft.com/office/2006/metadata/properties"/>
    <ds:schemaRef ds:uri="http://schemas.microsoft.com/office/infopath/2007/PartnerControls"/>
    <ds:schemaRef ds:uri="d71819ef-55b9-420a-86a4-d36bc037540e"/>
  </ds:schemaRefs>
</ds:datastoreItem>
</file>

<file path=customXml/itemProps3.xml><?xml version="1.0" encoding="utf-8"?>
<ds:datastoreItem xmlns:ds="http://schemas.openxmlformats.org/officeDocument/2006/customXml" ds:itemID="{54AFAA94-9A08-4FB4-8132-31F71B657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CA82A-29EA-414B-8B91-1154E2E3FAAD}">
  <ds:schemaRefs>
    <ds:schemaRef ds:uri="http://schemas.microsoft.com/sharepoint/events"/>
  </ds:schemaRefs>
</ds:datastoreItem>
</file>

<file path=customXml/itemProps5.xml><?xml version="1.0" encoding="utf-8"?>
<ds:datastoreItem xmlns:ds="http://schemas.openxmlformats.org/officeDocument/2006/customXml" ds:itemID="{2B8CCDA2-58B4-4524-91BC-53015092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2</cp:revision>
  <cp:lastPrinted>2016-07-25T00:08:00Z</cp:lastPrinted>
  <dcterms:created xsi:type="dcterms:W3CDTF">2018-03-23T03:14:00Z</dcterms:created>
  <dcterms:modified xsi:type="dcterms:W3CDTF">2018-03-23T03:14:00Z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0x0101009CCC98B947F7CA409FC236519351963B</vt:lpwstr>
  </property>
  <property fmtid="{D5CDD505-2E9C-101B-9397-08002B2CF9AE}" pid="3" name="_dlc_DocIdItemGuid">
    <vt:lpwstr>cd86ef29-f2e7-4885-8427-f476f001b2a5</vt:lpwstr>
  </property>
</Properties>
</file>