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3150E" w14:textId="41914B76" w:rsidR="00C82862" w:rsidRPr="00C82862" w:rsidRDefault="00C82862" w:rsidP="00C82862">
      <w:pPr>
        <w:jc w:val="center"/>
        <w:rPr>
          <w:rFonts w:ascii="Times New Roman" w:hAnsi="Times New Roman"/>
          <w:b/>
          <w:sz w:val="24"/>
        </w:rPr>
      </w:pPr>
      <w:bookmarkStart w:id="0" w:name="bkInstrumentTitle"/>
      <w:bookmarkStart w:id="1" w:name="_GoBack"/>
      <w:bookmarkEnd w:id="0"/>
      <w:bookmarkEnd w:id="1"/>
      <w:r w:rsidRPr="00C82862">
        <w:rPr>
          <w:rFonts w:ascii="Times New Roman" w:hAnsi="Times New Roman"/>
          <w:b/>
          <w:sz w:val="24"/>
        </w:rPr>
        <w:t xml:space="preserve">Financial Sector (Collection of Data) (reporting standard) determination </w:t>
      </w:r>
      <w:r w:rsidRPr="0094455B">
        <w:rPr>
          <w:rFonts w:ascii="Times New Roman" w:hAnsi="Times New Roman"/>
          <w:b/>
          <w:sz w:val="24"/>
        </w:rPr>
        <w:t xml:space="preserve">Nos. </w:t>
      </w:r>
      <w:r w:rsidR="0028421A" w:rsidRPr="0094455B">
        <w:rPr>
          <w:rFonts w:ascii="Times New Roman" w:hAnsi="Times New Roman"/>
          <w:b/>
          <w:sz w:val="24"/>
        </w:rPr>
        <w:t>3</w:t>
      </w:r>
      <w:r w:rsidRPr="0094455B">
        <w:rPr>
          <w:rFonts w:ascii="Times New Roman" w:hAnsi="Times New Roman"/>
          <w:b/>
          <w:sz w:val="24"/>
        </w:rPr>
        <w:t xml:space="preserve"> to </w:t>
      </w:r>
      <w:r w:rsidR="0094455B" w:rsidRPr="0094455B">
        <w:rPr>
          <w:rFonts w:ascii="Times New Roman" w:hAnsi="Times New Roman"/>
          <w:b/>
          <w:sz w:val="24"/>
        </w:rPr>
        <w:t>36 of</w:t>
      </w:r>
      <w:r w:rsidRPr="00C82862">
        <w:rPr>
          <w:rFonts w:ascii="Times New Roman" w:hAnsi="Times New Roman"/>
          <w:b/>
          <w:sz w:val="24"/>
        </w:rPr>
        <w:t xml:space="preserve"> 2018</w:t>
      </w:r>
    </w:p>
    <w:p w14:paraId="16DB8911" w14:textId="77777777" w:rsidR="00C82862" w:rsidRPr="00C82862" w:rsidRDefault="00C82862" w:rsidP="00C82862">
      <w:pPr>
        <w:tabs>
          <w:tab w:val="left" w:pos="360"/>
        </w:tabs>
        <w:jc w:val="center"/>
        <w:rPr>
          <w:rFonts w:ascii="Times New Roman" w:hAnsi="Times New Roman"/>
          <w:b/>
          <w:sz w:val="24"/>
          <w:u w:val="single"/>
        </w:rPr>
      </w:pPr>
      <w:r w:rsidRPr="00C82862">
        <w:rPr>
          <w:rFonts w:ascii="Times New Roman" w:hAnsi="Times New Roman"/>
          <w:b/>
          <w:sz w:val="24"/>
          <w:u w:val="single"/>
        </w:rPr>
        <w:t>EXPLANATORY STATEMENT</w:t>
      </w:r>
    </w:p>
    <w:p w14:paraId="7F25FDE8" w14:textId="77777777" w:rsidR="00C82862" w:rsidRPr="00C82862" w:rsidRDefault="00C82862" w:rsidP="00C82862">
      <w:pPr>
        <w:jc w:val="center"/>
        <w:rPr>
          <w:rFonts w:ascii="Times New Roman" w:hAnsi="Times New Roman"/>
          <w:b/>
          <w:sz w:val="24"/>
        </w:rPr>
      </w:pPr>
      <w:r w:rsidRPr="00C82862">
        <w:rPr>
          <w:rFonts w:ascii="Times New Roman" w:hAnsi="Times New Roman"/>
          <w:b/>
          <w:sz w:val="24"/>
        </w:rPr>
        <w:t>Prepared by the Australian Prudential Regulation Authority (APRA)</w:t>
      </w:r>
    </w:p>
    <w:p w14:paraId="6F8A97FA" w14:textId="77777777" w:rsidR="00C82862" w:rsidRPr="00C82862" w:rsidRDefault="00C82862" w:rsidP="00C82862">
      <w:pPr>
        <w:jc w:val="center"/>
        <w:rPr>
          <w:rFonts w:ascii="Times New Roman" w:hAnsi="Times New Roman"/>
          <w:sz w:val="24"/>
        </w:rPr>
      </w:pPr>
      <w:r w:rsidRPr="00C82862">
        <w:rPr>
          <w:rFonts w:ascii="Times New Roman" w:hAnsi="Times New Roman"/>
          <w:i/>
          <w:iCs/>
          <w:sz w:val="24"/>
        </w:rPr>
        <w:t xml:space="preserve">Financial Sector (Collection of Data) Act 2001, </w:t>
      </w:r>
      <w:r w:rsidRPr="00C82862">
        <w:rPr>
          <w:rFonts w:ascii="Times New Roman" w:hAnsi="Times New Roman"/>
          <w:sz w:val="24"/>
        </w:rPr>
        <w:t>sections 13 and 15</w:t>
      </w:r>
    </w:p>
    <w:p w14:paraId="32F544D6" w14:textId="77777777" w:rsidR="00C82862" w:rsidRPr="00C82862" w:rsidRDefault="00C82862" w:rsidP="00C82862">
      <w:pPr>
        <w:jc w:val="center"/>
        <w:rPr>
          <w:rFonts w:ascii="Times New Roman" w:hAnsi="Times New Roman"/>
          <w:sz w:val="24"/>
        </w:rPr>
      </w:pPr>
      <w:r w:rsidRPr="00C82862">
        <w:rPr>
          <w:rFonts w:ascii="Times New Roman" w:hAnsi="Times New Roman"/>
          <w:i/>
          <w:iCs/>
          <w:sz w:val="24"/>
        </w:rPr>
        <w:t>Acts Interpretation Act 1901,</w:t>
      </w:r>
      <w:r w:rsidRPr="00C82862">
        <w:rPr>
          <w:rFonts w:ascii="Times New Roman" w:hAnsi="Times New Roman"/>
          <w:sz w:val="24"/>
        </w:rPr>
        <w:t xml:space="preserve"> section 33</w:t>
      </w:r>
    </w:p>
    <w:p w14:paraId="065E98B1" w14:textId="77777777" w:rsidR="00C82862" w:rsidRPr="00C82862" w:rsidRDefault="00C82862" w:rsidP="00C82862">
      <w:pPr>
        <w:rPr>
          <w:rFonts w:ascii="Times New Roman" w:hAnsi="Times New Roman"/>
          <w:sz w:val="24"/>
        </w:rPr>
      </w:pPr>
      <w:r w:rsidRPr="00C82862">
        <w:rPr>
          <w:rFonts w:ascii="Times New Roman" w:hAnsi="Times New Roman"/>
          <w:sz w:val="24"/>
        </w:rPr>
        <w:t xml:space="preserve">Under subsection 13(1) of the </w:t>
      </w:r>
      <w:r w:rsidRPr="00C82862">
        <w:rPr>
          <w:rFonts w:ascii="Times New Roman" w:hAnsi="Times New Roman"/>
          <w:i/>
          <w:sz w:val="24"/>
        </w:rPr>
        <w:t>Financial Sector (Collection of Data) Act 2001</w:t>
      </w:r>
      <w:r w:rsidRPr="00C82862">
        <w:rPr>
          <w:rFonts w:ascii="Times New Roman" w:hAnsi="Times New Roman"/>
          <w:sz w:val="24"/>
        </w:rPr>
        <w:t xml:space="preserve"> (the Act), APRA has the power to determine reporting standards, in writing, with which financial sector entities must comply. Such standards relate to reporting financial or accounting data and other information regarding the business or activities of the entities.  Subsection 33(3) of the </w:t>
      </w:r>
      <w:r w:rsidRPr="00C82862">
        <w:rPr>
          <w:rFonts w:ascii="Times New Roman" w:hAnsi="Times New Roman"/>
          <w:i/>
          <w:sz w:val="24"/>
        </w:rPr>
        <w:t>Acts Interpretation Act 1901</w:t>
      </w:r>
      <w:r w:rsidRPr="00C82862">
        <w:rPr>
          <w:rFonts w:ascii="Times New Roman" w:hAnsi="Times New Roman"/>
          <w:sz w:val="24"/>
        </w:rPr>
        <w:t xml:space="preserve"> provides that where an Act confers a power to issue an instrument the power shall, unless the contrary intention appears, be construed as including a power exercisable in the like manner and subject to the like conditions (if any) to revoke any such instrument.</w:t>
      </w:r>
    </w:p>
    <w:p w14:paraId="761474B2" w14:textId="29E91140" w:rsidR="00C82862" w:rsidRPr="00C82862" w:rsidRDefault="00C82862" w:rsidP="00C82862">
      <w:pPr>
        <w:widowControl w:val="0"/>
        <w:spacing w:before="120" w:after="60"/>
        <w:rPr>
          <w:rFonts w:ascii="Times New Roman" w:hAnsi="Times New Roman"/>
          <w:sz w:val="24"/>
        </w:rPr>
      </w:pPr>
      <w:bookmarkStart w:id="2" w:name="bkInstrumentSubTitle"/>
      <w:bookmarkStart w:id="3" w:name="bkStart"/>
      <w:bookmarkStart w:id="4" w:name="bkAct"/>
      <w:bookmarkStart w:id="5" w:name="bkExplanatory"/>
      <w:bookmarkEnd w:id="2"/>
      <w:bookmarkEnd w:id="3"/>
      <w:bookmarkEnd w:id="4"/>
      <w:bookmarkEnd w:id="5"/>
      <w:r w:rsidRPr="0094455B">
        <w:rPr>
          <w:rFonts w:ascii="Times New Roman" w:hAnsi="Times New Roman"/>
          <w:sz w:val="24"/>
        </w:rPr>
        <w:t xml:space="preserve">On </w:t>
      </w:r>
      <w:r w:rsidR="0094455B" w:rsidRPr="0094455B">
        <w:rPr>
          <w:rFonts w:ascii="Times New Roman" w:hAnsi="Times New Roman"/>
          <w:sz w:val="24"/>
        </w:rPr>
        <w:t>21</w:t>
      </w:r>
      <w:r w:rsidRPr="0094455B">
        <w:rPr>
          <w:rFonts w:ascii="Times New Roman" w:hAnsi="Times New Roman"/>
          <w:sz w:val="24"/>
        </w:rPr>
        <w:t xml:space="preserve"> M</w:t>
      </w:r>
      <w:r w:rsidR="0094455B" w:rsidRPr="0094455B">
        <w:rPr>
          <w:rFonts w:ascii="Times New Roman" w:hAnsi="Times New Roman"/>
          <w:sz w:val="24"/>
        </w:rPr>
        <w:t>arch</w:t>
      </w:r>
      <w:r w:rsidRPr="0094455B">
        <w:rPr>
          <w:rFonts w:ascii="Times New Roman" w:hAnsi="Times New Roman"/>
          <w:sz w:val="24"/>
        </w:rPr>
        <w:t xml:space="preserve"> 2018, APRA</w:t>
      </w:r>
      <w:r w:rsidRPr="00C82862">
        <w:rPr>
          <w:rFonts w:ascii="Times New Roman" w:hAnsi="Times New Roman"/>
          <w:sz w:val="24"/>
        </w:rPr>
        <w:t xml:space="preserve"> made the following determinations (the instruments):</w:t>
      </w:r>
    </w:p>
    <w:p w14:paraId="75F37C71" w14:textId="02CE9037"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3</w:t>
      </w:r>
      <w:r w:rsidRPr="00C82862">
        <w:rPr>
          <w:rFonts w:ascii="Times New Roman" w:hAnsi="Times New Roman"/>
          <w:sz w:val="24"/>
        </w:rPr>
        <w:t xml:space="preserve"> of 2018 which: </w:t>
      </w:r>
    </w:p>
    <w:p w14:paraId="18F9EFCB" w14:textId="51737435" w:rsidR="00C82862" w:rsidRPr="00C82862" w:rsidRDefault="00C82862" w:rsidP="00B25D1F">
      <w:pPr>
        <w:widowControl w:val="0"/>
        <w:numPr>
          <w:ilvl w:val="1"/>
          <w:numId w:val="17"/>
        </w:numPr>
        <w:tabs>
          <w:tab w:val="clear" w:pos="1440"/>
        </w:tabs>
        <w:spacing w:before="240"/>
        <w:ind w:left="1134" w:hanging="589"/>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Reporting Standard ARS 113.0 Foundation Internal Ratings-based (FIRB) Approach to Credit Risk</w:t>
      </w:r>
      <w:r w:rsidRPr="00C82862">
        <w:rPr>
          <w:rFonts w:ascii="Times New Roman" w:hAnsi="Times New Roman"/>
          <w:sz w:val="24"/>
        </w:rPr>
        <w:t xml:space="preserve"> </w:t>
      </w:r>
      <w:r w:rsidR="00B0672F">
        <w:rPr>
          <w:rFonts w:ascii="Times New Roman" w:hAnsi="Times New Roman"/>
          <w:sz w:val="24"/>
        </w:rPr>
        <w:t xml:space="preserve">(existing ARS 113.0) </w:t>
      </w:r>
      <w:r w:rsidRPr="00C82862">
        <w:rPr>
          <w:rFonts w:ascii="Times New Roman" w:hAnsi="Times New Roman"/>
          <w:sz w:val="24"/>
        </w:rPr>
        <w:t xml:space="preserve">(as determined by Financial Sector (Collection of Data) (reporting standard) determination No. 4 of 2008; and </w:t>
      </w:r>
    </w:p>
    <w:p w14:paraId="4770F239" w14:textId="0BBCACF6" w:rsidR="00C82862" w:rsidRPr="00C82862" w:rsidRDefault="00C82862" w:rsidP="00B25D1F">
      <w:pPr>
        <w:widowControl w:val="0"/>
        <w:numPr>
          <w:ilvl w:val="1"/>
          <w:numId w:val="17"/>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113.0 Foundation Internal Ratings-based (FIRB) Approach to Credit Risk</w:t>
      </w:r>
      <w:r w:rsidR="000E62E7">
        <w:rPr>
          <w:rFonts w:ascii="Times New Roman" w:hAnsi="Times New Roman"/>
          <w:sz w:val="24"/>
        </w:rPr>
        <w:t xml:space="preserve"> (ARS 113.0)</w:t>
      </w:r>
      <w:r w:rsidRPr="00C82862">
        <w:rPr>
          <w:rFonts w:ascii="Times New Roman" w:hAnsi="Times New Roman"/>
          <w:sz w:val="24"/>
        </w:rPr>
        <w:t>;</w:t>
      </w:r>
    </w:p>
    <w:p w14:paraId="53094661" w14:textId="7E08C7C7"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4</w:t>
      </w:r>
      <w:r w:rsidRPr="00C82862">
        <w:rPr>
          <w:rFonts w:ascii="Times New Roman" w:hAnsi="Times New Roman"/>
          <w:sz w:val="24"/>
        </w:rPr>
        <w:t xml:space="preserve"> of 2018 which: </w:t>
      </w:r>
    </w:p>
    <w:p w14:paraId="25DDD0A1" w14:textId="77777777" w:rsidR="00C82862" w:rsidRPr="00C82862" w:rsidRDefault="00C82862" w:rsidP="00B25D1F">
      <w:pPr>
        <w:widowControl w:val="0"/>
        <w:numPr>
          <w:ilvl w:val="1"/>
          <w:numId w:val="18"/>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Reporting Standard ARS 113.1 Advanced Internal Ratings-based (AIRB) Approach to Credit Risk</w:t>
      </w:r>
      <w:r w:rsidRPr="00C82862">
        <w:rPr>
          <w:rFonts w:ascii="Times New Roman" w:hAnsi="Times New Roman"/>
          <w:sz w:val="24"/>
        </w:rPr>
        <w:t xml:space="preserve"> (existing ARS 113.1) (as determined by Financial Sector (Collection of Data) (reporting standard) determination No. 5 of 2008); and </w:t>
      </w:r>
    </w:p>
    <w:p w14:paraId="49997EB7" w14:textId="77777777" w:rsidR="00C82862" w:rsidRPr="00C82862" w:rsidRDefault="00C82862" w:rsidP="00B25D1F">
      <w:pPr>
        <w:widowControl w:val="0"/>
        <w:numPr>
          <w:ilvl w:val="1"/>
          <w:numId w:val="18"/>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113.1 Advanced Internal Ratings-based (AIRB) Approach to Credit Risk</w:t>
      </w:r>
      <w:r w:rsidRPr="00C82862">
        <w:rPr>
          <w:rFonts w:ascii="Times New Roman" w:hAnsi="Times New Roman"/>
          <w:sz w:val="24"/>
        </w:rPr>
        <w:t xml:space="preserve"> (ARS 113.1);</w:t>
      </w:r>
    </w:p>
    <w:p w14:paraId="209EFE3C" w14:textId="41DCBA35"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lastRenderedPageBreak/>
        <w:t xml:space="preserve">Financial Sector (Collection of Data) (reporting standard) determination No. </w:t>
      </w:r>
      <w:r w:rsidR="0028421A">
        <w:rPr>
          <w:rFonts w:ascii="Times New Roman" w:hAnsi="Times New Roman"/>
          <w:sz w:val="24"/>
        </w:rPr>
        <w:t>5</w:t>
      </w:r>
      <w:r w:rsidRPr="00C82862">
        <w:rPr>
          <w:rFonts w:ascii="Times New Roman" w:hAnsi="Times New Roman"/>
          <w:sz w:val="24"/>
        </w:rPr>
        <w:t xml:space="preserve"> of 2018 which: </w:t>
      </w:r>
    </w:p>
    <w:p w14:paraId="0E8C0FC7" w14:textId="77777777" w:rsidR="00C82862" w:rsidRPr="00C82862" w:rsidRDefault="00C82862" w:rsidP="00B25D1F">
      <w:pPr>
        <w:widowControl w:val="0"/>
        <w:numPr>
          <w:ilvl w:val="1"/>
          <w:numId w:val="19"/>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Reporting Standard ARS 113.2 Internal Ratings-based (IRB) Approach to Credit Risk – Specialised Lending Supervisory Slotting</w:t>
      </w:r>
      <w:r w:rsidRPr="00C82862">
        <w:rPr>
          <w:rFonts w:ascii="Times New Roman" w:hAnsi="Times New Roman"/>
          <w:sz w:val="24"/>
        </w:rPr>
        <w:t xml:space="preserve"> (existing ARS 113.2) (as determined by Financial Sector (Collection of Data) (reporting standard) determination No. 6 of 2008); and </w:t>
      </w:r>
    </w:p>
    <w:p w14:paraId="2E45FFD0" w14:textId="77777777" w:rsidR="00C82862" w:rsidRPr="00C82862" w:rsidRDefault="00C82862" w:rsidP="00B25D1F">
      <w:pPr>
        <w:widowControl w:val="0"/>
        <w:numPr>
          <w:ilvl w:val="1"/>
          <w:numId w:val="19"/>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113.2 Internal Ratings-based (IRB) Approach to Credit Risk – Specialised Lending Supervisory Slotting</w:t>
      </w:r>
      <w:r w:rsidRPr="00C82862">
        <w:rPr>
          <w:rFonts w:ascii="Times New Roman" w:hAnsi="Times New Roman"/>
          <w:sz w:val="24"/>
        </w:rPr>
        <w:t xml:space="preserve"> (ARS 113.2);</w:t>
      </w:r>
    </w:p>
    <w:p w14:paraId="4E73A315" w14:textId="1BB03073"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6</w:t>
      </w:r>
      <w:r w:rsidRPr="00C82862">
        <w:rPr>
          <w:rFonts w:ascii="Times New Roman" w:hAnsi="Times New Roman"/>
          <w:sz w:val="24"/>
        </w:rPr>
        <w:t xml:space="preserve"> of 2018 which: </w:t>
      </w:r>
    </w:p>
    <w:p w14:paraId="45443246" w14:textId="77777777" w:rsidR="00C82862" w:rsidRPr="00C82862" w:rsidRDefault="00C82862" w:rsidP="00B25D1F">
      <w:pPr>
        <w:widowControl w:val="0"/>
        <w:numPr>
          <w:ilvl w:val="1"/>
          <w:numId w:val="20"/>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Reporting Standard ARS 113.3 Internal Ratings-based (IRB) Approach to Credit Risk – Retail</w:t>
      </w:r>
      <w:r w:rsidRPr="00C82862">
        <w:rPr>
          <w:rFonts w:ascii="Times New Roman" w:hAnsi="Times New Roman"/>
          <w:sz w:val="24"/>
        </w:rPr>
        <w:t xml:space="preserve"> (existing ARS 113.3) (as determined by Financial Sector (Collection of Data) (reporting standard) determination No. 7 of 2008); and </w:t>
      </w:r>
    </w:p>
    <w:p w14:paraId="64497282" w14:textId="77777777" w:rsidR="00C82862" w:rsidRPr="00C82862" w:rsidRDefault="00C82862" w:rsidP="00B25D1F">
      <w:pPr>
        <w:widowControl w:val="0"/>
        <w:numPr>
          <w:ilvl w:val="1"/>
          <w:numId w:val="20"/>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113.3 Internal Ratings-based (IRB) Approach to Credit Risk – Retail</w:t>
      </w:r>
      <w:r w:rsidRPr="00C82862">
        <w:rPr>
          <w:rFonts w:ascii="Times New Roman" w:hAnsi="Times New Roman"/>
          <w:sz w:val="24"/>
        </w:rPr>
        <w:t xml:space="preserve"> (ARS 113.3);</w:t>
      </w:r>
    </w:p>
    <w:p w14:paraId="70BABF36" w14:textId="75B43357"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7</w:t>
      </w:r>
      <w:r w:rsidRPr="00C82862">
        <w:rPr>
          <w:rFonts w:ascii="Times New Roman" w:hAnsi="Times New Roman"/>
          <w:sz w:val="24"/>
        </w:rPr>
        <w:t xml:space="preserve"> of 2018 which: </w:t>
      </w:r>
    </w:p>
    <w:p w14:paraId="47468097" w14:textId="77777777" w:rsidR="00C82862" w:rsidRPr="009641CE" w:rsidRDefault="00C82862" w:rsidP="00B25D1F">
      <w:pPr>
        <w:widowControl w:val="0"/>
        <w:numPr>
          <w:ilvl w:val="1"/>
          <w:numId w:val="21"/>
        </w:numPr>
        <w:tabs>
          <w:tab w:val="clear" w:pos="1440"/>
          <w:tab w:val="num" w:pos="1134"/>
        </w:tabs>
        <w:spacing w:before="240"/>
        <w:ind w:left="1134" w:hanging="567"/>
        <w:rPr>
          <w:rFonts w:ascii="Times New Roman" w:hAnsi="Times New Roman"/>
          <w:sz w:val="24"/>
        </w:rPr>
      </w:pPr>
      <w:r w:rsidRPr="009641CE">
        <w:rPr>
          <w:rFonts w:ascii="Times New Roman" w:hAnsi="Times New Roman"/>
          <w:sz w:val="24"/>
        </w:rPr>
        <w:t xml:space="preserve">revokes Reporting Standard </w:t>
      </w:r>
      <w:r w:rsidRPr="009641CE">
        <w:rPr>
          <w:rFonts w:ascii="Times New Roman" w:hAnsi="Times New Roman"/>
          <w:i/>
          <w:sz w:val="24"/>
        </w:rPr>
        <w:t>ARS 115.0 Advanced Measurement Approaches (AMA) to Operational Risk</w:t>
      </w:r>
      <w:r w:rsidRPr="009641CE">
        <w:rPr>
          <w:rFonts w:ascii="Times New Roman" w:hAnsi="Times New Roman"/>
          <w:sz w:val="24"/>
        </w:rPr>
        <w:t xml:space="preserve"> (existing ARS 115.0) (as determined by Financial Sector (Collection of Data) (reporting standard) determination No. 10 of 2008); and </w:t>
      </w:r>
    </w:p>
    <w:p w14:paraId="76BFF200" w14:textId="77777777" w:rsidR="00C82862" w:rsidRPr="00C82862" w:rsidRDefault="00C82862" w:rsidP="00B25D1F">
      <w:pPr>
        <w:widowControl w:val="0"/>
        <w:numPr>
          <w:ilvl w:val="1"/>
          <w:numId w:val="21"/>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B25D1F">
        <w:rPr>
          <w:rFonts w:ascii="Times New Roman" w:hAnsi="Times New Roman"/>
          <w:i/>
          <w:sz w:val="24"/>
        </w:rPr>
        <w:t>Reporting Standard ARS 115.0 Advanced Measurement Approaches (AMA) to Operational Risk</w:t>
      </w:r>
      <w:r w:rsidRPr="00C82862">
        <w:rPr>
          <w:rFonts w:ascii="Times New Roman" w:hAnsi="Times New Roman"/>
          <w:sz w:val="24"/>
        </w:rPr>
        <w:t xml:space="preserve"> (ARS 115.0); </w:t>
      </w:r>
    </w:p>
    <w:p w14:paraId="3ED6A764" w14:textId="22FF1A8B" w:rsidR="00545C16" w:rsidRPr="00C82862" w:rsidRDefault="00545C16" w:rsidP="00545C16">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8</w:t>
      </w:r>
      <w:r w:rsidRPr="00C82862">
        <w:rPr>
          <w:rFonts w:ascii="Times New Roman" w:hAnsi="Times New Roman"/>
          <w:sz w:val="24"/>
        </w:rPr>
        <w:t xml:space="preserve"> of 2018 which: </w:t>
      </w:r>
    </w:p>
    <w:p w14:paraId="4BE0898F" w14:textId="77777777" w:rsidR="00545C16" w:rsidRPr="00C82862" w:rsidRDefault="00545C16" w:rsidP="00545C16">
      <w:pPr>
        <w:widowControl w:val="0"/>
        <w:numPr>
          <w:ilvl w:val="1"/>
          <w:numId w:val="14"/>
        </w:numPr>
        <w:tabs>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Reporting Standard ARS 118.0 Off-balance Sheet Business</w:t>
      </w:r>
      <w:r w:rsidRPr="00C82862">
        <w:rPr>
          <w:rFonts w:ascii="Times New Roman" w:hAnsi="Times New Roman"/>
          <w:sz w:val="24"/>
        </w:rPr>
        <w:t xml:space="preserve"> </w:t>
      </w:r>
      <w:r>
        <w:rPr>
          <w:rFonts w:ascii="Times New Roman" w:hAnsi="Times New Roman"/>
          <w:sz w:val="24"/>
        </w:rPr>
        <w:t xml:space="preserve">(existing ARS 118.0) </w:t>
      </w:r>
      <w:r w:rsidRPr="00C82862">
        <w:rPr>
          <w:rFonts w:ascii="Times New Roman" w:hAnsi="Times New Roman"/>
          <w:sz w:val="24"/>
        </w:rPr>
        <w:t xml:space="preserve">(as determined by Financial Sector (Collection of Data) (reporting standard) determination No. 3 of 2008; and </w:t>
      </w:r>
    </w:p>
    <w:p w14:paraId="000A11D0" w14:textId="77777777" w:rsidR="00545C16" w:rsidRPr="00C82862" w:rsidRDefault="00545C16" w:rsidP="00545C16">
      <w:pPr>
        <w:widowControl w:val="0"/>
        <w:numPr>
          <w:ilvl w:val="1"/>
          <w:numId w:val="14"/>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w:t>
      </w:r>
      <w:r w:rsidRPr="00C82862">
        <w:rPr>
          <w:rFonts w:ascii="Times New Roman" w:hAnsi="Times New Roman"/>
          <w:i/>
          <w:sz w:val="24"/>
        </w:rPr>
        <w:t>Reporting Standard ARS 118.0 Off-balance Sheet Business</w:t>
      </w:r>
      <w:r w:rsidRPr="00C82862">
        <w:rPr>
          <w:rFonts w:ascii="Times New Roman" w:hAnsi="Times New Roman"/>
          <w:sz w:val="24"/>
        </w:rPr>
        <w:t xml:space="preserve"> (ARS 118.0); </w:t>
      </w:r>
    </w:p>
    <w:p w14:paraId="3CB3DF57" w14:textId="03307A0E"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9</w:t>
      </w:r>
      <w:r w:rsidRPr="00C82862">
        <w:rPr>
          <w:rFonts w:ascii="Times New Roman" w:hAnsi="Times New Roman"/>
          <w:sz w:val="24"/>
        </w:rPr>
        <w:t xml:space="preserve"> of 2018 which: </w:t>
      </w:r>
    </w:p>
    <w:p w14:paraId="5B8BD177" w14:textId="77777777" w:rsidR="00C82862" w:rsidRPr="00C82862" w:rsidRDefault="00C82862" w:rsidP="00B25D1F">
      <w:pPr>
        <w:widowControl w:val="0"/>
        <w:numPr>
          <w:ilvl w:val="1"/>
          <w:numId w:val="22"/>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lastRenderedPageBreak/>
        <w:t xml:space="preserve">revokes </w:t>
      </w:r>
      <w:r w:rsidRPr="00C82862">
        <w:rPr>
          <w:rFonts w:ascii="Times New Roman" w:hAnsi="Times New Roman"/>
          <w:i/>
          <w:sz w:val="24"/>
        </w:rPr>
        <w:t>Reporting Standard ARS 220.0 Impaired Facilities</w:t>
      </w:r>
      <w:r w:rsidRPr="00C82862">
        <w:rPr>
          <w:rFonts w:ascii="Times New Roman" w:hAnsi="Times New Roman"/>
          <w:sz w:val="24"/>
        </w:rPr>
        <w:t xml:space="preserve"> (existing ARS 220.0) (as determined by Financial </w:t>
      </w:r>
      <w:r w:rsidRPr="009641CE">
        <w:rPr>
          <w:rFonts w:ascii="Times New Roman" w:hAnsi="Times New Roman"/>
          <w:sz w:val="24"/>
        </w:rPr>
        <w:t>Sector (Collection of Data) (reporting standard) determination No. 19 of 2008); and</w:t>
      </w:r>
      <w:r w:rsidRPr="00C82862">
        <w:rPr>
          <w:rFonts w:ascii="Times New Roman" w:hAnsi="Times New Roman"/>
          <w:sz w:val="24"/>
        </w:rPr>
        <w:t xml:space="preserve"> </w:t>
      </w:r>
    </w:p>
    <w:p w14:paraId="1DEF994D" w14:textId="77777777" w:rsidR="00C82862" w:rsidRPr="00C82862" w:rsidRDefault="00C82862" w:rsidP="00B25D1F">
      <w:pPr>
        <w:widowControl w:val="0"/>
        <w:numPr>
          <w:ilvl w:val="1"/>
          <w:numId w:val="22"/>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B25D1F">
        <w:rPr>
          <w:rFonts w:ascii="Times New Roman" w:hAnsi="Times New Roman"/>
          <w:i/>
          <w:sz w:val="24"/>
        </w:rPr>
        <w:t>Reporting Standard ARS 220.0 Impaired Facilities</w:t>
      </w:r>
      <w:r w:rsidRPr="00C82862">
        <w:rPr>
          <w:rFonts w:ascii="Times New Roman" w:hAnsi="Times New Roman"/>
          <w:sz w:val="24"/>
        </w:rPr>
        <w:t xml:space="preserve"> (ARS 220.0);</w:t>
      </w:r>
    </w:p>
    <w:p w14:paraId="0BD8D500" w14:textId="7218D82C"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10</w:t>
      </w:r>
      <w:r w:rsidRPr="00C82862">
        <w:rPr>
          <w:rFonts w:ascii="Times New Roman" w:hAnsi="Times New Roman"/>
          <w:sz w:val="24"/>
        </w:rPr>
        <w:t xml:space="preserve"> of 2018, which: </w:t>
      </w:r>
    </w:p>
    <w:p w14:paraId="1870130E" w14:textId="77777777" w:rsidR="00C82862" w:rsidRPr="009641CE" w:rsidRDefault="00C82862" w:rsidP="00B25D1F">
      <w:pPr>
        <w:widowControl w:val="0"/>
        <w:numPr>
          <w:ilvl w:val="1"/>
          <w:numId w:val="23"/>
        </w:numPr>
        <w:tabs>
          <w:tab w:val="clear" w:pos="1440"/>
        </w:tabs>
        <w:spacing w:before="240"/>
        <w:ind w:left="1134" w:hanging="567"/>
        <w:rPr>
          <w:rFonts w:ascii="Times New Roman" w:hAnsi="Times New Roman"/>
          <w:sz w:val="24"/>
        </w:rPr>
      </w:pPr>
      <w:r w:rsidRPr="00C82862">
        <w:rPr>
          <w:rFonts w:ascii="Times New Roman" w:hAnsi="Times New Roman"/>
          <w:sz w:val="24"/>
        </w:rPr>
        <w:t xml:space="preserve">revokes </w:t>
      </w:r>
      <w:r w:rsidRPr="00B25D1F">
        <w:rPr>
          <w:rFonts w:ascii="Times New Roman" w:hAnsi="Times New Roman"/>
          <w:i/>
          <w:sz w:val="24"/>
        </w:rPr>
        <w:t>Reporting Standard ARS 220.3 Prescribed Provisioning</w:t>
      </w:r>
      <w:r w:rsidRPr="00C82862">
        <w:rPr>
          <w:rFonts w:ascii="Times New Roman" w:hAnsi="Times New Roman"/>
          <w:sz w:val="24"/>
        </w:rPr>
        <w:t xml:space="preserve"> (existing ARS 220.3) (as determined by Financial Sector (</w:t>
      </w:r>
      <w:r w:rsidRPr="009641CE">
        <w:rPr>
          <w:rFonts w:ascii="Times New Roman" w:hAnsi="Times New Roman"/>
          <w:sz w:val="24"/>
        </w:rPr>
        <w:t xml:space="preserve">Collection of Data) (reporting standard) determination No. 20 of 2008); and </w:t>
      </w:r>
    </w:p>
    <w:p w14:paraId="1E97C074" w14:textId="77777777" w:rsidR="00C82862" w:rsidRPr="00C82862" w:rsidRDefault="00C82862" w:rsidP="00B25D1F">
      <w:pPr>
        <w:widowControl w:val="0"/>
        <w:numPr>
          <w:ilvl w:val="1"/>
          <w:numId w:val="23"/>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B25D1F">
        <w:rPr>
          <w:rFonts w:ascii="Times New Roman" w:hAnsi="Times New Roman"/>
          <w:i/>
          <w:sz w:val="24"/>
        </w:rPr>
        <w:t>Reporting Standard ARS 220.3 Prescribed Provisioning</w:t>
      </w:r>
      <w:r w:rsidRPr="00C82862">
        <w:rPr>
          <w:rFonts w:ascii="Times New Roman" w:hAnsi="Times New Roman"/>
          <w:sz w:val="24"/>
        </w:rPr>
        <w:t xml:space="preserve"> (ARS 220.3);</w:t>
      </w:r>
    </w:p>
    <w:p w14:paraId="3EBED6BE" w14:textId="549E4CAC"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No. </w:t>
      </w:r>
      <w:r w:rsidR="0028421A">
        <w:rPr>
          <w:rFonts w:ascii="Times New Roman" w:hAnsi="Times New Roman"/>
          <w:sz w:val="24"/>
        </w:rPr>
        <w:t>11</w:t>
      </w:r>
      <w:r w:rsidRPr="00C82862">
        <w:rPr>
          <w:rFonts w:ascii="Times New Roman" w:hAnsi="Times New Roman"/>
          <w:sz w:val="24"/>
        </w:rPr>
        <w:t xml:space="preserve"> of 2018 which: </w:t>
      </w:r>
    </w:p>
    <w:p w14:paraId="3A40FE22" w14:textId="77777777" w:rsidR="00C82862" w:rsidRPr="00C82862" w:rsidRDefault="00C82862" w:rsidP="00B25D1F">
      <w:pPr>
        <w:widowControl w:val="0"/>
        <w:numPr>
          <w:ilvl w:val="1"/>
          <w:numId w:val="24"/>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811142">
        <w:rPr>
          <w:rFonts w:ascii="Times New Roman" w:hAnsi="Times New Roman"/>
          <w:i/>
          <w:sz w:val="24"/>
        </w:rPr>
        <w:t>Reporting Standard ARS 220.5 Movements in Provisions for Impairment</w:t>
      </w:r>
      <w:r w:rsidRPr="00C82862">
        <w:rPr>
          <w:rFonts w:ascii="Times New Roman" w:hAnsi="Times New Roman"/>
          <w:sz w:val="24"/>
        </w:rPr>
        <w:t xml:space="preserve"> (existing ARS 220.5) (as </w:t>
      </w:r>
      <w:r w:rsidRPr="009641CE">
        <w:rPr>
          <w:rFonts w:ascii="Times New Roman" w:hAnsi="Times New Roman"/>
          <w:sz w:val="24"/>
        </w:rPr>
        <w:t>determined by Financial Sector (Collection of Data) (reporting standard) determination No. 21 of 2008); and</w:t>
      </w:r>
      <w:r w:rsidRPr="00C82862">
        <w:rPr>
          <w:rFonts w:ascii="Times New Roman" w:hAnsi="Times New Roman"/>
          <w:sz w:val="24"/>
        </w:rPr>
        <w:t xml:space="preserve"> </w:t>
      </w:r>
    </w:p>
    <w:p w14:paraId="6A622049" w14:textId="77777777" w:rsidR="00C82862" w:rsidRPr="00C82862" w:rsidRDefault="00C82862" w:rsidP="00B25D1F">
      <w:pPr>
        <w:widowControl w:val="0"/>
        <w:numPr>
          <w:ilvl w:val="1"/>
          <w:numId w:val="24"/>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811142">
        <w:rPr>
          <w:rFonts w:ascii="Times New Roman" w:hAnsi="Times New Roman"/>
          <w:i/>
          <w:sz w:val="24"/>
        </w:rPr>
        <w:t>Reporting Standard ARS 220.5 Movements in Provisions</w:t>
      </w:r>
      <w:r w:rsidRPr="0094455B">
        <w:rPr>
          <w:rFonts w:ascii="Times New Roman" w:hAnsi="Times New Roman"/>
          <w:i/>
          <w:sz w:val="24"/>
        </w:rPr>
        <w:t xml:space="preserve"> for Impairment</w:t>
      </w:r>
      <w:r w:rsidRPr="00C82862">
        <w:rPr>
          <w:rFonts w:ascii="Times New Roman" w:hAnsi="Times New Roman"/>
          <w:sz w:val="24"/>
        </w:rPr>
        <w:t xml:space="preserve"> (ARS 220.5);</w:t>
      </w:r>
    </w:p>
    <w:p w14:paraId="517D8ABA" w14:textId="691EA727"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12</w:t>
      </w:r>
      <w:r w:rsidRPr="00C82862">
        <w:rPr>
          <w:rFonts w:ascii="Times New Roman" w:hAnsi="Times New Roman"/>
          <w:sz w:val="24"/>
        </w:rPr>
        <w:t xml:space="preserve"> of 2018 which: </w:t>
      </w:r>
    </w:p>
    <w:p w14:paraId="583FE539" w14:textId="77777777" w:rsidR="00C82862" w:rsidRPr="009641CE" w:rsidRDefault="00C82862" w:rsidP="00B25D1F">
      <w:pPr>
        <w:widowControl w:val="0"/>
        <w:numPr>
          <w:ilvl w:val="1"/>
          <w:numId w:val="25"/>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811142">
        <w:rPr>
          <w:rFonts w:ascii="Times New Roman" w:hAnsi="Times New Roman"/>
          <w:i/>
          <w:sz w:val="24"/>
        </w:rPr>
        <w:t>Reporting Standard ARS 222.0 Exposures to Related Entities</w:t>
      </w:r>
      <w:r w:rsidRPr="00C82862">
        <w:rPr>
          <w:rFonts w:ascii="Times New Roman" w:hAnsi="Times New Roman"/>
          <w:sz w:val="24"/>
        </w:rPr>
        <w:t xml:space="preserve"> (existing ARS 222.0) (as determined by </w:t>
      </w:r>
      <w:r w:rsidRPr="009641CE">
        <w:rPr>
          <w:rFonts w:ascii="Times New Roman" w:hAnsi="Times New Roman"/>
          <w:sz w:val="24"/>
        </w:rPr>
        <w:t xml:space="preserve">Financial Sector (Collection of Data) (reporting standard) determination No. 23 of 2008); </w:t>
      </w:r>
    </w:p>
    <w:p w14:paraId="2649ABE0" w14:textId="77777777" w:rsidR="00C82862" w:rsidRPr="00C82862" w:rsidRDefault="00C82862" w:rsidP="00B25D1F">
      <w:pPr>
        <w:widowControl w:val="0"/>
        <w:numPr>
          <w:ilvl w:val="1"/>
          <w:numId w:val="25"/>
        </w:numPr>
        <w:tabs>
          <w:tab w:val="num" w:pos="1134"/>
        </w:tabs>
        <w:spacing w:before="240"/>
        <w:ind w:left="1134" w:hanging="567"/>
        <w:rPr>
          <w:rFonts w:ascii="Times New Roman" w:hAnsi="Times New Roman"/>
          <w:sz w:val="24"/>
        </w:rPr>
      </w:pPr>
      <w:r w:rsidRPr="00C82862">
        <w:rPr>
          <w:rFonts w:ascii="Times New Roman" w:hAnsi="Times New Roman"/>
          <w:sz w:val="24"/>
        </w:rPr>
        <w:t xml:space="preserve">and determines a new </w:t>
      </w:r>
      <w:r w:rsidRPr="00B25D1F">
        <w:rPr>
          <w:rFonts w:ascii="Times New Roman" w:hAnsi="Times New Roman"/>
          <w:i/>
          <w:sz w:val="24"/>
        </w:rPr>
        <w:t>Reporting Standard ARS 222.0 Exposures to Related Entities</w:t>
      </w:r>
      <w:r w:rsidRPr="00C82862">
        <w:rPr>
          <w:rFonts w:ascii="Times New Roman" w:hAnsi="Times New Roman"/>
          <w:sz w:val="24"/>
        </w:rPr>
        <w:t xml:space="preserve"> (ARS 222.0);</w:t>
      </w:r>
    </w:p>
    <w:p w14:paraId="735386FD" w14:textId="431CFAB6"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13</w:t>
      </w:r>
      <w:r w:rsidRPr="00C82862">
        <w:rPr>
          <w:rFonts w:ascii="Times New Roman" w:hAnsi="Times New Roman"/>
          <w:sz w:val="24"/>
        </w:rPr>
        <w:t xml:space="preserve"> of 2018 which: </w:t>
      </w:r>
    </w:p>
    <w:p w14:paraId="666E9736" w14:textId="77777777" w:rsidR="00C82862" w:rsidRPr="00C82862" w:rsidRDefault="00C82862" w:rsidP="00B25D1F">
      <w:pPr>
        <w:widowControl w:val="0"/>
        <w:numPr>
          <w:ilvl w:val="1"/>
          <w:numId w:val="26"/>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811142">
        <w:rPr>
          <w:rFonts w:ascii="Times New Roman" w:hAnsi="Times New Roman"/>
          <w:i/>
          <w:sz w:val="24"/>
        </w:rPr>
        <w:t>Reporting Standard ARS 230.0 Commercial Property</w:t>
      </w:r>
      <w:r w:rsidRPr="00C82862">
        <w:rPr>
          <w:rFonts w:ascii="Times New Roman" w:hAnsi="Times New Roman"/>
          <w:sz w:val="24"/>
        </w:rPr>
        <w:t xml:space="preserve"> (existing ARS 230.0) (as </w:t>
      </w:r>
      <w:r w:rsidRPr="00C82862">
        <w:rPr>
          <w:rFonts w:ascii="Times New Roman" w:hAnsi="Times New Roman"/>
          <w:sz w:val="24"/>
        </w:rPr>
        <w:lastRenderedPageBreak/>
        <w:t xml:space="preserve">determined by </w:t>
      </w:r>
      <w:r w:rsidRPr="009641CE">
        <w:rPr>
          <w:rFonts w:ascii="Times New Roman" w:hAnsi="Times New Roman"/>
          <w:sz w:val="24"/>
        </w:rPr>
        <w:t>Financial Sector (Collection of Data) (reporting standard) determination No. 24 of 2008); and</w:t>
      </w:r>
      <w:r w:rsidRPr="00C82862">
        <w:rPr>
          <w:rFonts w:ascii="Times New Roman" w:hAnsi="Times New Roman"/>
          <w:sz w:val="24"/>
        </w:rPr>
        <w:t xml:space="preserve"> </w:t>
      </w:r>
    </w:p>
    <w:p w14:paraId="3BABE3D6" w14:textId="77777777" w:rsidR="00C82862" w:rsidRPr="00C82862" w:rsidRDefault="00C82862" w:rsidP="00B25D1F">
      <w:pPr>
        <w:widowControl w:val="0"/>
        <w:numPr>
          <w:ilvl w:val="1"/>
          <w:numId w:val="26"/>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811142">
        <w:rPr>
          <w:rFonts w:ascii="Times New Roman" w:hAnsi="Times New Roman"/>
          <w:i/>
          <w:sz w:val="24"/>
        </w:rPr>
        <w:t>Reporting Standard ARS 230.0 Commercial</w:t>
      </w:r>
      <w:r w:rsidRPr="00C82862">
        <w:rPr>
          <w:rFonts w:ascii="Times New Roman" w:hAnsi="Times New Roman"/>
          <w:i/>
          <w:sz w:val="24"/>
        </w:rPr>
        <w:t xml:space="preserve"> Property </w:t>
      </w:r>
      <w:r w:rsidRPr="00C82862">
        <w:rPr>
          <w:rFonts w:ascii="Times New Roman" w:hAnsi="Times New Roman"/>
          <w:sz w:val="24"/>
        </w:rPr>
        <w:t>(ARS 230.0);</w:t>
      </w:r>
    </w:p>
    <w:p w14:paraId="4C504DD3" w14:textId="3E0E3656"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14</w:t>
      </w:r>
      <w:r w:rsidRPr="00C82862">
        <w:rPr>
          <w:rFonts w:ascii="Times New Roman" w:hAnsi="Times New Roman"/>
          <w:sz w:val="24"/>
        </w:rPr>
        <w:t xml:space="preserve"> of 2018 which: </w:t>
      </w:r>
    </w:p>
    <w:p w14:paraId="3FC683A0" w14:textId="77777777" w:rsidR="00C82862" w:rsidRPr="00C82862" w:rsidRDefault="00C82862" w:rsidP="00B25D1F">
      <w:pPr>
        <w:widowControl w:val="0"/>
        <w:numPr>
          <w:ilvl w:val="1"/>
          <w:numId w:val="27"/>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811142">
        <w:rPr>
          <w:rFonts w:ascii="Times New Roman" w:hAnsi="Times New Roman"/>
          <w:i/>
          <w:sz w:val="24"/>
        </w:rPr>
        <w:t>Reporting Standard ARS 320.0 Statement of Financial Position (Domestic Books)</w:t>
      </w:r>
      <w:r w:rsidRPr="00C82862">
        <w:rPr>
          <w:rFonts w:ascii="Times New Roman" w:hAnsi="Times New Roman"/>
          <w:sz w:val="24"/>
        </w:rPr>
        <w:t xml:space="preserve"> (existing ARS 320.0) (</w:t>
      </w:r>
      <w:r w:rsidRPr="009641CE">
        <w:rPr>
          <w:rFonts w:ascii="Times New Roman" w:hAnsi="Times New Roman"/>
          <w:sz w:val="24"/>
        </w:rPr>
        <w:t>as determined by Financial Sector (Collection of Data) (reporting standard) determination No. 30 of 2008); and</w:t>
      </w:r>
      <w:r w:rsidRPr="00C82862">
        <w:rPr>
          <w:rFonts w:ascii="Times New Roman" w:hAnsi="Times New Roman"/>
          <w:sz w:val="24"/>
        </w:rPr>
        <w:t xml:space="preserve"> </w:t>
      </w:r>
    </w:p>
    <w:p w14:paraId="3DB46126" w14:textId="77777777" w:rsidR="00C82862" w:rsidRPr="00C82862" w:rsidRDefault="00C82862" w:rsidP="00B25D1F">
      <w:pPr>
        <w:widowControl w:val="0"/>
        <w:numPr>
          <w:ilvl w:val="1"/>
          <w:numId w:val="27"/>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811142">
        <w:rPr>
          <w:rFonts w:ascii="Times New Roman" w:hAnsi="Times New Roman"/>
          <w:i/>
          <w:sz w:val="24"/>
        </w:rPr>
        <w:t xml:space="preserve">Reporting Standard ARS 320.0 Statement of Financial Position (Domestic Books) </w:t>
      </w:r>
      <w:r w:rsidRPr="00C82862">
        <w:rPr>
          <w:rFonts w:ascii="Times New Roman" w:hAnsi="Times New Roman"/>
          <w:sz w:val="24"/>
        </w:rPr>
        <w:t>(ARS 320.0);</w:t>
      </w:r>
    </w:p>
    <w:p w14:paraId="4BFFC858" w14:textId="4096B7C8"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15</w:t>
      </w:r>
      <w:r w:rsidRPr="00C82862">
        <w:rPr>
          <w:rFonts w:ascii="Times New Roman" w:hAnsi="Times New Roman"/>
          <w:sz w:val="24"/>
        </w:rPr>
        <w:t xml:space="preserve"> of 2018 which: </w:t>
      </w:r>
    </w:p>
    <w:p w14:paraId="2EB5B422" w14:textId="77777777" w:rsidR="00C82862" w:rsidRPr="009641CE" w:rsidRDefault="00C82862" w:rsidP="00B25D1F">
      <w:pPr>
        <w:widowControl w:val="0"/>
        <w:numPr>
          <w:ilvl w:val="1"/>
          <w:numId w:val="28"/>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320.1 Debt Securities Held </w:t>
      </w:r>
      <w:r w:rsidRPr="00C82862">
        <w:rPr>
          <w:rFonts w:ascii="Times New Roman" w:hAnsi="Times New Roman"/>
          <w:sz w:val="24"/>
        </w:rPr>
        <w:t xml:space="preserve">(existing ARS 320.1) (as determined by Financial </w:t>
      </w:r>
      <w:r w:rsidRPr="009641CE">
        <w:rPr>
          <w:rFonts w:ascii="Times New Roman" w:hAnsi="Times New Roman"/>
          <w:sz w:val="24"/>
        </w:rPr>
        <w:t xml:space="preserve">Sector (Collection of Data) (reporting standard) determination No. 31 of 2008); and </w:t>
      </w:r>
    </w:p>
    <w:p w14:paraId="0BCC3FDE" w14:textId="77777777" w:rsidR="00C82862" w:rsidRPr="00C82862" w:rsidRDefault="00C82862" w:rsidP="00B25D1F">
      <w:pPr>
        <w:widowControl w:val="0"/>
        <w:numPr>
          <w:ilvl w:val="1"/>
          <w:numId w:val="28"/>
        </w:numPr>
        <w:tabs>
          <w:tab w:val="num" w:pos="1134"/>
        </w:tabs>
        <w:spacing w:before="240"/>
        <w:ind w:left="1134" w:hanging="567"/>
        <w:rPr>
          <w:rFonts w:ascii="Times New Roman" w:hAnsi="Times New Roman"/>
          <w:sz w:val="24"/>
        </w:rPr>
      </w:pPr>
      <w:r w:rsidRPr="00C82862">
        <w:rPr>
          <w:rFonts w:ascii="Times New Roman" w:hAnsi="Times New Roman"/>
          <w:sz w:val="24"/>
        </w:rPr>
        <w:t>determines a new R</w:t>
      </w:r>
      <w:r w:rsidRPr="00C82862">
        <w:rPr>
          <w:rFonts w:ascii="Times New Roman" w:hAnsi="Times New Roman"/>
          <w:i/>
          <w:sz w:val="24"/>
        </w:rPr>
        <w:t xml:space="preserve">eporting Standard ARS 320.1 Debt Securities Held </w:t>
      </w:r>
      <w:r w:rsidRPr="00C82862">
        <w:rPr>
          <w:rFonts w:ascii="Times New Roman" w:hAnsi="Times New Roman"/>
          <w:sz w:val="24"/>
        </w:rPr>
        <w:t>(ARS 320.1);</w:t>
      </w:r>
    </w:p>
    <w:p w14:paraId="35BACE03" w14:textId="16D293CE"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16</w:t>
      </w:r>
      <w:r w:rsidRPr="00C82862">
        <w:rPr>
          <w:rFonts w:ascii="Times New Roman" w:hAnsi="Times New Roman"/>
          <w:sz w:val="24"/>
        </w:rPr>
        <w:t xml:space="preserve"> of 2018 which: </w:t>
      </w:r>
    </w:p>
    <w:p w14:paraId="5A7E22ED" w14:textId="77777777" w:rsidR="00C82862" w:rsidRPr="009641CE" w:rsidRDefault="00C82862" w:rsidP="00B25D1F">
      <w:pPr>
        <w:widowControl w:val="0"/>
        <w:numPr>
          <w:ilvl w:val="1"/>
          <w:numId w:val="29"/>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320.2 Equity Securities Held </w:t>
      </w:r>
      <w:r w:rsidRPr="00C82862">
        <w:rPr>
          <w:rFonts w:ascii="Times New Roman" w:hAnsi="Times New Roman"/>
          <w:sz w:val="24"/>
        </w:rPr>
        <w:t>(existing ARS 320.2) (as determined by Financial Sector (</w:t>
      </w:r>
      <w:r w:rsidRPr="009641CE">
        <w:rPr>
          <w:rFonts w:ascii="Times New Roman" w:hAnsi="Times New Roman"/>
          <w:sz w:val="24"/>
        </w:rPr>
        <w:t xml:space="preserve">Collection of Data) (reporting standard) determination No. 32 of 2008); and </w:t>
      </w:r>
    </w:p>
    <w:p w14:paraId="340ED622" w14:textId="39B9469B" w:rsidR="00C82862" w:rsidRPr="00C82862" w:rsidRDefault="00C82862" w:rsidP="00B25D1F">
      <w:pPr>
        <w:widowControl w:val="0"/>
        <w:numPr>
          <w:ilvl w:val="1"/>
          <w:numId w:val="29"/>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320.</w:t>
      </w:r>
      <w:r w:rsidR="00DA629A">
        <w:rPr>
          <w:rFonts w:ascii="Times New Roman" w:hAnsi="Times New Roman"/>
          <w:i/>
          <w:sz w:val="24"/>
        </w:rPr>
        <w:t>2</w:t>
      </w:r>
      <w:r w:rsidR="00DA629A" w:rsidRPr="00C82862">
        <w:rPr>
          <w:rFonts w:ascii="Times New Roman" w:hAnsi="Times New Roman"/>
          <w:i/>
          <w:sz w:val="24"/>
        </w:rPr>
        <w:t xml:space="preserve"> </w:t>
      </w:r>
      <w:r w:rsidRPr="00C82862">
        <w:rPr>
          <w:rFonts w:ascii="Times New Roman" w:hAnsi="Times New Roman"/>
          <w:i/>
          <w:sz w:val="24"/>
        </w:rPr>
        <w:t xml:space="preserve">Equity Securities Held </w:t>
      </w:r>
      <w:r w:rsidRPr="00C82862">
        <w:rPr>
          <w:rFonts w:ascii="Times New Roman" w:hAnsi="Times New Roman"/>
          <w:sz w:val="24"/>
        </w:rPr>
        <w:t>(ARS 320.2);</w:t>
      </w:r>
    </w:p>
    <w:p w14:paraId="3839AFBE" w14:textId="23FB0744"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17</w:t>
      </w:r>
      <w:r w:rsidRPr="00C82862">
        <w:rPr>
          <w:rFonts w:ascii="Times New Roman" w:hAnsi="Times New Roman"/>
          <w:sz w:val="24"/>
        </w:rPr>
        <w:t xml:space="preserve"> of 2018 which: </w:t>
      </w:r>
    </w:p>
    <w:p w14:paraId="1817DA40" w14:textId="77777777" w:rsidR="00C82862" w:rsidRPr="009641CE" w:rsidRDefault="00C82862" w:rsidP="00B25D1F">
      <w:pPr>
        <w:widowControl w:val="0"/>
        <w:numPr>
          <w:ilvl w:val="1"/>
          <w:numId w:val="30"/>
        </w:numPr>
        <w:tabs>
          <w:tab w:val="clear" w:pos="1440"/>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320.3 Debt Securities on Issue </w:t>
      </w:r>
      <w:r w:rsidRPr="00C82862">
        <w:rPr>
          <w:rFonts w:ascii="Times New Roman" w:hAnsi="Times New Roman"/>
          <w:sz w:val="24"/>
        </w:rPr>
        <w:t xml:space="preserve">(existing ARS 320.3) </w:t>
      </w:r>
      <w:r w:rsidRPr="00C82862">
        <w:rPr>
          <w:rFonts w:ascii="Times New Roman" w:hAnsi="Times New Roman"/>
          <w:sz w:val="24"/>
        </w:rPr>
        <w:lastRenderedPageBreak/>
        <w:t xml:space="preserve">(as determined by Financial </w:t>
      </w:r>
      <w:r w:rsidRPr="009641CE">
        <w:rPr>
          <w:rFonts w:ascii="Times New Roman" w:hAnsi="Times New Roman"/>
          <w:sz w:val="24"/>
        </w:rPr>
        <w:t xml:space="preserve">Sector (Collection of Data) (reporting standard) determination No. 33 of 2008); and </w:t>
      </w:r>
    </w:p>
    <w:p w14:paraId="661C9500" w14:textId="77777777" w:rsidR="00C82862" w:rsidRPr="00C82862" w:rsidRDefault="00C82862" w:rsidP="00B25D1F">
      <w:pPr>
        <w:widowControl w:val="0"/>
        <w:numPr>
          <w:ilvl w:val="1"/>
          <w:numId w:val="30"/>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320.3 Debt Securities on Issue </w:t>
      </w:r>
      <w:r w:rsidRPr="00C82862">
        <w:rPr>
          <w:rFonts w:ascii="Times New Roman" w:hAnsi="Times New Roman"/>
          <w:sz w:val="24"/>
        </w:rPr>
        <w:t>(ARS 320.3);</w:t>
      </w:r>
    </w:p>
    <w:p w14:paraId="718D1356" w14:textId="334137D9"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18</w:t>
      </w:r>
      <w:r w:rsidRPr="00C82862">
        <w:rPr>
          <w:rFonts w:ascii="Times New Roman" w:hAnsi="Times New Roman"/>
          <w:sz w:val="24"/>
        </w:rPr>
        <w:t xml:space="preserve"> of 2018 which: </w:t>
      </w:r>
    </w:p>
    <w:p w14:paraId="4C2BD17D" w14:textId="5E0C3C88" w:rsidR="00C82862" w:rsidRPr="009641CE" w:rsidRDefault="00C82862" w:rsidP="00B25D1F">
      <w:pPr>
        <w:widowControl w:val="0"/>
        <w:numPr>
          <w:ilvl w:val="1"/>
          <w:numId w:val="31"/>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320.4 </w:t>
      </w:r>
      <w:r w:rsidR="0023024B">
        <w:rPr>
          <w:rFonts w:ascii="Times New Roman" w:hAnsi="Times New Roman"/>
          <w:i/>
          <w:sz w:val="24"/>
        </w:rPr>
        <w:t xml:space="preserve">Bill Acceptances and Endorsements </w:t>
      </w:r>
      <w:r w:rsidRPr="00C82862">
        <w:rPr>
          <w:rFonts w:ascii="Times New Roman" w:hAnsi="Times New Roman"/>
          <w:sz w:val="24"/>
        </w:rPr>
        <w:t xml:space="preserve">(existing ARS 320.4) (as determined by Financial Sector (Collection of Data) (reporting standard) </w:t>
      </w:r>
      <w:r w:rsidRPr="009641CE">
        <w:rPr>
          <w:rFonts w:ascii="Times New Roman" w:hAnsi="Times New Roman"/>
          <w:sz w:val="24"/>
        </w:rPr>
        <w:t xml:space="preserve">determination No. 34 of 2008); and </w:t>
      </w:r>
    </w:p>
    <w:p w14:paraId="48107D01" w14:textId="4BCC1D5A" w:rsidR="00C82862" w:rsidRPr="00C82862" w:rsidRDefault="00C82862" w:rsidP="00B25D1F">
      <w:pPr>
        <w:widowControl w:val="0"/>
        <w:numPr>
          <w:ilvl w:val="1"/>
          <w:numId w:val="31"/>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320.4 </w:t>
      </w:r>
      <w:r w:rsidR="000A2292">
        <w:rPr>
          <w:rFonts w:ascii="Times New Roman" w:hAnsi="Times New Roman"/>
          <w:i/>
          <w:sz w:val="24"/>
        </w:rPr>
        <w:t>Bill Acceptances and Endorsements</w:t>
      </w:r>
      <w:r w:rsidRPr="00C82862">
        <w:rPr>
          <w:rFonts w:ascii="Times New Roman" w:hAnsi="Times New Roman"/>
          <w:i/>
          <w:sz w:val="24"/>
        </w:rPr>
        <w:t xml:space="preserve"> </w:t>
      </w:r>
      <w:r w:rsidRPr="00C82862">
        <w:rPr>
          <w:rFonts w:ascii="Times New Roman" w:hAnsi="Times New Roman"/>
          <w:sz w:val="24"/>
        </w:rPr>
        <w:t>(ARS 320.4);</w:t>
      </w:r>
    </w:p>
    <w:p w14:paraId="3B986BFA" w14:textId="72399076"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19</w:t>
      </w:r>
      <w:r w:rsidRPr="00C82862">
        <w:rPr>
          <w:rFonts w:ascii="Times New Roman" w:hAnsi="Times New Roman"/>
          <w:sz w:val="24"/>
        </w:rPr>
        <w:t xml:space="preserve"> of 2018 which: </w:t>
      </w:r>
    </w:p>
    <w:p w14:paraId="61731CC7" w14:textId="77777777" w:rsidR="00C82862" w:rsidRPr="009641CE" w:rsidRDefault="00C82862" w:rsidP="00B25D1F">
      <w:pPr>
        <w:widowControl w:val="0"/>
        <w:numPr>
          <w:ilvl w:val="1"/>
          <w:numId w:val="32"/>
        </w:numPr>
        <w:tabs>
          <w:tab w:val="clear" w:pos="1440"/>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320.5 Securities Subject to Repurchase and Resale and Stock Lending and Borrowing </w:t>
      </w:r>
      <w:r w:rsidRPr="00C82862">
        <w:rPr>
          <w:rFonts w:ascii="Times New Roman" w:hAnsi="Times New Roman"/>
          <w:sz w:val="24"/>
        </w:rPr>
        <w:t xml:space="preserve">(existing ARS 320.5) (as determined by Financial Sector (Collection of Data) (reporting </w:t>
      </w:r>
      <w:r w:rsidRPr="009641CE">
        <w:rPr>
          <w:rFonts w:ascii="Times New Roman" w:hAnsi="Times New Roman"/>
          <w:sz w:val="24"/>
        </w:rPr>
        <w:t xml:space="preserve">standard) determination No. 35 of 2008); and </w:t>
      </w:r>
    </w:p>
    <w:p w14:paraId="1823D8A9" w14:textId="77777777" w:rsidR="00C82862" w:rsidRPr="00C82862" w:rsidRDefault="00C82862" w:rsidP="00B25D1F">
      <w:pPr>
        <w:widowControl w:val="0"/>
        <w:numPr>
          <w:ilvl w:val="1"/>
          <w:numId w:val="32"/>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320.5 Securities Subject to Repurchase and Resale and Stock Lending and Borrowing </w:t>
      </w:r>
      <w:r w:rsidRPr="00C82862">
        <w:rPr>
          <w:rFonts w:ascii="Times New Roman" w:hAnsi="Times New Roman"/>
          <w:sz w:val="24"/>
        </w:rPr>
        <w:t>(ARS 320.5);</w:t>
      </w:r>
    </w:p>
    <w:p w14:paraId="41164F77" w14:textId="7F0715E5" w:rsidR="00802BC0" w:rsidRPr="00C82862" w:rsidRDefault="00802BC0" w:rsidP="00802BC0">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28421A">
        <w:rPr>
          <w:rFonts w:ascii="Times New Roman" w:hAnsi="Times New Roman"/>
          <w:sz w:val="24"/>
        </w:rPr>
        <w:t>20</w:t>
      </w:r>
      <w:r w:rsidRPr="00C82862">
        <w:rPr>
          <w:rFonts w:ascii="Times New Roman" w:hAnsi="Times New Roman"/>
          <w:sz w:val="24"/>
        </w:rPr>
        <w:t xml:space="preserve"> of 2018 which: </w:t>
      </w:r>
    </w:p>
    <w:p w14:paraId="0FF36C30" w14:textId="77777777" w:rsidR="00802BC0" w:rsidRPr="00C82862" w:rsidRDefault="00802BC0" w:rsidP="00802BC0">
      <w:pPr>
        <w:widowControl w:val="0"/>
        <w:numPr>
          <w:ilvl w:val="1"/>
          <w:numId w:val="49"/>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811142">
        <w:rPr>
          <w:rFonts w:ascii="Times New Roman" w:hAnsi="Times New Roman"/>
          <w:i/>
          <w:sz w:val="24"/>
        </w:rPr>
        <w:t>Reporting Standard ARS 320.8</w:t>
      </w:r>
      <w:r w:rsidRPr="00C82862">
        <w:rPr>
          <w:rFonts w:ascii="Times New Roman" w:hAnsi="Times New Roman"/>
          <w:sz w:val="24"/>
        </w:rPr>
        <w:t xml:space="preserve"> </w:t>
      </w:r>
      <w:r w:rsidRPr="00C82862">
        <w:rPr>
          <w:rFonts w:ascii="Times New Roman" w:hAnsi="Times New Roman"/>
          <w:i/>
          <w:sz w:val="24"/>
        </w:rPr>
        <w:t>Housing Loan Reconciliation</w:t>
      </w:r>
      <w:r w:rsidRPr="00C82862">
        <w:rPr>
          <w:rFonts w:ascii="Times New Roman" w:hAnsi="Times New Roman"/>
          <w:sz w:val="24"/>
        </w:rPr>
        <w:t xml:space="preserve"> (existing ARS 320.8) (as determined by </w:t>
      </w:r>
      <w:r w:rsidRPr="009641CE">
        <w:rPr>
          <w:rFonts w:ascii="Times New Roman" w:hAnsi="Times New Roman"/>
          <w:sz w:val="24"/>
        </w:rPr>
        <w:t>Financial Sector (Collection of Data) (reporting standard) determination No. 59 of 2008);</w:t>
      </w:r>
      <w:r w:rsidRPr="00C82862">
        <w:rPr>
          <w:rFonts w:ascii="Times New Roman" w:hAnsi="Times New Roman"/>
          <w:sz w:val="24"/>
        </w:rPr>
        <w:t xml:space="preserve"> and </w:t>
      </w:r>
    </w:p>
    <w:p w14:paraId="088A2CC1" w14:textId="77777777" w:rsidR="00802BC0" w:rsidRPr="00C82862" w:rsidRDefault="00802BC0" w:rsidP="00802BC0">
      <w:pPr>
        <w:widowControl w:val="0"/>
        <w:numPr>
          <w:ilvl w:val="1"/>
          <w:numId w:val="49"/>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811142">
        <w:rPr>
          <w:rFonts w:ascii="Times New Roman" w:hAnsi="Times New Roman"/>
          <w:i/>
          <w:sz w:val="24"/>
        </w:rPr>
        <w:t>Reporting Standard ARS 320.8</w:t>
      </w:r>
      <w:r w:rsidRPr="00C82862">
        <w:rPr>
          <w:rFonts w:ascii="Times New Roman" w:hAnsi="Times New Roman"/>
          <w:sz w:val="24"/>
        </w:rPr>
        <w:t xml:space="preserve"> </w:t>
      </w:r>
      <w:r w:rsidRPr="00C82862">
        <w:rPr>
          <w:rFonts w:ascii="Times New Roman" w:hAnsi="Times New Roman"/>
          <w:i/>
          <w:sz w:val="24"/>
        </w:rPr>
        <w:t>Housing Loan Reconciliation</w:t>
      </w:r>
      <w:r w:rsidRPr="00C82862" w:rsidDel="009E57FB">
        <w:rPr>
          <w:rFonts w:ascii="Times New Roman" w:hAnsi="Times New Roman"/>
          <w:sz w:val="24"/>
        </w:rPr>
        <w:t xml:space="preserve"> </w:t>
      </w:r>
      <w:r w:rsidRPr="00C82862">
        <w:rPr>
          <w:rFonts w:ascii="Times New Roman" w:hAnsi="Times New Roman"/>
          <w:sz w:val="24"/>
        </w:rPr>
        <w:t>(ARS 320.8);</w:t>
      </w:r>
    </w:p>
    <w:p w14:paraId="323B811F" w14:textId="4DDFF2C5"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21</w:t>
      </w:r>
      <w:r w:rsidRPr="00C82862">
        <w:rPr>
          <w:rFonts w:ascii="Times New Roman" w:hAnsi="Times New Roman"/>
          <w:sz w:val="24"/>
        </w:rPr>
        <w:t xml:space="preserve"> of 2018 which: </w:t>
      </w:r>
    </w:p>
    <w:p w14:paraId="2FD53ECE" w14:textId="77777777" w:rsidR="00C82862" w:rsidRPr="00C82862" w:rsidRDefault="00C82862" w:rsidP="00B25D1F">
      <w:pPr>
        <w:widowControl w:val="0"/>
        <w:numPr>
          <w:ilvl w:val="1"/>
          <w:numId w:val="33"/>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lastRenderedPageBreak/>
        <w:t xml:space="preserve">revokes </w:t>
      </w:r>
      <w:r w:rsidRPr="00C82862">
        <w:rPr>
          <w:rFonts w:ascii="Times New Roman" w:hAnsi="Times New Roman"/>
          <w:i/>
          <w:sz w:val="24"/>
        </w:rPr>
        <w:t xml:space="preserve">Reporting Standard ARS 320.9 Intra-Group Receivables and Payables </w:t>
      </w:r>
      <w:r w:rsidRPr="00C82862">
        <w:rPr>
          <w:rFonts w:ascii="Times New Roman" w:hAnsi="Times New Roman"/>
          <w:sz w:val="24"/>
        </w:rPr>
        <w:t xml:space="preserve">(existing ARS 320.9) (as determined </w:t>
      </w:r>
      <w:r w:rsidRPr="009641CE">
        <w:rPr>
          <w:rFonts w:ascii="Times New Roman" w:hAnsi="Times New Roman"/>
          <w:sz w:val="24"/>
        </w:rPr>
        <w:t>by Financial Sector (Collection of Data) (reporting standard) determination No. 37 of 2008);</w:t>
      </w:r>
      <w:r w:rsidRPr="00C82862">
        <w:rPr>
          <w:rFonts w:ascii="Times New Roman" w:hAnsi="Times New Roman"/>
          <w:sz w:val="24"/>
        </w:rPr>
        <w:t xml:space="preserve"> and </w:t>
      </w:r>
    </w:p>
    <w:p w14:paraId="22D735B0" w14:textId="77777777" w:rsidR="00C82862" w:rsidRPr="00C82862" w:rsidRDefault="00C82862" w:rsidP="00B25D1F">
      <w:pPr>
        <w:widowControl w:val="0"/>
        <w:numPr>
          <w:ilvl w:val="1"/>
          <w:numId w:val="33"/>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320.9 Intra-Group Receivables and Payables </w:t>
      </w:r>
      <w:r w:rsidRPr="00C82862">
        <w:rPr>
          <w:rFonts w:ascii="Times New Roman" w:hAnsi="Times New Roman"/>
          <w:sz w:val="24"/>
        </w:rPr>
        <w:t>(ARS 320.9);</w:t>
      </w:r>
    </w:p>
    <w:p w14:paraId="3533540A" w14:textId="135FD6EA"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22</w:t>
      </w:r>
      <w:r w:rsidRPr="00C82862">
        <w:rPr>
          <w:rFonts w:ascii="Times New Roman" w:hAnsi="Times New Roman"/>
          <w:sz w:val="24"/>
        </w:rPr>
        <w:t xml:space="preserve"> of 2018 which: </w:t>
      </w:r>
    </w:p>
    <w:p w14:paraId="0D2BD8D4" w14:textId="77777777" w:rsidR="00C82862" w:rsidRPr="00C82862" w:rsidRDefault="00C82862" w:rsidP="00B25D1F">
      <w:pPr>
        <w:widowControl w:val="0"/>
        <w:numPr>
          <w:ilvl w:val="1"/>
          <w:numId w:val="34"/>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322.0 Statement of Financial Position (Consolidated) </w:t>
      </w:r>
      <w:r w:rsidRPr="00C82862">
        <w:rPr>
          <w:rFonts w:ascii="Times New Roman" w:hAnsi="Times New Roman"/>
          <w:sz w:val="24"/>
        </w:rPr>
        <w:t>(existing ARS 322.0) (</w:t>
      </w:r>
      <w:r w:rsidRPr="009641CE">
        <w:rPr>
          <w:rFonts w:ascii="Times New Roman" w:hAnsi="Times New Roman"/>
          <w:sz w:val="24"/>
        </w:rPr>
        <w:t>as determined by Financial Sector (Collection of Data) (reporting standard) determination No. 39 of 2008</w:t>
      </w:r>
      <w:r w:rsidRPr="00C82862">
        <w:rPr>
          <w:rFonts w:ascii="Times New Roman" w:hAnsi="Times New Roman"/>
          <w:sz w:val="24"/>
        </w:rPr>
        <w:t xml:space="preserve">); and </w:t>
      </w:r>
    </w:p>
    <w:p w14:paraId="662A04A5" w14:textId="77777777" w:rsidR="00C82862" w:rsidRPr="00C82862" w:rsidRDefault="00C82862" w:rsidP="00B25D1F">
      <w:pPr>
        <w:widowControl w:val="0"/>
        <w:numPr>
          <w:ilvl w:val="1"/>
          <w:numId w:val="34"/>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322.0 Statement of Financial Position (Consolidated) </w:t>
      </w:r>
      <w:r w:rsidRPr="00C82862">
        <w:rPr>
          <w:rFonts w:ascii="Times New Roman" w:hAnsi="Times New Roman"/>
          <w:sz w:val="24"/>
        </w:rPr>
        <w:t>(ARS 322.0);</w:t>
      </w:r>
    </w:p>
    <w:p w14:paraId="750120A7" w14:textId="288D0411"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23</w:t>
      </w:r>
      <w:r w:rsidRPr="00C82862">
        <w:rPr>
          <w:rFonts w:ascii="Times New Roman" w:hAnsi="Times New Roman"/>
          <w:sz w:val="24"/>
        </w:rPr>
        <w:t xml:space="preserve"> of 2018 which: </w:t>
      </w:r>
    </w:p>
    <w:p w14:paraId="474EAA64" w14:textId="77777777" w:rsidR="00C82862" w:rsidRPr="00C82862" w:rsidRDefault="00C82862" w:rsidP="00B25D1F">
      <w:pPr>
        <w:widowControl w:val="0"/>
        <w:numPr>
          <w:ilvl w:val="1"/>
          <w:numId w:val="35"/>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323.0 Statement of Financial Position (Licensed ADI) </w:t>
      </w:r>
      <w:r w:rsidRPr="00C82862">
        <w:rPr>
          <w:rFonts w:ascii="Times New Roman" w:hAnsi="Times New Roman"/>
          <w:sz w:val="24"/>
        </w:rPr>
        <w:t>(existing ARS 323.0</w:t>
      </w:r>
      <w:r w:rsidRPr="009641CE">
        <w:rPr>
          <w:rFonts w:ascii="Times New Roman" w:hAnsi="Times New Roman"/>
          <w:sz w:val="24"/>
        </w:rPr>
        <w:t>) (as determined by Financial Sector (Collection of Data) (reporting standard) determination No. 40 of 2008); and</w:t>
      </w:r>
      <w:r w:rsidRPr="00C82862">
        <w:rPr>
          <w:rFonts w:ascii="Times New Roman" w:hAnsi="Times New Roman"/>
          <w:sz w:val="24"/>
        </w:rPr>
        <w:t xml:space="preserve"> </w:t>
      </w:r>
    </w:p>
    <w:p w14:paraId="2FEBA4C2" w14:textId="77777777" w:rsidR="00C82862" w:rsidRPr="00C82862" w:rsidRDefault="00C82862" w:rsidP="00B25D1F">
      <w:pPr>
        <w:widowControl w:val="0"/>
        <w:numPr>
          <w:ilvl w:val="1"/>
          <w:numId w:val="35"/>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323.0 Statement of Financial Position (Licensed ADI) </w:t>
      </w:r>
      <w:r w:rsidRPr="00C82862">
        <w:rPr>
          <w:rFonts w:ascii="Times New Roman" w:hAnsi="Times New Roman"/>
          <w:sz w:val="24"/>
        </w:rPr>
        <w:t>(ARS 323.0);</w:t>
      </w:r>
    </w:p>
    <w:p w14:paraId="7E1C6590" w14:textId="628A2019"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24</w:t>
      </w:r>
      <w:r w:rsidRPr="00C82862">
        <w:rPr>
          <w:rFonts w:ascii="Times New Roman" w:hAnsi="Times New Roman"/>
          <w:sz w:val="24"/>
        </w:rPr>
        <w:t xml:space="preserve"> of 2018 which: </w:t>
      </w:r>
    </w:p>
    <w:p w14:paraId="22714345" w14:textId="77777777" w:rsidR="00C82862" w:rsidRPr="00C82862" w:rsidRDefault="00C82862" w:rsidP="00B25D1F">
      <w:pPr>
        <w:widowControl w:val="0"/>
        <w:numPr>
          <w:ilvl w:val="1"/>
          <w:numId w:val="36"/>
        </w:numPr>
        <w:tabs>
          <w:tab w:val="clear" w:pos="1440"/>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325.0 International Operations </w:t>
      </w:r>
      <w:r w:rsidRPr="00C82862">
        <w:rPr>
          <w:rFonts w:ascii="Times New Roman" w:hAnsi="Times New Roman"/>
          <w:sz w:val="24"/>
        </w:rPr>
        <w:t xml:space="preserve">(existing ARS 325.0) (as </w:t>
      </w:r>
      <w:r w:rsidRPr="009641CE">
        <w:rPr>
          <w:rFonts w:ascii="Times New Roman" w:hAnsi="Times New Roman"/>
          <w:sz w:val="24"/>
        </w:rPr>
        <w:t>determined by Financial Sector (Collection of Data) (reporting standard) determination No. 41 of 2008); and</w:t>
      </w:r>
      <w:r w:rsidRPr="00C82862">
        <w:rPr>
          <w:rFonts w:ascii="Times New Roman" w:hAnsi="Times New Roman"/>
          <w:sz w:val="24"/>
        </w:rPr>
        <w:t xml:space="preserve"> </w:t>
      </w:r>
    </w:p>
    <w:p w14:paraId="6E2E6E94" w14:textId="77777777" w:rsidR="00C82862" w:rsidRPr="00C82862" w:rsidRDefault="00C82862" w:rsidP="00B25D1F">
      <w:pPr>
        <w:widowControl w:val="0"/>
        <w:numPr>
          <w:ilvl w:val="1"/>
          <w:numId w:val="36"/>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325.0 International Operations </w:t>
      </w:r>
      <w:r w:rsidRPr="00C82862">
        <w:rPr>
          <w:rFonts w:ascii="Times New Roman" w:hAnsi="Times New Roman"/>
          <w:sz w:val="24"/>
        </w:rPr>
        <w:t>(ARS 325.0);</w:t>
      </w:r>
    </w:p>
    <w:p w14:paraId="06550CAB" w14:textId="1094EF9C"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25</w:t>
      </w:r>
      <w:r w:rsidRPr="00C82862">
        <w:rPr>
          <w:rFonts w:ascii="Times New Roman" w:hAnsi="Times New Roman"/>
          <w:sz w:val="24"/>
        </w:rPr>
        <w:t xml:space="preserve"> of 2018 which: </w:t>
      </w:r>
    </w:p>
    <w:p w14:paraId="07D3BAFD" w14:textId="77777777" w:rsidR="00C82862" w:rsidRPr="00C82862" w:rsidRDefault="00C82862" w:rsidP="00B25D1F">
      <w:pPr>
        <w:widowControl w:val="0"/>
        <w:numPr>
          <w:ilvl w:val="1"/>
          <w:numId w:val="37"/>
        </w:numPr>
        <w:tabs>
          <w:tab w:val="clear" w:pos="1440"/>
        </w:tabs>
        <w:spacing w:before="240"/>
        <w:ind w:left="1134" w:hanging="567"/>
        <w:rPr>
          <w:rFonts w:ascii="Times New Roman" w:hAnsi="Times New Roman"/>
          <w:sz w:val="24"/>
        </w:rPr>
      </w:pPr>
      <w:r w:rsidRPr="00C82862">
        <w:rPr>
          <w:rFonts w:ascii="Times New Roman" w:hAnsi="Times New Roman"/>
          <w:sz w:val="24"/>
        </w:rPr>
        <w:lastRenderedPageBreak/>
        <w:t xml:space="preserve">revokes </w:t>
      </w:r>
      <w:r w:rsidRPr="00C82862">
        <w:rPr>
          <w:rFonts w:ascii="Times New Roman" w:hAnsi="Times New Roman"/>
          <w:i/>
          <w:sz w:val="24"/>
        </w:rPr>
        <w:t xml:space="preserve">Reporting Standard ARS 330.0 Statement of Financial Performance </w:t>
      </w:r>
      <w:r w:rsidRPr="00C82862">
        <w:rPr>
          <w:rFonts w:ascii="Times New Roman" w:hAnsi="Times New Roman"/>
          <w:sz w:val="24"/>
        </w:rPr>
        <w:t>(existing ARS 330.0) (</w:t>
      </w:r>
      <w:r w:rsidRPr="009641CE">
        <w:rPr>
          <w:rFonts w:ascii="Times New Roman" w:hAnsi="Times New Roman"/>
          <w:sz w:val="24"/>
        </w:rPr>
        <w:t>as determined by Financial Sector (Collection of Data) (reporting standard) determination No. 43 of 2008); and</w:t>
      </w:r>
      <w:r w:rsidRPr="00C82862">
        <w:rPr>
          <w:rFonts w:ascii="Times New Roman" w:hAnsi="Times New Roman"/>
          <w:sz w:val="24"/>
        </w:rPr>
        <w:t xml:space="preserve"> </w:t>
      </w:r>
    </w:p>
    <w:p w14:paraId="60B93E98" w14:textId="77777777" w:rsidR="00C82862" w:rsidRPr="00C82862" w:rsidRDefault="00C82862" w:rsidP="00B25D1F">
      <w:pPr>
        <w:widowControl w:val="0"/>
        <w:numPr>
          <w:ilvl w:val="1"/>
          <w:numId w:val="37"/>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330.0 Statement of Financial Performance </w:t>
      </w:r>
      <w:r w:rsidRPr="00C82862">
        <w:rPr>
          <w:rFonts w:ascii="Times New Roman" w:hAnsi="Times New Roman"/>
          <w:sz w:val="24"/>
        </w:rPr>
        <w:t>(ARS 330.0);</w:t>
      </w:r>
    </w:p>
    <w:p w14:paraId="3DA34062" w14:textId="5E1EEDC7"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26</w:t>
      </w:r>
      <w:r w:rsidRPr="00C82862">
        <w:rPr>
          <w:rFonts w:ascii="Times New Roman" w:hAnsi="Times New Roman"/>
          <w:sz w:val="24"/>
        </w:rPr>
        <w:t xml:space="preserve"> of 2018 which: </w:t>
      </w:r>
    </w:p>
    <w:p w14:paraId="3AE9D069" w14:textId="77777777" w:rsidR="00C82862" w:rsidRPr="00C82862" w:rsidRDefault="00C82862" w:rsidP="00B25D1F">
      <w:pPr>
        <w:widowControl w:val="0"/>
        <w:numPr>
          <w:ilvl w:val="1"/>
          <w:numId w:val="38"/>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330.1 Interest Income and Interest Expense </w:t>
      </w:r>
      <w:r w:rsidRPr="00C82862">
        <w:rPr>
          <w:rFonts w:ascii="Times New Roman" w:hAnsi="Times New Roman"/>
          <w:sz w:val="24"/>
        </w:rPr>
        <w:t xml:space="preserve">(existing ARS 330.1) (as </w:t>
      </w:r>
      <w:r w:rsidRPr="009641CE">
        <w:rPr>
          <w:rFonts w:ascii="Times New Roman" w:hAnsi="Times New Roman"/>
          <w:sz w:val="24"/>
        </w:rPr>
        <w:t>determined by Financial Sector (Collection of Data) (reporting standard) determination No. 44 of 2008); and</w:t>
      </w:r>
      <w:r w:rsidRPr="00C82862">
        <w:rPr>
          <w:rFonts w:ascii="Times New Roman" w:hAnsi="Times New Roman"/>
          <w:sz w:val="24"/>
        </w:rPr>
        <w:t xml:space="preserve"> </w:t>
      </w:r>
    </w:p>
    <w:p w14:paraId="36ED19B2" w14:textId="2CD7D3EA" w:rsidR="00C82862" w:rsidRPr="00C82862" w:rsidRDefault="00C82862" w:rsidP="00B25D1F">
      <w:pPr>
        <w:widowControl w:val="0"/>
        <w:numPr>
          <w:ilvl w:val="1"/>
          <w:numId w:val="38"/>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330.1 Interest Income and Interest Expense </w:t>
      </w:r>
      <w:r w:rsidRPr="00C82862">
        <w:rPr>
          <w:rFonts w:ascii="Times New Roman" w:hAnsi="Times New Roman"/>
          <w:sz w:val="24"/>
        </w:rPr>
        <w:t>(ARS 330.1);</w:t>
      </w:r>
    </w:p>
    <w:p w14:paraId="40FF9B6E" w14:textId="01A0B7D8"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27</w:t>
      </w:r>
      <w:r w:rsidRPr="00C82862">
        <w:rPr>
          <w:rFonts w:ascii="Times New Roman" w:hAnsi="Times New Roman"/>
          <w:sz w:val="24"/>
        </w:rPr>
        <w:t xml:space="preserve"> of 2018 which: </w:t>
      </w:r>
    </w:p>
    <w:p w14:paraId="28FA95AB" w14:textId="77777777" w:rsidR="00C82862" w:rsidRPr="00C82862" w:rsidRDefault="00C82862" w:rsidP="00B25D1F">
      <w:pPr>
        <w:widowControl w:val="0"/>
        <w:numPr>
          <w:ilvl w:val="1"/>
          <w:numId w:val="39"/>
        </w:numPr>
        <w:tabs>
          <w:tab w:val="clear" w:pos="1440"/>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330.2 Other Operating Income </w:t>
      </w:r>
      <w:r w:rsidRPr="00C82862">
        <w:rPr>
          <w:rFonts w:ascii="Times New Roman" w:hAnsi="Times New Roman"/>
          <w:sz w:val="24"/>
        </w:rPr>
        <w:t xml:space="preserve">(existing ARS 330.2) (as determined by </w:t>
      </w:r>
      <w:r w:rsidRPr="009641CE">
        <w:rPr>
          <w:rFonts w:ascii="Times New Roman" w:hAnsi="Times New Roman"/>
          <w:sz w:val="24"/>
        </w:rPr>
        <w:t>Financial Sector (Collection of Data) (reporting standard) determination No. 45 of 2008);</w:t>
      </w:r>
      <w:r w:rsidRPr="00C82862">
        <w:rPr>
          <w:rFonts w:ascii="Times New Roman" w:hAnsi="Times New Roman"/>
          <w:sz w:val="24"/>
        </w:rPr>
        <w:t xml:space="preserve"> and </w:t>
      </w:r>
    </w:p>
    <w:p w14:paraId="304C7845" w14:textId="77777777" w:rsidR="00C82862" w:rsidRPr="00C82862" w:rsidRDefault="00C82862" w:rsidP="00B25D1F">
      <w:pPr>
        <w:widowControl w:val="0"/>
        <w:numPr>
          <w:ilvl w:val="1"/>
          <w:numId w:val="39"/>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330.2 Other Operating Income </w:t>
      </w:r>
      <w:r w:rsidRPr="00C82862">
        <w:rPr>
          <w:rFonts w:ascii="Times New Roman" w:hAnsi="Times New Roman"/>
          <w:sz w:val="24"/>
        </w:rPr>
        <w:t>(ARS 330.2);</w:t>
      </w:r>
    </w:p>
    <w:p w14:paraId="00AEBCEC" w14:textId="331575AB"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28</w:t>
      </w:r>
      <w:r w:rsidRPr="00C82862">
        <w:rPr>
          <w:rFonts w:ascii="Times New Roman" w:hAnsi="Times New Roman"/>
          <w:sz w:val="24"/>
        </w:rPr>
        <w:t xml:space="preserve"> of 2018 which: </w:t>
      </w:r>
    </w:p>
    <w:p w14:paraId="4A9252A5" w14:textId="77777777" w:rsidR="00C82862" w:rsidRPr="00C82862" w:rsidRDefault="00C82862" w:rsidP="00B25D1F">
      <w:pPr>
        <w:widowControl w:val="0"/>
        <w:numPr>
          <w:ilvl w:val="1"/>
          <w:numId w:val="40"/>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330.3 Other Operating Expenses </w:t>
      </w:r>
      <w:r w:rsidRPr="00C82862">
        <w:rPr>
          <w:rFonts w:ascii="Times New Roman" w:hAnsi="Times New Roman"/>
          <w:sz w:val="24"/>
        </w:rPr>
        <w:t xml:space="preserve">(existing ARS 330.3) (as determined </w:t>
      </w:r>
      <w:r w:rsidRPr="009641CE">
        <w:rPr>
          <w:rFonts w:ascii="Times New Roman" w:hAnsi="Times New Roman"/>
          <w:sz w:val="24"/>
        </w:rPr>
        <w:t>by Financial Sector (Collection of Data) (reporting standard) determination No. 46 of 2008);</w:t>
      </w:r>
      <w:r w:rsidRPr="00C82862">
        <w:rPr>
          <w:rFonts w:ascii="Times New Roman" w:hAnsi="Times New Roman"/>
          <w:sz w:val="24"/>
        </w:rPr>
        <w:t xml:space="preserve"> and </w:t>
      </w:r>
    </w:p>
    <w:p w14:paraId="6A796486" w14:textId="77777777" w:rsidR="00C82862" w:rsidRPr="00C82862" w:rsidRDefault="00C82862" w:rsidP="00B25D1F">
      <w:pPr>
        <w:widowControl w:val="0"/>
        <w:numPr>
          <w:ilvl w:val="1"/>
          <w:numId w:val="40"/>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330.3 Other Operating Expenses </w:t>
      </w:r>
      <w:r w:rsidRPr="00C82862">
        <w:rPr>
          <w:rFonts w:ascii="Times New Roman" w:hAnsi="Times New Roman"/>
          <w:sz w:val="24"/>
        </w:rPr>
        <w:t>(ARS 330.3);</w:t>
      </w:r>
    </w:p>
    <w:p w14:paraId="4E125327" w14:textId="0588DD0A"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29</w:t>
      </w:r>
      <w:r w:rsidRPr="00C82862">
        <w:rPr>
          <w:rFonts w:ascii="Times New Roman" w:hAnsi="Times New Roman"/>
          <w:sz w:val="24"/>
        </w:rPr>
        <w:t xml:space="preserve"> of 2018 which: </w:t>
      </w:r>
    </w:p>
    <w:p w14:paraId="300CDD47" w14:textId="77777777" w:rsidR="00C82862" w:rsidRPr="00C82862" w:rsidRDefault="00C82862" w:rsidP="00B25D1F">
      <w:pPr>
        <w:widowControl w:val="0"/>
        <w:numPr>
          <w:ilvl w:val="1"/>
          <w:numId w:val="41"/>
        </w:numPr>
        <w:tabs>
          <w:tab w:val="clear" w:pos="1440"/>
        </w:tabs>
        <w:spacing w:before="240"/>
        <w:ind w:left="1134" w:hanging="567"/>
        <w:rPr>
          <w:rFonts w:ascii="Times New Roman" w:hAnsi="Times New Roman"/>
          <w:sz w:val="24"/>
        </w:rPr>
      </w:pPr>
      <w:r w:rsidRPr="00C82862">
        <w:rPr>
          <w:rFonts w:ascii="Times New Roman" w:hAnsi="Times New Roman"/>
          <w:sz w:val="24"/>
        </w:rPr>
        <w:lastRenderedPageBreak/>
        <w:t xml:space="preserve">revokes </w:t>
      </w:r>
      <w:r w:rsidRPr="00C82862">
        <w:rPr>
          <w:rFonts w:ascii="Times New Roman" w:hAnsi="Times New Roman"/>
          <w:i/>
          <w:sz w:val="24"/>
        </w:rPr>
        <w:t xml:space="preserve">Reporting Standard ARS 331.0 Selected Revenues and Expenses </w:t>
      </w:r>
      <w:r w:rsidRPr="00C82862">
        <w:rPr>
          <w:rFonts w:ascii="Times New Roman" w:hAnsi="Times New Roman"/>
          <w:sz w:val="24"/>
        </w:rPr>
        <w:t xml:space="preserve">(existing ARS 331.0) (as </w:t>
      </w:r>
      <w:r w:rsidRPr="009641CE">
        <w:rPr>
          <w:rFonts w:ascii="Times New Roman" w:hAnsi="Times New Roman"/>
          <w:sz w:val="24"/>
        </w:rPr>
        <w:t>determined by Financial Sector (Collection of Data) (reporting standard) determination No. 47 of 2008);</w:t>
      </w:r>
      <w:r w:rsidRPr="00C82862">
        <w:rPr>
          <w:rFonts w:ascii="Times New Roman" w:hAnsi="Times New Roman"/>
          <w:sz w:val="24"/>
        </w:rPr>
        <w:t xml:space="preserve"> and </w:t>
      </w:r>
    </w:p>
    <w:p w14:paraId="7891CC06" w14:textId="77777777" w:rsidR="00C82862" w:rsidRPr="00C82862" w:rsidRDefault="00C82862" w:rsidP="00B25D1F">
      <w:pPr>
        <w:widowControl w:val="0"/>
        <w:numPr>
          <w:ilvl w:val="1"/>
          <w:numId w:val="41"/>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331.0 Selected Revenues and Expenses </w:t>
      </w:r>
      <w:r w:rsidRPr="00C82862">
        <w:rPr>
          <w:rFonts w:ascii="Times New Roman" w:hAnsi="Times New Roman"/>
          <w:sz w:val="24"/>
        </w:rPr>
        <w:t>(ARS 331.0);</w:t>
      </w:r>
    </w:p>
    <w:p w14:paraId="0C4CFD37" w14:textId="4EF1F0C4"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30</w:t>
      </w:r>
      <w:r w:rsidRPr="00C82862">
        <w:rPr>
          <w:rFonts w:ascii="Times New Roman" w:hAnsi="Times New Roman"/>
          <w:sz w:val="24"/>
        </w:rPr>
        <w:t xml:space="preserve"> of 2018 which: </w:t>
      </w:r>
    </w:p>
    <w:p w14:paraId="009AE45A" w14:textId="77777777" w:rsidR="00C82862" w:rsidRPr="00C82862" w:rsidRDefault="00C82862" w:rsidP="00B25D1F">
      <w:pPr>
        <w:widowControl w:val="0"/>
        <w:numPr>
          <w:ilvl w:val="1"/>
          <w:numId w:val="42"/>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w:t>
      </w:r>
      <w:r w:rsidRPr="009641CE">
        <w:rPr>
          <w:rFonts w:ascii="Times New Roman" w:hAnsi="Times New Roman"/>
          <w:i/>
          <w:sz w:val="24"/>
        </w:rPr>
        <w:t xml:space="preserve">Standard ARS 332.0 Statement of Economic Activity </w:t>
      </w:r>
      <w:r w:rsidRPr="009641CE">
        <w:rPr>
          <w:rFonts w:ascii="Times New Roman" w:hAnsi="Times New Roman"/>
          <w:sz w:val="24"/>
        </w:rPr>
        <w:t>(existing ARS 332.0) (as determined by Financial Sector (Collection of Data) (reporting standard) determination No. 48 of 2008);</w:t>
      </w:r>
      <w:r w:rsidRPr="00C82862">
        <w:rPr>
          <w:rFonts w:ascii="Times New Roman" w:hAnsi="Times New Roman"/>
          <w:sz w:val="24"/>
        </w:rPr>
        <w:t xml:space="preserve"> and </w:t>
      </w:r>
    </w:p>
    <w:p w14:paraId="5136FB1B" w14:textId="77777777" w:rsidR="00C82862" w:rsidRPr="00C82862" w:rsidRDefault="00C82862" w:rsidP="00B25D1F">
      <w:pPr>
        <w:widowControl w:val="0"/>
        <w:numPr>
          <w:ilvl w:val="1"/>
          <w:numId w:val="42"/>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332.0 Statement of Economic Activity </w:t>
      </w:r>
      <w:r w:rsidRPr="00C82862">
        <w:rPr>
          <w:rFonts w:ascii="Times New Roman" w:hAnsi="Times New Roman"/>
          <w:sz w:val="24"/>
        </w:rPr>
        <w:t>(ARS 332.0);</w:t>
      </w:r>
    </w:p>
    <w:p w14:paraId="454C0D4E" w14:textId="2576C4E1"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31</w:t>
      </w:r>
      <w:r w:rsidRPr="00C82862">
        <w:rPr>
          <w:rFonts w:ascii="Times New Roman" w:hAnsi="Times New Roman"/>
          <w:sz w:val="24"/>
        </w:rPr>
        <w:t xml:space="preserve"> of 2018 which: </w:t>
      </w:r>
    </w:p>
    <w:p w14:paraId="11A74E1E" w14:textId="77777777" w:rsidR="00C82862" w:rsidRPr="00C82862" w:rsidRDefault="00C82862" w:rsidP="00B25D1F">
      <w:pPr>
        <w:widowControl w:val="0"/>
        <w:numPr>
          <w:ilvl w:val="1"/>
          <w:numId w:val="43"/>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391.0 Commercial Finance </w:t>
      </w:r>
      <w:r w:rsidRPr="00C82862">
        <w:rPr>
          <w:rFonts w:ascii="Times New Roman" w:hAnsi="Times New Roman"/>
          <w:sz w:val="24"/>
        </w:rPr>
        <w:t xml:space="preserve">(existing ARS 391.0) (as determined by </w:t>
      </w:r>
      <w:r w:rsidRPr="009641CE">
        <w:rPr>
          <w:rFonts w:ascii="Times New Roman" w:hAnsi="Times New Roman"/>
          <w:sz w:val="24"/>
        </w:rPr>
        <w:t>Financial Sector (Collection of Data) (reporting standard) determination No. 49 of 2008);</w:t>
      </w:r>
      <w:r w:rsidRPr="00C82862">
        <w:rPr>
          <w:rFonts w:ascii="Times New Roman" w:hAnsi="Times New Roman"/>
          <w:sz w:val="24"/>
        </w:rPr>
        <w:t xml:space="preserve"> and </w:t>
      </w:r>
    </w:p>
    <w:p w14:paraId="5A6C9423" w14:textId="73F8BE98" w:rsidR="00C82862" w:rsidRPr="00C82862" w:rsidRDefault="00C82862" w:rsidP="00B25D1F">
      <w:pPr>
        <w:widowControl w:val="0"/>
        <w:numPr>
          <w:ilvl w:val="1"/>
          <w:numId w:val="43"/>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391.0 Commercial Finance </w:t>
      </w:r>
      <w:r w:rsidRPr="00C82862">
        <w:rPr>
          <w:rFonts w:ascii="Times New Roman" w:hAnsi="Times New Roman"/>
          <w:sz w:val="24"/>
        </w:rPr>
        <w:t>(ARS 391.0);</w:t>
      </w:r>
      <w:r w:rsidR="0049409E">
        <w:rPr>
          <w:rFonts w:ascii="Times New Roman" w:hAnsi="Times New Roman"/>
          <w:sz w:val="24"/>
        </w:rPr>
        <w:t xml:space="preserve">  </w:t>
      </w:r>
    </w:p>
    <w:p w14:paraId="127BE83F" w14:textId="4ED60364"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32</w:t>
      </w:r>
      <w:r w:rsidRPr="00C82862">
        <w:rPr>
          <w:rFonts w:ascii="Times New Roman" w:hAnsi="Times New Roman"/>
          <w:sz w:val="24"/>
        </w:rPr>
        <w:t xml:space="preserve"> of 2018 which: </w:t>
      </w:r>
    </w:p>
    <w:p w14:paraId="36897115" w14:textId="77777777" w:rsidR="00C82862" w:rsidRPr="00C82862" w:rsidRDefault="00C82862" w:rsidP="00B25D1F">
      <w:pPr>
        <w:widowControl w:val="0"/>
        <w:numPr>
          <w:ilvl w:val="1"/>
          <w:numId w:val="44"/>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ARS 392.0 Housing Finance </w:t>
      </w:r>
      <w:r w:rsidRPr="00C82862">
        <w:rPr>
          <w:rFonts w:ascii="Times New Roman" w:hAnsi="Times New Roman"/>
          <w:sz w:val="24"/>
        </w:rPr>
        <w:t xml:space="preserve">(existing ARS 392.0) (as determined by </w:t>
      </w:r>
      <w:r w:rsidRPr="009641CE">
        <w:rPr>
          <w:rFonts w:ascii="Times New Roman" w:hAnsi="Times New Roman"/>
          <w:sz w:val="24"/>
        </w:rPr>
        <w:t>Financial Sector (Collection of Data) (reporting standard) determination No. 50 of 2008); and</w:t>
      </w:r>
      <w:r w:rsidRPr="00C82862">
        <w:rPr>
          <w:rFonts w:ascii="Times New Roman" w:hAnsi="Times New Roman"/>
          <w:sz w:val="24"/>
        </w:rPr>
        <w:t xml:space="preserve"> </w:t>
      </w:r>
    </w:p>
    <w:p w14:paraId="51C4154F" w14:textId="72DDD80F" w:rsidR="00C82862" w:rsidRPr="00C82862" w:rsidRDefault="00C82862" w:rsidP="00B25D1F">
      <w:pPr>
        <w:widowControl w:val="0"/>
        <w:numPr>
          <w:ilvl w:val="1"/>
          <w:numId w:val="44"/>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 xml:space="preserve">Reporting Standard ARS 392.0 Housing Finance </w:t>
      </w:r>
      <w:r w:rsidRPr="00C82862">
        <w:rPr>
          <w:rFonts w:ascii="Times New Roman" w:hAnsi="Times New Roman"/>
          <w:sz w:val="24"/>
        </w:rPr>
        <w:t>(ARS 392.0);</w:t>
      </w:r>
    </w:p>
    <w:p w14:paraId="6A725A01" w14:textId="21EEC9A0"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33</w:t>
      </w:r>
      <w:r w:rsidRPr="00C82862">
        <w:rPr>
          <w:rFonts w:ascii="Times New Roman" w:hAnsi="Times New Roman"/>
          <w:sz w:val="24"/>
        </w:rPr>
        <w:t xml:space="preserve"> of 2018 which: </w:t>
      </w:r>
    </w:p>
    <w:p w14:paraId="3FF3BE31" w14:textId="77777777" w:rsidR="00C82862" w:rsidRPr="009641CE" w:rsidRDefault="00C82862" w:rsidP="00B25D1F">
      <w:pPr>
        <w:widowControl w:val="0"/>
        <w:numPr>
          <w:ilvl w:val="1"/>
          <w:numId w:val="45"/>
        </w:numPr>
        <w:tabs>
          <w:tab w:val="clear" w:pos="1440"/>
        </w:tabs>
        <w:spacing w:before="240"/>
        <w:ind w:left="1134" w:hanging="567"/>
        <w:rPr>
          <w:rFonts w:ascii="Times New Roman" w:hAnsi="Times New Roman"/>
          <w:sz w:val="24"/>
        </w:rPr>
      </w:pPr>
      <w:r w:rsidRPr="00C82862">
        <w:rPr>
          <w:rFonts w:ascii="Times New Roman" w:hAnsi="Times New Roman"/>
          <w:sz w:val="24"/>
        </w:rPr>
        <w:lastRenderedPageBreak/>
        <w:t xml:space="preserve">revokes </w:t>
      </w:r>
      <w:r w:rsidRPr="00C82862">
        <w:rPr>
          <w:rFonts w:ascii="Times New Roman" w:hAnsi="Times New Roman"/>
          <w:i/>
          <w:sz w:val="24"/>
        </w:rPr>
        <w:t xml:space="preserve">Reporting Standard ARS 393.0 Lease Finance </w:t>
      </w:r>
      <w:r w:rsidRPr="00C82862">
        <w:rPr>
          <w:rFonts w:ascii="Times New Roman" w:hAnsi="Times New Roman"/>
          <w:sz w:val="24"/>
        </w:rPr>
        <w:t xml:space="preserve">(existing ARS 393.0) (as determined by </w:t>
      </w:r>
      <w:r w:rsidRPr="009641CE">
        <w:rPr>
          <w:rFonts w:ascii="Times New Roman" w:hAnsi="Times New Roman"/>
          <w:sz w:val="24"/>
        </w:rPr>
        <w:t xml:space="preserve">Financial Sector (Collection of Data) (reporting standard) determination No. 51 of 2008); and </w:t>
      </w:r>
    </w:p>
    <w:p w14:paraId="04D431E0" w14:textId="77777777" w:rsidR="00C82862" w:rsidRPr="009641CE" w:rsidRDefault="00C82862" w:rsidP="00B25D1F">
      <w:pPr>
        <w:widowControl w:val="0"/>
        <w:numPr>
          <w:ilvl w:val="1"/>
          <w:numId w:val="45"/>
        </w:numPr>
        <w:tabs>
          <w:tab w:val="num" w:pos="1134"/>
        </w:tabs>
        <w:spacing w:before="240"/>
        <w:ind w:left="1134" w:hanging="567"/>
        <w:rPr>
          <w:rFonts w:ascii="Times New Roman" w:hAnsi="Times New Roman"/>
          <w:sz w:val="24"/>
        </w:rPr>
      </w:pPr>
      <w:r w:rsidRPr="009641CE">
        <w:rPr>
          <w:rFonts w:ascii="Times New Roman" w:hAnsi="Times New Roman"/>
          <w:sz w:val="24"/>
        </w:rPr>
        <w:t xml:space="preserve">determines a new </w:t>
      </w:r>
      <w:r w:rsidRPr="009641CE">
        <w:rPr>
          <w:rFonts w:ascii="Times New Roman" w:hAnsi="Times New Roman"/>
          <w:i/>
          <w:sz w:val="24"/>
        </w:rPr>
        <w:t xml:space="preserve">Reporting Standard ARS 393.0 Lease Finance </w:t>
      </w:r>
      <w:r w:rsidRPr="009641CE">
        <w:rPr>
          <w:rFonts w:ascii="Times New Roman" w:hAnsi="Times New Roman"/>
          <w:sz w:val="24"/>
        </w:rPr>
        <w:t>(ARS 393.0);</w:t>
      </w:r>
    </w:p>
    <w:p w14:paraId="5B8A0A35" w14:textId="3AD1BC17" w:rsidR="00C82862" w:rsidRPr="009641CE" w:rsidRDefault="00C82862" w:rsidP="00C82862">
      <w:pPr>
        <w:widowControl w:val="0"/>
        <w:numPr>
          <w:ilvl w:val="0"/>
          <w:numId w:val="15"/>
        </w:numPr>
        <w:spacing w:before="120" w:after="60"/>
        <w:rPr>
          <w:rFonts w:ascii="Times New Roman" w:hAnsi="Times New Roman"/>
          <w:sz w:val="24"/>
        </w:rPr>
      </w:pPr>
      <w:r w:rsidRPr="009641CE">
        <w:rPr>
          <w:rFonts w:ascii="Times New Roman" w:hAnsi="Times New Roman"/>
          <w:sz w:val="24"/>
        </w:rPr>
        <w:t xml:space="preserve">Financial Sector (Collection of Data) (reporting standard) determination No. </w:t>
      </w:r>
      <w:r w:rsidR="0075701A" w:rsidRPr="009641CE">
        <w:rPr>
          <w:rFonts w:ascii="Times New Roman" w:hAnsi="Times New Roman"/>
          <w:sz w:val="24"/>
        </w:rPr>
        <w:t>34</w:t>
      </w:r>
      <w:r w:rsidRPr="009641CE">
        <w:rPr>
          <w:rFonts w:ascii="Times New Roman" w:hAnsi="Times New Roman"/>
          <w:sz w:val="24"/>
        </w:rPr>
        <w:t xml:space="preserve"> of 2018 which: </w:t>
      </w:r>
    </w:p>
    <w:p w14:paraId="59B6770F" w14:textId="77777777" w:rsidR="00C82862" w:rsidRPr="009641CE" w:rsidRDefault="00C82862" w:rsidP="00B25D1F">
      <w:pPr>
        <w:widowControl w:val="0"/>
        <w:numPr>
          <w:ilvl w:val="1"/>
          <w:numId w:val="46"/>
        </w:numPr>
        <w:tabs>
          <w:tab w:val="clear" w:pos="1440"/>
          <w:tab w:val="num" w:pos="1134"/>
        </w:tabs>
        <w:spacing w:before="240"/>
        <w:ind w:left="1134" w:hanging="567"/>
        <w:rPr>
          <w:rFonts w:ascii="Times New Roman" w:hAnsi="Times New Roman"/>
          <w:sz w:val="24"/>
        </w:rPr>
      </w:pPr>
      <w:r w:rsidRPr="009641CE">
        <w:rPr>
          <w:rFonts w:ascii="Times New Roman" w:hAnsi="Times New Roman"/>
          <w:sz w:val="24"/>
        </w:rPr>
        <w:t xml:space="preserve">revokes </w:t>
      </w:r>
      <w:r w:rsidRPr="009641CE">
        <w:rPr>
          <w:rFonts w:ascii="Times New Roman" w:hAnsi="Times New Roman"/>
          <w:i/>
          <w:sz w:val="24"/>
        </w:rPr>
        <w:t xml:space="preserve">Reporting Standard ARS 394.0 Personal Finance </w:t>
      </w:r>
      <w:r w:rsidRPr="009641CE">
        <w:rPr>
          <w:rFonts w:ascii="Times New Roman" w:hAnsi="Times New Roman"/>
          <w:sz w:val="24"/>
        </w:rPr>
        <w:t xml:space="preserve">(existing ARS 394.0) (as determined by Financial Sector (Collection of Data) (reporting standard) determination No. 52 of 2008); and </w:t>
      </w:r>
    </w:p>
    <w:p w14:paraId="48025231" w14:textId="77777777" w:rsidR="00C82862" w:rsidRPr="009641CE" w:rsidRDefault="00C82862" w:rsidP="00B25D1F">
      <w:pPr>
        <w:widowControl w:val="0"/>
        <w:numPr>
          <w:ilvl w:val="1"/>
          <w:numId w:val="46"/>
        </w:numPr>
        <w:tabs>
          <w:tab w:val="num" w:pos="1134"/>
        </w:tabs>
        <w:spacing w:before="240"/>
        <w:ind w:left="1134" w:hanging="567"/>
        <w:rPr>
          <w:rFonts w:ascii="Times New Roman" w:hAnsi="Times New Roman"/>
          <w:sz w:val="24"/>
        </w:rPr>
      </w:pPr>
      <w:r w:rsidRPr="009641CE">
        <w:rPr>
          <w:rFonts w:ascii="Times New Roman" w:hAnsi="Times New Roman"/>
          <w:sz w:val="24"/>
        </w:rPr>
        <w:t xml:space="preserve">determines a new </w:t>
      </w:r>
      <w:r w:rsidRPr="009641CE">
        <w:rPr>
          <w:rFonts w:ascii="Times New Roman" w:hAnsi="Times New Roman"/>
          <w:i/>
          <w:sz w:val="24"/>
        </w:rPr>
        <w:t xml:space="preserve">Reporting Standard ARS 394.0 Personal Finance </w:t>
      </w:r>
      <w:r w:rsidRPr="009641CE">
        <w:rPr>
          <w:rFonts w:ascii="Times New Roman" w:hAnsi="Times New Roman"/>
          <w:sz w:val="24"/>
        </w:rPr>
        <w:t>(ARS 394.0);</w:t>
      </w:r>
    </w:p>
    <w:p w14:paraId="1C17F02E" w14:textId="09D95C91" w:rsidR="00C82862" w:rsidRPr="009641CE" w:rsidRDefault="00C82862" w:rsidP="00C82862">
      <w:pPr>
        <w:widowControl w:val="0"/>
        <w:numPr>
          <w:ilvl w:val="0"/>
          <w:numId w:val="15"/>
        </w:numPr>
        <w:spacing w:before="120" w:after="60"/>
        <w:rPr>
          <w:rFonts w:ascii="Times New Roman" w:hAnsi="Times New Roman"/>
          <w:sz w:val="24"/>
        </w:rPr>
      </w:pPr>
      <w:r w:rsidRPr="009641CE">
        <w:rPr>
          <w:rFonts w:ascii="Times New Roman" w:hAnsi="Times New Roman"/>
          <w:sz w:val="24"/>
        </w:rPr>
        <w:t xml:space="preserve">Financial Sector (Collection of Data) (reporting standard) determination No. </w:t>
      </w:r>
      <w:r w:rsidR="0075701A" w:rsidRPr="009641CE">
        <w:rPr>
          <w:rFonts w:ascii="Times New Roman" w:hAnsi="Times New Roman"/>
          <w:sz w:val="24"/>
        </w:rPr>
        <w:t>35</w:t>
      </w:r>
      <w:r w:rsidRPr="009641CE">
        <w:rPr>
          <w:rFonts w:ascii="Times New Roman" w:hAnsi="Times New Roman"/>
          <w:sz w:val="24"/>
        </w:rPr>
        <w:t xml:space="preserve"> of 2018 which: </w:t>
      </w:r>
    </w:p>
    <w:p w14:paraId="5D65C809" w14:textId="7B3621B1" w:rsidR="00C82862" w:rsidRPr="009641CE" w:rsidRDefault="00C82862" w:rsidP="00B25D1F">
      <w:pPr>
        <w:widowControl w:val="0"/>
        <w:numPr>
          <w:ilvl w:val="1"/>
          <w:numId w:val="47"/>
        </w:numPr>
        <w:tabs>
          <w:tab w:val="clear" w:pos="1440"/>
        </w:tabs>
        <w:spacing w:before="240"/>
        <w:ind w:left="1134" w:hanging="567"/>
        <w:rPr>
          <w:rFonts w:ascii="Times New Roman" w:hAnsi="Times New Roman"/>
          <w:sz w:val="24"/>
        </w:rPr>
      </w:pPr>
      <w:r w:rsidRPr="009641CE">
        <w:rPr>
          <w:rFonts w:ascii="Times New Roman" w:hAnsi="Times New Roman"/>
          <w:sz w:val="24"/>
        </w:rPr>
        <w:t xml:space="preserve">revokes </w:t>
      </w:r>
      <w:r w:rsidRPr="009641CE">
        <w:rPr>
          <w:rFonts w:ascii="Times New Roman" w:hAnsi="Times New Roman"/>
          <w:i/>
          <w:sz w:val="24"/>
        </w:rPr>
        <w:t>Reporting Standard ARS 395.0 Business Finance</w:t>
      </w:r>
      <w:r w:rsidR="00431690" w:rsidRPr="009641CE">
        <w:rPr>
          <w:rFonts w:ascii="Times New Roman" w:hAnsi="Times New Roman"/>
          <w:i/>
          <w:sz w:val="24"/>
        </w:rPr>
        <w:t xml:space="preserve"> Statistics</w:t>
      </w:r>
      <w:r w:rsidRPr="009641CE">
        <w:rPr>
          <w:rFonts w:ascii="Times New Roman" w:hAnsi="Times New Roman"/>
          <w:i/>
          <w:sz w:val="24"/>
        </w:rPr>
        <w:t xml:space="preserve"> </w:t>
      </w:r>
      <w:r w:rsidRPr="009641CE">
        <w:rPr>
          <w:rFonts w:ascii="Times New Roman" w:hAnsi="Times New Roman"/>
          <w:sz w:val="24"/>
        </w:rPr>
        <w:t xml:space="preserve">(existing ARS 395.0) (as determined by Financial Sector (Collection of Data) (reporting standard) determination No. 53 of 2008); and </w:t>
      </w:r>
    </w:p>
    <w:p w14:paraId="24B7EB5F" w14:textId="1A0C5D0F" w:rsidR="00C82862" w:rsidRPr="00C82862" w:rsidRDefault="00C82862" w:rsidP="00B25D1F">
      <w:pPr>
        <w:widowControl w:val="0"/>
        <w:numPr>
          <w:ilvl w:val="1"/>
          <w:numId w:val="47"/>
        </w:numPr>
        <w:tabs>
          <w:tab w:val="num" w:pos="1134"/>
        </w:tabs>
        <w:spacing w:before="240"/>
        <w:ind w:left="1134" w:hanging="567"/>
        <w:rPr>
          <w:rFonts w:ascii="Times New Roman" w:hAnsi="Times New Roman"/>
          <w:sz w:val="24"/>
        </w:rPr>
      </w:pPr>
      <w:r w:rsidRPr="00C82862">
        <w:rPr>
          <w:rFonts w:ascii="Times New Roman" w:hAnsi="Times New Roman"/>
          <w:sz w:val="24"/>
        </w:rPr>
        <w:t xml:space="preserve">determines a new </w:t>
      </w:r>
      <w:r w:rsidRPr="00C82862">
        <w:rPr>
          <w:rFonts w:ascii="Times New Roman" w:hAnsi="Times New Roman"/>
          <w:i/>
          <w:sz w:val="24"/>
        </w:rPr>
        <w:t>Reporting Standard ARS 395.0 Business Finance</w:t>
      </w:r>
      <w:r w:rsidR="00B9275D">
        <w:rPr>
          <w:rFonts w:ascii="Times New Roman" w:hAnsi="Times New Roman"/>
          <w:i/>
          <w:sz w:val="24"/>
        </w:rPr>
        <w:t xml:space="preserve"> Statistics</w:t>
      </w:r>
      <w:r w:rsidRPr="00C82862">
        <w:rPr>
          <w:rFonts w:ascii="Times New Roman" w:hAnsi="Times New Roman"/>
          <w:i/>
          <w:sz w:val="24"/>
        </w:rPr>
        <w:t xml:space="preserve"> </w:t>
      </w:r>
      <w:r w:rsidRPr="00C82862">
        <w:rPr>
          <w:rFonts w:ascii="Times New Roman" w:hAnsi="Times New Roman"/>
          <w:sz w:val="24"/>
        </w:rPr>
        <w:t>(ARS 395.0);</w:t>
      </w:r>
    </w:p>
    <w:p w14:paraId="3ECD56C8" w14:textId="02090DE9" w:rsidR="00C82862" w:rsidRPr="00C82862" w:rsidRDefault="00C82862" w:rsidP="00C82862">
      <w:pPr>
        <w:widowControl w:val="0"/>
        <w:numPr>
          <w:ilvl w:val="0"/>
          <w:numId w:val="15"/>
        </w:numPr>
        <w:spacing w:before="120" w:after="60"/>
        <w:rPr>
          <w:rFonts w:ascii="Times New Roman" w:hAnsi="Times New Roman"/>
          <w:sz w:val="24"/>
        </w:rPr>
      </w:pPr>
      <w:r w:rsidRPr="00C82862">
        <w:rPr>
          <w:rFonts w:ascii="Times New Roman" w:hAnsi="Times New Roman"/>
          <w:sz w:val="24"/>
        </w:rPr>
        <w:t xml:space="preserve">Financial Sector (Collection of Data) (reporting standard) determination No. </w:t>
      </w:r>
      <w:r w:rsidR="0075701A">
        <w:rPr>
          <w:rFonts w:ascii="Times New Roman" w:hAnsi="Times New Roman"/>
          <w:sz w:val="24"/>
        </w:rPr>
        <w:t>36</w:t>
      </w:r>
      <w:r w:rsidRPr="00C82862">
        <w:rPr>
          <w:rFonts w:ascii="Times New Roman" w:hAnsi="Times New Roman"/>
          <w:sz w:val="24"/>
        </w:rPr>
        <w:t xml:space="preserve"> of 2018 which: </w:t>
      </w:r>
    </w:p>
    <w:p w14:paraId="66870421" w14:textId="77777777" w:rsidR="00C82862" w:rsidRPr="009641CE" w:rsidRDefault="00C82862" w:rsidP="00B25D1F">
      <w:pPr>
        <w:widowControl w:val="0"/>
        <w:numPr>
          <w:ilvl w:val="1"/>
          <w:numId w:val="48"/>
        </w:numPr>
        <w:tabs>
          <w:tab w:val="clear" w:pos="1440"/>
          <w:tab w:val="num" w:pos="1134"/>
        </w:tabs>
        <w:spacing w:before="240"/>
        <w:ind w:left="1134" w:hanging="567"/>
        <w:rPr>
          <w:rFonts w:ascii="Times New Roman" w:hAnsi="Times New Roman"/>
          <w:sz w:val="24"/>
        </w:rPr>
      </w:pPr>
      <w:r w:rsidRPr="00C82862">
        <w:rPr>
          <w:rFonts w:ascii="Times New Roman" w:hAnsi="Times New Roman"/>
          <w:sz w:val="24"/>
        </w:rPr>
        <w:t xml:space="preserve">revokes </w:t>
      </w:r>
      <w:r w:rsidRPr="00C82862">
        <w:rPr>
          <w:rFonts w:ascii="Times New Roman" w:hAnsi="Times New Roman"/>
          <w:i/>
          <w:sz w:val="24"/>
        </w:rPr>
        <w:t xml:space="preserve">Reporting Standard RRS 320.0 Statement of Financial Position </w:t>
      </w:r>
      <w:r w:rsidRPr="00C82862">
        <w:rPr>
          <w:rFonts w:ascii="Times New Roman" w:hAnsi="Times New Roman"/>
          <w:sz w:val="24"/>
        </w:rPr>
        <w:t xml:space="preserve">(existing RRS 320.0) (as determined by </w:t>
      </w:r>
      <w:r w:rsidRPr="009641CE">
        <w:rPr>
          <w:rFonts w:ascii="Times New Roman" w:hAnsi="Times New Roman"/>
          <w:sz w:val="24"/>
        </w:rPr>
        <w:t xml:space="preserve">Financial Sector (Collection of Data) (reporting standard) determination No. 55 of 2008); and </w:t>
      </w:r>
    </w:p>
    <w:p w14:paraId="64B65F25" w14:textId="77777777" w:rsidR="00C82862" w:rsidRPr="00C82862" w:rsidRDefault="00C82862" w:rsidP="00B25D1F">
      <w:pPr>
        <w:widowControl w:val="0"/>
        <w:numPr>
          <w:ilvl w:val="1"/>
          <w:numId w:val="48"/>
        </w:numPr>
        <w:tabs>
          <w:tab w:val="num" w:pos="1134"/>
        </w:tabs>
        <w:spacing w:before="240"/>
        <w:ind w:left="1134" w:hanging="567"/>
        <w:rPr>
          <w:rFonts w:ascii="Times New Roman" w:hAnsi="Times New Roman"/>
          <w:sz w:val="24"/>
        </w:rPr>
      </w:pPr>
      <w:r w:rsidRPr="009641CE">
        <w:rPr>
          <w:rFonts w:ascii="Times New Roman" w:hAnsi="Times New Roman"/>
          <w:sz w:val="24"/>
        </w:rPr>
        <w:t xml:space="preserve">determines a new </w:t>
      </w:r>
      <w:r w:rsidRPr="009641CE">
        <w:rPr>
          <w:rFonts w:ascii="Times New Roman" w:hAnsi="Times New Roman"/>
          <w:i/>
          <w:sz w:val="24"/>
        </w:rPr>
        <w:t>Reporting Standard RRS</w:t>
      </w:r>
      <w:r w:rsidRPr="00C82862">
        <w:rPr>
          <w:rFonts w:ascii="Times New Roman" w:hAnsi="Times New Roman"/>
          <w:i/>
          <w:sz w:val="24"/>
        </w:rPr>
        <w:t xml:space="preserve"> 320.0 Statement of Financial Position </w:t>
      </w:r>
      <w:r w:rsidRPr="00C82862">
        <w:rPr>
          <w:rFonts w:ascii="Times New Roman" w:hAnsi="Times New Roman"/>
          <w:sz w:val="24"/>
        </w:rPr>
        <w:t>(RRS 320.0).</w:t>
      </w:r>
    </w:p>
    <w:p w14:paraId="43EC5F04" w14:textId="263F4852" w:rsidR="00C82862" w:rsidRPr="00C82862" w:rsidRDefault="00C82862" w:rsidP="00C82862">
      <w:pPr>
        <w:widowControl w:val="0"/>
        <w:rPr>
          <w:rFonts w:ascii="Times New Roman" w:hAnsi="Times New Roman"/>
          <w:sz w:val="24"/>
        </w:rPr>
      </w:pPr>
      <w:r w:rsidRPr="00C82862">
        <w:rPr>
          <w:rFonts w:ascii="Times New Roman" w:hAnsi="Times New Roman"/>
          <w:sz w:val="24"/>
        </w:rPr>
        <w:t xml:space="preserve">The instruments commence on </w:t>
      </w:r>
      <w:r w:rsidRPr="0094455B">
        <w:rPr>
          <w:rFonts w:ascii="Times New Roman" w:hAnsi="Times New Roman"/>
          <w:sz w:val="24"/>
        </w:rPr>
        <w:t>1 April 2018</w:t>
      </w:r>
      <w:r w:rsidRPr="00C82862">
        <w:rPr>
          <w:rFonts w:ascii="Times New Roman" w:hAnsi="Times New Roman"/>
          <w:sz w:val="24"/>
        </w:rPr>
        <w:t>.</w:t>
      </w:r>
    </w:p>
    <w:p w14:paraId="5E05FB29" w14:textId="77777777" w:rsidR="00C82862" w:rsidRPr="0094455B" w:rsidRDefault="00C82862" w:rsidP="00C82862">
      <w:pPr>
        <w:keepNext/>
        <w:numPr>
          <w:ilvl w:val="0"/>
          <w:numId w:val="16"/>
        </w:numPr>
        <w:spacing w:before="240"/>
        <w:outlineLvl w:val="0"/>
        <w:rPr>
          <w:rFonts w:ascii="Times New Roman" w:hAnsi="Times New Roman"/>
          <w:b/>
          <w:sz w:val="24"/>
        </w:rPr>
      </w:pPr>
      <w:r w:rsidRPr="0094455B">
        <w:rPr>
          <w:rFonts w:ascii="Times New Roman" w:hAnsi="Times New Roman"/>
          <w:b/>
          <w:sz w:val="24"/>
        </w:rPr>
        <w:lastRenderedPageBreak/>
        <w:t>Background</w:t>
      </w:r>
    </w:p>
    <w:p w14:paraId="26814483" w14:textId="47E70499" w:rsidR="00C82862" w:rsidRPr="0094455B" w:rsidRDefault="00C82862" w:rsidP="0094455B">
      <w:pPr>
        <w:spacing w:before="240"/>
        <w:rPr>
          <w:rFonts w:ascii="Times New Roman" w:hAnsi="Times New Roman"/>
          <w:i/>
          <w:sz w:val="24"/>
          <w:u w:val="single"/>
        </w:rPr>
      </w:pPr>
      <w:bookmarkStart w:id="6" w:name="bkBackground"/>
      <w:bookmarkEnd w:id="6"/>
      <w:r w:rsidRPr="0094455B">
        <w:rPr>
          <w:rFonts w:ascii="Times New Roman" w:hAnsi="Times New Roman"/>
          <w:i/>
          <w:sz w:val="24"/>
          <w:u w:val="single"/>
        </w:rPr>
        <w:t xml:space="preserve">Financial Sector (Collection of Data) (reporting standard) determination Nos. </w:t>
      </w:r>
      <w:r w:rsidR="00D52D17" w:rsidRPr="0094455B">
        <w:rPr>
          <w:rFonts w:ascii="Times New Roman" w:hAnsi="Times New Roman"/>
          <w:i/>
          <w:sz w:val="24"/>
          <w:u w:val="single"/>
        </w:rPr>
        <w:t>3</w:t>
      </w:r>
      <w:r w:rsidRPr="0094455B">
        <w:rPr>
          <w:rFonts w:ascii="Times New Roman" w:hAnsi="Times New Roman"/>
          <w:i/>
          <w:sz w:val="24"/>
          <w:u w:val="single"/>
        </w:rPr>
        <w:t xml:space="preserve"> to </w:t>
      </w:r>
      <w:r w:rsidR="00BB542D" w:rsidRPr="0094455B">
        <w:rPr>
          <w:rFonts w:ascii="Times New Roman" w:hAnsi="Times New Roman"/>
          <w:i/>
          <w:sz w:val="24"/>
          <w:u w:val="single"/>
        </w:rPr>
        <w:t xml:space="preserve">19 and 21 to </w:t>
      </w:r>
      <w:r w:rsidR="00D52D17" w:rsidRPr="0094455B">
        <w:rPr>
          <w:rFonts w:ascii="Times New Roman" w:hAnsi="Times New Roman"/>
          <w:i/>
          <w:sz w:val="24"/>
          <w:u w:val="single"/>
        </w:rPr>
        <w:t>36</w:t>
      </w:r>
      <w:r w:rsidRPr="0094455B">
        <w:rPr>
          <w:rFonts w:ascii="Times New Roman" w:hAnsi="Times New Roman"/>
          <w:i/>
          <w:sz w:val="24"/>
          <w:u w:val="single"/>
        </w:rPr>
        <w:t xml:space="preserve"> of 2018</w:t>
      </w:r>
      <w:r w:rsidR="00BF1830" w:rsidRPr="0094455B">
        <w:rPr>
          <w:rFonts w:ascii="Times New Roman" w:hAnsi="Times New Roman"/>
          <w:i/>
          <w:sz w:val="24"/>
          <w:u w:val="single"/>
        </w:rPr>
        <w:t xml:space="preserve"> </w:t>
      </w:r>
    </w:p>
    <w:p w14:paraId="52A0FDD1" w14:textId="4CAF16EC" w:rsidR="004C22D9" w:rsidRPr="0094455B" w:rsidRDefault="00EE6D3E" w:rsidP="004F23D8">
      <w:pPr>
        <w:pStyle w:val="Paragraph"/>
      </w:pPr>
      <w:r w:rsidRPr="0094455B">
        <w:t xml:space="preserve">In 2008, </w:t>
      </w:r>
      <w:r w:rsidR="00C82862" w:rsidRPr="0094455B">
        <w:t xml:space="preserve">APRA </w:t>
      </w:r>
      <w:r w:rsidR="00C3434E" w:rsidRPr="0094455B">
        <w:t>introduced new</w:t>
      </w:r>
      <w:r w:rsidR="00C82862" w:rsidRPr="0094455B">
        <w:t xml:space="preserve"> reporting requirements for authorised deposit-taking institutions (ADIs) as part of </w:t>
      </w:r>
      <w:r w:rsidR="00C3434E" w:rsidRPr="0094455B">
        <w:t xml:space="preserve">its </w:t>
      </w:r>
      <w:r w:rsidR="00C82862" w:rsidRPr="0094455B">
        <w:t xml:space="preserve">implementation of </w:t>
      </w:r>
      <w:r w:rsidR="00C3434E" w:rsidRPr="0094455B">
        <w:t xml:space="preserve">a revised prudential framework based on </w:t>
      </w:r>
      <w:r w:rsidR="00C82862" w:rsidRPr="0094455B">
        <w:t xml:space="preserve">the Basel </w:t>
      </w:r>
      <w:r w:rsidR="00C3434E" w:rsidRPr="0094455B">
        <w:t xml:space="preserve">Committee’s measures known as Basel </w:t>
      </w:r>
      <w:r w:rsidR="00C82862" w:rsidRPr="0094455B">
        <w:t>II (the Framework) in Australia.</w:t>
      </w:r>
      <w:r w:rsidR="00AA388C" w:rsidRPr="0094455B">
        <w:t xml:space="preserve"> As a result of the implementation, a number of consequential amendments to reporting standards were also made. </w:t>
      </w:r>
      <w:r w:rsidR="004C22D9" w:rsidRPr="0094455B">
        <w:t xml:space="preserve">The </w:t>
      </w:r>
      <w:r w:rsidR="00AA388C" w:rsidRPr="0094455B">
        <w:t xml:space="preserve">new and amended </w:t>
      </w:r>
      <w:r w:rsidR="004C22D9" w:rsidRPr="0094455B">
        <w:t xml:space="preserve">reporting standards </w:t>
      </w:r>
      <w:r w:rsidR="00BF26BD" w:rsidRPr="0094455B">
        <w:t xml:space="preserve">were </w:t>
      </w:r>
      <w:r w:rsidR="004C22D9" w:rsidRPr="0094455B">
        <w:t xml:space="preserve">determined under: </w:t>
      </w:r>
    </w:p>
    <w:p w14:paraId="54BC49D3" w14:textId="6F3BFE7C" w:rsidR="004C22D9" w:rsidRPr="0094455B" w:rsidRDefault="004C22D9" w:rsidP="00A04876">
      <w:pPr>
        <w:pStyle w:val="Paragraph"/>
        <w:numPr>
          <w:ilvl w:val="0"/>
          <w:numId w:val="51"/>
        </w:numPr>
      </w:pPr>
      <w:r w:rsidRPr="0094455B">
        <w:rPr>
          <w:i/>
        </w:rPr>
        <w:t>Financial Sector (Collection of Data) (reporting standard) determination Nos. 3-7 of 2008;</w:t>
      </w:r>
    </w:p>
    <w:p w14:paraId="3182D66B" w14:textId="6068FE33" w:rsidR="00144867" w:rsidRPr="0094455B" w:rsidRDefault="00144867" w:rsidP="00144867">
      <w:pPr>
        <w:pStyle w:val="Paragraph"/>
        <w:numPr>
          <w:ilvl w:val="0"/>
          <w:numId w:val="51"/>
        </w:numPr>
      </w:pPr>
      <w:r w:rsidRPr="0094455B">
        <w:rPr>
          <w:i/>
        </w:rPr>
        <w:t>Financial Sector (Collection of Data) (reporting standard) determination No. 10 of 2008;</w:t>
      </w:r>
    </w:p>
    <w:p w14:paraId="36ECC1F8" w14:textId="164C0955" w:rsidR="00144867" w:rsidRPr="0094455B" w:rsidRDefault="00144867" w:rsidP="00144867">
      <w:pPr>
        <w:pStyle w:val="Paragraph"/>
        <w:numPr>
          <w:ilvl w:val="0"/>
          <w:numId w:val="51"/>
        </w:numPr>
      </w:pPr>
      <w:r w:rsidRPr="0094455B">
        <w:rPr>
          <w:i/>
        </w:rPr>
        <w:t>Financial Sector (Collection of Data) (repor</w:t>
      </w:r>
      <w:r w:rsidR="00DF3325" w:rsidRPr="0094455B">
        <w:rPr>
          <w:i/>
        </w:rPr>
        <w:t>ting standard) determination No</w:t>
      </w:r>
      <w:r w:rsidR="005E5F3C" w:rsidRPr="0094455B">
        <w:rPr>
          <w:i/>
        </w:rPr>
        <w:t>s</w:t>
      </w:r>
      <w:r w:rsidRPr="0094455B">
        <w:rPr>
          <w:i/>
        </w:rPr>
        <w:t>. 19</w:t>
      </w:r>
      <w:r w:rsidR="005E5F3C" w:rsidRPr="0094455B">
        <w:rPr>
          <w:i/>
        </w:rPr>
        <w:t>-21</w:t>
      </w:r>
      <w:r w:rsidRPr="0094455B">
        <w:rPr>
          <w:i/>
        </w:rPr>
        <w:t xml:space="preserve"> of 2008;</w:t>
      </w:r>
    </w:p>
    <w:p w14:paraId="5FDE6B05" w14:textId="40C89A17" w:rsidR="00144867" w:rsidRPr="0094455B" w:rsidRDefault="00144867" w:rsidP="00144867">
      <w:pPr>
        <w:pStyle w:val="Paragraph"/>
        <w:numPr>
          <w:ilvl w:val="0"/>
          <w:numId w:val="51"/>
        </w:numPr>
      </w:pPr>
      <w:r w:rsidRPr="0094455B">
        <w:rPr>
          <w:i/>
        </w:rPr>
        <w:t>Financial Sector (Collection of Data) (reporting standard) determination Nos. 23-24 of 2008;</w:t>
      </w:r>
    </w:p>
    <w:p w14:paraId="6ACC3C05" w14:textId="38554C91" w:rsidR="00144867" w:rsidRPr="0094455B" w:rsidRDefault="00144867" w:rsidP="00144867">
      <w:pPr>
        <w:pStyle w:val="Paragraph"/>
        <w:numPr>
          <w:ilvl w:val="0"/>
          <w:numId w:val="51"/>
        </w:numPr>
      </w:pPr>
      <w:r w:rsidRPr="0094455B">
        <w:rPr>
          <w:i/>
        </w:rPr>
        <w:t>Financial Sector (Collection of Data) (reporting standard) determination Nos. 30-35 of 2008;</w:t>
      </w:r>
    </w:p>
    <w:p w14:paraId="32572E97" w14:textId="77777777" w:rsidR="00144867" w:rsidRPr="0094455B" w:rsidRDefault="00144867" w:rsidP="00144867">
      <w:pPr>
        <w:pStyle w:val="Paragraph"/>
        <w:numPr>
          <w:ilvl w:val="0"/>
          <w:numId w:val="51"/>
        </w:numPr>
      </w:pPr>
      <w:r w:rsidRPr="0094455B">
        <w:rPr>
          <w:i/>
        </w:rPr>
        <w:t>Financial Sector (Collection of Data) (reporting standard) determination No. 37 of 2008;</w:t>
      </w:r>
    </w:p>
    <w:p w14:paraId="607E1928" w14:textId="7971EA36" w:rsidR="00144867" w:rsidRPr="0094455B" w:rsidRDefault="00144867" w:rsidP="00144867">
      <w:pPr>
        <w:pStyle w:val="Paragraph"/>
        <w:numPr>
          <w:ilvl w:val="0"/>
          <w:numId w:val="51"/>
        </w:numPr>
      </w:pPr>
      <w:r w:rsidRPr="0094455B">
        <w:rPr>
          <w:i/>
        </w:rPr>
        <w:t>Financial Sector (Collection of Data) (reporting standard) determination Nos. 39-41 of 2008;</w:t>
      </w:r>
    </w:p>
    <w:p w14:paraId="22332031" w14:textId="0D01F369" w:rsidR="00144867" w:rsidRPr="0094455B" w:rsidRDefault="00144867" w:rsidP="00144867">
      <w:pPr>
        <w:pStyle w:val="Paragraph"/>
        <w:numPr>
          <w:ilvl w:val="0"/>
          <w:numId w:val="51"/>
        </w:numPr>
      </w:pPr>
      <w:r w:rsidRPr="0094455B">
        <w:rPr>
          <w:i/>
        </w:rPr>
        <w:t>Financial Sector (Collection of Data) (reporting standard) determination Nos. 43-53 of 2008; and</w:t>
      </w:r>
    </w:p>
    <w:p w14:paraId="76514B77" w14:textId="49955426" w:rsidR="00144867" w:rsidRPr="0094455B" w:rsidRDefault="00144867" w:rsidP="00144867">
      <w:pPr>
        <w:pStyle w:val="Paragraph"/>
        <w:numPr>
          <w:ilvl w:val="0"/>
          <w:numId w:val="51"/>
        </w:numPr>
      </w:pPr>
      <w:r w:rsidRPr="0094455B">
        <w:rPr>
          <w:i/>
        </w:rPr>
        <w:t>Financial Sector (Collection of Data) (reporting standard) determination No. 55 of 2008;</w:t>
      </w:r>
      <w:r w:rsidR="002838CD" w:rsidRPr="0094455B">
        <w:rPr>
          <w:i/>
        </w:rPr>
        <w:t xml:space="preserve"> </w:t>
      </w:r>
    </w:p>
    <w:p w14:paraId="39CF51DB" w14:textId="4C1A7255" w:rsidR="005D5C98" w:rsidRPr="0094455B" w:rsidRDefault="005D5C98" w:rsidP="005D5C98">
      <w:pPr>
        <w:pStyle w:val="Paragraph"/>
      </w:pPr>
      <w:r w:rsidRPr="0094455B">
        <w:t xml:space="preserve">The reporting standards </w:t>
      </w:r>
      <w:r w:rsidR="007A7247" w:rsidRPr="0094455B">
        <w:t xml:space="preserve">created under these determinations </w:t>
      </w:r>
      <w:r w:rsidRPr="0094455B">
        <w:t>w</w:t>
      </w:r>
      <w:r w:rsidR="00BB542D">
        <w:t xml:space="preserve">ould have </w:t>
      </w:r>
      <w:r w:rsidRPr="0094455B">
        <w:t>sunset</w:t>
      </w:r>
      <w:r w:rsidR="0094455B">
        <w:t>t</w:t>
      </w:r>
      <w:r w:rsidR="00BB542D">
        <w:t>ed</w:t>
      </w:r>
      <w:r w:rsidRPr="0094455B">
        <w:t xml:space="preserve"> on 1 April 2018 by operation of subsection 50(1) of the </w:t>
      </w:r>
      <w:r w:rsidRPr="0094455B">
        <w:rPr>
          <w:i/>
        </w:rPr>
        <w:t>Legislation Act 2003</w:t>
      </w:r>
      <w:r w:rsidRPr="0094455B">
        <w:t>.</w:t>
      </w:r>
    </w:p>
    <w:p w14:paraId="6A89B457" w14:textId="41E0FE4D" w:rsidR="00C82862" w:rsidRPr="00C82862" w:rsidRDefault="00C82862" w:rsidP="0094455B">
      <w:pPr>
        <w:spacing w:before="240"/>
        <w:rPr>
          <w:rFonts w:ascii="Times New Roman" w:hAnsi="Times New Roman"/>
          <w:i/>
          <w:sz w:val="24"/>
        </w:rPr>
      </w:pPr>
      <w:r w:rsidRPr="0094455B">
        <w:rPr>
          <w:rFonts w:ascii="Times New Roman" w:hAnsi="Times New Roman"/>
          <w:i/>
          <w:sz w:val="24"/>
          <w:u w:val="single"/>
        </w:rPr>
        <w:t xml:space="preserve">Financial Sector (Collection of Data) (reporting standard) determination No. </w:t>
      </w:r>
      <w:r w:rsidR="00BF1830" w:rsidRPr="0094455B">
        <w:rPr>
          <w:rFonts w:ascii="Times New Roman" w:hAnsi="Times New Roman"/>
          <w:i/>
          <w:sz w:val="24"/>
          <w:u w:val="single"/>
        </w:rPr>
        <w:t>20</w:t>
      </w:r>
      <w:r w:rsidRPr="0094455B">
        <w:rPr>
          <w:rFonts w:ascii="Times New Roman" w:hAnsi="Times New Roman"/>
          <w:i/>
          <w:sz w:val="24"/>
          <w:u w:val="single"/>
        </w:rPr>
        <w:t xml:space="preserve"> of 2018</w:t>
      </w:r>
    </w:p>
    <w:p w14:paraId="639B26B8" w14:textId="78816DC5" w:rsidR="00F30D60" w:rsidRDefault="00C82862" w:rsidP="00F30D60">
      <w:pPr>
        <w:pStyle w:val="Paragraph"/>
      </w:pPr>
      <w:r w:rsidRPr="00C82862">
        <w:lastRenderedPageBreak/>
        <w:t xml:space="preserve">From 30 September 2008, APRA began collecting housing loan reconciliation data under </w:t>
      </w:r>
      <w:r w:rsidR="00FF4648" w:rsidRPr="00FF4648">
        <w:rPr>
          <w:i/>
        </w:rPr>
        <w:t>R</w:t>
      </w:r>
      <w:r w:rsidRPr="00FF4648">
        <w:rPr>
          <w:i/>
        </w:rPr>
        <w:t>ep</w:t>
      </w:r>
      <w:r w:rsidR="00FF4648" w:rsidRPr="00FF4648">
        <w:rPr>
          <w:i/>
        </w:rPr>
        <w:t xml:space="preserve">orting </w:t>
      </w:r>
      <w:r w:rsidR="002838CD">
        <w:rPr>
          <w:i/>
        </w:rPr>
        <w:t>Standard</w:t>
      </w:r>
      <w:r w:rsidR="002838CD" w:rsidRPr="00FF4648">
        <w:rPr>
          <w:i/>
        </w:rPr>
        <w:t xml:space="preserve"> </w:t>
      </w:r>
      <w:r w:rsidRPr="00FF4648">
        <w:rPr>
          <w:i/>
        </w:rPr>
        <w:t>AR</w:t>
      </w:r>
      <w:r w:rsidR="002838CD">
        <w:rPr>
          <w:i/>
        </w:rPr>
        <w:t>S</w:t>
      </w:r>
      <w:r w:rsidRPr="00FF4648">
        <w:rPr>
          <w:i/>
        </w:rPr>
        <w:t xml:space="preserve"> 320.8 Housing Loan Reconciliation (AR</w:t>
      </w:r>
      <w:r w:rsidR="002838CD">
        <w:rPr>
          <w:i/>
        </w:rPr>
        <w:t>S</w:t>
      </w:r>
      <w:r w:rsidRPr="00FF4648">
        <w:rPr>
          <w:i/>
        </w:rPr>
        <w:t xml:space="preserve"> 320.8)</w:t>
      </w:r>
      <w:r w:rsidRPr="00C82862">
        <w:t xml:space="preserve"> from ADIs with total housing loan assets greater than $1 billion. </w:t>
      </w:r>
      <w:r w:rsidR="00CA587D">
        <w:t xml:space="preserve">This reporting standard was determined under </w:t>
      </w:r>
      <w:r w:rsidR="00CA587D">
        <w:rPr>
          <w:i/>
        </w:rPr>
        <w:t xml:space="preserve">Financial Sector (Collection of Data) (reporting standard) determination No. 59 of 2008 </w:t>
      </w:r>
      <w:r w:rsidR="00CA587D">
        <w:t xml:space="preserve">and </w:t>
      </w:r>
      <w:r w:rsidR="002838CD">
        <w:t xml:space="preserve">was not created as part of the implementation of the Basel II framework in Australia. </w:t>
      </w:r>
      <w:r w:rsidRPr="00C82862">
        <w:t xml:space="preserve">The data provide a greater understanding of housing lending activities and household balance sheets. The information </w:t>
      </w:r>
      <w:r w:rsidR="00FF4648">
        <w:t>is</w:t>
      </w:r>
      <w:r w:rsidRPr="00C82862">
        <w:t xml:space="preserve"> used primarily by the </w:t>
      </w:r>
      <w:smartTag w:uri="urn:schemas-microsoft-com:office:smarttags" w:element="stockticker">
        <w:r w:rsidRPr="00C82862">
          <w:t>RBA</w:t>
        </w:r>
      </w:smartTag>
      <w:r w:rsidRPr="00C82862">
        <w:t xml:space="preserve"> in monetary policy setting. A secondary use is to provide greater granularity to APRA’s analysis of credit risk.</w:t>
      </w:r>
      <w:r w:rsidR="002838CD" w:rsidRPr="002838CD">
        <w:t xml:space="preserve"> </w:t>
      </w:r>
    </w:p>
    <w:p w14:paraId="2FE6753D" w14:textId="1E3B29E4" w:rsidR="005D5C98" w:rsidRPr="00C82862" w:rsidRDefault="005D5C98" w:rsidP="005D5C98">
      <w:pPr>
        <w:pStyle w:val="Paragraph"/>
      </w:pPr>
      <w:r>
        <w:t>This</w:t>
      </w:r>
      <w:r w:rsidRPr="004F23D8">
        <w:t xml:space="preserve"> reporting s</w:t>
      </w:r>
      <w:r>
        <w:t>tandard</w:t>
      </w:r>
      <w:r w:rsidRPr="004F23D8">
        <w:t xml:space="preserve"> w</w:t>
      </w:r>
      <w:r w:rsidR="00BB542D">
        <w:t>ould</w:t>
      </w:r>
      <w:r w:rsidR="0094455B">
        <w:t xml:space="preserve"> have</w:t>
      </w:r>
      <w:r w:rsidRPr="004F23D8">
        <w:t xml:space="preserve"> sunset</w:t>
      </w:r>
      <w:r w:rsidR="0094455B">
        <w:t>ted</w:t>
      </w:r>
      <w:r w:rsidRPr="004F23D8">
        <w:t xml:space="preserve"> on 1 October 2018 by operation of subsection 50(1) of the Legislation Act 2003.</w:t>
      </w:r>
    </w:p>
    <w:p w14:paraId="72E78BEB" w14:textId="05745BDF" w:rsidR="00C3645B" w:rsidRDefault="002838CD" w:rsidP="00F30D60">
      <w:pPr>
        <w:pStyle w:val="Paragraph"/>
      </w:pPr>
      <w:r w:rsidRPr="0094455B">
        <w:t>ARS</w:t>
      </w:r>
      <w:r w:rsidR="00371950" w:rsidRPr="0094455B">
        <w:t xml:space="preserve"> 320.8</w:t>
      </w:r>
      <w:r w:rsidR="00C3645B" w:rsidRPr="0094455B">
        <w:t xml:space="preserve"> will be </w:t>
      </w:r>
      <w:r w:rsidR="00371950" w:rsidRPr="0094455B">
        <w:t xml:space="preserve">discontinued in 2019, with some data items moved to the </w:t>
      </w:r>
      <w:r w:rsidR="00371950" w:rsidRPr="0094455B">
        <w:rPr>
          <w:i/>
        </w:rPr>
        <w:t xml:space="preserve">Reporting Standard ARS 223.0 Residential Mortgage Lending </w:t>
      </w:r>
      <w:r w:rsidR="00371950" w:rsidRPr="0094455B">
        <w:t>and other data items moved to the new</w:t>
      </w:r>
      <w:r w:rsidR="00C3645B" w:rsidRPr="0094455B">
        <w:t xml:space="preserve"> EFS </w:t>
      </w:r>
      <w:r w:rsidR="00371950" w:rsidRPr="0094455B">
        <w:rPr>
          <w:i/>
        </w:rPr>
        <w:t>Reporting Standard</w:t>
      </w:r>
      <w:r w:rsidR="00371950" w:rsidRPr="0094455B">
        <w:t xml:space="preserve"> </w:t>
      </w:r>
      <w:r w:rsidR="00371950" w:rsidRPr="0094455B">
        <w:rPr>
          <w:i/>
        </w:rPr>
        <w:t xml:space="preserve">ARS 743.0 </w:t>
      </w:r>
      <w:r w:rsidR="00371950" w:rsidRPr="0094455B">
        <w:rPr>
          <w:i/>
          <w:iCs/>
        </w:rPr>
        <w:t>ABS/RBA Housing Finance</w:t>
      </w:r>
      <w:r w:rsidR="005D5C98" w:rsidRPr="0094455B">
        <w:t>.</w:t>
      </w:r>
    </w:p>
    <w:p w14:paraId="270875B9" w14:textId="77777777" w:rsidR="00C82862" w:rsidRPr="00C82862" w:rsidRDefault="00C82862" w:rsidP="00C82862">
      <w:pPr>
        <w:keepNext/>
        <w:numPr>
          <w:ilvl w:val="0"/>
          <w:numId w:val="16"/>
        </w:numPr>
        <w:spacing w:before="240"/>
        <w:outlineLvl w:val="0"/>
        <w:rPr>
          <w:rFonts w:ascii="Times New Roman" w:hAnsi="Times New Roman"/>
          <w:b/>
          <w:sz w:val="24"/>
        </w:rPr>
      </w:pPr>
      <w:bookmarkStart w:id="7" w:name="bkPurpose"/>
      <w:bookmarkStart w:id="8" w:name="bkConsultationNo"/>
      <w:bookmarkEnd w:id="7"/>
      <w:bookmarkEnd w:id="8"/>
      <w:r w:rsidRPr="00C82862">
        <w:rPr>
          <w:rFonts w:ascii="Times New Roman" w:hAnsi="Times New Roman"/>
          <w:b/>
          <w:sz w:val="24"/>
        </w:rPr>
        <w:t>Purpose and operation of the instruments</w:t>
      </w:r>
    </w:p>
    <w:p w14:paraId="39D533BF" w14:textId="46BCF729" w:rsidR="00021773" w:rsidRDefault="00C82862" w:rsidP="003723F1">
      <w:pPr>
        <w:pStyle w:val="Paragraph"/>
      </w:pPr>
      <w:r w:rsidRPr="00C82862">
        <w:t>The purpose and operation of the determinations is to allow the</w:t>
      </w:r>
      <w:r w:rsidR="00D214BF">
        <w:t xml:space="preserve"> above</w:t>
      </w:r>
      <w:r w:rsidRPr="00C82862">
        <w:t xml:space="preserve"> reporting standards to continue </w:t>
      </w:r>
      <w:r w:rsidR="00CC0188">
        <w:t xml:space="preserve">in their current </w:t>
      </w:r>
      <w:r w:rsidR="001A2F9D">
        <w:t xml:space="preserve">form </w:t>
      </w:r>
      <w:r w:rsidRPr="00C82862">
        <w:t xml:space="preserve">without any </w:t>
      </w:r>
      <w:r w:rsidR="00CC0188">
        <w:t xml:space="preserve">significant </w:t>
      </w:r>
      <w:r w:rsidRPr="00C82862">
        <w:t>changes.</w:t>
      </w:r>
      <w:r w:rsidR="00CC0188">
        <w:t xml:space="preserve"> The due dates, data required and the </w:t>
      </w:r>
      <w:r w:rsidR="00BD511C">
        <w:t>application of</w:t>
      </w:r>
      <w:r w:rsidR="00CC0188">
        <w:t xml:space="preserve"> the reporting standards have not changed</w:t>
      </w:r>
      <w:r w:rsidR="00811142">
        <w:t>, although redundant references to specialised credit card institutions have been removed</w:t>
      </w:r>
      <w:r w:rsidR="00CC0188">
        <w:t xml:space="preserve">. </w:t>
      </w:r>
      <w:r w:rsidR="00047B79" w:rsidDel="00047B79">
        <w:t xml:space="preserve"> </w:t>
      </w:r>
    </w:p>
    <w:p w14:paraId="19F3AEE2" w14:textId="34D41268" w:rsidR="007B4AC3" w:rsidRPr="007B4AC3" w:rsidRDefault="0092649A" w:rsidP="007B4AC3">
      <w:pPr>
        <w:rPr>
          <w:rFonts w:ascii="Times New Roman" w:hAnsi="Times New Roman"/>
          <w:sz w:val="24"/>
        </w:rPr>
      </w:pPr>
      <w:r>
        <w:rPr>
          <w:rFonts w:ascii="Times New Roman" w:hAnsi="Times New Roman"/>
          <w:sz w:val="24"/>
        </w:rPr>
        <w:t>In the reporting standards, u</w:t>
      </w:r>
      <w:r w:rsidRPr="0092649A">
        <w:rPr>
          <w:rFonts w:ascii="Times New Roman" w:hAnsi="Times New Roman"/>
          <w:sz w:val="24"/>
        </w:rPr>
        <w:t>nless the contrary intention appears, a reference to an Act, Prudential Standard, Reporting Standard, Australian Accounting or Auditing Standard is a reference to the instrument as in force from time to time.</w:t>
      </w:r>
      <w:r>
        <w:rPr>
          <w:rFonts w:ascii="Times New Roman" w:hAnsi="Times New Roman"/>
          <w:sz w:val="24"/>
        </w:rPr>
        <w:t xml:space="preserve">  </w:t>
      </w:r>
      <w:r w:rsidR="00A07B7C" w:rsidRPr="0092649A">
        <w:rPr>
          <w:rFonts w:ascii="Times New Roman" w:hAnsi="Times New Roman"/>
          <w:sz w:val="24"/>
        </w:rPr>
        <w:t xml:space="preserve">The </w:t>
      </w:r>
      <w:r>
        <w:rPr>
          <w:rFonts w:ascii="Times New Roman" w:hAnsi="Times New Roman"/>
          <w:sz w:val="24"/>
        </w:rPr>
        <w:t>reporting s</w:t>
      </w:r>
      <w:r w:rsidR="00A07B7C" w:rsidRPr="0092649A">
        <w:rPr>
          <w:rFonts w:ascii="Times New Roman" w:hAnsi="Times New Roman"/>
          <w:sz w:val="24"/>
        </w:rPr>
        <w:t>tandards also make reference to</w:t>
      </w:r>
      <w:r w:rsidR="00921F39">
        <w:rPr>
          <w:rFonts w:ascii="Times New Roman" w:hAnsi="Times New Roman"/>
          <w:sz w:val="24"/>
        </w:rPr>
        <w:t xml:space="preserve"> </w:t>
      </w:r>
      <w:r w:rsidR="00A07B7C" w:rsidRPr="0092649A">
        <w:rPr>
          <w:rFonts w:ascii="Times New Roman" w:hAnsi="Times New Roman"/>
          <w:i/>
          <w:sz w:val="24"/>
        </w:rPr>
        <w:t xml:space="preserve">Prudential Practice Guide APG 113 Internal Ratings-based Approach to Credit Risk </w:t>
      </w:r>
      <w:r w:rsidR="00A07B7C" w:rsidRPr="0092649A">
        <w:rPr>
          <w:rFonts w:ascii="Times New Roman" w:hAnsi="Times New Roman"/>
          <w:sz w:val="24"/>
        </w:rPr>
        <w:t>dated January 2013</w:t>
      </w:r>
      <w:r>
        <w:rPr>
          <w:rStyle w:val="FootnoteReference"/>
        </w:rPr>
        <w:footnoteReference w:id="2"/>
      </w:r>
      <w:r w:rsidR="007B4AC3">
        <w:rPr>
          <w:rFonts w:ascii="Times New Roman" w:hAnsi="Times New Roman"/>
          <w:sz w:val="24"/>
        </w:rPr>
        <w:t xml:space="preserve">, </w:t>
      </w:r>
      <w:r w:rsidR="00921F39" w:rsidRPr="00921F39">
        <w:rPr>
          <w:rFonts w:ascii="Times New Roman" w:hAnsi="Times New Roman"/>
          <w:i/>
          <w:sz w:val="24"/>
        </w:rPr>
        <w:t xml:space="preserve">Australian and New Zealand Standard Industrial Classifications – Australian Bureau of </w:t>
      </w:r>
      <w:r w:rsidR="00921F39" w:rsidRPr="00921F39">
        <w:rPr>
          <w:rFonts w:ascii="Times New Roman" w:hAnsi="Times New Roman"/>
          <w:i/>
          <w:sz w:val="24"/>
        </w:rPr>
        <w:lastRenderedPageBreak/>
        <w:t xml:space="preserve">Statistics </w:t>
      </w:r>
      <w:r w:rsidR="00921F39" w:rsidRPr="00921F39">
        <w:rPr>
          <w:rFonts w:ascii="Times New Roman" w:hAnsi="Times New Roman"/>
          <w:i/>
          <w:sz w:val="24"/>
          <w:lang w:val="en-US"/>
        </w:rPr>
        <w:t>publication (Catalogue No. 1292.0) – February 2006</w:t>
      </w:r>
      <w:r w:rsidR="00F9555D">
        <w:rPr>
          <w:rFonts w:ascii="Times New Roman" w:hAnsi="Times New Roman"/>
          <w:i/>
          <w:sz w:val="24"/>
          <w:lang w:val="en-US"/>
        </w:rPr>
        <w:t>,</w:t>
      </w:r>
      <w:r w:rsidR="00921F39">
        <w:rPr>
          <w:rStyle w:val="FootnoteReference"/>
          <w:i/>
          <w:lang w:val="en-US"/>
        </w:rPr>
        <w:footnoteReference w:id="3"/>
      </w:r>
      <w:r w:rsidR="007B4AC3">
        <w:rPr>
          <w:rFonts w:ascii="Times New Roman" w:hAnsi="Times New Roman"/>
          <w:i/>
          <w:sz w:val="24"/>
          <w:lang w:val="en-US"/>
        </w:rPr>
        <w:t xml:space="preserve"> </w:t>
      </w:r>
      <w:r w:rsidR="007B4AC3" w:rsidRPr="007B4AC3">
        <w:rPr>
          <w:rFonts w:ascii="Times New Roman" w:hAnsi="Times New Roman"/>
          <w:sz w:val="24"/>
        </w:rPr>
        <w:t xml:space="preserve">International Financial Reporting Standards, being standards </w:t>
      </w:r>
      <w:r w:rsidR="00DD0A3F">
        <w:rPr>
          <w:rFonts w:ascii="Times New Roman" w:hAnsi="Times New Roman"/>
          <w:sz w:val="24"/>
        </w:rPr>
        <w:t>set</w:t>
      </w:r>
      <w:r w:rsidR="007B4AC3" w:rsidRPr="007B4AC3">
        <w:rPr>
          <w:rFonts w:ascii="Times New Roman" w:hAnsi="Times New Roman"/>
          <w:sz w:val="24"/>
        </w:rPr>
        <w:t xml:space="preserve"> by the International Accounting Standards Board, as in force at 1 April 2018</w:t>
      </w:r>
      <w:r w:rsidR="007B4AC3">
        <w:rPr>
          <w:rStyle w:val="FootnoteReference"/>
        </w:rPr>
        <w:footnoteReference w:id="4"/>
      </w:r>
      <w:r w:rsidR="00F9555D">
        <w:rPr>
          <w:rFonts w:ascii="Times New Roman" w:hAnsi="Times New Roman"/>
          <w:sz w:val="24"/>
        </w:rPr>
        <w:t xml:space="preserve"> and </w:t>
      </w:r>
      <w:r w:rsidR="00F9555D">
        <w:rPr>
          <w:rFonts w:ascii="Times New Roman" w:hAnsi="Times New Roman"/>
          <w:i/>
          <w:sz w:val="24"/>
        </w:rPr>
        <w:t>International Organisation for Standardization (ISO) ISO 4217:2015 Currency names and code elements</w:t>
      </w:r>
      <w:r w:rsidR="00F9555D">
        <w:rPr>
          <w:rStyle w:val="FootnoteReference"/>
          <w:i/>
        </w:rPr>
        <w:footnoteReference w:id="5"/>
      </w:r>
      <w:r w:rsidR="007B4AC3">
        <w:rPr>
          <w:rFonts w:ascii="Times New Roman" w:hAnsi="Times New Roman"/>
          <w:sz w:val="24"/>
        </w:rPr>
        <w:t>.</w:t>
      </w:r>
    </w:p>
    <w:p w14:paraId="7E381D4D" w14:textId="598AF1C5" w:rsidR="00C82862" w:rsidRPr="00C82862" w:rsidRDefault="00C82862" w:rsidP="008D6464">
      <w:pPr>
        <w:pStyle w:val="Paragraph"/>
        <w:numPr>
          <w:ilvl w:val="0"/>
          <w:numId w:val="16"/>
        </w:numPr>
        <w:rPr>
          <w:b/>
        </w:rPr>
      </w:pPr>
      <w:r w:rsidRPr="00C82862">
        <w:rPr>
          <w:b/>
        </w:rPr>
        <w:t>Consultation</w:t>
      </w:r>
    </w:p>
    <w:p w14:paraId="548B59E2" w14:textId="77777777" w:rsidR="008A5653" w:rsidRPr="008A5653" w:rsidRDefault="008A5653" w:rsidP="008D6464">
      <w:pPr>
        <w:pStyle w:val="TableTextform"/>
        <w:spacing w:before="60"/>
        <w:jc w:val="both"/>
        <w:rPr>
          <w:rFonts w:ascii="Times New Roman" w:hAnsi="Times New Roman" w:cs="Times New Roman"/>
          <w:sz w:val="24"/>
          <w:szCs w:val="24"/>
        </w:rPr>
      </w:pPr>
      <w:bookmarkStart w:id="9" w:name="bkConsultation"/>
      <w:bookmarkStart w:id="10" w:name="OLE_LINK1"/>
      <w:bookmarkEnd w:id="9"/>
      <w:r w:rsidRPr="008A5653">
        <w:rPr>
          <w:rFonts w:ascii="Times New Roman" w:hAnsi="Times New Roman" w:cs="Times New Roman"/>
          <w:sz w:val="24"/>
          <w:szCs w:val="24"/>
        </w:rPr>
        <w:t>Remaking the reporting standards continues existing reporting requirements, pending replacement by the EFS collection or as part of the Basel 3b work. In consultation on the EFS collection, APRA informed affected ADIs and RFCs that existing reporting requirements are expected to continue until the new EFS reporting standards take effect. The key users of these data, the ABS and RBA, have been consulted on the need to remake these standards and ensure no break in statistical series.</w:t>
      </w:r>
    </w:p>
    <w:p w14:paraId="13462D2A" w14:textId="761E0AC6" w:rsidR="008A5653" w:rsidRPr="008A5653" w:rsidRDefault="008A5653" w:rsidP="008A5653">
      <w:pPr>
        <w:rPr>
          <w:rFonts w:ascii="Times New Roman" w:hAnsi="Times New Roman"/>
          <w:sz w:val="24"/>
        </w:rPr>
      </w:pPr>
      <w:r w:rsidRPr="008A5653">
        <w:rPr>
          <w:rFonts w:ascii="Times New Roman" w:hAnsi="Times New Roman"/>
          <w:sz w:val="24"/>
        </w:rPr>
        <w:t xml:space="preserve">The reporting standards </w:t>
      </w:r>
      <w:r w:rsidR="00782737">
        <w:rPr>
          <w:rFonts w:ascii="Times New Roman" w:hAnsi="Times New Roman"/>
          <w:sz w:val="24"/>
        </w:rPr>
        <w:t>we</w:t>
      </w:r>
      <w:r w:rsidRPr="008A5653">
        <w:rPr>
          <w:rFonts w:ascii="Times New Roman" w:hAnsi="Times New Roman"/>
          <w:sz w:val="24"/>
        </w:rPr>
        <w:t xml:space="preserve">re due to sunset 1 April 2018. Due to the short timeframe, APRA </w:t>
      </w:r>
      <w:r w:rsidR="00782737">
        <w:rPr>
          <w:rFonts w:ascii="Times New Roman" w:hAnsi="Times New Roman"/>
          <w:sz w:val="24"/>
        </w:rPr>
        <w:t>considered that</w:t>
      </w:r>
      <w:r w:rsidRPr="008A5653">
        <w:rPr>
          <w:rFonts w:ascii="Times New Roman" w:hAnsi="Times New Roman"/>
          <w:sz w:val="24"/>
        </w:rPr>
        <w:t xml:space="preserve"> conducting extensive additional consultation w</w:t>
      </w:r>
      <w:r w:rsidR="00782737">
        <w:rPr>
          <w:rFonts w:ascii="Times New Roman" w:hAnsi="Times New Roman"/>
          <w:sz w:val="24"/>
        </w:rPr>
        <w:t>as</w:t>
      </w:r>
      <w:r w:rsidRPr="008A5653">
        <w:rPr>
          <w:rFonts w:ascii="Times New Roman" w:hAnsi="Times New Roman"/>
          <w:sz w:val="24"/>
        </w:rPr>
        <w:t xml:space="preserve"> not feasible.</w:t>
      </w:r>
    </w:p>
    <w:p w14:paraId="3EC3FB9E" w14:textId="77777777" w:rsidR="00C82862" w:rsidRPr="00C82862" w:rsidRDefault="00C82862" w:rsidP="00C82862">
      <w:pPr>
        <w:keepNext/>
        <w:numPr>
          <w:ilvl w:val="0"/>
          <w:numId w:val="16"/>
        </w:numPr>
        <w:spacing w:before="240"/>
        <w:outlineLvl w:val="0"/>
        <w:rPr>
          <w:rFonts w:ascii="Times New Roman" w:hAnsi="Times New Roman"/>
          <w:b/>
          <w:sz w:val="24"/>
        </w:rPr>
      </w:pPr>
      <w:r w:rsidRPr="00C82862">
        <w:rPr>
          <w:rFonts w:ascii="Times New Roman" w:hAnsi="Times New Roman"/>
          <w:b/>
          <w:sz w:val="24"/>
        </w:rPr>
        <w:t>Regulation Impact Statement</w:t>
      </w:r>
    </w:p>
    <w:p w14:paraId="7F98C525" w14:textId="3BE4C2C6" w:rsidR="00C82862" w:rsidRPr="00C82862" w:rsidRDefault="00C82862" w:rsidP="003723F1">
      <w:pPr>
        <w:pStyle w:val="Paragraph"/>
      </w:pPr>
      <w:r w:rsidRPr="00C82862">
        <w:t xml:space="preserve">The Office of Best Practice Regulation has advised that a Regulation Impact Statement is not required for </w:t>
      </w:r>
      <w:r w:rsidR="00427B93">
        <w:t>these</w:t>
      </w:r>
      <w:r w:rsidR="00427B93" w:rsidRPr="00C82862">
        <w:t xml:space="preserve"> </w:t>
      </w:r>
      <w:r w:rsidRPr="00C82862">
        <w:t>legislative instrument</w:t>
      </w:r>
      <w:r w:rsidR="00427B93">
        <w:t>s</w:t>
      </w:r>
      <w:r w:rsidRPr="00C82862">
        <w:t>.</w:t>
      </w:r>
    </w:p>
    <w:p w14:paraId="22D01A19" w14:textId="77777777" w:rsidR="00C82862" w:rsidRPr="00C82862" w:rsidRDefault="00C82862" w:rsidP="00C82862">
      <w:pPr>
        <w:keepNext/>
        <w:numPr>
          <w:ilvl w:val="0"/>
          <w:numId w:val="16"/>
        </w:numPr>
        <w:spacing w:before="240"/>
        <w:outlineLvl w:val="0"/>
        <w:rPr>
          <w:rFonts w:ascii="Times New Roman" w:hAnsi="Times New Roman"/>
          <w:b/>
          <w:sz w:val="24"/>
        </w:rPr>
      </w:pPr>
      <w:r w:rsidRPr="00C82862">
        <w:rPr>
          <w:rFonts w:ascii="Times New Roman" w:hAnsi="Times New Roman"/>
          <w:b/>
          <w:sz w:val="24"/>
        </w:rPr>
        <w:t>Statement of compatibility prepared in accordance with Part 3 of the Human Rights (Parliamentary Scrutiny) Act 2011</w:t>
      </w:r>
    </w:p>
    <w:p w14:paraId="2485FC16" w14:textId="77777777" w:rsidR="00C82862" w:rsidRPr="00C82862" w:rsidRDefault="00C82862" w:rsidP="003723F1">
      <w:pPr>
        <w:pStyle w:val="Paragraph"/>
      </w:pPr>
      <w:r w:rsidRPr="00C82862">
        <w:t xml:space="preserve">A Statement of compatibility prepared in accordance with Part 3 of the </w:t>
      </w:r>
      <w:r w:rsidRPr="00C82862">
        <w:rPr>
          <w:i/>
        </w:rPr>
        <w:t>Human Rights (Parliamentary Scrutiny) Act 2011</w:t>
      </w:r>
      <w:r w:rsidRPr="00C82862">
        <w:t xml:space="preserve"> is provided at Attachment A to this Explanatory Statement.</w:t>
      </w:r>
    </w:p>
    <w:p w14:paraId="4324AB03" w14:textId="77777777" w:rsidR="00C82862" w:rsidRPr="00C82862" w:rsidRDefault="00C82862" w:rsidP="00C82862">
      <w:pPr>
        <w:autoSpaceDE w:val="0"/>
        <w:autoSpaceDN w:val="0"/>
        <w:adjustRightInd w:val="0"/>
        <w:spacing w:before="240"/>
        <w:rPr>
          <w:rFonts w:ascii="Times New Roman" w:eastAsia="Calibri" w:hAnsi="Times New Roman"/>
          <w:b/>
          <w:bCs/>
          <w:sz w:val="24"/>
        </w:rPr>
      </w:pPr>
      <w:r w:rsidRPr="00C82862">
        <w:rPr>
          <w:rFonts w:ascii="Times New Roman" w:hAnsi="Times New Roman"/>
          <w:b/>
          <w:sz w:val="24"/>
        </w:rPr>
        <w:br w:type="page"/>
      </w:r>
      <w:r w:rsidRPr="00C82862">
        <w:rPr>
          <w:rFonts w:ascii="Times New Roman" w:eastAsia="Calibri" w:hAnsi="Times New Roman"/>
          <w:b/>
          <w:bCs/>
          <w:sz w:val="24"/>
        </w:rPr>
        <w:lastRenderedPageBreak/>
        <w:t>Attachment A</w:t>
      </w:r>
    </w:p>
    <w:p w14:paraId="70C175D1" w14:textId="77777777" w:rsidR="00C82862" w:rsidRPr="00C82862" w:rsidRDefault="00C82862" w:rsidP="00C82862">
      <w:pPr>
        <w:autoSpaceDE w:val="0"/>
        <w:autoSpaceDN w:val="0"/>
        <w:adjustRightInd w:val="0"/>
        <w:jc w:val="center"/>
        <w:rPr>
          <w:rFonts w:ascii="Times New Roman" w:eastAsia="Calibri" w:hAnsi="Times New Roman"/>
          <w:b/>
          <w:bCs/>
          <w:sz w:val="24"/>
        </w:rPr>
      </w:pPr>
      <w:r w:rsidRPr="00C82862">
        <w:rPr>
          <w:rFonts w:ascii="Times New Roman" w:eastAsia="Calibri" w:hAnsi="Times New Roman"/>
          <w:b/>
          <w:bCs/>
          <w:sz w:val="24"/>
        </w:rPr>
        <w:t>Statement of Compatibility with Human Rights</w:t>
      </w:r>
    </w:p>
    <w:p w14:paraId="48D1CA10" w14:textId="77777777" w:rsidR="00C82862" w:rsidRPr="00C82862" w:rsidRDefault="00C82862" w:rsidP="003723F1">
      <w:pPr>
        <w:pStyle w:val="Paragraph"/>
        <w:jc w:val="center"/>
        <w:rPr>
          <w:rFonts w:eastAsia="Calibri"/>
        </w:rPr>
      </w:pPr>
      <w:r w:rsidRPr="00C82862">
        <w:rPr>
          <w:rFonts w:eastAsia="Calibri"/>
        </w:rPr>
        <w:t xml:space="preserve">Prepared in accordance with Part 3 of the </w:t>
      </w:r>
      <w:r w:rsidRPr="003723F1">
        <w:rPr>
          <w:rFonts w:eastAsia="Calibri"/>
          <w:i/>
        </w:rPr>
        <w:t>Human Rights (Parliamentary Scrutiny) Act 2011</w:t>
      </w:r>
    </w:p>
    <w:p w14:paraId="33419A76" w14:textId="21E7A9DE" w:rsidR="00C82862" w:rsidRPr="00C82862" w:rsidRDefault="00C82862" w:rsidP="00C82862">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 xml:space="preserve">Financial Sector (Collection of Data) (reporting standard) determination </w:t>
      </w:r>
      <w:r w:rsidRPr="0094455B">
        <w:rPr>
          <w:rFonts w:ascii="Times New Roman" w:eastAsia="Calibri" w:hAnsi="Times New Roman"/>
          <w:b/>
          <w:bCs/>
          <w:sz w:val="24"/>
        </w:rPr>
        <w:t xml:space="preserve">Nos. </w:t>
      </w:r>
      <w:r w:rsidR="006D3ADD" w:rsidRPr="0094455B">
        <w:rPr>
          <w:rFonts w:ascii="Times New Roman" w:eastAsia="Calibri" w:hAnsi="Times New Roman"/>
          <w:b/>
          <w:bCs/>
          <w:sz w:val="24"/>
        </w:rPr>
        <w:t>3</w:t>
      </w:r>
      <w:r w:rsidRPr="0094455B">
        <w:rPr>
          <w:rFonts w:ascii="Times New Roman" w:eastAsia="Calibri" w:hAnsi="Times New Roman"/>
          <w:b/>
          <w:bCs/>
          <w:sz w:val="24"/>
        </w:rPr>
        <w:t xml:space="preserve"> to </w:t>
      </w:r>
      <w:r w:rsidR="006D3ADD" w:rsidRPr="0094455B">
        <w:rPr>
          <w:rFonts w:ascii="Times New Roman" w:eastAsia="Calibri" w:hAnsi="Times New Roman"/>
          <w:b/>
          <w:bCs/>
          <w:sz w:val="24"/>
        </w:rPr>
        <w:t>36</w:t>
      </w:r>
      <w:r w:rsidRPr="0094455B">
        <w:rPr>
          <w:rFonts w:ascii="Times New Roman" w:eastAsia="Calibri" w:hAnsi="Times New Roman"/>
          <w:b/>
          <w:bCs/>
          <w:sz w:val="24"/>
        </w:rPr>
        <w:t xml:space="preserve"> of 2018</w:t>
      </w:r>
    </w:p>
    <w:p w14:paraId="76CF61C1" w14:textId="54522F0B" w:rsidR="00C82862" w:rsidRPr="00C82862" w:rsidRDefault="00C82862" w:rsidP="003723F1">
      <w:pPr>
        <w:pStyle w:val="Paragraph"/>
        <w:rPr>
          <w:rFonts w:eastAsia="Calibri"/>
        </w:rPr>
      </w:pPr>
      <w:r w:rsidRPr="00C82862">
        <w:rPr>
          <w:rFonts w:eastAsia="Calibri"/>
        </w:rPr>
        <w:t>Th</w:t>
      </w:r>
      <w:r w:rsidR="00427B93">
        <w:rPr>
          <w:rFonts w:eastAsia="Calibri"/>
        </w:rPr>
        <w:t>ese</w:t>
      </w:r>
      <w:r w:rsidRPr="00C82862">
        <w:rPr>
          <w:rFonts w:eastAsia="Calibri"/>
        </w:rPr>
        <w:t xml:space="preserve"> Legislative Instrument</w:t>
      </w:r>
      <w:r w:rsidR="00427B93">
        <w:rPr>
          <w:rFonts w:eastAsia="Calibri"/>
        </w:rPr>
        <w:t>s are</w:t>
      </w:r>
      <w:r w:rsidRPr="00C82862">
        <w:rPr>
          <w:rFonts w:eastAsia="Calibri"/>
        </w:rPr>
        <w:t xml:space="preserve"> compatible with the human rights and freedoms recognised or declared in the international instruments listed in section 3 of the </w:t>
      </w:r>
      <w:r w:rsidRPr="00C82862">
        <w:rPr>
          <w:rFonts w:eastAsia="Calibri"/>
          <w:i/>
          <w:iCs/>
        </w:rPr>
        <w:t xml:space="preserve">Human Rights (Parliamentary Scrutiny) Act 2011 </w:t>
      </w:r>
      <w:r w:rsidRPr="00C82862">
        <w:rPr>
          <w:rFonts w:eastAsia="Calibri"/>
        </w:rPr>
        <w:t>(HRPS Act)</w:t>
      </w:r>
      <w:r w:rsidRPr="00C82862">
        <w:rPr>
          <w:rFonts w:eastAsia="Calibri"/>
          <w:i/>
          <w:iCs/>
        </w:rPr>
        <w:t>.</w:t>
      </w:r>
    </w:p>
    <w:p w14:paraId="0CE60E7F" w14:textId="77777777" w:rsidR="00C82862" w:rsidRPr="00C82862" w:rsidRDefault="00C82862" w:rsidP="00C82862">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Overview of the Legislative Instruments</w:t>
      </w:r>
    </w:p>
    <w:p w14:paraId="6AD69577" w14:textId="423AD214" w:rsidR="00171A6B" w:rsidRDefault="00C82862" w:rsidP="003723F1">
      <w:pPr>
        <w:pStyle w:val="Paragraph"/>
        <w:rPr>
          <w:rFonts w:eastAsia="Calibri"/>
        </w:rPr>
      </w:pPr>
      <w:r w:rsidRPr="00C82862">
        <w:rPr>
          <w:rFonts w:eastAsia="Calibri"/>
        </w:rPr>
        <w:t>The</w:t>
      </w:r>
      <w:r w:rsidR="004C22D9">
        <w:rPr>
          <w:rFonts w:eastAsia="Calibri"/>
        </w:rPr>
        <w:t xml:space="preserve">se legislative instruments </w:t>
      </w:r>
      <w:r w:rsidR="00171A6B">
        <w:rPr>
          <w:rFonts w:eastAsia="Calibri"/>
        </w:rPr>
        <w:t xml:space="preserve">remake those reporting standards, applying to Authorised Deposit-taking Institutions, which are due to sunset on 1 April 2018 and 1 October 2018. The data collected under these reporting standards is used </w:t>
      </w:r>
      <w:r w:rsidR="00B724C2">
        <w:rPr>
          <w:rFonts w:eastAsia="Calibri"/>
        </w:rPr>
        <w:t xml:space="preserve">by APRA for the purposes of monitoring capital adequacy and supervisory analysis. The data collected under these reporting standards is also used by the Reserve Bank of Australia and the Australian Bureau of </w:t>
      </w:r>
      <w:r w:rsidR="00973B0D">
        <w:rPr>
          <w:rFonts w:eastAsia="Calibri"/>
        </w:rPr>
        <w:t>Statistics to assist them with their functions.</w:t>
      </w:r>
    </w:p>
    <w:p w14:paraId="25AD4786" w14:textId="4BC37527" w:rsidR="00754A71" w:rsidRDefault="00171A6B" w:rsidP="007E1DF6">
      <w:pPr>
        <w:pStyle w:val="Paragraph"/>
        <w:rPr>
          <w:rFonts w:eastAsia="Calibri"/>
        </w:rPr>
      </w:pPr>
      <w:r>
        <w:rPr>
          <w:rFonts w:eastAsia="Calibri"/>
        </w:rPr>
        <w:t>These legislative instruments also remake the reporting standard, applying to Registered Financial Corporations, which is due to sunset on 1 April 2018.</w:t>
      </w:r>
      <w:r w:rsidR="00C82862" w:rsidRPr="00C82862">
        <w:rPr>
          <w:rFonts w:eastAsia="Calibri"/>
        </w:rPr>
        <w:t xml:space="preserve"> </w:t>
      </w:r>
      <w:r>
        <w:rPr>
          <w:rFonts w:eastAsia="Calibri"/>
        </w:rPr>
        <w:t xml:space="preserve">The data collected under this reporting standard </w:t>
      </w:r>
      <w:r>
        <w:t>is used by the Reserve Bank of Australia and the Australian Bureau of Statistics to assist them with their functions. APRA collects the data on behalf of these agencies.</w:t>
      </w:r>
      <w:r w:rsidR="00C82862" w:rsidRPr="00C82862">
        <w:rPr>
          <w:rFonts w:eastAsia="Calibri"/>
        </w:rPr>
        <w:t xml:space="preserve"> </w:t>
      </w:r>
    </w:p>
    <w:p w14:paraId="77666F19" w14:textId="1DBEDE16" w:rsidR="00973B0D" w:rsidRPr="00C82862" w:rsidRDefault="00973B0D" w:rsidP="007E1DF6">
      <w:pPr>
        <w:pStyle w:val="Paragraph"/>
        <w:rPr>
          <w:rFonts w:eastAsia="Calibri"/>
        </w:rPr>
      </w:pPr>
      <w:r>
        <w:rPr>
          <w:rFonts w:eastAsia="Calibri"/>
        </w:rPr>
        <w:t>No personal information is collected by APRA under these reporting standards</w:t>
      </w:r>
      <w:r w:rsidR="00EF05A8">
        <w:rPr>
          <w:rFonts w:eastAsia="Calibri"/>
        </w:rPr>
        <w:t>.</w:t>
      </w:r>
      <w:r>
        <w:rPr>
          <w:rFonts w:eastAsia="Calibri"/>
        </w:rPr>
        <w:t xml:space="preserve"> </w:t>
      </w:r>
      <w:r w:rsidR="00EF05A8">
        <w:rPr>
          <w:rFonts w:eastAsia="Calibri"/>
        </w:rPr>
        <w:t>Consequently</w:t>
      </w:r>
      <w:r>
        <w:rPr>
          <w:rFonts w:eastAsia="Calibri"/>
        </w:rPr>
        <w:t>, APRA is of the view that these legislative instruments do not raise any human rights issues.</w:t>
      </w:r>
    </w:p>
    <w:p w14:paraId="1244937C" w14:textId="77777777" w:rsidR="00C82862" w:rsidRPr="00C82862" w:rsidRDefault="00C82862" w:rsidP="00C82862">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Human rights implications</w:t>
      </w:r>
    </w:p>
    <w:p w14:paraId="6BDAC2ED" w14:textId="3FE8856C" w:rsidR="00C82862" w:rsidRPr="00C82862" w:rsidRDefault="00C82862" w:rsidP="003723F1">
      <w:pPr>
        <w:pStyle w:val="Paragraph"/>
        <w:rPr>
          <w:rFonts w:eastAsia="Calibri"/>
        </w:rPr>
      </w:pPr>
      <w:r w:rsidRPr="00C82862">
        <w:rPr>
          <w:rFonts w:eastAsia="Calibri"/>
        </w:rPr>
        <w:t>APRA has assessed the instrument</w:t>
      </w:r>
      <w:r w:rsidR="00427B93">
        <w:rPr>
          <w:rFonts w:eastAsia="Calibri"/>
        </w:rPr>
        <w:t>s</w:t>
      </w:r>
      <w:r w:rsidRPr="00C82862">
        <w:rPr>
          <w:rFonts w:eastAsia="Calibri"/>
        </w:rPr>
        <w:t xml:space="preserve"> and is of the view that </w:t>
      </w:r>
      <w:r w:rsidR="00427B93">
        <w:rPr>
          <w:rFonts w:eastAsia="Calibri"/>
        </w:rPr>
        <w:t xml:space="preserve">they </w:t>
      </w:r>
      <w:r w:rsidR="00811142">
        <w:rPr>
          <w:rFonts w:eastAsia="Calibri"/>
        </w:rPr>
        <w:t xml:space="preserve">do </w:t>
      </w:r>
      <w:r w:rsidR="00811142" w:rsidRPr="00C82862">
        <w:rPr>
          <w:rFonts w:eastAsia="Calibri"/>
        </w:rPr>
        <w:t>not</w:t>
      </w:r>
      <w:r w:rsidRPr="00C82862">
        <w:rPr>
          <w:rFonts w:eastAsia="Calibri"/>
        </w:rPr>
        <w:t xml:space="preserve"> engage any of the applicable rights or freedoms recognised or declared in the international instruments listed in section 3 of the HRPS Act. Accordingly, in APRA’s assessment the instrument</w:t>
      </w:r>
      <w:r w:rsidR="00427B93">
        <w:rPr>
          <w:rFonts w:eastAsia="Calibri"/>
        </w:rPr>
        <w:t>s are</w:t>
      </w:r>
      <w:r w:rsidRPr="00C82862">
        <w:rPr>
          <w:rFonts w:eastAsia="Calibri"/>
        </w:rPr>
        <w:t xml:space="preserve"> compatible with human rights.</w:t>
      </w:r>
    </w:p>
    <w:p w14:paraId="4274F7DB" w14:textId="77777777" w:rsidR="00C82862" w:rsidRPr="00C82862" w:rsidRDefault="00C82862" w:rsidP="00C82862">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Conclusion</w:t>
      </w:r>
    </w:p>
    <w:p w14:paraId="658CDD07" w14:textId="79DA9315" w:rsidR="00B531B4" w:rsidRPr="008803C3" w:rsidRDefault="00C82862" w:rsidP="008803C3">
      <w:pPr>
        <w:pStyle w:val="Paragraph"/>
        <w:rPr>
          <w:rFonts w:eastAsia="Calibri"/>
        </w:rPr>
      </w:pPr>
      <w:r w:rsidRPr="00C82862">
        <w:rPr>
          <w:rFonts w:eastAsia="Calibri"/>
        </w:rPr>
        <w:lastRenderedPageBreak/>
        <w:t>The</w:t>
      </w:r>
      <w:r w:rsidR="007D54E6">
        <w:rPr>
          <w:rFonts w:eastAsia="Calibri"/>
        </w:rPr>
        <w:t>se</w:t>
      </w:r>
      <w:r w:rsidRPr="00C82862">
        <w:rPr>
          <w:rFonts w:eastAsia="Calibri"/>
        </w:rPr>
        <w:t xml:space="preserve"> Legislative Instrument</w:t>
      </w:r>
      <w:r w:rsidR="007D54E6">
        <w:rPr>
          <w:rFonts w:eastAsia="Calibri"/>
        </w:rPr>
        <w:t>s are</w:t>
      </w:r>
      <w:r w:rsidRPr="00C82862">
        <w:rPr>
          <w:rFonts w:eastAsia="Calibri"/>
        </w:rPr>
        <w:t xml:space="preserve"> compatible with human rights as </w:t>
      </w:r>
      <w:r w:rsidR="007D54E6">
        <w:rPr>
          <w:rFonts w:eastAsia="Calibri"/>
        </w:rPr>
        <w:t>they</w:t>
      </w:r>
      <w:r w:rsidRPr="00C82862">
        <w:rPr>
          <w:rFonts w:eastAsia="Calibri"/>
        </w:rPr>
        <w:t xml:space="preserve"> do not raise any human rights issues.</w:t>
      </w:r>
      <w:bookmarkStart w:id="11" w:name="bkRISNO"/>
      <w:bookmarkEnd w:id="10"/>
      <w:bookmarkEnd w:id="11"/>
    </w:p>
    <w:sectPr w:rsidR="00B531B4" w:rsidRPr="008803C3" w:rsidSect="00C6291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03EF" w14:textId="77777777" w:rsidR="00921F39" w:rsidRDefault="00921F39" w:rsidP="007A463E">
      <w:pPr>
        <w:spacing w:after="0"/>
      </w:pPr>
      <w:r>
        <w:separator/>
      </w:r>
    </w:p>
    <w:p w14:paraId="19B4D838" w14:textId="77777777" w:rsidR="00921F39" w:rsidRDefault="00921F39"/>
  </w:endnote>
  <w:endnote w:type="continuationSeparator" w:id="0">
    <w:p w14:paraId="705B9E70" w14:textId="77777777" w:rsidR="00921F39" w:rsidRDefault="00921F39" w:rsidP="007A463E">
      <w:pPr>
        <w:spacing w:after="0"/>
      </w:pPr>
      <w:r>
        <w:continuationSeparator/>
      </w:r>
    </w:p>
    <w:p w14:paraId="05DA20F5" w14:textId="77777777" w:rsidR="00921F39" w:rsidRDefault="00921F39"/>
  </w:endnote>
  <w:endnote w:type="continuationNotice" w:id="1">
    <w:p w14:paraId="53B7A219" w14:textId="77777777" w:rsidR="00921F39" w:rsidRDefault="00921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UYWE+TodaySB-Light">
    <w:altName w:val="Today SB"/>
    <w:panose1 w:val="00000000000000000000"/>
    <w:charset w:val="00"/>
    <w:family w:val="swiss"/>
    <w:notTrueType/>
    <w:pitch w:val="default"/>
    <w:sig w:usb0="00000003" w:usb1="00000000" w:usb2="00000000" w:usb3="00000000" w:csb0="00000001" w:csb1="00000000"/>
  </w:font>
  <w:font w:name="FNESIG+TodaySB-Light">
    <w:altName w:val="Today SB"/>
    <w:panose1 w:val="00000000000000000000"/>
    <w:charset w:val="00"/>
    <w:family w:val="swiss"/>
    <w:notTrueType/>
    <w:pitch w:val="default"/>
    <w:sig w:usb0="00000003" w:usb1="00000000" w:usb2="00000000" w:usb3="00000000" w:csb0="00000001" w:csb1="00000000"/>
  </w:font>
  <w:font w:name="EVCQYD+TodaySB-Light">
    <w:altName w:val="Today SB"/>
    <w:panose1 w:val="00000000000000000000"/>
    <w:charset w:val="00"/>
    <w:family w:val="swiss"/>
    <w:notTrueType/>
    <w:pitch w:val="default"/>
    <w:sig w:usb0="00000003" w:usb1="00000000" w:usb2="00000000" w:usb3="00000000" w:csb0="00000001" w:csb1="00000000"/>
  </w:font>
  <w:font w:name="HDFCCX+TodaySB-Light">
    <w:altName w:val="Today SB"/>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1145" w14:textId="77777777" w:rsidR="007C5BBE" w:rsidRDefault="007C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4508" w14:textId="77777777" w:rsidR="007C5BBE" w:rsidRDefault="007C5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9799" w14:textId="77777777" w:rsidR="007C5BBE" w:rsidRDefault="007C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A6753" w14:textId="77777777" w:rsidR="00921F39" w:rsidRDefault="00921F39" w:rsidP="007A463E">
      <w:pPr>
        <w:spacing w:after="0"/>
      </w:pPr>
      <w:r>
        <w:separator/>
      </w:r>
    </w:p>
    <w:p w14:paraId="50EABA29" w14:textId="77777777" w:rsidR="00921F39" w:rsidRDefault="00921F39"/>
  </w:footnote>
  <w:footnote w:type="continuationSeparator" w:id="0">
    <w:p w14:paraId="5E38B8C2" w14:textId="77777777" w:rsidR="00921F39" w:rsidRDefault="00921F39" w:rsidP="007A463E">
      <w:pPr>
        <w:spacing w:after="0"/>
      </w:pPr>
      <w:r>
        <w:continuationSeparator/>
      </w:r>
    </w:p>
    <w:p w14:paraId="4114D28D" w14:textId="77777777" w:rsidR="00921F39" w:rsidRDefault="00921F39"/>
  </w:footnote>
  <w:footnote w:type="continuationNotice" w:id="1">
    <w:p w14:paraId="29C414B3" w14:textId="77777777" w:rsidR="00921F39" w:rsidRDefault="00921F39">
      <w:pPr>
        <w:spacing w:after="0"/>
      </w:pPr>
    </w:p>
  </w:footnote>
  <w:footnote w:id="2">
    <w:p w14:paraId="5F430368" w14:textId="02B1A150" w:rsidR="00921F39" w:rsidRDefault="00921F39">
      <w:pPr>
        <w:pStyle w:val="FootnoteText"/>
      </w:pPr>
      <w:r>
        <w:rPr>
          <w:rStyle w:val="FootnoteReference"/>
        </w:rPr>
        <w:footnoteRef/>
      </w:r>
      <w:r>
        <w:t xml:space="preserve"> </w:t>
      </w:r>
      <w:hyperlink r:id="rId1" w:history="1">
        <w:r w:rsidRPr="0092649A">
          <w:rPr>
            <w:rStyle w:val="Hyperlink"/>
            <w:rFonts w:ascii="Times New Roman" w:hAnsi="Times New Roman"/>
            <w:sz w:val="18"/>
          </w:rPr>
          <w:t>http://www.apra.gov.au/adi/PrudentialFramework/Pages/authorised-deposit-taking-institutions-ppgs.aspx</w:t>
        </w:r>
      </w:hyperlink>
    </w:p>
  </w:footnote>
  <w:footnote w:id="3">
    <w:p w14:paraId="32722324" w14:textId="7F999A5D" w:rsidR="00921F39" w:rsidRPr="00921F39" w:rsidRDefault="00921F39">
      <w:pPr>
        <w:pStyle w:val="FootnoteText"/>
        <w:rPr>
          <w:szCs w:val="18"/>
        </w:rPr>
      </w:pPr>
      <w:r>
        <w:rPr>
          <w:rStyle w:val="FootnoteReference"/>
        </w:rPr>
        <w:footnoteRef/>
      </w:r>
      <w:r>
        <w:t xml:space="preserve"> </w:t>
      </w:r>
      <w:hyperlink r:id="rId2" w:history="1">
        <w:r w:rsidRPr="007B4AC3">
          <w:rPr>
            <w:rStyle w:val="Hyperlink"/>
            <w:rFonts w:ascii="Times New Roman" w:hAnsi="Times New Roman"/>
            <w:sz w:val="18"/>
            <w:szCs w:val="18"/>
          </w:rPr>
          <w:t>http://www.abs.gov.au/ausstats/abs@.nsf/mf/1292.0</w:t>
        </w:r>
      </w:hyperlink>
    </w:p>
  </w:footnote>
  <w:footnote w:id="4">
    <w:p w14:paraId="3FF34DD5" w14:textId="11254EB5" w:rsidR="007B4AC3" w:rsidRDefault="007B4AC3" w:rsidP="00F9555D">
      <w:r w:rsidRPr="007B4AC3">
        <w:rPr>
          <w:rStyle w:val="FootnoteReference"/>
          <w:rFonts w:ascii="Times New Roman" w:hAnsi="Times New Roman"/>
          <w:szCs w:val="18"/>
        </w:rPr>
        <w:footnoteRef/>
      </w:r>
      <w:r w:rsidRPr="007B4AC3">
        <w:rPr>
          <w:rFonts w:ascii="Times New Roman" w:hAnsi="Times New Roman"/>
          <w:sz w:val="18"/>
          <w:szCs w:val="18"/>
        </w:rPr>
        <w:t xml:space="preserve"> </w:t>
      </w:r>
      <w:hyperlink r:id="rId3" w:history="1">
        <w:r w:rsidRPr="007B4AC3">
          <w:rPr>
            <w:rStyle w:val="Hyperlink"/>
            <w:rFonts w:ascii="Times New Roman" w:hAnsi="Times New Roman"/>
            <w:sz w:val="18"/>
            <w:szCs w:val="18"/>
          </w:rPr>
          <w:t>http://www.ifrs.org/issued-standards/list-of-standards/</w:t>
        </w:r>
      </w:hyperlink>
    </w:p>
  </w:footnote>
  <w:footnote w:id="5">
    <w:p w14:paraId="46D2EE02" w14:textId="0FBBC412" w:rsidR="00F9555D" w:rsidRDefault="00F9555D">
      <w:pPr>
        <w:pStyle w:val="FootnoteText"/>
        <w:rPr>
          <w:rFonts w:ascii="Times New Roman" w:hAnsi="Times New Roman"/>
        </w:rPr>
      </w:pPr>
      <w:r>
        <w:rPr>
          <w:rStyle w:val="FootnoteReference"/>
        </w:rPr>
        <w:footnoteRef/>
      </w:r>
      <w:r>
        <w:t xml:space="preserve"> </w:t>
      </w:r>
      <w:hyperlink r:id="rId4" w:history="1">
        <w:r w:rsidRPr="001C2624">
          <w:rPr>
            <w:rStyle w:val="Hyperlink"/>
            <w:rFonts w:ascii="Times New Roman" w:hAnsi="Times New Roman"/>
            <w:sz w:val="18"/>
          </w:rPr>
          <w:t>https://www.iso.org/iso-4217-currency-codes.html</w:t>
        </w:r>
      </w:hyperlink>
    </w:p>
    <w:p w14:paraId="1C343D31" w14:textId="77777777" w:rsidR="00F9555D" w:rsidRDefault="00F955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7CEC" w14:textId="77777777" w:rsidR="007C5BBE" w:rsidRDefault="007C5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7A10" w14:textId="11D5F9CD" w:rsidR="00921F39" w:rsidRPr="00665727" w:rsidRDefault="00921F39" w:rsidP="0066572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9E20" w14:textId="223A68CB" w:rsidR="00921F39" w:rsidRDefault="00921F39"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1F2D94"/>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C27B4"/>
    <w:multiLevelType w:val="multilevel"/>
    <w:tmpl w:val="F76211D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A008C5"/>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E62F8"/>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5F3196"/>
    <w:multiLevelType w:val="multilevel"/>
    <w:tmpl w:val="4D4269E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4B91EA8"/>
    <w:multiLevelType w:val="hybridMultilevel"/>
    <w:tmpl w:val="8F7AC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7B94EFC"/>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87745C5"/>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8A17C2D"/>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8D721BE"/>
    <w:multiLevelType w:val="hybridMultilevel"/>
    <w:tmpl w:val="508C8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61760"/>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B9D199C"/>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C214AA0"/>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CE3775A"/>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E1409B1"/>
    <w:multiLevelType w:val="multilevel"/>
    <w:tmpl w:val="0C09001F"/>
    <w:numStyleLink w:val="111111"/>
  </w:abstractNum>
  <w:abstractNum w:abstractNumId="22" w15:restartNumberingAfterBreak="0">
    <w:nsid w:val="1ECC3B72"/>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FCC012B"/>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0691723"/>
    <w:multiLevelType w:val="multilevel"/>
    <w:tmpl w:val="34FAC1A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39C5451"/>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7630E7"/>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5025BB4"/>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54E2C30"/>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C8459D"/>
    <w:multiLevelType w:val="hybridMultilevel"/>
    <w:tmpl w:val="38265F8A"/>
    <w:lvl w:ilvl="0" w:tplc="880A556A">
      <w:start w:val="1"/>
      <w:numFmt w:val="lowerRoman"/>
      <w:suff w:val="space"/>
      <w:lvlText w:val="(%1)"/>
      <w:lvlJc w:val="left"/>
      <w:pPr>
        <w:ind w:left="720" w:hanging="380"/>
      </w:pPr>
      <w:rPr>
        <w:rFonts w:hint="default"/>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A21F80"/>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6B269F5"/>
    <w:multiLevelType w:val="multilevel"/>
    <w:tmpl w:val="54A22998"/>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DE63933"/>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0AC23E7"/>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3E36E80"/>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CBE2583"/>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E787F0B"/>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67D068D"/>
    <w:multiLevelType w:val="hybridMultilevel"/>
    <w:tmpl w:val="12941A76"/>
    <w:lvl w:ilvl="0" w:tplc="5DA60968">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B98660A"/>
    <w:multiLevelType w:val="hybridMultilevel"/>
    <w:tmpl w:val="B7E2E668"/>
    <w:lvl w:ilvl="0" w:tplc="7382E054">
      <w:start w:val="1"/>
      <w:numFmt w:val="decimal"/>
      <w:lvlText w:val="%1."/>
      <w:lvlJc w:val="left"/>
      <w:pPr>
        <w:tabs>
          <w:tab w:val="num" w:pos="567"/>
        </w:tabs>
        <w:ind w:left="567" w:hanging="567"/>
      </w:pPr>
      <w:rPr>
        <w:rFonts w:hint="default"/>
      </w:rPr>
    </w:lvl>
    <w:lvl w:ilvl="1" w:tplc="B1163600">
      <w:start w:val="1"/>
      <w:numFmt w:val="lowerRoman"/>
      <w:lvlText w:val="(%2)"/>
      <w:lvlJc w:val="left"/>
      <w:pPr>
        <w:tabs>
          <w:tab w:val="num" w:pos="1440"/>
        </w:tabs>
        <w:ind w:left="1440" w:hanging="360"/>
      </w:pPr>
    </w:lvl>
    <w:lvl w:ilvl="2" w:tplc="31ACEF8C">
      <w:start w:val="1"/>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F142DCC"/>
    <w:multiLevelType w:val="multilevel"/>
    <w:tmpl w:val="F76211D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1C1365D"/>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580784E"/>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7694769"/>
    <w:multiLevelType w:val="multilevel"/>
    <w:tmpl w:val="4D4269E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8A1168C"/>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9BE4840"/>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413357"/>
    <w:multiLevelType w:val="multilevel"/>
    <w:tmpl w:val="1B840F7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F397E48"/>
    <w:multiLevelType w:val="multilevel"/>
    <w:tmpl w:val="A724BBDC"/>
    <w:lvl w:ilvl="0">
      <w:start w:val="1"/>
      <w:numFmt w:val="decimal"/>
      <w:lvlText w:val="%1."/>
      <w:lvlJc w:val="left"/>
      <w:pPr>
        <w:tabs>
          <w:tab w:val="num" w:pos="360"/>
        </w:tabs>
        <w:ind w:left="360" w:hanging="360"/>
      </w:pPr>
      <w:rPr>
        <w:rFonts w:hint="default"/>
      </w:rPr>
    </w:lvl>
    <w:lvl w:ilvl="1">
      <w:start w:val="1"/>
      <w:numFmt w:val="lowerRoman"/>
      <w:lvlRestart w:val="0"/>
      <w:lvlText w:val="(%2)"/>
      <w:lvlJc w:val="left"/>
      <w:pPr>
        <w:tabs>
          <w:tab w:val="num" w:pos="1440"/>
        </w:tabs>
        <w:ind w:left="1440" w:hanging="360"/>
      </w:pPr>
      <w:rPr>
        <w:rFonts w:hint="default"/>
        <w14:cntxtAlts w14:val="0"/>
      </w:rPr>
    </w:lvl>
    <w:lvl w:ilvl="2">
      <w:start w:val="1"/>
      <w:numFmt w:val="lowerRoman"/>
      <w:lvlText w:val="%3."/>
      <w:lvlJc w:val="left"/>
      <w:pPr>
        <w:tabs>
          <w:tab w:val="num" w:pos="2160"/>
        </w:tabs>
        <w:ind w:left="1440"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44"/>
  </w:num>
  <w:num w:numId="3">
    <w:abstractNumId w:val="32"/>
  </w:num>
  <w:num w:numId="4">
    <w:abstractNumId w:val="4"/>
  </w:num>
  <w:num w:numId="5">
    <w:abstractNumId w:val="3"/>
  </w:num>
  <w:num w:numId="6">
    <w:abstractNumId w:val="2"/>
  </w:num>
  <w:num w:numId="7">
    <w:abstractNumId w:val="1"/>
  </w:num>
  <w:num w:numId="8">
    <w:abstractNumId w:val="0"/>
  </w:num>
  <w:num w:numId="9">
    <w:abstractNumId w:val="21"/>
  </w:num>
  <w:num w:numId="10">
    <w:abstractNumId w:val="28"/>
  </w:num>
  <w:num w:numId="11">
    <w:abstractNumId w:val="7"/>
  </w:num>
  <w:num w:numId="12">
    <w:abstractNumId w:val="5"/>
  </w:num>
  <w:num w:numId="13">
    <w:abstractNumId w:val="25"/>
  </w:num>
  <w:num w:numId="14">
    <w:abstractNumId w:val="24"/>
  </w:num>
  <w:num w:numId="15">
    <w:abstractNumId w:val="42"/>
  </w:num>
  <w:num w:numId="16">
    <w:abstractNumId w:val="41"/>
  </w:num>
  <w:num w:numId="17">
    <w:abstractNumId w:val="8"/>
  </w:num>
  <w:num w:numId="18">
    <w:abstractNumId w:val="43"/>
  </w:num>
  <w:num w:numId="19">
    <w:abstractNumId w:val="11"/>
  </w:num>
  <w:num w:numId="20">
    <w:abstractNumId w:val="47"/>
  </w:num>
  <w:num w:numId="21">
    <w:abstractNumId w:val="35"/>
  </w:num>
  <w:num w:numId="22">
    <w:abstractNumId w:val="23"/>
  </w:num>
  <w:num w:numId="23">
    <w:abstractNumId w:val="20"/>
  </w:num>
  <w:num w:numId="24">
    <w:abstractNumId w:val="38"/>
  </w:num>
  <w:num w:numId="25">
    <w:abstractNumId w:val="50"/>
  </w:num>
  <w:num w:numId="26">
    <w:abstractNumId w:val="22"/>
  </w:num>
  <w:num w:numId="27">
    <w:abstractNumId w:val="17"/>
  </w:num>
  <w:num w:numId="28">
    <w:abstractNumId w:val="19"/>
  </w:num>
  <w:num w:numId="29">
    <w:abstractNumId w:val="26"/>
  </w:num>
  <w:num w:numId="30">
    <w:abstractNumId w:val="34"/>
  </w:num>
  <w:num w:numId="31">
    <w:abstractNumId w:val="31"/>
  </w:num>
  <w:num w:numId="32">
    <w:abstractNumId w:val="18"/>
  </w:num>
  <w:num w:numId="33">
    <w:abstractNumId w:val="13"/>
  </w:num>
  <w:num w:numId="34">
    <w:abstractNumId w:val="39"/>
  </w:num>
  <w:num w:numId="35">
    <w:abstractNumId w:val="29"/>
  </w:num>
  <w:num w:numId="36">
    <w:abstractNumId w:val="10"/>
  </w:num>
  <w:num w:numId="37">
    <w:abstractNumId w:val="45"/>
  </w:num>
  <w:num w:numId="38">
    <w:abstractNumId w:val="37"/>
  </w:num>
  <w:num w:numId="39">
    <w:abstractNumId w:val="36"/>
  </w:num>
  <w:num w:numId="40">
    <w:abstractNumId w:val="51"/>
  </w:num>
  <w:num w:numId="41">
    <w:abstractNumId w:val="49"/>
  </w:num>
  <w:num w:numId="42">
    <w:abstractNumId w:val="40"/>
  </w:num>
  <w:num w:numId="43">
    <w:abstractNumId w:val="48"/>
  </w:num>
  <w:num w:numId="44">
    <w:abstractNumId w:val="15"/>
  </w:num>
  <w:num w:numId="45">
    <w:abstractNumId w:val="46"/>
  </w:num>
  <w:num w:numId="46">
    <w:abstractNumId w:val="30"/>
  </w:num>
  <w:num w:numId="47">
    <w:abstractNumId w:val="9"/>
  </w:num>
  <w:num w:numId="48">
    <w:abstractNumId w:val="14"/>
  </w:num>
  <w:num w:numId="49">
    <w:abstractNumId w:val="6"/>
  </w:num>
  <w:num w:numId="50">
    <w:abstractNumId w:val="16"/>
  </w:num>
  <w:num w:numId="51">
    <w:abstractNumId w:val="33"/>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62"/>
    <w:rsid w:val="00000F9E"/>
    <w:rsid w:val="00003065"/>
    <w:rsid w:val="00006E34"/>
    <w:rsid w:val="00011860"/>
    <w:rsid w:val="00011B0A"/>
    <w:rsid w:val="00012C1D"/>
    <w:rsid w:val="00021773"/>
    <w:rsid w:val="000342AE"/>
    <w:rsid w:val="000408CA"/>
    <w:rsid w:val="00047B79"/>
    <w:rsid w:val="00053F0B"/>
    <w:rsid w:val="00063BDC"/>
    <w:rsid w:val="00064DFA"/>
    <w:rsid w:val="00094A3B"/>
    <w:rsid w:val="000A1A18"/>
    <w:rsid w:val="000A2292"/>
    <w:rsid w:val="000A45FD"/>
    <w:rsid w:val="000B22EF"/>
    <w:rsid w:val="000C170D"/>
    <w:rsid w:val="000C6B7D"/>
    <w:rsid w:val="000D09FA"/>
    <w:rsid w:val="000D2D92"/>
    <w:rsid w:val="000D7CA6"/>
    <w:rsid w:val="000E057F"/>
    <w:rsid w:val="000E61C4"/>
    <w:rsid w:val="000E62E7"/>
    <w:rsid w:val="000F0ECC"/>
    <w:rsid w:val="000F20CF"/>
    <w:rsid w:val="00117AF0"/>
    <w:rsid w:val="0013338F"/>
    <w:rsid w:val="00144867"/>
    <w:rsid w:val="001450D3"/>
    <w:rsid w:val="00145953"/>
    <w:rsid w:val="001502F1"/>
    <w:rsid w:val="00160231"/>
    <w:rsid w:val="00171A6B"/>
    <w:rsid w:val="001749A4"/>
    <w:rsid w:val="0017548F"/>
    <w:rsid w:val="00197A1A"/>
    <w:rsid w:val="001A2F9D"/>
    <w:rsid w:val="001B2D90"/>
    <w:rsid w:val="001B3636"/>
    <w:rsid w:val="001B5DEA"/>
    <w:rsid w:val="001D1FF3"/>
    <w:rsid w:val="001D3046"/>
    <w:rsid w:val="001D3B1C"/>
    <w:rsid w:val="001D505A"/>
    <w:rsid w:val="001D7D3C"/>
    <w:rsid w:val="001E00D2"/>
    <w:rsid w:val="001E2DB0"/>
    <w:rsid w:val="001F23E5"/>
    <w:rsid w:val="0021143E"/>
    <w:rsid w:val="002213D2"/>
    <w:rsid w:val="0023024B"/>
    <w:rsid w:val="00234231"/>
    <w:rsid w:val="002403C8"/>
    <w:rsid w:val="00243087"/>
    <w:rsid w:val="00245688"/>
    <w:rsid w:val="00257E33"/>
    <w:rsid w:val="00263961"/>
    <w:rsid w:val="0026542C"/>
    <w:rsid w:val="00267EBC"/>
    <w:rsid w:val="00276281"/>
    <w:rsid w:val="002767C9"/>
    <w:rsid w:val="002838CD"/>
    <w:rsid w:val="0028421A"/>
    <w:rsid w:val="00291057"/>
    <w:rsid w:val="002B0A7E"/>
    <w:rsid w:val="002B0B89"/>
    <w:rsid w:val="002B56C8"/>
    <w:rsid w:val="002B6F5E"/>
    <w:rsid w:val="002C73C5"/>
    <w:rsid w:val="002D3E74"/>
    <w:rsid w:val="002E11DD"/>
    <w:rsid w:val="002F0157"/>
    <w:rsid w:val="002F5035"/>
    <w:rsid w:val="003128C4"/>
    <w:rsid w:val="00320F34"/>
    <w:rsid w:val="00325932"/>
    <w:rsid w:val="00332DB9"/>
    <w:rsid w:val="00340359"/>
    <w:rsid w:val="00342822"/>
    <w:rsid w:val="00353DE2"/>
    <w:rsid w:val="003546DF"/>
    <w:rsid w:val="0036442A"/>
    <w:rsid w:val="00367A5D"/>
    <w:rsid w:val="003707EE"/>
    <w:rsid w:val="00371950"/>
    <w:rsid w:val="003723F1"/>
    <w:rsid w:val="00373B0D"/>
    <w:rsid w:val="00387CA2"/>
    <w:rsid w:val="00395E41"/>
    <w:rsid w:val="003A2FC2"/>
    <w:rsid w:val="003C26A0"/>
    <w:rsid w:val="003C6729"/>
    <w:rsid w:val="003C6CBE"/>
    <w:rsid w:val="003D6738"/>
    <w:rsid w:val="003D7405"/>
    <w:rsid w:val="004118D9"/>
    <w:rsid w:val="00427B33"/>
    <w:rsid w:val="00427B93"/>
    <w:rsid w:val="00431690"/>
    <w:rsid w:val="0043299E"/>
    <w:rsid w:val="0043440F"/>
    <w:rsid w:val="00444BF0"/>
    <w:rsid w:val="00450E84"/>
    <w:rsid w:val="00453888"/>
    <w:rsid w:val="0045530F"/>
    <w:rsid w:val="00466273"/>
    <w:rsid w:val="00472DDE"/>
    <w:rsid w:val="0049409E"/>
    <w:rsid w:val="00497641"/>
    <w:rsid w:val="004A3F13"/>
    <w:rsid w:val="004B4492"/>
    <w:rsid w:val="004C22D9"/>
    <w:rsid w:val="004C2517"/>
    <w:rsid w:val="004C2EC4"/>
    <w:rsid w:val="004D5662"/>
    <w:rsid w:val="004D7117"/>
    <w:rsid w:val="004E13AF"/>
    <w:rsid w:val="004E55AD"/>
    <w:rsid w:val="004F23D8"/>
    <w:rsid w:val="004F27CF"/>
    <w:rsid w:val="004F4CA8"/>
    <w:rsid w:val="005154A9"/>
    <w:rsid w:val="00537A79"/>
    <w:rsid w:val="00545C16"/>
    <w:rsid w:val="00547263"/>
    <w:rsid w:val="00547A82"/>
    <w:rsid w:val="00550E4E"/>
    <w:rsid w:val="00552CA7"/>
    <w:rsid w:val="00556C3B"/>
    <w:rsid w:val="00556E72"/>
    <w:rsid w:val="005636A2"/>
    <w:rsid w:val="00565CA7"/>
    <w:rsid w:val="00584A8F"/>
    <w:rsid w:val="00592431"/>
    <w:rsid w:val="005A5F1D"/>
    <w:rsid w:val="005C4CB7"/>
    <w:rsid w:val="005D5C98"/>
    <w:rsid w:val="005E5F3C"/>
    <w:rsid w:val="005E6AF8"/>
    <w:rsid w:val="005F4764"/>
    <w:rsid w:val="005F5BB1"/>
    <w:rsid w:val="005F6C03"/>
    <w:rsid w:val="005F6D09"/>
    <w:rsid w:val="00601995"/>
    <w:rsid w:val="00606F5A"/>
    <w:rsid w:val="0060742D"/>
    <w:rsid w:val="006128BA"/>
    <w:rsid w:val="00615AEF"/>
    <w:rsid w:val="00624EC7"/>
    <w:rsid w:val="00625AE3"/>
    <w:rsid w:val="0063306E"/>
    <w:rsid w:val="006330C4"/>
    <w:rsid w:val="006352A2"/>
    <w:rsid w:val="00644658"/>
    <w:rsid w:val="00646C7A"/>
    <w:rsid w:val="006571E9"/>
    <w:rsid w:val="00665727"/>
    <w:rsid w:val="00675044"/>
    <w:rsid w:val="0067598B"/>
    <w:rsid w:val="0067631B"/>
    <w:rsid w:val="00677A36"/>
    <w:rsid w:val="00677CF4"/>
    <w:rsid w:val="00683212"/>
    <w:rsid w:val="00686723"/>
    <w:rsid w:val="0068743E"/>
    <w:rsid w:val="006A152E"/>
    <w:rsid w:val="006A5169"/>
    <w:rsid w:val="006B2F1B"/>
    <w:rsid w:val="006B712D"/>
    <w:rsid w:val="006C1429"/>
    <w:rsid w:val="006D3ADD"/>
    <w:rsid w:val="006E4003"/>
    <w:rsid w:val="00710859"/>
    <w:rsid w:val="00723608"/>
    <w:rsid w:val="007236E2"/>
    <w:rsid w:val="007403DD"/>
    <w:rsid w:val="0074761E"/>
    <w:rsid w:val="00754A71"/>
    <w:rsid w:val="0075701A"/>
    <w:rsid w:val="00765981"/>
    <w:rsid w:val="007667A4"/>
    <w:rsid w:val="00781FF4"/>
    <w:rsid w:val="00782737"/>
    <w:rsid w:val="00786B63"/>
    <w:rsid w:val="007A463E"/>
    <w:rsid w:val="007A50F5"/>
    <w:rsid w:val="007A7247"/>
    <w:rsid w:val="007A7E8D"/>
    <w:rsid w:val="007B4AC3"/>
    <w:rsid w:val="007C268A"/>
    <w:rsid w:val="007C5BBE"/>
    <w:rsid w:val="007D54E6"/>
    <w:rsid w:val="007D679C"/>
    <w:rsid w:val="007D72B6"/>
    <w:rsid w:val="007E1DF6"/>
    <w:rsid w:val="007E2F99"/>
    <w:rsid w:val="007E6359"/>
    <w:rsid w:val="007E7643"/>
    <w:rsid w:val="007F2ADC"/>
    <w:rsid w:val="008013F7"/>
    <w:rsid w:val="00801533"/>
    <w:rsid w:val="00802761"/>
    <w:rsid w:val="00802BC0"/>
    <w:rsid w:val="00811142"/>
    <w:rsid w:val="00814611"/>
    <w:rsid w:val="00815A0F"/>
    <w:rsid w:val="00815D72"/>
    <w:rsid w:val="00816255"/>
    <w:rsid w:val="00817D73"/>
    <w:rsid w:val="008204C0"/>
    <w:rsid w:val="00842428"/>
    <w:rsid w:val="00857706"/>
    <w:rsid w:val="00870FFC"/>
    <w:rsid w:val="0087147D"/>
    <w:rsid w:val="00872E1D"/>
    <w:rsid w:val="008803C3"/>
    <w:rsid w:val="00882FC3"/>
    <w:rsid w:val="008A5653"/>
    <w:rsid w:val="008B4662"/>
    <w:rsid w:val="008B4FFD"/>
    <w:rsid w:val="008B522B"/>
    <w:rsid w:val="008B5DBD"/>
    <w:rsid w:val="008C693E"/>
    <w:rsid w:val="008C7E1A"/>
    <w:rsid w:val="008D6464"/>
    <w:rsid w:val="008E7F6E"/>
    <w:rsid w:val="00907579"/>
    <w:rsid w:val="00910073"/>
    <w:rsid w:val="00921341"/>
    <w:rsid w:val="00921F39"/>
    <w:rsid w:val="00922ADE"/>
    <w:rsid w:val="0092635A"/>
    <w:rsid w:val="0092649A"/>
    <w:rsid w:val="00930A21"/>
    <w:rsid w:val="0094455B"/>
    <w:rsid w:val="00946ABB"/>
    <w:rsid w:val="00957F00"/>
    <w:rsid w:val="009641CE"/>
    <w:rsid w:val="00965CC2"/>
    <w:rsid w:val="00970A4C"/>
    <w:rsid w:val="00973B0D"/>
    <w:rsid w:val="0098213D"/>
    <w:rsid w:val="00983285"/>
    <w:rsid w:val="009B1386"/>
    <w:rsid w:val="009B254B"/>
    <w:rsid w:val="009C7022"/>
    <w:rsid w:val="009D2A4D"/>
    <w:rsid w:val="009F1036"/>
    <w:rsid w:val="009F210E"/>
    <w:rsid w:val="009F3135"/>
    <w:rsid w:val="00A00652"/>
    <w:rsid w:val="00A04876"/>
    <w:rsid w:val="00A06EE8"/>
    <w:rsid w:val="00A07B7C"/>
    <w:rsid w:val="00A17687"/>
    <w:rsid w:val="00A30827"/>
    <w:rsid w:val="00A348D9"/>
    <w:rsid w:val="00A357E7"/>
    <w:rsid w:val="00A37017"/>
    <w:rsid w:val="00A6360D"/>
    <w:rsid w:val="00A639A5"/>
    <w:rsid w:val="00A662D1"/>
    <w:rsid w:val="00A96214"/>
    <w:rsid w:val="00A96ED5"/>
    <w:rsid w:val="00AA388C"/>
    <w:rsid w:val="00AA5ABF"/>
    <w:rsid w:val="00AC0558"/>
    <w:rsid w:val="00AC38E3"/>
    <w:rsid w:val="00B0220D"/>
    <w:rsid w:val="00B04050"/>
    <w:rsid w:val="00B0602C"/>
    <w:rsid w:val="00B0672F"/>
    <w:rsid w:val="00B12E7E"/>
    <w:rsid w:val="00B20CD1"/>
    <w:rsid w:val="00B21A37"/>
    <w:rsid w:val="00B24B2D"/>
    <w:rsid w:val="00B25D1F"/>
    <w:rsid w:val="00B369DF"/>
    <w:rsid w:val="00B441A5"/>
    <w:rsid w:val="00B467D3"/>
    <w:rsid w:val="00B531B4"/>
    <w:rsid w:val="00B724C2"/>
    <w:rsid w:val="00B84EB8"/>
    <w:rsid w:val="00B86EF7"/>
    <w:rsid w:val="00B9275D"/>
    <w:rsid w:val="00B9306D"/>
    <w:rsid w:val="00B95BAF"/>
    <w:rsid w:val="00BB1D98"/>
    <w:rsid w:val="00BB3C38"/>
    <w:rsid w:val="00BB542D"/>
    <w:rsid w:val="00BC3D60"/>
    <w:rsid w:val="00BD3C50"/>
    <w:rsid w:val="00BD511C"/>
    <w:rsid w:val="00BD7750"/>
    <w:rsid w:val="00BE6898"/>
    <w:rsid w:val="00BF1830"/>
    <w:rsid w:val="00BF26BD"/>
    <w:rsid w:val="00BF594C"/>
    <w:rsid w:val="00C07E3B"/>
    <w:rsid w:val="00C15BE5"/>
    <w:rsid w:val="00C20B39"/>
    <w:rsid w:val="00C273CD"/>
    <w:rsid w:val="00C333E7"/>
    <w:rsid w:val="00C3434E"/>
    <w:rsid w:val="00C3645B"/>
    <w:rsid w:val="00C5285C"/>
    <w:rsid w:val="00C572AB"/>
    <w:rsid w:val="00C614C0"/>
    <w:rsid w:val="00C62913"/>
    <w:rsid w:val="00C67B5B"/>
    <w:rsid w:val="00C7343C"/>
    <w:rsid w:val="00C82862"/>
    <w:rsid w:val="00C96A51"/>
    <w:rsid w:val="00C97F58"/>
    <w:rsid w:val="00CA587D"/>
    <w:rsid w:val="00CB7367"/>
    <w:rsid w:val="00CC0188"/>
    <w:rsid w:val="00CC05EA"/>
    <w:rsid w:val="00CC10DA"/>
    <w:rsid w:val="00CC201A"/>
    <w:rsid w:val="00CD6D38"/>
    <w:rsid w:val="00CD795E"/>
    <w:rsid w:val="00CF1FC4"/>
    <w:rsid w:val="00D02242"/>
    <w:rsid w:val="00D059A3"/>
    <w:rsid w:val="00D079B4"/>
    <w:rsid w:val="00D1051C"/>
    <w:rsid w:val="00D11402"/>
    <w:rsid w:val="00D14049"/>
    <w:rsid w:val="00D214BF"/>
    <w:rsid w:val="00D21F7F"/>
    <w:rsid w:val="00D22A38"/>
    <w:rsid w:val="00D34EDC"/>
    <w:rsid w:val="00D374D7"/>
    <w:rsid w:val="00D46852"/>
    <w:rsid w:val="00D52D17"/>
    <w:rsid w:val="00D55075"/>
    <w:rsid w:val="00D66100"/>
    <w:rsid w:val="00D861B2"/>
    <w:rsid w:val="00D95999"/>
    <w:rsid w:val="00DA629A"/>
    <w:rsid w:val="00DA6FBA"/>
    <w:rsid w:val="00DC7EF3"/>
    <w:rsid w:val="00DC7F18"/>
    <w:rsid w:val="00DD0A3F"/>
    <w:rsid w:val="00DD0A52"/>
    <w:rsid w:val="00DE0A59"/>
    <w:rsid w:val="00DF3325"/>
    <w:rsid w:val="00E1225E"/>
    <w:rsid w:val="00E1430F"/>
    <w:rsid w:val="00E16797"/>
    <w:rsid w:val="00E17198"/>
    <w:rsid w:val="00E32CE9"/>
    <w:rsid w:val="00E36C9E"/>
    <w:rsid w:val="00E448C7"/>
    <w:rsid w:val="00E4501B"/>
    <w:rsid w:val="00E55A7E"/>
    <w:rsid w:val="00E566AF"/>
    <w:rsid w:val="00E57B9D"/>
    <w:rsid w:val="00E63012"/>
    <w:rsid w:val="00E83D82"/>
    <w:rsid w:val="00E96618"/>
    <w:rsid w:val="00EB2F4E"/>
    <w:rsid w:val="00EC0FD8"/>
    <w:rsid w:val="00EC2E64"/>
    <w:rsid w:val="00ED3926"/>
    <w:rsid w:val="00ED48F3"/>
    <w:rsid w:val="00EE6D3E"/>
    <w:rsid w:val="00EF05A8"/>
    <w:rsid w:val="00EF496F"/>
    <w:rsid w:val="00EF5EE9"/>
    <w:rsid w:val="00F10FD0"/>
    <w:rsid w:val="00F11482"/>
    <w:rsid w:val="00F12FD3"/>
    <w:rsid w:val="00F227F1"/>
    <w:rsid w:val="00F27173"/>
    <w:rsid w:val="00F30D60"/>
    <w:rsid w:val="00F34F34"/>
    <w:rsid w:val="00F41062"/>
    <w:rsid w:val="00F51EA7"/>
    <w:rsid w:val="00F62836"/>
    <w:rsid w:val="00F6460D"/>
    <w:rsid w:val="00F73C00"/>
    <w:rsid w:val="00F74A6B"/>
    <w:rsid w:val="00F77F5D"/>
    <w:rsid w:val="00F82ABD"/>
    <w:rsid w:val="00F865EB"/>
    <w:rsid w:val="00F9555D"/>
    <w:rsid w:val="00FA261A"/>
    <w:rsid w:val="00FA2F99"/>
    <w:rsid w:val="00FA3DBB"/>
    <w:rsid w:val="00FB11CD"/>
    <w:rsid w:val="00FD261C"/>
    <w:rsid w:val="00FE57E9"/>
    <w:rsid w:val="00FF4648"/>
    <w:rsid w:val="00FF6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5"/>
    <o:shapelayout v:ext="edit">
      <o:idmap v:ext="edit" data="1"/>
    </o:shapelayout>
  </w:shapeDefaults>
  <w:decimalSymbol w:val="."/>
  <w:listSeparator w:val=","/>
  <w14:docId w14:val="6256C14B"/>
  <w15:chartTrackingRefBased/>
  <w15:docId w15:val="{38A18385-8F87-4601-B0F3-FA82370E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11"/>
    <w:pPr>
      <w:spacing w:after="240" w:line="240" w:lineRule="auto"/>
      <w:jc w:val="both"/>
    </w:pPr>
    <w:rPr>
      <w:rFonts w:ascii="Arial" w:hAnsi="Arial"/>
      <w:szCs w:val="24"/>
      <w:lang w:eastAsia="en-AU"/>
    </w:rPr>
  </w:style>
  <w:style w:type="paragraph" w:styleId="Heading1">
    <w:name w:val="heading 1"/>
    <w:basedOn w:val="Normal"/>
    <w:next w:val="Normal"/>
    <w:link w:val="Heading1Char"/>
    <w:qFormat/>
    <w:rsid w:val="00C333E7"/>
    <w:pPr>
      <w:spacing w:after="360"/>
      <w:outlineLvl w:val="0"/>
    </w:pPr>
    <w:rPr>
      <w:rFonts w:cs="Arial"/>
      <w:b/>
      <w:sz w:val="32"/>
    </w:rPr>
  </w:style>
  <w:style w:type="paragraph" w:styleId="Heading2">
    <w:name w:val="heading 2"/>
    <w:basedOn w:val="Normal"/>
    <w:next w:val="Normal"/>
    <w:link w:val="Heading2Char"/>
    <w:qFormat/>
    <w:rsid w:val="004118D9"/>
    <w:pPr>
      <w:keepNext/>
      <w:outlineLvl w:val="1"/>
    </w:pPr>
    <w:rPr>
      <w:rFonts w:cs="Arial"/>
      <w:b/>
      <w:bCs/>
      <w:iCs/>
      <w:sz w:val="28"/>
      <w:szCs w:val="28"/>
    </w:rPr>
  </w:style>
  <w:style w:type="paragraph" w:styleId="Heading3">
    <w:name w:val="heading 3"/>
    <w:basedOn w:val="Normal"/>
    <w:next w:val="Normal"/>
    <w:link w:val="Heading3Char"/>
    <w:qFormat/>
    <w:rsid w:val="00CB7367"/>
    <w:pPr>
      <w:keepNext/>
      <w:spacing w:before="240" w:after="120"/>
      <w:outlineLvl w:val="2"/>
    </w:pPr>
    <w:rPr>
      <w:rFonts w:cs="Arial"/>
      <w:b/>
      <w:bCs/>
      <w:i/>
      <w:sz w:val="24"/>
      <w:szCs w:val="26"/>
    </w:rPr>
  </w:style>
  <w:style w:type="paragraph" w:styleId="Heading4">
    <w:name w:val="heading 4"/>
    <w:basedOn w:val="Heading3"/>
    <w:next w:val="Normal"/>
    <w:link w:val="Heading4Char"/>
    <w:unhideWhenUsed/>
    <w:qFormat/>
    <w:rsid w:val="009F3135"/>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9F3135"/>
    <w:pPr>
      <w:numPr>
        <w:ilvl w:val="4"/>
      </w:numPr>
      <w:outlineLvl w:val="4"/>
    </w:pPr>
    <w:rPr>
      <w:i/>
    </w:rPr>
  </w:style>
  <w:style w:type="paragraph" w:styleId="Heading6">
    <w:name w:val="heading 6"/>
    <w:basedOn w:val="Heading5"/>
    <w:next w:val="Normal"/>
    <w:link w:val="Heading6Char"/>
    <w:uiPriority w:val="9"/>
    <w:unhideWhenUsed/>
    <w:qFormat/>
    <w:rsid w:val="009F3135"/>
    <w:pPr>
      <w:numPr>
        <w:ilvl w:val="5"/>
      </w:numPr>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5F476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rsid w:val="00C333E7"/>
    <w:rPr>
      <w:rFonts w:ascii="Arial" w:hAnsi="Arial" w:cs="Arial"/>
      <w:b/>
      <w:sz w:val="32"/>
      <w:szCs w:val="24"/>
      <w:lang w:eastAsia="en-AU"/>
    </w:rPr>
  </w:style>
  <w:style w:type="character" w:customStyle="1" w:styleId="Heading2Char">
    <w:name w:val="Heading 2 Char"/>
    <w:basedOn w:val="DefaultParagraphFont"/>
    <w:link w:val="Heading2"/>
    <w:rsid w:val="004118D9"/>
    <w:rPr>
      <w:rFonts w:ascii="Arial" w:hAnsi="Arial" w:cs="Arial"/>
      <w:b/>
      <w:bCs/>
      <w:iCs/>
      <w:sz w:val="28"/>
      <w:szCs w:val="28"/>
      <w:lang w:eastAsia="en-AU"/>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rPr>
      <w:sz w:val="24"/>
    </w:rPr>
  </w:style>
  <w:style w:type="character" w:customStyle="1" w:styleId="BulletChar">
    <w:name w:val="Bullet Char"/>
    <w:link w:val="Bullet"/>
    <w:rsid w:val="005F4764"/>
    <w:rPr>
      <w:rFonts w:ascii="Arial" w:hAnsi="Arial"/>
      <w:sz w:val="24"/>
      <w:szCs w:val="24"/>
      <w:lang w:eastAsia="en-AU"/>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rsid w:val="00CB7367"/>
    <w:rPr>
      <w:rFonts w:ascii="Arial" w:hAnsi="Arial" w:cs="Arial"/>
      <w:b/>
      <w:bCs/>
      <w:i/>
      <w:sz w:val="24"/>
      <w:szCs w:val="26"/>
      <w:lang w:eastAsia="en-AU"/>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rPr>
      <w:sz w:val="24"/>
    </w:r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nhideWhenUsed/>
    <w:rsid w:val="005F4764"/>
    <w:rPr>
      <w:sz w:val="18"/>
    </w:rPr>
  </w:style>
  <w:style w:type="character" w:customStyle="1" w:styleId="FootnoteTextChar">
    <w:name w:val="Footnote Text Char"/>
    <w:link w:val="FootnoteText"/>
    <w:uiPriority w:val="99"/>
    <w:rsid w:val="005F4764"/>
    <w:rPr>
      <w:rFonts w:ascii="Arial" w:hAnsi="Arial"/>
      <w:sz w:val="18"/>
      <w:szCs w:val="24"/>
      <w:lang w:eastAsia="en-AU"/>
    </w:rPr>
  </w:style>
  <w:style w:type="paragraph" w:styleId="Header">
    <w:name w:val="header"/>
    <w:basedOn w:val="Normal"/>
    <w:link w:val="HeaderChar"/>
    <w:unhideWhenUsed/>
    <w:rsid w:val="005F4764"/>
    <w:pPr>
      <w:tabs>
        <w:tab w:val="center" w:pos="4513"/>
        <w:tab w:val="right" w:pos="9026"/>
      </w:tabs>
    </w:pPr>
  </w:style>
  <w:style w:type="character" w:customStyle="1" w:styleId="HeaderChar">
    <w:name w:val="Header Char"/>
    <w:link w:val="Header"/>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spacing w:after="0"/>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qFormat/>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rsid w:val="005F4764"/>
    <w:rPr>
      <w:rFonts w:ascii="Arial" w:hAnsi="Arial"/>
      <w:color w:val="0000FF"/>
      <w:sz w:val="22"/>
      <w:u w:val="single"/>
    </w:rPr>
  </w:style>
  <w:style w:type="character" w:styleId="Strong">
    <w:name w:val="Strong"/>
    <w:qFormat/>
    <w:rsid w:val="005F4764"/>
    <w:rPr>
      <w:rFonts w:ascii="Arial" w:hAnsi="Arial"/>
      <w:b/>
      <w:bCs/>
      <w:sz w:val="22"/>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99"/>
    <w:unhideWhenUsed/>
    <w:rsid w:val="005F4764"/>
    <w:pPr>
      <w:ind w:left="283" w:hanging="283"/>
      <w:contextualSpacing/>
    </w:pPr>
  </w:style>
  <w:style w:type="paragraph" w:styleId="List2">
    <w:name w:val="List 2"/>
    <w:basedOn w:val="Normal"/>
    <w:uiPriority w:val="99"/>
    <w:unhideWhenUsed/>
    <w:rsid w:val="005F4764"/>
    <w:pPr>
      <w:ind w:left="566" w:hanging="283"/>
      <w:contextualSpacing/>
    </w:pPr>
  </w:style>
  <w:style w:type="paragraph" w:styleId="List3">
    <w:name w:val="List 3"/>
    <w:basedOn w:val="Normal"/>
    <w:uiPriority w:val="99"/>
    <w:unhideWhenUsed/>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Arial" w:hAnsi="Arial"/>
      <w:szCs w:val="24"/>
      <w:lang w:eastAsia="en-AU"/>
    </w:rPr>
  </w:style>
  <w:style w:type="character" w:customStyle="1" w:styleId="NumberedListChar">
    <w:name w:val="Numbered List Char"/>
    <w:basedOn w:val="ListNumber3Char"/>
    <w:link w:val="NumberedList"/>
    <w:rsid w:val="005F4764"/>
    <w:rPr>
      <w:rFonts w:ascii="Arial" w:hAnsi="Arial"/>
      <w:szCs w:val="24"/>
      <w:lang w:eastAsia="en-AU"/>
    </w:rPr>
  </w:style>
  <w:style w:type="paragraph" w:styleId="BodyText">
    <w:name w:val="Body Text"/>
    <w:basedOn w:val="Normal"/>
    <w:link w:val="BodyTextChar"/>
    <w:unhideWhenUsed/>
    <w:rsid w:val="005F4764"/>
  </w:style>
  <w:style w:type="character" w:customStyle="1" w:styleId="BodyTextChar">
    <w:name w:val="Body Text Char"/>
    <w:basedOn w:val="DefaultParagraphFont"/>
    <w:link w:val="BodyText"/>
    <w:uiPriority w:val="99"/>
    <w:semiHidden/>
    <w:rsid w:val="005F4764"/>
    <w:rPr>
      <w:rFonts w:ascii="Arial" w:hAnsi="Arial"/>
      <w:szCs w:val="24"/>
      <w:lang w:eastAsia="en-AU"/>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widowControl w:val="0"/>
      <w:spacing w:before="60" w:after="60"/>
    </w:pPr>
    <w:rPr>
      <w:rFonts w:cstheme="minorBidi"/>
      <w:b/>
      <w:sz w:val="20"/>
    </w:rPr>
  </w:style>
  <w:style w:type="paragraph" w:customStyle="1" w:styleId="TableRowHeading">
    <w:name w:val="Table Row Heading"/>
    <w:basedOn w:val="Normal"/>
    <w:rsid w:val="005F4764"/>
    <w:pPr>
      <w:keepNext/>
      <w:widowControl w:val="0"/>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semiHidden/>
    <w:unhideWhenUsed/>
    <w:rsid w:val="005F4764"/>
    <w:pPr>
      <w:spacing w:after="0"/>
    </w:pPr>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pPr>
      <w:spacing w:after="0"/>
    </w:pPr>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5F4764"/>
    <w:pPr>
      <w:spacing w:before="60" w:after="60"/>
    </w:pPr>
    <w:rPr>
      <w:rFonts w:cs="Arial"/>
    </w:rPr>
  </w:style>
  <w:style w:type="character" w:customStyle="1" w:styleId="TabletextChar">
    <w:name w:val="Table text Char"/>
    <w:basedOn w:val="DefaultParagraphFont"/>
    <w:link w:val="Tabletext"/>
    <w:rsid w:val="005F4764"/>
    <w:rPr>
      <w:rFonts w:ascii="Arial" w:hAnsi="Arial" w:cs="Arial"/>
      <w:szCs w:val="24"/>
      <w:lang w:eastAsia="en-AU"/>
    </w:rPr>
  </w:style>
  <w:style w:type="paragraph" w:customStyle="1" w:styleId="Bullet10">
    <w:name w:val="Bullet 1"/>
    <w:basedOn w:val="Normal"/>
    <w:link w:val="Bullet1Char"/>
    <w:rsid w:val="00CC10DA"/>
    <w:pPr>
      <w:tabs>
        <w:tab w:val="left" w:pos="426"/>
      </w:tabs>
    </w:pPr>
    <w:rPr>
      <w:rFonts w:cs="Arial"/>
      <w:color w:val="000000"/>
      <w:szCs w:val="22"/>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szCs w:val="22"/>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5F4764"/>
    <w:pPr>
      <w:spacing w:after="0"/>
    </w:pPr>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spacing w:after="0"/>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nhideWhenUsed/>
    <w:rsid w:val="005F4764"/>
    <w:rPr>
      <w:sz w:val="24"/>
    </w:rPr>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pPr>
      <w:spacing w:after="0"/>
    </w:pPr>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link w:val="BULLET1Char0"/>
    <w:qFormat/>
    <w:rsid w:val="0036442A"/>
    <w:pPr>
      <w:numPr>
        <w:numId w:val="10"/>
      </w:numPr>
      <w:ind w:left="425" w:hanging="425"/>
    </w:pPr>
    <w:rPr>
      <w:rFonts w:eastAsiaTheme="minorEastAsia" w:cstheme="minorBidi"/>
      <w:szCs w:val="22"/>
    </w:rPr>
  </w:style>
  <w:style w:type="character" w:customStyle="1" w:styleId="BULLET1Char0">
    <w:name w:val="BULLET 1 Char"/>
    <w:basedOn w:val="DefaultParagraphFont"/>
    <w:link w:val="BULLET1"/>
    <w:rsid w:val="0036442A"/>
    <w:rPr>
      <w:rFonts w:ascii="Arial" w:eastAsiaTheme="minorEastAsia" w:hAnsi="Arial" w:cstheme="minorBidi"/>
      <w:lang w:eastAsia="en-AU"/>
    </w:rPr>
  </w:style>
  <w:style w:type="paragraph" w:customStyle="1" w:styleId="BULLET2">
    <w:name w:val="BULLET 2"/>
    <w:basedOn w:val="BULLET1"/>
    <w:link w:val="BULLET2Char0"/>
    <w:qFormat/>
    <w:rsid w:val="00FE57E9"/>
    <w:pPr>
      <w:numPr>
        <w:numId w:val="11"/>
      </w:numPr>
      <w:ind w:left="850" w:hanging="425"/>
    </w:pPr>
  </w:style>
  <w:style w:type="character" w:customStyle="1" w:styleId="BULLET2Char0">
    <w:name w:val="BULLET 2 Char"/>
    <w:basedOn w:val="DefaultParagraphFont"/>
    <w:link w:val="BULLET2"/>
    <w:rsid w:val="00FE57E9"/>
    <w:rPr>
      <w:rFonts w:ascii="Arial" w:eastAsiaTheme="minorEastAsia" w:hAnsi="Arial" w:cstheme="minorBidi"/>
      <w:lang w:eastAsia="en-AU"/>
    </w:rPr>
  </w:style>
  <w:style w:type="paragraph" w:customStyle="1" w:styleId="BULLET3">
    <w:name w:val="BULLET 3"/>
    <w:basedOn w:val="BULLET1"/>
    <w:link w:val="BULLET3Char0"/>
    <w:qFormat/>
    <w:rsid w:val="00B95BAF"/>
    <w:pPr>
      <w:numPr>
        <w:numId w:val="12"/>
      </w:numPr>
      <w:ind w:left="1276" w:hanging="425"/>
    </w:pPr>
  </w:style>
  <w:style w:type="character" w:customStyle="1" w:styleId="BULLET3Char0">
    <w:name w:val="BULLET 3 Char"/>
    <w:basedOn w:val="BULLET1Char0"/>
    <w:link w:val="BULLET3"/>
    <w:rsid w:val="00B95BAF"/>
    <w:rPr>
      <w:rFonts w:ascii="Arial" w:eastAsiaTheme="minorEastAsia" w:hAnsi="Arial" w:cstheme="minorBidi"/>
      <w:lang w:eastAsia="en-AU"/>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qFormat/>
    <w:rsid w:val="00FE57E9"/>
    <w:rPr>
      <w:b/>
      <w:bCs/>
      <w:i/>
      <w:iCs/>
      <w:spacing w:val="5"/>
    </w:rPr>
  </w:style>
  <w:style w:type="paragraph" w:customStyle="1" w:styleId="LetterHeadingCAPS">
    <w:name w:val="Letter Heading CAPS"/>
    <w:basedOn w:val="Normal"/>
    <w:link w:val="LetterHeadingCAPSChar"/>
    <w:rsid w:val="006A152E"/>
    <w:rPr>
      <w:b/>
      <w:lang w:val="en-US"/>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szCs w:val="22"/>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semiHidden/>
    <w:unhideWhenUsed/>
    <w:rsid w:val="0036442A"/>
    <w:rPr>
      <w:sz w:val="16"/>
      <w:szCs w:val="16"/>
    </w:rPr>
  </w:style>
  <w:style w:type="paragraph" w:styleId="CommentText">
    <w:name w:val="annotation text"/>
    <w:basedOn w:val="Normal"/>
    <w:link w:val="CommentTextChar"/>
    <w:semiHidden/>
    <w:unhideWhenUsed/>
    <w:rsid w:val="0036442A"/>
    <w:rPr>
      <w:sz w:val="20"/>
      <w:szCs w:val="20"/>
    </w:rPr>
  </w:style>
  <w:style w:type="character" w:customStyle="1" w:styleId="CommentTextChar">
    <w:name w:val="Comment Text Char"/>
    <w:basedOn w:val="DefaultParagraphFont"/>
    <w:link w:val="CommentText"/>
    <w:uiPriority w:val="99"/>
    <w:semiHidden/>
    <w:rsid w:val="0036442A"/>
    <w:rPr>
      <w:rFonts w:ascii="Arial" w:hAnsi="Arial"/>
      <w:sz w:val="20"/>
      <w:szCs w:val="20"/>
      <w:lang w:eastAsia="en-AU"/>
    </w:rPr>
  </w:style>
  <w:style w:type="numbering" w:customStyle="1" w:styleId="NoList1">
    <w:name w:val="No List1"/>
    <w:next w:val="NoList"/>
    <w:uiPriority w:val="99"/>
    <w:semiHidden/>
    <w:unhideWhenUsed/>
    <w:rsid w:val="00C82862"/>
  </w:style>
  <w:style w:type="paragraph" w:customStyle="1" w:styleId="Heading">
    <w:name w:val="Heading"/>
    <w:basedOn w:val="SubHeading"/>
    <w:rsid w:val="00C82862"/>
    <w:rPr>
      <w:sz w:val="26"/>
    </w:rPr>
  </w:style>
  <w:style w:type="paragraph" w:customStyle="1" w:styleId="SubHeading">
    <w:name w:val="Sub Heading"/>
    <w:basedOn w:val="Normal"/>
    <w:next w:val="FootnoteText"/>
    <w:rsid w:val="00C82862"/>
    <w:pPr>
      <w:keepNext/>
      <w:spacing w:before="240" w:after="60"/>
      <w:outlineLvl w:val="0"/>
    </w:pPr>
    <w:rPr>
      <w:rFonts w:ascii="Times New Roman" w:hAnsi="Times New Roman" w:cs="Arial"/>
      <w:b/>
      <w:kern w:val="32"/>
      <w:sz w:val="24"/>
      <w:szCs w:val="32"/>
    </w:rPr>
  </w:style>
  <w:style w:type="character" w:styleId="PageNumber">
    <w:name w:val="page number"/>
    <w:basedOn w:val="DefaultParagraphFont"/>
    <w:rsid w:val="00C82862"/>
  </w:style>
  <w:style w:type="paragraph" w:styleId="CommentSubject">
    <w:name w:val="annotation subject"/>
    <w:basedOn w:val="CommentText"/>
    <w:next w:val="CommentText"/>
    <w:link w:val="CommentSubjectChar"/>
    <w:semiHidden/>
    <w:rsid w:val="00C82862"/>
    <w:pPr>
      <w:spacing w:before="240"/>
    </w:pPr>
    <w:rPr>
      <w:rFonts w:ascii="Times New Roman" w:hAnsi="Times New Roman"/>
      <w:b/>
      <w:bCs/>
    </w:rPr>
  </w:style>
  <w:style w:type="character" w:customStyle="1" w:styleId="CommentSubjectChar">
    <w:name w:val="Comment Subject Char"/>
    <w:basedOn w:val="CommentTextChar"/>
    <w:link w:val="CommentSubject"/>
    <w:semiHidden/>
    <w:rsid w:val="00C82862"/>
    <w:rPr>
      <w:rFonts w:ascii="Times New Roman" w:hAnsi="Times New Roman"/>
      <w:b/>
      <w:bCs/>
      <w:sz w:val="20"/>
      <w:szCs w:val="20"/>
      <w:lang w:eastAsia="en-AU"/>
    </w:rPr>
  </w:style>
  <w:style w:type="paragraph" w:customStyle="1" w:styleId="Pa2">
    <w:name w:val="Pa2"/>
    <w:basedOn w:val="Normal"/>
    <w:next w:val="Normal"/>
    <w:rsid w:val="00C82862"/>
    <w:pPr>
      <w:autoSpaceDE w:val="0"/>
      <w:autoSpaceDN w:val="0"/>
      <w:adjustRightInd w:val="0"/>
      <w:spacing w:after="100" w:line="221" w:lineRule="atLeast"/>
      <w:jc w:val="left"/>
    </w:pPr>
    <w:rPr>
      <w:rFonts w:ascii="TUUYWE+TodaySB-Light" w:hAnsi="TUUYWE+TodaySB-Light"/>
      <w:sz w:val="24"/>
    </w:rPr>
  </w:style>
  <w:style w:type="paragraph" w:customStyle="1" w:styleId="Pa10">
    <w:name w:val="Pa10"/>
    <w:basedOn w:val="Normal"/>
    <w:next w:val="Normal"/>
    <w:rsid w:val="00C82862"/>
    <w:pPr>
      <w:autoSpaceDE w:val="0"/>
      <w:autoSpaceDN w:val="0"/>
      <w:adjustRightInd w:val="0"/>
      <w:spacing w:after="100" w:line="221" w:lineRule="atLeast"/>
      <w:jc w:val="left"/>
    </w:pPr>
    <w:rPr>
      <w:rFonts w:ascii="TUUYWE+TodaySB-Light" w:hAnsi="TUUYWE+TodaySB-Light"/>
      <w:sz w:val="24"/>
    </w:rPr>
  </w:style>
  <w:style w:type="paragraph" w:customStyle="1" w:styleId="Pa8">
    <w:name w:val="Pa8"/>
    <w:basedOn w:val="Normal"/>
    <w:next w:val="Normal"/>
    <w:rsid w:val="00C82862"/>
    <w:pPr>
      <w:autoSpaceDE w:val="0"/>
      <w:autoSpaceDN w:val="0"/>
      <w:adjustRightInd w:val="0"/>
      <w:spacing w:before="160" w:after="100" w:line="261" w:lineRule="atLeast"/>
      <w:jc w:val="left"/>
    </w:pPr>
    <w:rPr>
      <w:rFonts w:ascii="FNESIG+TodaySB-Light" w:hAnsi="FNESIG+TodaySB-Light"/>
      <w:sz w:val="24"/>
    </w:rPr>
  </w:style>
  <w:style w:type="paragraph" w:customStyle="1" w:styleId="Pa9">
    <w:name w:val="Pa9"/>
    <w:basedOn w:val="Normal"/>
    <w:next w:val="Normal"/>
    <w:rsid w:val="00C82862"/>
    <w:pPr>
      <w:autoSpaceDE w:val="0"/>
      <w:autoSpaceDN w:val="0"/>
      <w:adjustRightInd w:val="0"/>
      <w:spacing w:after="100" w:line="221" w:lineRule="atLeast"/>
      <w:jc w:val="left"/>
    </w:pPr>
    <w:rPr>
      <w:rFonts w:ascii="FNESIG+TodaySB-Light" w:hAnsi="FNESIG+TodaySB-Light"/>
      <w:sz w:val="24"/>
    </w:rPr>
  </w:style>
  <w:style w:type="paragraph" w:customStyle="1" w:styleId="Pa3">
    <w:name w:val="Pa3"/>
    <w:basedOn w:val="Normal"/>
    <w:next w:val="Normal"/>
    <w:rsid w:val="00C82862"/>
    <w:pPr>
      <w:autoSpaceDE w:val="0"/>
      <w:autoSpaceDN w:val="0"/>
      <w:adjustRightInd w:val="0"/>
      <w:spacing w:after="100" w:line="221" w:lineRule="atLeast"/>
      <w:jc w:val="left"/>
    </w:pPr>
    <w:rPr>
      <w:rFonts w:ascii="EVCQYD+TodaySB-Light" w:hAnsi="EVCQYD+TodaySB-Light"/>
      <w:sz w:val="24"/>
    </w:rPr>
  </w:style>
  <w:style w:type="paragraph" w:customStyle="1" w:styleId="Pa11">
    <w:name w:val="Pa11"/>
    <w:basedOn w:val="Normal"/>
    <w:next w:val="Normal"/>
    <w:rsid w:val="00C82862"/>
    <w:pPr>
      <w:autoSpaceDE w:val="0"/>
      <w:autoSpaceDN w:val="0"/>
      <w:adjustRightInd w:val="0"/>
      <w:spacing w:after="100" w:line="221" w:lineRule="atLeast"/>
      <w:jc w:val="left"/>
    </w:pPr>
    <w:rPr>
      <w:rFonts w:ascii="HDFCCX+TodaySB-Light" w:hAnsi="HDFCCX+TodaySB-Light"/>
      <w:sz w:val="24"/>
    </w:rPr>
  </w:style>
  <w:style w:type="paragraph" w:styleId="BodyText3">
    <w:name w:val="Body Text 3"/>
    <w:basedOn w:val="Normal"/>
    <w:link w:val="BodyText3Char"/>
    <w:rsid w:val="00C82862"/>
    <w:pPr>
      <w:spacing w:after="0"/>
      <w:jc w:val="left"/>
    </w:pPr>
    <w:rPr>
      <w:rFonts w:ascii="Times New Roman" w:hAnsi="Times New Roman"/>
      <w:sz w:val="24"/>
      <w:szCs w:val="20"/>
    </w:rPr>
  </w:style>
  <w:style w:type="character" w:customStyle="1" w:styleId="BodyText3Char">
    <w:name w:val="Body Text 3 Char"/>
    <w:basedOn w:val="DefaultParagraphFont"/>
    <w:link w:val="BodyText3"/>
    <w:rsid w:val="00C82862"/>
    <w:rPr>
      <w:rFonts w:ascii="Times New Roman" w:hAnsi="Times New Roman"/>
      <w:sz w:val="24"/>
      <w:szCs w:val="20"/>
      <w:lang w:eastAsia="en-AU"/>
    </w:rPr>
  </w:style>
  <w:style w:type="paragraph" w:styleId="BodyText2">
    <w:name w:val="Body Text 2"/>
    <w:basedOn w:val="Normal"/>
    <w:link w:val="BodyText2Char"/>
    <w:rsid w:val="00C82862"/>
    <w:pPr>
      <w:spacing w:after="0"/>
      <w:jc w:val="left"/>
    </w:pPr>
    <w:rPr>
      <w:rFonts w:ascii="Times New Roman" w:hAnsi="Times New Roman"/>
      <w:i/>
      <w:sz w:val="24"/>
      <w:szCs w:val="20"/>
    </w:rPr>
  </w:style>
  <w:style w:type="character" w:customStyle="1" w:styleId="BodyText2Char">
    <w:name w:val="Body Text 2 Char"/>
    <w:basedOn w:val="DefaultParagraphFont"/>
    <w:link w:val="BodyText2"/>
    <w:rsid w:val="00C82862"/>
    <w:rPr>
      <w:rFonts w:ascii="Times New Roman" w:hAnsi="Times New Roman"/>
      <w:i/>
      <w:sz w:val="24"/>
      <w:szCs w:val="20"/>
      <w:lang w:eastAsia="en-AU"/>
    </w:rPr>
  </w:style>
  <w:style w:type="paragraph" w:customStyle="1" w:styleId="NumberedParagraphs">
    <w:name w:val="NumberedParagraphs"/>
    <w:basedOn w:val="Normal"/>
    <w:rsid w:val="00C82862"/>
    <w:pPr>
      <w:tabs>
        <w:tab w:val="left" w:pos="567"/>
      </w:tabs>
      <w:jc w:val="left"/>
    </w:pPr>
    <w:rPr>
      <w:rFonts w:ascii="Times New Roman" w:hAnsi="Times New Roman"/>
      <w:sz w:val="24"/>
      <w:szCs w:val="20"/>
    </w:rPr>
  </w:style>
  <w:style w:type="paragraph" w:customStyle="1" w:styleId="Indent0">
    <w:name w:val="Indent_0"/>
    <w:basedOn w:val="Normal"/>
    <w:rsid w:val="00C82862"/>
    <w:pPr>
      <w:jc w:val="left"/>
    </w:pPr>
    <w:rPr>
      <w:rFonts w:ascii="Times New Roman" w:hAnsi="Times New Roman"/>
      <w:sz w:val="24"/>
      <w:szCs w:val="20"/>
    </w:rPr>
  </w:style>
  <w:style w:type="table" w:customStyle="1" w:styleId="TableGrid10">
    <w:name w:val="Table Grid1"/>
    <w:basedOn w:val="TableNormal"/>
    <w:next w:val="TableGrid"/>
    <w:rsid w:val="00C82862"/>
    <w:pPr>
      <w:spacing w:after="0" w:line="240" w:lineRule="auto"/>
    </w:pPr>
    <w:rPr>
      <w:rFonts w:ascii="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rsid w:val="00C82862"/>
    <w:rPr>
      <w:rFonts w:cs="FNESIG+TodaySB-Light"/>
      <w:color w:val="000000"/>
      <w:sz w:val="12"/>
      <w:szCs w:val="12"/>
    </w:rPr>
  </w:style>
  <w:style w:type="character" w:customStyle="1" w:styleId="A9">
    <w:name w:val="A9"/>
    <w:rsid w:val="00C82862"/>
    <w:rPr>
      <w:rFonts w:cs="FNESIG+TodaySB-Light"/>
      <w:color w:val="000000"/>
      <w:sz w:val="9"/>
      <w:szCs w:val="9"/>
    </w:rPr>
  </w:style>
  <w:style w:type="paragraph" w:customStyle="1" w:styleId="Pa12">
    <w:name w:val="Pa12"/>
    <w:basedOn w:val="Normal"/>
    <w:next w:val="Normal"/>
    <w:rsid w:val="00C82862"/>
    <w:pPr>
      <w:autoSpaceDE w:val="0"/>
      <w:autoSpaceDN w:val="0"/>
      <w:adjustRightInd w:val="0"/>
      <w:spacing w:before="160" w:after="100" w:line="231" w:lineRule="atLeast"/>
      <w:jc w:val="left"/>
    </w:pPr>
    <w:rPr>
      <w:rFonts w:ascii="TUUYWE+TodaySB-Light" w:hAnsi="TUUYWE+TodaySB-Light"/>
      <w:sz w:val="24"/>
    </w:rPr>
  </w:style>
  <w:style w:type="paragraph" w:customStyle="1" w:styleId="Pa6">
    <w:name w:val="Pa6"/>
    <w:basedOn w:val="Normal"/>
    <w:next w:val="Normal"/>
    <w:rsid w:val="00C82862"/>
    <w:pPr>
      <w:autoSpaceDE w:val="0"/>
      <w:autoSpaceDN w:val="0"/>
      <w:adjustRightInd w:val="0"/>
      <w:spacing w:before="80" w:after="100" w:line="221" w:lineRule="atLeast"/>
      <w:jc w:val="left"/>
    </w:pPr>
    <w:rPr>
      <w:rFonts w:ascii="TUUYWE+TodaySB-Light" w:hAnsi="TUUYWE+TodaySB-Light"/>
      <w:sz w:val="24"/>
    </w:rPr>
  </w:style>
  <w:style w:type="paragraph" w:customStyle="1" w:styleId="Default">
    <w:name w:val="Default"/>
    <w:rsid w:val="00C82862"/>
    <w:pPr>
      <w:autoSpaceDE w:val="0"/>
      <w:autoSpaceDN w:val="0"/>
      <w:adjustRightInd w:val="0"/>
      <w:spacing w:after="0" w:line="240" w:lineRule="auto"/>
    </w:pPr>
    <w:rPr>
      <w:rFonts w:ascii="TUUYWE+TodaySB-Light" w:hAnsi="TUUYWE+TodaySB-Light" w:cs="TUUYWE+TodaySB-Light"/>
      <w:color w:val="000000"/>
      <w:sz w:val="24"/>
      <w:szCs w:val="24"/>
      <w:lang w:eastAsia="en-AU"/>
    </w:rPr>
  </w:style>
  <w:style w:type="character" w:customStyle="1" w:styleId="A7">
    <w:name w:val="A7"/>
    <w:rsid w:val="00C82862"/>
    <w:rPr>
      <w:rFonts w:cs="TUUYWE+TodaySB-Light"/>
      <w:color w:val="000000"/>
      <w:sz w:val="12"/>
      <w:szCs w:val="12"/>
    </w:rPr>
  </w:style>
  <w:style w:type="character" w:customStyle="1" w:styleId="A10">
    <w:name w:val="A10"/>
    <w:rsid w:val="00C82862"/>
    <w:rPr>
      <w:rFonts w:cs="TUUYWE+TodaySB-Light"/>
      <w:color w:val="000000"/>
      <w:sz w:val="18"/>
      <w:szCs w:val="18"/>
    </w:rPr>
  </w:style>
  <w:style w:type="paragraph" w:customStyle="1" w:styleId="heading0">
    <w:name w:val="heading"/>
    <w:basedOn w:val="Normal"/>
    <w:rsid w:val="00C82862"/>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C82862"/>
    <w:pPr>
      <w:spacing w:after="0" w:line="240" w:lineRule="auto"/>
    </w:pPr>
    <w:rPr>
      <w:rFonts w:ascii="Garamond" w:hAnsi="Garamond"/>
      <w:sz w:val="24"/>
      <w:szCs w:val="24"/>
      <w:lang w:eastAsia="en-AU"/>
    </w:rPr>
  </w:style>
  <w:style w:type="paragraph" w:customStyle="1" w:styleId="Paragraph">
    <w:name w:val="Paragraph"/>
    <w:basedOn w:val="Heading"/>
    <w:qFormat/>
    <w:rsid w:val="00C82862"/>
    <w:pPr>
      <w:keepNext w:val="0"/>
      <w:spacing w:before="0" w:after="240"/>
      <w:outlineLvl w:val="9"/>
    </w:pPr>
    <w:rPr>
      <w:rFonts w:cs="Times New Roman"/>
      <w:b w:val="0"/>
      <w:kern w:val="0"/>
      <w:sz w:val="24"/>
      <w:szCs w:val="24"/>
    </w:rPr>
  </w:style>
  <w:style w:type="paragraph" w:customStyle="1" w:styleId="TableTextform">
    <w:name w:val="TableText form"/>
    <w:basedOn w:val="Normal"/>
    <w:qFormat/>
    <w:rsid w:val="00A96214"/>
    <w:pPr>
      <w:spacing w:before="40"/>
      <w:jc w:val="left"/>
    </w:pPr>
    <w:rPr>
      <w:rFonts w:eastAsiaTheme="majorEastAsia" w:cs="Arial"/>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7282">
      <w:bodyDiv w:val="1"/>
      <w:marLeft w:val="0"/>
      <w:marRight w:val="0"/>
      <w:marTop w:val="0"/>
      <w:marBottom w:val="0"/>
      <w:divBdr>
        <w:top w:val="none" w:sz="0" w:space="0" w:color="auto"/>
        <w:left w:val="none" w:sz="0" w:space="0" w:color="auto"/>
        <w:bottom w:val="none" w:sz="0" w:space="0" w:color="auto"/>
        <w:right w:val="none" w:sz="0" w:space="0" w:color="auto"/>
      </w:divBdr>
      <w:divsChild>
        <w:div w:id="2098406069">
          <w:marLeft w:val="0"/>
          <w:marRight w:val="0"/>
          <w:marTop w:val="0"/>
          <w:marBottom w:val="0"/>
          <w:divBdr>
            <w:top w:val="none" w:sz="0" w:space="0" w:color="auto"/>
            <w:left w:val="none" w:sz="0" w:space="0" w:color="auto"/>
            <w:bottom w:val="none" w:sz="0" w:space="0" w:color="auto"/>
            <w:right w:val="none" w:sz="0" w:space="0" w:color="auto"/>
          </w:divBdr>
          <w:divsChild>
            <w:div w:id="674503929">
              <w:marLeft w:val="0"/>
              <w:marRight w:val="0"/>
              <w:marTop w:val="0"/>
              <w:marBottom w:val="0"/>
              <w:divBdr>
                <w:top w:val="none" w:sz="0" w:space="0" w:color="auto"/>
                <w:left w:val="none" w:sz="0" w:space="0" w:color="auto"/>
                <w:bottom w:val="none" w:sz="0" w:space="0" w:color="auto"/>
                <w:right w:val="none" w:sz="0" w:space="0" w:color="auto"/>
              </w:divBdr>
              <w:divsChild>
                <w:div w:id="570850147">
                  <w:marLeft w:val="0"/>
                  <w:marRight w:val="0"/>
                  <w:marTop w:val="0"/>
                  <w:marBottom w:val="0"/>
                  <w:divBdr>
                    <w:top w:val="none" w:sz="0" w:space="0" w:color="auto"/>
                    <w:left w:val="none" w:sz="0" w:space="0" w:color="auto"/>
                    <w:bottom w:val="none" w:sz="0" w:space="0" w:color="auto"/>
                    <w:right w:val="none" w:sz="0" w:space="0" w:color="auto"/>
                  </w:divBdr>
                  <w:divsChild>
                    <w:div w:id="1326785696">
                      <w:marLeft w:val="0"/>
                      <w:marRight w:val="0"/>
                      <w:marTop w:val="0"/>
                      <w:marBottom w:val="0"/>
                      <w:divBdr>
                        <w:top w:val="none" w:sz="0" w:space="0" w:color="auto"/>
                        <w:left w:val="none" w:sz="0" w:space="0" w:color="auto"/>
                        <w:bottom w:val="none" w:sz="0" w:space="0" w:color="auto"/>
                        <w:right w:val="none" w:sz="0" w:space="0" w:color="auto"/>
                      </w:divBdr>
                      <w:divsChild>
                        <w:div w:id="2094158058">
                          <w:marLeft w:val="0"/>
                          <w:marRight w:val="0"/>
                          <w:marTop w:val="0"/>
                          <w:marBottom w:val="0"/>
                          <w:divBdr>
                            <w:top w:val="none" w:sz="0" w:space="0" w:color="auto"/>
                            <w:left w:val="none" w:sz="0" w:space="0" w:color="auto"/>
                            <w:bottom w:val="none" w:sz="0" w:space="0" w:color="auto"/>
                            <w:right w:val="none" w:sz="0" w:space="0" w:color="auto"/>
                          </w:divBdr>
                          <w:divsChild>
                            <w:div w:id="2075083157">
                              <w:marLeft w:val="0"/>
                              <w:marRight w:val="0"/>
                              <w:marTop w:val="0"/>
                              <w:marBottom w:val="0"/>
                              <w:divBdr>
                                <w:top w:val="none" w:sz="0" w:space="0" w:color="auto"/>
                                <w:left w:val="none" w:sz="0" w:space="0" w:color="auto"/>
                                <w:bottom w:val="none" w:sz="0" w:space="0" w:color="auto"/>
                                <w:right w:val="none" w:sz="0" w:space="0" w:color="auto"/>
                              </w:divBdr>
                              <w:divsChild>
                                <w:div w:id="1239048856">
                                  <w:marLeft w:val="0"/>
                                  <w:marRight w:val="0"/>
                                  <w:marTop w:val="0"/>
                                  <w:marBottom w:val="0"/>
                                  <w:divBdr>
                                    <w:top w:val="none" w:sz="0" w:space="0" w:color="auto"/>
                                    <w:left w:val="none" w:sz="0" w:space="0" w:color="auto"/>
                                    <w:bottom w:val="none" w:sz="0" w:space="0" w:color="auto"/>
                                    <w:right w:val="none" w:sz="0" w:space="0" w:color="auto"/>
                                  </w:divBdr>
                                  <w:divsChild>
                                    <w:div w:id="187649044">
                                      <w:marLeft w:val="0"/>
                                      <w:marRight w:val="0"/>
                                      <w:marTop w:val="0"/>
                                      <w:marBottom w:val="0"/>
                                      <w:divBdr>
                                        <w:top w:val="none" w:sz="0" w:space="0" w:color="auto"/>
                                        <w:left w:val="none" w:sz="0" w:space="0" w:color="auto"/>
                                        <w:bottom w:val="none" w:sz="0" w:space="0" w:color="auto"/>
                                        <w:right w:val="none" w:sz="0" w:space="0" w:color="auto"/>
                                      </w:divBdr>
                                      <w:divsChild>
                                        <w:div w:id="385496658">
                                          <w:marLeft w:val="0"/>
                                          <w:marRight w:val="0"/>
                                          <w:marTop w:val="0"/>
                                          <w:marBottom w:val="0"/>
                                          <w:divBdr>
                                            <w:top w:val="none" w:sz="0" w:space="0" w:color="auto"/>
                                            <w:left w:val="none" w:sz="0" w:space="0" w:color="auto"/>
                                            <w:bottom w:val="none" w:sz="0" w:space="0" w:color="auto"/>
                                            <w:right w:val="none" w:sz="0" w:space="0" w:color="auto"/>
                                          </w:divBdr>
                                          <w:divsChild>
                                            <w:div w:id="1409035651">
                                              <w:marLeft w:val="0"/>
                                              <w:marRight w:val="0"/>
                                              <w:marTop w:val="0"/>
                                              <w:marBottom w:val="0"/>
                                              <w:divBdr>
                                                <w:top w:val="none" w:sz="0" w:space="0" w:color="auto"/>
                                                <w:left w:val="none" w:sz="0" w:space="0" w:color="auto"/>
                                                <w:bottom w:val="none" w:sz="0" w:space="0" w:color="auto"/>
                                                <w:right w:val="none" w:sz="0" w:space="0" w:color="auto"/>
                                              </w:divBdr>
                                              <w:divsChild>
                                                <w:div w:id="715391392">
                                                  <w:marLeft w:val="0"/>
                                                  <w:marRight w:val="0"/>
                                                  <w:marTop w:val="0"/>
                                                  <w:marBottom w:val="0"/>
                                                  <w:divBdr>
                                                    <w:top w:val="none" w:sz="0" w:space="0" w:color="auto"/>
                                                    <w:left w:val="none" w:sz="0" w:space="0" w:color="auto"/>
                                                    <w:bottom w:val="none" w:sz="0" w:space="0" w:color="auto"/>
                                                    <w:right w:val="none" w:sz="0" w:space="0" w:color="auto"/>
                                                  </w:divBdr>
                                                  <w:divsChild>
                                                    <w:div w:id="1533808138">
                                                      <w:marLeft w:val="0"/>
                                                      <w:marRight w:val="0"/>
                                                      <w:marTop w:val="0"/>
                                                      <w:marBottom w:val="0"/>
                                                      <w:divBdr>
                                                        <w:top w:val="none" w:sz="0" w:space="0" w:color="auto"/>
                                                        <w:left w:val="none" w:sz="0" w:space="0" w:color="auto"/>
                                                        <w:bottom w:val="none" w:sz="0" w:space="0" w:color="auto"/>
                                                        <w:right w:val="none" w:sz="0" w:space="0" w:color="auto"/>
                                                      </w:divBdr>
                                                      <w:divsChild>
                                                        <w:div w:id="1841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318516">
      <w:bodyDiv w:val="1"/>
      <w:marLeft w:val="0"/>
      <w:marRight w:val="0"/>
      <w:marTop w:val="0"/>
      <w:marBottom w:val="0"/>
      <w:divBdr>
        <w:top w:val="none" w:sz="0" w:space="0" w:color="auto"/>
        <w:left w:val="none" w:sz="0" w:space="0" w:color="auto"/>
        <w:bottom w:val="none" w:sz="0" w:space="0" w:color="auto"/>
        <w:right w:val="none" w:sz="0" w:space="0" w:color="auto"/>
      </w:divBdr>
    </w:div>
    <w:div w:id="647128143">
      <w:bodyDiv w:val="1"/>
      <w:marLeft w:val="0"/>
      <w:marRight w:val="0"/>
      <w:marTop w:val="0"/>
      <w:marBottom w:val="0"/>
      <w:divBdr>
        <w:top w:val="none" w:sz="0" w:space="0" w:color="auto"/>
        <w:left w:val="none" w:sz="0" w:space="0" w:color="auto"/>
        <w:bottom w:val="none" w:sz="0" w:space="0" w:color="auto"/>
        <w:right w:val="none" w:sz="0" w:space="0" w:color="auto"/>
      </w:divBdr>
    </w:div>
    <w:div w:id="712925699">
      <w:bodyDiv w:val="1"/>
      <w:marLeft w:val="0"/>
      <w:marRight w:val="0"/>
      <w:marTop w:val="0"/>
      <w:marBottom w:val="0"/>
      <w:divBdr>
        <w:top w:val="none" w:sz="0" w:space="0" w:color="auto"/>
        <w:left w:val="none" w:sz="0" w:space="0" w:color="auto"/>
        <w:bottom w:val="none" w:sz="0" w:space="0" w:color="auto"/>
        <w:right w:val="none" w:sz="0" w:space="0" w:color="auto"/>
      </w:divBdr>
    </w:div>
    <w:div w:id="19518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frs.org/issued-standards/list-of-standards/" TargetMode="External"/><Relationship Id="rId2" Type="http://schemas.openxmlformats.org/officeDocument/2006/relationships/hyperlink" Target="http://www.abs.gov.au/ausstats/abs@.nsf/mf/1292.0" TargetMode="External"/><Relationship Id="rId1" Type="http://schemas.openxmlformats.org/officeDocument/2006/relationships/hyperlink" Target="http://www.apra.gov.au/adi/PrudentialFramework/Pages/authorised-deposit-taking-institutions-ppgs.aspx" TargetMode="External"/><Relationship Id="rId4" Type="http://schemas.openxmlformats.org/officeDocument/2006/relationships/hyperlink" Target="https://www.iso.org/iso-4217-currency-codes.html"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Date xmlns="814d62cb-2db6-4c25-ab62-b9075facbc11">2018-03-20T13:00:00+00:00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158</Value>
      <Value>4</Value>
      <Value>19</Value>
      <Value>171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Financial Sector (Collection of Data) (Reporting Standard) determination No 3-36 of 2018</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337d548e-be9a-4363-bbb3-ec2b7c3daa90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5JENXJJSCC7A-445999044-7648</_dlc_DocId>
    <_dlc_DocIdUrl xmlns="814d62cb-2db6-4c25-ab62-b9075facbc11">
      <Url>https://im/teams/LEGAL/_layouts/15/DocIdRedir.aspx?ID=5JENXJJSCC7A-445999044-7648</Url>
      <Description>5JENXJJSCC7A-445999044-7648</Description>
    </_dlc_DocIdUrl>
    <APRAMeetingDate xmlns="814d62cb-2db6-4c25-ab62-b9075facbc11" xsi:nil="true"/>
    <APRAMeetingNumber xmlns="814d62cb-2db6-4c25-ab62-b9075facbc11" xsi:nil="true"/>
  </documentManagement>
</p:properties>
</file>

<file path=customXml/item3.xml><?xml version="1.0" encoding="utf-8"?>
<?mso-contentType ?>
<SharedContentType xmlns="Microsoft.SharePoint.Taxonomy.ContentTypeSync" SourceId="8aef97a4-ded2-4e4a-9fbc-e666dae3ecd2" ContentTypeId="0x0101008CA7A4F8331B45C7B0D3158B4994D0CA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1" ma:contentTypeDescription="Create a new document." ma:contentTypeScope="" ma:versionID="593a7336944447a431342e13939a075b">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2.xml><?xml version="1.0" encoding="utf-8"?>
<ds:datastoreItem xmlns:ds="http://schemas.openxmlformats.org/officeDocument/2006/customXml" ds:itemID="{5F7D65E4-C341-4218-93F1-A803338500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6914BB-32BC-4B9C-89F7-379D592D1DCE}">
  <ds:schemaRefs>
    <ds:schemaRef ds:uri="Microsoft.SharePoint.Taxonomy.ContentTypeSync"/>
  </ds:schemaRefs>
</ds:datastoreItem>
</file>

<file path=customXml/itemProps4.xml><?xml version="1.0" encoding="utf-8"?>
<ds:datastoreItem xmlns:ds="http://schemas.openxmlformats.org/officeDocument/2006/customXml" ds:itemID="{A3C84825-A9E3-497E-8BFD-53040ABE3674}">
  <ds:schemaRefs>
    <ds:schemaRef ds:uri="http://schemas.microsoft.com/sharepoint/events"/>
  </ds:schemaRefs>
</ds:datastoreItem>
</file>

<file path=customXml/itemProps5.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6.xml><?xml version="1.0" encoding="utf-8"?>
<ds:datastoreItem xmlns:ds="http://schemas.openxmlformats.org/officeDocument/2006/customXml" ds:itemID="{49DF116E-BA7E-4E8E-A8AC-270FBC40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2B1966-15D1-4469-9BC7-712D4271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3108</Words>
  <Characters>18431</Characters>
  <Application>Microsoft Office Word</Application>
  <DocSecurity>0</DocSecurity>
  <Lines>354</Lines>
  <Paragraphs>170</Paragraphs>
  <ScaleCrop>false</ScaleCrop>
  <HeadingPairs>
    <vt:vector size="2" baseType="variant">
      <vt:variant>
        <vt:lpstr>Title</vt:lpstr>
      </vt:variant>
      <vt:variant>
        <vt:i4>1</vt:i4>
      </vt:variant>
    </vt:vector>
  </HeadingPairs>
  <TitlesOfParts>
    <vt:vector size="1" baseType="lpstr">
      <vt:lpstr>normal</vt:lpstr>
    </vt:vector>
  </TitlesOfParts>
  <Company>APRA</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Financial Sector (Collection of Data) (Reporting Standard) determination No 3-36 of 2018</dc:title>
  <dc:subject/>
  <dc:creator>Say, Tiffany</dc:creator>
  <cp:keywords>[SEC=UNCLASSIFIED]</cp:keywords>
  <dc:description/>
  <cp:lastModifiedBy>Toni Michalis</cp:lastModifiedBy>
  <cp:revision>2</cp:revision>
  <cp:lastPrinted>2018-03-21T08:39:00Z</cp:lastPrinted>
  <dcterms:created xsi:type="dcterms:W3CDTF">2018-03-21T23:56:00Z</dcterms:created>
  <dcterms:modified xsi:type="dcterms:W3CDTF">2018-03-21T23:56:00Z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BE78A2F26A146F4872ED6392EAB6EEB769B26FC1</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119C1864B3C7FBAA081C2AA2D401C102E2E4734C</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BD83755837AB4BA499FDC9B9CD01C80A</vt:lpwstr>
  </property>
  <property fmtid="{D5CDD505-2E9C-101B-9397-08002B2CF9AE}" pid="16" name="PM_OriginationTimeStamp">
    <vt:lpwstr>2018-03-21T05:04:57Z</vt:lpwstr>
  </property>
  <property fmtid="{D5CDD505-2E9C-101B-9397-08002B2CF9AE}" pid="17" name="PM_Hash_Version">
    <vt:lpwstr>2016.1</vt:lpwstr>
  </property>
  <property fmtid="{D5CDD505-2E9C-101B-9397-08002B2CF9AE}" pid="18" name="PM_Hash_Salt_Prev">
    <vt:lpwstr>13C8696A20FB9AB5381BACD971B33818</vt:lpwstr>
  </property>
  <property fmtid="{D5CDD505-2E9C-101B-9397-08002B2CF9AE}" pid="19" name="PM_Hash_Salt">
    <vt:lpwstr>71060F0C4A4E40FDBE582337FC9ADA8A</vt:lpwstr>
  </property>
  <property fmtid="{D5CDD505-2E9C-101B-9397-08002B2CF9AE}" pid="20" name="PM_SecurityClassification_Prev">
    <vt:lpwstr>DLM-ONLY</vt:lpwstr>
  </property>
  <property fmtid="{D5CDD505-2E9C-101B-9397-08002B2CF9AE}" pid="21" name="PM_Qualifier_Prev">
    <vt:lpwstr>For-Official-Use-Only</vt:lpwstr>
  </property>
  <property fmtid="{D5CDD505-2E9C-101B-9397-08002B2CF9AE}" pid="22" name="ContentTypeId">
    <vt:lpwstr>0x0101008CA7A4F8331B45C7B0D3158B4994D0CA0200577EC0F5A1FBFC498F9A8436B963F8A6</vt:lpwstr>
  </property>
  <property fmtid="{D5CDD505-2E9C-101B-9397-08002B2CF9AE}" pid="23" name="IsLocked">
    <vt:lpwstr>False</vt:lpwstr>
  </property>
  <property fmtid="{D5CDD505-2E9C-101B-9397-08002B2CF9AE}" pid="24" name="APRACostCentre">
    <vt:lpwstr>158;#PAD300|98bbdbe4-d019-48eb-87c4-aa31a7f2f98f;#24;#Legal - ADI|652d8d2a-ab45-47b4-ac6e-fe6ac9299b39;#26;#Legal - Insurance: General|8229dc1a-d7f2-47b2-844a-b026fed0c13d;#83;#Legal - Insurance: Life|56f18b50-6605-4f3f-97e3-cad1cb5394e0;#93;#Legal - Insurance: Health|21611e62-d688-4f0d-8807-02701cc43699;#134;#Legal - Superannuation|cce3181d-fd23-4eee-94d3-c66abc2350cf;#4;#Legal - Resolution ＆ Corporate|696624b1-19f4-47b2-a07b-57868a922a96</vt:lpwstr>
  </property>
  <property fmtid="{D5CDD505-2E9C-101B-9397-08002B2CF9AE}" pid="25" name="RecordPoint_WorkflowType">
    <vt:lpwstr>ActiveSubmitStub</vt:lpwstr>
  </property>
  <property fmtid="{D5CDD505-2E9C-101B-9397-08002B2CF9AE}" pid="26" name="IT system type">
    <vt:lpwstr/>
  </property>
  <property fmtid="{D5CDD505-2E9C-101B-9397-08002B2CF9AE}" pid="27" name="APRACategory">
    <vt:lpwstr/>
  </property>
  <property fmtid="{D5CDD505-2E9C-101B-9397-08002B2CF9AE}" pid="28" name="APRAPRSG">
    <vt:lpwstr/>
  </property>
  <property fmtid="{D5CDD505-2E9C-101B-9397-08002B2CF9AE}" pid="29" name="APRADocumentType">
    <vt:lpwstr>234;#Explanatory statement|b22f2e2f-3f73-411b-9a7c-34264d26fa25</vt:lpwstr>
  </property>
  <property fmtid="{D5CDD505-2E9C-101B-9397-08002B2CF9AE}" pid="30" name="APRAStatus">
    <vt:lpwstr>19;#Final|84d6b2d0-8498-4d62-bf46-bab38babbe9e</vt:lpwstr>
  </property>
  <property fmtid="{D5CDD505-2E9C-101B-9397-08002B2CF9AE}" pid="31" name="APRAActivity">
    <vt:lpwstr>10;#Registration|390476ce-d76d-4e8d-905f-28e32d2df127;#109;#Statutory instrument|fe68928c-5a9c-4caf-bc8c-6c18cedcb17f</vt:lpwstr>
  </property>
  <property fmtid="{D5CDD505-2E9C-101B-9397-08002B2CF9AE}" pid="32" name="APRAEntityAdviceSupport">
    <vt:lpwstr/>
  </property>
  <property fmtid="{D5CDD505-2E9C-101B-9397-08002B2CF9AE}" pid="33" name="APRALegislation">
    <vt:lpwstr/>
  </property>
  <property fmtid="{D5CDD505-2E9C-101B-9397-08002B2CF9AE}" pid="34" name="APRAYear">
    <vt:lpwstr>171;#2018|337d548e-be9a-4363-bbb3-ec2b7c3daa90</vt:lpwstr>
  </property>
  <property fmtid="{D5CDD505-2E9C-101B-9397-08002B2CF9AE}" pid="35" name="APRAIndustry">
    <vt:lpwstr/>
  </property>
  <property fmtid="{D5CDD505-2E9C-101B-9397-08002B2CF9AE}" pid="36" name="RecordPoint_ActiveItemUniqueId">
    <vt:lpwstr>{4d8e11df-b66e-4324-bc9d-7cbeb13f6492}</vt:lpwstr>
  </property>
  <property fmtid="{D5CDD505-2E9C-101B-9397-08002B2CF9AE}" pid="37" name="APRAExternalOrganisation">
    <vt:lpwstr/>
  </property>
  <property fmtid="{D5CDD505-2E9C-101B-9397-08002B2CF9AE}" pid="38" name="APRAIRTR">
    <vt:lpwstr/>
  </property>
  <property fmtid="{D5CDD505-2E9C-101B-9397-08002B2CF9AE}" pid="39" name="APRAPeriod">
    <vt:lpwstr/>
  </property>
  <property fmtid="{D5CDD505-2E9C-101B-9397-08002B2CF9AE}" pid="40" name="RecordPoint_ActiveItemWebId">
    <vt:lpwstr>{75a71c27-8d66-4282-ae60-1bfc22a83be1}</vt:lpwstr>
  </property>
  <property fmtid="{D5CDD505-2E9C-101B-9397-08002B2CF9AE}" pid="41" name="RecordPoint_ActiveItemSiteId">
    <vt:lpwstr>{88691c01-5bbb-4215-adc0-66cb7065b0af}</vt:lpwstr>
  </property>
  <property fmtid="{D5CDD505-2E9C-101B-9397-08002B2CF9AE}" pid="42" name="RecordPoint_ActiveItemListId">
    <vt:lpwstr>{0e59e171-09d8-4401-800a-327154450cb3}</vt:lpwstr>
  </property>
  <property fmtid="{D5CDD505-2E9C-101B-9397-08002B2CF9AE}" pid="43" name="RecordPoint_RecordNumberSubmitted">
    <vt:lpwstr>R0000328974</vt:lpwstr>
  </property>
  <property fmtid="{D5CDD505-2E9C-101B-9397-08002B2CF9AE}" pid="44" name="RecordPoint_SubmissionCompleted">
    <vt:lpwstr>2018-03-22T13:24:56.4717599+11:00</vt:lpwstr>
  </property>
  <property fmtid="{D5CDD505-2E9C-101B-9397-08002B2CF9AE}" pid="45" name="_docset_NoMedatataSyncRequired">
    <vt:lpwstr>False</vt:lpwstr>
  </property>
  <property fmtid="{D5CDD505-2E9C-101B-9397-08002B2CF9AE}" pid="46" name="_dlc_DocIdItemGuid">
    <vt:lpwstr>4d8e11df-b66e-4324-bc9d-7cbeb13f6492</vt:lpwstr>
  </property>
  <property fmtid="{D5CDD505-2E9C-101B-9397-08002B2CF9AE}" pid="47" name="RecordPoint_SubmissionDate">
    <vt:lpwstr/>
  </property>
  <property fmtid="{D5CDD505-2E9C-101B-9397-08002B2CF9AE}" pid="48" name="RecordPoint_ActiveItemMoved">
    <vt:lpwstr/>
  </property>
  <property fmtid="{D5CDD505-2E9C-101B-9397-08002B2CF9AE}" pid="49" name="RecordPoint_RecordFormat">
    <vt:lpwstr/>
  </property>
</Properties>
</file>