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E781" w14:textId="77777777" w:rsidR="00715914" w:rsidRPr="005F1388" w:rsidRDefault="00DA186E" w:rsidP="00715914">
      <w:pPr>
        <w:rPr>
          <w:sz w:val="28"/>
        </w:rPr>
      </w:pPr>
      <w:r>
        <w:rPr>
          <w:noProof/>
          <w:lang w:eastAsia="en-AU"/>
        </w:rPr>
        <w:drawing>
          <wp:inline distT="0" distB="0" distL="0" distR="0" wp14:anchorId="06618ACE" wp14:editId="6716AF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212CD0" w14:textId="77777777" w:rsidR="00715914" w:rsidRPr="00E500D4" w:rsidRDefault="00715914" w:rsidP="00715914">
      <w:pPr>
        <w:rPr>
          <w:sz w:val="19"/>
        </w:rPr>
      </w:pPr>
    </w:p>
    <w:p w14:paraId="4BC0DF3C" w14:textId="33FA612B" w:rsidR="00554826" w:rsidRPr="00E500D4" w:rsidRDefault="00C85E13" w:rsidP="00554826">
      <w:pPr>
        <w:pStyle w:val="ShortT"/>
      </w:pPr>
      <w:r>
        <w:t>International Air Services Commission</w:t>
      </w:r>
      <w:r w:rsidR="00554826" w:rsidRPr="00DA182D">
        <w:t xml:space="preserve"> </w:t>
      </w:r>
      <w:r>
        <w:t>Policy Statement</w:t>
      </w:r>
      <w:r w:rsidR="00554826">
        <w:t xml:space="preserve"> </w:t>
      </w:r>
      <w:r>
        <w:t>201</w:t>
      </w:r>
      <w:r w:rsidR="00C86713">
        <w:t>8</w:t>
      </w:r>
    </w:p>
    <w:p w14:paraId="4140D910" w14:textId="6DCDC6F6" w:rsidR="00554826" w:rsidRPr="00DA182D" w:rsidRDefault="00554826" w:rsidP="00554826">
      <w:pPr>
        <w:pStyle w:val="SignCoverPageStart"/>
        <w:spacing w:before="240"/>
        <w:ind w:right="91"/>
        <w:rPr>
          <w:szCs w:val="22"/>
        </w:rPr>
      </w:pPr>
      <w:r w:rsidRPr="00DA182D">
        <w:rPr>
          <w:szCs w:val="22"/>
        </w:rPr>
        <w:t xml:space="preserve">I, </w:t>
      </w:r>
      <w:r w:rsidR="002C1AB1">
        <w:rPr>
          <w:szCs w:val="22"/>
        </w:rPr>
        <w:t>Michael McCormack</w:t>
      </w:r>
      <w:r w:rsidRPr="00DA182D">
        <w:rPr>
          <w:szCs w:val="22"/>
        </w:rPr>
        <w:t xml:space="preserve">, </w:t>
      </w:r>
      <w:r w:rsidR="002C1AB1">
        <w:rPr>
          <w:szCs w:val="22"/>
        </w:rPr>
        <w:t xml:space="preserve">Deputy Prime </w:t>
      </w:r>
      <w:r w:rsidR="008B207C">
        <w:rPr>
          <w:szCs w:val="22"/>
        </w:rPr>
        <w:t xml:space="preserve">Minister </w:t>
      </w:r>
      <w:r w:rsidR="002C1AB1">
        <w:rPr>
          <w:szCs w:val="22"/>
        </w:rPr>
        <w:t xml:space="preserve">and Minister </w:t>
      </w:r>
      <w:r w:rsidR="008B207C">
        <w:rPr>
          <w:szCs w:val="22"/>
        </w:rPr>
        <w:t xml:space="preserve">for </w:t>
      </w:r>
      <w:r w:rsidR="002C1AB1">
        <w:rPr>
          <w:szCs w:val="22"/>
        </w:rPr>
        <w:t>Infrastructure and Transport</w:t>
      </w:r>
      <w:r w:rsidRPr="00DA182D">
        <w:rPr>
          <w:szCs w:val="22"/>
        </w:rPr>
        <w:t xml:space="preserve">, </w:t>
      </w:r>
      <w:r w:rsidR="00C85E13">
        <w:rPr>
          <w:szCs w:val="22"/>
        </w:rPr>
        <w:t xml:space="preserve">make the following </w:t>
      </w:r>
      <w:r w:rsidR="00396772">
        <w:rPr>
          <w:szCs w:val="22"/>
        </w:rPr>
        <w:t>policy statement</w:t>
      </w:r>
      <w:r w:rsidRPr="00DA182D">
        <w:rPr>
          <w:szCs w:val="22"/>
        </w:rPr>
        <w:t>.</w:t>
      </w:r>
    </w:p>
    <w:p w14:paraId="6FD4139A" w14:textId="49479A86" w:rsidR="00554826" w:rsidRPr="00001A63" w:rsidRDefault="00554826" w:rsidP="00554826">
      <w:pPr>
        <w:keepNext/>
        <w:spacing w:before="300" w:line="240" w:lineRule="atLeast"/>
        <w:ind w:right="397"/>
        <w:jc w:val="both"/>
        <w:rPr>
          <w:szCs w:val="22"/>
        </w:rPr>
      </w:pPr>
      <w:r>
        <w:rPr>
          <w:szCs w:val="22"/>
        </w:rPr>
        <w:t>Dated</w:t>
      </w:r>
      <w:r w:rsidR="00C43C88">
        <w:rPr>
          <w:szCs w:val="22"/>
        </w:rPr>
        <w:t xml:space="preserve"> 20 </w:t>
      </w:r>
      <w:r w:rsidR="00396772">
        <w:rPr>
          <w:szCs w:val="22"/>
        </w:rPr>
        <w:t>March 2018</w:t>
      </w:r>
      <w:bookmarkStart w:id="0" w:name="_GoBack"/>
      <w:bookmarkEnd w:id="0"/>
    </w:p>
    <w:p w14:paraId="3600DE27" w14:textId="11AD58D4" w:rsidR="00554826" w:rsidRDefault="002C1AB1" w:rsidP="00554826">
      <w:pPr>
        <w:keepNext/>
        <w:tabs>
          <w:tab w:val="left" w:pos="3402"/>
        </w:tabs>
        <w:spacing w:before="1440" w:line="300" w:lineRule="atLeast"/>
        <w:ind w:right="397"/>
        <w:rPr>
          <w:b/>
          <w:szCs w:val="22"/>
        </w:rPr>
      </w:pPr>
      <w:r>
        <w:rPr>
          <w:szCs w:val="22"/>
        </w:rPr>
        <w:t>Michael McCormack</w:t>
      </w:r>
      <w:r w:rsidR="00396772">
        <w:rPr>
          <w:szCs w:val="22"/>
        </w:rPr>
        <w:t xml:space="preserve"> </w:t>
      </w:r>
    </w:p>
    <w:p w14:paraId="5A574486" w14:textId="7FE5FCB3" w:rsidR="00554826" w:rsidRPr="008E0027" w:rsidRDefault="002C1AB1" w:rsidP="00554826">
      <w:pPr>
        <w:pStyle w:val="SignCoverPageEnd"/>
        <w:ind w:right="91"/>
        <w:rPr>
          <w:sz w:val="22"/>
        </w:rPr>
      </w:pPr>
      <w:r w:rsidRPr="002C1AB1">
        <w:rPr>
          <w:sz w:val="22"/>
        </w:rPr>
        <w:t>Deputy Prime Minister and Minister for Infrastructure and Transport</w:t>
      </w:r>
    </w:p>
    <w:p w14:paraId="60ECB805" w14:textId="77777777" w:rsidR="00554826" w:rsidRDefault="00554826" w:rsidP="00554826"/>
    <w:p w14:paraId="745C94DE" w14:textId="77777777" w:rsidR="00554826" w:rsidRPr="00ED79B6" w:rsidRDefault="00554826" w:rsidP="00554826"/>
    <w:p w14:paraId="1EC80EEC" w14:textId="77777777" w:rsidR="00F6696E" w:rsidRDefault="00F6696E" w:rsidP="00F6696E"/>
    <w:p w14:paraId="7BF13A63"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059F32E" w14:textId="77777777" w:rsidR="007500C8" w:rsidRDefault="00715914" w:rsidP="00715914">
      <w:pPr>
        <w:outlineLvl w:val="0"/>
        <w:rPr>
          <w:sz w:val="36"/>
        </w:rPr>
      </w:pPr>
      <w:r w:rsidRPr="007A1328">
        <w:rPr>
          <w:sz w:val="36"/>
        </w:rPr>
        <w:lastRenderedPageBreak/>
        <w:t>Contents</w:t>
      </w:r>
    </w:p>
    <w:p w14:paraId="45D3186F" w14:textId="77777777" w:rsidR="00C85E13" w:rsidRDefault="00C85E13">
      <w:pPr>
        <w:pStyle w:val="TOC5"/>
      </w:pPr>
    </w:p>
    <w:p w14:paraId="1AE55297" w14:textId="21ADBFD5" w:rsidR="009A0AA9"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9A0AA9">
        <w:rPr>
          <w:noProof/>
        </w:rPr>
        <w:t>Part 1—Preliminary</w:t>
      </w:r>
      <w:r w:rsidR="009A0AA9">
        <w:rPr>
          <w:noProof/>
        </w:rPr>
        <w:tab/>
      </w:r>
      <w:r w:rsidR="009A0AA9">
        <w:rPr>
          <w:noProof/>
        </w:rPr>
        <w:fldChar w:fldCharType="begin"/>
      </w:r>
      <w:r w:rsidR="009A0AA9">
        <w:rPr>
          <w:noProof/>
        </w:rPr>
        <w:instrText xml:space="preserve"> PAGEREF _Toc507400039 \h </w:instrText>
      </w:r>
      <w:r w:rsidR="009A0AA9">
        <w:rPr>
          <w:noProof/>
        </w:rPr>
      </w:r>
      <w:r w:rsidR="009A0AA9">
        <w:rPr>
          <w:noProof/>
        </w:rPr>
        <w:fldChar w:fldCharType="separate"/>
      </w:r>
      <w:r w:rsidR="009A0AA9">
        <w:rPr>
          <w:noProof/>
        </w:rPr>
        <w:t>1</w:t>
      </w:r>
      <w:r w:rsidR="009A0AA9">
        <w:rPr>
          <w:noProof/>
        </w:rPr>
        <w:fldChar w:fldCharType="end"/>
      </w:r>
    </w:p>
    <w:p w14:paraId="6A9E3CC0" w14:textId="02AFB1F2" w:rsidR="009A0AA9" w:rsidRDefault="009A0AA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_Toc507400040 \h </w:instrText>
      </w:r>
      <w:r>
        <w:rPr>
          <w:noProof/>
        </w:rPr>
      </w:r>
      <w:r>
        <w:rPr>
          <w:noProof/>
        </w:rPr>
        <w:fldChar w:fldCharType="separate"/>
      </w:r>
      <w:r>
        <w:rPr>
          <w:noProof/>
        </w:rPr>
        <w:t>1</w:t>
      </w:r>
      <w:r>
        <w:rPr>
          <w:noProof/>
        </w:rPr>
        <w:fldChar w:fldCharType="end"/>
      </w:r>
    </w:p>
    <w:p w14:paraId="538D800B" w14:textId="12A182E3" w:rsidR="009A0AA9" w:rsidRDefault="009A0AA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_Toc507400041 \h </w:instrText>
      </w:r>
      <w:r>
        <w:rPr>
          <w:noProof/>
        </w:rPr>
      </w:r>
      <w:r>
        <w:rPr>
          <w:noProof/>
        </w:rPr>
        <w:fldChar w:fldCharType="separate"/>
      </w:r>
      <w:r>
        <w:rPr>
          <w:noProof/>
        </w:rPr>
        <w:t>1</w:t>
      </w:r>
      <w:r>
        <w:rPr>
          <w:noProof/>
        </w:rPr>
        <w:fldChar w:fldCharType="end"/>
      </w:r>
    </w:p>
    <w:p w14:paraId="76760E38" w14:textId="1C5858CB" w:rsidR="009A0AA9" w:rsidRDefault="009A0AA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_Toc507400042 \h </w:instrText>
      </w:r>
      <w:r>
        <w:rPr>
          <w:noProof/>
        </w:rPr>
      </w:r>
      <w:r>
        <w:rPr>
          <w:noProof/>
        </w:rPr>
        <w:fldChar w:fldCharType="separate"/>
      </w:r>
      <w:r>
        <w:rPr>
          <w:noProof/>
        </w:rPr>
        <w:t>1</w:t>
      </w:r>
      <w:r>
        <w:rPr>
          <w:noProof/>
        </w:rPr>
        <w:fldChar w:fldCharType="end"/>
      </w:r>
    </w:p>
    <w:p w14:paraId="2A0C6D96" w14:textId="3AD18405" w:rsidR="009A0AA9" w:rsidRDefault="009A0AA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_Toc507400043 \h </w:instrText>
      </w:r>
      <w:r>
        <w:rPr>
          <w:noProof/>
        </w:rPr>
      </w:r>
      <w:r>
        <w:rPr>
          <w:noProof/>
        </w:rPr>
        <w:fldChar w:fldCharType="separate"/>
      </w:r>
      <w:r>
        <w:rPr>
          <w:noProof/>
        </w:rPr>
        <w:t>1</w:t>
      </w:r>
      <w:r>
        <w:rPr>
          <w:noProof/>
        </w:rPr>
        <w:fldChar w:fldCharType="end"/>
      </w:r>
    </w:p>
    <w:p w14:paraId="39D4D50E" w14:textId="7DB568FB" w:rsidR="009A0AA9" w:rsidRDefault="009A0AA9">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_Toc507400044 \h </w:instrText>
      </w:r>
      <w:r>
        <w:rPr>
          <w:noProof/>
        </w:rPr>
      </w:r>
      <w:r>
        <w:rPr>
          <w:noProof/>
        </w:rPr>
        <w:fldChar w:fldCharType="separate"/>
      </w:r>
      <w:r>
        <w:rPr>
          <w:noProof/>
        </w:rPr>
        <w:t>2</w:t>
      </w:r>
      <w:r>
        <w:rPr>
          <w:noProof/>
        </w:rPr>
        <w:fldChar w:fldCharType="end"/>
      </w:r>
    </w:p>
    <w:p w14:paraId="34FE5174" w14:textId="52943CC0" w:rsidR="009A0AA9" w:rsidRDefault="009A0AA9">
      <w:pPr>
        <w:pStyle w:val="TOC5"/>
        <w:rPr>
          <w:rFonts w:asciiTheme="minorHAnsi" w:eastAsiaTheme="minorEastAsia" w:hAnsiTheme="minorHAnsi" w:cstheme="minorBidi"/>
          <w:noProof/>
          <w:kern w:val="0"/>
          <w:sz w:val="22"/>
          <w:szCs w:val="22"/>
        </w:rPr>
      </w:pPr>
      <w:r>
        <w:rPr>
          <w:noProof/>
        </w:rPr>
        <w:t>6  Object</w:t>
      </w:r>
      <w:r>
        <w:rPr>
          <w:noProof/>
        </w:rPr>
        <w:tab/>
      </w:r>
      <w:r>
        <w:rPr>
          <w:noProof/>
        </w:rPr>
        <w:fldChar w:fldCharType="begin"/>
      </w:r>
      <w:r>
        <w:rPr>
          <w:noProof/>
        </w:rPr>
        <w:instrText xml:space="preserve"> PAGEREF _Toc507400045 \h </w:instrText>
      </w:r>
      <w:r>
        <w:rPr>
          <w:noProof/>
        </w:rPr>
      </w:r>
      <w:r>
        <w:rPr>
          <w:noProof/>
        </w:rPr>
        <w:fldChar w:fldCharType="separate"/>
      </w:r>
      <w:r>
        <w:rPr>
          <w:noProof/>
        </w:rPr>
        <w:t>2</w:t>
      </w:r>
      <w:r>
        <w:rPr>
          <w:noProof/>
        </w:rPr>
        <w:fldChar w:fldCharType="end"/>
      </w:r>
    </w:p>
    <w:p w14:paraId="1B87A10A" w14:textId="7761CBD1" w:rsidR="009A0AA9" w:rsidRDefault="009A0AA9">
      <w:pPr>
        <w:pStyle w:val="TOC2"/>
        <w:rPr>
          <w:rFonts w:asciiTheme="minorHAnsi" w:eastAsiaTheme="minorEastAsia" w:hAnsiTheme="minorHAnsi" w:cstheme="minorBidi"/>
          <w:b w:val="0"/>
          <w:noProof/>
          <w:kern w:val="0"/>
          <w:sz w:val="22"/>
          <w:szCs w:val="22"/>
        </w:rPr>
      </w:pPr>
      <w:r>
        <w:rPr>
          <w:noProof/>
        </w:rPr>
        <w:t>Part 2—Criteria for assessing benefit to the public</w:t>
      </w:r>
      <w:r>
        <w:rPr>
          <w:noProof/>
        </w:rPr>
        <w:tab/>
      </w:r>
      <w:r>
        <w:rPr>
          <w:noProof/>
        </w:rPr>
        <w:fldChar w:fldCharType="begin"/>
      </w:r>
      <w:r>
        <w:rPr>
          <w:noProof/>
        </w:rPr>
        <w:instrText xml:space="preserve"> PAGEREF _Toc507400046 \h </w:instrText>
      </w:r>
      <w:r>
        <w:rPr>
          <w:noProof/>
        </w:rPr>
      </w:r>
      <w:r>
        <w:rPr>
          <w:noProof/>
        </w:rPr>
        <w:fldChar w:fldCharType="separate"/>
      </w:r>
      <w:r>
        <w:rPr>
          <w:noProof/>
        </w:rPr>
        <w:t>3</w:t>
      </w:r>
      <w:r>
        <w:rPr>
          <w:noProof/>
        </w:rPr>
        <w:fldChar w:fldCharType="end"/>
      </w:r>
    </w:p>
    <w:p w14:paraId="3D39C491" w14:textId="5A5D5BB0" w:rsidR="009A0AA9" w:rsidRDefault="009A0AA9">
      <w:pPr>
        <w:pStyle w:val="TOC5"/>
        <w:rPr>
          <w:rFonts w:asciiTheme="minorHAnsi" w:eastAsiaTheme="minorEastAsia" w:hAnsiTheme="minorHAnsi" w:cstheme="minorBidi"/>
          <w:noProof/>
          <w:kern w:val="0"/>
          <w:sz w:val="22"/>
          <w:szCs w:val="22"/>
        </w:rPr>
      </w:pPr>
      <w:r>
        <w:rPr>
          <w:noProof/>
        </w:rPr>
        <w:t>7  Explanatory outline of this Part</w:t>
      </w:r>
      <w:r>
        <w:rPr>
          <w:noProof/>
        </w:rPr>
        <w:tab/>
      </w:r>
      <w:r>
        <w:rPr>
          <w:noProof/>
        </w:rPr>
        <w:fldChar w:fldCharType="begin"/>
      </w:r>
      <w:r>
        <w:rPr>
          <w:noProof/>
        </w:rPr>
        <w:instrText xml:space="preserve"> PAGEREF _Toc507400047 \h </w:instrText>
      </w:r>
      <w:r>
        <w:rPr>
          <w:noProof/>
        </w:rPr>
      </w:r>
      <w:r>
        <w:rPr>
          <w:noProof/>
        </w:rPr>
        <w:fldChar w:fldCharType="separate"/>
      </w:r>
      <w:r>
        <w:rPr>
          <w:noProof/>
        </w:rPr>
        <w:t>3</w:t>
      </w:r>
      <w:r>
        <w:rPr>
          <w:noProof/>
        </w:rPr>
        <w:fldChar w:fldCharType="end"/>
      </w:r>
    </w:p>
    <w:p w14:paraId="6C36B089" w14:textId="7EC75AEF" w:rsidR="009A0AA9" w:rsidRDefault="009A0AA9">
      <w:pPr>
        <w:pStyle w:val="TOC5"/>
        <w:rPr>
          <w:rFonts w:asciiTheme="minorHAnsi" w:eastAsiaTheme="minorEastAsia" w:hAnsiTheme="minorHAnsi" w:cstheme="minorBidi"/>
          <w:noProof/>
          <w:kern w:val="0"/>
          <w:sz w:val="22"/>
          <w:szCs w:val="22"/>
        </w:rPr>
      </w:pPr>
      <w:r>
        <w:rPr>
          <w:noProof/>
        </w:rPr>
        <w:t>8  Reasonable capability criterion</w:t>
      </w:r>
      <w:r>
        <w:rPr>
          <w:noProof/>
        </w:rPr>
        <w:tab/>
      </w:r>
      <w:r>
        <w:rPr>
          <w:noProof/>
        </w:rPr>
        <w:fldChar w:fldCharType="begin"/>
      </w:r>
      <w:r>
        <w:rPr>
          <w:noProof/>
        </w:rPr>
        <w:instrText xml:space="preserve"> PAGEREF _Toc507400048 \h </w:instrText>
      </w:r>
      <w:r>
        <w:rPr>
          <w:noProof/>
        </w:rPr>
      </w:r>
      <w:r>
        <w:rPr>
          <w:noProof/>
        </w:rPr>
        <w:fldChar w:fldCharType="separate"/>
      </w:r>
      <w:r>
        <w:rPr>
          <w:noProof/>
        </w:rPr>
        <w:t>3</w:t>
      </w:r>
      <w:r>
        <w:rPr>
          <w:noProof/>
        </w:rPr>
        <w:fldChar w:fldCharType="end"/>
      </w:r>
    </w:p>
    <w:p w14:paraId="091F6B03" w14:textId="50F86D60" w:rsidR="009A0AA9" w:rsidRDefault="009A0AA9">
      <w:pPr>
        <w:pStyle w:val="TOC5"/>
        <w:rPr>
          <w:rFonts w:asciiTheme="minorHAnsi" w:eastAsiaTheme="minorEastAsia" w:hAnsiTheme="minorHAnsi" w:cstheme="minorBidi"/>
          <w:noProof/>
          <w:kern w:val="0"/>
          <w:sz w:val="22"/>
          <w:szCs w:val="22"/>
        </w:rPr>
      </w:pPr>
      <w:r>
        <w:rPr>
          <w:noProof/>
        </w:rPr>
        <w:t>9  Additional criteria</w:t>
      </w:r>
      <w:r>
        <w:rPr>
          <w:noProof/>
        </w:rPr>
        <w:tab/>
      </w:r>
      <w:r>
        <w:rPr>
          <w:noProof/>
        </w:rPr>
        <w:fldChar w:fldCharType="begin"/>
      </w:r>
      <w:r>
        <w:rPr>
          <w:noProof/>
        </w:rPr>
        <w:instrText xml:space="preserve"> PAGEREF _Toc507400049 \h </w:instrText>
      </w:r>
      <w:r>
        <w:rPr>
          <w:noProof/>
        </w:rPr>
      </w:r>
      <w:r>
        <w:rPr>
          <w:noProof/>
        </w:rPr>
        <w:fldChar w:fldCharType="separate"/>
      </w:r>
      <w:r>
        <w:rPr>
          <w:noProof/>
        </w:rPr>
        <w:t>3</w:t>
      </w:r>
      <w:r>
        <w:rPr>
          <w:noProof/>
        </w:rPr>
        <w:fldChar w:fldCharType="end"/>
      </w:r>
    </w:p>
    <w:p w14:paraId="155913A8" w14:textId="7EBDD897" w:rsidR="009A0AA9" w:rsidRDefault="009A0AA9">
      <w:pPr>
        <w:pStyle w:val="TOC2"/>
        <w:rPr>
          <w:rFonts w:asciiTheme="minorHAnsi" w:eastAsiaTheme="minorEastAsia" w:hAnsiTheme="minorHAnsi" w:cstheme="minorBidi"/>
          <w:b w:val="0"/>
          <w:noProof/>
          <w:kern w:val="0"/>
          <w:sz w:val="22"/>
          <w:szCs w:val="22"/>
        </w:rPr>
      </w:pPr>
      <w:r>
        <w:rPr>
          <w:noProof/>
        </w:rPr>
        <w:t>Part 3—How the Commission is to assess benefit to the public</w:t>
      </w:r>
      <w:r>
        <w:rPr>
          <w:noProof/>
        </w:rPr>
        <w:tab/>
      </w:r>
      <w:r>
        <w:rPr>
          <w:noProof/>
        </w:rPr>
        <w:fldChar w:fldCharType="begin"/>
      </w:r>
      <w:r>
        <w:rPr>
          <w:noProof/>
        </w:rPr>
        <w:instrText xml:space="preserve"> PAGEREF _Toc507400050 \h </w:instrText>
      </w:r>
      <w:r>
        <w:rPr>
          <w:noProof/>
        </w:rPr>
      </w:r>
      <w:r>
        <w:rPr>
          <w:noProof/>
        </w:rPr>
        <w:fldChar w:fldCharType="separate"/>
      </w:r>
      <w:r>
        <w:rPr>
          <w:noProof/>
        </w:rPr>
        <w:t>5</w:t>
      </w:r>
      <w:r>
        <w:rPr>
          <w:noProof/>
        </w:rPr>
        <w:fldChar w:fldCharType="end"/>
      </w:r>
    </w:p>
    <w:p w14:paraId="1553C50A" w14:textId="5DB61B81" w:rsidR="009A0AA9" w:rsidRDefault="009A0AA9">
      <w:pPr>
        <w:pStyle w:val="TOC3"/>
        <w:rPr>
          <w:rFonts w:asciiTheme="minorHAnsi" w:eastAsiaTheme="minorEastAsia" w:hAnsiTheme="minorHAnsi" w:cstheme="minorBidi"/>
          <w:b w:val="0"/>
          <w:noProof/>
          <w:kern w:val="0"/>
          <w:szCs w:val="22"/>
        </w:rPr>
      </w:pPr>
      <w:r>
        <w:rPr>
          <w:noProof/>
        </w:rPr>
        <w:t>Division 1—Outline</w:t>
      </w:r>
      <w:r>
        <w:rPr>
          <w:noProof/>
        </w:rPr>
        <w:tab/>
      </w:r>
      <w:r>
        <w:rPr>
          <w:noProof/>
        </w:rPr>
        <w:fldChar w:fldCharType="begin"/>
      </w:r>
      <w:r>
        <w:rPr>
          <w:noProof/>
        </w:rPr>
        <w:instrText xml:space="preserve"> PAGEREF _Toc507400051 \h </w:instrText>
      </w:r>
      <w:r>
        <w:rPr>
          <w:noProof/>
        </w:rPr>
      </w:r>
      <w:r>
        <w:rPr>
          <w:noProof/>
        </w:rPr>
        <w:fldChar w:fldCharType="separate"/>
      </w:r>
      <w:r>
        <w:rPr>
          <w:noProof/>
        </w:rPr>
        <w:t>5</w:t>
      </w:r>
      <w:r>
        <w:rPr>
          <w:noProof/>
        </w:rPr>
        <w:fldChar w:fldCharType="end"/>
      </w:r>
    </w:p>
    <w:p w14:paraId="49BABC2A" w14:textId="254751BD" w:rsidR="009A0AA9" w:rsidRDefault="009A0AA9">
      <w:pPr>
        <w:pStyle w:val="TOC5"/>
        <w:rPr>
          <w:rFonts w:asciiTheme="minorHAnsi" w:eastAsiaTheme="minorEastAsia" w:hAnsiTheme="minorHAnsi" w:cstheme="minorBidi"/>
          <w:noProof/>
          <w:kern w:val="0"/>
          <w:sz w:val="22"/>
          <w:szCs w:val="22"/>
        </w:rPr>
      </w:pPr>
      <w:r>
        <w:rPr>
          <w:noProof/>
        </w:rPr>
        <w:t>10  Explanatory outline of this Part</w:t>
      </w:r>
      <w:r>
        <w:rPr>
          <w:noProof/>
        </w:rPr>
        <w:tab/>
      </w:r>
      <w:r>
        <w:rPr>
          <w:noProof/>
        </w:rPr>
        <w:fldChar w:fldCharType="begin"/>
      </w:r>
      <w:r>
        <w:rPr>
          <w:noProof/>
        </w:rPr>
        <w:instrText xml:space="preserve"> PAGEREF _Toc507400052 \h </w:instrText>
      </w:r>
      <w:r>
        <w:rPr>
          <w:noProof/>
        </w:rPr>
      </w:r>
      <w:r>
        <w:rPr>
          <w:noProof/>
        </w:rPr>
        <w:fldChar w:fldCharType="separate"/>
      </w:r>
      <w:r>
        <w:rPr>
          <w:noProof/>
        </w:rPr>
        <w:t>5</w:t>
      </w:r>
      <w:r>
        <w:rPr>
          <w:noProof/>
        </w:rPr>
        <w:fldChar w:fldCharType="end"/>
      </w:r>
    </w:p>
    <w:p w14:paraId="1BD1858E" w14:textId="567D15F7" w:rsidR="009A0AA9" w:rsidRDefault="009A0AA9">
      <w:pPr>
        <w:pStyle w:val="TOC3"/>
        <w:rPr>
          <w:rFonts w:asciiTheme="minorHAnsi" w:eastAsiaTheme="minorEastAsia" w:hAnsiTheme="minorHAnsi" w:cstheme="minorBidi"/>
          <w:b w:val="0"/>
          <w:noProof/>
          <w:kern w:val="0"/>
          <w:szCs w:val="22"/>
        </w:rPr>
      </w:pPr>
      <w:r>
        <w:rPr>
          <w:noProof/>
        </w:rPr>
        <w:t>Division 2—Determinations allocating capacity</w:t>
      </w:r>
      <w:r>
        <w:rPr>
          <w:noProof/>
        </w:rPr>
        <w:tab/>
      </w:r>
      <w:r>
        <w:rPr>
          <w:noProof/>
        </w:rPr>
        <w:fldChar w:fldCharType="begin"/>
      </w:r>
      <w:r>
        <w:rPr>
          <w:noProof/>
        </w:rPr>
        <w:instrText xml:space="preserve"> PAGEREF _Toc507400053 \h </w:instrText>
      </w:r>
      <w:r>
        <w:rPr>
          <w:noProof/>
        </w:rPr>
      </w:r>
      <w:r>
        <w:rPr>
          <w:noProof/>
        </w:rPr>
        <w:fldChar w:fldCharType="separate"/>
      </w:r>
      <w:r>
        <w:rPr>
          <w:noProof/>
        </w:rPr>
        <w:t>7</w:t>
      </w:r>
      <w:r>
        <w:rPr>
          <w:noProof/>
        </w:rPr>
        <w:fldChar w:fldCharType="end"/>
      </w:r>
    </w:p>
    <w:p w14:paraId="4FFD5A72" w14:textId="3A5C1485" w:rsidR="009A0AA9" w:rsidRDefault="009A0AA9">
      <w:pPr>
        <w:pStyle w:val="TOC5"/>
        <w:rPr>
          <w:rFonts w:asciiTheme="minorHAnsi" w:eastAsiaTheme="minorEastAsia" w:hAnsiTheme="minorHAnsi" w:cstheme="minorBidi"/>
          <w:noProof/>
          <w:kern w:val="0"/>
          <w:sz w:val="22"/>
          <w:szCs w:val="22"/>
        </w:rPr>
      </w:pPr>
      <w:r>
        <w:rPr>
          <w:noProof/>
        </w:rPr>
        <w:t>11  Available capacity not limited</w:t>
      </w:r>
      <w:r>
        <w:rPr>
          <w:noProof/>
        </w:rPr>
        <w:tab/>
      </w:r>
      <w:r>
        <w:rPr>
          <w:noProof/>
        </w:rPr>
        <w:fldChar w:fldCharType="begin"/>
      </w:r>
      <w:r>
        <w:rPr>
          <w:noProof/>
        </w:rPr>
        <w:instrText xml:space="preserve"> PAGEREF _Toc507400054 \h </w:instrText>
      </w:r>
      <w:r>
        <w:rPr>
          <w:noProof/>
        </w:rPr>
      </w:r>
      <w:r>
        <w:rPr>
          <w:noProof/>
        </w:rPr>
        <w:fldChar w:fldCharType="separate"/>
      </w:r>
      <w:r>
        <w:rPr>
          <w:noProof/>
        </w:rPr>
        <w:t>7</w:t>
      </w:r>
      <w:r>
        <w:rPr>
          <w:noProof/>
        </w:rPr>
        <w:fldChar w:fldCharType="end"/>
      </w:r>
    </w:p>
    <w:p w14:paraId="4583BAA7" w14:textId="5093FC4E" w:rsidR="009A0AA9" w:rsidRDefault="009A0AA9">
      <w:pPr>
        <w:pStyle w:val="TOC5"/>
        <w:rPr>
          <w:rFonts w:asciiTheme="minorHAnsi" w:eastAsiaTheme="minorEastAsia" w:hAnsiTheme="minorHAnsi" w:cstheme="minorBidi"/>
          <w:noProof/>
          <w:kern w:val="0"/>
          <w:sz w:val="22"/>
          <w:szCs w:val="22"/>
        </w:rPr>
      </w:pPr>
      <w:r>
        <w:rPr>
          <w:noProof/>
        </w:rPr>
        <w:t>12  One or more applicants and sufficient available capacity</w:t>
      </w:r>
      <w:r>
        <w:rPr>
          <w:noProof/>
        </w:rPr>
        <w:tab/>
      </w:r>
      <w:r>
        <w:rPr>
          <w:noProof/>
        </w:rPr>
        <w:fldChar w:fldCharType="begin"/>
      </w:r>
      <w:r>
        <w:rPr>
          <w:noProof/>
        </w:rPr>
        <w:instrText xml:space="preserve"> PAGEREF _Toc507400055 \h </w:instrText>
      </w:r>
      <w:r>
        <w:rPr>
          <w:noProof/>
        </w:rPr>
      </w:r>
      <w:r>
        <w:rPr>
          <w:noProof/>
        </w:rPr>
        <w:fldChar w:fldCharType="separate"/>
      </w:r>
      <w:r>
        <w:rPr>
          <w:noProof/>
        </w:rPr>
        <w:t>7</w:t>
      </w:r>
      <w:r>
        <w:rPr>
          <w:noProof/>
        </w:rPr>
        <w:fldChar w:fldCharType="end"/>
      </w:r>
    </w:p>
    <w:p w14:paraId="699C8071" w14:textId="6F131DC0" w:rsidR="009A0AA9" w:rsidRDefault="009A0AA9">
      <w:pPr>
        <w:pStyle w:val="TOC5"/>
        <w:rPr>
          <w:rFonts w:asciiTheme="minorHAnsi" w:eastAsiaTheme="minorEastAsia" w:hAnsiTheme="minorHAnsi" w:cstheme="minorBidi"/>
          <w:noProof/>
          <w:kern w:val="0"/>
          <w:sz w:val="22"/>
          <w:szCs w:val="22"/>
        </w:rPr>
      </w:pPr>
      <w:r>
        <w:rPr>
          <w:noProof/>
        </w:rPr>
        <w:t>13  All other cases (including two or more applicants and insufficient capacity)</w:t>
      </w:r>
      <w:r>
        <w:rPr>
          <w:noProof/>
        </w:rPr>
        <w:tab/>
      </w:r>
      <w:r>
        <w:rPr>
          <w:noProof/>
        </w:rPr>
        <w:fldChar w:fldCharType="begin"/>
      </w:r>
      <w:r>
        <w:rPr>
          <w:noProof/>
        </w:rPr>
        <w:instrText xml:space="preserve"> PAGEREF _Toc507400056 \h </w:instrText>
      </w:r>
      <w:r>
        <w:rPr>
          <w:noProof/>
        </w:rPr>
      </w:r>
      <w:r>
        <w:rPr>
          <w:noProof/>
        </w:rPr>
        <w:fldChar w:fldCharType="separate"/>
      </w:r>
      <w:r>
        <w:rPr>
          <w:noProof/>
        </w:rPr>
        <w:t>7</w:t>
      </w:r>
      <w:r>
        <w:rPr>
          <w:noProof/>
        </w:rPr>
        <w:fldChar w:fldCharType="end"/>
      </w:r>
    </w:p>
    <w:p w14:paraId="33F85ED8" w14:textId="6D5A1A00" w:rsidR="009A0AA9" w:rsidRDefault="009A0AA9">
      <w:pPr>
        <w:pStyle w:val="TOC3"/>
        <w:rPr>
          <w:rFonts w:asciiTheme="minorHAnsi" w:eastAsiaTheme="minorEastAsia" w:hAnsiTheme="minorHAnsi" w:cstheme="minorBidi"/>
          <w:b w:val="0"/>
          <w:noProof/>
          <w:kern w:val="0"/>
          <w:szCs w:val="22"/>
        </w:rPr>
      </w:pPr>
      <w:r>
        <w:rPr>
          <w:noProof/>
        </w:rPr>
        <w:t>Division 3—Renewal of determinations</w:t>
      </w:r>
      <w:r>
        <w:rPr>
          <w:noProof/>
        </w:rPr>
        <w:tab/>
      </w:r>
      <w:r>
        <w:rPr>
          <w:noProof/>
        </w:rPr>
        <w:fldChar w:fldCharType="begin"/>
      </w:r>
      <w:r>
        <w:rPr>
          <w:noProof/>
        </w:rPr>
        <w:instrText xml:space="preserve"> PAGEREF _Toc507400057 \h </w:instrText>
      </w:r>
      <w:r>
        <w:rPr>
          <w:noProof/>
        </w:rPr>
      </w:r>
      <w:r>
        <w:rPr>
          <w:noProof/>
        </w:rPr>
        <w:fldChar w:fldCharType="separate"/>
      </w:r>
      <w:r>
        <w:rPr>
          <w:noProof/>
        </w:rPr>
        <w:t>8</w:t>
      </w:r>
      <w:r>
        <w:rPr>
          <w:noProof/>
        </w:rPr>
        <w:fldChar w:fldCharType="end"/>
      </w:r>
    </w:p>
    <w:p w14:paraId="5A5B5E9B" w14:textId="4069E8FA" w:rsidR="009A0AA9" w:rsidRDefault="009A0AA9">
      <w:pPr>
        <w:pStyle w:val="TOC5"/>
        <w:rPr>
          <w:rFonts w:asciiTheme="minorHAnsi" w:eastAsiaTheme="minorEastAsia" w:hAnsiTheme="minorHAnsi" w:cstheme="minorBidi"/>
          <w:noProof/>
          <w:kern w:val="0"/>
          <w:sz w:val="22"/>
          <w:szCs w:val="22"/>
        </w:rPr>
      </w:pPr>
      <w:r>
        <w:rPr>
          <w:noProof/>
        </w:rPr>
        <w:t>14  Presumption in favour of making the same allocation of capacity</w:t>
      </w:r>
      <w:r>
        <w:rPr>
          <w:noProof/>
        </w:rPr>
        <w:tab/>
      </w:r>
      <w:r>
        <w:rPr>
          <w:noProof/>
        </w:rPr>
        <w:fldChar w:fldCharType="begin"/>
      </w:r>
      <w:r>
        <w:rPr>
          <w:noProof/>
        </w:rPr>
        <w:instrText xml:space="preserve"> PAGEREF _Toc507400058 \h </w:instrText>
      </w:r>
      <w:r>
        <w:rPr>
          <w:noProof/>
        </w:rPr>
      </w:r>
      <w:r>
        <w:rPr>
          <w:noProof/>
        </w:rPr>
        <w:fldChar w:fldCharType="separate"/>
      </w:r>
      <w:r>
        <w:rPr>
          <w:noProof/>
        </w:rPr>
        <w:t>8</w:t>
      </w:r>
      <w:r>
        <w:rPr>
          <w:noProof/>
        </w:rPr>
        <w:fldChar w:fldCharType="end"/>
      </w:r>
    </w:p>
    <w:p w14:paraId="7E494DDA" w14:textId="65163C8F" w:rsidR="009A0AA9" w:rsidRDefault="009A0AA9">
      <w:pPr>
        <w:pStyle w:val="TOC5"/>
        <w:rPr>
          <w:rFonts w:asciiTheme="minorHAnsi" w:eastAsiaTheme="minorEastAsia" w:hAnsiTheme="minorHAnsi" w:cstheme="minorBidi"/>
          <w:noProof/>
          <w:kern w:val="0"/>
          <w:sz w:val="22"/>
          <w:szCs w:val="22"/>
        </w:rPr>
      </w:pPr>
      <w:r>
        <w:rPr>
          <w:noProof/>
        </w:rPr>
        <w:t>15  Making a different allocation of capacity</w:t>
      </w:r>
      <w:r>
        <w:rPr>
          <w:noProof/>
        </w:rPr>
        <w:tab/>
      </w:r>
      <w:r>
        <w:rPr>
          <w:noProof/>
        </w:rPr>
        <w:fldChar w:fldCharType="begin"/>
      </w:r>
      <w:r>
        <w:rPr>
          <w:noProof/>
        </w:rPr>
        <w:instrText xml:space="preserve"> PAGEREF _Toc507400059 \h </w:instrText>
      </w:r>
      <w:r>
        <w:rPr>
          <w:noProof/>
        </w:rPr>
      </w:r>
      <w:r>
        <w:rPr>
          <w:noProof/>
        </w:rPr>
        <w:fldChar w:fldCharType="separate"/>
      </w:r>
      <w:r>
        <w:rPr>
          <w:noProof/>
        </w:rPr>
        <w:t>8</w:t>
      </w:r>
      <w:r>
        <w:rPr>
          <w:noProof/>
        </w:rPr>
        <w:fldChar w:fldCharType="end"/>
      </w:r>
    </w:p>
    <w:p w14:paraId="5D3C9376" w14:textId="65C0F16F" w:rsidR="009A0AA9" w:rsidRDefault="009A0AA9">
      <w:pPr>
        <w:pStyle w:val="TOC3"/>
        <w:rPr>
          <w:rFonts w:asciiTheme="minorHAnsi" w:eastAsiaTheme="minorEastAsia" w:hAnsiTheme="minorHAnsi" w:cstheme="minorBidi"/>
          <w:b w:val="0"/>
          <w:noProof/>
          <w:kern w:val="0"/>
          <w:szCs w:val="22"/>
        </w:rPr>
      </w:pPr>
      <w:r>
        <w:rPr>
          <w:noProof/>
        </w:rPr>
        <w:t>Division 4—Review of determinations</w:t>
      </w:r>
      <w:r>
        <w:rPr>
          <w:noProof/>
        </w:rPr>
        <w:tab/>
      </w:r>
      <w:r>
        <w:rPr>
          <w:noProof/>
        </w:rPr>
        <w:fldChar w:fldCharType="begin"/>
      </w:r>
      <w:r>
        <w:rPr>
          <w:noProof/>
        </w:rPr>
        <w:instrText xml:space="preserve"> PAGEREF _Toc507400060 \h </w:instrText>
      </w:r>
      <w:r>
        <w:rPr>
          <w:noProof/>
        </w:rPr>
      </w:r>
      <w:r>
        <w:rPr>
          <w:noProof/>
        </w:rPr>
        <w:fldChar w:fldCharType="separate"/>
      </w:r>
      <w:r>
        <w:rPr>
          <w:noProof/>
        </w:rPr>
        <w:t>8</w:t>
      </w:r>
      <w:r>
        <w:rPr>
          <w:noProof/>
        </w:rPr>
        <w:fldChar w:fldCharType="end"/>
      </w:r>
    </w:p>
    <w:p w14:paraId="77F20C07" w14:textId="1D827897" w:rsidR="009A0AA9" w:rsidRDefault="009A0AA9">
      <w:pPr>
        <w:pStyle w:val="TOC5"/>
        <w:rPr>
          <w:rFonts w:asciiTheme="minorHAnsi" w:eastAsiaTheme="minorEastAsia" w:hAnsiTheme="minorHAnsi" w:cstheme="minorBidi"/>
          <w:noProof/>
          <w:kern w:val="0"/>
          <w:sz w:val="22"/>
          <w:szCs w:val="22"/>
        </w:rPr>
      </w:pPr>
      <w:r>
        <w:rPr>
          <w:noProof/>
        </w:rPr>
        <w:t>16  Variations on review for cause</w:t>
      </w:r>
      <w:r>
        <w:rPr>
          <w:noProof/>
        </w:rPr>
        <w:tab/>
      </w:r>
      <w:r>
        <w:rPr>
          <w:noProof/>
        </w:rPr>
        <w:fldChar w:fldCharType="begin"/>
      </w:r>
      <w:r>
        <w:rPr>
          <w:noProof/>
        </w:rPr>
        <w:instrText xml:space="preserve"> PAGEREF _Toc507400061 \h </w:instrText>
      </w:r>
      <w:r>
        <w:rPr>
          <w:noProof/>
        </w:rPr>
      </w:r>
      <w:r>
        <w:rPr>
          <w:noProof/>
        </w:rPr>
        <w:fldChar w:fldCharType="separate"/>
      </w:r>
      <w:r>
        <w:rPr>
          <w:noProof/>
        </w:rPr>
        <w:t>8</w:t>
      </w:r>
      <w:r>
        <w:rPr>
          <w:noProof/>
        </w:rPr>
        <w:fldChar w:fldCharType="end"/>
      </w:r>
    </w:p>
    <w:p w14:paraId="1BC4538B" w14:textId="3341A00F" w:rsidR="009A0AA9" w:rsidRDefault="009A0AA9">
      <w:pPr>
        <w:pStyle w:val="TOC5"/>
        <w:rPr>
          <w:rFonts w:asciiTheme="minorHAnsi" w:eastAsiaTheme="minorEastAsia" w:hAnsiTheme="minorHAnsi" w:cstheme="minorBidi"/>
          <w:noProof/>
          <w:kern w:val="0"/>
          <w:sz w:val="22"/>
          <w:szCs w:val="22"/>
        </w:rPr>
      </w:pPr>
      <w:r>
        <w:rPr>
          <w:noProof/>
        </w:rPr>
        <w:t>17  Variations on application</w:t>
      </w:r>
      <w:r>
        <w:rPr>
          <w:noProof/>
        </w:rPr>
        <w:tab/>
      </w:r>
      <w:r>
        <w:rPr>
          <w:noProof/>
        </w:rPr>
        <w:fldChar w:fldCharType="begin"/>
      </w:r>
      <w:r>
        <w:rPr>
          <w:noProof/>
        </w:rPr>
        <w:instrText xml:space="preserve"> PAGEREF _Toc507400062 \h </w:instrText>
      </w:r>
      <w:r>
        <w:rPr>
          <w:noProof/>
        </w:rPr>
      </w:r>
      <w:r>
        <w:rPr>
          <w:noProof/>
        </w:rPr>
        <w:fldChar w:fldCharType="separate"/>
      </w:r>
      <w:r>
        <w:rPr>
          <w:noProof/>
        </w:rPr>
        <w:t>9</w:t>
      </w:r>
      <w:r>
        <w:rPr>
          <w:noProof/>
        </w:rPr>
        <w:fldChar w:fldCharType="end"/>
      </w:r>
    </w:p>
    <w:p w14:paraId="55C5BDA8" w14:textId="3C1C4E2F" w:rsidR="009A0AA9" w:rsidRDefault="009A0AA9">
      <w:pPr>
        <w:pStyle w:val="TOC5"/>
        <w:rPr>
          <w:rFonts w:asciiTheme="minorHAnsi" w:eastAsiaTheme="minorEastAsia" w:hAnsiTheme="minorHAnsi" w:cstheme="minorBidi"/>
          <w:noProof/>
          <w:kern w:val="0"/>
          <w:sz w:val="22"/>
          <w:szCs w:val="22"/>
        </w:rPr>
      </w:pPr>
      <w:r>
        <w:rPr>
          <w:noProof/>
        </w:rPr>
        <w:t>18  Transfer applications</w:t>
      </w:r>
      <w:r>
        <w:rPr>
          <w:noProof/>
        </w:rPr>
        <w:tab/>
      </w:r>
      <w:r>
        <w:rPr>
          <w:noProof/>
        </w:rPr>
        <w:fldChar w:fldCharType="begin"/>
      </w:r>
      <w:r>
        <w:rPr>
          <w:noProof/>
        </w:rPr>
        <w:instrText xml:space="preserve"> PAGEREF _Toc507400063 \h </w:instrText>
      </w:r>
      <w:r>
        <w:rPr>
          <w:noProof/>
        </w:rPr>
      </w:r>
      <w:r>
        <w:rPr>
          <w:noProof/>
        </w:rPr>
        <w:fldChar w:fldCharType="separate"/>
      </w:r>
      <w:r>
        <w:rPr>
          <w:noProof/>
        </w:rPr>
        <w:t>10</w:t>
      </w:r>
      <w:r>
        <w:rPr>
          <w:noProof/>
        </w:rPr>
        <w:fldChar w:fldCharType="end"/>
      </w:r>
    </w:p>
    <w:p w14:paraId="1E09BEC9" w14:textId="5A713013" w:rsidR="009A0AA9" w:rsidRDefault="009A0AA9">
      <w:pPr>
        <w:pStyle w:val="TOC2"/>
        <w:rPr>
          <w:rFonts w:asciiTheme="minorHAnsi" w:eastAsiaTheme="minorEastAsia" w:hAnsiTheme="minorHAnsi" w:cstheme="minorBidi"/>
          <w:b w:val="0"/>
          <w:noProof/>
          <w:kern w:val="0"/>
          <w:sz w:val="22"/>
          <w:szCs w:val="22"/>
        </w:rPr>
      </w:pPr>
      <w:r>
        <w:rPr>
          <w:noProof/>
        </w:rPr>
        <w:t>Part 4—Duration and types of determinations</w:t>
      </w:r>
      <w:r>
        <w:rPr>
          <w:noProof/>
        </w:rPr>
        <w:tab/>
      </w:r>
      <w:r>
        <w:rPr>
          <w:noProof/>
        </w:rPr>
        <w:fldChar w:fldCharType="begin"/>
      </w:r>
      <w:r>
        <w:rPr>
          <w:noProof/>
        </w:rPr>
        <w:instrText xml:space="preserve"> PAGEREF _Toc507400064 \h </w:instrText>
      </w:r>
      <w:r>
        <w:rPr>
          <w:noProof/>
        </w:rPr>
      </w:r>
      <w:r>
        <w:rPr>
          <w:noProof/>
        </w:rPr>
        <w:fldChar w:fldCharType="separate"/>
      </w:r>
      <w:r>
        <w:rPr>
          <w:noProof/>
        </w:rPr>
        <w:t>11</w:t>
      </w:r>
      <w:r>
        <w:rPr>
          <w:noProof/>
        </w:rPr>
        <w:fldChar w:fldCharType="end"/>
      </w:r>
    </w:p>
    <w:p w14:paraId="76E8D5F2" w14:textId="0AFF7271" w:rsidR="009A0AA9" w:rsidRDefault="009A0AA9">
      <w:pPr>
        <w:pStyle w:val="TOC5"/>
        <w:rPr>
          <w:rFonts w:asciiTheme="minorHAnsi" w:eastAsiaTheme="minorEastAsia" w:hAnsiTheme="minorHAnsi" w:cstheme="minorBidi"/>
          <w:noProof/>
          <w:kern w:val="0"/>
          <w:sz w:val="22"/>
          <w:szCs w:val="22"/>
        </w:rPr>
      </w:pPr>
      <w:r>
        <w:rPr>
          <w:noProof/>
        </w:rPr>
        <w:t>19  Explanatory outline of this part</w:t>
      </w:r>
      <w:r>
        <w:rPr>
          <w:noProof/>
        </w:rPr>
        <w:tab/>
      </w:r>
      <w:r>
        <w:rPr>
          <w:noProof/>
        </w:rPr>
        <w:fldChar w:fldCharType="begin"/>
      </w:r>
      <w:r>
        <w:rPr>
          <w:noProof/>
        </w:rPr>
        <w:instrText xml:space="preserve"> PAGEREF _Toc507400065 \h </w:instrText>
      </w:r>
      <w:r>
        <w:rPr>
          <w:noProof/>
        </w:rPr>
      </w:r>
      <w:r>
        <w:rPr>
          <w:noProof/>
        </w:rPr>
        <w:fldChar w:fldCharType="separate"/>
      </w:r>
      <w:r>
        <w:rPr>
          <w:noProof/>
        </w:rPr>
        <w:t>11</w:t>
      </w:r>
      <w:r>
        <w:rPr>
          <w:noProof/>
        </w:rPr>
        <w:fldChar w:fldCharType="end"/>
      </w:r>
    </w:p>
    <w:p w14:paraId="5D649634" w14:textId="7FA21AB1" w:rsidR="009A0AA9" w:rsidRDefault="009A0AA9">
      <w:pPr>
        <w:pStyle w:val="TOC5"/>
        <w:rPr>
          <w:rFonts w:asciiTheme="minorHAnsi" w:eastAsiaTheme="minorEastAsia" w:hAnsiTheme="minorHAnsi" w:cstheme="minorBidi"/>
          <w:noProof/>
          <w:kern w:val="0"/>
          <w:sz w:val="22"/>
          <w:szCs w:val="22"/>
        </w:rPr>
      </w:pPr>
      <w:r>
        <w:rPr>
          <w:noProof/>
        </w:rPr>
        <w:t>20  Fixing periods during which determinations to be in force</w:t>
      </w:r>
      <w:r>
        <w:rPr>
          <w:noProof/>
        </w:rPr>
        <w:tab/>
      </w:r>
      <w:r>
        <w:rPr>
          <w:noProof/>
        </w:rPr>
        <w:fldChar w:fldCharType="begin"/>
      </w:r>
      <w:r>
        <w:rPr>
          <w:noProof/>
        </w:rPr>
        <w:instrText xml:space="preserve"> PAGEREF _Toc507400066 \h </w:instrText>
      </w:r>
      <w:r>
        <w:rPr>
          <w:noProof/>
        </w:rPr>
      </w:r>
      <w:r>
        <w:rPr>
          <w:noProof/>
        </w:rPr>
        <w:fldChar w:fldCharType="separate"/>
      </w:r>
      <w:r>
        <w:rPr>
          <w:noProof/>
        </w:rPr>
        <w:t>11</w:t>
      </w:r>
      <w:r>
        <w:rPr>
          <w:noProof/>
        </w:rPr>
        <w:fldChar w:fldCharType="end"/>
      </w:r>
    </w:p>
    <w:p w14:paraId="76E33B4E" w14:textId="53F1B21E" w:rsidR="009A0AA9" w:rsidRDefault="009A0AA9">
      <w:pPr>
        <w:pStyle w:val="TOC5"/>
        <w:rPr>
          <w:rFonts w:asciiTheme="minorHAnsi" w:eastAsiaTheme="minorEastAsia" w:hAnsiTheme="minorHAnsi" w:cstheme="minorBidi"/>
          <w:noProof/>
          <w:kern w:val="0"/>
          <w:sz w:val="22"/>
          <w:szCs w:val="22"/>
        </w:rPr>
      </w:pPr>
      <w:r>
        <w:rPr>
          <w:noProof/>
        </w:rPr>
        <w:t>21  Interim determinations to be made only in exceptional circumstances</w:t>
      </w:r>
      <w:r>
        <w:rPr>
          <w:noProof/>
        </w:rPr>
        <w:tab/>
      </w:r>
      <w:r>
        <w:rPr>
          <w:noProof/>
        </w:rPr>
        <w:fldChar w:fldCharType="begin"/>
      </w:r>
      <w:r>
        <w:rPr>
          <w:noProof/>
        </w:rPr>
        <w:instrText xml:space="preserve"> PAGEREF _Toc507400067 \h </w:instrText>
      </w:r>
      <w:r>
        <w:rPr>
          <w:noProof/>
        </w:rPr>
      </w:r>
      <w:r>
        <w:rPr>
          <w:noProof/>
        </w:rPr>
        <w:fldChar w:fldCharType="separate"/>
      </w:r>
      <w:r>
        <w:rPr>
          <w:noProof/>
        </w:rPr>
        <w:t>11</w:t>
      </w:r>
      <w:r>
        <w:rPr>
          <w:noProof/>
        </w:rPr>
        <w:fldChar w:fldCharType="end"/>
      </w:r>
    </w:p>
    <w:p w14:paraId="06670731" w14:textId="61DD86DC" w:rsidR="009A0AA9" w:rsidRDefault="009A0AA9">
      <w:pPr>
        <w:pStyle w:val="TOC2"/>
        <w:rPr>
          <w:rFonts w:asciiTheme="minorHAnsi" w:eastAsiaTheme="minorEastAsia" w:hAnsiTheme="minorHAnsi" w:cstheme="minorBidi"/>
          <w:b w:val="0"/>
          <w:noProof/>
          <w:kern w:val="0"/>
          <w:sz w:val="22"/>
          <w:szCs w:val="22"/>
        </w:rPr>
      </w:pPr>
      <w:r>
        <w:rPr>
          <w:noProof/>
        </w:rPr>
        <w:t>Part 5—Inclusion, variation and revocation of conditions in determinations</w:t>
      </w:r>
      <w:r>
        <w:rPr>
          <w:noProof/>
        </w:rPr>
        <w:tab/>
      </w:r>
      <w:r>
        <w:rPr>
          <w:noProof/>
        </w:rPr>
        <w:fldChar w:fldCharType="begin"/>
      </w:r>
      <w:r>
        <w:rPr>
          <w:noProof/>
        </w:rPr>
        <w:instrText xml:space="preserve"> PAGEREF _Toc507400068 \h </w:instrText>
      </w:r>
      <w:r>
        <w:rPr>
          <w:noProof/>
        </w:rPr>
      </w:r>
      <w:r>
        <w:rPr>
          <w:noProof/>
        </w:rPr>
        <w:fldChar w:fldCharType="separate"/>
      </w:r>
      <w:r>
        <w:rPr>
          <w:noProof/>
        </w:rPr>
        <w:t>12</w:t>
      </w:r>
      <w:r>
        <w:rPr>
          <w:noProof/>
        </w:rPr>
        <w:fldChar w:fldCharType="end"/>
      </w:r>
    </w:p>
    <w:p w14:paraId="398B8CFC" w14:textId="1C6752C9" w:rsidR="009A0AA9" w:rsidRDefault="009A0AA9">
      <w:pPr>
        <w:pStyle w:val="TOC5"/>
        <w:rPr>
          <w:rFonts w:asciiTheme="minorHAnsi" w:eastAsiaTheme="minorEastAsia" w:hAnsiTheme="minorHAnsi" w:cstheme="minorBidi"/>
          <w:noProof/>
          <w:kern w:val="0"/>
          <w:sz w:val="22"/>
          <w:szCs w:val="22"/>
        </w:rPr>
      </w:pPr>
      <w:r>
        <w:rPr>
          <w:noProof/>
        </w:rPr>
        <w:t>22  Explanatory outline of this part</w:t>
      </w:r>
      <w:r>
        <w:rPr>
          <w:noProof/>
        </w:rPr>
        <w:tab/>
      </w:r>
      <w:r>
        <w:rPr>
          <w:noProof/>
        </w:rPr>
        <w:fldChar w:fldCharType="begin"/>
      </w:r>
      <w:r>
        <w:rPr>
          <w:noProof/>
        </w:rPr>
        <w:instrText xml:space="preserve"> PAGEREF _Toc507400069 \h </w:instrText>
      </w:r>
      <w:r>
        <w:rPr>
          <w:noProof/>
        </w:rPr>
      </w:r>
      <w:r>
        <w:rPr>
          <w:noProof/>
        </w:rPr>
        <w:fldChar w:fldCharType="separate"/>
      </w:r>
      <w:r>
        <w:rPr>
          <w:noProof/>
        </w:rPr>
        <w:t>12</w:t>
      </w:r>
      <w:r>
        <w:rPr>
          <w:noProof/>
        </w:rPr>
        <w:fldChar w:fldCharType="end"/>
      </w:r>
    </w:p>
    <w:p w14:paraId="39AC8380" w14:textId="3B64C487" w:rsidR="009A0AA9" w:rsidRDefault="009A0AA9">
      <w:pPr>
        <w:pStyle w:val="TOC5"/>
        <w:rPr>
          <w:rFonts w:asciiTheme="minorHAnsi" w:eastAsiaTheme="minorEastAsia" w:hAnsiTheme="minorHAnsi" w:cstheme="minorBidi"/>
          <w:noProof/>
          <w:kern w:val="0"/>
          <w:sz w:val="22"/>
          <w:szCs w:val="22"/>
        </w:rPr>
      </w:pPr>
      <w:r>
        <w:rPr>
          <w:noProof/>
        </w:rPr>
        <w:t>23  Conditions relating to joint international air services</w:t>
      </w:r>
      <w:r>
        <w:rPr>
          <w:noProof/>
        </w:rPr>
        <w:tab/>
      </w:r>
      <w:r>
        <w:rPr>
          <w:noProof/>
        </w:rPr>
        <w:fldChar w:fldCharType="begin"/>
      </w:r>
      <w:r>
        <w:rPr>
          <w:noProof/>
        </w:rPr>
        <w:instrText xml:space="preserve"> PAGEREF _Toc507400070 \h </w:instrText>
      </w:r>
      <w:r>
        <w:rPr>
          <w:noProof/>
        </w:rPr>
      </w:r>
      <w:r>
        <w:rPr>
          <w:noProof/>
        </w:rPr>
        <w:fldChar w:fldCharType="separate"/>
      </w:r>
      <w:r>
        <w:rPr>
          <w:noProof/>
        </w:rPr>
        <w:t>12</w:t>
      </w:r>
      <w:r>
        <w:rPr>
          <w:noProof/>
        </w:rPr>
        <w:fldChar w:fldCharType="end"/>
      </w:r>
    </w:p>
    <w:p w14:paraId="2A3DAB2E" w14:textId="05CE6BF7" w:rsidR="009A0AA9" w:rsidRDefault="009A0AA9">
      <w:pPr>
        <w:pStyle w:val="TOC5"/>
        <w:rPr>
          <w:rFonts w:asciiTheme="minorHAnsi" w:eastAsiaTheme="minorEastAsia" w:hAnsiTheme="minorHAnsi" w:cstheme="minorBidi"/>
          <w:noProof/>
          <w:kern w:val="0"/>
          <w:sz w:val="22"/>
          <w:szCs w:val="22"/>
        </w:rPr>
      </w:pPr>
      <w:r>
        <w:rPr>
          <w:noProof/>
        </w:rPr>
        <w:t>24  Conditions relating to the full use of capacity</w:t>
      </w:r>
      <w:r>
        <w:rPr>
          <w:noProof/>
        </w:rPr>
        <w:tab/>
      </w:r>
      <w:r>
        <w:rPr>
          <w:noProof/>
        </w:rPr>
        <w:fldChar w:fldCharType="begin"/>
      </w:r>
      <w:r>
        <w:rPr>
          <w:noProof/>
        </w:rPr>
        <w:instrText xml:space="preserve"> PAGEREF _Toc507400071 \h </w:instrText>
      </w:r>
      <w:r>
        <w:rPr>
          <w:noProof/>
        </w:rPr>
      </w:r>
      <w:r>
        <w:rPr>
          <w:noProof/>
        </w:rPr>
        <w:fldChar w:fldCharType="separate"/>
      </w:r>
      <w:r>
        <w:rPr>
          <w:noProof/>
        </w:rPr>
        <w:t>12</w:t>
      </w:r>
      <w:r>
        <w:rPr>
          <w:noProof/>
        </w:rPr>
        <w:fldChar w:fldCharType="end"/>
      </w:r>
    </w:p>
    <w:p w14:paraId="1ADCC9D9" w14:textId="1C077AA3" w:rsidR="009A0AA9" w:rsidRDefault="009A0AA9">
      <w:pPr>
        <w:pStyle w:val="TOC2"/>
        <w:rPr>
          <w:rFonts w:asciiTheme="minorHAnsi" w:eastAsiaTheme="minorEastAsia" w:hAnsiTheme="minorHAnsi" w:cstheme="minorBidi"/>
          <w:b w:val="0"/>
          <w:noProof/>
          <w:kern w:val="0"/>
          <w:sz w:val="22"/>
          <w:szCs w:val="22"/>
        </w:rPr>
      </w:pPr>
      <w:r>
        <w:rPr>
          <w:noProof/>
        </w:rPr>
        <w:t>Part 6—Application and Transitional provisions</w:t>
      </w:r>
      <w:r>
        <w:rPr>
          <w:noProof/>
        </w:rPr>
        <w:tab/>
      </w:r>
      <w:r>
        <w:rPr>
          <w:noProof/>
        </w:rPr>
        <w:fldChar w:fldCharType="begin"/>
      </w:r>
      <w:r>
        <w:rPr>
          <w:noProof/>
        </w:rPr>
        <w:instrText xml:space="preserve"> PAGEREF _Toc507400072 \h </w:instrText>
      </w:r>
      <w:r>
        <w:rPr>
          <w:noProof/>
        </w:rPr>
      </w:r>
      <w:r>
        <w:rPr>
          <w:noProof/>
        </w:rPr>
        <w:fldChar w:fldCharType="separate"/>
      </w:r>
      <w:r>
        <w:rPr>
          <w:noProof/>
        </w:rPr>
        <w:t>14</w:t>
      </w:r>
      <w:r>
        <w:rPr>
          <w:noProof/>
        </w:rPr>
        <w:fldChar w:fldCharType="end"/>
      </w:r>
    </w:p>
    <w:p w14:paraId="23383DE9" w14:textId="5B2BD397" w:rsidR="009A0AA9" w:rsidRDefault="009A0AA9">
      <w:pPr>
        <w:pStyle w:val="TOC5"/>
        <w:rPr>
          <w:rFonts w:asciiTheme="minorHAnsi" w:eastAsiaTheme="minorEastAsia" w:hAnsiTheme="minorHAnsi" w:cstheme="minorBidi"/>
          <w:noProof/>
          <w:kern w:val="0"/>
          <w:sz w:val="22"/>
          <w:szCs w:val="22"/>
        </w:rPr>
      </w:pPr>
      <w:r>
        <w:rPr>
          <w:noProof/>
        </w:rPr>
        <w:t>25  Explanatory outline of this part</w:t>
      </w:r>
      <w:r>
        <w:rPr>
          <w:noProof/>
        </w:rPr>
        <w:tab/>
      </w:r>
      <w:r>
        <w:rPr>
          <w:noProof/>
        </w:rPr>
        <w:fldChar w:fldCharType="begin"/>
      </w:r>
      <w:r>
        <w:rPr>
          <w:noProof/>
        </w:rPr>
        <w:instrText xml:space="preserve"> PAGEREF _Toc507400073 \h </w:instrText>
      </w:r>
      <w:r>
        <w:rPr>
          <w:noProof/>
        </w:rPr>
      </w:r>
      <w:r>
        <w:rPr>
          <w:noProof/>
        </w:rPr>
        <w:fldChar w:fldCharType="separate"/>
      </w:r>
      <w:r>
        <w:rPr>
          <w:noProof/>
        </w:rPr>
        <w:t>14</w:t>
      </w:r>
      <w:r>
        <w:rPr>
          <w:noProof/>
        </w:rPr>
        <w:fldChar w:fldCharType="end"/>
      </w:r>
    </w:p>
    <w:p w14:paraId="3FABD056" w14:textId="722C7E41" w:rsidR="009A0AA9" w:rsidRDefault="009A0AA9">
      <w:pPr>
        <w:pStyle w:val="TOC5"/>
        <w:rPr>
          <w:rFonts w:asciiTheme="minorHAnsi" w:eastAsiaTheme="minorEastAsia" w:hAnsiTheme="minorHAnsi" w:cstheme="minorBidi"/>
          <w:noProof/>
          <w:kern w:val="0"/>
          <w:sz w:val="22"/>
          <w:szCs w:val="22"/>
        </w:rPr>
      </w:pPr>
      <w:r>
        <w:rPr>
          <w:noProof/>
        </w:rPr>
        <w:t>26  Application and transitional provisions</w:t>
      </w:r>
      <w:r>
        <w:rPr>
          <w:noProof/>
        </w:rPr>
        <w:tab/>
      </w:r>
      <w:r>
        <w:rPr>
          <w:noProof/>
        </w:rPr>
        <w:fldChar w:fldCharType="begin"/>
      </w:r>
      <w:r>
        <w:rPr>
          <w:noProof/>
        </w:rPr>
        <w:instrText xml:space="preserve"> PAGEREF _Toc507400074 \h </w:instrText>
      </w:r>
      <w:r>
        <w:rPr>
          <w:noProof/>
        </w:rPr>
      </w:r>
      <w:r>
        <w:rPr>
          <w:noProof/>
        </w:rPr>
        <w:fldChar w:fldCharType="separate"/>
      </w:r>
      <w:r>
        <w:rPr>
          <w:noProof/>
        </w:rPr>
        <w:t>14</w:t>
      </w:r>
      <w:r>
        <w:rPr>
          <w:noProof/>
        </w:rPr>
        <w:fldChar w:fldCharType="end"/>
      </w:r>
    </w:p>
    <w:p w14:paraId="3D645207" w14:textId="7A6C9909" w:rsidR="009A0AA9" w:rsidRDefault="009A0AA9">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_Toc507400075 \h </w:instrText>
      </w:r>
      <w:r>
        <w:rPr>
          <w:noProof/>
        </w:rPr>
      </w:r>
      <w:r>
        <w:rPr>
          <w:noProof/>
        </w:rPr>
        <w:fldChar w:fldCharType="separate"/>
      </w:r>
      <w:r>
        <w:rPr>
          <w:noProof/>
        </w:rPr>
        <w:t>15</w:t>
      </w:r>
      <w:r>
        <w:rPr>
          <w:noProof/>
        </w:rPr>
        <w:fldChar w:fldCharType="end"/>
      </w:r>
    </w:p>
    <w:p w14:paraId="4CABA7C4" w14:textId="36BE7A18" w:rsidR="009A0AA9" w:rsidRDefault="009A0AA9">
      <w:pPr>
        <w:pStyle w:val="TOC9"/>
        <w:rPr>
          <w:rFonts w:asciiTheme="minorHAnsi" w:eastAsiaTheme="minorEastAsia" w:hAnsiTheme="minorHAnsi" w:cstheme="minorBidi"/>
          <w:i w:val="0"/>
          <w:noProof/>
          <w:kern w:val="0"/>
          <w:sz w:val="22"/>
          <w:szCs w:val="22"/>
        </w:rPr>
      </w:pPr>
      <w:r>
        <w:rPr>
          <w:noProof/>
        </w:rPr>
        <w:t>International Air Services Policy Statement No.5</w:t>
      </w:r>
      <w:r>
        <w:rPr>
          <w:noProof/>
        </w:rPr>
        <w:tab/>
      </w:r>
      <w:r>
        <w:rPr>
          <w:noProof/>
        </w:rPr>
        <w:fldChar w:fldCharType="begin"/>
      </w:r>
      <w:r>
        <w:rPr>
          <w:noProof/>
        </w:rPr>
        <w:instrText xml:space="preserve"> PAGEREF _Toc507400076 \h </w:instrText>
      </w:r>
      <w:r>
        <w:rPr>
          <w:noProof/>
        </w:rPr>
      </w:r>
      <w:r>
        <w:rPr>
          <w:noProof/>
        </w:rPr>
        <w:fldChar w:fldCharType="separate"/>
      </w:r>
      <w:r>
        <w:rPr>
          <w:noProof/>
        </w:rPr>
        <w:t>15</w:t>
      </w:r>
      <w:r>
        <w:rPr>
          <w:noProof/>
        </w:rPr>
        <w:fldChar w:fldCharType="end"/>
      </w:r>
    </w:p>
    <w:p w14:paraId="633E6C8B" w14:textId="04A7228E" w:rsidR="00F6696E" w:rsidRDefault="00B418CB" w:rsidP="00F6696E">
      <w:pPr>
        <w:outlineLvl w:val="0"/>
      </w:pPr>
      <w:r>
        <w:fldChar w:fldCharType="end"/>
      </w:r>
    </w:p>
    <w:p w14:paraId="6CD6F8DE" w14:textId="77777777" w:rsidR="00F6696E" w:rsidRPr="00A802BC" w:rsidRDefault="00F6696E" w:rsidP="00F6696E">
      <w:pPr>
        <w:outlineLvl w:val="0"/>
        <w:rPr>
          <w:sz w:val="20"/>
        </w:rPr>
      </w:pPr>
    </w:p>
    <w:p w14:paraId="0E165DD4" w14:textId="77777777" w:rsidR="00F6696E" w:rsidRDefault="00F6696E" w:rsidP="00F6696E">
      <w:pPr>
        <w:sectPr w:rsidR="00F6696E" w:rsidSect="007A1D8F">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B1A4731" w14:textId="77777777" w:rsidR="0078391C" w:rsidRDefault="00DB50ED" w:rsidP="0078391C">
      <w:pPr>
        <w:pStyle w:val="ActHead2"/>
      </w:pPr>
      <w:bookmarkStart w:id="1" w:name="_Toc507400039"/>
      <w:r>
        <w:lastRenderedPageBreak/>
        <w:t xml:space="preserve">Part </w:t>
      </w:r>
      <w:r w:rsidR="00026004">
        <w:t>1</w:t>
      </w:r>
      <w:r w:rsidRPr="00DB50ED">
        <w:t>—</w:t>
      </w:r>
      <w:r w:rsidR="0078391C">
        <w:t>Preliminary</w:t>
      </w:r>
      <w:bookmarkEnd w:id="1"/>
    </w:p>
    <w:p w14:paraId="0A29C69F" w14:textId="77777777" w:rsidR="00554826" w:rsidRPr="00554826" w:rsidRDefault="00554826" w:rsidP="00554826">
      <w:pPr>
        <w:pStyle w:val="ActHead5"/>
      </w:pPr>
      <w:bookmarkStart w:id="2" w:name="_Toc507400040"/>
      <w:proofErr w:type="gramStart"/>
      <w:r w:rsidRPr="00554826">
        <w:t>1  Name</w:t>
      </w:r>
      <w:bookmarkEnd w:id="2"/>
      <w:proofErr w:type="gramEnd"/>
    </w:p>
    <w:p w14:paraId="7FB56E7E" w14:textId="7533F89F" w:rsidR="00554826" w:rsidRDefault="00554826" w:rsidP="00554826">
      <w:pPr>
        <w:pStyle w:val="subsection"/>
      </w:pPr>
      <w:r w:rsidRPr="009C2562">
        <w:tab/>
      </w:r>
      <w:r w:rsidRPr="009C2562">
        <w:tab/>
        <w:t xml:space="preserve">This </w:t>
      </w:r>
      <w:r>
        <w:t xml:space="preserve">instrument </w:t>
      </w:r>
      <w:r w:rsidRPr="009C2562">
        <w:t>is the</w:t>
      </w:r>
      <w:bookmarkStart w:id="3" w:name="BKCheck15B_3"/>
      <w:bookmarkEnd w:id="3"/>
      <w:r w:rsidR="00C85E13">
        <w:t xml:space="preserve"> </w:t>
      </w:r>
      <w:r w:rsidR="00C85E13">
        <w:rPr>
          <w:i/>
        </w:rPr>
        <w:t>International Air Services Commission Policy Statement 201</w:t>
      </w:r>
      <w:r w:rsidR="00C86713">
        <w:rPr>
          <w:i/>
        </w:rPr>
        <w:t>8</w:t>
      </w:r>
      <w:r w:rsidRPr="009C2562">
        <w:t>.</w:t>
      </w:r>
    </w:p>
    <w:p w14:paraId="6E5CC278" w14:textId="77777777" w:rsidR="00554826" w:rsidRPr="00554826" w:rsidRDefault="00554826" w:rsidP="00554826">
      <w:pPr>
        <w:pStyle w:val="ActHead5"/>
      </w:pPr>
      <w:bookmarkStart w:id="4" w:name="_Toc507400041"/>
      <w:proofErr w:type="gramStart"/>
      <w:r w:rsidRPr="00554826">
        <w:t>2  Commencement</w:t>
      </w:r>
      <w:bookmarkEnd w:id="4"/>
      <w:proofErr w:type="gramEnd"/>
    </w:p>
    <w:p w14:paraId="3D938AA3" w14:textId="77777777" w:rsidR="008B207C" w:rsidRDefault="008B207C" w:rsidP="008B207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603A6049" w14:textId="77777777" w:rsidR="008B207C" w:rsidRDefault="008B207C" w:rsidP="008B207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8B207C" w14:paraId="4483F9A9" w14:textId="77777777" w:rsidTr="008B207C">
        <w:trPr>
          <w:tblHeader/>
        </w:trPr>
        <w:tc>
          <w:tcPr>
            <w:tcW w:w="5000" w:type="pct"/>
            <w:gridSpan w:val="3"/>
            <w:tcBorders>
              <w:top w:val="single" w:sz="12" w:space="0" w:color="auto"/>
              <w:left w:val="nil"/>
              <w:bottom w:val="single" w:sz="2" w:space="0" w:color="auto"/>
              <w:right w:val="nil"/>
            </w:tcBorders>
            <w:hideMark/>
          </w:tcPr>
          <w:p w14:paraId="3A8CBEE4" w14:textId="77777777" w:rsidR="008B207C" w:rsidRDefault="008B207C">
            <w:pPr>
              <w:pStyle w:val="TableHeading"/>
              <w:rPr>
                <w:lang w:eastAsia="en-US"/>
              </w:rPr>
            </w:pPr>
            <w:r>
              <w:rPr>
                <w:lang w:eastAsia="en-US"/>
              </w:rPr>
              <w:t>Commencement information</w:t>
            </w:r>
          </w:p>
        </w:tc>
      </w:tr>
      <w:tr w:rsidR="008B207C" w14:paraId="02ACD88C" w14:textId="77777777" w:rsidTr="008B207C">
        <w:trPr>
          <w:tblHeader/>
        </w:trPr>
        <w:tc>
          <w:tcPr>
            <w:tcW w:w="1196" w:type="pct"/>
            <w:tcBorders>
              <w:top w:val="single" w:sz="2" w:space="0" w:color="auto"/>
              <w:left w:val="nil"/>
              <w:bottom w:val="single" w:sz="2" w:space="0" w:color="auto"/>
              <w:right w:val="nil"/>
            </w:tcBorders>
            <w:hideMark/>
          </w:tcPr>
          <w:p w14:paraId="160D9127" w14:textId="77777777" w:rsidR="008B207C" w:rsidRDefault="008B207C">
            <w:pPr>
              <w:pStyle w:val="TableHeading"/>
              <w:rPr>
                <w:lang w:eastAsia="en-US"/>
              </w:rPr>
            </w:pPr>
            <w:r>
              <w:rPr>
                <w:lang w:eastAsia="en-US"/>
              </w:rPr>
              <w:t>Column 1</w:t>
            </w:r>
          </w:p>
        </w:tc>
        <w:tc>
          <w:tcPr>
            <w:tcW w:w="2692" w:type="pct"/>
            <w:tcBorders>
              <w:top w:val="single" w:sz="2" w:space="0" w:color="auto"/>
              <w:left w:val="nil"/>
              <w:bottom w:val="single" w:sz="2" w:space="0" w:color="auto"/>
              <w:right w:val="nil"/>
            </w:tcBorders>
            <w:hideMark/>
          </w:tcPr>
          <w:p w14:paraId="218646F5" w14:textId="77777777" w:rsidR="008B207C" w:rsidRDefault="008B207C">
            <w:pPr>
              <w:pStyle w:val="TableHeading"/>
              <w:rPr>
                <w:lang w:eastAsia="en-US"/>
              </w:rPr>
            </w:pPr>
            <w:r>
              <w:rPr>
                <w:lang w:eastAsia="en-US"/>
              </w:rPr>
              <w:t>Column 2</w:t>
            </w:r>
          </w:p>
        </w:tc>
        <w:tc>
          <w:tcPr>
            <w:tcW w:w="1112" w:type="pct"/>
            <w:tcBorders>
              <w:top w:val="single" w:sz="2" w:space="0" w:color="auto"/>
              <w:left w:val="nil"/>
              <w:bottom w:val="single" w:sz="2" w:space="0" w:color="auto"/>
              <w:right w:val="nil"/>
            </w:tcBorders>
            <w:hideMark/>
          </w:tcPr>
          <w:p w14:paraId="375CEAEA" w14:textId="77777777" w:rsidR="008B207C" w:rsidRDefault="008B207C">
            <w:pPr>
              <w:pStyle w:val="TableHeading"/>
              <w:rPr>
                <w:lang w:eastAsia="en-US"/>
              </w:rPr>
            </w:pPr>
            <w:r>
              <w:rPr>
                <w:lang w:eastAsia="en-US"/>
              </w:rPr>
              <w:t>Column 3</w:t>
            </w:r>
          </w:p>
        </w:tc>
      </w:tr>
      <w:tr w:rsidR="008B207C" w14:paraId="419B7628" w14:textId="77777777" w:rsidTr="008B207C">
        <w:trPr>
          <w:tblHeader/>
        </w:trPr>
        <w:tc>
          <w:tcPr>
            <w:tcW w:w="1196" w:type="pct"/>
            <w:tcBorders>
              <w:top w:val="single" w:sz="2" w:space="0" w:color="auto"/>
              <w:left w:val="nil"/>
              <w:bottom w:val="single" w:sz="12" w:space="0" w:color="auto"/>
              <w:right w:val="nil"/>
            </w:tcBorders>
            <w:hideMark/>
          </w:tcPr>
          <w:p w14:paraId="3BFC158D" w14:textId="77777777" w:rsidR="008B207C" w:rsidRDefault="008B207C">
            <w:pPr>
              <w:pStyle w:val="TableHeading"/>
              <w:rPr>
                <w:lang w:eastAsia="en-US"/>
              </w:rPr>
            </w:pPr>
            <w:r>
              <w:rPr>
                <w:lang w:eastAsia="en-US"/>
              </w:rPr>
              <w:t>Provisions</w:t>
            </w:r>
          </w:p>
        </w:tc>
        <w:tc>
          <w:tcPr>
            <w:tcW w:w="2692" w:type="pct"/>
            <w:tcBorders>
              <w:top w:val="single" w:sz="2" w:space="0" w:color="auto"/>
              <w:left w:val="nil"/>
              <w:bottom w:val="single" w:sz="12" w:space="0" w:color="auto"/>
              <w:right w:val="nil"/>
            </w:tcBorders>
            <w:hideMark/>
          </w:tcPr>
          <w:p w14:paraId="50D39FE2" w14:textId="77777777" w:rsidR="008B207C" w:rsidRDefault="008B207C">
            <w:pPr>
              <w:pStyle w:val="TableHeading"/>
              <w:rPr>
                <w:lang w:eastAsia="en-US"/>
              </w:rPr>
            </w:pPr>
            <w:r>
              <w:rPr>
                <w:lang w:eastAsia="en-US"/>
              </w:rPr>
              <w:t>Commencement</w:t>
            </w:r>
          </w:p>
        </w:tc>
        <w:tc>
          <w:tcPr>
            <w:tcW w:w="1112" w:type="pct"/>
            <w:tcBorders>
              <w:top w:val="single" w:sz="2" w:space="0" w:color="auto"/>
              <w:left w:val="nil"/>
              <w:bottom w:val="single" w:sz="12" w:space="0" w:color="auto"/>
              <w:right w:val="nil"/>
            </w:tcBorders>
            <w:hideMark/>
          </w:tcPr>
          <w:p w14:paraId="61A993E4" w14:textId="77777777" w:rsidR="008B207C" w:rsidRDefault="008B207C">
            <w:pPr>
              <w:pStyle w:val="TableHeading"/>
              <w:rPr>
                <w:lang w:eastAsia="en-US"/>
              </w:rPr>
            </w:pPr>
            <w:r>
              <w:rPr>
                <w:lang w:eastAsia="en-US"/>
              </w:rPr>
              <w:t>Date/Details</w:t>
            </w:r>
          </w:p>
        </w:tc>
      </w:tr>
      <w:tr w:rsidR="008B207C" w14:paraId="2B5EC9F7" w14:textId="77777777" w:rsidTr="008B207C">
        <w:tc>
          <w:tcPr>
            <w:tcW w:w="1196" w:type="pct"/>
            <w:tcBorders>
              <w:top w:val="single" w:sz="12" w:space="0" w:color="auto"/>
              <w:left w:val="nil"/>
              <w:bottom w:val="single" w:sz="12" w:space="0" w:color="auto"/>
              <w:right w:val="nil"/>
            </w:tcBorders>
            <w:hideMark/>
          </w:tcPr>
          <w:p w14:paraId="0410BEB1" w14:textId="77777777" w:rsidR="008B207C" w:rsidRDefault="008B207C">
            <w:pPr>
              <w:pStyle w:val="Tabletext"/>
              <w:rPr>
                <w:lang w:eastAsia="en-US"/>
              </w:rPr>
            </w:pPr>
            <w:r>
              <w:rPr>
                <w:lang w:eastAsia="en-US"/>
              </w:rPr>
              <w:t>1.  The whole of this instrument</w:t>
            </w:r>
          </w:p>
        </w:tc>
        <w:tc>
          <w:tcPr>
            <w:tcW w:w="2692" w:type="pct"/>
            <w:tcBorders>
              <w:top w:val="single" w:sz="12" w:space="0" w:color="auto"/>
              <w:left w:val="nil"/>
              <w:bottom w:val="single" w:sz="12" w:space="0" w:color="auto"/>
              <w:right w:val="nil"/>
            </w:tcBorders>
            <w:hideMark/>
          </w:tcPr>
          <w:p w14:paraId="11703DD5" w14:textId="77777777" w:rsidR="008B207C" w:rsidRDefault="008B207C">
            <w:pPr>
              <w:pStyle w:val="Tabletext"/>
              <w:rPr>
                <w:lang w:eastAsia="en-US"/>
              </w:rPr>
            </w:pPr>
            <w:r>
              <w:rPr>
                <w:lang w:eastAsia="en-US"/>
              </w:rPr>
              <w:t>The day after this instrument is registered.</w:t>
            </w:r>
          </w:p>
        </w:tc>
        <w:tc>
          <w:tcPr>
            <w:tcW w:w="1112" w:type="pct"/>
            <w:tcBorders>
              <w:top w:val="single" w:sz="12" w:space="0" w:color="auto"/>
              <w:left w:val="nil"/>
              <w:bottom w:val="single" w:sz="12" w:space="0" w:color="auto"/>
              <w:right w:val="nil"/>
            </w:tcBorders>
            <w:hideMark/>
          </w:tcPr>
          <w:p w14:paraId="1A00CA54" w14:textId="37001C68" w:rsidR="008B207C" w:rsidRDefault="008B207C">
            <w:pPr>
              <w:pStyle w:val="Tabletext"/>
              <w:rPr>
                <w:lang w:eastAsia="en-US"/>
              </w:rPr>
            </w:pPr>
          </w:p>
        </w:tc>
      </w:tr>
    </w:tbl>
    <w:p w14:paraId="6E76CD36" w14:textId="77777777" w:rsidR="008B207C" w:rsidRDefault="008B207C" w:rsidP="008B207C">
      <w:pPr>
        <w:pStyle w:val="notetext"/>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5EAB9191" w14:textId="77777777" w:rsidR="008B207C" w:rsidRDefault="008B207C" w:rsidP="008B207C">
      <w:pPr>
        <w:pStyle w:val="subsection"/>
      </w:pPr>
      <w:r>
        <w:tab/>
        <w:t>(2)</w:t>
      </w:r>
      <w:r>
        <w:tab/>
        <w:t>Any information in column 3 of the table is not part of this instrument. Information may be inserted in this column, or information in it may be edited, in any published version of this instrument.</w:t>
      </w:r>
    </w:p>
    <w:p w14:paraId="6CC2FB9D" w14:textId="77777777" w:rsidR="00554826" w:rsidRPr="00554826" w:rsidRDefault="00554826" w:rsidP="00554826">
      <w:pPr>
        <w:pStyle w:val="ActHead5"/>
      </w:pPr>
      <w:bookmarkStart w:id="5" w:name="_Toc507400042"/>
      <w:proofErr w:type="gramStart"/>
      <w:r w:rsidRPr="00554826">
        <w:t>3  Authority</w:t>
      </w:r>
      <w:bookmarkEnd w:id="5"/>
      <w:proofErr w:type="gramEnd"/>
    </w:p>
    <w:p w14:paraId="0F3BB93D" w14:textId="77777777" w:rsidR="00554826" w:rsidRPr="009C2562" w:rsidRDefault="00C85E13" w:rsidP="00554826">
      <w:pPr>
        <w:pStyle w:val="subsection"/>
      </w:pPr>
      <w:r>
        <w:tab/>
      </w:r>
      <w:r>
        <w:tab/>
        <w:t xml:space="preserve">This instrument is made under section 11 of the </w:t>
      </w:r>
      <w:r>
        <w:rPr>
          <w:i/>
        </w:rPr>
        <w:t>International Air Services Commission Act 1992</w:t>
      </w:r>
      <w:r w:rsidR="00554826" w:rsidRPr="009C2562">
        <w:t>.</w:t>
      </w:r>
    </w:p>
    <w:p w14:paraId="013E0EBD" w14:textId="77777777" w:rsidR="00554826" w:rsidRPr="00554826" w:rsidRDefault="00554826" w:rsidP="00554826">
      <w:pPr>
        <w:pStyle w:val="ActHead5"/>
      </w:pPr>
      <w:bookmarkStart w:id="6" w:name="_Toc507400043"/>
      <w:proofErr w:type="gramStart"/>
      <w:r w:rsidRPr="00554826">
        <w:t>4  Definitions</w:t>
      </w:r>
      <w:bookmarkEnd w:id="6"/>
      <w:proofErr w:type="gramEnd"/>
    </w:p>
    <w:p w14:paraId="44C81744" w14:textId="77777777" w:rsidR="00554826" w:rsidRPr="009C2562" w:rsidRDefault="00554826" w:rsidP="00554826">
      <w:pPr>
        <w:pStyle w:val="notetext"/>
      </w:pPr>
      <w:r w:rsidRPr="009C2562">
        <w:t>Note:</w:t>
      </w:r>
      <w:r w:rsidRPr="009C2562">
        <w:tab/>
        <w:t xml:space="preserve">A number of expressions used in this instrument are defined in </w:t>
      </w:r>
      <w:r w:rsidR="00292808">
        <w:t>section 4</w:t>
      </w:r>
      <w:r>
        <w:t xml:space="preserve"> of the Act</w:t>
      </w:r>
      <w:r w:rsidRPr="009C2562">
        <w:t>, including the following:</w:t>
      </w:r>
    </w:p>
    <w:p w14:paraId="4B3164CB" w14:textId="77777777" w:rsidR="00554826" w:rsidRPr="009C2562" w:rsidRDefault="001929A9" w:rsidP="00554826">
      <w:pPr>
        <w:pStyle w:val="notepara"/>
      </w:pPr>
      <w:r>
        <w:t>(a)</w:t>
      </w:r>
      <w:r>
        <w:tab/>
        <w:t>Australian carrier</w:t>
      </w:r>
      <w:r w:rsidR="00554826" w:rsidRPr="009C2562">
        <w:t>;</w:t>
      </w:r>
    </w:p>
    <w:p w14:paraId="40F4A3ED" w14:textId="77777777" w:rsidR="00554826" w:rsidRDefault="00554826" w:rsidP="00554826">
      <w:pPr>
        <w:pStyle w:val="notepara"/>
      </w:pPr>
      <w:r w:rsidRPr="009C2562">
        <w:t>(b)</w:t>
      </w:r>
      <w:r w:rsidRPr="009C2562">
        <w:tab/>
      </w:r>
      <w:r w:rsidR="001929A9">
        <w:t>available capacity;</w:t>
      </w:r>
    </w:p>
    <w:p w14:paraId="04418F52" w14:textId="77777777" w:rsidR="001929A9" w:rsidRDefault="001929A9" w:rsidP="00554826">
      <w:pPr>
        <w:pStyle w:val="notepara"/>
      </w:pPr>
      <w:r>
        <w:t>(c)</w:t>
      </w:r>
      <w:r>
        <w:tab/>
        <w:t>bilateral arrangement;</w:t>
      </w:r>
    </w:p>
    <w:p w14:paraId="6223F68F" w14:textId="77777777" w:rsidR="001929A9" w:rsidRDefault="001929A9" w:rsidP="00554826">
      <w:pPr>
        <w:pStyle w:val="notepara"/>
      </w:pPr>
      <w:r>
        <w:t>(d)</w:t>
      </w:r>
      <w:r>
        <w:tab/>
      </w:r>
      <w:r w:rsidR="00292808">
        <w:t>capacity;</w:t>
      </w:r>
    </w:p>
    <w:p w14:paraId="18B6A784" w14:textId="77777777" w:rsidR="00292808" w:rsidRDefault="00292808" w:rsidP="00554826">
      <w:pPr>
        <w:pStyle w:val="notepara"/>
      </w:pPr>
      <w:r>
        <w:t>(e)</w:t>
      </w:r>
      <w:r>
        <w:tab/>
        <w:t>code sharing;</w:t>
      </w:r>
    </w:p>
    <w:p w14:paraId="32452515" w14:textId="77777777" w:rsidR="00292808" w:rsidRDefault="00292808" w:rsidP="00554826">
      <w:pPr>
        <w:pStyle w:val="notepara"/>
      </w:pPr>
      <w:r>
        <w:t>(f)</w:t>
      </w:r>
      <w:r>
        <w:tab/>
        <w:t>Commission;</w:t>
      </w:r>
    </w:p>
    <w:p w14:paraId="21AC5DF6" w14:textId="77777777" w:rsidR="00292808" w:rsidRDefault="00292808" w:rsidP="00554826">
      <w:pPr>
        <w:pStyle w:val="notepara"/>
      </w:pPr>
      <w:r>
        <w:t>(g)</w:t>
      </w:r>
      <w:r>
        <w:tab/>
        <w:t>determination;</w:t>
      </w:r>
    </w:p>
    <w:p w14:paraId="6C9D7D35" w14:textId="77777777" w:rsidR="00292808" w:rsidRDefault="00292808" w:rsidP="00554826">
      <w:pPr>
        <w:pStyle w:val="notepara"/>
      </w:pPr>
      <w:r>
        <w:t>(h)</w:t>
      </w:r>
      <w:r>
        <w:tab/>
        <w:t>interim determination;</w:t>
      </w:r>
    </w:p>
    <w:p w14:paraId="70D94819" w14:textId="77777777" w:rsidR="00292808" w:rsidRDefault="00292808" w:rsidP="00292808">
      <w:pPr>
        <w:pStyle w:val="notepara"/>
      </w:pPr>
      <w:r>
        <w:t>(</w:t>
      </w:r>
      <w:proofErr w:type="spellStart"/>
      <w:r>
        <w:t>i</w:t>
      </w:r>
      <w:proofErr w:type="spellEnd"/>
      <w:r>
        <w:t>)</w:t>
      </w:r>
      <w:r>
        <w:tab/>
        <w:t>joint international air services;</w:t>
      </w:r>
    </w:p>
    <w:p w14:paraId="5AAFCC02" w14:textId="77777777" w:rsidR="00292808" w:rsidRPr="009C2562" w:rsidRDefault="00292808" w:rsidP="00292808">
      <w:pPr>
        <w:pStyle w:val="notepara"/>
      </w:pPr>
      <w:r>
        <w:t>(j)</w:t>
      </w:r>
      <w:r>
        <w:tab/>
        <w:t>transfer application.</w:t>
      </w:r>
    </w:p>
    <w:p w14:paraId="25325C58" w14:textId="77777777" w:rsidR="00554826" w:rsidRPr="009C2562" w:rsidRDefault="00554826" w:rsidP="00554826">
      <w:pPr>
        <w:pStyle w:val="subsection"/>
      </w:pPr>
      <w:r w:rsidRPr="009C2562">
        <w:tab/>
      </w:r>
      <w:r w:rsidRPr="009C2562">
        <w:tab/>
        <w:t>In this instrument:</w:t>
      </w:r>
    </w:p>
    <w:p w14:paraId="180D59DD" w14:textId="77777777" w:rsidR="00D6689A" w:rsidRPr="00D6689A" w:rsidRDefault="00D6689A" w:rsidP="00554826">
      <w:pPr>
        <w:pStyle w:val="Definition"/>
      </w:pPr>
      <w:r>
        <w:rPr>
          <w:b/>
          <w:i/>
        </w:rPr>
        <w:t xml:space="preserve">ACCC </w:t>
      </w:r>
      <w:r>
        <w:t>means the Australian Competition and Consumer Commission.</w:t>
      </w:r>
    </w:p>
    <w:p w14:paraId="533D281C" w14:textId="77777777" w:rsidR="00554826" w:rsidRDefault="00554826" w:rsidP="00554826">
      <w:pPr>
        <w:pStyle w:val="Definition"/>
      </w:pPr>
      <w:r w:rsidRPr="009C2562">
        <w:rPr>
          <w:b/>
          <w:i/>
        </w:rPr>
        <w:t>Act</w:t>
      </w:r>
      <w:r w:rsidR="00C85E13">
        <w:t xml:space="preserve"> means the </w:t>
      </w:r>
      <w:r w:rsidR="00C85E13">
        <w:rPr>
          <w:i/>
        </w:rPr>
        <w:t>International Air Services Commission Act 1992</w:t>
      </w:r>
      <w:r>
        <w:t>.</w:t>
      </w:r>
    </w:p>
    <w:p w14:paraId="6C38962E" w14:textId="77777777" w:rsidR="004C7E07" w:rsidRPr="00130EC2" w:rsidRDefault="004C7E07" w:rsidP="004C7E07">
      <w:pPr>
        <w:pStyle w:val="Definition"/>
      </w:pPr>
      <w:r>
        <w:rPr>
          <w:b/>
          <w:i/>
        </w:rPr>
        <w:lastRenderedPageBreak/>
        <w:t>additional criteria</w:t>
      </w:r>
      <w:r w:rsidRPr="00ED3AB9">
        <w:t>:</w:t>
      </w:r>
      <w:r w:rsidR="0067139E">
        <w:t xml:space="preserve"> see section 9</w:t>
      </w:r>
      <w:r>
        <w:t>.</w:t>
      </w:r>
    </w:p>
    <w:p w14:paraId="51E66503" w14:textId="77777777" w:rsidR="00AA525F" w:rsidRPr="00AA525F" w:rsidRDefault="002029FC" w:rsidP="00554826">
      <w:pPr>
        <w:pStyle w:val="Definition"/>
      </w:pPr>
      <w:r>
        <w:rPr>
          <w:b/>
          <w:i/>
        </w:rPr>
        <w:t>a</w:t>
      </w:r>
      <w:r w:rsidR="00AA525F">
        <w:rPr>
          <w:b/>
          <w:i/>
        </w:rPr>
        <w:t>pplicant</w:t>
      </w:r>
      <w:r w:rsidR="00AA525F">
        <w:t xml:space="preserve"> means an Aust</w:t>
      </w:r>
      <w:r w:rsidR="00AE1677">
        <w:t>ralian carrier that has applied to the Commission for a determination allocating capacity, or for the renewal or review of</w:t>
      </w:r>
      <w:r w:rsidR="000A778D">
        <w:t xml:space="preserve"> such</w:t>
      </w:r>
      <w:r w:rsidR="00AE1677">
        <w:t xml:space="preserve"> a determination.</w:t>
      </w:r>
    </w:p>
    <w:p w14:paraId="0EBDF923" w14:textId="77777777" w:rsidR="00130EC2" w:rsidRDefault="00130EC2" w:rsidP="00554826">
      <w:pPr>
        <w:pStyle w:val="Definition"/>
      </w:pPr>
      <w:r>
        <w:rPr>
          <w:b/>
          <w:i/>
        </w:rPr>
        <w:t>reasonable capability criterion</w:t>
      </w:r>
      <w:r>
        <w:t xml:space="preserve">: see </w:t>
      </w:r>
      <w:r w:rsidR="0067139E">
        <w:t>section 8</w:t>
      </w:r>
      <w:r>
        <w:t>.</w:t>
      </w:r>
    </w:p>
    <w:p w14:paraId="290B6D69" w14:textId="77777777" w:rsidR="00554826" w:rsidRDefault="00130EC2" w:rsidP="00554826">
      <w:pPr>
        <w:pStyle w:val="Definition"/>
      </w:pPr>
      <w:r>
        <w:rPr>
          <w:b/>
          <w:i/>
        </w:rPr>
        <w:t>r</w:t>
      </w:r>
      <w:r w:rsidR="00292808">
        <w:rPr>
          <w:b/>
          <w:i/>
        </w:rPr>
        <w:t>oute</w:t>
      </w:r>
      <w:r w:rsidR="0039527E">
        <w:t xml:space="preserve"> </w:t>
      </w:r>
      <w:r w:rsidR="009356D6">
        <w:t>relates to the full set of entitlements available to Australian carriers under a particular bilateral arrangement. All combinations of origin, destination, intermediate and beyond points available to Australian carriers under the bilateral arrangement constitute a single route.</w:t>
      </w:r>
    </w:p>
    <w:p w14:paraId="367129BD" w14:textId="77777777" w:rsidR="00554826" w:rsidRPr="00554826" w:rsidRDefault="00554826" w:rsidP="00554826">
      <w:pPr>
        <w:pStyle w:val="ActHead5"/>
      </w:pPr>
      <w:bookmarkStart w:id="7" w:name="_Toc454781205"/>
      <w:bookmarkStart w:id="8" w:name="_Toc507400044"/>
      <w:proofErr w:type="gramStart"/>
      <w:r w:rsidRPr="00554826">
        <w:t xml:space="preserve">5  </w:t>
      </w:r>
      <w:bookmarkEnd w:id="7"/>
      <w:r w:rsidR="00DF3D46">
        <w:t>Schedules</w:t>
      </w:r>
      <w:bookmarkEnd w:id="8"/>
      <w:proofErr w:type="gramEnd"/>
    </w:p>
    <w:p w14:paraId="2E5B1446" w14:textId="77777777" w:rsidR="00554826" w:rsidRPr="000B1A91" w:rsidRDefault="00554826" w:rsidP="00920CF1">
      <w:pPr>
        <w:pStyle w:val="subsection"/>
      </w:pPr>
      <w:r w:rsidRPr="00920CF1">
        <w:tab/>
      </w:r>
      <w:r w:rsidRPr="00920CF1">
        <w:tab/>
      </w:r>
      <w:r w:rsidR="000E5A75" w:rsidRPr="00920CF1">
        <w:t>Each instrument that is specified in a Schedule to this instrument is amended or repealed as</w:t>
      </w:r>
      <w:r w:rsidR="000E5A75" w:rsidRPr="000B1A91">
        <w:t xml:space="preserve"> set out in the applicable items in the Schedule concerned, and any other item in a Schedule to this instrument has effect according to its terms</w:t>
      </w:r>
      <w:r w:rsidR="00DF3D46" w:rsidRPr="000B1A91">
        <w:t>.</w:t>
      </w:r>
    </w:p>
    <w:p w14:paraId="77258862" w14:textId="77777777" w:rsidR="001A0D10" w:rsidRDefault="001A0D10" w:rsidP="001A0D10">
      <w:pPr>
        <w:pStyle w:val="ActHead5"/>
      </w:pPr>
      <w:bookmarkStart w:id="9" w:name="_Toc507400045"/>
      <w:proofErr w:type="gramStart"/>
      <w:r>
        <w:t>6</w:t>
      </w:r>
      <w:r w:rsidR="00BD7D68">
        <w:t xml:space="preserve">  </w:t>
      </w:r>
      <w:r w:rsidR="005D0158">
        <w:t>Object</w:t>
      </w:r>
      <w:bookmarkEnd w:id="9"/>
      <w:proofErr w:type="gramEnd"/>
    </w:p>
    <w:p w14:paraId="75EE1853" w14:textId="77777777" w:rsidR="00E357E3" w:rsidRDefault="000B1A91" w:rsidP="009209DE">
      <w:pPr>
        <w:pStyle w:val="subsection"/>
      </w:pPr>
      <w:r w:rsidRPr="00920CF1">
        <w:tab/>
        <w:t>(</w:t>
      </w:r>
      <w:r>
        <w:t>1)</w:t>
      </w:r>
      <w:r>
        <w:tab/>
      </w:r>
      <w:r w:rsidR="009209DE">
        <w:t>This instrument is a policy statement intended to provide guidance about the way in which the Commission is to perform its functions.</w:t>
      </w:r>
      <w:r>
        <w:tab/>
      </w:r>
    </w:p>
    <w:p w14:paraId="4A282AC1" w14:textId="77777777" w:rsidR="000F4580" w:rsidRPr="000B1A91" w:rsidRDefault="00E357E3" w:rsidP="009209DE">
      <w:pPr>
        <w:pStyle w:val="subsection"/>
      </w:pPr>
      <w:r>
        <w:tab/>
      </w:r>
      <w:r w:rsidR="000B1A91">
        <w:t>(2)</w:t>
      </w:r>
      <w:r w:rsidR="000B1A91">
        <w:tab/>
      </w:r>
      <w:r w:rsidR="00DE0469" w:rsidRPr="00920CF1">
        <w:t>The Commission</w:t>
      </w:r>
      <w:r w:rsidR="00435104" w:rsidRPr="004435FA">
        <w:t xml:space="preserve"> </w:t>
      </w:r>
      <w:r w:rsidR="00DE0469" w:rsidRPr="004435FA">
        <w:t xml:space="preserve">is to </w:t>
      </w:r>
      <w:r>
        <w:t xml:space="preserve">perform its functions in a way that will achieve the object of the Act (that is, to promote economic efficiency through competition in the provision of international air services) by </w:t>
      </w:r>
      <w:r w:rsidR="00DE0469" w:rsidRPr="004435FA">
        <w:t>foster</w:t>
      </w:r>
      <w:r>
        <w:t>ing, encouraging</w:t>
      </w:r>
      <w:r w:rsidR="00DE0469" w:rsidRPr="004435FA">
        <w:t xml:space="preserve"> and support</w:t>
      </w:r>
      <w:r>
        <w:t>ing</w:t>
      </w:r>
      <w:r w:rsidR="00DE0469" w:rsidRPr="004435FA">
        <w:t xml:space="preserve"> competition</w:t>
      </w:r>
      <w:r w:rsidR="00DE0469" w:rsidRPr="000B1A91">
        <w:t xml:space="preserve"> in the provision of international air services</w:t>
      </w:r>
      <w:r w:rsidR="004F3862">
        <w:t xml:space="preserve"> by Australian carriers</w:t>
      </w:r>
      <w:r w:rsidR="00DE0469" w:rsidRPr="000B1A91">
        <w:t>.</w:t>
      </w:r>
    </w:p>
    <w:p w14:paraId="01FCF8AC" w14:textId="77777777" w:rsidR="00DF29AD" w:rsidRPr="00C215F2" w:rsidRDefault="00DF29AD" w:rsidP="001A327A">
      <w:pPr>
        <w:pStyle w:val="subsection"/>
      </w:pPr>
    </w:p>
    <w:p w14:paraId="60DC87B1" w14:textId="77777777" w:rsidR="00EA3261" w:rsidRPr="000B1A91" w:rsidRDefault="00EA3261" w:rsidP="009A390E">
      <w:pPr>
        <w:pStyle w:val="paragraph"/>
        <w:ind w:left="0" w:firstLine="0"/>
      </w:pPr>
    </w:p>
    <w:p w14:paraId="074E8DC3" w14:textId="77777777" w:rsidR="00E357E3" w:rsidRDefault="00E357E3">
      <w:pPr>
        <w:spacing w:line="240" w:lineRule="auto"/>
        <w:rPr>
          <w:rFonts w:eastAsia="Times New Roman" w:cs="Times New Roman"/>
          <w:b/>
          <w:kern w:val="28"/>
          <w:sz w:val="32"/>
          <w:lang w:eastAsia="en-AU"/>
        </w:rPr>
      </w:pPr>
      <w:r>
        <w:br w:type="page"/>
      </w:r>
    </w:p>
    <w:p w14:paraId="6BA13101" w14:textId="77777777" w:rsidR="001A0D10" w:rsidRDefault="001A0D10" w:rsidP="001A0D10">
      <w:pPr>
        <w:pStyle w:val="ActHead2"/>
      </w:pPr>
      <w:bookmarkStart w:id="10" w:name="_Toc507400046"/>
      <w:r>
        <w:lastRenderedPageBreak/>
        <w:t xml:space="preserve">Part </w:t>
      </w:r>
      <w:r w:rsidR="00026004">
        <w:t>2</w:t>
      </w:r>
      <w:r w:rsidR="00DB50ED" w:rsidRPr="00DB50ED">
        <w:t>—</w:t>
      </w:r>
      <w:r w:rsidR="004D5BB2">
        <w:t>Criteria for a</w:t>
      </w:r>
      <w:r w:rsidR="006322B6">
        <w:t>ssessing benefit to the p</w:t>
      </w:r>
      <w:r>
        <w:t>ublic</w:t>
      </w:r>
      <w:bookmarkEnd w:id="10"/>
    </w:p>
    <w:p w14:paraId="21E1D1ED" w14:textId="77777777" w:rsidR="00A6158E" w:rsidRPr="00A6158E" w:rsidRDefault="00064591" w:rsidP="00E75DC2">
      <w:pPr>
        <w:pStyle w:val="ActHead5"/>
      </w:pPr>
      <w:bookmarkStart w:id="11" w:name="_Toc507400047"/>
      <w:proofErr w:type="gramStart"/>
      <w:r>
        <w:t>7</w:t>
      </w:r>
      <w:r w:rsidR="00A6158E">
        <w:t xml:space="preserve">  </w:t>
      </w:r>
      <w:r w:rsidR="00292B50">
        <w:t>Explanatory</w:t>
      </w:r>
      <w:proofErr w:type="gramEnd"/>
      <w:r w:rsidR="00292B50">
        <w:t xml:space="preserve"> outline</w:t>
      </w:r>
      <w:r w:rsidR="00A6158E">
        <w:t xml:space="preserve"> of this Part</w:t>
      </w:r>
      <w:bookmarkEnd w:id="11"/>
    </w:p>
    <w:p w14:paraId="6F3F2D90" w14:textId="77777777" w:rsidR="00A6158E" w:rsidRDefault="00F95F53" w:rsidP="00E75DC2">
      <w:pPr>
        <w:pStyle w:val="BoxText"/>
      </w:pPr>
      <w:r>
        <w:t xml:space="preserve">The Act requires the Commission to assess the </w:t>
      </w:r>
      <w:r w:rsidRPr="00F95F53">
        <w:rPr>
          <w:b/>
        </w:rPr>
        <w:t>benefit to the public</w:t>
      </w:r>
      <w:r>
        <w:t xml:space="preserve"> of allocations of capacity when deciding whether to make, renew or vary a determination. </w:t>
      </w:r>
      <w:r w:rsidR="00A6158E">
        <w:t xml:space="preserve">This Part sets out criteria that the Commission is </w:t>
      </w:r>
      <w:r w:rsidR="00DA1EBA">
        <w:t>to have regard to</w:t>
      </w:r>
      <w:r w:rsidR="00A6158E">
        <w:t xml:space="preserve"> in assessing the </w:t>
      </w:r>
      <w:r w:rsidR="00A6158E" w:rsidRPr="00F95F53">
        <w:t>benefit to the public</w:t>
      </w:r>
      <w:r w:rsidR="00A6158E">
        <w:t xml:space="preserve"> of allocations of capacity in particular circumstances.</w:t>
      </w:r>
    </w:p>
    <w:p w14:paraId="65C3DD8E" w14:textId="6402142E" w:rsidR="00CD003B" w:rsidRDefault="0086156A" w:rsidP="002A00A7">
      <w:pPr>
        <w:pStyle w:val="BoxText"/>
      </w:pPr>
      <w:r>
        <w:t xml:space="preserve">There are </w:t>
      </w:r>
      <w:r w:rsidR="004D5BB2">
        <w:t>two main</w:t>
      </w:r>
      <w:r>
        <w:t xml:space="preserve"> sets of criteria that the Commission is to have regard to</w:t>
      </w:r>
      <w:r w:rsidR="00C86713">
        <w:t xml:space="preserve"> in assessing the benefit to the public</w:t>
      </w:r>
      <w:r>
        <w:t xml:space="preserve">: the </w:t>
      </w:r>
      <w:r w:rsidR="002A00A7">
        <w:t xml:space="preserve">‘reasonable capability criterion’ and </w:t>
      </w:r>
      <w:r>
        <w:t xml:space="preserve">the </w:t>
      </w:r>
      <w:r w:rsidR="002A00A7">
        <w:t>‘additional criteria’</w:t>
      </w:r>
      <w:r>
        <w:t xml:space="preserve">. When and how the Commission is to </w:t>
      </w:r>
      <w:r w:rsidR="006654B8">
        <w:t xml:space="preserve">have regard to </w:t>
      </w:r>
      <w:r>
        <w:t>the criteria is set out in Part 3.</w:t>
      </w:r>
      <w:r w:rsidR="004D5BB2">
        <w:t xml:space="preserve"> </w:t>
      </w:r>
    </w:p>
    <w:p w14:paraId="26176E53" w14:textId="77777777" w:rsidR="0086156A" w:rsidRDefault="004D5BB2" w:rsidP="002A00A7">
      <w:pPr>
        <w:pStyle w:val="BoxText"/>
      </w:pPr>
      <w:r>
        <w:t xml:space="preserve">In </w:t>
      </w:r>
      <w:r w:rsidR="006654B8">
        <w:t>certain</w:t>
      </w:r>
      <w:r>
        <w:t xml:space="preserve"> circumstances</w:t>
      </w:r>
      <w:r w:rsidR="006654B8">
        <w:t xml:space="preserve"> specified in Part 3</w:t>
      </w:r>
      <w:r>
        <w:t>,</w:t>
      </w:r>
      <w:r w:rsidR="006654B8">
        <w:t xml:space="preserve"> the Commission is to have regard to other</w:t>
      </w:r>
      <w:r>
        <w:t xml:space="preserve"> criteria which are not set out in this Part.</w:t>
      </w:r>
      <w:r w:rsidR="006654B8">
        <w:t xml:space="preserve"> </w:t>
      </w:r>
      <w:r w:rsidR="00CD003B">
        <w:t>These include, for example, the matters referred to in paragraph 18(2)(b) or subsection 16(2) of this instrument.</w:t>
      </w:r>
    </w:p>
    <w:p w14:paraId="6BF0228B" w14:textId="77777777" w:rsidR="002A00A7" w:rsidRDefault="002A00A7" w:rsidP="00B5110E">
      <w:pPr>
        <w:pStyle w:val="BoxText"/>
      </w:pPr>
      <w:r>
        <w:t>The criteria set out in this Part apply equally in assessing the benefit to the public of allocations to be exercised through own aircraft operations, code share arrangements and other joint international air services.</w:t>
      </w:r>
    </w:p>
    <w:p w14:paraId="766A17C4" w14:textId="77777777" w:rsidR="00B62CBD" w:rsidRDefault="00064591" w:rsidP="0058077C">
      <w:pPr>
        <w:pStyle w:val="ActHead5"/>
      </w:pPr>
      <w:bookmarkStart w:id="12" w:name="_Toc507400048"/>
      <w:proofErr w:type="gramStart"/>
      <w:r>
        <w:t>8</w:t>
      </w:r>
      <w:r w:rsidR="00B62CBD">
        <w:t xml:space="preserve">  </w:t>
      </w:r>
      <w:r w:rsidR="00A451AB">
        <w:t>Reasonable</w:t>
      </w:r>
      <w:proofErr w:type="gramEnd"/>
      <w:r w:rsidR="00A451AB">
        <w:t xml:space="preserve"> capability criterion</w:t>
      </w:r>
      <w:bookmarkEnd w:id="12"/>
    </w:p>
    <w:p w14:paraId="5F1EC259" w14:textId="77777777" w:rsidR="0058077C" w:rsidRDefault="0058077C" w:rsidP="008F3A5C">
      <w:pPr>
        <w:pStyle w:val="subsection"/>
      </w:pPr>
      <w:r>
        <w:tab/>
      </w:r>
      <w:r w:rsidR="00315F0C">
        <w:tab/>
      </w:r>
      <w:r w:rsidR="009209DE" w:rsidRPr="00B5110E">
        <w:rPr>
          <w:b/>
          <w:i/>
        </w:rPr>
        <w:t>R</w:t>
      </w:r>
      <w:r w:rsidR="009356D6">
        <w:rPr>
          <w:b/>
          <w:i/>
        </w:rPr>
        <w:t>easonable</w:t>
      </w:r>
      <w:r>
        <w:rPr>
          <w:b/>
          <w:i/>
        </w:rPr>
        <w:t xml:space="preserve"> capability criterion</w:t>
      </w:r>
      <w:r>
        <w:t xml:space="preserve"> means</w:t>
      </w:r>
      <w:r w:rsidR="00C9159D">
        <w:t xml:space="preserve"> </w:t>
      </w:r>
      <w:r w:rsidR="008B39A7">
        <w:t xml:space="preserve">the extent to which </w:t>
      </w:r>
      <w:r>
        <w:t xml:space="preserve">all </w:t>
      </w:r>
      <w:r w:rsidR="00573AD5">
        <w:t xml:space="preserve">Australian </w:t>
      </w:r>
      <w:r>
        <w:t xml:space="preserve">carriers that </w:t>
      </w:r>
      <w:r w:rsidR="00D262E2">
        <w:t xml:space="preserve">are, or </w:t>
      </w:r>
      <w:r w:rsidR="009209DE">
        <w:t>would be</w:t>
      </w:r>
      <w:r w:rsidR="00D262E2">
        <w:t>,</w:t>
      </w:r>
      <w:r w:rsidR="009209DE">
        <w:t xml:space="preserve"> </w:t>
      </w:r>
      <w:r w:rsidR="005D0158">
        <w:t>permitted</w:t>
      </w:r>
      <w:r w:rsidR="009209DE">
        <w:t xml:space="preserve"> to use</w:t>
      </w:r>
      <w:r w:rsidR="003824DA">
        <w:t xml:space="preserve"> the</w:t>
      </w:r>
      <w:r w:rsidR="009209DE">
        <w:t xml:space="preserve"> capacity allocated under a determination</w:t>
      </w:r>
      <w:r>
        <w:t xml:space="preserve"> are reasonably capable of: </w:t>
      </w:r>
    </w:p>
    <w:p w14:paraId="3A12ABD2" w14:textId="77777777" w:rsidR="0058077C" w:rsidRDefault="00A451AB" w:rsidP="00ED3AB9">
      <w:pPr>
        <w:pStyle w:val="paragraph"/>
      </w:pPr>
      <w:r>
        <w:tab/>
      </w:r>
      <w:r w:rsidR="00C9159D">
        <w:t>(</w:t>
      </w:r>
      <w:r w:rsidR="008B39A7">
        <w:t>a</w:t>
      </w:r>
      <w:r w:rsidR="0058077C">
        <w:t>)</w:t>
      </w:r>
      <w:r w:rsidR="0058077C">
        <w:tab/>
        <w:t xml:space="preserve">obtaining any licences, permits or other approvals required to operate on and service the route </w:t>
      </w:r>
      <w:r w:rsidR="00D262E2">
        <w:t>to which the determination relates</w:t>
      </w:r>
      <w:r w:rsidR="0058077C">
        <w:t xml:space="preserve">; and </w:t>
      </w:r>
    </w:p>
    <w:p w14:paraId="795668CF" w14:textId="38AE546F" w:rsidR="00C9159D" w:rsidRDefault="00A451AB" w:rsidP="00ED3AB9">
      <w:pPr>
        <w:pStyle w:val="paragraph"/>
      </w:pPr>
      <w:r>
        <w:tab/>
      </w:r>
      <w:r w:rsidR="00C9159D">
        <w:t>(</w:t>
      </w:r>
      <w:r w:rsidR="008B39A7">
        <w:t>b</w:t>
      </w:r>
      <w:r w:rsidR="0058077C">
        <w:t>)</w:t>
      </w:r>
      <w:r w:rsidR="0058077C">
        <w:tab/>
        <w:t>using the capacity</w:t>
      </w:r>
      <w:r w:rsidR="00D262E2">
        <w:t xml:space="preserve"> allocated under the determination</w:t>
      </w:r>
      <w:r w:rsidR="0058077C">
        <w:t>.</w:t>
      </w:r>
    </w:p>
    <w:p w14:paraId="02FFBF05" w14:textId="77777777" w:rsidR="00E02BAA" w:rsidRDefault="00E02BAA" w:rsidP="00B5110E">
      <w:pPr>
        <w:pStyle w:val="notetext"/>
      </w:pPr>
      <w:r>
        <w:t xml:space="preserve">Note: </w:t>
      </w:r>
      <w:r>
        <w:tab/>
        <w:t xml:space="preserve">To avoid doubt, </w:t>
      </w:r>
      <w:r w:rsidR="00E403B6">
        <w:t xml:space="preserve">this criterion </w:t>
      </w:r>
      <w:r w:rsidR="00AA525F">
        <w:t>relates</w:t>
      </w:r>
      <w:r w:rsidR="00E403B6">
        <w:t xml:space="preserve"> to all carriers that</w:t>
      </w:r>
      <w:r w:rsidR="00D262E2">
        <w:t xml:space="preserve"> are, or</w:t>
      </w:r>
      <w:r w:rsidR="00E403B6">
        <w:t xml:space="preserve"> </w:t>
      </w:r>
      <w:r w:rsidR="003824DA">
        <w:t>would be</w:t>
      </w:r>
      <w:r w:rsidR="00D262E2">
        <w:t>,</w:t>
      </w:r>
      <w:r w:rsidR="003824DA">
        <w:t xml:space="preserve"> </w:t>
      </w:r>
      <w:r w:rsidR="005D0158">
        <w:t>permitted</w:t>
      </w:r>
      <w:r w:rsidR="003824DA">
        <w:t xml:space="preserve"> to use the capacity allocated under a determination</w:t>
      </w:r>
      <w:r w:rsidR="00E403B6">
        <w:t xml:space="preserve">, including </w:t>
      </w:r>
      <w:r w:rsidR="00AA525F">
        <w:t xml:space="preserve">all carriers that </w:t>
      </w:r>
      <w:r w:rsidR="003824DA">
        <w:t xml:space="preserve">would be entitled to </w:t>
      </w:r>
      <w:r w:rsidR="00AA525F">
        <w:t>use the capacity</w:t>
      </w:r>
      <w:r w:rsidR="00E403B6">
        <w:t xml:space="preserve"> because of</w:t>
      </w:r>
      <w:r w:rsidR="00AA525F">
        <w:t xml:space="preserve"> a condition imposed </w:t>
      </w:r>
      <w:r w:rsidR="00A4007E">
        <w:t xml:space="preserve">by the Commission </w:t>
      </w:r>
      <w:r w:rsidR="00AA525F">
        <w:t xml:space="preserve">pursuant to </w:t>
      </w:r>
      <w:r w:rsidR="00E403B6">
        <w:t>paragraph 15(2)(</w:t>
      </w:r>
      <w:proofErr w:type="spellStart"/>
      <w:r w:rsidR="00E403B6">
        <w:t>ea</w:t>
      </w:r>
      <w:proofErr w:type="spellEnd"/>
      <w:r w:rsidR="00E403B6">
        <w:t>) of the Act</w:t>
      </w:r>
      <w:r w:rsidR="00AA525F">
        <w:t>.</w:t>
      </w:r>
    </w:p>
    <w:p w14:paraId="284FD2FF" w14:textId="77777777" w:rsidR="008F3A5C" w:rsidRDefault="00064591" w:rsidP="008F3A5C">
      <w:pPr>
        <w:pStyle w:val="ActHead5"/>
      </w:pPr>
      <w:bookmarkStart w:id="13" w:name="_Toc507400049"/>
      <w:proofErr w:type="gramStart"/>
      <w:r>
        <w:t>9</w:t>
      </w:r>
      <w:r w:rsidR="008F3A5C">
        <w:t xml:space="preserve">  </w:t>
      </w:r>
      <w:r w:rsidR="00D262E2">
        <w:t>Additional</w:t>
      </w:r>
      <w:proofErr w:type="gramEnd"/>
      <w:r w:rsidR="00D262E2">
        <w:t xml:space="preserve"> criteria</w:t>
      </w:r>
      <w:bookmarkEnd w:id="13"/>
    </w:p>
    <w:p w14:paraId="195E529D" w14:textId="77777777" w:rsidR="005558BC" w:rsidRPr="005D0158" w:rsidRDefault="008F3A5C" w:rsidP="00C96BCB">
      <w:pPr>
        <w:pStyle w:val="subsection"/>
      </w:pPr>
      <w:r w:rsidRPr="00C96BCB">
        <w:tab/>
      </w:r>
      <w:r w:rsidR="00D262E2">
        <w:tab/>
      </w:r>
      <w:r w:rsidR="00D262E2" w:rsidRPr="00C96BCB">
        <w:rPr>
          <w:b/>
          <w:i/>
        </w:rPr>
        <w:t>Additional criteria</w:t>
      </w:r>
      <w:r w:rsidR="00D262E2" w:rsidRPr="00C96BCB">
        <w:t xml:space="preserve"> means the following criteria:</w:t>
      </w:r>
    </w:p>
    <w:p w14:paraId="52941093" w14:textId="77777777" w:rsidR="00D262E2" w:rsidRPr="00C96BCB" w:rsidRDefault="00D573D8" w:rsidP="005D0158">
      <w:pPr>
        <w:pStyle w:val="SubsectionHead"/>
      </w:pPr>
      <w:r>
        <w:t>Competition criteria</w:t>
      </w:r>
      <w:r w:rsidR="00D262E2">
        <w:br/>
      </w:r>
    </w:p>
    <w:p w14:paraId="154CB271" w14:textId="77777777" w:rsidR="008948B2" w:rsidRDefault="00A451AB" w:rsidP="008948B2">
      <w:pPr>
        <w:pStyle w:val="paragraph"/>
      </w:pPr>
      <w:r>
        <w:tab/>
      </w:r>
      <w:r w:rsidR="008948B2">
        <w:t>(a)</w:t>
      </w:r>
      <w:r w:rsidR="008948B2">
        <w:tab/>
      </w:r>
      <w:r w:rsidR="00D573D8">
        <w:t xml:space="preserve">the </w:t>
      </w:r>
      <w:r w:rsidR="00565162">
        <w:t>desirability of fostering</w:t>
      </w:r>
      <w:r w:rsidR="008948B2" w:rsidRPr="008948B2">
        <w:t xml:space="preserve"> an environment in which Australian carriers can effectively compete with each other and with foreign carriers on the route in question;</w:t>
      </w:r>
    </w:p>
    <w:p w14:paraId="3A666720" w14:textId="77777777" w:rsidR="008948B2" w:rsidRDefault="008948B2" w:rsidP="008948B2">
      <w:pPr>
        <w:pStyle w:val="paragraph"/>
      </w:pPr>
      <w:r>
        <w:tab/>
        <w:t>(b)</w:t>
      </w:r>
      <w:r>
        <w:tab/>
      </w:r>
      <w:r w:rsidRPr="008948B2">
        <w:t xml:space="preserve">the number of carriers operating on the route in question and the existing distribution of capacity among Australian carriers (including </w:t>
      </w:r>
      <w:r w:rsidR="00D573D8">
        <w:t xml:space="preserve">through </w:t>
      </w:r>
      <w:r w:rsidRPr="008948B2">
        <w:t>code sharing and other joint international air services);</w:t>
      </w:r>
    </w:p>
    <w:p w14:paraId="058F1ACF" w14:textId="77777777" w:rsidR="00EA3261" w:rsidRPr="00E640CF" w:rsidRDefault="00EA3261" w:rsidP="008948B2">
      <w:pPr>
        <w:pStyle w:val="paragraph"/>
      </w:pPr>
      <w:r>
        <w:lastRenderedPageBreak/>
        <w:tab/>
        <w:t>(c)</w:t>
      </w:r>
      <w:r>
        <w:tab/>
      </w:r>
      <w:r w:rsidRPr="00EA3261">
        <w:t xml:space="preserve">the likely impact </w:t>
      </w:r>
      <w:r w:rsidR="00D573D8">
        <w:t xml:space="preserve">on </w:t>
      </w:r>
      <w:r w:rsidRPr="00EA3261">
        <w:t>consumers of the proposed allocation, including</w:t>
      </w:r>
      <w:r w:rsidR="00D573D8">
        <w:t xml:space="preserve"> on</w:t>
      </w:r>
      <w:r w:rsidRPr="00EA3261">
        <w:t xml:space="preserve"> </w:t>
      </w:r>
      <w:r w:rsidR="00565162">
        <w:t xml:space="preserve">costs of </w:t>
      </w:r>
      <w:r w:rsidRPr="00EA3261">
        <w:t xml:space="preserve">airfares, customer choice, product differentiation, stimulation of innovation </w:t>
      </w:r>
      <w:r w:rsidR="00565162">
        <w:t>by</w:t>
      </w:r>
      <w:r w:rsidRPr="00E640CF">
        <w:t xml:space="preserve"> incumbent carriers, and frequency of service;</w:t>
      </w:r>
    </w:p>
    <w:p w14:paraId="5E04250E" w14:textId="77777777" w:rsidR="00EA3261" w:rsidRPr="00E640CF" w:rsidRDefault="00EA3261" w:rsidP="00EA3261">
      <w:pPr>
        <w:pStyle w:val="paragraph"/>
      </w:pPr>
      <w:r w:rsidRPr="00E640CF">
        <w:tab/>
        <w:t>(d)</w:t>
      </w:r>
      <w:r w:rsidRPr="00E640CF">
        <w:tab/>
      </w:r>
      <w:r w:rsidR="00565162">
        <w:t>the desirability of fostering own aircraft operations by Australian carriers over code share or other joint international air services involving the marketing, by an Australian carrier, of seats on flights operated by foreign carriers</w:t>
      </w:r>
      <w:r w:rsidRPr="00E640CF">
        <w:t>;</w:t>
      </w:r>
    </w:p>
    <w:p w14:paraId="600E6A38" w14:textId="20AD39CD" w:rsidR="00EA3261" w:rsidRPr="00EA3261" w:rsidRDefault="00EA3261" w:rsidP="00EA3261">
      <w:pPr>
        <w:pStyle w:val="paragraph"/>
      </w:pPr>
      <w:r w:rsidRPr="00E640CF">
        <w:tab/>
        <w:t>(e)</w:t>
      </w:r>
      <w:r w:rsidRPr="00E640CF">
        <w:tab/>
      </w:r>
      <w:r w:rsidR="00031F28">
        <w:t xml:space="preserve">the benefits presented by allocating the capacity to a given applicant over other competing applicants, having regard to </w:t>
      </w:r>
      <w:r w:rsidR="003D081C">
        <w:t xml:space="preserve">any </w:t>
      </w:r>
      <w:r w:rsidR="00031F28">
        <w:t xml:space="preserve">commercial arrangements </w:t>
      </w:r>
      <w:r w:rsidR="003D081C">
        <w:t xml:space="preserve">that may be in place </w:t>
      </w:r>
      <w:r w:rsidR="00031F28">
        <w:t>with other carriers;</w:t>
      </w:r>
    </w:p>
    <w:p w14:paraId="240DC1E8" w14:textId="77777777" w:rsidR="00EA3261" w:rsidRDefault="00EA3261" w:rsidP="008948B2">
      <w:pPr>
        <w:pStyle w:val="paragraph"/>
      </w:pPr>
      <w:r>
        <w:tab/>
        <w:t>(f)</w:t>
      </w:r>
      <w:r>
        <w:tab/>
      </w:r>
      <w:r w:rsidRPr="00EA3261">
        <w:t>any determinations, decisions or notifications made by the ACCC, or any determinations made by the Australian Competition Tribunal, in relation to a</w:t>
      </w:r>
      <w:r w:rsidR="000D6454">
        <w:t>n Australian</w:t>
      </w:r>
      <w:r w:rsidRPr="00EA3261">
        <w:t xml:space="preserve"> carrier using capacity in all or part of the route;</w:t>
      </w:r>
    </w:p>
    <w:p w14:paraId="3ED4B9C6" w14:textId="77777777" w:rsidR="00D573D8" w:rsidRDefault="00EA3261" w:rsidP="00484C18">
      <w:pPr>
        <w:pStyle w:val="paragraph"/>
      </w:pPr>
      <w:r>
        <w:tab/>
        <w:t>(g)</w:t>
      </w:r>
      <w:r>
        <w:tab/>
      </w:r>
      <w:r w:rsidRPr="00EA3261">
        <w:t xml:space="preserve">any determinations, decisions or notifications made by a foreign agency that performs a comparable function to the ACCC or the Australian Competition Tribunal, or by a foreign aeronautical authority, in relation to a carrier using entitlements under a bilateral </w:t>
      </w:r>
      <w:r w:rsidR="00691287">
        <w:t>arrangement</w:t>
      </w:r>
      <w:r w:rsidR="00691287" w:rsidRPr="00EA3261">
        <w:t xml:space="preserve"> </w:t>
      </w:r>
      <w:r w:rsidRPr="00EA3261">
        <w:t>on all or part of the route</w:t>
      </w:r>
      <w:r w:rsidR="000C0FC7">
        <w:t>;</w:t>
      </w:r>
    </w:p>
    <w:p w14:paraId="01E7A844" w14:textId="77777777" w:rsidR="00EA3261" w:rsidRDefault="00D573D8" w:rsidP="00ED3AB9">
      <w:pPr>
        <w:pStyle w:val="SubsectionHead"/>
      </w:pPr>
      <w:r>
        <w:t>Tourism</w:t>
      </w:r>
      <w:r w:rsidR="00620F65">
        <w:t xml:space="preserve"> and trade</w:t>
      </w:r>
      <w:r>
        <w:t xml:space="preserve"> criteria</w:t>
      </w:r>
      <w:r w:rsidR="00D262E2">
        <w:br/>
      </w:r>
    </w:p>
    <w:p w14:paraId="2F2EE92F" w14:textId="77777777" w:rsidR="00EA3261" w:rsidRDefault="00EA3261" w:rsidP="008948B2">
      <w:pPr>
        <w:pStyle w:val="paragraph"/>
      </w:pPr>
      <w:r>
        <w:tab/>
      </w:r>
      <w:r w:rsidR="008F3A5C">
        <w:t>(</w:t>
      </w:r>
      <w:r w:rsidR="00D262E2">
        <w:t>h</w:t>
      </w:r>
      <w:r>
        <w:t>)</w:t>
      </w:r>
      <w:r>
        <w:tab/>
      </w:r>
      <w:r w:rsidRPr="00EA3261">
        <w:t>the level of promotion, market development and investment proposed by each of the applicants;</w:t>
      </w:r>
    </w:p>
    <w:p w14:paraId="35B4778F" w14:textId="77777777" w:rsidR="00EA3261" w:rsidRDefault="00EA3261" w:rsidP="008948B2">
      <w:pPr>
        <w:pStyle w:val="paragraph"/>
      </w:pPr>
      <w:r>
        <w:tab/>
      </w:r>
      <w:r w:rsidR="008F3A5C">
        <w:t>(</w:t>
      </w:r>
      <w:proofErr w:type="spellStart"/>
      <w:r w:rsidR="00D262E2">
        <w:t>i</w:t>
      </w:r>
      <w:proofErr w:type="spellEnd"/>
      <w:r>
        <w:t>)</w:t>
      </w:r>
      <w:r>
        <w:tab/>
      </w:r>
      <w:r w:rsidRPr="00EA3261">
        <w:t>route service possibilities to and from points beyond Australian or foreign gateways;</w:t>
      </w:r>
    </w:p>
    <w:p w14:paraId="675B7E5E" w14:textId="77777777" w:rsidR="005558BC" w:rsidRDefault="00484C18" w:rsidP="005558BC">
      <w:pPr>
        <w:pStyle w:val="paragraph"/>
      </w:pPr>
      <w:r>
        <w:tab/>
      </w:r>
      <w:r w:rsidR="008F3A5C">
        <w:t>(</w:t>
      </w:r>
      <w:r w:rsidR="00D262E2">
        <w:t>j</w:t>
      </w:r>
      <w:r>
        <w:t>)</w:t>
      </w:r>
      <w:r>
        <w:tab/>
      </w:r>
      <w:r w:rsidRPr="00484C18">
        <w:t>the availability of frequent, low cost, reliable air freight movements for Australian importers and exporters</w:t>
      </w:r>
      <w:r w:rsidR="00D262E2">
        <w:t>;</w:t>
      </w:r>
    </w:p>
    <w:p w14:paraId="3C0BB8AF" w14:textId="77777777" w:rsidR="00D262E2" w:rsidRPr="00C96BCB" w:rsidRDefault="00D262E2" w:rsidP="00C96BCB">
      <w:pPr>
        <w:pStyle w:val="SubsectionHead"/>
      </w:pPr>
      <w:r>
        <w:t>Relevant information obtained from Government agencies</w:t>
      </w:r>
      <w:r>
        <w:br/>
      </w:r>
    </w:p>
    <w:p w14:paraId="28B8F7EE" w14:textId="77777777" w:rsidR="00D262E2" w:rsidRDefault="00D262E2" w:rsidP="00D262E2">
      <w:pPr>
        <w:pStyle w:val="paragraph"/>
      </w:pPr>
      <w:r>
        <w:tab/>
        <w:t>(k)</w:t>
      </w:r>
      <w:r>
        <w:tab/>
        <w:t xml:space="preserve">any </w:t>
      </w:r>
      <w:r w:rsidR="00C96BCB">
        <w:t>information that the Commission has obtained from Australian Government agencies or statutory authorities that the Commission considers to be relevant;</w:t>
      </w:r>
    </w:p>
    <w:p w14:paraId="5B0C1D95" w14:textId="77777777" w:rsidR="00C96BCB" w:rsidRPr="00B17CB9" w:rsidRDefault="00C96BCB" w:rsidP="00C96BCB">
      <w:pPr>
        <w:pStyle w:val="SubsectionHead"/>
      </w:pPr>
      <w:r>
        <w:t>Any other relevant consideration</w:t>
      </w:r>
      <w:r>
        <w:br/>
      </w:r>
    </w:p>
    <w:p w14:paraId="7AD7B8D6" w14:textId="77777777" w:rsidR="00D262E2" w:rsidRPr="00C96BCB" w:rsidRDefault="00C96BCB" w:rsidP="00B5110E">
      <w:pPr>
        <w:pStyle w:val="paragraph"/>
      </w:pPr>
      <w:r>
        <w:tab/>
        <w:t>(l)</w:t>
      </w:r>
      <w:r>
        <w:tab/>
        <w:t>any other matter or consideration that the Commission considers to be relevant.</w:t>
      </w:r>
    </w:p>
    <w:p w14:paraId="40DAF688" w14:textId="77777777" w:rsidR="004A0FA8" w:rsidRDefault="004A0FA8">
      <w:pPr>
        <w:spacing w:line="240" w:lineRule="auto"/>
        <w:rPr>
          <w:rFonts w:eastAsia="Times New Roman" w:cs="Times New Roman"/>
          <w:b/>
          <w:kern w:val="28"/>
          <w:sz w:val="32"/>
          <w:lang w:eastAsia="en-AU"/>
        </w:rPr>
      </w:pPr>
      <w:r>
        <w:br w:type="page"/>
      </w:r>
    </w:p>
    <w:p w14:paraId="2B30A4F0" w14:textId="77777777" w:rsidR="00A83BE4" w:rsidRDefault="004A0FA8" w:rsidP="00A83BE4">
      <w:pPr>
        <w:pStyle w:val="ActHead2"/>
      </w:pPr>
      <w:bookmarkStart w:id="14" w:name="_Toc507400050"/>
      <w:r>
        <w:lastRenderedPageBreak/>
        <w:t xml:space="preserve">Part </w:t>
      </w:r>
      <w:r w:rsidR="004D5BB2">
        <w:t>3</w:t>
      </w:r>
      <w:r w:rsidR="00A83BE4" w:rsidRPr="00DB50ED">
        <w:t>—</w:t>
      </w:r>
      <w:r w:rsidR="0086156A">
        <w:t xml:space="preserve">How the Commission is </w:t>
      </w:r>
      <w:r w:rsidR="006654B8">
        <w:t xml:space="preserve">to </w:t>
      </w:r>
      <w:r w:rsidR="004D5BB2">
        <w:t>assess benefit to the public</w:t>
      </w:r>
      <w:bookmarkEnd w:id="14"/>
    </w:p>
    <w:p w14:paraId="04344363" w14:textId="77777777" w:rsidR="0086156A" w:rsidRDefault="0086156A" w:rsidP="0086156A">
      <w:pPr>
        <w:pStyle w:val="ActHead3"/>
      </w:pPr>
      <w:bookmarkStart w:id="15" w:name="_Toc507400051"/>
      <w:r>
        <w:t>Division 1</w:t>
      </w:r>
      <w:r w:rsidRPr="00DB50ED">
        <w:t>—</w:t>
      </w:r>
      <w:r>
        <w:t>Outline</w:t>
      </w:r>
      <w:bookmarkEnd w:id="15"/>
    </w:p>
    <w:p w14:paraId="6409E948" w14:textId="77777777" w:rsidR="0086156A" w:rsidRPr="00A6158E" w:rsidRDefault="00064591" w:rsidP="0086156A">
      <w:pPr>
        <w:pStyle w:val="ActHead5"/>
      </w:pPr>
      <w:bookmarkStart w:id="16" w:name="_Toc507400052"/>
      <w:proofErr w:type="gramStart"/>
      <w:r>
        <w:t>10</w:t>
      </w:r>
      <w:r w:rsidR="0086156A">
        <w:t xml:space="preserve">  Explanatory</w:t>
      </w:r>
      <w:proofErr w:type="gramEnd"/>
      <w:r w:rsidR="0086156A">
        <w:t xml:space="preserve"> outline of this Part</w:t>
      </w:r>
      <w:bookmarkEnd w:id="16"/>
    </w:p>
    <w:p w14:paraId="6B475176" w14:textId="77777777" w:rsidR="0086156A" w:rsidRDefault="0086156A" w:rsidP="0086156A">
      <w:pPr>
        <w:pStyle w:val="BoxText"/>
      </w:pPr>
      <w:r>
        <w:t xml:space="preserve">This Part sets out </w:t>
      </w:r>
      <w:r w:rsidR="00E357E3">
        <w:t xml:space="preserve">how the Commission is to </w:t>
      </w:r>
      <w:r w:rsidR="00C15BAF">
        <w:t>assess</w:t>
      </w:r>
      <w:r>
        <w:t xml:space="preserve"> the benefit to the public of allocations of capacity in particular circumstances.</w:t>
      </w:r>
    </w:p>
    <w:p w14:paraId="2A0D01B2" w14:textId="77777777" w:rsidR="004C7E07" w:rsidRDefault="004C7E07" w:rsidP="0086156A">
      <w:pPr>
        <w:pStyle w:val="BoxText"/>
      </w:pPr>
      <w:r>
        <w:t>There are broadly 3 types of decision that the Commission can make under the Act:</w:t>
      </w:r>
    </w:p>
    <w:p w14:paraId="5006DDCF" w14:textId="77777777" w:rsidR="00C805FE" w:rsidRDefault="0054630E" w:rsidP="0054630E">
      <w:pPr>
        <w:pStyle w:val="BoxList"/>
      </w:pPr>
      <w:r w:rsidRPr="0054630E">
        <w:t>•</w:t>
      </w:r>
      <w:r>
        <w:tab/>
        <w:t>Making a determination allocating available capacity (see section 7 and Division 1 of Part 3 of the Act);</w:t>
      </w:r>
    </w:p>
    <w:p w14:paraId="3278275D" w14:textId="77777777" w:rsidR="0054630E" w:rsidRDefault="0054630E" w:rsidP="0054630E">
      <w:pPr>
        <w:pStyle w:val="BoxList"/>
      </w:pPr>
      <w:r>
        <w:t>•</w:t>
      </w:r>
      <w:r>
        <w:tab/>
        <w:t>Renewing a determination by making a fresh determination (see section 8 and Division 2 of Part 3 of the Act);</w:t>
      </w:r>
    </w:p>
    <w:p w14:paraId="468AFA78" w14:textId="77777777" w:rsidR="0054630E" w:rsidRDefault="0054630E" w:rsidP="0054630E">
      <w:pPr>
        <w:pStyle w:val="BoxList"/>
      </w:pPr>
      <w:r>
        <w:t>•</w:t>
      </w:r>
      <w:r>
        <w:tab/>
        <w:t>Varying a determination (see section 10 and Division 3 of Part 3 of the Act).</w:t>
      </w:r>
    </w:p>
    <w:p w14:paraId="5CB7A5B5" w14:textId="77777777" w:rsidR="0054630E" w:rsidRDefault="00F95F53" w:rsidP="0086156A">
      <w:pPr>
        <w:pStyle w:val="BoxText"/>
      </w:pPr>
      <w:r>
        <w:t>Depending on which type of decision is being made, and the circumstances of the decision, t</w:t>
      </w:r>
      <w:r w:rsidR="0054630E">
        <w:t>he Commission is to apply the criteria set out in Part 2</w:t>
      </w:r>
      <w:r w:rsidR="00C15BAF">
        <w:t>, and certain criteria specified in this Part,</w:t>
      </w:r>
      <w:r w:rsidR="0054630E">
        <w:t xml:space="preserve"> differently.</w:t>
      </w:r>
    </w:p>
    <w:p w14:paraId="0C5D01F9" w14:textId="77777777" w:rsidR="0086156A" w:rsidRDefault="0086156A" w:rsidP="00B5110E">
      <w:pPr>
        <w:pStyle w:val="BoxText"/>
      </w:pPr>
      <w:r>
        <w:t>Division 2 sets out the criteria applicable where the Commission is proposing to make a determination that allocates available capacity under section 7 of the Act</w:t>
      </w:r>
      <w:r w:rsidR="0054630E">
        <w:t>:</w:t>
      </w:r>
    </w:p>
    <w:p w14:paraId="6721728A" w14:textId="77777777" w:rsidR="0054630E" w:rsidRDefault="0054630E" w:rsidP="0054630E">
      <w:pPr>
        <w:pStyle w:val="BoxList"/>
      </w:pPr>
      <w:r w:rsidRPr="0054630E">
        <w:t>•</w:t>
      </w:r>
      <w:r>
        <w:tab/>
        <w:t xml:space="preserve">Where there is unlimited available capacity, the Commission is to have regard to the reasonable capability criterion and need not have regard to any other matter (section </w:t>
      </w:r>
      <w:r w:rsidR="00C15BAF">
        <w:t>11</w:t>
      </w:r>
      <w:r>
        <w:t>);</w:t>
      </w:r>
    </w:p>
    <w:p w14:paraId="0934041C" w14:textId="77777777" w:rsidR="0054630E" w:rsidRDefault="0054630E" w:rsidP="0054630E">
      <w:pPr>
        <w:pStyle w:val="BoxList"/>
      </w:pPr>
      <w:r>
        <w:t>•</w:t>
      </w:r>
      <w:r>
        <w:tab/>
      </w:r>
      <w:r w:rsidR="008A527C">
        <w:t xml:space="preserve">Where there is sufficient available capacity for all applications and the Commission does not receive any adverse submissions, the Commission is to have regard to the reasonable capability criterion and need not have regard to any other matter </w:t>
      </w:r>
      <w:r>
        <w:t>(</w:t>
      </w:r>
      <w:r w:rsidR="008A527C">
        <w:t>subsection 1</w:t>
      </w:r>
      <w:r w:rsidR="00C15BAF">
        <w:t>2</w:t>
      </w:r>
      <w:r w:rsidR="008A527C">
        <w:t>(2)</w:t>
      </w:r>
      <w:r>
        <w:t>);</w:t>
      </w:r>
    </w:p>
    <w:p w14:paraId="2B8E4FD5" w14:textId="77777777" w:rsidR="0054630E" w:rsidRDefault="0054630E" w:rsidP="0054630E">
      <w:pPr>
        <w:pStyle w:val="BoxList"/>
      </w:pPr>
      <w:r>
        <w:t>•</w:t>
      </w:r>
      <w:r>
        <w:tab/>
      </w:r>
      <w:r w:rsidR="008A527C">
        <w:t>However, where the Commission receives one or more adverse submissions, the Commission is to have regard to the reasonable capability criterion and may have regard to relevant additional criteria (subsection 1</w:t>
      </w:r>
      <w:r w:rsidR="00C15BAF">
        <w:t>2</w:t>
      </w:r>
      <w:r w:rsidR="008A527C">
        <w:t>(3));</w:t>
      </w:r>
    </w:p>
    <w:p w14:paraId="0D9977EC" w14:textId="77777777" w:rsidR="008A527C" w:rsidRDefault="008A527C" w:rsidP="008A527C">
      <w:pPr>
        <w:pStyle w:val="BoxList"/>
      </w:pPr>
      <w:r>
        <w:t>•</w:t>
      </w:r>
      <w:r>
        <w:tab/>
        <w:t xml:space="preserve">In all other cases, the Commission is to have regard to the reasonable capability criterion and </w:t>
      </w:r>
      <w:r w:rsidR="00D20157">
        <w:t xml:space="preserve">to </w:t>
      </w:r>
      <w:r>
        <w:t>relevant additional criteria (section 1</w:t>
      </w:r>
      <w:r w:rsidR="00C15BAF">
        <w:t>3</w:t>
      </w:r>
      <w:r>
        <w:t>).</w:t>
      </w:r>
    </w:p>
    <w:p w14:paraId="539A4E88" w14:textId="77777777" w:rsidR="008A527C" w:rsidRDefault="0086156A" w:rsidP="00B5110E">
      <w:pPr>
        <w:pStyle w:val="BoxText"/>
      </w:pPr>
      <w:r>
        <w:t>Division 3 sets out the criteria applicable where the Commission is considering renewing a determination that allocates capacity under section 8 of the Act</w:t>
      </w:r>
      <w:r w:rsidR="008A527C">
        <w:t>:</w:t>
      </w:r>
    </w:p>
    <w:p w14:paraId="61C3A147" w14:textId="77777777" w:rsidR="008A527C" w:rsidRDefault="008A527C" w:rsidP="008A527C">
      <w:pPr>
        <w:pStyle w:val="BoxList"/>
      </w:pPr>
      <w:r w:rsidRPr="0054630E">
        <w:t>•</w:t>
      </w:r>
      <w:r>
        <w:tab/>
        <w:t xml:space="preserve">Paragraph 8(2)(a) of the Act provides a presumption in favour of renewing a determination. However, the Commission may decline to do so if it is </w:t>
      </w:r>
      <w:r>
        <w:lastRenderedPageBreak/>
        <w:t>satisfied that the determination is no longer of benefit to the public. In deciding this, the Commission is to have regard to the matters set out in section 1</w:t>
      </w:r>
      <w:r w:rsidR="00C15BAF">
        <w:t>4</w:t>
      </w:r>
      <w:r w:rsidR="0067139E">
        <w:t xml:space="preserve"> of this</w:t>
      </w:r>
      <w:r w:rsidR="00D20157">
        <w:t xml:space="preserve"> instrument</w:t>
      </w:r>
      <w:r>
        <w:t>;</w:t>
      </w:r>
    </w:p>
    <w:p w14:paraId="290F13E2" w14:textId="77777777" w:rsidR="008A527C" w:rsidRDefault="008A527C" w:rsidP="008A527C">
      <w:pPr>
        <w:pStyle w:val="BoxList"/>
      </w:pPr>
      <w:r>
        <w:t>•</w:t>
      </w:r>
      <w:r>
        <w:tab/>
        <w:t>If the Commission declines to renew a determination, it may</w:t>
      </w:r>
      <w:r w:rsidR="00D20157">
        <w:t xml:space="preserve"> make a different determination. In doing so, it</w:t>
      </w:r>
      <w:r>
        <w:t xml:space="preserve"> </w:t>
      </w:r>
      <w:r w:rsidR="00D20157">
        <w:t xml:space="preserve">is to </w:t>
      </w:r>
      <w:r>
        <w:t>have regard to the reasonable capability criterion and to relevant additional criteria (</w:t>
      </w:r>
      <w:r w:rsidR="00D20157">
        <w:t>section 1</w:t>
      </w:r>
      <w:r w:rsidR="00C15BAF">
        <w:t>5</w:t>
      </w:r>
      <w:r w:rsidR="00D20157">
        <w:t>).</w:t>
      </w:r>
    </w:p>
    <w:p w14:paraId="427A9EF1" w14:textId="77777777" w:rsidR="0086156A" w:rsidRDefault="0086156A" w:rsidP="00B5110E">
      <w:pPr>
        <w:pStyle w:val="BoxText"/>
      </w:pPr>
      <w:r>
        <w:t>Division 4 sets out the criteria applicable where the Commission is considering whether to vary a determination in a way that varies, or has the effect of varying,</w:t>
      </w:r>
      <w:r w:rsidR="00D20157">
        <w:t xml:space="preserve"> </w:t>
      </w:r>
      <w:r>
        <w:t>an allocation of capacity</w:t>
      </w:r>
      <w:r w:rsidR="00D20157">
        <w:t>:</w:t>
      </w:r>
    </w:p>
    <w:p w14:paraId="75305538" w14:textId="77777777" w:rsidR="004A0FA8" w:rsidRDefault="00D20157" w:rsidP="00D20157">
      <w:pPr>
        <w:pStyle w:val="BoxList"/>
      </w:pPr>
      <w:r w:rsidRPr="0054630E">
        <w:t>•</w:t>
      </w:r>
      <w:r>
        <w:tab/>
        <w:t xml:space="preserve">If the Commission has initiated the review, and </w:t>
      </w:r>
      <w:r w:rsidR="00433977">
        <w:t xml:space="preserve">the </w:t>
      </w:r>
      <w:r>
        <w:t xml:space="preserve">reason for variation relates to the condition that allocated capacity be fully used, the Commission is to have regard to the criteria set out in </w:t>
      </w:r>
      <w:r w:rsidR="00145283">
        <w:t>paragraphs</w:t>
      </w:r>
      <w:r w:rsidR="00F21862">
        <w:t> </w:t>
      </w:r>
      <w:r>
        <w:t>2</w:t>
      </w:r>
      <w:r w:rsidR="00145283">
        <w:t>4</w:t>
      </w:r>
      <w:r>
        <w:t>(3)</w:t>
      </w:r>
      <w:r w:rsidR="00145283">
        <w:t>(a)</w:t>
      </w:r>
      <w:r w:rsidR="00F21862">
        <w:t>-</w:t>
      </w:r>
      <w:r w:rsidR="00145283">
        <w:t>(d)</w:t>
      </w:r>
      <w:r>
        <w:t xml:space="preserve"> and need not have regard to any other matter (subsection 1</w:t>
      </w:r>
      <w:r w:rsidR="00145283">
        <w:t>6</w:t>
      </w:r>
      <w:r>
        <w:t>(2));</w:t>
      </w:r>
    </w:p>
    <w:p w14:paraId="5A424518" w14:textId="77777777" w:rsidR="00D20157" w:rsidRDefault="00D20157" w:rsidP="00D20157">
      <w:pPr>
        <w:pStyle w:val="BoxList"/>
      </w:pPr>
      <w:r>
        <w:t>•</w:t>
      </w:r>
      <w:r>
        <w:tab/>
        <w:t>If the Commission has initiated the review for any other reason, and the Commission does not receive any adverse submissions, the Commission is to have regard to the reasonable capability criterion and need not have regard to any other matter (subsection 1</w:t>
      </w:r>
      <w:r w:rsidR="00145283">
        <w:t>6</w:t>
      </w:r>
      <w:r>
        <w:t>(3));</w:t>
      </w:r>
    </w:p>
    <w:p w14:paraId="3B619E62" w14:textId="77777777" w:rsidR="00D20157" w:rsidRDefault="00D20157" w:rsidP="00D20157">
      <w:pPr>
        <w:pStyle w:val="BoxList"/>
      </w:pPr>
      <w:r>
        <w:t>•</w:t>
      </w:r>
      <w:r>
        <w:tab/>
        <w:t>In all other cases where the Commission has initiated the review, the Commission is to have regard to the reasonable capability criterion and may have regard to relevant additional criteria (subsection 1</w:t>
      </w:r>
      <w:r w:rsidR="00145283">
        <w:t>6</w:t>
      </w:r>
      <w:r>
        <w:t>(4));</w:t>
      </w:r>
    </w:p>
    <w:p w14:paraId="2B05E853" w14:textId="77777777" w:rsidR="00D20157" w:rsidRDefault="00D20157" w:rsidP="00D20157">
      <w:pPr>
        <w:pStyle w:val="BoxList"/>
      </w:pPr>
      <w:r>
        <w:t>•</w:t>
      </w:r>
      <w:r>
        <w:tab/>
        <w:t>If the carrier has applied for a variation, and the Commission does not receive any adverse submissions, the Commission is to have regard to the reasonable capability criterion and need not have regard to any other matter (subsection 1</w:t>
      </w:r>
      <w:r w:rsidR="00145283">
        <w:t>7</w:t>
      </w:r>
      <w:r>
        <w:t>(2));</w:t>
      </w:r>
    </w:p>
    <w:p w14:paraId="1CAE8003" w14:textId="77777777" w:rsidR="00D20157" w:rsidRDefault="00D20157" w:rsidP="00D20157">
      <w:pPr>
        <w:pStyle w:val="BoxList"/>
      </w:pPr>
      <w:r>
        <w:t>•</w:t>
      </w:r>
      <w:r>
        <w:tab/>
        <w:t>In all other cases where the carrier has applied for a variation, the Commission is to have regard to the reasonable capability criterion and may have regard to relevant additional criteria (subsection 1</w:t>
      </w:r>
      <w:r w:rsidR="00145283">
        <w:t>7</w:t>
      </w:r>
      <w:r>
        <w:t>(3));</w:t>
      </w:r>
    </w:p>
    <w:p w14:paraId="6D71ADFB" w14:textId="77777777" w:rsidR="00D20157" w:rsidRDefault="00D20157" w:rsidP="00D20157">
      <w:pPr>
        <w:pStyle w:val="BoxList"/>
      </w:pPr>
      <w:r>
        <w:t>•</w:t>
      </w:r>
      <w:r>
        <w:tab/>
      </w:r>
      <w:r w:rsidR="004A0FA8">
        <w:t>Where a carrier has submitted a transfer application</w:t>
      </w:r>
      <w:r>
        <w:t xml:space="preserve">, the Commission is to have regard to the reasonable capability criterion and to </w:t>
      </w:r>
      <w:r w:rsidR="004A0FA8">
        <w:t>the matters set out in paragraph 1</w:t>
      </w:r>
      <w:r w:rsidR="00145283">
        <w:t>8</w:t>
      </w:r>
      <w:r w:rsidR="004A0FA8">
        <w:t xml:space="preserve">(2)(b) (as relevant), and may have regard to </w:t>
      </w:r>
      <w:r>
        <w:t>relevant</w:t>
      </w:r>
      <w:r w:rsidR="004A0FA8">
        <w:t xml:space="preserve"> additional criteria (section 1</w:t>
      </w:r>
      <w:r w:rsidR="00145283">
        <w:t>8</w:t>
      </w:r>
      <w:r>
        <w:t>).</w:t>
      </w:r>
    </w:p>
    <w:p w14:paraId="3D2C6D8B" w14:textId="308F43A4" w:rsidR="0086156A" w:rsidRDefault="0086156A" w:rsidP="00B5110E">
      <w:pPr>
        <w:pStyle w:val="BoxText"/>
      </w:pPr>
      <w:r>
        <w:t xml:space="preserve">The </w:t>
      </w:r>
      <w:r w:rsidR="00B15876">
        <w:t>provisions</w:t>
      </w:r>
      <w:r>
        <w:t xml:space="preserve"> in this Part apply equally in assessing the benefit to the public of allocations to be exercised through own aircraft operations, code share arrangements and other joint international air services.</w:t>
      </w:r>
    </w:p>
    <w:p w14:paraId="6C7354F8" w14:textId="77777777" w:rsidR="001A0D10" w:rsidRDefault="001A0D10" w:rsidP="004B5097">
      <w:pPr>
        <w:pStyle w:val="ActHead3"/>
        <w:ind w:left="0" w:firstLine="0"/>
      </w:pPr>
      <w:bookmarkStart w:id="17" w:name="_Toc507400053"/>
      <w:r>
        <w:lastRenderedPageBreak/>
        <w:t xml:space="preserve">Division </w:t>
      </w:r>
      <w:r w:rsidR="00B62CBD">
        <w:t>2</w:t>
      </w:r>
      <w:r w:rsidR="00DB50ED" w:rsidRPr="00DB50ED">
        <w:t>—</w:t>
      </w:r>
      <w:r>
        <w:t>Determinations allocating capacity</w:t>
      </w:r>
      <w:bookmarkEnd w:id="17"/>
    </w:p>
    <w:p w14:paraId="1F8FA861" w14:textId="77777777" w:rsidR="001A0D10" w:rsidRDefault="00064591" w:rsidP="001A0D10">
      <w:pPr>
        <w:pStyle w:val="ActHead5"/>
      </w:pPr>
      <w:bookmarkStart w:id="18" w:name="_Toc507400054"/>
      <w:proofErr w:type="gramStart"/>
      <w:r>
        <w:t>11</w:t>
      </w:r>
      <w:r w:rsidR="00DA3F38">
        <w:t xml:space="preserve">  Available</w:t>
      </w:r>
      <w:proofErr w:type="gramEnd"/>
      <w:r w:rsidR="00DA3F38">
        <w:t xml:space="preserve"> capacity</w:t>
      </w:r>
      <w:r w:rsidR="001A0D10">
        <w:t xml:space="preserve"> not limited</w:t>
      </w:r>
      <w:bookmarkEnd w:id="18"/>
    </w:p>
    <w:p w14:paraId="653B557F" w14:textId="77777777" w:rsidR="001A0D10" w:rsidRDefault="00EC36C4" w:rsidP="00EC36C4">
      <w:pPr>
        <w:pStyle w:val="subsection"/>
      </w:pPr>
      <w:r w:rsidRPr="00EC36C4">
        <w:tab/>
      </w:r>
      <w:r>
        <w:t>(1)</w:t>
      </w:r>
      <w:r>
        <w:tab/>
      </w:r>
      <w:r w:rsidRPr="00EC36C4">
        <w:t xml:space="preserve">This section applies where the Commission proposes to make a determination allocating available capacity </w:t>
      </w:r>
      <w:r w:rsidR="00270376">
        <w:t xml:space="preserve">on a route </w:t>
      </w:r>
      <w:r w:rsidRPr="00EC36C4">
        <w:t xml:space="preserve">under section 7 of the Act, and available capacity </w:t>
      </w:r>
      <w:r w:rsidR="00270376">
        <w:t xml:space="preserve">on the route </w:t>
      </w:r>
      <w:r w:rsidRPr="00EC36C4">
        <w:t xml:space="preserve">is not limited under </w:t>
      </w:r>
      <w:r w:rsidR="001F2601">
        <w:t xml:space="preserve">the relevant </w:t>
      </w:r>
      <w:r w:rsidRPr="00EC36C4">
        <w:t>bilateral arrangement.</w:t>
      </w:r>
    </w:p>
    <w:p w14:paraId="304BD52F" w14:textId="77777777" w:rsidR="008F106B" w:rsidRDefault="00EC36C4" w:rsidP="00EC36C4">
      <w:pPr>
        <w:pStyle w:val="subsection"/>
      </w:pPr>
      <w:r>
        <w:tab/>
        <w:t>(2)</w:t>
      </w:r>
      <w:r>
        <w:tab/>
      </w:r>
      <w:r w:rsidRPr="00EC36C4">
        <w:t>In assessing the benefit to the public of the allocation of available capacity under the proposed determination, the Commission</w:t>
      </w:r>
      <w:r w:rsidR="008F106B">
        <w:t>:</w:t>
      </w:r>
    </w:p>
    <w:p w14:paraId="683E4310" w14:textId="77777777" w:rsidR="008F106B" w:rsidRDefault="008F106B" w:rsidP="007E03F1">
      <w:pPr>
        <w:pStyle w:val="paragraph"/>
      </w:pPr>
      <w:r>
        <w:tab/>
        <w:t>(</w:t>
      </w:r>
      <w:r w:rsidR="00F95F53">
        <w:t>a</w:t>
      </w:r>
      <w:r>
        <w:t>)</w:t>
      </w:r>
      <w:r>
        <w:tab/>
      </w:r>
      <w:r w:rsidR="003D3F1B">
        <w:t xml:space="preserve">is to </w:t>
      </w:r>
      <w:r w:rsidR="00EC36C4" w:rsidRPr="00EC36C4">
        <w:t>have regard to the reasonable capability criterion</w:t>
      </w:r>
      <w:r>
        <w:t>; and</w:t>
      </w:r>
    </w:p>
    <w:p w14:paraId="379FB898" w14:textId="77777777" w:rsidR="00EC36C4" w:rsidRDefault="00F95F53" w:rsidP="007E03F1">
      <w:pPr>
        <w:pStyle w:val="paragraph"/>
      </w:pPr>
      <w:r>
        <w:tab/>
        <w:t>(b</w:t>
      </w:r>
      <w:r w:rsidR="008F106B">
        <w:t>)</w:t>
      </w:r>
      <w:r w:rsidR="008F106B">
        <w:tab/>
      </w:r>
      <w:r w:rsidR="007E0888">
        <w:t>need not</w:t>
      </w:r>
      <w:r w:rsidR="008F106B">
        <w:t xml:space="preserve"> have regard to</w:t>
      </w:r>
      <w:r w:rsidR="00B8064B">
        <w:t xml:space="preserve"> any </w:t>
      </w:r>
      <w:r w:rsidR="007E0888">
        <w:t>other matter</w:t>
      </w:r>
      <w:r w:rsidR="008F106B">
        <w:t>.</w:t>
      </w:r>
    </w:p>
    <w:p w14:paraId="05797BC2" w14:textId="77777777" w:rsidR="00EC36C4" w:rsidRPr="00EC36C4" w:rsidRDefault="004B5097" w:rsidP="00EC36C4">
      <w:pPr>
        <w:pStyle w:val="ActHead5"/>
      </w:pPr>
      <w:bookmarkStart w:id="19" w:name="_Toc507400055"/>
      <w:proofErr w:type="gramStart"/>
      <w:r>
        <w:t>1</w:t>
      </w:r>
      <w:r w:rsidR="00064591">
        <w:t>2</w:t>
      </w:r>
      <w:r w:rsidR="00DA3F38">
        <w:t xml:space="preserve">  O</w:t>
      </w:r>
      <w:r w:rsidR="00EC36C4">
        <w:t>ne</w:t>
      </w:r>
      <w:proofErr w:type="gramEnd"/>
      <w:r w:rsidR="00EC36C4">
        <w:t xml:space="preserve"> or more applicants and sufficient available capacity</w:t>
      </w:r>
      <w:bookmarkEnd w:id="19"/>
    </w:p>
    <w:p w14:paraId="208D8178" w14:textId="77777777" w:rsidR="00EC36C4" w:rsidRDefault="00CD3709" w:rsidP="00EC36C4">
      <w:pPr>
        <w:pStyle w:val="subsection"/>
      </w:pPr>
      <w:r>
        <w:tab/>
      </w:r>
      <w:r w:rsidR="00EC36C4">
        <w:t>(1)</w:t>
      </w:r>
      <w:r w:rsidR="00EC36C4">
        <w:tab/>
        <w:t xml:space="preserve">This section applies </w:t>
      </w:r>
      <w:r w:rsidR="00364E36">
        <w:t>where</w:t>
      </w:r>
      <w:r w:rsidR="00EC36C4">
        <w:t>:</w:t>
      </w:r>
    </w:p>
    <w:p w14:paraId="6FAC90B6" w14:textId="77777777" w:rsidR="00EC36C4" w:rsidRPr="00CD3709" w:rsidRDefault="00CD3709" w:rsidP="00CD3709">
      <w:pPr>
        <w:pStyle w:val="paragraph"/>
      </w:pPr>
      <w:r>
        <w:tab/>
      </w:r>
      <w:r w:rsidR="00EC36C4" w:rsidRPr="00CD3709">
        <w:t>(</w:t>
      </w:r>
      <w:r w:rsidR="008F106B">
        <w:t>a</w:t>
      </w:r>
      <w:r w:rsidR="00EC36C4" w:rsidRPr="00CD3709">
        <w:t>)</w:t>
      </w:r>
      <w:r>
        <w:tab/>
      </w:r>
      <w:r w:rsidRPr="00CD3709">
        <w:t>the Commission has received one or more applications</w:t>
      </w:r>
      <w:r w:rsidR="008F106B">
        <w:t xml:space="preserve"> for determinations allocating </w:t>
      </w:r>
      <w:r w:rsidR="001E0C66">
        <w:t xml:space="preserve">available </w:t>
      </w:r>
      <w:r w:rsidR="008F106B">
        <w:t xml:space="preserve">capacity </w:t>
      </w:r>
      <w:r w:rsidR="001E0C66">
        <w:t xml:space="preserve">on a route </w:t>
      </w:r>
      <w:r w:rsidR="008F106B">
        <w:t>under section 7 of the Act</w:t>
      </w:r>
      <w:r w:rsidRPr="00CD3709">
        <w:t>; and</w:t>
      </w:r>
    </w:p>
    <w:p w14:paraId="4A389831" w14:textId="77777777" w:rsidR="00CD3709" w:rsidRPr="00CD3709" w:rsidRDefault="00CD3709" w:rsidP="00CD3709">
      <w:pPr>
        <w:pStyle w:val="paragraph"/>
      </w:pPr>
      <w:r w:rsidRPr="00CD3709">
        <w:tab/>
        <w:t>(</w:t>
      </w:r>
      <w:r w:rsidR="008F106B">
        <w:t>b</w:t>
      </w:r>
      <w:r w:rsidRPr="00CD3709">
        <w:t>)</w:t>
      </w:r>
      <w:r w:rsidRPr="00CD3709">
        <w:tab/>
        <w:t xml:space="preserve">there is sufficient available capacity </w:t>
      </w:r>
      <w:r w:rsidR="00AE2824">
        <w:t xml:space="preserve">on the route </w:t>
      </w:r>
      <w:r w:rsidRPr="00CD3709">
        <w:t>for the Commission to make the determinations sought in all of the applications; and</w:t>
      </w:r>
    </w:p>
    <w:p w14:paraId="7833763A" w14:textId="77777777" w:rsidR="00CD3709" w:rsidRDefault="004B5097" w:rsidP="00CD3709">
      <w:pPr>
        <w:pStyle w:val="paragraph"/>
      </w:pPr>
      <w:r>
        <w:tab/>
        <w:t>(</w:t>
      </w:r>
      <w:r w:rsidR="00B8064B">
        <w:t>c</w:t>
      </w:r>
      <w:r>
        <w:t>)</w:t>
      </w:r>
      <w:r>
        <w:tab/>
        <w:t xml:space="preserve">section </w:t>
      </w:r>
      <w:r w:rsidR="00064591">
        <w:t>11</w:t>
      </w:r>
      <w:r w:rsidR="00CD3709" w:rsidRPr="00CD3709">
        <w:t xml:space="preserve"> of this instrument does not apply.</w:t>
      </w:r>
    </w:p>
    <w:p w14:paraId="694B7485" w14:textId="77777777" w:rsidR="00E16791" w:rsidRDefault="00CD3709" w:rsidP="00E16791">
      <w:pPr>
        <w:pStyle w:val="subsection"/>
      </w:pPr>
      <w:r w:rsidRPr="00CD3709">
        <w:tab/>
      </w:r>
      <w:r w:rsidRPr="00E16791">
        <w:t xml:space="preserve">(2) </w:t>
      </w:r>
      <w:r w:rsidRPr="00E16791">
        <w:tab/>
        <w:t xml:space="preserve">If the Commission does not receive </w:t>
      </w:r>
      <w:r w:rsidR="007C6D30" w:rsidRPr="00E16791">
        <w:t xml:space="preserve">any </w:t>
      </w:r>
      <w:r w:rsidRPr="00E16791">
        <w:t>submissions</w:t>
      </w:r>
      <w:r w:rsidR="00E047CA" w:rsidRPr="00E16791">
        <w:t>:</w:t>
      </w:r>
    </w:p>
    <w:p w14:paraId="0EC2106D" w14:textId="77777777" w:rsidR="00E16791" w:rsidRDefault="00E16791" w:rsidP="00E16791">
      <w:pPr>
        <w:pStyle w:val="paragraph"/>
      </w:pPr>
      <w:r>
        <w:tab/>
      </w:r>
      <w:r w:rsidR="00E047CA" w:rsidRPr="00E16791">
        <w:t>(</w:t>
      </w:r>
      <w:r>
        <w:t>a)</w:t>
      </w:r>
      <w:r>
        <w:tab/>
      </w:r>
      <w:r w:rsidR="009B7FAC" w:rsidRPr="00E16791">
        <w:t xml:space="preserve">opposing </w:t>
      </w:r>
      <w:r w:rsidR="00337838" w:rsidRPr="00E16791">
        <w:t>the allocation of the capacity</w:t>
      </w:r>
      <w:r w:rsidR="009316C2" w:rsidRPr="00E16791">
        <w:t xml:space="preserve"> </w:t>
      </w:r>
      <w:r w:rsidR="00337838" w:rsidRPr="00E16791">
        <w:t xml:space="preserve">under </w:t>
      </w:r>
      <w:r w:rsidR="00AC6D81" w:rsidRPr="00E16791">
        <w:t xml:space="preserve">any of </w:t>
      </w:r>
      <w:r w:rsidR="00337838" w:rsidRPr="00E16791">
        <w:t>the determination</w:t>
      </w:r>
      <w:r w:rsidR="00AC6D81" w:rsidRPr="00E16791">
        <w:t>s</w:t>
      </w:r>
      <w:r>
        <w:t xml:space="preserve"> sought </w:t>
      </w:r>
      <w:r w:rsidR="008270B2" w:rsidRPr="00E16791">
        <w:t>in the applications</w:t>
      </w:r>
      <w:r>
        <w:t>; or</w:t>
      </w:r>
    </w:p>
    <w:p w14:paraId="45FCCD9C" w14:textId="77777777" w:rsidR="00315F0C" w:rsidRDefault="00E16791" w:rsidP="00315F0C">
      <w:pPr>
        <w:pStyle w:val="paragraph"/>
      </w:pPr>
      <w:r>
        <w:tab/>
        <w:t>(b)</w:t>
      </w:r>
      <w:r>
        <w:tab/>
      </w:r>
      <w:r w:rsidR="00147558" w:rsidRPr="00E16791">
        <w:t xml:space="preserve">requesting or opposing the inclusion of a </w:t>
      </w:r>
      <w:r w:rsidR="002029FC" w:rsidRPr="00E16791">
        <w:t xml:space="preserve">specified </w:t>
      </w:r>
      <w:r w:rsidR="00147558" w:rsidRPr="00E16791">
        <w:t>conditi</w:t>
      </w:r>
      <w:r>
        <w:t>o</w:t>
      </w:r>
      <w:r w:rsidR="000D32FD">
        <w:t>n in any of the determinations;</w:t>
      </w:r>
    </w:p>
    <w:p w14:paraId="0E68B35D" w14:textId="77777777" w:rsidR="00B8064B" w:rsidRPr="00E16791" w:rsidRDefault="00E16791" w:rsidP="000D32FD">
      <w:pPr>
        <w:pStyle w:val="subsection2"/>
      </w:pPr>
      <w:r>
        <w:t>t</w:t>
      </w:r>
      <w:r w:rsidR="00BD7D68" w:rsidRPr="00E16791">
        <w:t>hen</w:t>
      </w:r>
      <w:r>
        <w:t>,</w:t>
      </w:r>
      <w:r w:rsidR="00906B9B" w:rsidRPr="00E16791">
        <w:t xml:space="preserve"> </w:t>
      </w:r>
      <w:r w:rsidR="00CD3709" w:rsidRPr="00E16791">
        <w:t>in assessing the benefit to the public</w:t>
      </w:r>
      <w:r w:rsidR="008720CA" w:rsidRPr="00E16791">
        <w:t xml:space="preserve"> of </w:t>
      </w:r>
      <w:r w:rsidR="009B7FAC" w:rsidRPr="00E16791">
        <w:t xml:space="preserve">an </w:t>
      </w:r>
      <w:r w:rsidR="008720CA" w:rsidRPr="00E16791">
        <w:t>allocation</w:t>
      </w:r>
      <w:r w:rsidRPr="00E16791">
        <w:t xml:space="preserve"> of available capacity </w:t>
      </w:r>
      <w:r w:rsidR="004105AF" w:rsidRPr="00E16791">
        <w:t xml:space="preserve">under </w:t>
      </w:r>
      <w:r w:rsidR="00AC6D81" w:rsidRPr="00E16791">
        <w:t xml:space="preserve">the </w:t>
      </w:r>
      <w:r w:rsidR="004105AF" w:rsidRPr="00E16791">
        <w:t>determination</w:t>
      </w:r>
      <w:r w:rsidR="00AC6D81" w:rsidRPr="00E16791">
        <w:t>s</w:t>
      </w:r>
      <w:r w:rsidR="00CD3709" w:rsidRPr="00E16791">
        <w:t>, the Commission</w:t>
      </w:r>
      <w:r w:rsidR="00B8064B" w:rsidRPr="00E16791">
        <w:t>:</w:t>
      </w:r>
    </w:p>
    <w:p w14:paraId="61B5BA85" w14:textId="77777777" w:rsidR="00B8064B" w:rsidRPr="00E16791" w:rsidRDefault="00B8064B" w:rsidP="007E03F1">
      <w:pPr>
        <w:pStyle w:val="paragraph"/>
      </w:pPr>
      <w:r w:rsidRPr="00E16791">
        <w:tab/>
        <w:t>(</w:t>
      </w:r>
      <w:r w:rsidR="00F95F53">
        <w:t>c</w:t>
      </w:r>
      <w:r w:rsidRPr="00E16791">
        <w:t>)</w:t>
      </w:r>
      <w:r w:rsidRPr="00E16791">
        <w:tab/>
        <w:t xml:space="preserve">is to </w:t>
      </w:r>
      <w:r w:rsidR="00CD3709" w:rsidRPr="00E16791">
        <w:t xml:space="preserve">have regard to the </w:t>
      </w:r>
      <w:r w:rsidR="00BD7D68" w:rsidRPr="00E16791">
        <w:t>reasonable capability criterion</w:t>
      </w:r>
      <w:r w:rsidRPr="00E16791">
        <w:t>; and</w:t>
      </w:r>
    </w:p>
    <w:p w14:paraId="13C161F3" w14:textId="77777777" w:rsidR="00BD7D68" w:rsidRPr="00E16791" w:rsidRDefault="00F95F53" w:rsidP="007E03F1">
      <w:pPr>
        <w:pStyle w:val="paragraph"/>
      </w:pPr>
      <w:r>
        <w:tab/>
        <w:t>(d</w:t>
      </w:r>
      <w:r w:rsidR="00B8064B" w:rsidRPr="00E16791">
        <w:t>)</w:t>
      </w:r>
      <w:r w:rsidR="00B8064B" w:rsidRPr="00E16791">
        <w:tab/>
      </w:r>
      <w:r w:rsidR="007E0888" w:rsidRPr="00E16791">
        <w:t>need not have regard to any other matter</w:t>
      </w:r>
      <w:r w:rsidR="00B8064B" w:rsidRPr="00E16791">
        <w:t>.</w:t>
      </w:r>
    </w:p>
    <w:p w14:paraId="7CD774C0" w14:textId="77777777" w:rsidR="00CD3709" w:rsidRDefault="00BD7D68" w:rsidP="00BD7D68">
      <w:pPr>
        <w:pStyle w:val="subsection"/>
      </w:pPr>
      <w:r w:rsidRPr="00E16791">
        <w:tab/>
        <w:t>(3)</w:t>
      </w:r>
      <w:r w:rsidRPr="00E16791">
        <w:tab/>
      </w:r>
      <w:r w:rsidR="00534E4D" w:rsidRPr="00E16791">
        <w:t>In all other cases</w:t>
      </w:r>
      <w:r w:rsidRPr="00E16791">
        <w:t xml:space="preserve">, </w:t>
      </w:r>
      <w:r w:rsidR="004105AF" w:rsidRPr="00E16791">
        <w:t xml:space="preserve">in assessing the benefit to the public of </w:t>
      </w:r>
      <w:r w:rsidR="009B7FAC" w:rsidRPr="00E16791">
        <w:t xml:space="preserve">an </w:t>
      </w:r>
      <w:r w:rsidR="004105AF" w:rsidRPr="00E16791">
        <w:t>allocation of</w:t>
      </w:r>
      <w:r w:rsidR="004105AF">
        <w:t xml:space="preserve"> available capacity under </w:t>
      </w:r>
      <w:r w:rsidR="00711BBF">
        <w:t xml:space="preserve">a </w:t>
      </w:r>
      <w:r w:rsidR="004105AF">
        <w:t>proposed determination</w:t>
      </w:r>
      <w:r w:rsidRPr="00BD7D68">
        <w:t>, the Commission:</w:t>
      </w:r>
    </w:p>
    <w:p w14:paraId="70A6E2E8" w14:textId="77777777" w:rsidR="00BD7D68" w:rsidRDefault="00BD7D68" w:rsidP="00BD7D68">
      <w:pPr>
        <w:pStyle w:val="paragraph"/>
      </w:pPr>
      <w:r>
        <w:tab/>
      </w:r>
      <w:r w:rsidRPr="00CD3709">
        <w:t>(a)</w:t>
      </w:r>
      <w:r>
        <w:tab/>
      </w:r>
      <w:r w:rsidR="008F106B">
        <w:t xml:space="preserve">is to </w:t>
      </w:r>
      <w:r>
        <w:t>have regard to the reasonable capability criterion; and</w:t>
      </w:r>
    </w:p>
    <w:p w14:paraId="4D5BD38B" w14:textId="77777777" w:rsidR="00BD7D68" w:rsidRDefault="00BD7D68" w:rsidP="00BD7D68">
      <w:pPr>
        <w:pStyle w:val="paragraph"/>
      </w:pPr>
      <w:r>
        <w:tab/>
        <w:t>(b)</w:t>
      </w:r>
      <w:r>
        <w:tab/>
      </w:r>
      <w:r w:rsidR="007E0888">
        <w:t>may</w:t>
      </w:r>
      <w:r w:rsidR="00B8064B">
        <w:t xml:space="preserve"> </w:t>
      </w:r>
      <w:r>
        <w:t xml:space="preserve">have regard to </w:t>
      </w:r>
      <w:r w:rsidR="007E0888">
        <w:t xml:space="preserve">any of </w:t>
      </w:r>
      <w:r>
        <w:t>the</w:t>
      </w:r>
      <w:r w:rsidR="004C552F">
        <w:t xml:space="preserve"> </w:t>
      </w:r>
      <w:r w:rsidR="007E0888">
        <w:t>additional criteria that it considers to be relevant</w:t>
      </w:r>
      <w:r w:rsidR="00364E36">
        <w:t>.</w:t>
      </w:r>
    </w:p>
    <w:p w14:paraId="56CF5FAD" w14:textId="77777777" w:rsidR="00364E36" w:rsidRDefault="004B5097" w:rsidP="00364E36">
      <w:pPr>
        <w:pStyle w:val="ActHead5"/>
      </w:pPr>
      <w:bookmarkStart w:id="20" w:name="_Toc507400056"/>
      <w:proofErr w:type="gramStart"/>
      <w:r>
        <w:t>1</w:t>
      </w:r>
      <w:r w:rsidR="00064591">
        <w:t>3</w:t>
      </w:r>
      <w:r w:rsidR="00364E36">
        <w:t xml:space="preserve">  </w:t>
      </w:r>
      <w:r w:rsidR="00434D7F">
        <w:t>All</w:t>
      </w:r>
      <w:proofErr w:type="gramEnd"/>
      <w:r w:rsidR="00434D7F">
        <w:t xml:space="preserve"> other cases </w:t>
      </w:r>
      <w:r w:rsidR="009B7FAC">
        <w:t>(</w:t>
      </w:r>
      <w:r w:rsidR="00434D7F">
        <w:t>including t</w:t>
      </w:r>
      <w:r w:rsidR="00364E36">
        <w:t>wo or more applicants and insufficient capacity</w:t>
      </w:r>
      <w:r w:rsidR="009B7FAC">
        <w:t>)</w:t>
      </w:r>
      <w:bookmarkEnd w:id="20"/>
    </w:p>
    <w:p w14:paraId="6C964411" w14:textId="77777777" w:rsidR="00E16791" w:rsidRDefault="00364E36" w:rsidP="00364E36">
      <w:pPr>
        <w:pStyle w:val="subsection"/>
      </w:pPr>
      <w:r>
        <w:tab/>
      </w:r>
      <w:r w:rsidRPr="00E16791">
        <w:t>(1)</w:t>
      </w:r>
      <w:r w:rsidR="00BF0958" w:rsidRPr="00E16791">
        <w:tab/>
        <w:t>This section applies where</w:t>
      </w:r>
      <w:r w:rsidR="00E16791">
        <w:t>:</w:t>
      </w:r>
      <w:r w:rsidR="00BF0958" w:rsidRPr="00E16791">
        <w:t xml:space="preserve"> </w:t>
      </w:r>
    </w:p>
    <w:p w14:paraId="5BBE204F" w14:textId="77777777" w:rsidR="00E16791" w:rsidRDefault="00E16791" w:rsidP="00E16791">
      <w:pPr>
        <w:pStyle w:val="paragraph"/>
      </w:pPr>
      <w:r>
        <w:tab/>
        <w:t>(a)</w:t>
      </w:r>
      <w:r>
        <w:tab/>
      </w:r>
      <w:r w:rsidR="00BF0958" w:rsidRPr="00E16791">
        <w:t xml:space="preserve">the Commission </w:t>
      </w:r>
      <w:r w:rsidR="00201404" w:rsidRPr="00E16791">
        <w:t>proposes</w:t>
      </w:r>
      <w:r w:rsidR="00BF0958" w:rsidRPr="00E16791">
        <w:t xml:space="preserve"> to make a determination allocating available capacity </w:t>
      </w:r>
      <w:r w:rsidR="007E0888" w:rsidRPr="00E16791">
        <w:t xml:space="preserve">on a route </w:t>
      </w:r>
      <w:r w:rsidR="00BF0958" w:rsidRPr="00E16791">
        <w:t>under s</w:t>
      </w:r>
      <w:r w:rsidR="004105AF" w:rsidRPr="00E16791">
        <w:t>ection</w:t>
      </w:r>
      <w:r w:rsidR="00BF0958" w:rsidRPr="00E16791">
        <w:t xml:space="preserve"> 7 of the Act</w:t>
      </w:r>
      <w:r>
        <w:t>; and</w:t>
      </w:r>
    </w:p>
    <w:p w14:paraId="27EA5257" w14:textId="77777777" w:rsidR="004105AF" w:rsidRDefault="00E16791" w:rsidP="00E16791">
      <w:pPr>
        <w:pStyle w:val="paragraph"/>
      </w:pPr>
      <w:r>
        <w:tab/>
        <w:t>(b)</w:t>
      </w:r>
      <w:r>
        <w:tab/>
      </w:r>
      <w:r w:rsidR="004B5097" w:rsidRPr="00E16791">
        <w:t xml:space="preserve">sections </w:t>
      </w:r>
      <w:r w:rsidR="00064591" w:rsidRPr="00E16791">
        <w:t>11</w:t>
      </w:r>
      <w:r w:rsidR="004B5097" w:rsidRPr="00E16791">
        <w:t xml:space="preserve"> and 1</w:t>
      </w:r>
      <w:r w:rsidR="00064591" w:rsidRPr="00E16791">
        <w:t>2</w:t>
      </w:r>
      <w:r w:rsidR="00BF0958" w:rsidRPr="00E16791">
        <w:t xml:space="preserve"> of </w:t>
      </w:r>
      <w:r w:rsidR="004105AF" w:rsidRPr="00E16791">
        <w:t>this instrument do not apply.</w:t>
      </w:r>
    </w:p>
    <w:p w14:paraId="63658CB3" w14:textId="77777777" w:rsidR="00434D7F" w:rsidRDefault="00434D7F" w:rsidP="00434D7F">
      <w:pPr>
        <w:pStyle w:val="notetext"/>
      </w:pPr>
      <w:r>
        <w:t xml:space="preserve">Note: </w:t>
      </w:r>
      <w:r>
        <w:tab/>
      </w:r>
      <w:r w:rsidR="007C6D30">
        <w:t>For example, t</w:t>
      </w:r>
      <w:r>
        <w:t>his section will apply where the Commission has received two or more applications for determinations allocating available capacity under section 7 of the Act, and there is insufficient available capacity for the Commission to make the determinations sought in all of the applications.</w:t>
      </w:r>
    </w:p>
    <w:p w14:paraId="49D3989A" w14:textId="77777777" w:rsidR="008720CA" w:rsidRDefault="00BF0958" w:rsidP="00364E36">
      <w:pPr>
        <w:pStyle w:val="subsection"/>
      </w:pPr>
      <w:r>
        <w:lastRenderedPageBreak/>
        <w:t xml:space="preserve"> </w:t>
      </w:r>
      <w:r>
        <w:tab/>
      </w:r>
      <w:r w:rsidR="004105AF">
        <w:t>(</w:t>
      </w:r>
      <w:r w:rsidR="00434D7F">
        <w:t>2</w:t>
      </w:r>
      <w:r>
        <w:t>)</w:t>
      </w:r>
      <w:r>
        <w:tab/>
      </w:r>
      <w:r w:rsidR="008720CA">
        <w:t xml:space="preserve">In assessing the </w:t>
      </w:r>
      <w:r>
        <w:t xml:space="preserve">benefit to the public of </w:t>
      </w:r>
      <w:r w:rsidR="00711BBF">
        <w:t xml:space="preserve">an </w:t>
      </w:r>
      <w:r>
        <w:t xml:space="preserve">allocation of capacity under </w:t>
      </w:r>
      <w:r w:rsidR="00711BBF">
        <w:t xml:space="preserve">a </w:t>
      </w:r>
      <w:r>
        <w:t>proposed determination, the Commission</w:t>
      </w:r>
      <w:r w:rsidR="004105AF">
        <w:t>:</w:t>
      </w:r>
    </w:p>
    <w:p w14:paraId="55922329" w14:textId="77777777" w:rsidR="004105AF" w:rsidRDefault="004105AF" w:rsidP="004105AF">
      <w:pPr>
        <w:pStyle w:val="paragraph"/>
      </w:pPr>
      <w:r>
        <w:tab/>
        <w:t>(a)</w:t>
      </w:r>
      <w:r>
        <w:tab/>
      </w:r>
      <w:r w:rsidR="007E0888">
        <w:t xml:space="preserve">is to </w:t>
      </w:r>
      <w:r>
        <w:t>have regard to the reasonable capability criterion; and</w:t>
      </w:r>
    </w:p>
    <w:p w14:paraId="625BC637" w14:textId="77777777" w:rsidR="004105AF" w:rsidRDefault="004105AF" w:rsidP="004105AF">
      <w:pPr>
        <w:pStyle w:val="paragraph"/>
      </w:pPr>
      <w:r>
        <w:tab/>
        <w:t>(b)</w:t>
      </w:r>
      <w:r>
        <w:tab/>
      </w:r>
      <w:r w:rsidR="007E0888">
        <w:t>is to have regard to any of the additional criteria that it considers to be relevant</w:t>
      </w:r>
      <w:r>
        <w:t>.</w:t>
      </w:r>
    </w:p>
    <w:p w14:paraId="75D02284" w14:textId="77777777" w:rsidR="008720CA" w:rsidRDefault="007A1D8F" w:rsidP="007A1D8F">
      <w:pPr>
        <w:pStyle w:val="ActHead3"/>
      </w:pPr>
      <w:bookmarkStart w:id="21" w:name="_Toc507400057"/>
      <w:r>
        <w:t xml:space="preserve">Division </w:t>
      </w:r>
      <w:r w:rsidR="00B62CBD">
        <w:t>3</w:t>
      </w:r>
      <w:r w:rsidR="00DB50ED" w:rsidRPr="00DB50ED">
        <w:t>—</w:t>
      </w:r>
      <w:r>
        <w:t>Renewal of determinations</w:t>
      </w:r>
      <w:bookmarkEnd w:id="21"/>
    </w:p>
    <w:p w14:paraId="4CC9096E" w14:textId="77777777" w:rsidR="001D6FB6" w:rsidRDefault="004B5097" w:rsidP="001D6FB6">
      <w:pPr>
        <w:pStyle w:val="ActHead5"/>
      </w:pPr>
      <w:bookmarkStart w:id="22" w:name="_Toc507400058"/>
      <w:proofErr w:type="gramStart"/>
      <w:r>
        <w:t>1</w:t>
      </w:r>
      <w:r w:rsidR="00064591">
        <w:t>4</w:t>
      </w:r>
      <w:r w:rsidR="007A1D8F">
        <w:t xml:space="preserve">  </w:t>
      </w:r>
      <w:r w:rsidR="00711BBF">
        <w:t>P</w:t>
      </w:r>
      <w:r w:rsidR="001D6FB6">
        <w:t>resumption</w:t>
      </w:r>
      <w:proofErr w:type="gramEnd"/>
      <w:r w:rsidR="001D6FB6">
        <w:t xml:space="preserve"> in favour of </w:t>
      </w:r>
      <w:r w:rsidR="00E75DC2">
        <w:t>making the same allocation of capacity</w:t>
      </w:r>
      <w:bookmarkEnd w:id="22"/>
    </w:p>
    <w:p w14:paraId="577B94F4" w14:textId="77777777" w:rsidR="007A1D8F" w:rsidRDefault="007A1D8F" w:rsidP="007A1D8F">
      <w:pPr>
        <w:pStyle w:val="subsection"/>
      </w:pPr>
      <w:r>
        <w:tab/>
        <w:t>(1)</w:t>
      </w:r>
      <w:r>
        <w:tab/>
        <w:t>This section applies where:</w:t>
      </w:r>
    </w:p>
    <w:p w14:paraId="3B0E463C" w14:textId="77777777" w:rsidR="007A1D8F" w:rsidRDefault="007A1D8F" w:rsidP="007A1D8F">
      <w:pPr>
        <w:pStyle w:val="paragraph"/>
      </w:pPr>
      <w:r>
        <w:tab/>
        <w:t>(a)</w:t>
      </w:r>
      <w:r>
        <w:tab/>
        <w:t>the Commission is proposing, while a determination is in force, to make a fresh determination allocating the capacity to which the original determination relates under section 8 of the Act; and</w:t>
      </w:r>
    </w:p>
    <w:p w14:paraId="2DA92D5C" w14:textId="77777777" w:rsidR="007A1D8F" w:rsidRDefault="007A1D8F" w:rsidP="007A1D8F">
      <w:pPr>
        <w:pStyle w:val="paragraph"/>
      </w:pPr>
      <w:r>
        <w:tab/>
        <w:t>(b)</w:t>
      </w:r>
      <w:r>
        <w:tab/>
      </w:r>
      <w:r w:rsidR="00711BBF">
        <w:t>t</w:t>
      </w:r>
      <w:r>
        <w:t xml:space="preserve">he Commission is considering whether the allocation of capacity in the original determination is no longer of benefit to the public for the purpose of </w:t>
      </w:r>
      <w:r w:rsidR="001F6B91">
        <w:t xml:space="preserve">subparagraph </w:t>
      </w:r>
      <w:r>
        <w:t>8(2)(a)(</w:t>
      </w:r>
      <w:proofErr w:type="spellStart"/>
      <w:r>
        <w:t>i</w:t>
      </w:r>
      <w:proofErr w:type="spellEnd"/>
      <w:r>
        <w:t>) of the Act.</w:t>
      </w:r>
    </w:p>
    <w:p w14:paraId="4E3DF9CA" w14:textId="77777777" w:rsidR="007A1D8F" w:rsidRDefault="007A1D8F" w:rsidP="007A1D8F">
      <w:pPr>
        <w:pStyle w:val="subsection"/>
      </w:pPr>
      <w:r>
        <w:tab/>
        <w:t>(2)</w:t>
      </w:r>
      <w:r>
        <w:tab/>
        <w:t xml:space="preserve">Without limiting the matters to which the Commission may have regard, an allocation </w:t>
      </w:r>
      <w:r w:rsidR="00190A3F">
        <w:t xml:space="preserve">is </w:t>
      </w:r>
      <w:r w:rsidR="00C2248D">
        <w:t>generally</w:t>
      </w:r>
      <w:r>
        <w:t xml:space="preserve"> no longer of benefit to the public if:</w:t>
      </w:r>
    </w:p>
    <w:p w14:paraId="3AA48C48" w14:textId="77777777" w:rsidR="007A1D8F" w:rsidRDefault="007A1D8F" w:rsidP="007A1D8F">
      <w:pPr>
        <w:pStyle w:val="paragraph"/>
      </w:pPr>
      <w:r>
        <w:tab/>
        <w:t>(a)</w:t>
      </w:r>
      <w:r>
        <w:tab/>
        <w:t>the carrier seeking renewal has failed to service the route effectively; and</w:t>
      </w:r>
    </w:p>
    <w:p w14:paraId="55A66E16" w14:textId="77777777" w:rsidR="007A1D8F" w:rsidRDefault="007A1D8F" w:rsidP="007A1D8F">
      <w:pPr>
        <w:pStyle w:val="paragraph"/>
      </w:pPr>
      <w:r>
        <w:tab/>
        <w:t>(b)</w:t>
      </w:r>
      <w:r>
        <w:tab/>
        <w:t>there are other applications for some or all of the capacity; and</w:t>
      </w:r>
    </w:p>
    <w:p w14:paraId="6CDA2A37" w14:textId="77777777" w:rsidR="001D6FB6" w:rsidRDefault="007A1D8F" w:rsidP="001D6FB6">
      <w:pPr>
        <w:pStyle w:val="paragraph"/>
      </w:pPr>
      <w:r>
        <w:tab/>
        <w:t>(c)</w:t>
      </w:r>
      <w:r>
        <w:tab/>
        <w:t xml:space="preserve">the Commission, having regard to the reasonable capability criterion and </w:t>
      </w:r>
      <w:r w:rsidR="00E83E6A">
        <w:t xml:space="preserve">any of </w:t>
      </w:r>
      <w:r>
        <w:t xml:space="preserve">the </w:t>
      </w:r>
      <w:r w:rsidR="00E83E6A">
        <w:t>additional criteria that it considers relevant</w:t>
      </w:r>
      <w:r>
        <w:t>, is satisfied that a different allocation of the capacity would be of greater benefit to the public.</w:t>
      </w:r>
    </w:p>
    <w:p w14:paraId="08927339" w14:textId="77777777" w:rsidR="001D6FB6" w:rsidRPr="001D6FB6" w:rsidRDefault="001D6FB6" w:rsidP="008C0108">
      <w:pPr>
        <w:pStyle w:val="notetext"/>
      </w:pPr>
      <w:r>
        <w:t xml:space="preserve">Note: </w:t>
      </w:r>
      <w:r w:rsidR="00534E4D">
        <w:tab/>
      </w:r>
      <w:r>
        <w:t xml:space="preserve">In accordance with </w:t>
      </w:r>
      <w:r w:rsidR="001F6B91">
        <w:t xml:space="preserve">paragraph </w:t>
      </w:r>
      <w:r>
        <w:t>8(2)(a) of the Act, the Commission must make the same allocation of capacity as the original determination unless it is satisfied that the allocation is no longer of benefit to the public. This operates as a presumption in favour of the incumbent carrier.</w:t>
      </w:r>
    </w:p>
    <w:p w14:paraId="755B1344" w14:textId="77777777" w:rsidR="00364E36" w:rsidRDefault="004B5097" w:rsidP="00CB69CC">
      <w:pPr>
        <w:pStyle w:val="ActHead5"/>
      </w:pPr>
      <w:bookmarkStart w:id="23" w:name="_Toc507400059"/>
      <w:proofErr w:type="gramStart"/>
      <w:r>
        <w:t>1</w:t>
      </w:r>
      <w:r w:rsidR="00064591">
        <w:t>5</w:t>
      </w:r>
      <w:r w:rsidR="00CB69CC">
        <w:t xml:space="preserve">  Making</w:t>
      </w:r>
      <w:proofErr w:type="gramEnd"/>
      <w:r w:rsidR="00CB69CC">
        <w:t xml:space="preserve"> a different allocation of capacity</w:t>
      </w:r>
      <w:bookmarkEnd w:id="23"/>
    </w:p>
    <w:p w14:paraId="41FF156F" w14:textId="77777777" w:rsidR="00CB69CC" w:rsidRDefault="00CB69CC" w:rsidP="00CB69CC">
      <w:pPr>
        <w:pStyle w:val="subsection"/>
      </w:pPr>
      <w:r>
        <w:tab/>
        <w:t>(1)</w:t>
      </w:r>
      <w:r>
        <w:tab/>
        <w:t xml:space="preserve">This section applies where, in the course of considering the renewal of a determination, the Commission is satisfied, for the purposes of </w:t>
      </w:r>
      <w:r w:rsidR="001F6B91">
        <w:t xml:space="preserve">subparagraph </w:t>
      </w:r>
      <w:r>
        <w:t>8(2)(a)(</w:t>
      </w:r>
      <w:proofErr w:type="spellStart"/>
      <w:r>
        <w:t>i</w:t>
      </w:r>
      <w:proofErr w:type="spellEnd"/>
      <w:r>
        <w:t>) of the Act, that the allocation of capacity in the original determination is no longer of benefit to the public.</w:t>
      </w:r>
    </w:p>
    <w:p w14:paraId="71E6155E" w14:textId="77777777" w:rsidR="00CB69CC" w:rsidRDefault="00CB69CC" w:rsidP="00CB69CC">
      <w:pPr>
        <w:pStyle w:val="subsection"/>
      </w:pPr>
      <w:r>
        <w:tab/>
        <w:t>(2)</w:t>
      </w:r>
      <w:r>
        <w:tab/>
        <w:t>In assessing whether a</w:t>
      </w:r>
      <w:r w:rsidR="00920CF1">
        <w:t>n allocation of capacity made by a</w:t>
      </w:r>
      <w:r>
        <w:t xml:space="preserve"> fresh determination is of benefit to the public for the purpose of s</w:t>
      </w:r>
      <w:r w:rsidR="001F6B91">
        <w:t>ubsection</w:t>
      </w:r>
      <w:r>
        <w:t xml:space="preserve"> 8(3) of the Act, the Commission:</w:t>
      </w:r>
    </w:p>
    <w:p w14:paraId="22CEB362" w14:textId="77777777" w:rsidR="00CB69CC" w:rsidRDefault="00CB69CC" w:rsidP="00CB69CC">
      <w:pPr>
        <w:pStyle w:val="paragraph"/>
      </w:pPr>
      <w:r>
        <w:tab/>
        <w:t>(a)</w:t>
      </w:r>
      <w:r>
        <w:tab/>
      </w:r>
      <w:r w:rsidR="00D8470A">
        <w:t xml:space="preserve">is to </w:t>
      </w:r>
      <w:r>
        <w:t>have regard to the reasonable capability criterion; and</w:t>
      </w:r>
    </w:p>
    <w:p w14:paraId="6EC4705E" w14:textId="77777777" w:rsidR="00CB69CC" w:rsidRDefault="00CB69CC" w:rsidP="00CB69CC">
      <w:pPr>
        <w:pStyle w:val="paragraph"/>
      </w:pPr>
      <w:r>
        <w:tab/>
        <w:t>(b)</w:t>
      </w:r>
      <w:r>
        <w:tab/>
      </w:r>
      <w:r w:rsidR="00D8470A">
        <w:t>is to have regard to any of the additional criteria that it considers to be relevant.</w:t>
      </w:r>
    </w:p>
    <w:p w14:paraId="0117C814" w14:textId="77777777" w:rsidR="00CB69CC" w:rsidRDefault="00CB69CC" w:rsidP="00CB69CC">
      <w:pPr>
        <w:pStyle w:val="ActHead3"/>
      </w:pPr>
      <w:bookmarkStart w:id="24" w:name="_Toc507400060"/>
      <w:r>
        <w:t xml:space="preserve">Division </w:t>
      </w:r>
      <w:r w:rsidR="00B62CBD">
        <w:t>4</w:t>
      </w:r>
      <w:r w:rsidR="00DB50ED" w:rsidRPr="00DB50ED">
        <w:t>—</w:t>
      </w:r>
      <w:r>
        <w:t>Review of determinations</w:t>
      </w:r>
      <w:bookmarkEnd w:id="24"/>
    </w:p>
    <w:p w14:paraId="0863598C" w14:textId="77777777" w:rsidR="00DA3F38" w:rsidRDefault="004B5097" w:rsidP="00DA3F38">
      <w:pPr>
        <w:pStyle w:val="ActHead5"/>
      </w:pPr>
      <w:bookmarkStart w:id="25" w:name="_Toc507400061"/>
      <w:proofErr w:type="gramStart"/>
      <w:r>
        <w:t>1</w:t>
      </w:r>
      <w:r w:rsidR="00064591">
        <w:t>6</w:t>
      </w:r>
      <w:r w:rsidR="00DA3F38">
        <w:t xml:space="preserve">  Variations</w:t>
      </w:r>
      <w:proofErr w:type="gramEnd"/>
      <w:r w:rsidR="00DA3F38">
        <w:t xml:space="preserve"> on review for cause</w:t>
      </w:r>
      <w:bookmarkEnd w:id="25"/>
    </w:p>
    <w:p w14:paraId="666EFEC3" w14:textId="77777777" w:rsidR="00E16791" w:rsidRDefault="007F32BA" w:rsidP="007F32BA">
      <w:pPr>
        <w:pStyle w:val="subsection"/>
      </w:pPr>
      <w:r>
        <w:tab/>
      </w:r>
      <w:r w:rsidRPr="00E16791">
        <w:t>(1)</w:t>
      </w:r>
      <w:r w:rsidRPr="00E16791">
        <w:tab/>
        <w:t>This section applies where</w:t>
      </w:r>
      <w:r w:rsidR="00E16791">
        <w:t>:</w:t>
      </w:r>
      <w:r w:rsidRPr="00E16791">
        <w:t xml:space="preserve"> </w:t>
      </w:r>
    </w:p>
    <w:p w14:paraId="4B307F4E" w14:textId="77777777" w:rsidR="00E16791" w:rsidRDefault="00E16791" w:rsidP="00E16791">
      <w:pPr>
        <w:pStyle w:val="paragraph"/>
      </w:pPr>
      <w:r>
        <w:lastRenderedPageBreak/>
        <w:tab/>
        <w:t>(a)</w:t>
      </w:r>
      <w:r>
        <w:tab/>
      </w:r>
      <w:r w:rsidR="007F32BA" w:rsidRPr="00E16791">
        <w:t>the Commission has conducted a review for cause in relation to a determination pu</w:t>
      </w:r>
      <w:r>
        <w:t>rsuant to section 10 of the Act;</w:t>
      </w:r>
      <w:r w:rsidR="007F32BA" w:rsidRPr="00E16791">
        <w:t xml:space="preserve"> and </w:t>
      </w:r>
    </w:p>
    <w:p w14:paraId="1E90AA41" w14:textId="77777777" w:rsidR="007F32BA" w:rsidRDefault="00E16791" w:rsidP="00E16791">
      <w:pPr>
        <w:pStyle w:val="paragraph"/>
      </w:pPr>
      <w:r>
        <w:tab/>
        <w:t>(b)</w:t>
      </w:r>
      <w:r>
        <w:tab/>
        <w:t xml:space="preserve">the Commission </w:t>
      </w:r>
      <w:r w:rsidR="007F32BA" w:rsidRPr="00E16791">
        <w:t xml:space="preserve">is considering making a decision to vary the determination under </w:t>
      </w:r>
      <w:r w:rsidR="001F6B91" w:rsidRPr="00E16791">
        <w:t xml:space="preserve">paragraph </w:t>
      </w:r>
      <w:r w:rsidR="007F32BA" w:rsidRPr="00E16791">
        <w:t>23(1)(b) of the Act</w:t>
      </w:r>
      <w:r w:rsidR="00A30A56" w:rsidRPr="00E16791">
        <w:t xml:space="preserve"> in a way that varies, or has the effect of varying, an allocation of capacity</w:t>
      </w:r>
      <w:r w:rsidR="007F32BA" w:rsidRPr="00E16791">
        <w:t>.</w:t>
      </w:r>
    </w:p>
    <w:p w14:paraId="2EE04E11" w14:textId="77777777" w:rsidR="00B743A2" w:rsidRDefault="007F32BA" w:rsidP="007F32BA">
      <w:pPr>
        <w:pStyle w:val="subsection"/>
      </w:pPr>
      <w:r>
        <w:tab/>
        <w:t>(2)</w:t>
      </w:r>
      <w:r>
        <w:tab/>
        <w:t xml:space="preserve">If the grounds on which </w:t>
      </w:r>
      <w:r w:rsidR="00A30A56">
        <w:t xml:space="preserve">the </w:t>
      </w:r>
      <w:r>
        <w:t xml:space="preserve">review was initiated relate to a condition imposed under </w:t>
      </w:r>
      <w:r w:rsidR="004B5097">
        <w:t>paragraph</w:t>
      </w:r>
      <w:r>
        <w:t xml:space="preserve"> 15(2)(c) of the Act, in assessing whether the allocation</w:t>
      </w:r>
      <w:r w:rsidR="001A327A">
        <w:t>,</w:t>
      </w:r>
      <w:r>
        <w:t xml:space="preserve"> </w:t>
      </w:r>
      <w:r w:rsidR="00A30A56">
        <w:t>as</w:t>
      </w:r>
      <w:r w:rsidR="001A327A">
        <w:t xml:space="preserve"> so</w:t>
      </w:r>
      <w:r w:rsidR="00A30A56">
        <w:t xml:space="preserve"> varied</w:t>
      </w:r>
      <w:r w:rsidR="001A327A">
        <w:t>,</w:t>
      </w:r>
      <w:r w:rsidR="00A30A56">
        <w:t xml:space="preserve"> </w:t>
      </w:r>
      <w:r>
        <w:t>would be of benefit to the public for the purpose of s</w:t>
      </w:r>
      <w:r w:rsidR="001F6B91">
        <w:t>ubsection</w:t>
      </w:r>
      <w:r>
        <w:t xml:space="preserve"> 23(3) of the Act, the Commission</w:t>
      </w:r>
      <w:r w:rsidR="00B743A2">
        <w:t>:</w:t>
      </w:r>
    </w:p>
    <w:p w14:paraId="6E1F9C78" w14:textId="12E9ED49" w:rsidR="00B743A2" w:rsidRDefault="00B743A2" w:rsidP="007E03F1">
      <w:pPr>
        <w:pStyle w:val="paragraph"/>
      </w:pPr>
      <w:r>
        <w:tab/>
        <w:t>(a)</w:t>
      </w:r>
      <w:r>
        <w:tab/>
      </w:r>
      <w:r w:rsidR="007F32BA">
        <w:t xml:space="preserve">may have regard to the criteria set out in </w:t>
      </w:r>
      <w:r w:rsidR="006654B8">
        <w:t xml:space="preserve">paragraphs </w:t>
      </w:r>
      <w:r w:rsidR="0039527E">
        <w:t>2</w:t>
      </w:r>
      <w:r w:rsidR="006654B8">
        <w:t>4</w:t>
      </w:r>
      <w:r w:rsidR="00292808">
        <w:t>(3)</w:t>
      </w:r>
      <w:r w:rsidR="006654B8">
        <w:t>(a)</w:t>
      </w:r>
      <w:r w:rsidR="00C86713">
        <w:t xml:space="preserve"> to </w:t>
      </w:r>
      <w:r w:rsidR="006654B8">
        <w:t>(d)</w:t>
      </w:r>
      <w:r w:rsidR="007F32BA">
        <w:t xml:space="preserve"> of this instrument</w:t>
      </w:r>
      <w:r>
        <w:t>; and</w:t>
      </w:r>
    </w:p>
    <w:p w14:paraId="4DC28D92" w14:textId="4F3A89DD" w:rsidR="007F32BA" w:rsidRDefault="00B743A2" w:rsidP="007E03F1">
      <w:pPr>
        <w:pStyle w:val="paragraph"/>
      </w:pPr>
      <w:r>
        <w:tab/>
        <w:t>(b)</w:t>
      </w:r>
      <w:r>
        <w:tab/>
        <w:t>need not have regard to any other matter.</w:t>
      </w:r>
    </w:p>
    <w:p w14:paraId="13C7C79E" w14:textId="70140A88" w:rsidR="00C86713" w:rsidRDefault="00C86713" w:rsidP="008B207C">
      <w:pPr>
        <w:pStyle w:val="notetext"/>
      </w:pPr>
      <w:r>
        <w:t>Note:</w:t>
      </w:r>
      <w:r>
        <w:tab/>
        <w:t>Paragraph 15(2)(c) of the Act allows for the imposition of a condition that capacity be fully used.</w:t>
      </w:r>
    </w:p>
    <w:p w14:paraId="3BBDFC1F" w14:textId="77777777" w:rsidR="00D8470A" w:rsidRDefault="00505E86" w:rsidP="007F32BA">
      <w:pPr>
        <w:pStyle w:val="subsection"/>
      </w:pPr>
      <w:r>
        <w:tab/>
        <w:t>(3)</w:t>
      </w:r>
      <w:r>
        <w:tab/>
        <w:t>If the review was initiated on any other grounds, and the Commission does not receive submissions opposing the variation being considered by the Commission, then in assessing whether the allocation</w:t>
      </w:r>
      <w:r w:rsidR="001A327A">
        <w:t>,</w:t>
      </w:r>
      <w:r>
        <w:t xml:space="preserve"> as</w:t>
      </w:r>
      <w:r w:rsidR="001A327A">
        <w:t xml:space="preserve"> so</w:t>
      </w:r>
      <w:r>
        <w:t xml:space="preserve"> varied</w:t>
      </w:r>
      <w:r w:rsidR="001A327A">
        <w:t>,</w:t>
      </w:r>
      <w:r>
        <w:t xml:space="preserve"> would be of benefit to the public for the purpose of subsection 23(3) of the Act, the Commission</w:t>
      </w:r>
      <w:r w:rsidR="00D8470A">
        <w:t>:</w:t>
      </w:r>
      <w:r>
        <w:t xml:space="preserve"> </w:t>
      </w:r>
    </w:p>
    <w:p w14:paraId="027E0230" w14:textId="77777777" w:rsidR="00D8470A" w:rsidRDefault="00D8470A" w:rsidP="00F966AF">
      <w:pPr>
        <w:pStyle w:val="paragraph"/>
      </w:pPr>
      <w:r>
        <w:tab/>
        <w:t>(a)</w:t>
      </w:r>
      <w:r>
        <w:tab/>
      </w:r>
      <w:r w:rsidR="007C4E91">
        <w:t xml:space="preserve">is to </w:t>
      </w:r>
      <w:r w:rsidR="00505E86">
        <w:t>have regard to the reasonable capability criterion</w:t>
      </w:r>
      <w:r>
        <w:t>; and</w:t>
      </w:r>
    </w:p>
    <w:p w14:paraId="3726A582" w14:textId="77777777" w:rsidR="00505E86" w:rsidRDefault="00D8470A" w:rsidP="00F966AF">
      <w:pPr>
        <w:pStyle w:val="paragraph"/>
      </w:pPr>
      <w:r>
        <w:tab/>
        <w:t>(b)</w:t>
      </w:r>
      <w:r>
        <w:tab/>
        <w:t>need not have regard to any other matter.</w:t>
      </w:r>
    </w:p>
    <w:p w14:paraId="60A83D4D" w14:textId="77777777" w:rsidR="00505E86" w:rsidRDefault="00505E86" w:rsidP="007F32BA">
      <w:pPr>
        <w:pStyle w:val="subsection"/>
      </w:pPr>
      <w:r>
        <w:tab/>
        <w:t>(4)</w:t>
      </w:r>
      <w:r>
        <w:tab/>
        <w:t>In all other cases, in assessing whether the allocation, as so varied, would be of benefit to the public for the purpose of subsection 23(3) of the Act, the Commission:</w:t>
      </w:r>
    </w:p>
    <w:p w14:paraId="314491FC" w14:textId="77777777" w:rsidR="00505E86" w:rsidRDefault="00505E86" w:rsidP="009A390E">
      <w:pPr>
        <w:pStyle w:val="paragraph"/>
      </w:pPr>
      <w:r>
        <w:tab/>
        <w:t>(a)</w:t>
      </w:r>
      <w:r>
        <w:tab/>
      </w:r>
      <w:r w:rsidR="00D8470A">
        <w:t xml:space="preserve">is to </w:t>
      </w:r>
      <w:r>
        <w:t>have regard to the reasonable capability criterion; and</w:t>
      </w:r>
    </w:p>
    <w:p w14:paraId="2EA13050" w14:textId="77777777" w:rsidR="00505E86" w:rsidRDefault="00505E86" w:rsidP="009A390E">
      <w:pPr>
        <w:pStyle w:val="paragraph"/>
      </w:pPr>
      <w:r>
        <w:tab/>
        <w:t>(b)</w:t>
      </w:r>
      <w:r>
        <w:tab/>
      </w:r>
      <w:r w:rsidR="00201404">
        <w:t>may</w:t>
      </w:r>
      <w:r w:rsidR="00D8470A">
        <w:t xml:space="preserve"> have regard to any of the additional criteria that it considers to be relevant.</w:t>
      </w:r>
    </w:p>
    <w:p w14:paraId="78C736A4" w14:textId="77777777" w:rsidR="007F32BA" w:rsidRDefault="004B5097" w:rsidP="007F32BA">
      <w:pPr>
        <w:pStyle w:val="ActHead5"/>
      </w:pPr>
      <w:bookmarkStart w:id="26" w:name="_Toc507400062"/>
      <w:proofErr w:type="gramStart"/>
      <w:r>
        <w:t>1</w:t>
      </w:r>
      <w:r w:rsidR="00064591">
        <w:t>7</w:t>
      </w:r>
      <w:r w:rsidR="007F32BA">
        <w:t xml:space="preserve">  Variations</w:t>
      </w:r>
      <w:proofErr w:type="gramEnd"/>
      <w:r w:rsidR="007F32BA">
        <w:t xml:space="preserve"> on application</w:t>
      </w:r>
      <w:bookmarkEnd w:id="26"/>
    </w:p>
    <w:p w14:paraId="0D8819A8" w14:textId="77777777" w:rsidR="007F32BA" w:rsidRDefault="007F32BA" w:rsidP="007F32BA">
      <w:pPr>
        <w:pStyle w:val="subsection"/>
      </w:pPr>
      <w:r>
        <w:tab/>
        <w:t>(1)</w:t>
      </w:r>
      <w:r>
        <w:tab/>
        <w:t>This section applies where:</w:t>
      </w:r>
    </w:p>
    <w:p w14:paraId="394D010C" w14:textId="77777777" w:rsidR="007F32BA" w:rsidRDefault="007F32BA" w:rsidP="007F32BA">
      <w:pPr>
        <w:pStyle w:val="paragraph"/>
      </w:pPr>
      <w:r>
        <w:tab/>
        <w:t>(a)</w:t>
      </w:r>
      <w:r>
        <w:tab/>
        <w:t xml:space="preserve">the Commission has conducted a review </w:t>
      </w:r>
      <w:r w:rsidR="00A30A56">
        <w:t xml:space="preserve">to decide an </w:t>
      </w:r>
      <w:r>
        <w:t xml:space="preserve">application (other than a transfer application) </w:t>
      </w:r>
      <w:r w:rsidR="00A30A56">
        <w:t xml:space="preserve">for </w:t>
      </w:r>
      <w:r>
        <w:t xml:space="preserve">a determination </w:t>
      </w:r>
      <w:r w:rsidR="00A30A56">
        <w:t>to be varied</w:t>
      </w:r>
      <w:r>
        <w:t>; and</w:t>
      </w:r>
    </w:p>
    <w:p w14:paraId="5A2DF9FB" w14:textId="77777777" w:rsidR="007F32BA" w:rsidRDefault="007F32BA" w:rsidP="007F32BA">
      <w:pPr>
        <w:pStyle w:val="paragraph"/>
      </w:pPr>
      <w:r>
        <w:tab/>
        <w:t>(b)</w:t>
      </w:r>
      <w:r>
        <w:tab/>
        <w:t xml:space="preserve">the Commission is considering making a decision to vary the determination under </w:t>
      </w:r>
      <w:r w:rsidR="00AB1722">
        <w:t xml:space="preserve">paragraph </w:t>
      </w:r>
      <w:r>
        <w:t>24(1)(b) of the Act</w:t>
      </w:r>
      <w:r w:rsidR="00A30A56">
        <w:t xml:space="preserve"> in a way that varies, or has the effect of varying, an allocation of capacity</w:t>
      </w:r>
      <w:r>
        <w:t>.</w:t>
      </w:r>
    </w:p>
    <w:p w14:paraId="30DBFD1C" w14:textId="77777777" w:rsidR="00201404" w:rsidRDefault="007F32BA" w:rsidP="00456E44">
      <w:pPr>
        <w:pStyle w:val="subsection"/>
      </w:pPr>
      <w:r>
        <w:tab/>
        <w:t>(2)</w:t>
      </w:r>
      <w:r>
        <w:tab/>
        <w:t xml:space="preserve">If the Commission does not receive submissions opposing the variation </w:t>
      </w:r>
      <w:r w:rsidR="00A30A56">
        <w:t xml:space="preserve">requested in the application </w:t>
      </w:r>
      <w:r w:rsidR="00456E44">
        <w:t xml:space="preserve">then, in assessing </w:t>
      </w:r>
      <w:r w:rsidR="004435FA">
        <w:t xml:space="preserve">whether the allocation, as so varied, would be of </w:t>
      </w:r>
      <w:r w:rsidR="00456E44">
        <w:t>benefit to the public for the purpose of s</w:t>
      </w:r>
      <w:r w:rsidR="00AB1722">
        <w:t>ubsection</w:t>
      </w:r>
      <w:r w:rsidR="00456E44">
        <w:t xml:space="preserve"> 24(2) of the Act, the Commission</w:t>
      </w:r>
      <w:r w:rsidR="00201404">
        <w:t>:</w:t>
      </w:r>
      <w:r w:rsidR="00456E44">
        <w:t xml:space="preserve"> </w:t>
      </w:r>
    </w:p>
    <w:p w14:paraId="0289D65F" w14:textId="77777777" w:rsidR="00201404" w:rsidRDefault="00201404" w:rsidP="00B5110E">
      <w:pPr>
        <w:pStyle w:val="paragraph"/>
      </w:pPr>
      <w:r>
        <w:tab/>
        <w:t>(a)</w:t>
      </w:r>
      <w:r>
        <w:tab/>
        <w:t xml:space="preserve">is to </w:t>
      </w:r>
      <w:r w:rsidR="00456E44">
        <w:t>have regard to the reasonable capability criterion</w:t>
      </w:r>
      <w:r>
        <w:t>; and</w:t>
      </w:r>
    </w:p>
    <w:p w14:paraId="7CF19AA7" w14:textId="77777777" w:rsidR="00456E44" w:rsidRDefault="00201404" w:rsidP="00B5110E">
      <w:pPr>
        <w:pStyle w:val="paragraph"/>
      </w:pPr>
      <w:r>
        <w:tab/>
        <w:t>(b)</w:t>
      </w:r>
      <w:r>
        <w:tab/>
        <w:t>need not have regard to any other matter.</w:t>
      </w:r>
    </w:p>
    <w:p w14:paraId="5BC6F5F3" w14:textId="77777777" w:rsidR="00456E44" w:rsidRDefault="00456E44" w:rsidP="00456E44">
      <w:pPr>
        <w:pStyle w:val="subsection"/>
      </w:pPr>
      <w:r>
        <w:tab/>
        <w:t>(3)</w:t>
      </w:r>
      <w:r>
        <w:tab/>
      </w:r>
      <w:r w:rsidR="00A30A56">
        <w:t>In all other cases</w:t>
      </w:r>
      <w:r>
        <w:t xml:space="preserve">, in assessing </w:t>
      </w:r>
      <w:r w:rsidR="004435FA">
        <w:t xml:space="preserve">whether the allocation, as so varied, would be of </w:t>
      </w:r>
      <w:r>
        <w:t>benefit to the public for the purpose of s</w:t>
      </w:r>
      <w:r w:rsidR="00AB1722">
        <w:t>ubsection</w:t>
      </w:r>
      <w:r>
        <w:t xml:space="preserve"> 24(2) of the Act, the Commission:</w:t>
      </w:r>
    </w:p>
    <w:p w14:paraId="7AD650CD" w14:textId="77777777" w:rsidR="00456E44" w:rsidRDefault="00456E44" w:rsidP="00456E44">
      <w:pPr>
        <w:pStyle w:val="paragraph"/>
      </w:pPr>
      <w:r>
        <w:tab/>
        <w:t>(a)</w:t>
      </w:r>
      <w:r>
        <w:tab/>
      </w:r>
      <w:r w:rsidR="00201404">
        <w:t xml:space="preserve">is to </w:t>
      </w:r>
      <w:r>
        <w:t>have regard to the reasonable capability criterion; and</w:t>
      </w:r>
    </w:p>
    <w:p w14:paraId="0AE6CD66" w14:textId="77777777" w:rsidR="00456E44" w:rsidRDefault="00456E44" w:rsidP="00456E44">
      <w:pPr>
        <w:pStyle w:val="paragraph"/>
      </w:pPr>
      <w:r>
        <w:lastRenderedPageBreak/>
        <w:tab/>
        <w:t>(b)</w:t>
      </w:r>
      <w:r>
        <w:tab/>
      </w:r>
      <w:r w:rsidR="00B743A2">
        <w:t>may have regard to any of the additional criteria that it considers to be relevant</w:t>
      </w:r>
      <w:r>
        <w:t>.</w:t>
      </w:r>
    </w:p>
    <w:p w14:paraId="53627E85" w14:textId="77777777" w:rsidR="00456E44" w:rsidRDefault="004B5097" w:rsidP="00456E44">
      <w:pPr>
        <w:pStyle w:val="ActHead5"/>
      </w:pPr>
      <w:bookmarkStart w:id="27" w:name="_Toc507400063"/>
      <w:proofErr w:type="gramStart"/>
      <w:r>
        <w:t>1</w:t>
      </w:r>
      <w:r w:rsidR="00064591">
        <w:t>8</w:t>
      </w:r>
      <w:r w:rsidR="00456E44">
        <w:t xml:space="preserve">  Transfer</w:t>
      </w:r>
      <w:proofErr w:type="gramEnd"/>
      <w:r w:rsidR="00456E44">
        <w:t xml:space="preserve"> applications</w:t>
      </w:r>
      <w:bookmarkEnd w:id="27"/>
    </w:p>
    <w:p w14:paraId="049CA490" w14:textId="77777777" w:rsidR="00E16791" w:rsidRDefault="00456E44" w:rsidP="00456E44">
      <w:pPr>
        <w:pStyle w:val="subsection"/>
      </w:pPr>
      <w:r>
        <w:tab/>
      </w:r>
      <w:r w:rsidRPr="00E16791">
        <w:t>(1)</w:t>
      </w:r>
      <w:r w:rsidRPr="00E16791">
        <w:tab/>
        <w:t>This section applies where</w:t>
      </w:r>
      <w:r w:rsidR="00E16791">
        <w:t>:</w:t>
      </w:r>
      <w:r w:rsidRPr="00E16791">
        <w:t xml:space="preserve"> </w:t>
      </w:r>
    </w:p>
    <w:p w14:paraId="0861DF8A" w14:textId="77777777" w:rsidR="00E16791" w:rsidRDefault="00E16791" w:rsidP="00E16791">
      <w:pPr>
        <w:pStyle w:val="paragraph"/>
      </w:pPr>
      <w:r>
        <w:tab/>
        <w:t>(a)</w:t>
      </w:r>
      <w:r>
        <w:tab/>
      </w:r>
      <w:r w:rsidR="00456E44" w:rsidRPr="00E16791">
        <w:t>the Commission has conducted a review t</w:t>
      </w:r>
      <w:r>
        <w:t xml:space="preserve">o decide a transfer application; and </w:t>
      </w:r>
    </w:p>
    <w:p w14:paraId="2DC95F97" w14:textId="77777777" w:rsidR="00E16791" w:rsidRDefault="00E16791" w:rsidP="00E16791">
      <w:pPr>
        <w:pStyle w:val="paragraph"/>
      </w:pPr>
      <w:r>
        <w:tab/>
        <w:t>(b)</w:t>
      </w:r>
      <w:r>
        <w:tab/>
        <w:t xml:space="preserve">the Commission </w:t>
      </w:r>
      <w:r w:rsidR="00456E44" w:rsidRPr="00E16791">
        <w:t xml:space="preserve">is considering making a decision to vary the determination </w:t>
      </w:r>
      <w:r w:rsidR="00A30A56" w:rsidRPr="00E16791">
        <w:t xml:space="preserve">concerned </w:t>
      </w:r>
      <w:r w:rsidR="00456E44" w:rsidRPr="00E16791">
        <w:t>in a way that gives effect to the variation requested in the transfer application</w:t>
      </w:r>
      <w:r>
        <w:t xml:space="preserve">; and </w:t>
      </w:r>
    </w:p>
    <w:p w14:paraId="2164EF03" w14:textId="77777777" w:rsidR="00456E44" w:rsidRDefault="00E16791" w:rsidP="00E16791">
      <w:pPr>
        <w:pStyle w:val="paragraph"/>
      </w:pPr>
      <w:r>
        <w:tab/>
        <w:t>(c)</w:t>
      </w:r>
      <w:r>
        <w:tab/>
        <w:t>the Commission’s decision to vary the determination would vary</w:t>
      </w:r>
      <w:r w:rsidR="00946724">
        <w:t>, or have</w:t>
      </w:r>
      <w:r w:rsidR="00920CF1" w:rsidRPr="00E16791">
        <w:t xml:space="preserve"> the effect of varying, an allocation of capacity</w:t>
      </w:r>
      <w:r w:rsidR="00456E44" w:rsidRPr="00E16791">
        <w:t>.</w:t>
      </w:r>
    </w:p>
    <w:p w14:paraId="383200AF" w14:textId="77777777" w:rsidR="00456E44" w:rsidRDefault="00456E44" w:rsidP="00456E44">
      <w:pPr>
        <w:pStyle w:val="subsection"/>
      </w:pPr>
      <w:r>
        <w:tab/>
        <w:t>(2)</w:t>
      </w:r>
      <w:r>
        <w:tab/>
        <w:t xml:space="preserve">In assessing whether the </w:t>
      </w:r>
      <w:r w:rsidR="00920CF1">
        <w:t xml:space="preserve">allocation, as so varied, </w:t>
      </w:r>
      <w:r>
        <w:t xml:space="preserve">would not be of benefit to the public </w:t>
      </w:r>
      <w:r w:rsidR="00C9684B">
        <w:t>for the purpose of</w:t>
      </w:r>
      <w:r>
        <w:t xml:space="preserve"> </w:t>
      </w:r>
      <w:r w:rsidR="00AB1722">
        <w:t>sub</w:t>
      </w:r>
      <w:r>
        <w:t>section 25(2) of the Act, the Commission:</w:t>
      </w:r>
    </w:p>
    <w:p w14:paraId="7151150F" w14:textId="77777777" w:rsidR="008F7638" w:rsidRDefault="008F7638" w:rsidP="008F7638">
      <w:pPr>
        <w:pStyle w:val="paragraph"/>
      </w:pPr>
      <w:r>
        <w:tab/>
        <w:t>(a)</w:t>
      </w:r>
      <w:r>
        <w:tab/>
      </w:r>
      <w:r w:rsidR="00201404">
        <w:t xml:space="preserve">is to </w:t>
      </w:r>
      <w:r>
        <w:t>have regard to the reasonable capability criterion; and</w:t>
      </w:r>
    </w:p>
    <w:p w14:paraId="4EA1D855" w14:textId="77777777" w:rsidR="008F7638" w:rsidRDefault="008F7638" w:rsidP="008F7638">
      <w:pPr>
        <w:pStyle w:val="paragraph"/>
      </w:pPr>
      <w:r>
        <w:tab/>
        <w:t>(b)</w:t>
      </w:r>
      <w:r>
        <w:tab/>
      </w:r>
      <w:r w:rsidR="00201404">
        <w:t xml:space="preserve">is to </w:t>
      </w:r>
      <w:r>
        <w:t xml:space="preserve">have regard to the following matters to the extent that </w:t>
      </w:r>
      <w:r w:rsidR="00C9684B">
        <w:t>they are relevant to the variation under consideration</w:t>
      </w:r>
      <w:r>
        <w:t>:</w:t>
      </w:r>
    </w:p>
    <w:p w14:paraId="31F526B2" w14:textId="77777777" w:rsidR="008F7638" w:rsidRDefault="008F7638" w:rsidP="008F7638">
      <w:pPr>
        <w:pStyle w:val="paragraphsub"/>
      </w:pPr>
      <w:r>
        <w:tab/>
        <w:t>(</w:t>
      </w:r>
      <w:proofErr w:type="spellStart"/>
      <w:r>
        <w:t>i</w:t>
      </w:r>
      <w:proofErr w:type="spellEnd"/>
      <w:r>
        <w:t>)</w:t>
      </w:r>
      <w:r>
        <w:tab/>
        <w:t>the undesirability</w:t>
      </w:r>
      <w:r w:rsidR="00455A8F">
        <w:t xml:space="preserve"> </w:t>
      </w:r>
      <w:r>
        <w:t xml:space="preserve">of approving a transfer where doing so will, or is reasonably likely to, permit or encourage any form of speculative activity, including trading in capacity allocations for commercial benefit; </w:t>
      </w:r>
    </w:p>
    <w:p w14:paraId="24DA5122" w14:textId="55B37367" w:rsidR="008F7638" w:rsidRDefault="008F7638" w:rsidP="008F7638">
      <w:pPr>
        <w:pStyle w:val="paragraphsub"/>
      </w:pPr>
      <w:r>
        <w:tab/>
        <w:t>(ii)</w:t>
      </w:r>
      <w:r>
        <w:tab/>
        <w:t xml:space="preserve">the undesirability, other than in exceptional cases, </w:t>
      </w:r>
      <w:r w:rsidR="00C9684B">
        <w:t>of approving a</w:t>
      </w:r>
      <w:r w:rsidR="000E0AE3">
        <w:t xml:space="preserve"> transfer application</w:t>
      </w:r>
      <w:r w:rsidR="00C9684B">
        <w:t xml:space="preserve"> </w:t>
      </w:r>
      <w:r w:rsidR="000E0AE3">
        <w:t xml:space="preserve">made by </w:t>
      </w:r>
      <w:r w:rsidR="00C9684B">
        <w:t>a carrier that has never exercised an allocation, or has only exercised an allocation for a</w:t>
      </w:r>
      <w:r w:rsidR="00455A8F">
        <w:t xml:space="preserve"> period of less than six months; and</w:t>
      </w:r>
    </w:p>
    <w:p w14:paraId="6667505A" w14:textId="77777777" w:rsidR="00456E44" w:rsidRDefault="00456E44" w:rsidP="00456E44">
      <w:pPr>
        <w:pStyle w:val="paragraph"/>
      </w:pPr>
      <w:r>
        <w:tab/>
      </w:r>
      <w:r w:rsidR="008F7638">
        <w:t>(c</w:t>
      </w:r>
      <w:r>
        <w:t>)</w:t>
      </w:r>
      <w:r>
        <w:tab/>
      </w:r>
      <w:r w:rsidR="00201404">
        <w:t>may have regard to any of the additional criteria that it considers to be relevant.</w:t>
      </w:r>
    </w:p>
    <w:p w14:paraId="24828615" w14:textId="77777777" w:rsidR="004A0FA8" w:rsidRDefault="004A0FA8">
      <w:pPr>
        <w:spacing w:line="240" w:lineRule="auto"/>
        <w:rPr>
          <w:rFonts w:eastAsia="Times New Roman" w:cs="Times New Roman"/>
          <w:b/>
          <w:kern w:val="28"/>
          <w:sz w:val="32"/>
          <w:lang w:eastAsia="en-AU"/>
        </w:rPr>
      </w:pPr>
      <w:r>
        <w:br w:type="page"/>
      </w:r>
    </w:p>
    <w:p w14:paraId="3E5E90FF" w14:textId="77777777" w:rsidR="006322B6" w:rsidRDefault="006322B6" w:rsidP="006322B6">
      <w:pPr>
        <w:pStyle w:val="ActHead2"/>
      </w:pPr>
      <w:bookmarkStart w:id="28" w:name="_Toc507400064"/>
      <w:r>
        <w:lastRenderedPageBreak/>
        <w:t>Par</w:t>
      </w:r>
      <w:r w:rsidR="005455AC">
        <w:t xml:space="preserve">t </w:t>
      </w:r>
      <w:r w:rsidR="004D5BB2">
        <w:t>4</w:t>
      </w:r>
      <w:r w:rsidR="005455AC" w:rsidRPr="005455AC">
        <w:t>—</w:t>
      </w:r>
      <w:r w:rsidR="007A3525">
        <w:t>Duration and types of determinations</w:t>
      </w:r>
      <w:bookmarkEnd w:id="28"/>
    </w:p>
    <w:p w14:paraId="4CED5769" w14:textId="77777777" w:rsidR="00557BC9" w:rsidRDefault="00064591" w:rsidP="00557BC9">
      <w:pPr>
        <w:pStyle w:val="ActHead5"/>
      </w:pPr>
      <w:bookmarkStart w:id="29" w:name="_Toc507400065"/>
      <w:proofErr w:type="gramStart"/>
      <w:r>
        <w:t>19</w:t>
      </w:r>
      <w:r w:rsidR="00557BC9">
        <w:t xml:space="preserve">  </w:t>
      </w:r>
      <w:r w:rsidR="00292B50">
        <w:t>Explanatory</w:t>
      </w:r>
      <w:proofErr w:type="gramEnd"/>
      <w:r w:rsidR="00292B50">
        <w:t xml:space="preserve"> outline</w:t>
      </w:r>
      <w:r w:rsidR="00557BC9">
        <w:t xml:space="preserve"> of this part</w:t>
      </w:r>
      <w:bookmarkEnd w:id="29"/>
    </w:p>
    <w:p w14:paraId="483F29A4" w14:textId="77777777" w:rsidR="00557BC9" w:rsidRPr="00557BC9" w:rsidRDefault="00557BC9" w:rsidP="00B5110E">
      <w:pPr>
        <w:pStyle w:val="BoxText"/>
      </w:pPr>
      <w:r>
        <w:t>This Part sets out how the Commission is to fix the periods during which determinations are to be in force, and in what circumstances the Commission should make interim determinations.</w:t>
      </w:r>
    </w:p>
    <w:p w14:paraId="3A2D51E5" w14:textId="77777777" w:rsidR="006322B6" w:rsidRDefault="00064591" w:rsidP="006322B6">
      <w:pPr>
        <w:pStyle w:val="ActHead5"/>
      </w:pPr>
      <w:bookmarkStart w:id="30" w:name="_Toc507400066"/>
      <w:proofErr w:type="gramStart"/>
      <w:r>
        <w:t>20</w:t>
      </w:r>
      <w:r w:rsidR="006322B6">
        <w:t xml:space="preserve">  Fixing</w:t>
      </w:r>
      <w:proofErr w:type="gramEnd"/>
      <w:r w:rsidR="006322B6">
        <w:t xml:space="preserve"> periods during which determinations to be in force</w:t>
      </w:r>
      <w:bookmarkEnd w:id="30"/>
    </w:p>
    <w:p w14:paraId="77AB8572" w14:textId="77777777" w:rsidR="00817A27" w:rsidRDefault="006322B6" w:rsidP="006C052C">
      <w:pPr>
        <w:pStyle w:val="subsection"/>
      </w:pPr>
      <w:r>
        <w:tab/>
        <w:t>(1)</w:t>
      </w:r>
      <w:r>
        <w:tab/>
      </w:r>
      <w:r w:rsidR="006C052C">
        <w:t xml:space="preserve">This section </w:t>
      </w:r>
      <w:r w:rsidR="004435FA">
        <w:t xml:space="preserve">sets out how </w:t>
      </w:r>
      <w:r w:rsidR="00817A27">
        <w:t xml:space="preserve">the Commission </w:t>
      </w:r>
      <w:r w:rsidR="00211CC8">
        <w:t xml:space="preserve">is </w:t>
      </w:r>
      <w:r w:rsidR="004435FA">
        <w:t xml:space="preserve">to fix the </w:t>
      </w:r>
      <w:r w:rsidR="00817A27">
        <w:t xml:space="preserve">period during which a determination is to </w:t>
      </w:r>
      <w:r w:rsidR="004B5097">
        <w:t>be in force.</w:t>
      </w:r>
    </w:p>
    <w:p w14:paraId="0A2B5CA8" w14:textId="77777777" w:rsidR="006C052C" w:rsidRDefault="006C052C" w:rsidP="006C052C">
      <w:pPr>
        <w:pStyle w:val="subsection"/>
      </w:pPr>
      <w:r>
        <w:tab/>
        <w:t>(2)</w:t>
      </w:r>
      <w:r>
        <w:tab/>
        <w:t xml:space="preserve">If </w:t>
      </w:r>
      <w:r w:rsidR="004435FA">
        <w:t xml:space="preserve">a </w:t>
      </w:r>
      <w:r>
        <w:t xml:space="preserve">determination </w:t>
      </w:r>
      <w:r w:rsidR="00BB415F">
        <w:t>would allocate capacity on</w:t>
      </w:r>
      <w:r w:rsidR="00190A3F">
        <w:t xml:space="preserve"> a route</w:t>
      </w:r>
      <w:r>
        <w:t xml:space="preserve"> where capacity is not limited under</w:t>
      </w:r>
      <w:r w:rsidR="00927FEF">
        <w:t xml:space="preserve"> the relevant</w:t>
      </w:r>
      <w:r>
        <w:t xml:space="preserve"> bilateral arrangement, the period during which the determination is to be in force should be fixed at 99 years.</w:t>
      </w:r>
    </w:p>
    <w:p w14:paraId="3C8E3E6C" w14:textId="77777777" w:rsidR="009052F2" w:rsidRDefault="006C052C" w:rsidP="009052F2">
      <w:pPr>
        <w:pStyle w:val="subsection"/>
      </w:pPr>
      <w:r>
        <w:tab/>
        <w:t>(3)</w:t>
      </w:r>
      <w:r>
        <w:tab/>
      </w:r>
      <w:r w:rsidR="009052F2">
        <w:t xml:space="preserve">If </w:t>
      </w:r>
      <w:r w:rsidR="004435FA">
        <w:t xml:space="preserve">a </w:t>
      </w:r>
      <w:r w:rsidR="009052F2">
        <w:t>determination relates to an application in which a carrier has requested that the period during which the determination is to be in force be fixed at:</w:t>
      </w:r>
    </w:p>
    <w:p w14:paraId="37FD8136" w14:textId="77777777" w:rsidR="009052F2" w:rsidRDefault="009052F2" w:rsidP="009052F2">
      <w:pPr>
        <w:pStyle w:val="paragraph"/>
      </w:pPr>
      <w:r>
        <w:tab/>
        <w:t>(a)</w:t>
      </w:r>
      <w:r>
        <w:tab/>
      </w:r>
      <w:r w:rsidR="00E0407C">
        <w:t xml:space="preserve">if </w:t>
      </w:r>
      <w:r>
        <w:t>the determinati</w:t>
      </w:r>
      <w:r w:rsidR="00D6602F">
        <w:t>on is an interim determination</w:t>
      </w:r>
      <w:r w:rsidR="004435FA">
        <w:softHyphen/>
        <w:t>—</w:t>
      </w:r>
      <w:r>
        <w:t>less than 3 years; or</w:t>
      </w:r>
    </w:p>
    <w:p w14:paraId="1352D581" w14:textId="77777777" w:rsidR="009052F2" w:rsidRDefault="009052F2" w:rsidP="009052F2">
      <w:pPr>
        <w:pStyle w:val="paragraph"/>
      </w:pPr>
      <w:r>
        <w:tab/>
        <w:t>(b)</w:t>
      </w:r>
      <w:r>
        <w:tab/>
      </w:r>
      <w:r w:rsidR="00E0407C">
        <w:t xml:space="preserve">if </w:t>
      </w:r>
      <w:r>
        <w:t>the determination i</w:t>
      </w:r>
      <w:r w:rsidR="00D6602F">
        <w:t>s not an interim determination</w:t>
      </w:r>
      <w:r w:rsidR="004435FA">
        <w:t>—</w:t>
      </w:r>
      <w:r>
        <w:t>less than 5 years</w:t>
      </w:r>
      <w:r w:rsidR="00F77B8F">
        <w:t>;</w:t>
      </w:r>
      <w:r>
        <w:t xml:space="preserve"> </w:t>
      </w:r>
    </w:p>
    <w:p w14:paraId="6BD56404" w14:textId="77777777" w:rsidR="00F77B8F" w:rsidRDefault="00F77B8F" w:rsidP="00AB1722">
      <w:pPr>
        <w:pStyle w:val="subsection2"/>
      </w:pPr>
      <w:r>
        <w:t>the period during which the determination is to be in force should be fixed at the period requested in the</w:t>
      </w:r>
      <w:r w:rsidR="00BB415F">
        <w:t xml:space="preserve"> carrier’s</w:t>
      </w:r>
      <w:r>
        <w:t xml:space="preserve"> application.</w:t>
      </w:r>
    </w:p>
    <w:p w14:paraId="746AE975" w14:textId="77777777" w:rsidR="00824FD1" w:rsidRDefault="00824FD1" w:rsidP="00824FD1">
      <w:pPr>
        <w:pStyle w:val="subsection"/>
      </w:pPr>
      <w:r>
        <w:tab/>
        <w:t>(4)</w:t>
      </w:r>
      <w:r>
        <w:tab/>
        <w:t xml:space="preserve">In </w:t>
      </w:r>
      <w:r w:rsidR="00C5767A">
        <w:t xml:space="preserve">all </w:t>
      </w:r>
      <w:r>
        <w:t>other case</w:t>
      </w:r>
      <w:r w:rsidR="00C5767A">
        <w:t>s</w:t>
      </w:r>
      <w:r>
        <w:t>, the period during which a determination is to be in force should be fixed at:</w:t>
      </w:r>
    </w:p>
    <w:p w14:paraId="448B1F05" w14:textId="77777777" w:rsidR="00824FD1" w:rsidRDefault="00824FD1" w:rsidP="00824FD1">
      <w:pPr>
        <w:pStyle w:val="paragraph"/>
      </w:pPr>
      <w:r>
        <w:tab/>
        <w:t>(a)</w:t>
      </w:r>
      <w:r>
        <w:tab/>
        <w:t>if the determination is an interim determination—3 years; or</w:t>
      </w:r>
    </w:p>
    <w:p w14:paraId="2831E3DA" w14:textId="77777777" w:rsidR="00824FD1" w:rsidRPr="00824FD1" w:rsidRDefault="00824FD1" w:rsidP="00824FD1">
      <w:pPr>
        <w:pStyle w:val="paragraph"/>
      </w:pPr>
      <w:r>
        <w:tab/>
        <w:t>(b)</w:t>
      </w:r>
      <w:r>
        <w:tab/>
        <w:t>if the determination is not an interim determination—5 years.</w:t>
      </w:r>
    </w:p>
    <w:p w14:paraId="1CFEDE4A" w14:textId="77777777" w:rsidR="00F77B8F" w:rsidRDefault="00064591" w:rsidP="00F77B8F">
      <w:pPr>
        <w:pStyle w:val="ActHead5"/>
      </w:pPr>
      <w:bookmarkStart w:id="31" w:name="_Toc507400067"/>
      <w:proofErr w:type="gramStart"/>
      <w:r>
        <w:t>21</w:t>
      </w:r>
      <w:r w:rsidR="00F77B8F">
        <w:t xml:space="preserve">  Interim</w:t>
      </w:r>
      <w:proofErr w:type="gramEnd"/>
      <w:r w:rsidR="00F77B8F">
        <w:t xml:space="preserve"> determinations to be made only in exceptional circumstances</w:t>
      </w:r>
      <w:bookmarkEnd w:id="31"/>
    </w:p>
    <w:p w14:paraId="78A28A48" w14:textId="77777777" w:rsidR="00F77B8F" w:rsidRDefault="000B1A91" w:rsidP="00824FD1">
      <w:pPr>
        <w:pStyle w:val="subsection"/>
      </w:pPr>
      <w:r>
        <w:tab/>
      </w:r>
      <w:r>
        <w:tab/>
      </w:r>
      <w:r w:rsidR="00F77B8F">
        <w:t xml:space="preserve">The </w:t>
      </w:r>
      <w:r w:rsidR="00F77B8F" w:rsidRPr="000B1A91">
        <w:t>Commission</w:t>
      </w:r>
      <w:r w:rsidR="00F77B8F">
        <w:t xml:space="preserve"> should make interim determinations only in exceptional circumstances.</w:t>
      </w:r>
    </w:p>
    <w:p w14:paraId="0E9FDE5A" w14:textId="77777777" w:rsidR="004A0FA8" w:rsidRDefault="004A0FA8">
      <w:pPr>
        <w:spacing w:line="240" w:lineRule="auto"/>
        <w:rPr>
          <w:rFonts w:eastAsia="Times New Roman" w:cs="Times New Roman"/>
          <w:b/>
          <w:kern w:val="28"/>
          <w:sz w:val="32"/>
          <w:lang w:eastAsia="en-AU"/>
        </w:rPr>
      </w:pPr>
      <w:r>
        <w:br w:type="page"/>
      </w:r>
    </w:p>
    <w:p w14:paraId="2621CF48" w14:textId="77777777" w:rsidR="00435104" w:rsidRDefault="00435104" w:rsidP="00435104">
      <w:pPr>
        <w:pStyle w:val="ActHead2"/>
      </w:pPr>
      <w:bookmarkStart w:id="32" w:name="_Toc507400068"/>
      <w:r>
        <w:lastRenderedPageBreak/>
        <w:t xml:space="preserve">Part </w:t>
      </w:r>
      <w:r w:rsidR="004D5BB2">
        <w:t>5</w:t>
      </w:r>
      <w:r w:rsidR="003E7FD4" w:rsidRPr="003E7FD4">
        <w:t>—</w:t>
      </w:r>
      <w:r>
        <w:t>Inclusion, variation and revocation of conditions in determinations</w:t>
      </w:r>
      <w:bookmarkEnd w:id="32"/>
    </w:p>
    <w:p w14:paraId="7A19B38D" w14:textId="77777777" w:rsidR="000C0FC7" w:rsidRDefault="00064591" w:rsidP="000C0FC7">
      <w:pPr>
        <w:pStyle w:val="ActHead5"/>
      </w:pPr>
      <w:bookmarkStart w:id="33" w:name="_Toc507400069"/>
      <w:proofErr w:type="gramStart"/>
      <w:r>
        <w:t>22</w:t>
      </w:r>
      <w:r w:rsidR="000C0FC7">
        <w:t xml:space="preserve">  </w:t>
      </w:r>
      <w:r w:rsidR="00292B50">
        <w:t>Explanatory</w:t>
      </w:r>
      <w:proofErr w:type="gramEnd"/>
      <w:r w:rsidR="00292B50">
        <w:t xml:space="preserve"> outline</w:t>
      </w:r>
      <w:r w:rsidR="000C0FC7">
        <w:t xml:space="preserve"> of this part</w:t>
      </w:r>
      <w:bookmarkEnd w:id="33"/>
    </w:p>
    <w:p w14:paraId="470A237B" w14:textId="77777777" w:rsidR="000C0FC7" w:rsidRDefault="000C0FC7" w:rsidP="000C0FC7">
      <w:pPr>
        <w:pStyle w:val="BoxText"/>
      </w:pPr>
      <w:r>
        <w:t>This Part sets out matters relating to the inclusion of conditions in determinations, and the variation or revocation of such conditions.</w:t>
      </w:r>
    </w:p>
    <w:p w14:paraId="6AFFF7E1" w14:textId="77777777" w:rsidR="000C0FC7" w:rsidRDefault="00C5290E" w:rsidP="000C0FC7">
      <w:pPr>
        <w:pStyle w:val="BoxText"/>
      </w:pPr>
      <w:r>
        <w:t xml:space="preserve">Section </w:t>
      </w:r>
      <w:r w:rsidR="00145283">
        <w:t>23</w:t>
      </w:r>
      <w:r>
        <w:t xml:space="preserve"> deals with </w:t>
      </w:r>
      <w:r w:rsidR="00E75DC2">
        <w:t xml:space="preserve">additional </w:t>
      </w:r>
      <w:r>
        <w:t>conditions the Commission should include in a determination if it intends to include a condition that allows joint international air services.</w:t>
      </w:r>
    </w:p>
    <w:p w14:paraId="78D5568A" w14:textId="77777777" w:rsidR="00C5290E" w:rsidRPr="00557BC9" w:rsidRDefault="00C5290E" w:rsidP="000C0FC7">
      <w:pPr>
        <w:pStyle w:val="BoxText"/>
      </w:pPr>
      <w:r>
        <w:t>Section 2</w:t>
      </w:r>
      <w:r w:rsidR="00145283">
        <w:t>4</w:t>
      </w:r>
      <w:r>
        <w:t xml:space="preserve"> deals with how the Commission </w:t>
      </w:r>
      <w:r w:rsidR="001A327A">
        <w:t>should</w:t>
      </w:r>
      <w:r>
        <w:t xml:space="preserve"> impose conditions relating to the full use of capacity, and how the Commission </w:t>
      </w:r>
      <w:r w:rsidR="001A327A">
        <w:t>should</w:t>
      </w:r>
      <w:r>
        <w:t xml:space="preserve"> proceed if it has undertaken a review of a determination on the grounds that an Australian carrier has not complied with such a condition.</w:t>
      </w:r>
    </w:p>
    <w:p w14:paraId="2B65EA3D" w14:textId="77777777" w:rsidR="00435104" w:rsidRDefault="00064591" w:rsidP="00435104">
      <w:pPr>
        <w:pStyle w:val="ActHead5"/>
      </w:pPr>
      <w:bookmarkStart w:id="34" w:name="_Toc507400070"/>
      <w:proofErr w:type="gramStart"/>
      <w:r>
        <w:t>23</w:t>
      </w:r>
      <w:r w:rsidR="00435104">
        <w:t xml:space="preserve">  Conditions</w:t>
      </w:r>
      <w:proofErr w:type="gramEnd"/>
      <w:r w:rsidR="00435104">
        <w:t xml:space="preserve"> relating to joint </w:t>
      </w:r>
      <w:r w:rsidR="007703A3">
        <w:t xml:space="preserve">international </w:t>
      </w:r>
      <w:r w:rsidR="00435104">
        <w:t>air services</w:t>
      </w:r>
      <w:bookmarkEnd w:id="34"/>
    </w:p>
    <w:p w14:paraId="7FD7F49B" w14:textId="77777777" w:rsidR="00435104" w:rsidRPr="004435FA" w:rsidRDefault="00920CF1" w:rsidP="00824FD1">
      <w:pPr>
        <w:pStyle w:val="subsection"/>
      </w:pPr>
      <w:r>
        <w:tab/>
      </w:r>
      <w:r>
        <w:tab/>
      </w:r>
      <w:r w:rsidR="00435104" w:rsidRPr="00920CF1">
        <w:t xml:space="preserve">If the Commission intends to include a condition in a determination that allows joint international </w:t>
      </w:r>
      <w:r w:rsidR="004B5097">
        <w:t>air services pursuant to paragraph</w:t>
      </w:r>
      <w:r w:rsidR="00435104" w:rsidRPr="004435FA">
        <w:t xml:space="preserve"> 15(2)(</w:t>
      </w:r>
      <w:r w:rsidR="00C06E25">
        <w:t>e</w:t>
      </w:r>
      <w:r w:rsidR="00435104" w:rsidRPr="004435FA">
        <w:t>) of the Act, the Commission should also include a condition requiring the Australian carrier to take reasonable steps to ensure that passengers are informed at the time of booking that one or more other carriers may operate the flight.</w:t>
      </w:r>
    </w:p>
    <w:p w14:paraId="1ACFE555" w14:textId="77777777" w:rsidR="00435104" w:rsidRDefault="00064591" w:rsidP="0059104D">
      <w:pPr>
        <w:pStyle w:val="ActHead5"/>
      </w:pPr>
      <w:bookmarkStart w:id="35" w:name="_Toc507400071"/>
      <w:proofErr w:type="gramStart"/>
      <w:r>
        <w:t>24</w:t>
      </w:r>
      <w:r w:rsidR="0059104D">
        <w:t xml:space="preserve">  Conditions</w:t>
      </w:r>
      <w:proofErr w:type="gramEnd"/>
      <w:r w:rsidR="0059104D">
        <w:t xml:space="preserve"> relating to the full use of capacity</w:t>
      </w:r>
      <w:bookmarkEnd w:id="35"/>
    </w:p>
    <w:p w14:paraId="349DADA5" w14:textId="77777777" w:rsidR="0059104D" w:rsidRDefault="0059104D" w:rsidP="0059104D">
      <w:pPr>
        <w:pStyle w:val="subsection"/>
      </w:pPr>
      <w:r>
        <w:tab/>
        <w:t>(1)</w:t>
      </w:r>
      <w:r>
        <w:tab/>
        <w:t xml:space="preserve">For the purpose of specifying a period during which capacity need not be fully used pursuant to </w:t>
      </w:r>
      <w:r w:rsidR="004B5097">
        <w:t>subparagraph</w:t>
      </w:r>
      <w:r>
        <w:t xml:space="preserve"> 15(2)(c)(</w:t>
      </w:r>
      <w:proofErr w:type="spellStart"/>
      <w:r>
        <w:t>i</w:t>
      </w:r>
      <w:proofErr w:type="spellEnd"/>
      <w:r>
        <w:t>) of the Act, the Commission:</w:t>
      </w:r>
    </w:p>
    <w:p w14:paraId="201B5C86" w14:textId="77777777" w:rsidR="0059104D" w:rsidRDefault="0059104D" w:rsidP="0059104D">
      <w:pPr>
        <w:pStyle w:val="paragraph"/>
      </w:pPr>
      <w:r>
        <w:tab/>
        <w:t>(a)</w:t>
      </w:r>
      <w:r>
        <w:tab/>
        <w:t xml:space="preserve">should specify as short a period as is reasonably possible, having regard to the full range of things necessary to be done by the </w:t>
      </w:r>
      <w:r w:rsidR="009413AC">
        <w:t xml:space="preserve">Australian </w:t>
      </w:r>
      <w:r>
        <w:t>carrier in order to commence operating under the determination; and</w:t>
      </w:r>
    </w:p>
    <w:p w14:paraId="54B94264" w14:textId="77777777" w:rsidR="0059104D" w:rsidRDefault="0059104D" w:rsidP="0059104D">
      <w:pPr>
        <w:pStyle w:val="paragraph"/>
      </w:pPr>
      <w:r>
        <w:tab/>
        <w:t>(b)</w:t>
      </w:r>
      <w:r>
        <w:tab/>
        <w:t>should not specify a period of more than two years other than in exceptional circumstances.</w:t>
      </w:r>
    </w:p>
    <w:p w14:paraId="6234DBA1" w14:textId="77777777" w:rsidR="0059104D" w:rsidRDefault="0059104D" w:rsidP="0059104D">
      <w:pPr>
        <w:pStyle w:val="subsection"/>
      </w:pPr>
      <w:r>
        <w:tab/>
        <w:t>(2)</w:t>
      </w:r>
      <w:r>
        <w:tab/>
        <w:t>Where the Commission has commenced a review process under sections 10 and 23 of the Act because a</w:t>
      </w:r>
      <w:r w:rsidR="009413AC">
        <w:t>n Australian</w:t>
      </w:r>
      <w:r>
        <w:t xml:space="preserve"> carrier has not complied with a condition that capacity be fully used, the Commission may have regard to the criteria set out in subsection (3) for the </w:t>
      </w:r>
      <w:r w:rsidR="00E0407C">
        <w:t xml:space="preserve">following </w:t>
      </w:r>
      <w:r>
        <w:t>purpose</w:t>
      </w:r>
      <w:r w:rsidR="00E0407C">
        <w:t>s</w:t>
      </w:r>
      <w:r>
        <w:t>:</w:t>
      </w:r>
    </w:p>
    <w:p w14:paraId="20DA9F82" w14:textId="77777777" w:rsidR="0059104D" w:rsidRDefault="0059104D" w:rsidP="0059104D">
      <w:pPr>
        <w:pStyle w:val="paragraph"/>
      </w:pPr>
      <w:r>
        <w:tab/>
        <w:t>(a)</w:t>
      </w:r>
      <w:r>
        <w:tab/>
        <w:t xml:space="preserve">deciding whether to confirm, vary, suspend or revoke the determination under </w:t>
      </w:r>
      <w:r w:rsidR="004B5097">
        <w:t>sub</w:t>
      </w:r>
      <w:r>
        <w:t xml:space="preserve">section 23(1) of the Act; </w:t>
      </w:r>
    </w:p>
    <w:p w14:paraId="7E2606E7" w14:textId="77777777" w:rsidR="0059104D" w:rsidRDefault="0059104D" w:rsidP="0059104D">
      <w:pPr>
        <w:pStyle w:val="paragraph"/>
      </w:pPr>
      <w:r>
        <w:tab/>
        <w:t>(b)</w:t>
      </w:r>
      <w:r>
        <w:tab/>
      </w:r>
      <w:r w:rsidR="00E0407C">
        <w:t>a</w:t>
      </w:r>
      <w:r>
        <w:t xml:space="preserve">ssessing whether the allocation, as varied, is of benefit to the public under </w:t>
      </w:r>
      <w:r w:rsidR="004B5097">
        <w:t>sub</w:t>
      </w:r>
      <w:r>
        <w:t>section 23(3) of the Act</w:t>
      </w:r>
      <w:r w:rsidR="006654B8">
        <w:t>, in accordance with subsection 16(2) of this instrument</w:t>
      </w:r>
      <w:r>
        <w:t>.</w:t>
      </w:r>
    </w:p>
    <w:p w14:paraId="13E3D377" w14:textId="77777777" w:rsidR="0059104D" w:rsidRDefault="0059104D" w:rsidP="0059104D">
      <w:pPr>
        <w:pStyle w:val="subsection"/>
      </w:pPr>
      <w:r>
        <w:tab/>
        <w:t>(3)</w:t>
      </w:r>
      <w:r>
        <w:tab/>
        <w:t>The criteria which the Commission may have regard to for the purposes specified in subsection (2) are:</w:t>
      </w:r>
    </w:p>
    <w:p w14:paraId="26344656" w14:textId="77777777" w:rsidR="0059104D" w:rsidRDefault="0059104D" w:rsidP="0059104D">
      <w:pPr>
        <w:pStyle w:val="paragraph"/>
      </w:pPr>
      <w:r>
        <w:lastRenderedPageBreak/>
        <w:tab/>
        <w:t>(a)</w:t>
      </w:r>
      <w:r>
        <w:tab/>
        <w:t xml:space="preserve">whether, at the time of the review, there exists an application from another Australian carrier for an allocation of capacity on the route, and the unused portion of the </w:t>
      </w:r>
      <w:r w:rsidR="00897139">
        <w:t xml:space="preserve">capacity allocated under the </w:t>
      </w:r>
      <w:r>
        <w:t>reviewed determination prevents the making of a determination in favour of the competing applicant; and</w:t>
      </w:r>
    </w:p>
    <w:p w14:paraId="3E7B1D5F" w14:textId="77777777" w:rsidR="0059104D" w:rsidRDefault="0059104D" w:rsidP="0059104D">
      <w:pPr>
        <w:pStyle w:val="paragraph"/>
      </w:pPr>
      <w:r>
        <w:tab/>
        <w:t>(b)</w:t>
      </w:r>
      <w:r>
        <w:tab/>
        <w:t>whether there is seasonal variation in demand on the route in question; and</w:t>
      </w:r>
    </w:p>
    <w:p w14:paraId="14228DF8" w14:textId="77777777" w:rsidR="00D978A7" w:rsidRDefault="0059104D" w:rsidP="0059104D">
      <w:pPr>
        <w:pStyle w:val="paragraph"/>
      </w:pPr>
      <w:r>
        <w:tab/>
        <w:t>(c)</w:t>
      </w:r>
      <w:r>
        <w:tab/>
      </w:r>
      <w:r w:rsidR="00D978A7">
        <w:t>whether the carrier was prevented from fully using the capacity by circumstances that could not reasonably have been foreseen; and</w:t>
      </w:r>
    </w:p>
    <w:p w14:paraId="0CAD2F60" w14:textId="77777777" w:rsidR="0059104D" w:rsidRDefault="00D978A7" w:rsidP="0059104D">
      <w:pPr>
        <w:pStyle w:val="paragraph"/>
      </w:pPr>
      <w:r>
        <w:tab/>
        <w:t>(d)</w:t>
      </w:r>
      <w:r>
        <w:tab/>
        <w:t>any other matter that the Commission considers to be relevant.</w:t>
      </w:r>
      <w:r w:rsidR="0059104D">
        <w:t xml:space="preserve"> </w:t>
      </w:r>
    </w:p>
    <w:p w14:paraId="56BA8EC6" w14:textId="77777777" w:rsidR="004F3CDD" w:rsidRDefault="004F3CDD">
      <w:pPr>
        <w:spacing w:line="240" w:lineRule="auto"/>
      </w:pPr>
      <w:r>
        <w:br w:type="page"/>
      </w:r>
    </w:p>
    <w:p w14:paraId="5B267628" w14:textId="0850C75D" w:rsidR="004F3CDD" w:rsidRDefault="004F3CDD" w:rsidP="004F3CDD">
      <w:pPr>
        <w:pStyle w:val="ActHead2"/>
      </w:pPr>
      <w:bookmarkStart w:id="36" w:name="_Toc507400072"/>
      <w:r>
        <w:lastRenderedPageBreak/>
        <w:t>Part 6—</w:t>
      </w:r>
      <w:r w:rsidR="002A1F52">
        <w:t xml:space="preserve">Application and </w:t>
      </w:r>
      <w:r>
        <w:t>Transitional provisions</w:t>
      </w:r>
      <w:bookmarkEnd w:id="36"/>
    </w:p>
    <w:p w14:paraId="59192D47" w14:textId="1579F569" w:rsidR="004F3CDD" w:rsidRDefault="004F3CDD" w:rsidP="004F3CDD">
      <w:pPr>
        <w:pStyle w:val="ActHead5"/>
      </w:pPr>
      <w:bookmarkStart w:id="37" w:name="_Toc507400073"/>
      <w:proofErr w:type="gramStart"/>
      <w:r>
        <w:t>25  Explanatory</w:t>
      </w:r>
      <w:proofErr w:type="gramEnd"/>
      <w:r>
        <w:t xml:space="preserve"> outline of this part</w:t>
      </w:r>
      <w:bookmarkEnd w:id="37"/>
    </w:p>
    <w:p w14:paraId="35EAEF36" w14:textId="3619377C" w:rsidR="004F3CDD" w:rsidRDefault="004F3CDD" w:rsidP="004F3CDD">
      <w:pPr>
        <w:pStyle w:val="BoxText"/>
      </w:pPr>
      <w:r>
        <w:t xml:space="preserve">This Part sets out </w:t>
      </w:r>
      <w:r w:rsidR="002A1F52">
        <w:t xml:space="preserve">application and </w:t>
      </w:r>
      <w:r>
        <w:t>transitional provisions.</w:t>
      </w:r>
    </w:p>
    <w:p w14:paraId="22C25835" w14:textId="1B325E78" w:rsidR="004F3CDD" w:rsidRPr="00557BC9" w:rsidRDefault="004F3CDD" w:rsidP="004F3CDD">
      <w:pPr>
        <w:pStyle w:val="BoxText"/>
      </w:pPr>
      <w:r>
        <w:t xml:space="preserve">Section 26 deals with </w:t>
      </w:r>
      <w:r w:rsidR="002A1F52">
        <w:t>the application of this instrument and sets out transitional provisions relating to applications</w:t>
      </w:r>
      <w:r>
        <w:t xml:space="preserve"> received by the Commission prior to the </w:t>
      </w:r>
      <w:r w:rsidR="00C95F5B">
        <w:t>commencement of this instrument</w:t>
      </w:r>
      <w:r>
        <w:t>.</w:t>
      </w:r>
    </w:p>
    <w:p w14:paraId="14BEBF46" w14:textId="24BFF259" w:rsidR="004F3CDD" w:rsidRDefault="006251C0" w:rsidP="004F3CDD">
      <w:pPr>
        <w:pStyle w:val="ActHead5"/>
      </w:pPr>
      <w:bookmarkStart w:id="38" w:name="_Toc507400074"/>
      <w:proofErr w:type="gramStart"/>
      <w:r>
        <w:t>26</w:t>
      </w:r>
      <w:r w:rsidR="004F3CDD">
        <w:t xml:space="preserve">  </w:t>
      </w:r>
      <w:r w:rsidR="002A1F52">
        <w:t>Application</w:t>
      </w:r>
      <w:proofErr w:type="gramEnd"/>
      <w:r w:rsidR="002A1F52">
        <w:t xml:space="preserve"> and t</w:t>
      </w:r>
      <w:r w:rsidR="004F3CDD">
        <w:t>ransitional</w:t>
      </w:r>
      <w:r w:rsidR="002A1F52">
        <w:t xml:space="preserve"> provisions</w:t>
      </w:r>
      <w:bookmarkEnd w:id="38"/>
    </w:p>
    <w:p w14:paraId="3B715BF0" w14:textId="60046D29" w:rsidR="002A1F52" w:rsidRDefault="002A1F52" w:rsidP="002A1F52">
      <w:pPr>
        <w:pStyle w:val="subsection"/>
        <w:rPr>
          <w:sz w:val="20"/>
        </w:rPr>
      </w:pPr>
      <w:r>
        <w:tab/>
        <w:t>(1)</w:t>
      </w:r>
      <w:r>
        <w:tab/>
        <w:t>The Commission is to apply this instrument in deciding:</w:t>
      </w:r>
    </w:p>
    <w:p w14:paraId="06E0EAE5" w14:textId="44B2F0E9" w:rsidR="002A1F52" w:rsidRDefault="002A1F52" w:rsidP="002A1F52">
      <w:pPr>
        <w:pStyle w:val="paragraph"/>
      </w:pPr>
      <w:r>
        <w:tab/>
        <w:t>(a)</w:t>
      </w:r>
      <w:r>
        <w:tab/>
        <w:t>an application for a determination allocating capacity; or</w:t>
      </w:r>
    </w:p>
    <w:p w14:paraId="7DA00B76" w14:textId="4D71D4F6" w:rsidR="002A1F52" w:rsidRDefault="002A1F52" w:rsidP="002A1F52">
      <w:pPr>
        <w:pStyle w:val="paragraph"/>
      </w:pPr>
      <w:r>
        <w:tab/>
        <w:t>(b)</w:t>
      </w:r>
      <w:r>
        <w:tab/>
        <w:t>an application for renewal of a determination; or</w:t>
      </w:r>
    </w:p>
    <w:p w14:paraId="7FE49783" w14:textId="027645E8" w:rsidR="002A1F52" w:rsidRDefault="002A1F52" w:rsidP="002A1F52">
      <w:pPr>
        <w:pStyle w:val="paragraph"/>
      </w:pPr>
      <w:r>
        <w:tab/>
        <w:t>(c)</w:t>
      </w:r>
      <w:r>
        <w:tab/>
        <w:t>an application for variation of a determination;</w:t>
      </w:r>
    </w:p>
    <w:p w14:paraId="7F958149" w14:textId="77777777" w:rsidR="002A1F52" w:rsidRDefault="002A1F52" w:rsidP="002A1F52">
      <w:pPr>
        <w:pStyle w:val="subsection2"/>
      </w:pPr>
      <w:r>
        <w:t>that is received by the Commission on or after the commencement of this instrument.</w:t>
      </w:r>
    </w:p>
    <w:p w14:paraId="3114597E" w14:textId="0E29FDE0" w:rsidR="002A1F52" w:rsidRDefault="002A1F52" w:rsidP="002A1F52">
      <w:pPr>
        <w:pStyle w:val="subsection"/>
      </w:pPr>
      <w:r>
        <w:tab/>
        <w:t>(2)</w:t>
      </w:r>
      <w:r>
        <w:tab/>
        <w:t>Despite the repeal of the International Air Services Policy Statement No.5 by Schedule 1, the Commission is to apply that Policy Statement in deciding</w:t>
      </w:r>
    </w:p>
    <w:p w14:paraId="74BA11A9" w14:textId="6300A6AC" w:rsidR="002A1F52" w:rsidRPr="002A1F52" w:rsidRDefault="002A1F52" w:rsidP="002A1F52">
      <w:pPr>
        <w:pStyle w:val="paragraph"/>
      </w:pPr>
      <w:r>
        <w:tab/>
        <w:t>(a)</w:t>
      </w:r>
      <w:r>
        <w:tab/>
      </w:r>
      <w:r w:rsidRPr="002A1F52">
        <w:t>an application for a determination allocating capacity; or</w:t>
      </w:r>
    </w:p>
    <w:p w14:paraId="214466E6" w14:textId="6CDA0414" w:rsidR="002A1F52" w:rsidRPr="002A1F52" w:rsidRDefault="002A1F52" w:rsidP="002A1F52">
      <w:pPr>
        <w:pStyle w:val="paragraph"/>
      </w:pPr>
      <w:r>
        <w:tab/>
      </w:r>
      <w:r w:rsidRPr="002A1F52">
        <w:t>(b)</w:t>
      </w:r>
      <w:r>
        <w:tab/>
      </w:r>
      <w:r w:rsidRPr="002A1F52">
        <w:t>an application for renewal of a determination; or</w:t>
      </w:r>
    </w:p>
    <w:p w14:paraId="582C4B9D" w14:textId="34518943" w:rsidR="002A1F52" w:rsidRPr="002A1F52" w:rsidRDefault="002A1F52" w:rsidP="002A1F52">
      <w:pPr>
        <w:pStyle w:val="paragraph"/>
      </w:pPr>
      <w:r>
        <w:tab/>
      </w:r>
      <w:r w:rsidRPr="002A1F52">
        <w:t>(c)</w:t>
      </w:r>
      <w:r>
        <w:tab/>
      </w:r>
      <w:r w:rsidRPr="002A1F52">
        <w:t>an application for variation of a determination;</w:t>
      </w:r>
    </w:p>
    <w:p w14:paraId="365D9982" w14:textId="4F27456D" w:rsidR="002A1F52" w:rsidRDefault="002A1F52" w:rsidP="002A1F52">
      <w:pPr>
        <w:pStyle w:val="subsection2"/>
      </w:pPr>
      <w:r>
        <w:t>that is received by the Commission before the commencement of this instrument as if that repeal had not happened.</w:t>
      </w:r>
    </w:p>
    <w:p w14:paraId="7E754EBE" w14:textId="77777777" w:rsidR="004F3CDD" w:rsidRPr="004F3CDD" w:rsidRDefault="004F3CDD" w:rsidP="004F3CDD">
      <w:pPr>
        <w:pStyle w:val="ActHead5"/>
      </w:pPr>
    </w:p>
    <w:p w14:paraId="6AFF25E7" w14:textId="4E2ACDD0" w:rsidR="00554826" w:rsidRDefault="00554826" w:rsidP="00554826">
      <w:pPr>
        <w:spacing w:line="240" w:lineRule="auto"/>
        <w:rPr>
          <w:rFonts w:eastAsia="Times New Roman" w:cs="Times New Roman"/>
          <w:lang w:eastAsia="en-AU"/>
        </w:rPr>
      </w:pPr>
      <w:r>
        <w:br w:type="page"/>
      </w:r>
    </w:p>
    <w:p w14:paraId="595DF951" w14:textId="77777777" w:rsidR="00D6537E" w:rsidRPr="004E1307" w:rsidRDefault="004E1307" w:rsidP="00D6537E">
      <w:pPr>
        <w:pStyle w:val="ActHead6"/>
      </w:pPr>
      <w:bookmarkStart w:id="39" w:name="_Toc507400075"/>
      <w:r>
        <w:lastRenderedPageBreak/>
        <w:t xml:space="preserve">Schedule </w:t>
      </w:r>
      <w:r w:rsidR="00D6537E" w:rsidRPr="004E1307">
        <w:t>1—Repeals</w:t>
      </w:r>
      <w:bookmarkEnd w:id="39"/>
    </w:p>
    <w:p w14:paraId="05326F92" w14:textId="77777777" w:rsidR="00D6537E" w:rsidRPr="00D6537E" w:rsidRDefault="00DF3D46" w:rsidP="00DF3D46">
      <w:pPr>
        <w:pStyle w:val="ActHead9"/>
        <w:ind w:left="0" w:firstLine="0"/>
      </w:pPr>
      <w:bookmarkStart w:id="40" w:name="_Toc507400076"/>
      <w:r>
        <w:t>International Air Services Policy Statement No.5</w:t>
      </w:r>
      <w:bookmarkEnd w:id="40"/>
    </w:p>
    <w:p w14:paraId="7AEEF107"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3BA19434" w14:textId="77777777" w:rsidR="004E1307" w:rsidRDefault="00D6537E" w:rsidP="00D6537E">
      <w:pPr>
        <w:pStyle w:val="Item"/>
      </w:pPr>
      <w:r>
        <w:t>Repeal the instrument</w:t>
      </w:r>
    </w:p>
    <w:p w14:paraId="40BF4FB4" w14:textId="77777777" w:rsidR="00A75FE9" w:rsidRDefault="00A75FE9" w:rsidP="003C495A">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A1A8" w14:textId="77777777" w:rsidR="000D3888" w:rsidRDefault="000D3888" w:rsidP="00715914">
      <w:pPr>
        <w:spacing w:line="240" w:lineRule="auto"/>
      </w:pPr>
      <w:r>
        <w:separator/>
      </w:r>
    </w:p>
  </w:endnote>
  <w:endnote w:type="continuationSeparator" w:id="0">
    <w:p w14:paraId="17CE5E7E" w14:textId="77777777" w:rsidR="000D3888" w:rsidRDefault="000D388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2A25" w14:textId="77777777" w:rsidR="00CD003B" w:rsidRPr="00E33C1C" w:rsidRDefault="00CD003B"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D003B" w14:paraId="2A39C185" w14:textId="77777777" w:rsidTr="00B33709">
      <w:tc>
        <w:tcPr>
          <w:tcW w:w="709" w:type="dxa"/>
          <w:tcBorders>
            <w:top w:val="nil"/>
            <w:left w:val="nil"/>
            <w:bottom w:val="nil"/>
            <w:right w:val="nil"/>
          </w:tcBorders>
        </w:tcPr>
        <w:p w14:paraId="452F845D" w14:textId="77777777" w:rsidR="00CD003B" w:rsidRDefault="00CD003B"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4AF5C318" w14:textId="77777777" w:rsidR="00CD003B" w:rsidRPr="004E1307" w:rsidRDefault="00CD003B"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International Air Services Commission Policy Statement 2017</w:t>
          </w:r>
          <w:r w:rsidRPr="004E1307">
            <w:rPr>
              <w:i/>
              <w:sz w:val="18"/>
            </w:rPr>
            <w:fldChar w:fldCharType="end"/>
          </w:r>
        </w:p>
      </w:tc>
      <w:tc>
        <w:tcPr>
          <w:tcW w:w="1383" w:type="dxa"/>
          <w:tcBorders>
            <w:top w:val="nil"/>
            <w:left w:val="nil"/>
            <w:bottom w:val="nil"/>
            <w:right w:val="nil"/>
          </w:tcBorders>
        </w:tcPr>
        <w:p w14:paraId="514A4B5B" w14:textId="77777777" w:rsidR="00CD003B" w:rsidRDefault="00CD003B" w:rsidP="00A369E3">
          <w:pPr>
            <w:spacing w:line="0" w:lineRule="atLeast"/>
            <w:jc w:val="right"/>
            <w:rPr>
              <w:sz w:val="18"/>
            </w:rPr>
          </w:pPr>
        </w:p>
      </w:tc>
    </w:tr>
    <w:tr w:rsidR="00CD003B" w14:paraId="1A1CE84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C1CE88" w14:textId="77777777" w:rsidR="00CD003B" w:rsidRDefault="00CD003B" w:rsidP="00A369E3">
          <w:pPr>
            <w:jc w:val="right"/>
            <w:rPr>
              <w:sz w:val="18"/>
            </w:rPr>
          </w:pPr>
        </w:p>
      </w:tc>
    </w:tr>
  </w:tbl>
  <w:p w14:paraId="6207164C" w14:textId="77777777" w:rsidR="00CD003B" w:rsidRPr="00ED79B6" w:rsidRDefault="00CD003B"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AEB" w14:textId="77777777" w:rsidR="00CD003B" w:rsidRPr="00E33C1C" w:rsidRDefault="00CD003B"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003B" w14:paraId="4AA68BA3" w14:textId="77777777" w:rsidTr="00A369E3">
      <w:tc>
        <w:tcPr>
          <w:tcW w:w="1384" w:type="dxa"/>
          <w:tcBorders>
            <w:top w:val="nil"/>
            <w:left w:val="nil"/>
            <w:bottom w:val="nil"/>
            <w:right w:val="nil"/>
          </w:tcBorders>
        </w:tcPr>
        <w:p w14:paraId="29B38D4B" w14:textId="77777777" w:rsidR="00CD003B" w:rsidRDefault="00CD003B" w:rsidP="00A369E3">
          <w:pPr>
            <w:spacing w:line="0" w:lineRule="atLeast"/>
            <w:rPr>
              <w:sz w:val="18"/>
            </w:rPr>
          </w:pPr>
        </w:p>
      </w:tc>
      <w:tc>
        <w:tcPr>
          <w:tcW w:w="6379" w:type="dxa"/>
          <w:tcBorders>
            <w:top w:val="nil"/>
            <w:left w:val="nil"/>
            <w:bottom w:val="nil"/>
            <w:right w:val="nil"/>
          </w:tcBorders>
        </w:tcPr>
        <w:p w14:paraId="68403A81" w14:textId="77777777" w:rsidR="00CD003B" w:rsidRDefault="00CD003B"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International Air Services Commission Policy Statement 2017</w:t>
          </w:r>
          <w:r w:rsidRPr="004E1307">
            <w:rPr>
              <w:i/>
              <w:sz w:val="18"/>
            </w:rPr>
            <w:fldChar w:fldCharType="end"/>
          </w:r>
        </w:p>
      </w:tc>
      <w:tc>
        <w:tcPr>
          <w:tcW w:w="709" w:type="dxa"/>
          <w:tcBorders>
            <w:top w:val="nil"/>
            <w:left w:val="nil"/>
            <w:bottom w:val="nil"/>
            <w:right w:val="nil"/>
          </w:tcBorders>
        </w:tcPr>
        <w:p w14:paraId="031152EA" w14:textId="77777777" w:rsidR="00CD003B" w:rsidRDefault="00CD003B"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r>
    <w:tr w:rsidR="00CD003B" w14:paraId="45DC576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47C1A2" w14:textId="77777777" w:rsidR="00CD003B" w:rsidRDefault="00CD003B" w:rsidP="00A369E3">
          <w:pPr>
            <w:rPr>
              <w:sz w:val="18"/>
            </w:rPr>
          </w:pPr>
        </w:p>
      </w:tc>
    </w:tr>
  </w:tbl>
  <w:p w14:paraId="311174C4" w14:textId="77777777" w:rsidR="00CD003B" w:rsidRPr="00ED79B6" w:rsidRDefault="00CD003B"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0163" w14:textId="77777777" w:rsidR="00CD003B" w:rsidRPr="00E33C1C" w:rsidRDefault="00CD003B"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D003B" w14:paraId="45B50CDC" w14:textId="77777777" w:rsidTr="00B33709">
      <w:tc>
        <w:tcPr>
          <w:tcW w:w="1384" w:type="dxa"/>
          <w:tcBorders>
            <w:top w:val="nil"/>
            <w:left w:val="nil"/>
            <w:bottom w:val="nil"/>
            <w:right w:val="nil"/>
          </w:tcBorders>
        </w:tcPr>
        <w:p w14:paraId="54AE132C" w14:textId="77777777" w:rsidR="00CD003B" w:rsidRDefault="00CD003B" w:rsidP="00A369E3">
          <w:pPr>
            <w:spacing w:line="0" w:lineRule="atLeast"/>
            <w:rPr>
              <w:sz w:val="18"/>
            </w:rPr>
          </w:pPr>
        </w:p>
      </w:tc>
      <w:tc>
        <w:tcPr>
          <w:tcW w:w="6379" w:type="dxa"/>
          <w:tcBorders>
            <w:top w:val="nil"/>
            <w:left w:val="nil"/>
            <w:bottom w:val="nil"/>
            <w:right w:val="nil"/>
          </w:tcBorders>
        </w:tcPr>
        <w:p w14:paraId="35226184" w14:textId="77777777" w:rsidR="00CD003B" w:rsidRDefault="00CD003B" w:rsidP="00A369E3">
          <w:pPr>
            <w:spacing w:line="0" w:lineRule="atLeast"/>
            <w:jc w:val="center"/>
            <w:rPr>
              <w:sz w:val="18"/>
            </w:rPr>
          </w:pPr>
        </w:p>
      </w:tc>
      <w:tc>
        <w:tcPr>
          <w:tcW w:w="709" w:type="dxa"/>
          <w:tcBorders>
            <w:top w:val="nil"/>
            <w:left w:val="nil"/>
            <w:bottom w:val="nil"/>
            <w:right w:val="nil"/>
          </w:tcBorders>
        </w:tcPr>
        <w:p w14:paraId="0303D954" w14:textId="77777777" w:rsidR="00CD003B" w:rsidRDefault="00CD003B" w:rsidP="00A369E3">
          <w:pPr>
            <w:spacing w:line="0" w:lineRule="atLeast"/>
            <w:jc w:val="right"/>
            <w:rPr>
              <w:sz w:val="18"/>
            </w:rPr>
          </w:pPr>
        </w:p>
      </w:tc>
    </w:tr>
  </w:tbl>
  <w:p w14:paraId="4DBB273E" w14:textId="77777777" w:rsidR="00CD003B" w:rsidRPr="00ED79B6" w:rsidRDefault="00CD003B"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DF48" w14:textId="77777777" w:rsidR="00CD003B" w:rsidRPr="002B0EA5" w:rsidRDefault="00CD003B" w:rsidP="007A1D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D003B" w14:paraId="38BF0A15" w14:textId="77777777" w:rsidTr="007A1D8F">
      <w:tc>
        <w:tcPr>
          <w:tcW w:w="365" w:type="pct"/>
        </w:tcPr>
        <w:p w14:paraId="317E8641" w14:textId="77777777" w:rsidR="00CD003B" w:rsidRDefault="00CD003B" w:rsidP="007A1D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3688" w:type="pct"/>
        </w:tcPr>
        <w:p w14:paraId="5DF12ED3" w14:textId="77777777" w:rsidR="00CD003B" w:rsidRDefault="00CD003B" w:rsidP="007A1D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International Air Services Commission Policy Statement 2017</w:t>
          </w:r>
          <w:r w:rsidRPr="004E1307">
            <w:rPr>
              <w:i/>
              <w:sz w:val="18"/>
            </w:rPr>
            <w:fldChar w:fldCharType="end"/>
          </w:r>
        </w:p>
      </w:tc>
      <w:tc>
        <w:tcPr>
          <w:tcW w:w="947" w:type="pct"/>
        </w:tcPr>
        <w:p w14:paraId="089E3760" w14:textId="77777777" w:rsidR="00CD003B" w:rsidRDefault="00CD003B" w:rsidP="007A1D8F">
          <w:pPr>
            <w:spacing w:line="0" w:lineRule="atLeast"/>
            <w:jc w:val="right"/>
            <w:rPr>
              <w:sz w:val="18"/>
            </w:rPr>
          </w:pPr>
        </w:p>
      </w:tc>
    </w:tr>
    <w:tr w:rsidR="00CD003B" w14:paraId="5F207F24" w14:textId="77777777" w:rsidTr="007A1D8F">
      <w:tc>
        <w:tcPr>
          <w:tcW w:w="5000" w:type="pct"/>
          <w:gridSpan w:val="3"/>
        </w:tcPr>
        <w:p w14:paraId="13F2A7EA" w14:textId="77777777" w:rsidR="00CD003B" w:rsidRDefault="00CD003B" w:rsidP="007A1D8F">
          <w:pPr>
            <w:jc w:val="right"/>
            <w:rPr>
              <w:sz w:val="18"/>
            </w:rPr>
          </w:pPr>
        </w:p>
      </w:tc>
    </w:tr>
  </w:tbl>
  <w:p w14:paraId="7CBA7EB0" w14:textId="77777777" w:rsidR="00CD003B" w:rsidRPr="00ED79B6" w:rsidRDefault="00CD003B" w:rsidP="007A1D8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C38C" w14:textId="77777777" w:rsidR="00CD003B" w:rsidRPr="002B0EA5" w:rsidRDefault="00CD003B" w:rsidP="007A1D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D003B" w14:paraId="759B462C" w14:textId="77777777" w:rsidTr="007A1D8F">
      <w:tc>
        <w:tcPr>
          <w:tcW w:w="947" w:type="pct"/>
        </w:tcPr>
        <w:p w14:paraId="0D7FCACC" w14:textId="77777777" w:rsidR="00CD003B" w:rsidRDefault="00CD003B" w:rsidP="007A1D8F">
          <w:pPr>
            <w:spacing w:line="0" w:lineRule="atLeast"/>
            <w:rPr>
              <w:sz w:val="18"/>
            </w:rPr>
          </w:pPr>
        </w:p>
      </w:tc>
      <w:tc>
        <w:tcPr>
          <w:tcW w:w="3688" w:type="pct"/>
        </w:tcPr>
        <w:p w14:paraId="7A93AE2D" w14:textId="6A8E4951" w:rsidR="00CD003B" w:rsidRDefault="00CD003B" w:rsidP="007A1D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3C88">
            <w:rPr>
              <w:i/>
              <w:noProof/>
              <w:sz w:val="18"/>
            </w:rPr>
            <w:t>International Air Services Commission Policy Statement 2018</w:t>
          </w:r>
          <w:r w:rsidRPr="004E1307">
            <w:rPr>
              <w:i/>
              <w:sz w:val="18"/>
            </w:rPr>
            <w:fldChar w:fldCharType="end"/>
          </w:r>
        </w:p>
      </w:tc>
      <w:tc>
        <w:tcPr>
          <w:tcW w:w="365" w:type="pct"/>
        </w:tcPr>
        <w:p w14:paraId="0E8DEBC9" w14:textId="57C22BE7" w:rsidR="00CD003B" w:rsidRDefault="00CD003B" w:rsidP="007A1D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3C88">
            <w:rPr>
              <w:i/>
              <w:noProof/>
              <w:sz w:val="18"/>
            </w:rPr>
            <w:t>i</w:t>
          </w:r>
          <w:r w:rsidRPr="00ED79B6">
            <w:rPr>
              <w:i/>
              <w:sz w:val="18"/>
            </w:rPr>
            <w:fldChar w:fldCharType="end"/>
          </w:r>
        </w:p>
      </w:tc>
    </w:tr>
    <w:tr w:rsidR="00CD003B" w14:paraId="0CE45691" w14:textId="77777777" w:rsidTr="007A1D8F">
      <w:tc>
        <w:tcPr>
          <w:tcW w:w="5000" w:type="pct"/>
          <w:gridSpan w:val="3"/>
        </w:tcPr>
        <w:p w14:paraId="60E0031D" w14:textId="77777777" w:rsidR="00CD003B" w:rsidRDefault="00CD003B" w:rsidP="007A1D8F">
          <w:pPr>
            <w:rPr>
              <w:sz w:val="18"/>
            </w:rPr>
          </w:pPr>
        </w:p>
      </w:tc>
    </w:tr>
  </w:tbl>
  <w:p w14:paraId="2ED9A2C9" w14:textId="77777777" w:rsidR="00CD003B" w:rsidRPr="00ED79B6" w:rsidRDefault="00CD003B" w:rsidP="007A1D8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6EE3" w14:textId="77777777" w:rsidR="00CD003B" w:rsidRPr="002B0EA5" w:rsidRDefault="00CD003B" w:rsidP="007A1D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D003B" w14:paraId="697428AE" w14:textId="77777777" w:rsidTr="007A1D8F">
      <w:tc>
        <w:tcPr>
          <w:tcW w:w="365" w:type="pct"/>
        </w:tcPr>
        <w:p w14:paraId="1D16E8D6" w14:textId="61E3A194" w:rsidR="00CD003B" w:rsidRDefault="00CD003B" w:rsidP="007A1D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3C88">
            <w:rPr>
              <w:i/>
              <w:noProof/>
              <w:sz w:val="18"/>
            </w:rPr>
            <w:t>14</w:t>
          </w:r>
          <w:r w:rsidRPr="00ED79B6">
            <w:rPr>
              <w:i/>
              <w:sz w:val="18"/>
            </w:rPr>
            <w:fldChar w:fldCharType="end"/>
          </w:r>
        </w:p>
      </w:tc>
      <w:tc>
        <w:tcPr>
          <w:tcW w:w="3688" w:type="pct"/>
        </w:tcPr>
        <w:p w14:paraId="12EF2293" w14:textId="34106DE0" w:rsidR="00CD003B" w:rsidRDefault="00CD003B" w:rsidP="007A1D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3C88">
            <w:rPr>
              <w:i/>
              <w:noProof/>
              <w:sz w:val="18"/>
            </w:rPr>
            <w:t>International Air Services Commission Policy Statement 2018</w:t>
          </w:r>
          <w:r w:rsidRPr="004E1307">
            <w:rPr>
              <w:i/>
              <w:sz w:val="18"/>
            </w:rPr>
            <w:fldChar w:fldCharType="end"/>
          </w:r>
        </w:p>
      </w:tc>
      <w:tc>
        <w:tcPr>
          <w:tcW w:w="947" w:type="pct"/>
        </w:tcPr>
        <w:p w14:paraId="7B0E2A28" w14:textId="77777777" w:rsidR="00CD003B" w:rsidRDefault="00CD003B" w:rsidP="007A1D8F">
          <w:pPr>
            <w:spacing w:line="0" w:lineRule="atLeast"/>
            <w:jc w:val="right"/>
            <w:rPr>
              <w:sz w:val="18"/>
            </w:rPr>
          </w:pPr>
        </w:p>
      </w:tc>
    </w:tr>
    <w:tr w:rsidR="00CD003B" w14:paraId="27E52553" w14:textId="77777777" w:rsidTr="007A1D8F">
      <w:tc>
        <w:tcPr>
          <w:tcW w:w="5000" w:type="pct"/>
          <w:gridSpan w:val="3"/>
        </w:tcPr>
        <w:p w14:paraId="284987A2" w14:textId="77777777" w:rsidR="00CD003B" w:rsidRDefault="00CD003B" w:rsidP="007A1D8F">
          <w:pPr>
            <w:jc w:val="right"/>
            <w:rPr>
              <w:sz w:val="18"/>
            </w:rPr>
          </w:pPr>
        </w:p>
      </w:tc>
    </w:tr>
  </w:tbl>
  <w:p w14:paraId="1CD5A1F8" w14:textId="77777777" w:rsidR="00CD003B" w:rsidRPr="00ED79B6" w:rsidRDefault="00CD003B" w:rsidP="007A1D8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BCD2" w14:textId="77777777" w:rsidR="00CD003B" w:rsidRPr="002B0EA5" w:rsidRDefault="00CD003B" w:rsidP="007A1D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D003B" w14:paraId="1D83F777" w14:textId="77777777" w:rsidTr="007A1D8F">
      <w:tc>
        <w:tcPr>
          <w:tcW w:w="947" w:type="pct"/>
        </w:tcPr>
        <w:p w14:paraId="1A39AED7" w14:textId="77777777" w:rsidR="00CD003B" w:rsidRDefault="00CD003B" w:rsidP="007A1D8F">
          <w:pPr>
            <w:spacing w:line="0" w:lineRule="atLeast"/>
            <w:rPr>
              <w:sz w:val="18"/>
            </w:rPr>
          </w:pPr>
        </w:p>
      </w:tc>
      <w:tc>
        <w:tcPr>
          <w:tcW w:w="3688" w:type="pct"/>
        </w:tcPr>
        <w:p w14:paraId="31F52CD2" w14:textId="32ED86C2" w:rsidR="00CD003B" w:rsidRDefault="00CD003B" w:rsidP="007A1D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3C88">
            <w:rPr>
              <w:i/>
              <w:noProof/>
              <w:sz w:val="18"/>
            </w:rPr>
            <w:t>International Air Services Commission Policy Statement 2018</w:t>
          </w:r>
          <w:r w:rsidRPr="004E1307">
            <w:rPr>
              <w:i/>
              <w:sz w:val="18"/>
            </w:rPr>
            <w:fldChar w:fldCharType="end"/>
          </w:r>
        </w:p>
      </w:tc>
      <w:tc>
        <w:tcPr>
          <w:tcW w:w="365" w:type="pct"/>
        </w:tcPr>
        <w:p w14:paraId="25C54F67" w14:textId="024F838E" w:rsidR="00CD003B" w:rsidRDefault="00CD003B" w:rsidP="007A1D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3C88">
            <w:rPr>
              <w:i/>
              <w:noProof/>
              <w:sz w:val="18"/>
            </w:rPr>
            <w:t>15</w:t>
          </w:r>
          <w:r w:rsidRPr="00ED79B6">
            <w:rPr>
              <w:i/>
              <w:sz w:val="18"/>
            </w:rPr>
            <w:fldChar w:fldCharType="end"/>
          </w:r>
        </w:p>
      </w:tc>
    </w:tr>
    <w:tr w:rsidR="00CD003B" w14:paraId="6155DDB1" w14:textId="77777777" w:rsidTr="007A1D8F">
      <w:tc>
        <w:tcPr>
          <w:tcW w:w="5000" w:type="pct"/>
          <w:gridSpan w:val="3"/>
        </w:tcPr>
        <w:p w14:paraId="6AB949EC" w14:textId="77777777" w:rsidR="00CD003B" w:rsidRDefault="00CD003B" w:rsidP="007A1D8F">
          <w:pPr>
            <w:rPr>
              <w:sz w:val="18"/>
            </w:rPr>
          </w:pPr>
        </w:p>
      </w:tc>
    </w:tr>
  </w:tbl>
  <w:p w14:paraId="3626ABEA" w14:textId="77777777" w:rsidR="00CD003B" w:rsidRPr="00ED79B6" w:rsidRDefault="00CD003B" w:rsidP="007A1D8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873BD" w14:textId="77777777" w:rsidR="000D3888" w:rsidRDefault="000D3888" w:rsidP="00715914">
      <w:pPr>
        <w:spacing w:line="240" w:lineRule="auto"/>
      </w:pPr>
      <w:r>
        <w:separator/>
      </w:r>
    </w:p>
  </w:footnote>
  <w:footnote w:type="continuationSeparator" w:id="0">
    <w:p w14:paraId="1FA4F13F" w14:textId="77777777" w:rsidR="000D3888" w:rsidRDefault="000D388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334D" w14:textId="77777777" w:rsidR="00CD003B" w:rsidRPr="005F1388" w:rsidRDefault="00CD003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16FA" w14:textId="77777777" w:rsidR="00CD003B" w:rsidRPr="005F1388" w:rsidRDefault="00CD003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EDCB" w14:textId="77777777" w:rsidR="00CD003B" w:rsidRPr="00ED79B6" w:rsidRDefault="00CD003B" w:rsidP="007A1D8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1D0A" w14:textId="77777777" w:rsidR="00CD003B" w:rsidRPr="00ED79B6" w:rsidRDefault="00CD003B" w:rsidP="007A1D8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CE2A" w14:textId="77777777" w:rsidR="00CD003B" w:rsidRPr="00ED79B6" w:rsidRDefault="00CD003B"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6269" w14:textId="77777777" w:rsidR="00CD003B" w:rsidRDefault="00CD003B" w:rsidP="00715914">
    <w:pPr>
      <w:rPr>
        <w:sz w:val="20"/>
      </w:rPr>
    </w:pPr>
  </w:p>
  <w:p w14:paraId="26E04DF5" w14:textId="77777777" w:rsidR="00CD003B" w:rsidRDefault="00CD003B" w:rsidP="00715914">
    <w:pPr>
      <w:rPr>
        <w:sz w:val="20"/>
      </w:rPr>
    </w:pPr>
  </w:p>
  <w:p w14:paraId="061B7491" w14:textId="77777777" w:rsidR="00CD003B" w:rsidRPr="007A1328" w:rsidRDefault="00CD003B" w:rsidP="00715914">
    <w:pPr>
      <w:rPr>
        <w:sz w:val="20"/>
      </w:rPr>
    </w:pPr>
  </w:p>
  <w:p w14:paraId="665399DE" w14:textId="77777777" w:rsidR="00CD003B" w:rsidRPr="007A1328" w:rsidRDefault="00CD003B" w:rsidP="00715914">
    <w:pPr>
      <w:rPr>
        <w:b/>
        <w:sz w:val="24"/>
      </w:rPr>
    </w:pPr>
  </w:p>
  <w:p w14:paraId="3042C685" w14:textId="77777777" w:rsidR="00CD003B" w:rsidRPr="007A1328" w:rsidRDefault="00CD003B"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D33F" w14:textId="77777777" w:rsidR="00CD003B" w:rsidRPr="007A1328" w:rsidRDefault="00CD003B" w:rsidP="00715914">
    <w:pPr>
      <w:jc w:val="right"/>
      <w:rPr>
        <w:sz w:val="20"/>
      </w:rPr>
    </w:pPr>
  </w:p>
  <w:p w14:paraId="7572F88B" w14:textId="77777777" w:rsidR="00CD003B" w:rsidRPr="007A1328" w:rsidRDefault="00CD003B" w:rsidP="00715914">
    <w:pPr>
      <w:jc w:val="right"/>
      <w:rPr>
        <w:sz w:val="20"/>
      </w:rPr>
    </w:pPr>
  </w:p>
  <w:p w14:paraId="56B5D279" w14:textId="77777777" w:rsidR="00CD003B" w:rsidRPr="007A1328" w:rsidRDefault="00CD003B" w:rsidP="00715914">
    <w:pPr>
      <w:jc w:val="right"/>
      <w:rPr>
        <w:sz w:val="20"/>
      </w:rPr>
    </w:pPr>
  </w:p>
  <w:p w14:paraId="18584E0A" w14:textId="77777777" w:rsidR="00CD003B" w:rsidRPr="007A1328" w:rsidRDefault="00CD003B" w:rsidP="00715914">
    <w:pPr>
      <w:jc w:val="right"/>
      <w:rPr>
        <w:b/>
        <w:sz w:val="24"/>
      </w:rPr>
    </w:pPr>
  </w:p>
  <w:p w14:paraId="0EB6A68F" w14:textId="77777777" w:rsidR="00CD003B" w:rsidRPr="007A1328" w:rsidRDefault="00CD003B"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52C0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3407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C8D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EC4B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0C7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C85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64C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CF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26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8455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4715C"/>
    <w:multiLevelType w:val="hybridMultilevel"/>
    <w:tmpl w:val="46DE460C"/>
    <w:lvl w:ilvl="0" w:tplc="B0E23AA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0B5F2A"/>
    <w:multiLevelType w:val="hybridMultilevel"/>
    <w:tmpl w:val="64267C9C"/>
    <w:lvl w:ilvl="0" w:tplc="163AEF2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5E6506E"/>
    <w:multiLevelType w:val="hybridMultilevel"/>
    <w:tmpl w:val="6B7A9850"/>
    <w:lvl w:ilvl="0" w:tplc="B420DB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133C01"/>
    <w:multiLevelType w:val="hybridMultilevel"/>
    <w:tmpl w:val="CCD0C31C"/>
    <w:lvl w:ilvl="0" w:tplc="5DF26838">
      <w:start w:val="2"/>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56815804"/>
    <w:multiLevelType w:val="hybridMultilevel"/>
    <w:tmpl w:val="AFAE3C30"/>
    <w:lvl w:ilvl="0" w:tplc="C58C4334">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15:restartNumberingAfterBreak="0">
    <w:nsid w:val="5F7A1C54"/>
    <w:multiLevelType w:val="hybridMultilevel"/>
    <w:tmpl w:val="A2D44562"/>
    <w:lvl w:ilvl="0" w:tplc="3BEE866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73584316"/>
    <w:multiLevelType w:val="hybridMultilevel"/>
    <w:tmpl w:val="ACC0EA66"/>
    <w:lvl w:ilvl="0" w:tplc="DBD8AA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BF6768"/>
    <w:multiLevelType w:val="hybridMultilevel"/>
    <w:tmpl w:val="7F44CA02"/>
    <w:lvl w:ilvl="0" w:tplc="CD1E6C4E">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9"/>
  </w:num>
  <w:num w:numId="15">
    <w:abstractNumId w:val="17"/>
  </w:num>
  <w:num w:numId="16">
    <w:abstractNumId w:val="15"/>
  </w:num>
  <w:num w:numId="17">
    <w:abstractNumId w:val="10"/>
  </w:num>
  <w:num w:numId="18">
    <w:abstractNumId w:val="20"/>
  </w:num>
  <w:num w:numId="19">
    <w:abstractNumId w:val="1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13"/>
    <w:rsid w:val="00004174"/>
    <w:rsid w:val="00004470"/>
    <w:rsid w:val="000076EB"/>
    <w:rsid w:val="000136AF"/>
    <w:rsid w:val="0001388E"/>
    <w:rsid w:val="00022F6A"/>
    <w:rsid w:val="000258B1"/>
    <w:rsid w:val="00026004"/>
    <w:rsid w:val="00031F28"/>
    <w:rsid w:val="00033D5A"/>
    <w:rsid w:val="00040A89"/>
    <w:rsid w:val="000437C1"/>
    <w:rsid w:val="0004455A"/>
    <w:rsid w:val="0005365D"/>
    <w:rsid w:val="00053BA0"/>
    <w:rsid w:val="000614BF"/>
    <w:rsid w:val="00064591"/>
    <w:rsid w:val="0006709C"/>
    <w:rsid w:val="00074376"/>
    <w:rsid w:val="000978F5"/>
    <w:rsid w:val="000A778D"/>
    <w:rsid w:val="000B15CD"/>
    <w:rsid w:val="000B1A91"/>
    <w:rsid w:val="000B35EB"/>
    <w:rsid w:val="000C0FC7"/>
    <w:rsid w:val="000C7A73"/>
    <w:rsid w:val="000D05EF"/>
    <w:rsid w:val="000D32FD"/>
    <w:rsid w:val="000D3888"/>
    <w:rsid w:val="000D6454"/>
    <w:rsid w:val="000E0AE3"/>
    <w:rsid w:val="000E2261"/>
    <w:rsid w:val="000E49B5"/>
    <w:rsid w:val="000E5467"/>
    <w:rsid w:val="000E5A75"/>
    <w:rsid w:val="000E78B7"/>
    <w:rsid w:val="000F21C1"/>
    <w:rsid w:val="000F4580"/>
    <w:rsid w:val="0010113D"/>
    <w:rsid w:val="0010745C"/>
    <w:rsid w:val="00130EC2"/>
    <w:rsid w:val="00132CEB"/>
    <w:rsid w:val="001339B0"/>
    <w:rsid w:val="00140D9A"/>
    <w:rsid w:val="00142B62"/>
    <w:rsid w:val="001441B7"/>
    <w:rsid w:val="00145283"/>
    <w:rsid w:val="00147558"/>
    <w:rsid w:val="001477E7"/>
    <w:rsid w:val="001516CB"/>
    <w:rsid w:val="00152336"/>
    <w:rsid w:val="00157B8B"/>
    <w:rsid w:val="00166C2F"/>
    <w:rsid w:val="001809D7"/>
    <w:rsid w:val="00190A3F"/>
    <w:rsid w:val="001929A9"/>
    <w:rsid w:val="001939E1"/>
    <w:rsid w:val="00194C3E"/>
    <w:rsid w:val="00195382"/>
    <w:rsid w:val="00196AAF"/>
    <w:rsid w:val="001A0D10"/>
    <w:rsid w:val="001A1DD1"/>
    <w:rsid w:val="001A327A"/>
    <w:rsid w:val="001B2CB6"/>
    <w:rsid w:val="001C61C5"/>
    <w:rsid w:val="001C69C4"/>
    <w:rsid w:val="001D37EF"/>
    <w:rsid w:val="001D6FB6"/>
    <w:rsid w:val="001E0C66"/>
    <w:rsid w:val="001E3590"/>
    <w:rsid w:val="001E7407"/>
    <w:rsid w:val="001F2601"/>
    <w:rsid w:val="001F5D5E"/>
    <w:rsid w:val="001F6219"/>
    <w:rsid w:val="001F6B91"/>
    <w:rsid w:val="001F6CD4"/>
    <w:rsid w:val="00201404"/>
    <w:rsid w:val="002029FC"/>
    <w:rsid w:val="00206C4D"/>
    <w:rsid w:val="00211CC8"/>
    <w:rsid w:val="00215AF1"/>
    <w:rsid w:val="00224DE2"/>
    <w:rsid w:val="002321E8"/>
    <w:rsid w:val="00232984"/>
    <w:rsid w:val="00234E9E"/>
    <w:rsid w:val="0024010F"/>
    <w:rsid w:val="00240749"/>
    <w:rsid w:val="00243018"/>
    <w:rsid w:val="002564A4"/>
    <w:rsid w:val="00263701"/>
    <w:rsid w:val="0026736C"/>
    <w:rsid w:val="00270376"/>
    <w:rsid w:val="00281308"/>
    <w:rsid w:val="00284719"/>
    <w:rsid w:val="00292808"/>
    <w:rsid w:val="00292B50"/>
    <w:rsid w:val="00297ECB"/>
    <w:rsid w:val="002A00A7"/>
    <w:rsid w:val="002A1F52"/>
    <w:rsid w:val="002A7BCF"/>
    <w:rsid w:val="002C1AB1"/>
    <w:rsid w:val="002C3FD1"/>
    <w:rsid w:val="002C4B61"/>
    <w:rsid w:val="002D043A"/>
    <w:rsid w:val="002D0F50"/>
    <w:rsid w:val="002D266B"/>
    <w:rsid w:val="002D2901"/>
    <w:rsid w:val="002D6224"/>
    <w:rsid w:val="002F0801"/>
    <w:rsid w:val="00301DAC"/>
    <w:rsid w:val="00302444"/>
    <w:rsid w:val="00304F8B"/>
    <w:rsid w:val="00311726"/>
    <w:rsid w:val="0031585F"/>
    <w:rsid w:val="00315F0C"/>
    <w:rsid w:val="003218DD"/>
    <w:rsid w:val="00323D6B"/>
    <w:rsid w:val="00335BC6"/>
    <w:rsid w:val="003368DE"/>
    <w:rsid w:val="00337838"/>
    <w:rsid w:val="003415D3"/>
    <w:rsid w:val="00344338"/>
    <w:rsid w:val="00344701"/>
    <w:rsid w:val="00352B0F"/>
    <w:rsid w:val="00360459"/>
    <w:rsid w:val="00364E36"/>
    <w:rsid w:val="0036565B"/>
    <w:rsid w:val="0038049F"/>
    <w:rsid w:val="003824DA"/>
    <w:rsid w:val="0039527E"/>
    <w:rsid w:val="00396772"/>
    <w:rsid w:val="003C495A"/>
    <w:rsid w:val="003C6231"/>
    <w:rsid w:val="003D081C"/>
    <w:rsid w:val="003D0BFE"/>
    <w:rsid w:val="003D3F1B"/>
    <w:rsid w:val="003D5700"/>
    <w:rsid w:val="003E1E98"/>
    <w:rsid w:val="003E341B"/>
    <w:rsid w:val="003E4D00"/>
    <w:rsid w:val="003E7FD4"/>
    <w:rsid w:val="004105AF"/>
    <w:rsid w:val="004116CD"/>
    <w:rsid w:val="0041301B"/>
    <w:rsid w:val="00414644"/>
    <w:rsid w:val="00417EB9"/>
    <w:rsid w:val="00424CA9"/>
    <w:rsid w:val="004276DF"/>
    <w:rsid w:val="00431E9B"/>
    <w:rsid w:val="00433977"/>
    <w:rsid w:val="00434D7F"/>
    <w:rsid w:val="00435104"/>
    <w:rsid w:val="004379E3"/>
    <w:rsid w:val="0044015E"/>
    <w:rsid w:val="0044291A"/>
    <w:rsid w:val="004435FA"/>
    <w:rsid w:val="00455A8F"/>
    <w:rsid w:val="00455CF9"/>
    <w:rsid w:val="00456E44"/>
    <w:rsid w:val="004640A9"/>
    <w:rsid w:val="00466FC0"/>
    <w:rsid w:val="00467661"/>
    <w:rsid w:val="00472DBE"/>
    <w:rsid w:val="00474A19"/>
    <w:rsid w:val="00475FF8"/>
    <w:rsid w:val="00477830"/>
    <w:rsid w:val="00484C18"/>
    <w:rsid w:val="00487764"/>
    <w:rsid w:val="00496F97"/>
    <w:rsid w:val="004A0FA8"/>
    <w:rsid w:val="004B5097"/>
    <w:rsid w:val="004B6C48"/>
    <w:rsid w:val="004C4E59"/>
    <w:rsid w:val="004C552F"/>
    <w:rsid w:val="004C6809"/>
    <w:rsid w:val="004C7E07"/>
    <w:rsid w:val="004D44D3"/>
    <w:rsid w:val="004D5BB2"/>
    <w:rsid w:val="004D60C6"/>
    <w:rsid w:val="004E063A"/>
    <w:rsid w:val="004E1307"/>
    <w:rsid w:val="004E7BEC"/>
    <w:rsid w:val="004F3862"/>
    <w:rsid w:val="004F3CDD"/>
    <w:rsid w:val="00505D3D"/>
    <w:rsid w:val="00505E86"/>
    <w:rsid w:val="00506AF6"/>
    <w:rsid w:val="00516B8D"/>
    <w:rsid w:val="005173B8"/>
    <w:rsid w:val="005260CD"/>
    <w:rsid w:val="00527533"/>
    <w:rsid w:val="005303C8"/>
    <w:rsid w:val="00534E4D"/>
    <w:rsid w:val="00537FBC"/>
    <w:rsid w:val="00540B78"/>
    <w:rsid w:val="005455AC"/>
    <w:rsid w:val="0054630E"/>
    <w:rsid w:val="00552C11"/>
    <w:rsid w:val="00554826"/>
    <w:rsid w:val="005558BC"/>
    <w:rsid w:val="00557BC9"/>
    <w:rsid w:val="00562877"/>
    <w:rsid w:val="00563A7B"/>
    <w:rsid w:val="00565162"/>
    <w:rsid w:val="00565A95"/>
    <w:rsid w:val="00573AD5"/>
    <w:rsid w:val="0058077C"/>
    <w:rsid w:val="00584811"/>
    <w:rsid w:val="00585784"/>
    <w:rsid w:val="0059104D"/>
    <w:rsid w:val="00593AA6"/>
    <w:rsid w:val="00594161"/>
    <w:rsid w:val="00594453"/>
    <w:rsid w:val="00594749"/>
    <w:rsid w:val="005A65D5"/>
    <w:rsid w:val="005B4067"/>
    <w:rsid w:val="005C3F41"/>
    <w:rsid w:val="005C5741"/>
    <w:rsid w:val="005D0158"/>
    <w:rsid w:val="005D1D92"/>
    <w:rsid w:val="005D2D09"/>
    <w:rsid w:val="00600219"/>
    <w:rsid w:val="00604F2A"/>
    <w:rsid w:val="00620076"/>
    <w:rsid w:val="00620F65"/>
    <w:rsid w:val="006251C0"/>
    <w:rsid w:val="00627E0A"/>
    <w:rsid w:val="006322B6"/>
    <w:rsid w:val="006375C5"/>
    <w:rsid w:val="00650801"/>
    <w:rsid w:val="0065488B"/>
    <w:rsid w:val="006654B8"/>
    <w:rsid w:val="00670EA1"/>
    <w:rsid w:val="0067139E"/>
    <w:rsid w:val="00677CC2"/>
    <w:rsid w:val="006824FC"/>
    <w:rsid w:val="0068744B"/>
    <w:rsid w:val="006905DE"/>
    <w:rsid w:val="00691287"/>
    <w:rsid w:val="0069207B"/>
    <w:rsid w:val="006A154F"/>
    <w:rsid w:val="006A437B"/>
    <w:rsid w:val="006A63F9"/>
    <w:rsid w:val="006B110C"/>
    <w:rsid w:val="006B5789"/>
    <w:rsid w:val="006B6289"/>
    <w:rsid w:val="006C052C"/>
    <w:rsid w:val="006C07F9"/>
    <w:rsid w:val="006C30C5"/>
    <w:rsid w:val="006C7F8C"/>
    <w:rsid w:val="006D2A4D"/>
    <w:rsid w:val="006E2E1C"/>
    <w:rsid w:val="006E6246"/>
    <w:rsid w:val="006E69C2"/>
    <w:rsid w:val="006E6DCC"/>
    <w:rsid w:val="006F318F"/>
    <w:rsid w:val="0070017E"/>
    <w:rsid w:val="00700B2C"/>
    <w:rsid w:val="007050A2"/>
    <w:rsid w:val="00711BBF"/>
    <w:rsid w:val="00713084"/>
    <w:rsid w:val="00714F20"/>
    <w:rsid w:val="0071590F"/>
    <w:rsid w:val="00715914"/>
    <w:rsid w:val="0072147A"/>
    <w:rsid w:val="00723791"/>
    <w:rsid w:val="00725F5A"/>
    <w:rsid w:val="00731E00"/>
    <w:rsid w:val="007440B7"/>
    <w:rsid w:val="007500C8"/>
    <w:rsid w:val="00756272"/>
    <w:rsid w:val="0076108B"/>
    <w:rsid w:val="00762D38"/>
    <w:rsid w:val="007703A3"/>
    <w:rsid w:val="007715C9"/>
    <w:rsid w:val="00771613"/>
    <w:rsid w:val="007743CA"/>
    <w:rsid w:val="00774EDD"/>
    <w:rsid w:val="007757EC"/>
    <w:rsid w:val="00781450"/>
    <w:rsid w:val="0078391C"/>
    <w:rsid w:val="00783E89"/>
    <w:rsid w:val="00784E93"/>
    <w:rsid w:val="00792D0B"/>
    <w:rsid w:val="00793915"/>
    <w:rsid w:val="00793CEB"/>
    <w:rsid w:val="007A04BC"/>
    <w:rsid w:val="007A1D8F"/>
    <w:rsid w:val="007A3525"/>
    <w:rsid w:val="007B7F4B"/>
    <w:rsid w:val="007C0D7D"/>
    <w:rsid w:val="007C2253"/>
    <w:rsid w:val="007C4E91"/>
    <w:rsid w:val="007C6D30"/>
    <w:rsid w:val="007D7911"/>
    <w:rsid w:val="007E03F1"/>
    <w:rsid w:val="007E0888"/>
    <w:rsid w:val="007E163D"/>
    <w:rsid w:val="007E4E4E"/>
    <w:rsid w:val="007E667A"/>
    <w:rsid w:val="007E7ABC"/>
    <w:rsid w:val="007F1F43"/>
    <w:rsid w:val="007F28C9"/>
    <w:rsid w:val="007F32BA"/>
    <w:rsid w:val="007F51B2"/>
    <w:rsid w:val="008040DD"/>
    <w:rsid w:val="008117E9"/>
    <w:rsid w:val="00817A27"/>
    <w:rsid w:val="008219A3"/>
    <w:rsid w:val="00824498"/>
    <w:rsid w:val="00824FD1"/>
    <w:rsid w:val="00826BD1"/>
    <w:rsid w:val="008270B2"/>
    <w:rsid w:val="00834087"/>
    <w:rsid w:val="00836612"/>
    <w:rsid w:val="00854D0B"/>
    <w:rsid w:val="00856A31"/>
    <w:rsid w:val="00860456"/>
    <w:rsid w:val="00860693"/>
    <w:rsid w:val="00860B4E"/>
    <w:rsid w:val="0086156A"/>
    <w:rsid w:val="00867B37"/>
    <w:rsid w:val="008720CA"/>
    <w:rsid w:val="008754D0"/>
    <w:rsid w:val="00875D13"/>
    <w:rsid w:val="008855C9"/>
    <w:rsid w:val="00886456"/>
    <w:rsid w:val="0089306B"/>
    <w:rsid w:val="008948B2"/>
    <w:rsid w:val="00896176"/>
    <w:rsid w:val="00897139"/>
    <w:rsid w:val="008A20A1"/>
    <w:rsid w:val="008A46E1"/>
    <w:rsid w:val="008A4F43"/>
    <w:rsid w:val="008A527C"/>
    <w:rsid w:val="008B207C"/>
    <w:rsid w:val="008B2706"/>
    <w:rsid w:val="008B39A7"/>
    <w:rsid w:val="008C0108"/>
    <w:rsid w:val="008C2EAC"/>
    <w:rsid w:val="008D0EE0"/>
    <w:rsid w:val="008E0027"/>
    <w:rsid w:val="008E6067"/>
    <w:rsid w:val="008F106B"/>
    <w:rsid w:val="008F3A5C"/>
    <w:rsid w:val="008F54E7"/>
    <w:rsid w:val="008F7638"/>
    <w:rsid w:val="00903422"/>
    <w:rsid w:val="009052F2"/>
    <w:rsid w:val="00906B9B"/>
    <w:rsid w:val="009209DE"/>
    <w:rsid w:val="00920CF1"/>
    <w:rsid w:val="00923968"/>
    <w:rsid w:val="009254C3"/>
    <w:rsid w:val="00925645"/>
    <w:rsid w:val="00927FEF"/>
    <w:rsid w:val="009316C2"/>
    <w:rsid w:val="00932377"/>
    <w:rsid w:val="009356D6"/>
    <w:rsid w:val="00941236"/>
    <w:rsid w:val="009413AC"/>
    <w:rsid w:val="00943FD5"/>
    <w:rsid w:val="00946724"/>
    <w:rsid w:val="00947D5A"/>
    <w:rsid w:val="009532A5"/>
    <w:rsid w:val="009545BD"/>
    <w:rsid w:val="00960E2C"/>
    <w:rsid w:val="009630F1"/>
    <w:rsid w:val="00964CF0"/>
    <w:rsid w:val="00977806"/>
    <w:rsid w:val="00982242"/>
    <w:rsid w:val="009868E9"/>
    <w:rsid w:val="009900A3"/>
    <w:rsid w:val="009A0AA9"/>
    <w:rsid w:val="009A1236"/>
    <w:rsid w:val="009A390E"/>
    <w:rsid w:val="009B2F7E"/>
    <w:rsid w:val="009B7FAC"/>
    <w:rsid w:val="009C3413"/>
    <w:rsid w:val="009D4E5B"/>
    <w:rsid w:val="009D500D"/>
    <w:rsid w:val="00A0441E"/>
    <w:rsid w:val="00A12128"/>
    <w:rsid w:val="00A126E5"/>
    <w:rsid w:val="00A22C98"/>
    <w:rsid w:val="00A231E2"/>
    <w:rsid w:val="00A244B0"/>
    <w:rsid w:val="00A30A56"/>
    <w:rsid w:val="00A369E3"/>
    <w:rsid w:val="00A4007E"/>
    <w:rsid w:val="00A4158D"/>
    <w:rsid w:val="00A451AB"/>
    <w:rsid w:val="00A5297E"/>
    <w:rsid w:val="00A57600"/>
    <w:rsid w:val="00A6158E"/>
    <w:rsid w:val="00A64912"/>
    <w:rsid w:val="00A70A74"/>
    <w:rsid w:val="00A757D0"/>
    <w:rsid w:val="00A75FE9"/>
    <w:rsid w:val="00A83BE4"/>
    <w:rsid w:val="00A859CC"/>
    <w:rsid w:val="00AA525F"/>
    <w:rsid w:val="00AB0166"/>
    <w:rsid w:val="00AB1722"/>
    <w:rsid w:val="00AC6D81"/>
    <w:rsid w:val="00AC7C08"/>
    <w:rsid w:val="00AD53CC"/>
    <w:rsid w:val="00AD5641"/>
    <w:rsid w:val="00AE1677"/>
    <w:rsid w:val="00AE2824"/>
    <w:rsid w:val="00AF06CF"/>
    <w:rsid w:val="00B07CDB"/>
    <w:rsid w:val="00B15876"/>
    <w:rsid w:val="00B16A31"/>
    <w:rsid w:val="00B17DFD"/>
    <w:rsid w:val="00B25306"/>
    <w:rsid w:val="00B27831"/>
    <w:rsid w:val="00B308FE"/>
    <w:rsid w:val="00B30C21"/>
    <w:rsid w:val="00B33709"/>
    <w:rsid w:val="00B33B3C"/>
    <w:rsid w:val="00B36392"/>
    <w:rsid w:val="00B36AC2"/>
    <w:rsid w:val="00B418CB"/>
    <w:rsid w:val="00B47444"/>
    <w:rsid w:val="00B50ADC"/>
    <w:rsid w:val="00B5110E"/>
    <w:rsid w:val="00B566B1"/>
    <w:rsid w:val="00B62C36"/>
    <w:rsid w:val="00B62CBD"/>
    <w:rsid w:val="00B63834"/>
    <w:rsid w:val="00B70A8B"/>
    <w:rsid w:val="00B743A2"/>
    <w:rsid w:val="00B80199"/>
    <w:rsid w:val="00B8064B"/>
    <w:rsid w:val="00B81479"/>
    <w:rsid w:val="00B83204"/>
    <w:rsid w:val="00B856E7"/>
    <w:rsid w:val="00B93B30"/>
    <w:rsid w:val="00BA220B"/>
    <w:rsid w:val="00BA3A57"/>
    <w:rsid w:val="00BA7163"/>
    <w:rsid w:val="00BB1533"/>
    <w:rsid w:val="00BB415F"/>
    <w:rsid w:val="00BB4E1A"/>
    <w:rsid w:val="00BC015E"/>
    <w:rsid w:val="00BC76AC"/>
    <w:rsid w:val="00BD0ECB"/>
    <w:rsid w:val="00BD7D68"/>
    <w:rsid w:val="00BE2155"/>
    <w:rsid w:val="00BE719A"/>
    <w:rsid w:val="00BE720A"/>
    <w:rsid w:val="00BF0958"/>
    <w:rsid w:val="00BF0D73"/>
    <w:rsid w:val="00BF2465"/>
    <w:rsid w:val="00BF32AD"/>
    <w:rsid w:val="00BF3893"/>
    <w:rsid w:val="00BF5E2C"/>
    <w:rsid w:val="00C06E25"/>
    <w:rsid w:val="00C15BAF"/>
    <w:rsid w:val="00C16619"/>
    <w:rsid w:val="00C215F2"/>
    <w:rsid w:val="00C2248D"/>
    <w:rsid w:val="00C25E7F"/>
    <w:rsid w:val="00C2746F"/>
    <w:rsid w:val="00C323D6"/>
    <w:rsid w:val="00C324A0"/>
    <w:rsid w:val="00C42BF8"/>
    <w:rsid w:val="00C43C88"/>
    <w:rsid w:val="00C50043"/>
    <w:rsid w:val="00C5290E"/>
    <w:rsid w:val="00C5767A"/>
    <w:rsid w:val="00C7573B"/>
    <w:rsid w:val="00C805FE"/>
    <w:rsid w:val="00C81095"/>
    <w:rsid w:val="00C85E13"/>
    <w:rsid w:val="00C86713"/>
    <w:rsid w:val="00C9109D"/>
    <w:rsid w:val="00C9110D"/>
    <w:rsid w:val="00C9159D"/>
    <w:rsid w:val="00C95F5B"/>
    <w:rsid w:val="00C9684B"/>
    <w:rsid w:val="00C96BCB"/>
    <w:rsid w:val="00C97A54"/>
    <w:rsid w:val="00CA5B23"/>
    <w:rsid w:val="00CB4468"/>
    <w:rsid w:val="00CB5414"/>
    <w:rsid w:val="00CB602E"/>
    <w:rsid w:val="00CB69CC"/>
    <w:rsid w:val="00CB7E90"/>
    <w:rsid w:val="00CD003B"/>
    <w:rsid w:val="00CD3709"/>
    <w:rsid w:val="00CD6101"/>
    <w:rsid w:val="00CE051D"/>
    <w:rsid w:val="00CE1335"/>
    <w:rsid w:val="00CE438E"/>
    <w:rsid w:val="00CE493D"/>
    <w:rsid w:val="00CE7BED"/>
    <w:rsid w:val="00CF07FA"/>
    <w:rsid w:val="00CF0BB2"/>
    <w:rsid w:val="00CF3EE8"/>
    <w:rsid w:val="00D13441"/>
    <w:rsid w:val="00D150E7"/>
    <w:rsid w:val="00D20157"/>
    <w:rsid w:val="00D256BC"/>
    <w:rsid w:val="00D262E2"/>
    <w:rsid w:val="00D45FA0"/>
    <w:rsid w:val="00D478CA"/>
    <w:rsid w:val="00D52DC2"/>
    <w:rsid w:val="00D53BCC"/>
    <w:rsid w:val="00D54C9E"/>
    <w:rsid w:val="00D573D8"/>
    <w:rsid w:val="00D6537E"/>
    <w:rsid w:val="00D6602F"/>
    <w:rsid w:val="00D6689A"/>
    <w:rsid w:val="00D70DFB"/>
    <w:rsid w:val="00D766DF"/>
    <w:rsid w:val="00D8206C"/>
    <w:rsid w:val="00D82380"/>
    <w:rsid w:val="00D8470A"/>
    <w:rsid w:val="00D91F10"/>
    <w:rsid w:val="00D960BD"/>
    <w:rsid w:val="00D978A7"/>
    <w:rsid w:val="00DA186E"/>
    <w:rsid w:val="00DA1EBA"/>
    <w:rsid w:val="00DA3922"/>
    <w:rsid w:val="00DA3F38"/>
    <w:rsid w:val="00DA4116"/>
    <w:rsid w:val="00DA41FC"/>
    <w:rsid w:val="00DB251C"/>
    <w:rsid w:val="00DB4630"/>
    <w:rsid w:val="00DB50ED"/>
    <w:rsid w:val="00DC4F88"/>
    <w:rsid w:val="00DE0469"/>
    <w:rsid w:val="00DE0F4F"/>
    <w:rsid w:val="00DE107C"/>
    <w:rsid w:val="00DF201D"/>
    <w:rsid w:val="00DF2388"/>
    <w:rsid w:val="00DF29AD"/>
    <w:rsid w:val="00DF3D46"/>
    <w:rsid w:val="00E02BAA"/>
    <w:rsid w:val="00E0407C"/>
    <w:rsid w:val="00E047CA"/>
    <w:rsid w:val="00E05704"/>
    <w:rsid w:val="00E104DE"/>
    <w:rsid w:val="00E16030"/>
    <w:rsid w:val="00E16791"/>
    <w:rsid w:val="00E338EF"/>
    <w:rsid w:val="00E34667"/>
    <w:rsid w:val="00E357E3"/>
    <w:rsid w:val="00E403B6"/>
    <w:rsid w:val="00E544BB"/>
    <w:rsid w:val="00E640CF"/>
    <w:rsid w:val="00E74DC7"/>
    <w:rsid w:val="00E75DC2"/>
    <w:rsid w:val="00E8075A"/>
    <w:rsid w:val="00E83E6A"/>
    <w:rsid w:val="00E87FE9"/>
    <w:rsid w:val="00E940D8"/>
    <w:rsid w:val="00E94D5E"/>
    <w:rsid w:val="00EA3261"/>
    <w:rsid w:val="00EA7100"/>
    <w:rsid w:val="00EA7F9F"/>
    <w:rsid w:val="00EB1274"/>
    <w:rsid w:val="00EB494D"/>
    <w:rsid w:val="00EC36C4"/>
    <w:rsid w:val="00EC4C31"/>
    <w:rsid w:val="00ED2BB6"/>
    <w:rsid w:val="00ED34E1"/>
    <w:rsid w:val="00ED3AB9"/>
    <w:rsid w:val="00ED3B8D"/>
    <w:rsid w:val="00EE5E36"/>
    <w:rsid w:val="00EF2E3A"/>
    <w:rsid w:val="00F02C7C"/>
    <w:rsid w:val="00F072A7"/>
    <w:rsid w:val="00F078DC"/>
    <w:rsid w:val="00F21862"/>
    <w:rsid w:val="00F32BA8"/>
    <w:rsid w:val="00F32EE0"/>
    <w:rsid w:val="00F349F1"/>
    <w:rsid w:val="00F412D7"/>
    <w:rsid w:val="00F4350D"/>
    <w:rsid w:val="00F479C4"/>
    <w:rsid w:val="00F53469"/>
    <w:rsid w:val="00F567F7"/>
    <w:rsid w:val="00F644C9"/>
    <w:rsid w:val="00F6696E"/>
    <w:rsid w:val="00F73BD6"/>
    <w:rsid w:val="00F77B8F"/>
    <w:rsid w:val="00F83989"/>
    <w:rsid w:val="00F85099"/>
    <w:rsid w:val="00F9379C"/>
    <w:rsid w:val="00F95F53"/>
    <w:rsid w:val="00F9632C"/>
    <w:rsid w:val="00F966AF"/>
    <w:rsid w:val="00FA1E52"/>
    <w:rsid w:val="00FB5A08"/>
    <w:rsid w:val="00FC6A80"/>
    <w:rsid w:val="00FD44AE"/>
    <w:rsid w:val="00FE3064"/>
    <w:rsid w:val="00FE4688"/>
    <w:rsid w:val="00FE48E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101BD"/>
  <w15:docId w15:val="{E5FC6A4F-86E2-4812-8B40-74D81EE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unhideWhenUsed/>
    <w:rsid w:val="001D6FB6"/>
    <w:pPr>
      <w:spacing w:line="240" w:lineRule="auto"/>
    </w:pPr>
  </w:style>
  <w:style w:type="character" w:customStyle="1" w:styleId="NoteHeadingChar">
    <w:name w:val="Note Heading Char"/>
    <w:basedOn w:val="DefaultParagraphFont"/>
    <w:link w:val="NoteHeading"/>
    <w:uiPriority w:val="99"/>
    <w:rsid w:val="001D6FB6"/>
    <w:rPr>
      <w:sz w:val="22"/>
    </w:rPr>
  </w:style>
  <w:style w:type="character" w:styleId="CommentReference">
    <w:name w:val="annotation reference"/>
    <w:basedOn w:val="DefaultParagraphFont"/>
    <w:uiPriority w:val="99"/>
    <w:semiHidden/>
    <w:unhideWhenUsed/>
    <w:rsid w:val="009630F1"/>
    <w:rPr>
      <w:sz w:val="16"/>
      <w:szCs w:val="16"/>
    </w:rPr>
  </w:style>
  <w:style w:type="paragraph" w:styleId="CommentText">
    <w:name w:val="annotation text"/>
    <w:basedOn w:val="Normal"/>
    <w:link w:val="CommentTextChar"/>
    <w:uiPriority w:val="99"/>
    <w:unhideWhenUsed/>
    <w:rsid w:val="009630F1"/>
    <w:pPr>
      <w:spacing w:line="240" w:lineRule="auto"/>
    </w:pPr>
    <w:rPr>
      <w:sz w:val="20"/>
    </w:rPr>
  </w:style>
  <w:style w:type="character" w:customStyle="1" w:styleId="CommentTextChar">
    <w:name w:val="Comment Text Char"/>
    <w:basedOn w:val="DefaultParagraphFont"/>
    <w:link w:val="CommentText"/>
    <w:uiPriority w:val="99"/>
    <w:rsid w:val="009630F1"/>
  </w:style>
  <w:style w:type="paragraph" w:styleId="CommentSubject">
    <w:name w:val="annotation subject"/>
    <w:basedOn w:val="CommentText"/>
    <w:next w:val="CommentText"/>
    <w:link w:val="CommentSubjectChar"/>
    <w:uiPriority w:val="99"/>
    <w:semiHidden/>
    <w:unhideWhenUsed/>
    <w:rsid w:val="009630F1"/>
    <w:rPr>
      <w:b/>
      <w:bCs/>
    </w:rPr>
  </w:style>
  <w:style w:type="character" w:customStyle="1" w:styleId="CommentSubjectChar">
    <w:name w:val="Comment Subject Char"/>
    <w:basedOn w:val="CommentTextChar"/>
    <w:link w:val="CommentSubject"/>
    <w:uiPriority w:val="99"/>
    <w:semiHidden/>
    <w:rsid w:val="009630F1"/>
    <w:rPr>
      <w:b/>
      <w:bCs/>
    </w:rPr>
  </w:style>
  <w:style w:type="character" w:styleId="Hyperlink">
    <w:name w:val="Hyperlink"/>
    <w:basedOn w:val="DefaultParagraphFont"/>
    <w:uiPriority w:val="99"/>
    <w:unhideWhenUsed/>
    <w:rsid w:val="00026004"/>
    <w:rPr>
      <w:color w:val="0000FF" w:themeColor="hyperlink"/>
      <w:u w:val="single"/>
    </w:rPr>
  </w:style>
  <w:style w:type="paragraph" w:styleId="Revision">
    <w:name w:val="Revision"/>
    <w:hidden/>
    <w:uiPriority w:val="99"/>
    <w:semiHidden/>
    <w:rsid w:val="00A757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02803">
      <w:bodyDiv w:val="1"/>
      <w:marLeft w:val="0"/>
      <w:marRight w:val="0"/>
      <w:marTop w:val="0"/>
      <w:marBottom w:val="0"/>
      <w:divBdr>
        <w:top w:val="none" w:sz="0" w:space="0" w:color="auto"/>
        <w:left w:val="none" w:sz="0" w:space="0" w:color="auto"/>
        <w:bottom w:val="none" w:sz="0" w:space="0" w:color="auto"/>
        <w:right w:val="none" w:sz="0" w:space="0" w:color="auto"/>
      </w:divBdr>
    </w:div>
    <w:div w:id="1403598329">
      <w:bodyDiv w:val="1"/>
      <w:marLeft w:val="0"/>
      <w:marRight w:val="0"/>
      <w:marTop w:val="0"/>
      <w:marBottom w:val="0"/>
      <w:divBdr>
        <w:top w:val="none" w:sz="0" w:space="0" w:color="auto"/>
        <w:left w:val="none" w:sz="0" w:space="0" w:color="auto"/>
        <w:bottom w:val="none" w:sz="0" w:space="0" w:color="auto"/>
        <w:right w:val="none" w:sz="0" w:space="0" w:color="auto"/>
      </w:divBdr>
    </w:div>
    <w:div w:id="21265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haroni\AppData\Local\Microsoft\Windows\INetCache\IE\KG1SM3PB\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29C2-9098-490F-988A-72E3B1D4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instrument.dotx</Template>
  <TotalTime>33</TotalTime>
  <Pages>19</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AHARONI Bechor</dc:creator>
  <cp:keywords/>
  <cp:lastModifiedBy>COCKERILL Joshua</cp:lastModifiedBy>
  <cp:revision>9</cp:revision>
  <cp:lastPrinted>2017-12-10T23:46:00Z</cp:lastPrinted>
  <dcterms:created xsi:type="dcterms:W3CDTF">2018-02-23T04:04:00Z</dcterms:created>
  <dcterms:modified xsi:type="dcterms:W3CDTF">2018-03-26T00:40:00Z</dcterms:modified>
</cp:coreProperties>
</file>