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E4" w:rsidRPr="00E549CD" w:rsidRDefault="00C07FE4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8958"/>
        </w:tabs>
        <w:rPr>
          <w:b/>
          <w:vanish/>
          <w:sz w:val="28"/>
          <w:szCs w:val="28"/>
          <w:u w:val="none"/>
          <w:specVanish/>
        </w:rPr>
      </w:pPr>
      <w:r w:rsidRPr="00E44934">
        <w:rPr>
          <w:b/>
          <w:sz w:val="28"/>
          <w:szCs w:val="28"/>
          <w:u w:val="none"/>
        </w:rPr>
        <w:t>EXPLANATORY STATEMENT</w:t>
      </w:r>
    </w:p>
    <w:p w:rsidR="00CC1F2D" w:rsidRDefault="00E549CD">
      <w:pPr>
        <w:spacing w:before="120"/>
        <w:jc w:val="center"/>
        <w:rPr>
          <w:b/>
        </w:rPr>
      </w:pPr>
      <w:r>
        <w:rPr>
          <w:b/>
        </w:rPr>
        <w:t xml:space="preserve"> </w:t>
      </w:r>
    </w:p>
    <w:p w:rsidR="00C07FE4" w:rsidRPr="00E44934" w:rsidRDefault="00C07FE4">
      <w:pPr>
        <w:spacing w:before="120"/>
        <w:jc w:val="center"/>
        <w:rPr>
          <w:b/>
        </w:rPr>
      </w:pPr>
      <w:r w:rsidRPr="00E44934">
        <w:rPr>
          <w:b/>
        </w:rPr>
        <w:t xml:space="preserve">Issued by the authority of the Minister for Finance </w:t>
      </w:r>
    </w:p>
    <w:p w:rsidR="002A0BFE" w:rsidRDefault="00E44934" w:rsidP="002A0BFE">
      <w:pPr>
        <w:pStyle w:val="Heading8"/>
        <w:spacing w:before="120" w:after="120"/>
        <w:jc w:val="center"/>
        <w:rPr>
          <w:iCs/>
          <w:sz w:val="24"/>
        </w:rPr>
      </w:pPr>
      <w:r w:rsidRPr="00E44934">
        <w:rPr>
          <w:iCs/>
          <w:sz w:val="24"/>
        </w:rPr>
        <w:t>Public Governance, Performance and Accountability Act 2013</w:t>
      </w:r>
    </w:p>
    <w:p w:rsidR="00E44934" w:rsidRDefault="00E44934" w:rsidP="00E44934">
      <w:pPr>
        <w:jc w:val="center"/>
        <w:rPr>
          <w:i/>
        </w:rPr>
      </w:pPr>
      <w:r w:rsidRPr="008E60E1">
        <w:rPr>
          <w:i/>
        </w:rPr>
        <w:t>Public Governance, Performance and Accountability</w:t>
      </w:r>
    </w:p>
    <w:p w:rsidR="00E44934" w:rsidRDefault="00E44934" w:rsidP="00E44934">
      <w:pPr>
        <w:jc w:val="center"/>
        <w:rPr>
          <w:i/>
        </w:rPr>
      </w:pPr>
      <w:r>
        <w:rPr>
          <w:i/>
        </w:rPr>
        <w:t xml:space="preserve">(Financial Reporting) </w:t>
      </w:r>
      <w:r w:rsidR="00A956FA">
        <w:rPr>
          <w:i/>
        </w:rPr>
        <w:t xml:space="preserve">Amendment </w:t>
      </w:r>
      <w:r w:rsidRPr="008E60E1">
        <w:rPr>
          <w:i/>
        </w:rPr>
        <w:t>Rule 201</w:t>
      </w:r>
      <w:r w:rsidR="004E5045">
        <w:rPr>
          <w:i/>
        </w:rPr>
        <w:t>8</w:t>
      </w:r>
    </w:p>
    <w:p w:rsidR="00E44934" w:rsidRPr="00407B73" w:rsidRDefault="00E44934" w:rsidP="00E44934">
      <w:pPr>
        <w:jc w:val="center"/>
      </w:pPr>
    </w:p>
    <w:p w:rsidR="00E44934" w:rsidRDefault="00E44934" w:rsidP="00E44934"/>
    <w:p w:rsidR="00E44934" w:rsidRDefault="00804FB8" w:rsidP="00E44934">
      <w:r>
        <w:t>Section 101 of t</w:t>
      </w:r>
      <w:r w:rsidR="00E44934" w:rsidRPr="00F95FE8">
        <w:t xml:space="preserve">he </w:t>
      </w:r>
      <w:r w:rsidR="00E44934" w:rsidRPr="00F95FE8">
        <w:rPr>
          <w:i/>
        </w:rPr>
        <w:t>Public Governance, Performance and Accountability Act 2013</w:t>
      </w:r>
      <w:r w:rsidR="00E44934" w:rsidRPr="00F95FE8">
        <w:t xml:space="preserve"> (PGPA Act) </w:t>
      </w:r>
      <w:r w:rsidR="00E44934">
        <w:t xml:space="preserve">provides that the Finance Minister may make rules by legislative instrument to prescribe matters giving effect to the Act. </w:t>
      </w:r>
    </w:p>
    <w:p w:rsidR="00E44934" w:rsidRDefault="00E44934" w:rsidP="00E44934"/>
    <w:p w:rsidR="00E44934" w:rsidRDefault="00A956FA" w:rsidP="00E44934">
      <w:r>
        <w:t xml:space="preserve">The </w:t>
      </w:r>
      <w:r w:rsidRPr="00A956FA">
        <w:rPr>
          <w:i/>
        </w:rPr>
        <w:t>Public Governance, Performance and Accountability (Financial Reporting) Amendment Rule 201</w:t>
      </w:r>
      <w:r w:rsidR="00B31D91">
        <w:rPr>
          <w:i/>
        </w:rPr>
        <w:t xml:space="preserve">8 </w:t>
      </w:r>
      <w:r>
        <w:t xml:space="preserve">amends the </w:t>
      </w:r>
      <w:r w:rsidR="00E44934" w:rsidRPr="00A479B1">
        <w:rPr>
          <w:i/>
        </w:rPr>
        <w:t>Public G</w:t>
      </w:r>
      <w:r w:rsidR="00E44934" w:rsidRPr="008E60E1">
        <w:rPr>
          <w:i/>
        </w:rPr>
        <w:t>overnance, Performance and Accountability</w:t>
      </w:r>
      <w:r w:rsidR="00E44934">
        <w:rPr>
          <w:i/>
        </w:rPr>
        <w:t xml:space="preserve"> (Financial Reporting) </w:t>
      </w:r>
      <w:r w:rsidR="00E44934" w:rsidRPr="008E60E1">
        <w:rPr>
          <w:i/>
        </w:rPr>
        <w:t>Rule 201</w:t>
      </w:r>
      <w:r w:rsidR="00E44934">
        <w:rPr>
          <w:i/>
        </w:rPr>
        <w:t xml:space="preserve">5 </w:t>
      </w:r>
      <w:r w:rsidR="00E44934" w:rsidRPr="004226F4">
        <w:t>(</w:t>
      </w:r>
      <w:r w:rsidR="00E44934" w:rsidRPr="00595EE8">
        <w:rPr>
          <w:b/>
        </w:rPr>
        <w:t>FRR</w:t>
      </w:r>
      <w:r w:rsidR="00E44934" w:rsidRPr="004226F4">
        <w:t>)</w:t>
      </w:r>
      <w:r>
        <w:t xml:space="preserve">. Both rules are </w:t>
      </w:r>
      <w:r w:rsidR="00E44934" w:rsidRPr="00706F2A">
        <w:t>legisla</w:t>
      </w:r>
      <w:r w:rsidR="00E44934">
        <w:t>tive instrument</w:t>
      </w:r>
      <w:r>
        <w:t>s</w:t>
      </w:r>
      <w:r w:rsidR="00E44934">
        <w:t xml:space="preserve"> for the purpose</w:t>
      </w:r>
      <w:r w:rsidR="00E44934" w:rsidRPr="00706F2A">
        <w:t xml:space="preserve"> of the</w:t>
      </w:r>
      <w:r w:rsidR="00E44934" w:rsidRPr="00706F2A">
        <w:rPr>
          <w:i/>
        </w:rPr>
        <w:t xml:space="preserve"> Legislative Instruments Act</w:t>
      </w:r>
      <w:r w:rsidR="00E44934">
        <w:rPr>
          <w:i/>
        </w:rPr>
        <w:t> </w:t>
      </w:r>
      <w:r w:rsidR="00E44934" w:rsidRPr="00706F2A">
        <w:rPr>
          <w:i/>
        </w:rPr>
        <w:t>2003.</w:t>
      </w:r>
    </w:p>
    <w:p w:rsidR="00E44934" w:rsidRPr="00B87FAD" w:rsidRDefault="00E44934" w:rsidP="00E44934"/>
    <w:p w:rsidR="00E44934" w:rsidRPr="00F70A7B" w:rsidRDefault="00E44934" w:rsidP="00E44934">
      <w:pPr>
        <w:tabs>
          <w:tab w:val="left" w:pos="4536"/>
        </w:tabs>
        <w:spacing w:after="120" w:line="240" w:lineRule="atLeast"/>
        <w:rPr>
          <w:b/>
          <w:bCs/>
          <w:specVanish/>
        </w:rPr>
      </w:pPr>
      <w:r w:rsidRPr="00F70A7B">
        <w:rPr>
          <w:b/>
          <w:bCs/>
        </w:rPr>
        <w:t>Other Legislative Provisions</w:t>
      </w:r>
    </w:p>
    <w:p w:rsidR="00E44934" w:rsidRDefault="00E44934" w:rsidP="006B4D64">
      <w:pPr>
        <w:tabs>
          <w:tab w:val="left" w:pos="4536"/>
        </w:tabs>
        <w:spacing w:line="240" w:lineRule="atLeast"/>
      </w:pPr>
      <w:r>
        <w:t>The FRR sets out the requirements for preparation of financial statements under the following legislative provisions:</w:t>
      </w:r>
    </w:p>
    <w:p w:rsidR="00E44934" w:rsidRPr="009C5606" w:rsidRDefault="00F608B0" w:rsidP="006B4D64">
      <w:pPr>
        <w:pStyle w:val="ListParagraph"/>
        <w:numPr>
          <w:ilvl w:val="0"/>
          <w:numId w:val="9"/>
        </w:numPr>
        <w:jc w:val="both"/>
      </w:pPr>
      <w:r>
        <w:t>S</w:t>
      </w:r>
      <w:r w:rsidR="00E44934" w:rsidRPr="009C5606">
        <w:t xml:space="preserve">ubsection 42(2) of the </w:t>
      </w:r>
      <w:r w:rsidR="00E44934" w:rsidRPr="0071547F">
        <w:rPr>
          <w:i/>
        </w:rPr>
        <w:t>Public Governance, Performance and Accountability Act 2013</w:t>
      </w:r>
      <w:r w:rsidR="00E44934" w:rsidRPr="009C5606">
        <w:t xml:space="preserve">; </w:t>
      </w:r>
    </w:p>
    <w:p w:rsidR="00E44934" w:rsidRPr="009C5606" w:rsidRDefault="00F608B0" w:rsidP="006B4D64">
      <w:pPr>
        <w:pStyle w:val="ListParagraph"/>
        <w:numPr>
          <w:ilvl w:val="0"/>
          <w:numId w:val="9"/>
        </w:numPr>
        <w:jc w:val="both"/>
      </w:pPr>
      <w:r>
        <w:t>S</w:t>
      </w:r>
      <w:r w:rsidR="00E44934" w:rsidRPr="009C5606">
        <w:t xml:space="preserve">ubsection 47(1) of the </w:t>
      </w:r>
      <w:r w:rsidR="00E44934" w:rsidRPr="0071547F">
        <w:rPr>
          <w:i/>
        </w:rPr>
        <w:t>High Court of Australia Act 1979</w:t>
      </w:r>
      <w:r w:rsidR="00E44934" w:rsidRPr="009C5606">
        <w:t xml:space="preserve"> in relation to how financial statements must be prepared by the High Court of Australia; </w:t>
      </w:r>
    </w:p>
    <w:p w:rsidR="00E44934" w:rsidRPr="009C5606" w:rsidRDefault="00F608B0" w:rsidP="006B4D64">
      <w:pPr>
        <w:pStyle w:val="ListParagraph"/>
        <w:numPr>
          <w:ilvl w:val="0"/>
          <w:numId w:val="9"/>
        </w:numPr>
        <w:jc w:val="both"/>
      </w:pPr>
      <w:r>
        <w:t>S</w:t>
      </w:r>
      <w:r w:rsidR="00E44934" w:rsidRPr="009C5606">
        <w:t xml:space="preserve">ection 193H of the </w:t>
      </w:r>
      <w:r w:rsidR="00E44934" w:rsidRPr="0071547F">
        <w:rPr>
          <w:i/>
        </w:rPr>
        <w:t>Aboriginal and Torres Strait Islander Act 2005</w:t>
      </w:r>
      <w:r w:rsidR="00E44934" w:rsidRPr="009C5606">
        <w:t xml:space="preserve"> in relation to how the accounts and financial statements must be prepared for the Land Account;</w:t>
      </w:r>
    </w:p>
    <w:p w:rsidR="00E44934" w:rsidRPr="009C5606" w:rsidRDefault="0015715F" w:rsidP="006B4D64">
      <w:pPr>
        <w:pStyle w:val="ListParagraph"/>
        <w:numPr>
          <w:ilvl w:val="0"/>
          <w:numId w:val="9"/>
        </w:numPr>
        <w:jc w:val="both"/>
      </w:pPr>
      <w:r>
        <w:t>S</w:t>
      </w:r>
      <w:r w:rsidR="00E44934" w:rsidRPr="009C5606">
        <w:t xml:space="preserve">ubsections 50B(2) and (4) of the </w:t>
      </w:r>
      <w:r w:rsidR="00E44934" w:rsidRPr="0071547F">
        <w:rPr>
          <w:i/>
        </w:rPr>
        <w:t>Defence Service Homes Act 1918</w:t>
      </w:r>
      <w:r w:rsidR="00E44934" w:rsidRPr="009C5606">
        <w:t xml:space="preserve"> in relation to how financial statements must be prepared by the Defence Service Homes Corporation; and </w:t>
      </w:r>
    </w:p>
    <w:p w:rsidR="00E44934" w:rsidRPr="009C5606" w:rsidRDefault="0015715F" w:rsidP="006B4D64">
      <w:pPr>
        <w:pStyle w:val="ListParagraph"/>
        <w:numPr>
          <w:ilvl w:val="0"/>
          <w:numId w:val="9"/>
        </w:numPr>
        <w:jc w:val="both"/>
      </w:pPr>
      <w:r>
        <w:t>S</w:t>
      </w:r>
      <w:r w:rsidR="00E44934" w:rsidRPr="009C5606">
        <w:t xml:space="preserve">ubsections 43(1) and (3) of the </w:t>
      </w:r>
      <w:r w:rsidR="00E44934" w:rsidRPr="0071547F">
        <w:rPr>
          <w:i/>
        </w:rPr>
        <w:t>Natural Heritage Trust of Australia Act 1997</w:t>
      </w:r>
      <w:r w:rsidR="00E44934" w:rsidRPr="009C5606">
        <w:t xml:space="preserve"> in relation to how financial statements must be prepared for the Natural Heritage Trust of Australia Account. </w:t>
      </w:r>
    </w:p>
    <w:p w:rsidR="00E44934" w:rsidRDefault="00E44934" w:rsidP="006B4D64"/>
    <w:p w:rsidR="00E44934" w:rsidRDefault="00E44934" w:rsidP="006B4D64">
      <w:r>
        <w:t xml:space="preserve">Some provisions </w:t>
      </w:r>
      <w:r w:rsidR="0015715F">
        <w:t>of the FRR are also made under S</w:t>
      </w:r>
      <w:r w:rsidR="0044515B">
        <w:t>ubsection 102(1</w:t>
      </w:r>
      <w:proofErr w:type="gramStart"/>
      <w:r w:rsidR="0044515B">
        <w:t>)(</w:t>
      </w:r>
      <w:proofErr w:type="gramEnd"/>
      <w:r w:rsidR="0044515B">
        <w:t>b) of the PGPA </w:t>
      </w:r>
      <w:r>
        <w:t>Act.</w:t>
      </w:r>
    </w:p>
    <w:p w:rsidR="00AF493A" w:rsidRDefault="00AF493A" w:rsidP="006B4D64">
      <w:pPr>
        <w:rPr>
          <w:b/>
        </w:rPr>
      </w:pPr>
    </w:p>
    <w:p w:rsidR="003C52D4" w:rsidRPr="00407B73" w:rsidRDefault="00504407" w:rsidP="006B4D64">
      <w:pPr>
        <w:spacing w:after="120"/>
        <w:rPr>
          <w:b/>
        </w:rPr>
      </w:pPr>
      <w:r w:rsidRPr="00407B73">
        <w:rPr>
          <w:b/>
        </w:rPr>
        <w:t>201</w:t>
      </w:r>
      <w:r w:rsidR="0038364B">
        <w:rPr>
          <w:b/>
        </w:rPr>
        <w:t>7</w:t>
      </w:r>
      <w:r w:rsidRPr="00407B73">
        <w:rPr>
          <w:b/>
        </w:rPr>
        <w:t>-1</w:t>
      </w:r>
      <w:r w:rsidR="0038364B">
        <w:rPr>
          <w:b/>
        </w:rPr>
        <w:t>8</w:t>
      </w:r>
      <w:r w:rsidRPr="00407B73">
        <w:rPr>
          <w:b/>
        </w:rPr>
        <w:t xml:space="preserve"> </w:t>
      </w:r>
      <w:r w:rsidR="00A365D1" w:rsidRPr="00407B73">
        <w:rPr>
          <w:b/>
        </w:rPr>
        <w:t>A</w:t>
      </w:r>
      <w:r w:rsidR="003C52D4" w:rsidRPr="00407B73">
        <w:rPr>
          <w:b/>
        </w:rPr>
        <w:t>mendments</w:t>
      </w:r>
    </w:p>
    <w:p w:rsidR="00A175A1" w:rsidRDefault="0015715F" w:rsidP="00A175A1">
      <w:pPr>
        <w:spacing w:after="160" w:line="259" w:lineRule="auto"/>
      </w:pPr>
      <w:r>
        <w:t>An amendment is required to S</w:t>
      </w:r>
      <w:r w:rsidR="00A175A1">
        <w:t xml:space="preserve">ubsection 3(2) </w:t>
      </w:r>
      <w:r w:rsidR="0044515B">
        <w:t xml:space="preserve">of the FRR </w:t>
      </w:r>
      <w:r w:rsidR="00A175A1">
        <w:t xml:space="preserve">to enable the amendments to the FRR to apply for reporting periods ending on or after 1 July 2017. </w:t>
      </w:r>
    </w:p>
    <w:p w:rsidR="003B4FC4" w:rsidRDefault="005A428A" w:rsidP="00A175A1">
      <w:pPr>
        <w:spacing w:after="160" w:line="259" w:lineRule="auto"/>
      </w:pPr>
      <w:r>
        <w:t xml:space="preserve">A middle column has been added to the table in </w:t>
      </w:r>
      <w:r w:rsidR="00A175A1">
        <w:t>Subsection 18(3) to</w:t>
      </w:r>
      <w:r w:rsidR="002D5FBC">
        <w:t xml:space="preserve"> further</w:t>
      </w:r>
      <w:r w:rsidR="00A175A1">
        <w:t xml:space="preserve"> </w:t>
      </w:r>
      <w:r w:rsidR="001342BC">
        <w:t>clarify</w:t>
      </w:r>
      <w:r w:rsidR="00A175A1">
        <w:t xml:space="preserve"> the </w:t>
      </w:r>
      <w:r w:rsidR="001342BC">
        <w:t>reporting of specific items</w:t>
      </w:r>
      <w:r>
        <w:t xml:space="preserve">. </w:t>
      </w:r>
      <w:r w:rsidR="001342BC">
        <w:t xml:space="preserve"> </w:t>
      </w:r>
      <w:r w:rsidR="00052605">
        <w:t xml:space="preserve">The listed entities under Subsection 18(3) are required to prepare disclosure notes above Tier 2 minimum disclosure requirements, under the relevant accounting standards. </w:t>
      </w:r>
      <w:bookmarkStart w:id="0" w:name="_GoBack"/>
      <w:bookmarkEnd w:id="0"/>
    </w:p>
    <w:p w:rsidR="003D7534" w:rsidRDefault="003B4FC4" w:rsidP="003D7534">
      <w:pPr>
        <w:spacing w:after="160" w:line="259" w:lineRule="auto"/>
      </w:pPr>
      <w:r>
        <w:t>This amendment</w:t>
      </w:r>
      <w:r w:rsidR="00214EBB">
        <w:t xml:space="preserve"> </w:t>
      </w:r>
      <w:r w:rsidR="003D7534">
        <w:t>will provide disclosures that are more targeted to the needs of users of financial statements.</w:t>
      </w:r>
    </w:p>
    <w:p w:rsidR="0072275C" w:rsidRPr="00407B73" w:rsidRDefault="00921AAE" w:rsidP="006B4D64">
      <w:pPr>
        <w:spacing w:after="120"/>
        <w:rPr>
          <w:b/>
        </w:rPr>
      </w:pPr>
      <w:r w:rsidRPr="00407B73">
        <w:rPr>
          <w:b/>
        </w:rPr>
        <w:lastRenderedPageBreak/>
        <w:t>Retrospectivity</w:t>
      </w:r>
      <w:r w:rsidR="002E02B6">
        <w:rPr>
          <w:b/>
        </w:rPr>
        <w:t xml:space="preserve"> and Timing</w:t>
      </w:r>
    </w:p>
    <w:p w:rsidR="00E6511D" w:rsidRPr="00407B73" w:rsidRDefault="00921AAE" w:rsidP="006B4D64">
      <w:pPr>
        <w:pStyle w:val="Paragraph"/>
        <w:spacing w:before="0"/>
        <w:rPr>
          <w:szCs w:val="24"/>
        </w:rPr>
      </w:pPr>
      <w:r w:rsidRPr="00407B73">
        <w:rPr>
          <w:szCs w:val="24"/>
        </w:rPr>
        <w:t>The retrospective commencement date of this legislative instrument does not adversely affect the rights of persons or otherwise impose liabilities, other than onto the Commonwealth</w:t>
      </w:r>
      <w:r w:rsidR="002E02B6">
        <w:rPr>
          <w:szCs w:val="24"/>
        </w:rPr>
        <w:t xml:space="preserve"> or Australian Government entities</w:t>
      </w:r>
      <w:r w:rsidRPr="00407B73">
        <w:rPr>
          <w:szCs w:val="24"/>
        </w:rPr>
        <w:t>, an</w:t>
      </w:r>
      <w:r w:rsidR="00774787">
        <w:rPr>
          <w:szCs w:val="24"/>
        </w:rPr>
        <w:t>d as such, does not contravene S</w:t>
      </w:r>
      <w:r w:rsidRPr="00407B73">
        <w:rPr>
          <w:szCs w:val="24"/>
        </w:rPr>
        <w:t xml:space="preserve">ubsection 12 (2) of the </w:t>
      </w:r>
      <w:r w:rsidRPr="00407B73">
        <w:rPr>
          <w:i/>
          <w:szCs w:val="24"/>
        </w:rPr>
        <w:t>Legislative Instruments Act 2003</w:t>
      </w:r>
      <w:r w:rsidRPr="00407B73">
        <w:rPr>
          <w:szCs w:val="24"/>
        </w:rPr>
        <w:t>.</w:t>
      </w:r>
      <w:r w:rsidR="0072275C" w:rsidRPr="00407B73">
        <w:rPr>
          <w:szCs w:val="24"/>
        </w:rPr>
        <w:br/>
      </w:r>
    </w:p>
    <w:p w:rsidR="003F1486" w:rsidRDefault="00FF2F93" w:rsidP="006B4D64">
      <w:pPr>
        <w:pStyle w:val="Paragraph"/>
        <w:spacing w:before="0"/>
        <w:rPr>
          <w:szCs w:val="24"/>
        </w:rPr>
      </w:pPr>
      <w:r w:rsidRPr="00407B73">
        <w:rPr>
          <w:szCs w:val="24"/>
        </w:rPr>
        <w:t>A</w:t>
      </w:r>
      <w:r w:rsidR="00EB68DA" w:rsidRPr="00407B73">
        <w:rPr>
          <w:szCs w:val="24"/>
        </w:rPr>
        <w:t xml:space="preserve"> retrospective commencement date </w:t>
      </w:r>
      <w:r w:rsidR="00BE10C4" w:rsidRPr="00407B73">
        <w:rPr>
          <w:szCs w:val="24"/>
        </w:rPr>
        <w:t>has always been</w:t>
      </w:r>
      <w:r w:rsidRPr="00407B73">
        <w:rPr>
          <w:szCs w:val="24"/>
        </w:rPr>
        <w:t xml:space="preserve"> used </w:t>
      </w:r>
      <w:r w:rsidR="00957770">
        <w:rPr>
          <w:szCs w:val="24"/>
        </w:rPr>
        <w:t xml:space="preserve">for financial reporting purposes </w:t>
      </w:r>
      <w:r w:rsidR="00EB68DA" w:rsidRPr="00407B73">
        <w:rPr>
          <w:szCs w:val="24"/>
        </w:rPr>
        <w:t xml:space="preserve">as this ensures </w:t>
      </w:r>
      <w:r w:rsidRPr="00407B73">
        <w:rPr>
          <w:szCs w:val="24"/>
        </w:rPr>
        <w:t xml:space="preserve">that </w:t>
      </w:r>
      <w:r w:rsidR="007E7DC5" w:rsidRPr="00407B73">
        <w:rPr>
          <w:szCs w:val="24"/>
        </w:rPr>
        <w:t xml:space="preserve">changes are applicable in the same </w:t>
      </w:r>
      <w:r w:rsidR="00957770">
        <w:rPr>
          <w:szCs w:val="24"/>
        </w:rPr>
        <w:t xml:space="preserve">reporting </w:t>
      </w:r>
      <w:r w:rsidR="007E7DC5" w:rsidRPr="00407B73">
        <w:rPr>
          <w:szCs w:val="24"/>
        </w:rPr>
        <w:t>period in which the</w:t>
      </w:r>
      <w:r w:rsidRPr="00407B73">
        <w:rPr>
          <w:szCs w:val="24"/>
        </w:rPr>
        <w:t xml:space="preserve"> </w:t>
      </w:r>
      <w:r w:rsidR="007E7DC5" w:rsidRPr="00407B73">
        <w:rPr>
          <w:szCs w:val="24"/>
        </w:rPr>
        <w:t>amendments are made</w:t>
      </w:r>
      <w:r w:rsidRPr="00407B73">
        <w:rPr>
          <w:szCs w:val="24"/>
        </w:rPr>
        <w:t>.</w:t>
      </w:r>
    </w:p>
    <w:p w:rsidR="002E02B6" w:rsidRDefault="002E02B6" w:rsidP="006B4D64">
      <w:pPr>
        <w:pStyle w:val="Paragraph"/>
        <w:spacing w:before="0"/>
        <w:rPr>
          <w:szCs w:val="24"/>
        </w:rPr>
      </w:pPr>
    </w:p>
    <w:p w:rsidR="002E02B6" w:rsidRPr="00407B73" w:rsidRDefault="002E02B6" w:rsidP="006B4D64">
      <w:pPr>
        <w:pStyle w:val="Paragraph"/>
        <w:spacing w:before="0"/>
        <w:rPr>
          <w:szCs w:val="24"/>
        </w:rPr>
      </w:pPr>
      <w:r>
        <w:rPr>
          <w:szCs w:val="24"/>
        </w:rPr>
        <w:t xml:space="preserve">For reporting periods ending </w:t>
      </w:r>
      <w:r w:rsidR="00957770">
        <w:rPr>
          <w:szCs w:val="24"/>
        </w:rPr>
        <w:t>befo</w:t>
      </w:r>
      <w:r>
        <w:rPr>
          <w:szCs w:val="24"/>
        </w:rPr>
        <w:t>re 1 July 201</w:t>
      </w:r>
      <w:r w:rsidR="00A175A1">
        <w:rPr>
          <w:szCs w:val="24"/>
        </w:rPr>
        <w:t>7</w:t>
      </w:r>
      <w:r>
        <w:rPr>
          <w:szCs w:val="24"/>
        </w:rPr>
        <w:t xml:space="preserve">, these amendments to </w:t>
      </w:r>
      <w:r w:rsidR="006B4D64">
        <w:rPr>
          <w:szCs w:val="24"/>
        </w:rPr>
        <w:t xml:space="preserve">the </w:t>
      </w:r>
      <w:r w:rsidR="006B4D64" w:rsidRPr="00AF493A">
        <w:rPr>
          <w:i/>
          <w:szCs w:val="24"/>
        </w:rPr>
        <w:t>Public Governance, Performance and Accountability (Financial Reporting) Rule 2015</w:t>
      </w:r>
      <w:r w:rsidR="006B4D64">
        <w:rPr>
          <w:szCs w:val="24"/>
        </w:rPr>
        <w:t xml:space="preserve"> </w:t>
      </w:r>
      <w:r>
        <w:rPr>
          <w:szCs w:val="24"/>
        </w:rPr>
        <w:t>are not applicable.</w:t>
      </w:r>
    </w:p>
    <w:p w:rsidR="003F1486" w:rsidRDefault="003F1486" w:rsidP="006B4D64">
      <w:pPr>
        <w:pStyle w:val="Paragraph"/>
        <w:spacing w:before="0"/>
        <w:rPr>
          <w:szCs w:val="24"/>
        </w:rPr>
      </w:pPr>
    </w:p>
    <w:p w:rsidR="006B4D64" w:rsidRPr="00407B73" w:rsidRDefault="006B4D64" w:rsidP="006B4D64">
      <w:pPr>
        <w:pStyle w:val="Paragraph"/>
        <w:spacing w:before="0"/>
        <w:rPr>
          <w:szCs w:val="24"/>
        </w:rPr>
      </w:pPr>
    </w:p>
    <w:p w:rsidR="00C07FE4" w:rsidRPr="00407B73" w:rsidRDefault="00C07FE4" w:rsidP="000B5C59">
      <w:pPr>
        <w:pStyle w:val="Heading7"/>
        <w:spacing w:after="120"/>
        <w:ind w:left="0"/>
        <w:rPr>
          <w:i w:val="0"/>
          <w:iCs/>
          <w:sz w:val="24"/>
          <w:szCs w:val="24"/>
        </w:rPr>
      </w:pPr>
      <w:r w:rsidRPr="00407B73">
        <w:rPr>
          <w:i w:val="0"/>
          <w:iCs/>
          <w:sz w:val="24"/>
          <w:szCs w:val="24"/>
        </w:rPr>
        <w:t>Consultation</w:t>
      </w:r>
    </w:p>
    <w:p w:rsidR="00E87790" w:rsidRPr="00407B73" w:rsidRDefault="00634A51" w:rsidP="006B4D64">
      <w:pPr>
        <w:rPr>
          <w:lang w:val="en-GB"/>
        </w:rPr>
      </w:pPr>
      <w:r w:rsidRPr="00407B73">
        <w:rPr>
          <w:lang w:val="en-GB"/>
        </w:rPr>
        <w:t xml:space="preserve">In accordance with </w:t>
      </w:r>
      <w:r w:rsidR="00774787">
        <w:rPr>
          <w:iCs/>
        </w:rPr>
        <w:t>S</w:t>
      </w:r>
      <w:r w:rsidRPr="00407B73">
        <w:rPr>
          <w:iCs/>
        </w:rPr>
        <w:t xml:space="preserve">ection 17 of the </w:t>
      </w:r>
      <w:r w:rsidRPr="00407B73">
        <w:rPr>
          <w:i/>
          <w:iCs/>
        </w:rPr>
        <w:t>Legislative Instruments Act 2003</w:t>
      </w:r>
      <w:r w:rsidRPr="00407B73">
        <w:rPr>
          <w:iCs/>
        </w:rPr>
        <w:t xml:space="preserve">, </w:t>
      </w:r>
      <w:r w:rsidR="00100D03" w:rsidRPr="00407B73">
        <w:t xml:space="preserve">all </w:t>
      </w:r>
      <w:r w:rsidR="003E7DE2">
        <w:t>Australian Government</w:t>
      </w:r>
      <w:r w:rsidR="00100D03" w:rsidRPr="00407B73">
        <w:t xml:space="preserve"> entities required to apply the</w:t>
      </w:r>
      <w:r w:rsidR="00AF493A">
        <w:t xml:space="preserve"> amendments to the </w:t>
      </w:r>
      <w:r w:rsidR="00AF493A" w:rsidRPr="00AF493A">
        <w:rPr>
          <w:i/>
        </w:rPr>
        <w:t>Public Governance, Performance and Accountability (Financial Reporting) Rule 2015</w:t>
      </w:r>
      <w:r w:rsidR="00100D03" w:rsidRPr="00407B73">
        <w:t xml:space="preserve">, including the Australian National Audit Office, have been consulted on the exposure draft and provided with the opportunity to submit comments. </w:t>
      </w:r>
    </w:p>
    <w:p w:rsidR="00E87790" w:rsidRPr="00407B73" w:rsidRDefault="00E87790" w:rsidP="006B4D64">
      <w:pPr>
        <w:rPr>
          <w:lang w:val="en-GB"/>
        </w:rPr>
      </w:pPr>
    </w:p>
    <w:p w:rsidR="00C07FE4" w:rsidRPr="00407B73" w:rsidRDefault="00C07FE4" w:rsidP="006B4D64"/>
    <w:p w:rsidR="007329EA" w:rsidRPr="00407B73" w:rsidRDefault="006B4D64" w:rsidP="006B4D64">
      <w:pPr>
        <w:pStyle w:val="BodyText3"/>
        <w:spacing w:before="0"/>
        <w:rPr>
          <w:b/>
          <w:sz w:val="24"/>
        </w:rPr>
      </w:pPr>
      <w:r>
        <w:rPr>
          <w:b/>
          <w:sz w:val="24"/>
        </w:rPr>
        <w:t>Attachments</w:t>
      </w:r>
    </w:p>
    <w:p w:rsidR="00D344F8" w:rsidRPr="00407B73" w:rsidRDefault="00D344F8" w:rsidP="006B4D64">
      <w:pPr>
        <w:rPr>
          <w:lang w:val="en-GB"/>
        </w:rPr>
      </w:pPr>
    </w:p>
    <w:p w:rsidR="00802A29" w:rsidRPr="00407B73" w:rsidRDefault="00802A29" w:rsidP="006B4D64">
      <w:r w:rsidRPr="00407B73">
        <w:rPr>
          <w:lang w:val="en-GB"/>
        </w:rPr>
        <w:t xml:space="preserve">The Statement of Compatibility with Human Rights as required by the </w:t>
      </w:r>
      <w:r w:rsidRPr="00407B73">
        <w:rPr>
          <w:i/>
          <w:lang w:val="en-GB"/>
        </w:rPr>
        <w:t>Human Rights (Parliamentary Scrutiny) Act 2011</w:t>
      </w:r>
      <w:r w:rsidRPr="00407B73">
        <w:rPr>
          <w:lang w:val="en-GB"/>
        </w:rPr>
        <w:t xml:space="preserve"> is provided in </w:t>
      </w:r>
      <w:r w:rsidRPr="00407B73">
        <w:rPr>
          <w:u w:val="single"/>
          <w:lang w:val="en-GB"/>
        </w:rPr>
        <w:t xml:space="preserve">Attachment </w:t>
      </w:r>
      <w:r w:rsidR="00A34B42">
        <w:rPr>
          <w:u w:val="single"/>
          <w:lang w:val="en-GB"/>
        </w:rPr>
        <w:t>A</w:t>
      </w:r>
      <w:r w:rsidRPr="00407B73">
        <w:rPr>
          <w:lang w:val="en-GB"/>
        </w:rPr>
        <w:t>.</w:t>
      </w:r>
    </w:p>
    <w:p w:rsidR="007329EA" w:rsidRPr="00407B73" w:rsidRDefault="007329EA" w:rsidP="007329EA">
      <w:pPr>
        <w:pStyle w:val="BodyText3"/>
        <w:rPr>
          <w:sz w:val="24"/>
        </w:rPr>
      </w:pPr>
    </w:p>
    <w:p w:rsidR="00AE0023" w:rsidRPr="00407B73" w:rsidRDefault="00AE0023" w:rsidP="00397D8B">
      <w:pPr>
        <w:pStyle w:val="Heading1"/>
        <w:rPr>
          <w:lang w:val="en-AU"/>
        </w:rPr>
      </w:pPr>
    </w:p>
    <w:p w:rsidR="007329EA" w:rsidRPr="00407B73" w:rsidRDefault="007329EA" w:rsidP="007329EA">
      <w:pPr>
        <w:sectPr w:rsidR="007329EA" w:rsidRPr="00407B73" w:rsidSect="00080F3C">
          <w:headerReference w:type="default" r:id="rId8"/>
          <w:footerReference w:type="default" r:id="rId9"/>
          <w:footerReference w:type="first" r:id="rId10"/>
          <w:pgSz w:w="11907" w:h="16840" w:code="9"/>
          <w:pgMar w:top="1440" w:right="1797" w:bottom="1440" w:left="1797" w:header="720" w:footer="209" w:gutter="0"/>
          <w:cols w:space="720"/>
          <w:docGrid w:linePitch="326"/>
        </w:sectPr>
      </w:pPr>
    </w:p>
    <w:p w:rsidR="00F53ADE" w:rsidRPr="00647838" w:rsidRDefault="00F53ADE" w:rsidP="00F53ADE">
      <w:pPr>
        <w:pStyle w:val="Heading1"/>
        <w:rPr>
          <w:u w:val="single"/>
          <w:lang w:val="en-AU"/>
        </w:rPr>
      </w:pPr>
      <w:r w:rsidRPr="00647838">
        <w:rPr>
          <w:u w:val="single"/>
          <w:lang w:val="en-AU"/>
        </w:rPr>
        <w:lastRenderedPageBreak/>
        <w:t>Explanatory Statement</w:t>
      </w:r>
      <w:r w:rsidR="00A34B42">
        <w:rPr>
          <w:u w:val="single"/>
          <w:lang w:val="en-AU"/>
        </w:rPr>
        <w:t xml:space="preserve"> – Attachment A</w:t>
      </w:r>
    </w:p>
    <w:p w:rsidR="00F53ADE" w:rsidRDefault="00F53ADE" w:rsidP="00F53ADE">
      <w:pPr>
        <w:pStyle w:val="Heading1"/>
        <w:spacing w:after="120"/>
        <w:rPr>
          <w:rFonts w:ascii="Calibri" w:hAnsi="Calibri" w:cs="Arial"/>
          <w:i/>
          <w:iCs/>
          <w:sz w:val="22"/>
          <w:szCs w:val="22"/>
          <w:lang w:val="en-AU"/>
        </w:rPr>
      </w:pPr>
    </w:p>
    <w:p w:rsidR="00BA129C" w:rsidRPr="00FA4C97" w:rsidRDefault="00BA129C" w:rsidP="00BA129C">
      <w:pPr>
        <w:jc w:val="center"/>
        <w:rPr>
          <w:b/>
          <w:sz w:val="36"/>
        </w:rPr>
      </w:pPr>
      <w:r w:rsidRPr="00FA4C97">
        <w:rPr>
          <w:b/>
          <w:sz w:val="36"/>
        </w:rPr>
        <w:t>Statement of Compatibility with Human Rights</w:t>
      </w:r>
    </w:p>
    <w:p w:rsidR="00524B43" w:rsidRDefault="00BA129C" w:rsidP="00BA129C">
      <w:pPr>
        <w:jc w:val="center"/>
        <w:rPr>
          <w:i/>
        </w:rPr>
      </w:pPr>
      <w:r w:rsidRPr="00FA5D6D">
        <w:t>Prepared in accordance with</w:t>
      </w:r>
      <w:r>
        <w:rPr>
          <w:i/>
        </w:rPr>
        <w:t xml:space="preserve"> </w:t>
      </w:r>
      <w:r w:rsidRPr="00FA5D6D">
        <w:t>Part 3 of the</w:t>
      </w:r>
      <w:r>
        <w:rPr>
          <w:i/>
        </w:rPr>
        <w:t xml:space="preserve"> </w:t>
      </w:r>
    </w:p>
    <w:p w:rsidR="00BA129C" w:rsidRDefault="00BA129C" w:rsidP="00BA129C">
      <w:pPr>
        <w:jc w:val="center"/>
        <w:rPr>
          <w:i/>
        </w:rPr>
      </w:pPr>
      <w:r>
        <w:rPr>
          <w:i/>
        </w:rPr>
        <w:t>Human Rights (Parliamentary Scrutiny) Act 2011</w:t>
      </w:r>
      <w:r w:rsidR="00091CF8">
        <w:rPr>
          <w:i/>
        </w:rPr>
        <w:t>, section 9</w:t>
      </w:r>
    </w:p>
    <w:p w:rsidR="00BA129C" w:rsidRDefault="00BA129C" w:rsidP="00BA129C">
      <w:pPr>
        <w:jc w:val="center"/>
        <w:rPr>
          <w:i/>
        </w:rPr>
      </w:pPr>
    </w:p>
    <w:p w:rsidR="00BA129C" w:rsidRDefault="0043071F" w:rsidP="00BA129C">
      <w:pPr>
        <w:jc w:val="center"/>
        <w:rPr>
          <w:b/>
          <w:sz w:val="28"/>
        </w:rPr>
      </w:pPr>
      <w:r w:rsidRPr="003E7A7B">
        <w:rPr>
          <w:b/>
          <w:i/>
          <w:sz w:val="28"/>
        </w:rPr>
        <w:t xml:space="preserve">Public Governance, Performance and Accountability (Financial Reporting) </w:t>
      </w:r>
      <w:r w:rsidR="00150320">
        <w:rPr>
          <w:b/>
          <w:i/>
          <w:sz w:val="28"/>
        </w:rPr>
        <w:t xml:space="preserve">Amendment </w:t>
      </w:r>
      <w:r w:rsidRPr="003E7A7B">
        <w:rPr>
          <w:b/>
          <w:i/>
          <w:sz w:val="28"/>
        </w:rPr>
        <w:t>Rule 201</w:t>
      </w:r>
      <w:r w:rsidR="00FF1E80">
        <w:rPr>
          <w:b/>
          <w:i/>
          <w:sz w:val="28"/>
        </w:rPr>
        <w:t>8</w:t>
      </w:r>
    </w:p>
    <w:p w:rsidR="0043071F" w:rsidRPr="00BA129C" w:rsidRDefault="0043071F" w:rsidP="0043071F">
      <w:pPr>
        <w:rPr>
          <w:b/>
          <w:sz w:val="28"/>
        </w:rPr>
      </w:pPr>
    </w:p>
    <w:p w:rsidR="00E835FF" w:rsidRPr="00662BFB" w:rsidRDefault="00F53ADE" w:rsidP="00E44934">
      <w:pPr>
        <w:pStyle w:val="ListParagraph"/>
        <w:numPr>
          <w:ilvl w:val="0"/>
          <w:numId w:val="6"/>
        </w:numPr>
        <w:spacing w:before="120" w:after="120"/>
        <w:rPr>
          <w:rFonts w:ascii="Calibri" w:eastAsiaTheme="minorHAnsi" w:hAnsi="Calibri"/>
        </w:rPr>
      </w:pPr>
      <w:r w:rsidRPr="00662BFB">
        <w:t xml:space="preserve">The proposed amendments do not engage any of the applicable rights or freedoms outlined in the </w:t>
      </w:r>
      <w:r w:rsidRPr="00662BFB">
        <w:rPr>
          <w:i/>
          <w:iCs/>
        </w:rPr>
        <w:t>Human Rights (Parliamentary Scrutiny) Act 2011</w:t>
      </w:r>
      <w:r w:rsidRPr="00662BFB">
        <w:t xml:space="preserve">, such as encompassed in the </w:t>
      </w:r>
      <w:r w:rsidRPr="00662BFB">
        <w:rPr>
          <w:i/>
          <w:iCs/>
        </w:rPr>
        <w:t>International Covenant on Civil and Political Rights</w:t>
      </w:r>
      <w:r w:rsidRPr="00662BFB">
        <w:t>.</w:t>
      </w:r>
    </w:p>
    <w:p w:rsidR="00E835FF" w:rsidRPr="00662BFB" w:rsidRDefault="00F53ADE" w:rsidP="00E44934">
      <w:pPr>
        <w:pStyle w:val="ListParagraph"/>
        <w:numPr>
          <w:ilvl w:val="0"/>
          <w:numId w:val="6"/>
        </w:numPr>
        <w:spacing w:before="120" w:after="120"/>
        <w:rPr>
          <w:rFonts w:ascii="Calibri" w:eastAsiaTheme="minorHAnsi" w:hAnsi="Calibri"/>
        </w:rPr>
      </w:pPr>
      <w:r w:rsidRPr="00662BFB">
        <w:t xml:space="preserve">The proposed amendments do not limit any human rights, nor propose any offences or penalties.  </w:t>
      </w:r>
    </w:p>
    <w:p w:rsidR="00F53ADE" w:rsidRPr="00662BFB" w:rsidRDefault="00F53ADE" w:rsidP="00E44934">
      <w:pPr>
        <w:pStyle w:val="ListParagraph"/>
        <w:numPr>
          <w:ilvl w:val="0"/>
          <w:numId w:val="6"/>
        </w:numPr>
        <w:spacing w:before="120" w:after="120"/>
        <w:rPr>
          <w:rFonts w:ascii="Calibri" w:eastAsiaTheme="minorHAnsi" w:hAnsi="Calibri"/>
        </w:rPr>
      </w:pPr>
      <w:r w:rsidRPr="00662BFB">
        <w:t xml:space="preserve">This legislative instrument is therefore compatible with the human rights and freedoms recognised or declared in the international instruments listed in subsection 3(1) of the </w:t>
      </w:r>
      <w:r w:rsidRPr="00662BFB">
        <w:rPr>
          <w:i/>
          <w:iCs/>
        </w:rPr>
        <w:t xml:space="preserve">Human Rights (Parliamentary Scrutiny) Act </w:t>
      </w:r>
      <w:r w:rsidRPr="00091CF8">
        <w:rPr>
          <w:i/>
          <w:iCs/>
        </w:rPr>
        <w:t>2011</w:t>
      </w:r>
      <w:r w:rsidRPr="00091CF8">
        <w:rPr>
          <w:bCs/>
        </w:rPr>
        <w:t>.</w:t>
      </w:r>
    </w:p>
    <w:p w:rsidR="00B3043B" w:rsidRDefault="00B3043B" w:rsidP="00B3043B">
      <w:pPr>
        <w:spacing w:after="100"/>
        <w:ind w:right="-341"/>
      </w:pPr>
    </w:p>
    <w:p w:rsidR="00BA129C" w:rsidRPr="00933F1E" w:rsidRDefault="00091CF8" w:rsidP="00BA129C">
      <w:pPr>
        <w:jc w:val="center"/>
        <w:rPr>
          <w:b/>
        </w:rPr>
      </w:pPr>
      <w:r>
        <w:rPr>
          <w:b/>
        </w:rPr>
        <w:t xml:space="preserve">Senator the Honourable </w:t>
      </w:r>
      <w:r w:rsidR="00504407">
        <w:rPr>
          <w:b/>
        </w:rPr>
        <w:t>Mathias Cormann</w:t>
      </w:r>
      <w:r w:rsidR="00BA129C" w:rsidRPr="00933F1E">
        <w:rPr>
          <w:b/>
        </w:rPr>
        <w:t xml:space="preserve">, Minister for Finance </w:t>
      </w:r>
    </w:p>
    <w:p w:rsidR="002A4F19" w:rsidRPr="00552752" w:rsidRDefault="002A4F19" w:rsidP="00AE0023">
      <w:pPr>
        <w:rPr>
          <w:sz w:val="22"/>
          <w:szCs w:val="22"/>
          <w:highlight w:val="yellow"/>
        </w:rPr>
      </w:pPr>
    </w:p>
    <w:sectPr w:rsidR="002A4F19" w:rsidRPr="00552752" w:rsidSect="00091CF8">
      <w:pgSz w:w="11907" w:h="16840" w:code="9"/>
      <w:pgMar w:top="993" w:right="1797" w:bottom="709" w:left="179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25" w:rsidRDefault="00E14925">
      <w:r>
        <w:separator/>
      </w:r>
    </w:p>
  </w:endnote>
  <w:endnote w:type="continuationSeparator" w:id="0">
    <w:p w:rsidR="00E14925" w:rsidRDefault="00E1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75"/>
      <w:gridCol w:w="5954"/>
      <w:gridCol w:w="673"/>
    </w:tblGrid>
    <w:tr w:rsidR="00E14925" w:rsidTr="008E1EF8">
      <w:tc>
        <w:tcPr>
          <w:tcW w:w="675" w:type="dxa"/>
          <w:tcBorders>
            <w:left w:val="nil"/>
            <w:bottom w:val="nil"/>
            <w:right w:val="nil"/>
          </w:tcBorders>
        </w:tcPr>
        <w:p w:rsidR="00E14925" w:rsidRPr="006B1927" w:rsidRDefault="00E14925" w:rsidP="00557BB0">
          <w:pPr>
            <w:pStyle w:val="Footer"/>
            <w:rPr>
              <w:rFonts w:ascii="Arial" w:hAnsi="Arial" w:cs="Arial"/>
              <w:sz w:val="18"/>
            </w:rPr>
          </w:pPr>
        </w:p>
      </w:tc>
      <w:tc>
        <w:tcPr>
          <w:tcW w:w="5954" w:type="dxa"/>
          <w:tcBorders>
            <w:left w:val="nil"/>
            <w:bottom w:val="nil"/>
            <w:right w:val="nil"/>
          </w:tcBorders>
        </w:tcPr>
        <w:p w:rsidR="00E14925" w:rsidRDefault="00E14925" w:rsidP="008F774A">
          <w:pPr>
            <w:pStyle w:val="Footer"/>
            <w:jc w:val="center"/>
            <w:rPr>
              <w:rFonts w:ascii="Arial" w:hAnsi="Arial"/>
              <w:i/>
              <w:sz w:val="18"/>
            </w:rPr>
          </w:pPr>
          <w:r>
            <w:rPr>
              <w:rFonts w:ascii="Arial" w:hAnsi="Arial"/>
              <w:i/>
              <w:sz w:val="18"/>
            </w:rPr>
            <w:t>Explanatory Statement to the Public Governance, Performance and Accountability (Financial Reporting) Amendment</w:t>
          </w:r>
        </w:p>
        <w:p w:rsidR="00E14925" w:rsidRPr="00EF11AE" w:rsidRDefault="00E14925" w:rsidP="008F774A">
          <w:pPr>
            <w:pStyle w:val="Footer"/>
            <w:jc w:val="center"/>
          </w:pPr>
          <w:r>
            <w:rPr>
              <w:rFonts w:ascii="Arial" w:hAnsi="Arial"/>
              <w:i/>
              <w:sz w:val="18"/>
            </w:rPr>
            <w:t>Rule 201</w:t>
          </w:r>
          <w:r w:rsidR="0020394A">
            <w:rPr>
              <w:rFonts w:ascii="Arial" w:hAnsi="Arial"/>
              <w:i/>
              <w:sz w:val="18"/>
            </w:rPr>
            <w:t>8</w:t>
          </w:r>
        </w:p>
        <w:p w:rsidR="00E14925" w:rsidRDefault="00E14925" w:rsidP="008E1EF8">
          <w:pPr>
            <w:pStyle w:val="Footer"/>
          </w:pPr>
        </w:p>
      </w:tc>
      <w:tc>
        <w:tcPr>
          <w:tcW w:w="673" w:type="dxa"/>
          <w:tcBorders>
            <w:left w:val="nil"/>
            <w:bottom w:val="nil"/>
            <w:right w:val="nil"/>
          </w:tcBorders>
        </w:tcPr>
        <w:p w:rsidR="00E14925" w:rsidRPr="006B1927" w:rsidRDefault="00E14925" w:rsidP="008E1EF8">
          <w:pPr>
            <w:pStyle w:val="Footer"/>
            <w:rPr>
              <w:rFonts w:ascii="Arial" w:hAnsi="Arial" w:cs="Arial"/>
            </w:rPr>
          </w:pPr>
          <w:r w:rsidRPr="006B1927">
            <w:rPr>
              <w:rStyle w:val="PageNumber"/>
              <w:rFonts w:ascii="Arial" w:hAnsi="Arial" w:cs="Arial"/>
            </w:rPr>
            <w:fldChar w:fldCharType="begin"/>
          </w:r>
          <w:r w:rsidRPr="006B1927">
            <w:rPr>
              <w:rStyle w:val="PageNumber"/>
              <w:rFonts w:ascii="Arial" w:hAnsi="Arial" w:cs="Arial"/>
            </w:rPr>
            <w:instrText xml:space="preserve"> PAGE </w:instrText>
          </w:r>
          <w:r w:rsidRPr="006B1927">
            <w:rPr>
              <w:rStyle w:val="PageNumber"/>
              <w:rFonts w:ascii="Arial" w:hAnsi="Arial" w:cs="Arial"/>
            </w:rPr>
            <w:fldChar w:fldCharType="separate"/>
          </w:r>
          <w:r w:rsidR="005A428A">
            <w:rPr>
              <w:rStyle w:val="PageNumber"/>
              <w:rFonts w:ascii="Arial" w:hAnsi="Arial" w:cs="Arial"/>
              <w:noProof/>
            </w:rPr>
            <w:t>2</w:t>
          </w:r>
          <w:r w:rsidRPr="006B1927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E14925" w:rsidRDefault="00E14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75"/>
      <w:gridCol w:w="5954"/>
      <w:gridCol w:w="673"/>
    </w:tblGrid>
    <w:tr w:rsidR="00E14925" w:rsidTr="008E1EF8">
      <w:tc>
        <w:tcPr>
          <w:tcW w:w="675" w:type="dxa"/>
          <w:tcBorders>
            <w:left w:val="nil"/>
            <w:bottom w:val="nil"/>
            <w:right w:val="nil"/>
          </w:tcBorders>
        </w:tcPr>
        <w:p w:rsidR="00E14925" w:rsidRPr="006B1927" w:rsidRDefault="00E14925" w:rsidP="008E1EF8">
          <w:pPr>
            <w:pStyle w:val="Footer"/>
            <w:rPr>
              <w:rFonts w:ascii="Arial" w:hAnsi="Arial" w:cs="Arial"/>
              <w:sz w:val="18"/>
            </w:rPr>
          </w:pPr>
        </w:p>
      </w:tc>
      <w:tc>
        <w:tcPr>
          <w:tcW w:w="5954" w:type="dxa"/>
          <w:tcBorders>
            <w:left w:val="nil"/>
            <w:bottom w:val="nil"/>
            <w:right w:val="nil"/>
          </w:tcBorders>
        </w:tcPr>
        <w:p w:rsidR="00E14925" w:rsidRDefault="00E14925" w:rsidP="00192834">
          <w:pPr>
            <w:pStyle w:val="Footer"/>
            <w:jc w:val="center"/>
            <w:rPr>
              <w:rFonts w:ascii="Arial" w:hAnsi="Arial"/>
              <w:i/>
              <w:sz w:val="18"/>
            </w:rPr>
          </w:pPr>
          <w:r>
            <w:rPr>
              <w:rFonts w:ascii="Arial" w:hAnsi="Arial"/>
              <w:i/>
              <w:sz w:val="18"/>
            </w:rPr>
            <w:t>Explanatory Statement to the Public Governance, Performance and Accountability (Financial Reporting) Amendment</w:t>
          </w:r>
        </w:p>
        <w:p w:rsidR="00E14925" w:rsidRPr="00EF11AE" w:rsidRDefault="00E14925" w:rsidP="00192834">
          <w:pPr>
            <w:pStyle w:val="Footer"/>
            <w:jc w:val="center"/>
          </w:pPr>
          <w:r>
            <w:rPr>
              <w:rFonts w:ascii="Arial" w:hAnsi="Arial"/>
              <w:i/>
              <w:sz w:val="18"/>
            </w:rPr>
            <w:t xml:space="preserve"> (Miscellaneous) Rule 2016</w:t>
          </w:r>
        </w:p>
        <w:p w:rsidR="00E14925" w:rsidRDefault="00E14925" w:rsidP="008E1EF8">
          <w:pPr>
            <w:pStyle w:val="Footer"/>
          </w:pPr>
        </w:p>
      </w:tc>
      <w:tc>
        <w:tcPr>
          <w:tcW w:w="673" w:type="dxa"/>
          <w:tcBorders>
            <w:left w:val="nil"/>
            <w:bottom w:val="nil"/>
            <w:right w:val="nil"/>
          </w:tcBorders>
        </w:tcPr>
        <w:p w:rsidR="00E14925" w:rsidRPr="006B1927" w:rsidRDefault="00E14925" w:rsidP="008E1EF8">
          <w:pPr>
            <w:pStyle w:val="Footer"/>
            <w:rPr>
              <w:rFonts w:ascii="Arial" w:hAnsi="Arial" w:cs="Arial"/>
            </w:rPr>
          </w:pPr>
          <w:r w:rsidRPr="006B1927">
            <w:rPr>
              <w:rStyle w:val="PageNumber"/>
              <w:rFonts w:ascii="Arial" w:hAnsi="Arial" w:cs="Arial"/>
            </w:rPr>
            <w:fldChar w:fldCharType="begin"/>
          </w:r>
          <w:r w:rsidRPr="006B1927">
            <w:rPr>
              <w:rStyle w:val="PageNumber"/>
              <w:rFonts w:ascii="Arial" w:hAnsi="Arial" w:cs="Arial"/>
            </w:rPr>
            <w:instrText xml:space="preserve"> PAGE </w:instrText>
          </w:r>
          <w:r w:rsidRPr="006B1927">
            <w:rPr>
              <w:rStyle w:val="PageNumber"/>
              <w:rFonts w:ascii="Arial" w:hAnsi="Arial" w:cs="Arial"/>
            </w:rPr>
            <w:fldChar w:fldCharType="separate"/>
          </w:r>
          <w:r w:rsidR="005A428A">
            <w:rPr>
              <w:rStyle w:val="PageNumber"/>
              <w:rFonts w:ascii="Arial" w:hAnsi="Arial" w:cs="Arial"/>
              <w:noProof/>
            </w:rPr>
            <w:t>3</w:t>
          </w:r>
          <w:r w:rsidRPr="006B1927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E14925" w:rsidRDefault="00E14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25" w:rsidRDefault="00E14925">
      <w:r>
        <w:separator/>
      </w:r>
    </w:p>
  </w:footnote>
  <w:footnote w:type="continuationSeparator" w:id="0">
    <w:p w:rsidR="00E14925" w:rsidRDefault="00E1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25" w:rsidRDefault="00E14925">
    <w:pPr>
      <w:pStyle w:val="Header"/>
      <w:pBdr>
        <w:between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20AB"/>
    <w:multiLevelType w:val="hybridMultilevel"/>
    <w:tmpl w:val="D1228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49D7"/>
    <w:multiLevelType w:val="multilevel"/>
    <w:tmpl w:val="1DD006AA"/>
    <w:lvl w:ilvl="0">
      <w:start w:val="1"/>
      <w:numFmt w:val="bullet"/>
      <w:pStyle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</w:rPr>
    </w:lvl>
    <w:lvl w:ilvl="8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cs="Symbol" w:hint="default"/>
      </w:rPr>
    </w:lvl>
  </w:abstractNum>
  <w:abstractNum w:abstractNumId="2" w15:restartNumberingAfterBreak="0">
    <w:nsid w:val="22ED0DF7"/>
    <w:multiLevelType w:val="hybridMultilevel"/>
    <w:tmpl w:val="99524468"/>
    <w:lvl w:ilvl="0" w:tplc="D48451A8">
      <w:start w:val="1"/>
      <w:numFmt w:val="bullet"/>
      <w:pStyle w:val="StyleNew"/>
      <w:lvlText w:val=""/>
      <w:lvlJc w:val="left"/>
      <w:pPr>
        <w:tabs>
          <w:tab w:val="num" w:pos="720"/>
        </w:tabs>
        <w:ind w:left="340" w:hanging="340"/>
      </w:pPr>
      <w:rPr>
        <w:rFonts w:ascii="Symbol" w:hAnsi="Symbol" w:hint="default"/>
      </w:rPr>
    </w:lvl>
    <w:lvl w:ilvl="1" w:tplc="F294D27C">
      <w:start w:val="1"/>
      <w:numFmt w:val="bullet"/>
      <w:lvlText w:val="o"/>
      <w:lvlJc w:val="left"/>
      <w:pPr>
        <w:tabs>
          <w:tab w:val="num" w:pos="927"/>
        </w:tabs>
        <w:ind w:left="907" w:hanging="340"/>
      </w:pPr>
      <w:rPr>
        <w:rFonts w:ascii="Courier New" w:hAnsi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3F9B"/>
    <w:multiLevelType w:val="hybridMultilevel"/>
    <w:tmpl w:val="0BD65B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53FD"/>
    <w:multiLevelType w:val="hybridMultilevel"/>
    <w:tmpl w:val="F6E08226"/>
    <w:lvl w:ilvl="0" w:tplc="CAA24094">
      <w:start w:val="2"/>
      <w:numFmt w:val="decimal"/>
      <w:pStyle w:val="NumberedParagraph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951A0B"/>
    <w:multiLevelType w:val="hybridMultilevel"/>
    <w:tmpl w:val="F11AFA8E"/>
    <w:lvl w:ilvl="0" w:tplc="B442E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2453FF"/>
    <w:multiLevelType w:val="hybridMultilevel"/>
    <w:tmpl w:val="3D72ADDC"/>
    <w:lvl w:ilvl="0" w:tplc="518600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CA3C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AE8450">
      <w:start w:val="1"/>
      <w:numFmt w:val="lowerLetter"/>
      <w:pStyle w:val="AmendmentHeading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93CA284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8" w15:restartNumberingAfterBreak="0">
    <w:nsid w:val="5E815138"/>
    <w:multiLevelType w:val="multilevel"/>
    <w:tmpl w:val="15781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A38338E"/>
    <w:multiLevelType w:val="singleLevel"/>
    <w:tmpl w:val="2922866A"/>
    <w:lvl w:ilvl="0">
      <w:start w:val="1"/>
      <w:numFmt w:val="bullet"/>
      <w:pStyle w:val="Colon"/>
      <w:lvlText w:val="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6A7E2E8A"/>
    <w:multiLevelType w:val="hybridMultilevel"/>
    <w:tmpl w:val="4DCCDC9C"/>
    <w:lvl w:ilvl="0" w:tplc="728868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23CB3F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3B47F6"/>
    <w:multiLevelType w:val="hybridMultilevel"/>
    <w:tmpl w:val="E55A3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rawingGridHorizontalSpacing w:val="120"/>
  <w:displayHorizontalDrawingGridEvery w:val="2"/>
  <w:noPunctuationKerning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71"/>
    <w:rsid w:val="000006AD"/>
    <w:rsid w:val="00005B1F"/>
    <w:rsid w:val="0000674E"/>
    <w:rsid w:val="000225FF"/>
    <w:rsid w:val="00025A18"/>
    <w:rsid w:val="00026225"/>
    <w:rsid w:val="000359A8"/>
    <w:rsid w:val="00037F5D"/>
    <w:rsid w:val="00037F9E"/>
    <w:rsid w:val="000431C7"/>
    <w:rsid w:val="00046DF4"/>
    <w:rsid w:val="00047EC3"/>
    <w:rsid w:val="00051243"/>
    <w:rsid w:val="00052605"/>
    <w:rsid w:val="00061CFC"/>
    <w:rsid w:val="0007348C"/>
    <w:rsid w:val="00080103"/>
    <w:rsid w:val="00080BD7"/>
    <w:rsid w:val="00080F3C"/>
    <w:rsid w:val="000828E6"/>
    <w:rsid w:val="00082AF0"/>
    <w:rsid w:val="0008325B"/>
    <w:rsid w:val="000849FA"/>
    <w:rsid w:val="00086BCA"/>
    <w:rsid w:val="000877BA"/>
    <w:rsid w:val="00087D74"/>
    <w:rsid w:val="00091CF8"/>
    <w:rsid w:val="000922BC"/>
    <w:rsid w:val="00092773"/>
    <w:rsid w:val="000929A9"/>
    <w:rsid w:val="000A154D"/>
    <w:rsid w:val="000A2D37"/>
    <w:rsid w:val="000A5D30"/>
    <w:rsid w:val="000B0097"/>
    <w:rsid w:val="000B5C59"/>
    <w:rsid w:val="000D5BC6"/>
    <w:rsid w:val="000D6AA8"/>
    <w:rsid w:val="000F0D7E"/>
    <w:rsid w:val="000F357C"/>
    <w:rsid w:val="000F39BE"/>
    <w:rsid w:val="000F54DA"/>
    <w:rsid w:val="000F611B"/>
    <w:rsid w:val="00100533"/>
    <w:rsid w:val="00100D03"/>
    <w:rsid w:val="001025A9"/>
    <w:rsid w:val="00107D09"/>
    <w:rsid w:val="00120B88"/>
    <w:rsid w:val="00131A52"/>
    <w:rsid w:val="001342BC"/>
    <w:rsid w:val="00136DC3"/>
    <w:rsid w:val="00147057"/>
    <w:rsid w:val="00150320"/>
    <w:rsid w:val="00152759"/>
    <w:rsid w:val="00152F75"/>
    <w:rsid w:val="0015715F"/>
    <w:rsid w:val="00157755"/>
    <w:rsid w:val="00162D25"/>
    <w:rsid w:val="00165423"/>
    <w:rsid w:val="00171AE6"/>
    <w:rsid w:val="00172AAE"/>
    <w:rsid w:val="00186884"/>
    <w:rsid w:val="00187921"/>
    <w:rsid w:val="00191A88"/>
    <w:rsid w:val="00192834"/>
    <w:rsid w:val="00192B28"/>
    <w:rsid w:val="00194265"/>
    <w:rsid w:val="001A1BDE"/>
    <w:rsid w:val="001A5CE0"/>
    <w:rsid w:val="001B3EE8"/>
    <w:rsid w:val="001D2D11"/>
    <w:rsid w:val="001D2E78"/>
    <w:rsid w:val="001D3594"/>
    <w:rsid w:val="001D6154"/>
    <w:rsid w:val="001E0E7C"/>
    <w:rsid w:val="001E451E"/>
    <w:rsid w:val="001F3301"/>
    <w:rsid w:val="001F4437"/>
    <w:rsid w:val="001F63DC"/>
    <w:rsid w:val="0020394A"/>
    <w:rsid w:val="00205DBF"/>
    <w:rsid w:val="00214EBB"/>
    <w:rsid w:val="002256D1"/>
    <w:rsid w:val="00244804"/>
    <w:rsid w:val="00246B5F"/>
    <w:rsid w:val="0025231B"/>
    <w:rsid w:val="002559F4"/>
    <w:rsid w:val="00260C0B"/>
    <w:rsid w:val="002619D9"/>
    <w:rsid w:val="00264B34"/>
    <w:rsid w:val="00265A2D"/>
    <w:rsid w:val="00272419"/>
    <w:rsid w:val="00280BE8"/>
    <w:rsid w:val="0028188A"/>
    <w:rsid w:val="00283A8B"/>
    <w:rsid w:val="00283EB3"/>
    <w:rsid w:val="002914C7"/>
    <w:rsid w:val="00291940"/>
    <w:rsid w:val="00291AF2"/>
    <w:rsid w:val="0029530D"/>
    <w:rsid w:val="002A0BFE"/>
    <w:rsid w:val="002A1AC4"/>
    <w:rsid w:val="002A2256"/>
    <w:rsid w:val="002A4F19"/>
    <w:rsid w:val="002B0ECE"/>
    <w:rsid w:val="002B2A8F"/>
    <w:rsid w:val="002B519F"/>
    <w:rsid w:val="002C2376"/>
    <w:rsid w:val="002C61CF"/>
    <w:rsid w:val="002D46B0"/>
    <w:rsid w:val="002D5FBC"/>
    <w:rsid w:val="002D7154"/>
    <w:rsid w:val="002E02B6"/>
    <w:rsid w:val="002E5296"/>
    <w:rsid w:val="002E56A4"/>
    <w:rsid w:val="002E6107"/>
    <w:rsid w:val="002E6FC0"/>
    <w:rsid w:val="002F07C0"/>
    <w:rsid w:val="002F413D"/>
    <w:rsid w:val="00313323"/>
    <w:rsid w:val="0031543F"/>
    <w:rsid w:val="00316808"/>
    <w:rsid w:val="00317818"/>
    <w:rsid w:val="00334843"/>
    <w:rsid w:val="0034240F"/>
    <w:rsid w:val="00342FE2"/>
    <w:rsid w:val="0035006A"/>
    <w:rsid w:val="00377742"/>
    <w:rsid w:val="00377E45"/>
    <w:rsid w:val="00380F37"/>
    <w:rsid w:val="0038364B"/>
    <w:rsid w:val="003846EF"/>
    <w:rsid w:val="0039160A"/>
    <w:rsid w:val="00393A73"/>
    <w:rsid w:val="00397D8B"/>
    <w:rsid w:val="003A158A"/>
    <w:rsid w:val="003A7F2B"/>
    <w:rsid w:val="003B0BCD"/>
    <w:rsid w:val="003B4FC4"/>
    <w:rsid w:val="003B6541"/>
    <w:rsid w:val="003B7D2E"/>
    <w:rsid w:val="003C2BD1"/>
    <w:rsid w:val="003C3115"/>
    <w:rsid w:val="003C52C7"/>
    <w:rsid w:val="003C52D4"/>
    <w:rsid w:val="003D3B28"/>
    <w:rsid w:val="003D7534"/>
    <w:rsid w:val="003D7C22"/>
    <w:rsid w:val="003E1B8D"/>
    <w:rsid w:val="003E2256"/>
    <w:rsid w:val="003E4D0F"/>
    <w:rsid w:val="003E590E"/>
    <w:rsid w:val="003E6864"/>
    <w:rsid w:val="003E7A7B"/>
    <w:rsid w:val="003E7DE2"/>
    <w:rsid w:val="003F1486"/>
    <w:rsid w:val="003F4C4C"/>
    <w:rsid w:val="00401667"/>
    <w:rsid w:val="00402FEF"/>
    <w:rsid w:val="004079A5"/>
    <w:rsid w:val="00407B73"/>
    <w:rsid w:val="00414B72"/>
    <w:rsid w:val="00415CC5"/>
    <w:rsid w:val="00420E32"/>
    <w:rsid w:val="00421053"/>
    <w:rsid w:val="00421949"/>
    <w:rsid w:val="0043008C"/>
    <w:rsid w:val="0043071F"/>
    <w:rsid w:val="00433E04"/>
    <w:rsid w:val="004350D7"/>
    <w:rsid w:val="004373D6"/>
    <w:rsid w:val="004437CA"/>
    <w:rsid w:val="004450C3"/>
    <w:rsid w:val="0044515B"/>
    <w:rsid w:val="00447B1D"/>
    <w:rsid w:val="00460056"/>
    <w:rsid w:val="004636B2"/>
    <w:rsid w:val="00463A94"/>
    <w:rsid w:val="00471C6A"/>
    <w:rsid w:val="0047360F"/>
    <w:rsid w:val="00474D61"/>
    <w:rsid w:val="004810EA"/>
    <w:rsid w:val="00483742"/>
    <w:rsid w:val="00485048"/>
    <w:rsid w:val="00490663"/>
    <w:rsid w:val="00492354"/>
    <w:rsid w:val="004A7FBD"/>
    <w:rsid w:val="004B3C3B"/>
    <w:rsid w:val="004B6DC8"/>
    <w:rsid w:val="004C2E3F"/>
    <w:rsid w:val="004D0284"/>
    <w:rsid w:val="004D0C5F"/>
    <w:rsid w:val="004D32CD"/>
    <w:rsid w:val="004D44EF"/>
    <w:rsid w:val="004D50FB"/>
    <w:rsid w:val="004D6E83"/>
    <w:rsid w:val="004D783B"/>
    <w:rsid w:val="004E2414"/>
    <w:rsid w:val="004E43F1"/>
    <w:rsid w:val="004E4B77"/>
    <w:rsid w:val="004E5045"/>
    <w:rsid w:val="004E6863"/>
    <w:rsid w:val="004F37C4"/>
    <w:rsid w:val="004F5A0F"/>
    <w:rsid w:val="0050039A"/>
    <w:rsid w:val="00500498"/>
    <w:rsid w:val="00504407"/>
    <w:rsid w:val="00504894"/>
    <w:rsid w:val="00506090"/>
    <w:rsid w:val="005106EC"/>
    <w:rsid w:val="0051188E"/>
    <w:rsid w:val="00513C8F"/>
    <w:rsid w:val="005158CA"/>
    <w:rsid w:val="00517ECC"/>
    <w:rsid w:val="00524B43"/>
    <w:rsid w:val="00526615"/>
    <w:rsid w:val="00527733"/>
    <w:rsid w:val="00532337"/>
    <w:rsid w:val="005344EA"/>
    <w:rsid w:val="0053606E"/>
    <w:rsid w:val="0054303D"/>
    <w:rsid w:val="00544DC1"/>
    <w:rsid w:val="00552752"/>
    <w:rsid w:val="00557BB0"/>
    <w:rsid w:val="00560BB8"/>
    <w:rsid w:val="0056220C"/>
    <w:rsid w:val="0056441E"/>
    <w:rsid w:val="00565BEB"/>
    <w:rsid w:val="00574A5F"/>
    <w:rsid w:val="00576107"/>
    <w:rsid w:val="0057752C"/>
    <w:rsid w:val="005775C2"/>
    <w:rsid w:val="00580AA7"/>
    <w:rsid w:val="0058371C"/>
    <w:rsid w:val="00592ED3"/>
    <w:rsid w:val="00595EE8"/>
    <w:rsid w:val="005A24B2"/>
    <w:rsid w:val="005A32F6"/>
    <w:rsid w:val="005A428A"/>
    <w:rsid w:val="005A65AF"/>
    <w:rsid w:val="005B171F"/>
    <w:rsid w:val="005D0626"/>
    <w:rsid w:val="005D07D3"/>
    <w:rsid w:val="005D0E5E"/>
    <w:rsid w:val="005D1255"/>
    <w:rsid w:val="005D54B7"/>
    <w:rsid w:val="005D561B"/>
    <w:rsid w:val="005E014D"/>
    <w:rsid w:val="005E34F3"/>
    <w:rsid w:val="005E55DD"/>
    <w:rsid w:val="005E597D"/>
    <w:rsid w:val="005E6DE6"/>
    <w:rsid w:val="005E6FAE"/>
    <w:rsid w:val="005E7724"/>
    <w:rsid w:val="005F0A83"/>
    <w:rsid w:val="005F421E"/>
    <w:rsid w:val="00602012"/>
    <w:rsid w:val="006023D2"/>
    <w:rsid w:val="0060489C"/>
    <w:rsid w:val="00612E1E"/>
    <w:rsid w:val="00622F4E"/>
    <w:rsid w:val="00634A51"/>
    <w:rsid w:val="0063500A"/>
    <w:rsid w:val="00637578"/>
    <w:rsid w:val="00637C60"/>
    <w:rsid w:val="00637DC3"/>
    <w:rsid w:val="00643CC6"/>
    <w:rsid w:val="00645069"/>
    <w:rsid w:val="00647838"/>
    <w:rsid w:val="00653198"/>
    <w:rsid w:val="00655AEE"/>
    <w:rsid w:val="00656569"/>
    <w:rsid w:val="0066001B"/>
    <w:rsid w:val="0066197A"/>
    <w:rsid w:val="00662BFB"/>
    <w:rsid w:val="00663FC9"/>
    <w:rsid w:val="00664B4F"/>
    <w:rsid w:val="00666856"/>
    <w:rsid w:val="006726F2"/>
    <w:rsid w:val="00673FA9"/>
    <w:rsid w:val="006743F7"/>
    <w:rsid w:val="00676D14"/>
    <w:rsid w:val="00686983"/>
    <w:rsid w:val="00691088"/>
    <w:rsid w:val="006938EF"/>
    <w:rsid w:val="00693D80"/>
    <w:rsid w:val="006A025B"/>
    <w:rsid w:val="006B075B"/>
    <w:rsid w:val="006B07DA"/>
    <w:rsid w:val="006B16ED"/>
    <w:rsid w:val="006B3BED"/>
    <w:rsid w:val="006B49EA"/>
    <w:rsid w:val="006B4D64"/>
    <w:rsid w:val="006C0D5B"/>
    <w:rsid w:val="006C1849"/>
    <w:rsid w:val="006C2972"/>
    <w:rsid w:val="006D0AE0"/>
    <w:rsid w:val="006D6AEE"/>
    <w:rsid w:val="006E1B49"/>
    <w:rsid w:val="006E2ABE"/>
    <w:rsid w:val="006E4996"/>
    <w:rsid w:val="007011A9"/>
    <w:rsid w:val="00704BCD"/>
    <w:rsid w:val="007107BA"/>
    <w:rsid w:val="0071140C"/>
    <w:rsid w:val="007142DC"/>
    <w:rsid w:val="00714300"/>
    <w:rsid w:val="0072275C"/>
    <w:rsid w:val="00722F61"/>
    <w:rsid w:val="0072401B"/>
    <w:rsid w:val="00726491"/>
    <w:rsid w:val="007329EA"/>
    <w:rsid w:val="007334F8"/>
    <w:rsid w:val="007356CC"/>
    <w:rsid w:val="00737756"/>
    <w:rsid w:val="007415A3"/>
    <w:rsid w:val="0074667E"/>
    <w:rsid w:val="007510B4"/>
    <w:rsid w:val="00753CD8"/>
    <w:rsid w:val="00770FCA"/>
    <w:rsid w:val="00774787"/>
    <w:rsid w:val="00781368"/>
    <w:rsid w:val="007816D7"/>
    <w:rsid w:val="00781CF3"/>
    <w:rsid w:val="00782EF0"/>
    <w:rsid w:val="00783638"/>
    <w:rsid w:val="00784361"/>
    <w:rsid w:val="0078564E"/>
    <w:rsid w:val="00792494"/>
    <w:rsid w:val="00792E4C"/>
    <w:rsid w:val="007A5E36"/>
    <w:rsid w:val="007B19C1"/>
    <w:rsid w:val="007B2238"/>
    <w:rsid w:val="007C186E"/>
    <w:rsid w:val="007C424A"/>
    <w:rsid w:val="007C43FC"/>
    <w:rsid w:val="007C559A"/>
    <w:rsid w:val="007D036E"/>
    <w:rsid w:val="007E4038"/>
    <w:rsid w:val="007E6787"/>
    <w:rsid w:val="007E704C"/>
    <w:rsid w:val="007E7DC5"/>
    <w:rsid w:val="007F01FA"/>
    <w:rsid w:val="007F1E8F"/>
    <w:rsid w:val="007F4300"/>
    <w:rsid w:val="00800BFF"/>
    <w:rsid w:val="00801B54"/>
    <w:rsid w:val="00802A29"/>
    <w:rsid w:val="00804FB8"/>
    <w:rsid w:val="008063B7"/>
    <w:rsid w:val="008068CF"/>
    <w:rsid w:val="0081179F"/>
    <w:rsid w:val="00820235"/>
    <w:rsid w:val="00822284"/>
    <w:rsid w:val="008228F4"/>
    <w:rsid w:val="00826F2F"/>
    <w:rsid w:val="0083136D"/>
    <w:rsid w:val="0083205F"/>
    <w:rsid w:val="008325BE"/>
    <w:rsid w:val="00833243"/>
    <w:rsid w:val="008356AC"/>
    <w:rsid w:val="00846FCB"/>
    <w:rsid w:val="00850535"/>
    <w:rsid w:val="00851C50"/>
    <w:rsid w:val="00852AF7"/>
    <w:rsid w:val="008658C0"/>
    <w:rsid w:val="00867E15"/>
    <w:rsid w:val="00877539"/>
    <w:rsid w:val="00883EF9"/>
    <w:rsid w:val="00885099"/>
    <w:rsid w:val="008921CA"/>
    <w:rsid w:val="0089329B"/>
    <w:rsid w:val="00894B98"/>
    <w:rsid w:val="008968B4"/>
    <w:rsid w:val="008A00E5"/>
    <w:rsid w:val="008A1BDA"/>
    <w:rsid w:val="008A6315"/>
    <w:rsid w:val="008A7621"/>
    <w:rsid w:val="008B23D0"/>
    <w:rsid w:val="008C0198"/>
    <w:rsid w:val="008C15F5"/>
    <w:rsid w:val="008D0219"/>
    <w:rsid w:val="008D1087"/>
    <w:rsid w:val="008D4E91"/>
    <w:rsid w:val="008D5ED9"/>
    <w:rsid w:val="008E144D"/>
    <w:rsid w:val="008E1EF8"/>
    <w:rsid w:val="008E64A4"/>
    <w:rsid w:val="008F0FE1"/>
    <w:rsid w:val="008F48A3"/>
    <w:rsid w:val="008F631D"/>
    <w:rsid w:val="008F774A"/>
    <w:rsid w:val="009004C4"/>
    <w:rsid w:val="00903BC5"/>
    <w:rsid w:val="00920E7B"/>
    <w:rsid w:val="009212D5"/>
    <w:rsid w:val="00921AAE"/>
    <w:rsid w:val="009301EC"/>
    <w:rsid w:val="00932D06"/>
    <w:rsid w:val="00933FDE"/>
    <w:rsid w:val="00935A56"/>
    <w:rsid w:val="0093607D"/>
    <w:rsid w:val="00947296"/>
    <w:rsid w:val="009565DD"/>
    <w:rsid w:val="00957770"/>
    <w:rsid w:val="00957B20"/>
    <w:rsid w:val="00962C2B"/>
    <w:rsid w:val="009646B1"/>
    <w:rsid w:val="00966042"/>
    <w:rsid w:val="00966BE4"/>
    <w:rsid w:val="00973D8F"/>
    <w:rsid w:val="009743A6"/>
    <w:rsid w:val="009766BD"/>
    <w:rsid w:val="009873C4"/>
    <w:rsid w:val="009900EE"/>
    <w:rsid w:val="009A03BF"/>
    <w:rsid w:val="009A158E"/>
    <w:rsid w:val="009A40AB"/>
    <w:rsid w:val="009A51A2"/>
    <w:rsid w:val="009A6ACB"/>
    <w:rsid w:val="009A7188"/>
    <w:rsid w:val="009B5ABE"/>
    <w:rsid w:val="009C6DA8"/>
    <w:rsid w:val="009D0F0F"/>
    <w:rsid w:val="009D2058"/>
    <w:rsid w:val="009D2CB0"/>
    <w:rsid w:val="009D3BA7"/>
    <w:rsid w:val="009D42C3"/>
    <w:rsid w:val="009D50F8"/>
    <w:rsid w:val="009E2A6F"/>
    <w:rsid w:val="009E3AC5"/>
    <w:rsid w:val="009E4155"/>
    <w:rsid w:val="009E5297"/>
    <w:rsid w:val="009F4285"/>
    <w:rsid w:val="00A02879"/>
    <w:rsid w:val="00A03E9B"/>
    <w:rsid w:val="00A04C8D"/>
    <w:rsid w:val="00A13A6F"/>
    <w:rsid w:val="00A13C0C"/>
    <w:rsid w:val="00A14A22"/>
    <w:rsid w:val="00A15936"/>
    <w:rsid w:val="00A175A1"/>
    <w:rsid w:val="00A17E7E"/>
    <w:rsid w:val="00A22631"/>
    <w:rsid w:val="00A242F8"/>
    <w:rsid w:val="00A25B03"/>
    <w:rsid w:val="00A26C80"/>
    <w:rsid w:val="00A34B42"/>
    <w:rsid w:val="00A365D1"/>
    <w:rsid w:val="00A36BEF"/>
    <w:rsid w:val="00A36EDF"/>
    <w:rsid w:val="00A37F70"/>
    <w:rsid w:val="00A40D51"/>
    <w:rsid w:val="00A444FC"/>
    <w:rsid w:val="00A453BF"/>
    <w:rsid w:val="00A515D7"/>
    <w:rsid w:val="00A54AC3"/>
    <w:rsid w:val="00A5730B"/>
    <w:rsid w:val="00A66004"/>
    <w:rsid w:val="00A72962"/>
    <w:rsid w:val="00A74B02"/>
    <w:rsid w:val="00A75307"/>
    <w:rsid w:val="00A813A7"/>
    <w:rsid w:val="00A82581"/>
    <w:rsid w:val="00A87691"/>
    <w:rsid w:val="00A9217D"/>
    <w:rsid w:val="00A92C78"/>
    <w:rsid w:val="00A956FA"/>
    <w:rsid w:val="00AA3B70"/>
    <w:rsid w:val="00AC3C71"/>
    <w:rsid w:val="00AC4724"/>
    <w:rsid w:val="00AC7E87"/>
    <w:rsid w:val="00AD23B9"/>
    <w:rsid w:val="00AD782F"/>
    <w:rsid w:val="00AE000F"/>
    <w:rsid w:val="00AE0023"/>
    <w:rsid w:val="00AE316C"/>
    <w:rsid w:val="00AF00A4"/>
    <w:rsid w:val="00AF1341"/>
    <w:rsid w:val="00AF493A"/>
    <w:rsid w:val="00AF4F1F"/>
    <w:rsid w:val="00AF5175"/>
    <w:rsid w:val="00AF6CC3"/>
    <w:rsid w:val="00B00F76"/>
    <w:rsid w:val="00B03931"/>
    <w:rsid w:val="00B04180"/>
    <w:rsid w:val="00B04D05"/>
    <w:rsid w:val="00B0703A"/>
    <w:rsid w:val="00B12D7B"/>
    <w:rsid w:val="00B1303F"/>
    <w:rsid w:val="00B14E83"/>
    <w:rsid w:val="00B163FC"/>
    <w:rsid w:val="00B2178C"/>
    <w:rsid w:val="00B23E29"/>
    <w:rsid w:val="00B3043B"/>
    <w:rsid w:val="00B31D91"/>
    <w:rsid w:val="00B33711"/>
    <w:rsid w:val="00B3474A"/>
    <w:rsid w:val="00B400D9"/>
    <w:rsid w:val="00B403FC"/>
    <w:rsid w:val="00B40BF9"/>
    <w:rsid w:val="00B546C3"/>
    <w:rsid w:val="00B57F74"/>
    <w:rsid w:val="00B60189"/>
    <w:rsid w:val="00B60A92"/>
    <w:rsid w:val="00B6108D"/>
    <w:rsid w:val="00B66C72"/>
    <w:rsid w:val="00B77B86"/>
    <w:rsid w:val="00B8228D"/>
    <w:rsid w:val="00B83BCD"/>
    <w:rsid w:val="00B8691D"/>
    <w:rsid w:val="00B92945"/>
    <w:rsid w:val="00BA0F45"/>
    <w:rsid w:val="00BA129C"/>
    <w:rsid w:val="00BA3775"/>
    <w:rsid w:val="00BA4BD5"/>
    <w:rsid w:val="00BB1181"/>
    <w:rsid w:val="00BB2BFB"/>
    <w:rsid w:val="00BC3AA2"/>
    <w:rsid w:val="00BC79C3"/>
    <w:rsid w:val="00BE10C4"/>
    <w:rsid w:val="00BE1461"/>
    <w:rsid w:val="00BE2929"/>
    <w:rsid w:val="00BF1257"/>
    <w:rsid w:val="00BF642F"/>
    <w:rsid w:val="00C04EDA"/>
    <w:rsid w:val="00C07FE4"/>
    <w:rsid w:val="00C1173D"/>
    <w:rsid w:val="00C1317F"/>
    <w:rsid w:val="00C1372C"/>
    <w:rsid w:val="00C16078"/>
    <w:rsid w:val="00C20B32"/>
    <w:rsid w:val="00C21AFD"/>
    <w:rsid w:val="00C23646"/>
    <w:rsid w:val="00C42242"/>
    <w:rsid w:val="00C435EA"/>
    <w:rsid w:val="00C45A5C"/>
    <w:rsid w:val="00C5251E"/>
    <w:rsid w:val="00C5393C"/>
    <w:rsid w:val="00C54B34"/>
    <w:rsid w:val="00C57046"/>
    <w:rsid w:val="00C61AB9"/>
    <w:rsid w:val="00C62D1C"/>
    <w:rsid w:val="00C65E72"/>
    <w:rsid w:val="00C748B2"/>
    <w:rsid w:val="00C74DEE"/>
    <w:rsid w:val="00C759D1"/>
    <w:rsid w:val="00C80021"/>
    <w:rsid w:val="00C8629C"/>
    <w:rsid w:val="00C94F6C"/>
    <w:rsid w:val="00C95FFD"/>
    <w:rsid w:val="00C97DDA"/>
    <w:rsid w:val="00CA1AB8"/>
    <w:rsid w:val="00CB0429"/>
    <w:rsid w:val="00CB165A"/>
    <w:rsid w:val="00CB2978"/>
    <w:rsid w:val="00CB2A31"/>
    <w:rsid w:val="00CC12B3"/>
    <w:rsid w:val="00CC1F2D"/>
    <w:rsid w:val="00CC6493"/>
    <w:rsid w:val="00CD5987"/>
    <w:rsid w:val="00CE37D8"/>
    <w:rsid w:val="00CE5717"/>
    <w:rsid w:val="00CE67B8"/>
    <w:rsid w:val="00CF1AE9"/>
    <w:rsid w:val="00CF2286"/>
    <w:rsid w:val="00CF60E2"/>
    <w:rsid w:val="00CF6BBF"/>
    <w:rsid w:val="00D0245E"/>
    <w:rsid w:val="00D07826"/>
    <w:rsid w:val="00D104A4"/>
    <w:rsid w:val="00D17F28"/>
    <w:rsid w:val="00D344F8"/>
    <w:rsid w:val="00D37ED2"/>
    <w:rsid w:val="00D46A63"/>
    <w:rsid w:val="00D5036C"/>
    <w:rsid w:val="00D515B1"/>
    <w:rsid w:val="00D56281"/>
    <w:rsid w:val="00D65880"/>
    <w:rsid w:val="00D72A20"/>
    <w:rsid w:val="00D75DC3"/>
    <w:rsid w:val="00D8231E"/>
    <w:rsid w:val="00D82A3C"/>
    <w:rsid w:val="00D84F5A"/>
    <w:rsid w:val="00D8500D"/>
    <w:rsid w:val="00D90200"/>
    <w:rsid w:val="00D95A58"/>
    <w:rsid w:val="00DA003F"/>
    <w:rsid w:val="00DA3305"/>
    <w:rsid w:val="00DA47EA"/>
    <w:rsid w:val="00DA74CD"/>
    <w:rsid w:val="00DB1F1C"/>
    <w:rsid w:val="00DB29DB"/>
    <w:rsid w:val="00DC52F8"/>
    <w:rsid w:val="00DC6916"/>
    <w:rsid w:val="00DC6B86"/>
    <w:rsid w:val="00DD1D67"/>
    <w:rsid w:val="00DE0F68"/>
    <w:rsid w:val="00DE288F"/>
    <w:rsid w:val="00DF632B"/>
    <w:rsid w:val="00E02A89"/>
    <w:rsid w:val="00E061F0"/>
    <w:rsid w:val="00E13AED"/>
    <w:rsid w:val="00E14925"/>
    <w:rsid w:val="00E15E81"/>
    <w:rsid w:val="00E21A41"/>
    <w:rsid w:val="00E21BFF"/>
    <w:rsid w:val="00E22740"/>
    <w:rsid w:val="00E23480"/>
    <w:rsid w:val="00E259A1"/>
    <w:rsid w:val="00E33B33"/>
    <w:rsid w:val="00E44659"/>
    <w:rsid w:val="00E44934"/>
    <w:rsid w:val="00E50935"/>
    <w:rsid w:val="00E5242E"/>
    <w:rsid w:val="00E53E2D"/>
    <w:rsid w:val="00E549CD"/>
    <w:rsid w:val="00E62438"/>
    <w:rsid w:val="00E6511D"/>
    <w:rsid w:val="00E65551"/>
    <w:rsid w:val="00E717FC"/>
    <w:rsid w:val="00E725EC"/>
    <w:rsid w:val="00E76533"/>
    <w:rsid w:val="00E835FF"/>
    <w:rsid w:val="00E8558E"/>
    <w:rsid w:val="00E87790"/>
    <w:rsid w:val="00E9733F"/>
    <w:rsid w:val="00EB68DA"/>
    <w:rsid w:val="00EC07FE"/>
    <w:rsid w:val="00EC1E9C"/>
    <w:rsid w:val="00EC6984"/>
    <w:rsid w:val="00ED0BE6"/>
    <w:rsid w:val="00EE2330"/>
    <w:rsid w:val="00EE4401"/>
    <w:rsid w:val="00EF3971"/>
    <w:rsid w:val="00EF773E"/>
    <w:rsid w:val="00F011CD"/>
    <w:rsid w:val="00F03DE8"/>
    <w:rsid w:val="00F04C95"/>
    <w:rsid w:val="00F04CC3"/>
    <w:rsid w:val="00F05198"/>
    <w:rsid w:val="00F056B8"/>
    <w:rsid w:val="00F07E6C"/>
    <w:rsid w:val="00F12FAB"/>
    <w:rsid w:val="00F20000"/>
    <w:rsid w:val="00F20DD3"/>
    <w:rsid w:val="00F275C6"/>
    <w:rsid w:val="00F27848"/>
    <w:rsid w:val="00F33A42"/>
    <w:rsid w:val="00F3635A"/>
    <w:rsid w:val="00F42690"/>
    <w:rsid w:val="00F458E0"/>
    <w:rsid w:val="00F46D6E"/>
    <w:rsid w:val="00F473CA"/>
    <w:rsid w:val="00F478C5"/>
    <w:rsid w:val="00F52747"/>
    <w:rsid w:val="00F52BB0"/>
    <w:rsid w:val="00F53ADE"/>
    <w:rsid w:val="00F608B0"/>
    <w:rsid w:val="00F64AD5"/>
    <w:rsid w:val="00F658F6"/>
    <w:rsid w:val="00F67AD6"/>
    <w:rsid w:val="00F7060C"/>
    <w:rsid w:val="00F74DBB"/>
    <w:rsid w:val="00F7561A"/>
    <w:rsid w:val="00F816BD"/>
    <w:rsid w:val="00F81B25"/>
    <w:rsid w:val="00F95328"/>
    <w:rsid w:val="00FA5D6D"/>
    <w:rsid w:val="00FB03C1"/>
    <w:rsid w:val="00FB1304"/>
    <w:rsid w:val="00FB34CC"/>
    <w:rsid w:val="00FB77AF"/>
    <w:rsid w:val="00FC13D9"/>
    <w:rsid w:val="00FC2768"/>
    <w:rsid w:val="00FD22CD"/>
    <w:rsid w:val="00FD286F"/>
    <w:rsid w:val="00FE1447"/>
    <w:rsid w:val="00FE3F5B"/>
    <w:rsid w:val="00FE3FB9"/>
    <w:rsid w:val="00FF063C"/>
    <w:rsid w:val="00FF1E80"/>
    <w:rsid w:val="00FF2F93"/>
    <w:rsid w:val="00FF544E"/>
    <w:rsid w:val="00FF56D2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."/>
  <w:listSeparator w:val=","/>
  <w14:docId w14:val="6F9B38D6"/>
  <w15:docId w15:val="{77528ED5-1D6D-493C-8D1C-7493D8D0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6D2"/>
    <w:rPr>
      <w:sz w:val="24"/>
      <w:szCs w:val="24"/>
      <w:lang w:eastAsia="en-US"/>
    </w:rPr>
  </w:style>
  <w:style w:type="paragraph" w:styleId="Heading1">
    <w:name w:val="heading 1"/>
    <w:aliases w:val="Attribute Heading 1,h1,Attribute Heading 11,Attribute Heading 12,Attribute Heading 13,Attribute Heading 14,Attribute Heading 15,Attribute Heading 16,Attribute Heading 17,Attribute Heading 18,Attribute Heading 111,Attribute Heading 121"/>
    <w:basedOn w:val="Normal"/>
    <w:next w:val="Normal"/>
    <w:qFormat/>
    <w:rsid w:val="00FF56D2"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FF5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,3,l3,Level 3 Head,HeadSmall,h31,31,l31,Level 3 Head1,H31,HeadSmall1,h32,32,l32,Level 3 Head2,H32,HeadSmall2,h33,33,l33,Level 3 Head3,H33,HeadSmall3,heading 31,Level 1 - 1,C Sub-Sub/Italic,h34,34,l34,Level 3 Head4,H34,heading 3,HeadSmall4"/>
    <w:basedOn w:val="Normal"/>
    <w:next w:val="Normal"/>
    <w:qFormat/>
    <w:rsid w:val="00FF56D2"/>
    <w:pPr>
      <w:keepNext/>
      <w:spacing w:before="240" w:after="60"/>
      <w:outlineLvl w:val="2"/>
    </w:pPr>
  </w:style>
  <w:style w:type="paragraph" w:styleId="Heading4">
    <w:name w:val="heading 4"/>
    <w:aliases w:val="Map Title"/>
    <w:basedOn w:val="Normal"/>
    <w:next w:val="Normal"/>
    <w:qFormat/>
    <w:rsid w:val="00FF56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F56D2"/>
    <w:pPr>
      <w:keepLines/>
      <w:spacing w:before="120"/>
      <w:ind w:left="1985"/>
      <w:outlineLvl w:val="4"/>
    </w:pPr>
    <w:rPr>
      <w:b/>
      <w:bCs/>
      <w:i/>
      <w:i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FF56D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F56D2"/>
    <w:pPr>
      <w:keepNext/>
      <w:ind w:left="851"/>
      <w:outlineLvl w:val="6"/>
    </w:pPr>
    <w:rPr>
      <w:b/>
      <w:i/>
      <w:sz w:val="22"/>
      <w:szCs w:val="20"/>
      <w:lang w:val="en-GB"/>
    </w:rPr>
  </w:style>
  <w:style w:type="paragraph" w:styleId="Heading8">
    <w:name w:val="heading 8"/>
    <w:basedOn w:val="Normal"/>
    <w:next w:val="Normal"/>
    <w:qFormat/>
    <w:rsid w:val="00FF56D2"/>
    <w:pPr>
      <w:keepNext/>
      <w:outlineLvl w:val="7"/>
    </w:pPr>
    <w:rPr>
      <w:i/>
      <w:sz w:val="18"/>
    </w:rPr>
  </w:style>
  <w:style w:type="paragraph" w:styleId="Heading9">
    <w:name w:val="heading 9"/>
    <w:basedOn w:val="Normal"/>
    <w:next w:val="Normal"/>
    <w:qFormat/>
    <w:rsid w:val="00FF56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56D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jc w:val="center"/>
    </w:pPr>
    <w:rPr>
      <w:snapToGrid w:val="0"/>
      <w:color w:val="000000"/>
      <w:szCs w:val="20"/>
      <w:u w:val="single"/>
    </w:rPr>
  </w:style>
  <w:style w:type="paragraph" w:styleId="BodyText2">
    <w:name w:val="Body Text 2"/>
    <w:basedOn w:val="Normal"/>
    <w:rsid w:val="00FF56D2"/>
    <w:pPr>
      <w:spacing w:before="120" w:after="120"/>
      <w:jc w:val="center"/>
    </w:pPr>
    <w:rPr>
      <w:sz w:val="22"/>
      <w:lang w:val="en-US"/>
    </w:rPr>
  </w:style>
  <w:style w:type="paragraph" w:customStyle="1" w:styleId="ParaNumbering">
    <w:name w:val="Para Numbering"/>
    <w:basedOn w:val="Normal"/>
    <w:rsid w:val="00FF56D2"/>
    <w:pPr>
      <w:tabs>
        <w:tab w:val="left" w:pos="567"/>
      </w:tabs>
      <w:spacing w:after="200"/>
    </w:pPr>
    <w:rPr>
      <w:szCs w:val="20"/>
    </w:rPr>
  </w:style>
  <w:style w:type="paragraph" w:customStyle="1" w:styleId="ExplanatoryGuidance">
    <w:name w:val="Explanatory Guidance"/>
    <w:basedOn w:val="Normal"/>
    <w:rsid w:val="00FF56D2"/>
    <w:pPr>
      <w:keepNext/>
      <w:spacing w:before="200"/>
    </w:pPr>
    <w:rPr>
      <w:rFonts w:ascii="Arial" w:hAnsi="Arial"/>
      <w:szCs w:val="20"/>
      <w:lang w:val="en-GB"/>
    </w:rPr>
  </w:style>
  <w:style w:type="paragraph" w:customStyle="1" w:styleId="AmendmentHeading">
    <w:name w:val="Amendment Heading"/>
    <w:basedOn w:val="Normal"/>
    <w:rsid w:val="00FF56D2"/>
    <w:pPr>
      <w:numPr>
        <w:ilvl w:val="3"/>
        <w:numId w:val="1"/>
      </w:numPr>
      <w:tabs>
        <w:tab w:val="clear" w:pos="3240"/>
        <w:tab w:val="num" w:pos="800"/>
      </w:tabs>
      <w:spacing w:before="120"/>
      <w:ind w:left="499" w:hanging="357"/>
    </w:pPr>
    <w:rPr>
      <w:b/>
      <w:bCs/>
    </w:rPr>
  </w:style>
  <w:style w:type="paragraph" w:customStyle="1" w:styleId="Year">
    <w:name w:val="Year"/>
    <w:basedOn w:val="Normal"/>
    <w:rsid w:val="00FF56D2"/>
    <w:pPr>
      <w:keepNext/>
      <w:keepLines/>
      <w:pBdr>
        <w:bottom w:val="single" w:sz="6" w:space="3" w:color="auto"/>
      </w:pBdr>
      <w:tabs>
        <w:tab w:val="left" w:pos="454"/>
        <w:tab w:val="left" w:pos="907"/>
        <w:tab w:val="left" w:pos="1361"/>
        <w:tab w:val="left" w:pos="1814"/>
        <w:tab w:val="left" w:pos="2268"/>
        <w:tab w:val="right" w:leader="dot" w:pos="7938"/>
      </w:tabs>
      <w:spacing w:before="240"/>
    </w:pPr>
    <w:rPr>
      <w:i/>
      <w:iCs/>
      <w:sz w:val="22"/>
      <w:szCs w:val="22"/>
      <w:lang w:val="en-GB"/>
    </w:rPr>
  </w:style>
  <w:style w:type="paragraph" w:customStyle="1" w:styleId="BlackLetterText">
    <w:name w:val="Black Letter Text"/>
    <w:basedOn w:val="Heading2"/>
    <w:rsid w:val="00FF56D2"/>
    <w:pPr>
      <w:numPr>
        <w:ilvl w:val="1"/>
      </w:numPr>
      <w:spacing w:before="120" w:after="120"/>
      <w:ind w:left="720" w:hanging="720"/>
      <w:jc w:val="both"/>
    </w:pPr>
    <w:rPr>
      <w:rFonts w:ascii="Times New Roman" w:hAnsi="Times New Roman" w:cs="Times New Roman"/>
      <w:i w:val="0"/>
      <w:iCs w:val="0"/>
      <w:kern w:val="28"/>
      <w:sz w:val="22"/>
      <w:szCs w:val="22"/>
      <w:lang w:val="en-GB"/>
    </w:rPr>
  </w:style>
  <w:style w:type="paragraph" w:customStyle="1" w:styleId="Policy">
    <w:name w:val="Policy"/>
    <w:basedOn w:val="Heading9"/>
    <w:rsid w:val="00FF56D2"/>
    <w:pPr>
      <w:keepNext/>
      <w:spacing w:before="200" w:after="0"/>
    </w:pPr>
    <w:rPr>
      <w:b/>
      <w:bCs/>
      <w:sz w:val="24"/>
      <w:szCs w:val="24"/>
      <w:lang w:val="en-GB"/>
    </w:rPr>
  </w:style>
  <w:style w:type="paragraph" w:customStyle="1" w:styleId="BlackLetterBP">
    <w:name w:val="Black Letter BP"/>
    <w:basedOn w:val="Heading4"/>
    <w:rsid w:val="00FF56D2"/>
    <w:pPr>
      <w:keepNext w:val="0"/>
      <w:keepLines/>
      <w:tabs>
        <w:tab w:val="num" w:pos="1440"/>
      </w:tabs>
      <w:spacing w:before="120" w:after="0"/>
      <w:ind w:left="1440" w:hanging="720"/>
      <w:jc w:val="both"/>
    </w:pPr>
    <w:rPr>
      <w:sz w:val="22"/>
      <w:szCs w:val="22"/>
    </w:rPr>
  </w:style>
  <w:style w:type="paragraph" w:customStyle="1" w:styleId="41">
    <w:name w:val="4.1"/>
    <w:basedOn w:val="Normal"/>
    <w:rsid w:val="00FF56D2"/>
    <w:rPr>
      <w:b/>
      <w:bCs/>
    </w:rPr>
  </w:style>
  <w:style w:type="paragraph" w:customStyle="1" w:styleId="SC1">
    <w:name w:val="SC1"/>
    <w:basedOn w:val="Normal"/>
    <w:rsid w:val="00FF56D2"/>
    <w:pPr>
      <w:keepNext/>
      <w:tabs>
        <w:tab w:val="left" w:pos="454"/>
      </w:tabs>
      <w:spacing w:after="60"/>
      <w:outlineLvl w:val="5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FootnoteText">
    <w:name w:val="footnote text"/>
    <w:basedOn w:val="Normal"/>
    <w:semiHidden/>
    <w:rsid w:val="00FF56D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56D2"/>
    <w:rPr>
      <w:vertAlign w:val="superscript"/>
    </w:rPr>
  </w:style>
  <w:style w:type="paragraph" w:customStyle="1" w:styleId="Colon">
    <w:name w:val="Colon"/>
    <w:basedOn w:val="Normal"/>
    <w:rsid w:val="00FF56D2"/>
    <w:pPr>
      <w:numPr>
        <w:numId w:val="2"/>
      </w:numPr>
      <w:spacing w:line="240" w:lineRule="atLeast"/>
      <w:ind w:left="0" w:firstLine="0"/>
    </w:pPr>
  </w:style>
  <w:style w:type="paragraph" w:customStyle="1" w:styleId="Tabletext">
    <w:name w:val="Table text"/>
    <w:basedOn w:val="Normal"/>
    <w:rsid w:val="00FF56D2"/>
    <w:pPr>
      <w:spacing w:before="60" w:after="60"/>
    </w:pPr>
    <w:rPr>
      <w:sz w:val="18"/>
      <w:szCs w:val="18"/>
      <w:lang w:val="en-GB"/>
    </w:rPr>
  </w:style>
  <w:style w:type="paragraph" w:customStyle="1" w:styleId="H6">
    <w:name w:val="H6"/>
    <w:basedOn w:val="Heading6"/>
    <w:rsid w:val="00FF56D2"/>
    <w:pPr>
      <w:keepNext/>
      <w:tabs>
        <w:tab w:val="left" w:pos="454"/>
      </w:tabs>
      <w:spacing w:before="0"/>
    </w:pPr>
    <w:rPr>
      <w:i/>
      <w:iCs/>
      <w:sz w:val="20"/>
      <w:szCs w:val="20"/>
    </w:rPr>
  </w:style>
  <w:style w:type="paragraph" w:customStyle="1" w:styleId="BlackLetterSubBullet">
    <w:name w:val="Black Letter Sub Bullet"/>
    <w:basedOn w:val="Heading2"/>
    <w:rsid w:val="00FF56D2"/>
    <w:pPr>
      <w:numPr>
        <w:ilvl w:val="1"/>
      </w:numPr>
      <w:tabs>
        <w:tab w:val="left" w:pos="3570"/>
      </w:tabs>
      <w:spacing w:before="120" w:after="120"/>
      <w:ind w:left="2160" w:hanging="720"/>
      <w:jc w:val="both"/>
    </w:pPr>
    <w:rPr>
      <w:rFonts w:ascii="Times New Roman" w:hAnsi="Times New Roman" w:cs="Times New Roman"/>
      <w:i w:val="0"/>
      <w:iCs w:val="0"/>
      <w:kern w:val="28"/>
      <w:sz w:val="22"/>
      <w:szCs w:val="22"/>
      <w:lang w:val="en-GB"/>
    </w:rPr>
  </w:style>
  <w:style w:type="paragraph" w:styleId="Header">
    <w:name w:val="header"/>
    <w:basedOn w:val="Normal"/>
    <w:rsid w:val="00FF56D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F56D2"/>
    <w:pPr>
      <w:spacing w:before="120" w:after="120"/>
      <w:jc w:val="center"/>
    </w:pPr>
    <w:rPr>
      <w:i/>
      <w:iCs/>
      <w:sz w:val="22"/>
    </w:rPr>
  </w:style>
  <w:style w:type="paragraph" w:styleId="BodyText3">
    <w:name w:val="Body Text 3"/>
    <w:basedOn w:val="Normal"/>
    <w:rsid w:val="00FF56D2"/>
    <w:pPr>
      <w:spacing w:before="120" w:after="120"/>
    </w:pPr>
    <w:rPr>
      <w:sz w:val="22"/>
    </w:rPr>
  </w:style>
  <w:style w:type="paragraph" w:customStyle="1" w:styleId="H3">
    <w:name w:val="H3"/>
    <w:basedOn w:val="Normal"/>
    <w:next w:val="Normal"/>
    <w:rsid w:val="00FF56D2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BodyTextIndent2">
    <w:name w:val="Body Text Indent 2"/>
    <w:basedOn w:val="Normal"/>
    <w:rsid w:val="00FF56D2"/>
    <w:pPr>
      <w:ind w:left="720" w:hanging="720"/>
      <w:jc w:val="both"/>
    </w:pPr>
    <w:rPr>
      <w:b/>
      <w:bCs/>
    </w:rPr>
  </w:style>
  <w:style w:type="paragraph" w:customStyle="1" w:styleId="TextboxDot">
    <w:name w:val="Text box Dot"/>
    <w:basedOn w:val="Textbox"/>
    <w:rsid w:val="00FF56D2"/>
    <w:pPr>
      <w:tabs>
        <w:tab w:val="num" w:pos="814"/>
      </w:tabs>
      <w:ind w:left="737" w:hanging="283"/>
    </w:pPr>
  </w:style>
  <w:style w:type="paragraph" w:customStyle="1" w:styleId="Textbox">
    <w:name w:val="Text box"/>
    <w:basedOn w:val="Normal"/>
    <w:rsid w:val="00FF56D2"/>
    <w:pPr>
      <w:spacing w:before="60"/>
      <w:jc w:val="center"/>
    </w:pPr>
    <w:rPr>
      <w:sz w:val="20"/>
      <w:szCs w:val="20"/>
      <w:lang w:val="en-GB"/>
    </w:rPr>
  </w:style>
  <w:style w:type="paragraph" w:customStyle="1" w:styleId="Style2">
    <w:name w:val="Style2"/>
    <w:basedOn w:val="Normal"/>
    <w:rsid w:val="00FF56D2"/>
    <w:pPr>
      <w:tabs>
        <w:tab w:val="num" w:pos="1701"/>
      </w:tabs>
      <w:spacing w:before="240"/>
      <w:ind w:left="1701" w:hanging="283"/>
    </w:pPr>
    <w:rPr>
      <w:b/>
      <w:bCs/>
      <w:sz w:val="22"/>
      <w:szCs w:val="22"/>
      <w:lang w:val="en-GB"/>
    </w:rPr>
  </w:style>
  <w:style w:type="paragraph" w:customStyle="1" w:styleId="Group">
    <w:name w:val="Group"/>
    <w:basedOn w:val="Normal"/>
    <w:rsid w:val="00FF56D2"/>
    <w:pPr>
      <w:keepNext/>
      <w:tabs>
        <w:tab w:val="num" w:pos="720"/>
      </w:tabs>
      <w:ind w:left="567" w:hanging="567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BRM2">
    <w:name w:val="ABRM 2"/>
    <w:basedOn w:val="Normal"/>
    <w:rsid w:val="00FF56D2"/>
    <w:pPr>
      <w:tabs>
        <w:tab w:val="num" w:pos="720"/>
        <w:tab w:val="left" w:pos="851"/>
      </w:tabs>
      <w:spacing w:before="120" w:after="120"/>
      <w:ind w:left="851" w:hanging="851"/>
    </w:pPr>
    <w:rPr>
      <w:b/>
      <w:bCs/>
      <w:lang w:val="en-GB"/>
    </w:rPr>
  </w:style>
  <w:style w:type="paragraph" w:customStyle="1" w:styleId="Year1">
    <w:name w:val="Year1"/>
    <w:basedOn w:val="Year"/>
    <w:rsid w:val="00FF56D2"/>
    <w:pPr>
      <w:spacing w:before="60" w:after="60"/>
    </w:pPr>
    <w:rPr>
      <w:sz w:val="20"/>
      <w:szCs w:val="20"/>
    </w:rPr>
  </w:style>
  <w:style w:type="paragraph" w:customStyle="1" w:styleId="Tot">
    <w:name w:val="Tot"/>
    <w:basedOn w:val="Total"/>
    <w:rsid w:val="00FF56D2"/>
    <w:pPr>
      <w:tabs>
        <w:tab w:val="clear" w:pos="454"/>
        <w:tab w:val="clear" w:pos="907"/>
        <w:tab w:val="clear" w:pos="1361"/>
        <w:tab w:val="clear" w:pos="1814"/>
        <w:tab w:val="clear" w:pos="2268"/>
        <w:tab w:val="right" w:pos="6521"/>
        <w:tab w:val="right" w:pos="7938"/>
      </w:tabs>
    </w:pPr>
  </w:style>
  <w:style w:type="paragraph" w:customStyle="1" w:styleId="Total">
    <w:name w:val="Total"/>
    <w:basedOn w:val="Normal"/>
    <w:rsid w:val="00FF56D2"/>
    <w:pPr>
      <w:keepNext/>
      <w:keepLines/>
      <w:tabs>
        <w:tab w:val="left" w:pos="454"/>
        <w:tab w:val="left" w:pos="907"/>
        <w:tab w:val="left" w:pos="1361"/>
        <w:tab w:val="left" w:pos="1814"/>
        <w:tab w:val="left" w:pos="2268"/>
        <w:tab w:val="right" w:leader="dot" w:pos="7938"/>
      </w:tabs>
      <w:spacing w:before="60"/>
      <w:jc w:val="both"/>
    </w:pPr>
    <w:rPr>
      <w:b/>
      <w:bCs/>
      <w:sz w:val="18"/>
      <w:szCs w:val="18"/>
      <w:lang w:val="en-GB"/>
    </w:rPr>
  </w:style>
  <w:style w:type="paragraph" w:customStyle="1" w:styleId="GreyLetterText">
    <w:name w:val="Grey Letter Text"/>
    <w:basedOn w:val="Heading4"/>
    <w:rsid w:val="00FF56D2"/>
    <w:pPr>
      <w:keepNext w:val="0"/>
      <w:keepLines/>
      <w:numPr>
        <w:ilvl w:val="2"/>
      </w:numPr>
      <w:spacing w:before="120" w:after="0"/>
      <w:ind w:left="720" w:hanging="720"/>
      <w:jc w:val="both"/>
    </w:pPr>
    <w:rPr>
      <w:b w:val="0"/>
      <w:bCs w:val="0"/>
      <w:sz w:val="22"/>
      <w:szCs w:val="22"/>
    </w:rPr>
  </w:style>
  <w:style w:type="paragraph" w:customStyle="1" w:styleId="H5">
    <w:name w:val="H5"/>
    <w:basedOn w:val="Normal"/>
    <w:next w:val="Normal"/>
    <w:rsid w:val="00FF56D2"/>
    <w:pPr>
      <w:keepNext/>
      <w:spacing w:before="100" w:after="100"/>
      <w:outlineLvl w:val="5"/>
    </w:pPr>
    <w:rPr>
      <w:b/>
      <w:bCs/>
      <w:sz w:val="20"/>
      <w:szCs w:val="20"/>
    </w:rPr>
  </w:style>
  <w:style w:type="paragraph" w:customStyle="1" w:styleId="Classy">
    <w:name w:val="Classy"/>
    <w:basedOn w:val="Class"/>
    <w:rsid w:val="00FF56D2"/>
    <w:pPr>
      <w:spacing w:before="0"/>
      <w:jc w:val="left"/>
    </w:pPr>
  </w:style>
  <w:style w:type="paragraph" w:customStyle="1" w:styleId="Class">
    <w:name w:val="Class"/>
    <w:basedOn w:val="Normal"/>
    <w:rsid w:val="00FF56D2"/>
    <w:pPr>
      <w:keepLines/>
      <w:tabs>
        <w:tab w:val="left" w:pos="454"/>
        <w:tab w:val="left" w:pos="907"/>
        <w:tab w:val="left" w:pos="1361"/>
        <w:tab w:val="left" w:pos="1814"/>
        <w:tab w:val="left" w:pos="2268"/>
        <w:tab w:val="right" w:leader="dot" w:pos="7938"/>
      </w:tabs>
      <w:spacing w:before="240"/>
      <w:ind w:left="454"/>
      <w:jc w:val="both"/>
    </w:pPr>
    <w:rPr>
      <w:sz w:val="18"/>
      <w:szCs w:val="18"/>
      <w:lang w:val="en-GB"/>
    </w:rPr>
  </w:style>
  <w:style w:type="paragraph" w:customStyle="1" w:styleId="BlackLetterSubheadings">
    <w:name w:val="Black Letter Subheadings"/>
    <w:basedOn w:val="BlackLetterText"/>
    <w:rsid w:val="00FF56D2"/>
    <w:rPr>
      <w:i/>
      <w:iCs/>
    </w:rPr>
  </w:style>
  <w:style w:type="paragraph" w:customStyle="1" w:styleId="GreyLetterBP">
    <w:name w:val="Grey Letter BP"/>
    <w:basedOn w:val="Normal"/>
    <w:rsid w:val="00FF56D2"/>
    <w:pPr>
      <w:tabs>
        <w:tab w:val="left" w:pos="1442"/>
      </w:tabs>
      <w:spacing w:before="120"/>
      <w:ind w:left="1440" w:hanging="712"/>
      <w:jc w:val="both"/>
    </w:pPr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FF56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F56D2"/>
  </w:style>
  <w:style w:type="paragraph" w:styleId="BodyTextIndent">
    <w:name w:val="Body Text Indent"/>
    <w:basedOn w:val="Normal"/>
    <w:rsid w:val="00FF56D2"/>
    <w:pPr>
      <w:ind w:left="720" w:hanging="720"/>
    </w:pPr>
    <w:rPr>
      <w:sz w:val="22"/>
    </w:rPr>
  </w:style>
  <w:style w:type="paragraph" w:customStyle="1" w:styleId="Item">
    <w:name w:val="Item"/>
    <w:basedOn w:val="Class"/>
    <w:rsid w:val="00FF56D2"/>
    <w:pPr>
      <w:spacing w:before="60"/>
      <w:jc w:val="left"/>
    </w:pPr>
    <w:rPr>
      <w:b/>
      <w:bCs/>
    </w:rPr>
  </w:style>
  <w:style w:type="paragraph" w:customStyle="1" w:styleId="Class2">
    <w:name w:val="Class 2"/>
    <w:basedOn w:val="Class"/>
    <w:rsid w:val="00FF56D2"/>
    <w:pPr>
      <w:spacing w:before="0"/>
      <w:ind w:left="907"/>
      <w:jc w:val="left"/>
    </w:pPr>
  </w:style>
  <w:style w:type="paragraph" w:customStyle="1" w:styleId="ABRMHEAD1">
    <w:name w:val="ABRM HEAD1"/>
    <w:basedOn w:val="Heading1"/>
    <w:rsid w:val="00FF56D2"/>
    <w:pPr>
      <w:tabs>
        <w:tab w:val="num" w:pos="720"/>
      </w:tabs>
      <w:spacing w:after="240"/>
      <w:ind w:left="720" w:hanging="720"/>
    </w:pPr>
    <w:rPr>
      <w:b w:val="0"/>
      <w:bCs w:val="0"/>
      <w:sz w:val="28"/>
      <w:szCs w:val="28"/>
    </w:rPr>
  </w:style>
  <w:style w:type="paragraph" w:customStyle="1" w:styleId="ABRMHEAD2">
    <w:name w:val="ABRM HEAD2"/>
    <w:basedOn w:val="Normal"/>
    <w:rsid w:val="00FF56D2"/>
    <w:pPr>
      <w:tabs>
        <w:tab w:val="num" w:pos="360"/>
      </w:tabs>
      <w:spacing w:before="120" w:after="240"/>
    </w:pPr>
    <w:rPr>
      <w:b/>
      <w:bCs/>
    </w:rPr>
  </w:style>
  <w:style w:type="paragraph" w:customStyle="1" w:styleId="ABRMHEAD3">
    <w:name w:val="ABRM HEAD 3"/>
    <w:basedOn w:val="Normal"/>
    <w:rsid w:val="00FF56D2"/>
    <w:pPr>
      <w:tabs>
        <w:tab w:val="num" w:pos="720"/>
      </w:tabs>
      <w:spacing w:before="120" w:after="240"/>
      <w:ind w:left="720" w:hanging="720"/>
    </w:pPr>
  </w:style>
  <w:style w:type="paragraph" w:customStyle="1" w:styleId="Heading">
    <w:name w:val="Heading"/>
    <w:basedOn w:val="Normal"/>
    <w:autoRedefine/>
    <w:rsid w:val="00FF56D2"/>
    <w:pPr>
      <w:spacing w:before="120"/>
      <w:ind w:right="45"/>
    </w:pPr>
    <w:rPr>
      <w:b/>
      <w:bCs/>
      <w:caps/>
      <w:sz w:val="28"/>
      <w:szCs w:val="22"/>
    </w:rPr>
  </w:style>
  <w:style w:type="paragraph" w:customStyle="1" w:styleId="ChapterTitles">
    <w:name w:val="Chapter Titles"/>
    <w:basedOn w:val="Heading1"/>
    <w:rsid w:val="00FF56D2"/>
    <w:pPr>
      <w:spacing w:before="200" w:after="40"/>
      <w:ind w:left="2200" w:hanging="600"/>
    </w:pPr>
    <w:rPr>
      <w:kern w:val="28"/>
      <w:sz w:val="28"/>
      <w:szCs w:val="28"/>
      <w:lang w:val="en-GB"/>
    </w:rPr>
  </w:style>
  <w:style w:type="paragraph" w:customStyle="1" w:styleId="CHead1">
    <w:name w:val="C Head 1"/>
    <w:basedOn w:val="Normal"/>
    <w:rsid w:val="00FF56D2"/>
    <w:rPr>
      <w:b/>
      <w:bCs/>
      <w:sz w:val="22"/>
    </w:rPr>
  </w:style>
  <w:style w:type="paragraph" w:customStyle="1" w:styleId="H1">
    <w:name w:val="H1"/>
    <w:basedOn w:val="Normal"/>
    <w:next w:val="Normal"/>
    <w:rsid w:val="00FF56D2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rsid w:val="00FF56D2"/>
    <w:pPr>
      <w:keepNext/>
      <w:spacing w:before="100" w:after="100"/>
      <w:outlineLvl w:val="2"/>
    </w:pPr>
    <w:rPr>
      <w:b/>
      <w:bCs/>
      <w:sz w:val="36"/>
      <w:szCs w:val="36"/>
    </w:rPr>
  </w:style>
  <w:style w:type="paragraph" w:customStyle="1" w:styleId="Ross1">
    <w:name w:val="Ross1"/>
    <w:basedOn w:val="Heading3"/>
    <w:rsid w:val="00FF56D2"/>
    <w:pPr>
      <w:keepNext w:val="0"/>
      <w:keepLines/>
      <w:spacing w:before="200" w:after="0"/>
      <w:ind w:left="851"/>
    </w:pPr>
    <w:rPr>
      <w:b/>
      <w:bCs/>
      <w:sz w:val="22"/>
      <w:szCs w:val="22"/>
    </w:rPr>
  </w:style>
  <w:style w:type="paragraph" w:customStyle="1" w:styleId="Heading20">
    <w:name w:val="Heading2"/>
    <w:basedOn w:val="Normal"/>
    <w:rsid w:val="00FF56D2"/>
    <w:pPr>
      <w:spacing w:before="240"/>
    </w:pPr>
    <w:rPr>
      <w:b/>
      <w:bCs/>
      <w:sz w:val="22"/>
      <w:szCs w:val="22"/>
      <w:lang w:val="en-GB"/>
    </w:rPr>
  </w:style>
  <w:style w:type="paragraph" w:customStyle="1" w:styleId="Class3">
    <w:name w:val="Class 3"/>
    <w:basedOn w:val="Class2"/>
    <w:rsid w:val="00FF56D2"/>
    <w:pPr>
      <w:ind w:left="1361"/>
    </w:pPr>
  </w:style>
  <w:style w:type="paragraph" w:customStyle="1" w:styleId="Heading1A">
    <w:name w:val="Heading 1A"/>
    <w:basedOn w:val="Heading1"/>
    <w:rsid w:val="00FF56D2"/>
    <w:pPr>
      <w:spacing w:after="40"/>
      <w:ind w:left="567"/>
    </w:pPr>
    <w:rPr>
      <w:kern w:val="28"/>
      <w:sz w:val="26"/>
      <w:szCs w:val="26"/>
      <w:lang w:val="en-GB"/>
    </w:rPr>
  </w:style>
  <w:style w:type="paragraph" w:customStyle="1" w:styleId="H7">
    <w:name w:val="H7"/>
    <w:basedOn w:val="H6"/>
    <w:rsid w:val="00FF56D2"/>
    <w:pPr>
      <w:keepNext w:val="0"/>
      <w:keepLines/>
      <w:spacing w:before="300" w:after="40"/>
      <w:outlineLvl w:val="0"/>
    </w:pPr>
  </w:style>
  <w:style w:type="paragraph" w:customStyle="1" w:styleId="H4">
    <w:name w:val="H4"/>
    <w:basedOn w:val="H3"/>
    <w:rsid w:val="00FF56D2"/>
    <w:rPr>
      <w:sz w:val="20"/>
      <w:szCs w:val="20"/>
    </w:rPr>
  </w:style>
  <w:style w:type="paragraph" w:customStyle="1" w:styleId="ForwardBullet">
    <w:name w:val="ForwardBullet"/>
    <w:basedOn w:val="Normal"/>
    <w:rsid w:val="00FF56D2"/>
    <w:pPr>
      <w:tabs>
        <w:tab w:val="num" w:pos="720"/>
        <w:tab w:val="num" w:pos="1134"/>
      </w:tabs>
      <w:spacing w:before="120"/>
      <w:ind w:left="1134" w:hanging="567"/>
    </w:pPr>
    <w:rPr>
      <w:sz w:val="22"/>
      <w:szCs w:val="20"/>
      <w:lang w:val="en-GB"/>
    </w:rPr>
  </w:style>
  <w:style w:type="character" w:customStyle="1" w:styleId="EmailStyle71">
    <w:name w:val="EmailStyle71"/>
    <w:basedOn w:val="DefaultParagraphFont"/>
    <w:rsid w:val="00FF56D2"/>
    <w:rPr>
      <w:rFonts w:ascii="Arial" w:hAnsi="Arial" w:cs="Arial"/>
      <w:color w:val="000000"/>
      <w:sz w:val="20"/>
      <w:szCs w:val="20"/>
    </w:rPr>
  </w:style>
  <w:style w:type="paragraph" w:customStyle="1" w:styleId="FMO">
    <w:name w:val="FMO"/>
    <w:basedOn w:val="Normal"/>
    <w:rsid w:val="00FF56D2"/>
    <w:pPr>
      <w:ind w:left="700" w:hanging="700"/>
    </w:pPr>
    <w:rPr>
      <w:sz w:val="22"/>
      <w:szCs w:val="22"/>
    </w:rPr>
  </w:style>
  <w:style w:type="paragraph" w:customStyle="1" w:styleId="DefnSubpoint1">
    <w:name w:val="Defn Subpoint1"/>
    <w:basedOn w:val="Normal"/>
    <w:rsid w:val="00FF56D2"/>
    <w:pPr>
      <w:spacing w:after="200" w:line="200" w:lineRule="exact"/>
      <w:ind w:left="1587" w:hanging="510"/>
    </w:pPr>
    <w:rPr>
      <w:b/>
      <w:sz w:val="20"/>
      <w:szCs w:val="20"/>
    </w:rPr>
  </w:style>
  <w:style w:type="paragraph" w:customStyle="1" w:styleId="DefnSubpoint2">
    <w:name w:val="Defn Subpoint2"/>
    <w:basedOn w:val="DefnSubpoint1"/>
    <w:rsid w:val="00FF56D2"/>
    <w:pPr>
      <w:ind w:left="2098"/>
    </w:pPr>
  </w:style>
  <w:style w:type="paragraph" w:styleId="BodyTextIndent3">
    <w:name w:val="Body Text Indent 3"/>
    <w:basedOn w:val="Normal"/>
    <w:rsid w:val="00FF56D2"/>
    <w:pPr>
      <w:ind w:left="360"/>
    </w:pPr>
    <w:rPr>
      <w:b/>
      <w:bCs/>
    </w:rPr>
  </w:style>
  <w:style w:type="paragraph" w:styleId="BalloonText">
    <w:name w:val="Balloon Text"/>
    <w:basedOn w:val="Normal"/>
    <w:semiHidden/>
    <w:rsid w:val="00C97D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1179F"/>
    <w:rPr>
      <w:color w:val="0000FF"/>
      <w:u w:val="single"/>
    </w:rPr>
  </w:style>
  <w:style w:type="paragraph" w:styleId="NormalWeb">
    <w:name w:val="Normal (Web)"/>
    <w:basedOn w:val="Normal"/>
    <w:rsid w:val="00C95FFD"/>
    <w:pPr>
      <w:spacing w:before="100" w:beforeAutospacing="1" w:after="100" w:afterAutospacing="1"/>
    </w:pPr>
    <w:rPr>
      <w:lang w:eastAsia="en-AU"/>
    </w:rPr>
  </w:style>
  <w:style w:type="paragraph" w:styleId="DocumentMap">
    <w:name w:val="Document Map"/>
    <w:basedOn w:val="Normal"/>
    <w:semiHidden/>
    <w:rsid w:val="005E59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">
    <w:name w:val="Char Char Char Char Char"/>
    <w:basedOn w:val="Normal"/>
    <w:rsid w:val="00E23480"/>
    <w:rPr>
      <w:rFonts w:ascii="Arial" w:hAnsi="Arial" w:cs="Arial"/>
      <w:sz w:val="22"/>
      <w:szCs w:val="22"/>
    </w:rPr>
  </w:style>
  <w:style w:type="character" w:customStyle="1" w:styleId="HelpText">
    <w:name w:val="Help Text"/>
    <w:basedOn w:val="DefaultParagraphFont"/>
    <w:rsid w:val="00885099"/>
    <w:rPr>
      <w:color w:val="808080"/>
    </w:rPr>
  </w:style>
  <w:style w:type="paragraph" w:customStyle="1" w:styleId="Bullet">
    <w:name w:val="Bullet"/>
    <w:basedOn w:val="Normal"/>
    <w:rsid w:val="00885099"/>
    <w:pPr>
      <w:numPr>
        <w:numId w:val="3"/>
      </w:numPr>
      <w:spacing w:after="240" w:line="240" w:lineRule="atLeast"/>
    </w:pPr>
  </w:style>
  <w:style w:type="paragraph" w:customStyle="1" w:styleId="Bulletsinglespaced">
    <w:name w:val="Bullet (single spaced)"/>
    <w:basedOn w:val="Bullet"/>
    <w:rsid w:val="00885099"/>
    <w:pPr>
      <w:spacing w:after="0"/>
    </w:pPr>
  </w:style>
  <w:style w:type="character" w:styleId="CommentReference">
    <w:name w:val="annotation reference"/>
    <w:basedOn w:val="DefaultParagraphFont"/>
    <w:rsid w:val="00F458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5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58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45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58E0"/>
    <w:rPr>
      <w:b/>
      <w:bCs/>
      <w:lang w:eastAsia="en-US"/>
    </w:rPr>
  </w:style>
  <w:style w:type="paragraph" w:customStyle="1" w:styleId="Paragraph">
    <w:name w:val="Paragraph"/>
    <w:basedOn w:val="Normal"/>
    <w:rsid w:val="0072275C"/>
    <w:pPr>
      <w:numPr>
        <w:ilvl w:val="12"/>
      </w:numPr>
      <w:spacing w:before="240"/>
    </w:pPr>
    <w:rPr>
      <w:szCs w:val="20"/>
      <w:lang w:eastAsia="en-AU"/>
    </w:rPr>
  </w:style>
  <w:style w:type="paragraph" w:styleId="ListParagraph">
    <w:name w:val="List Paragraph"/>
    <w:aliases w:val="NFP GP Bulleted List,List Paragraph1,Recommendation,List Paragraph11"/>
    <w:basedOn w:val="Normal"/>
    <w:link w:val="ListParagraphChar"/>
    <w:uiPriority w:val="34"/>
    <w:qFormat/>
    <w:rsid w:val="00753CD8"/>
    <w:pPr>
      <w:ind w:left="720"/>
      <w:contextualSpacing/>
    </w:pPr>
  </w:style>
  <w:style w:type="paragraph" w:customStyle="1" w:styleId="StyleNew">
    <w:name w:val="Style_New"/>
    <w:basedOn w:val="Normal"/>
    <w:qFormat/>
    <w:rsid w:val="00377E45"/>
    <w:pPr>
      <w:numPr>
        <w:numId w:val="4"/>
      </w:numPr>
    </w:pPr>
    <w:rPr>
      <w:color w:val="76923C" w:themeColor="accent3" w:themeShade="BF"/>
      <w:sz w:val="22"/>
      <w:szCs w:val="22"/>
    </w:rPr>
  </w:style>
  <w:style w:type="paragraph" w:customStyle="1" w:styleId="NumberedParagraph">
    <w:name w:val="Numbered Paragraph"/>
    <w:basedOn w:val="Normal"/>
    <w:rsid w:val="00DA47EA"/>
    <w:pPr>
      <w:numPr>
        <w:numId w:val="5"/>
      </w:numPr>
      <w:spacing w:after="240" w:line="240" w:lineRule="atLeast"/>
    </w:pPr>
  </w:style>
  <w:style w:type="paragraph" w:customStyle="1" w:styleId="NumberList">
    <w:name w:val="Number List"/>
    <w:basedOn w:val="Normal"/>
    <w:rsid w:val="00407B73"/>
    <w:pPr>
      <w:numPr>
        <w:numId w:val="8"/>
      </w:numPr>
      <w:tabs>
        <w:tab w:val="left" w:pos="1985"/>
      </w:tabs>
      <w:spacing w:before="240" w:line="240" w:lineRule="atLeast"/>
    </w:pPr>
  </w:style>
  <w:style w:type="paragraph" w:customStyle="1" w:styleId="NumberListSub">
    <w:name w:val="Number List Sub"/>
    <w:basedOn w:val="NumberList"/>
    <w:rsid w:val="00407B73"/>
    <w:pPr>
      <w:numPr>
        <w:ilvl w:val="1"/>
      </w:numPr>
      <w:tabs>
        <w:tab w:val="left" w:pos="255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30D"/>
    <w:rPr>
      <w:sz w:val="24"/>
      <w:szCs w:val="24"/>
      <w:lang w:eastAsia="en-US"/>
    </w:rPr>
  </w:style>
  <w:style w:type="character" w:customStyle="1" w:styleId="ListParagraphChar">
    <w:name w:val="List Paragraph Char"/>
    <w:aliases w:val="NFP GP Bulleted List Char,List Paragraph1 Char,Recommendation Char,List Paragraph11 Char"/>
    <w:basedOn w:val="DefaultParagraphFont"/>
    <w:link w:val="ListParagraph"/>
    <w:uiPriority w:val="34"/>
    <w:rsid w:val="00E4493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4757-4AD2-4278-9F51-B6C483CC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646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Manager>Leslie Macdonald</Manager>
  <Company>Finance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Tony Rose</dc:creator>
  <cp:lastModifiedBy>Liu, Xiaoxia</cp:lastModifiedBy>
  <cp:revision>44</cp:revision>
  <cp:lastPrinted>2018-02-19T22:34:00Z</cp:lastPrinted>
  <dcterms:created xsi:type="dcterms:W3CDTF">2017-01-17T05:15:00Z</dcterms:created>
  <dcterms:modified xsi:type="dcterms:W3CDTF">2018-02-27T00:03:00Z</dcterms:modified>
</cp:coreProperties>
</file>