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8F799"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bookmarkStart w:id="0" w:name="_GoBack"/>
      <w:bookmarkEnd w:id="0"/>
      <w:r w:rsidRPr="005D1ABF">
        <w:rPr>
          <w:rFonts w:ascii="Times New Roman" w:hAnsi="Times New Roman" w:cs="Times New Roman"/>
          <w:b/>
          <w:caps/>
          <w:sz w:val="24"/>
          <w:szCs w:val="24"/>
          <w:u w:val="single"/>
        </w:rPr>
        <w:t>Explanatory Statement</w:t>
      </w:r>
    </w:p>
    <w:p w14:paraId="742F7DB3"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CF6230D" w14:textId="77777777" w:rsidR="002B1DB3" w:rsidRPr="007D26AF"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p>
    <w:p w14:paraId="69ABA0A2" w14:textId="77777777" w:rsidR="002B1DB3" w:rsidRPr="005D1ABF" w:rsidRDefault="002B1DB3" w:rsidP="005D1ABF">
      <w:pPr>
        <w:spacing w:after="0" w:line="240" w:lineRule="auto"/>
        <w:jc w:val="center"/>
        <w:rPr>
          <w:rFonts w:ascii="Times New Roman" w:hAnsi="Times New Roman" w:cs="Times New Roman"/>
          <w:sz w:val="24"/>
          <w:szCs w:val="24"/>
        </w:rPr>
      </w:pPr>
    </w:p>
    <w:p w14:paraId="783E4ACE" w14:textId="77777777" w:rsidR="00441CCA" w:rsidRPr="007D26AF" w:rsidRDefault="00441CCA" w:rsidP="00441CCA">
      <w:pPr>
        <w:spacing w:after="0" w:line="240" w:lineRule="auto"/>
        <w:jc w:val="center"/>
        <w:rPr>
          <w:rFonts w:ascii="Times New Roman" w:hAnsi="Times New Roman" w:cs="Times New Roman"/>
          <w:i/>
          <w:snapToGrid w:val="0"/>
          <w:sz w:val="24"/>
          <w:szCs w:val="24"/>
          <w:u w:val="single"/>
        </w:rPr>
      </w:pPr>
      <w:r w:rsidRPr="007D26AF">
        <w:rPr>
          <w:rFonts w:ascii="Times New Roman" w:hAnsi="Times New Roman" w:cs="Times New Roman"/>
          <w:i/>
          <w:snapToGrid w:val="0"/>
          <w:sz w:val="24"/>
          <w:szCs w:val="24"/>
          <w:u w:val="single"/>
        </w:rPr>
        <w:t>Biosecurity Charges Imposition (Customs) Act 2015</w:t>
      </w:r>
    </w:p>
    <w:p w14:paraId="08C8A684" w14:textId="77777777" w:rsidR="00441CCA" w:rsidRPr="007D26AF" w:rsidRDefault="00441CCA" w:rsidP="00441CCA">
      <w:pPr>
        <w:spacing w:after="0" w:line="240" w:lineRule="auto"/>
        <w:jc w:val="center"/>
        <w:rPr>
          <w:rFonts w:ascii="Times New Roman" w:hAnsi="Times New Roman" w:cs="Times New Roman"/>
          <w:i/>
          <w:snapToGrid w:val="0"/>
          <w:sz w:val="24"/>
          <w:szCs w:val="24"/>
          <w:u w:val="single"/>
        </w:rPr>
      </w:pPr>
    </w:p>
    <w:p w14:paraId="14A8DC2A" w14:textId="77777777" w:rsidR="002B1DB3" w:rsidRPr="007D26AF" w:rsidRDefault="00441CCA" w:rsidP="00441CCA">
      <w:pPr>
        <w:spacing w:after="0" w:line="240" w:lineRule="auto"/>
        <w:jc w:val="center"/>
        <w:rPr>
          <w:rFonts w:ascii="Times New Roman" w:hAnsi="Times New Roman" w:cs="Times New Roman"/>
          <w:i/>
          <w:sz w:val="24"/>
          <w:szCs w:val="24"/>
        </w:rPr>
      </w:pPr>
      <w:r w:rsidRPr="007D26AF">
        <w:rPr>
          <w:rFonts w:ascii="Times New Roman" w:hAnsi="Times New Roman" w:cs="Times New Roman"/>
          <w:i/>
          <w:snapToGrid w:val="0"/>
          <w:sz w:val="24"/>
          <w:szCs w:val="24"/>
          <w:u w:val="single"/>
        </w:rPr>
        <w:t>Biosecurity Charges Imposition (Customs) Amendment (International Vessel Arrival) Regulations 2018</w:t>
      </w:r>
    </w:p>
    <w:p w14:paraId="2D12F24E" w14:textId="77777777" w:rsidR="006D5C93" w:rsidRPr="007D26AF" w:rsidRDefault="006D5C93" w:rsidP="005D1ABF">
      <w:pPr>
        <w:tabs>
          <w:tab w:val="left" w:pos="1701"/>
          <w:tab w:val="right" w:pos="9072"/>
        </w:tabs>
        <w:spacing w:after="0" w:line="240" w:lineRule="auto"/>
        <w:rPr>
          <w:rFonts w:ascii="Times New Roman" w:hAnsi="Times New Roman" w:cs="Times New Roman"/>
          <w:b/>
          <w:sz w:val="24"/>
          <w:szCs w:val="24"/>
        </w:rPr>
      </w:pPr>
    </w:p>
    <w:p w14:paraId="4AE652E8" w14:textId="77777777" w:rsidR="002B1DB3" w:rsidRPr="007D26AF" w:rsidRDefault="002B1DB3" w:rsidP="005D1ABF">
      <w:pPr>
        <w:tabs>
          <w:tab w:val="left" w:pos="1701"/>
          <w:tab w:val="right" w:pos="9072"/>
        </w:tabs>
        <w:spacing w:after="0" w:line="240" w:lineRule="auto"/>
        <w:rPr>
          <w:rFonts w:ascii="Times New Roman" w:hAnsi="Times New Roman" w:cs="Times New Roman"/>
          <w:sz w:val="24"/>
          <w:szCs w:val="24"/>
        </w:rPr>
      </w:pPr>
      <w:r w:rsidRPr="007D26AF">
        <w:rPr>
          <w:rFonts w:ascii="Times New Roman" w:hAnsi="Times New Roman" w:cs="Times New Roman"/>
          <w:b/>
          <w:sz w:val="24"/>
          <w:szCs w:val="24"/>
        </w:rPr>
        <w:t>Legislative Authority</w:t>
      </w:r>
    </w:p>
    <w:p w14:paraId="01076D72" w14:textId="77777777" w:rsidR="006D5C93" w:rsidRDefault="006D5C93" w:rsidP="006D5C93">
      <w:pPr>
        <w:tabs>
          <w:tab w:val="left" w:pos="1701"/>
          <w:tab w:val="right" w:pos="9072"/>
        </w:tabs>
        <w:spacing w:after="0" w:line="240" w:lineRule="auto"/>
        <w:rPr>
          <w:rFonts w:ascii="Times New Roman" w:hAnsi="Times New Roman" w:cs="Times New Roman"/>
          <w:sz w:val="24"/>
        </w:rPr>
      </w:pPr>
    </w:p>
    <w:p w14:paraId="2BC5C03E" w14:textId="084562C3" w:rsidR="00506B16" w:rsidRPr="00506B16" w:rsidRDefault="00506B16" w:rsidP="00506B16">
      <w:pPr>
        <w:tabs>
          <w:tab w:val="left" w:pos="1701"/>
          <w:tab w:val="right" w:pos="9072"/>
        </w:tabs>
        <w:spacing w:after="0" w:line="240" w:lineRule="auto"/>
        <w:rPr>
          <w:rFonts w:ascii="Times New Roman" w:hAnsi="Times New Roman" w:cs="Times New Roman"/>
          <w:sz w:val="24"/>
        </w:rPr>
      </w:pPr>
      <w:r w:rsidRPr="00506B16">
        <w:rPr>
          <w:rFonts w:ascii="Times New Roman" w:hAnsi="Times New Roman" w:cs="Times New Roman"/>
          <w:sz w:val="24"/>
        </w:rPr>
        <w:t xml:space="preserve">The </w:t>
      </w:r>
      <w:r w:rsidRPr="00AC358D">
        <w:rPr>
          <w:rFonts w:ascii="Times New Roman" w:hAnsi="Times New Roman" w:cs="Times New Roman"/>
          <w:i/>
          <w:sz w:val="24"/>
        </w:rPr>
        <w:t>Biosecurity Charges Imposition (Customs) Act 2015</w:t>
      </w:r>
      <w:r w:rsidRPr="00506B16">
        <w:rPr>
          <w:rFonts w:ascii="Times New Roman" w:hAnsi="Times New Roman" w:cs="Times New Roman"/>
          <w:sz w:val="24"/>
        </w:rPr>
        <w:t xml:space="preserve"> (</w:t>
      </w:r>
      <w:r w:rsidR="001854FD">
        <w:rPr>
          <w:rFonts w:ascii="Times New Roman" w:hAnsi="Times New Roman" w:cs="Times New Roman"/>
          <w:sz w:val="24"/>
        </w:rPr>
        <w:t xml:space="preserve">the </w:t>
      </w:r>
      <w:r w:rsidRPr="001854FD">
        <w:rPr>
          <w:rFonts w:ascii="Times New Roman" w:hAnsi="Times New Roman" w:cs="Times New Roman"/>
          <w:sz w:val="24"/>
        </w:rPr>
        <w:t>Act</w:t>
      </w:r>
      <w:r w:rsidRPr="00506B16">
        <w:rPr>
          <w:rFonts w:ascii="Times New Roman" w:hAnsi="Times New Roman" w:cs="Times New Roman"/>
          <w:sz w:val="24"/>
        </w:rPr>
        <w:t xml:space="preserve">) imposes, as taxes, charges in relation to matters connected with the administration of the </w:t>
      </w:r>
      <w:r w:rsidRPr="00AC358D">
        <w:rPr>
          <w:rFonts w:ascii="Times New Roman" w:hAnsi="Times New Roman" w:cs="Times New Roman"/>
          <w:i/>
          <w:sz w:val="24"/>
        </w:rPr>
        <w:t>Biosecurity Act 2015</w:t>
      </w:r>
      <w:r w:rsidRPr="00506B16">
        <w:rPr>
          <w:rFonts w:ascii="Times New Roman" w:hAnsi="Times New Roman" w:cs="Times New Roman"/>
          <w:sz w:val="24"/>
        </w:rPr>
        <w:t xml:space="preserve"> (</w:t>
      </w:r>
      <w:r w:rsidR="001854FD">
        <w:rPr>
          <w:rFonts w:ascii="Times New Roman" w:hAnsi="Times New Roman" w:cs="Times New Roman"/>
          <w:sz w:val="24"/>
        </w:rPr>
        <w:t xml:space="preserve">the </w:t>
      </w:r>
      <w:r w:rsidRPr="001854FD">
        <w:rPr>
          <w:rFonts w:ascii="Times New Roman" w:hAnsi="Times New Roman" w:cs="Times New Roman"/>
          <w:sz w:val="24"/>
        </w:rPr>
        <w:t>Biosecurity Act</w:t>
      </w:r>
      <w:r w:rsidRPr="00506B16">
        <w:rPr>
          <w:rFonts w:ascii="Times New Roman" w:hAnsi="Times New Roman" w:cs="Times New Roman"/>
          <w:sz w:val="24"/>
        </w:rPr>
        <w:t>), so far as those charges are duties of customs, and provides other provisions for related purposes.</w:t>
      </w:r>
    </w:p>
    <w:p w14:paraId="73538B4E" w14:textId="77777777" w:rsidR="00506B16" w:rsidRDefault="00506B16" w:rsidP="00506B16">
      <w:pPr>
        <w:tabs>
          <w:tab w:val="left" w:pos="1701"/>
          <w:tab w:val="right" w:pos="9072"/>
        </w:tabs>
        <w:spacing w:after="0" w:line="240" w:lineRule="auto"/>
        <w:rPr>
          <w:rFonts w:ascii="Times New Roman" w:hAnsi="Times New Roman" w:cs="Times New Roman"/>
          <w:sz w:val="24"/>
        </w:rPr>
      </w:pPr>
    </w:p>
    <w:p w14:paraId="5C6CDE97" w14:textId="0F3902D8" w:rsidR="00506B16" w:rsidRDefault="00506B16" w:rsidP="00506B16">
      <w:pPr>
        <w:tabs>
          <w:tab w:val="left" w:pos="1701"/>
          <w:tab w:val="right" w:pos="9072"/>
        </w:tabs>
        <w:spacing w:after="0" w:line="240" w:lineRule="auto"/>
        <w:rPr>
          <w:rFonts w:ascii="Times New Roman" w:hAnsi="Times New Roman" w:cs="Times New Roman"/>
          <w:sz w:val="24"/>
        </w:rPr>
      </w:pPr>
      <w:r w:rsidRPr="00506B16">
        <w:rPr>
          <w:rFonts w:ascii="Times New Roman" w:hAnsi="Times New Roman" w:cs="Times New Roman"/>
          <w:sz w:val="24"/>
        </w:rPr>
        <w:t>Section 12 of the</w:t>
      </w:r>
      <w:r w:rsidR="0050537A">
        <w:rPr>
          <w:rFonts w:ascii="Times New Roman" w:hAnsi="Times New Roman" w:cs="Times New Roman"/>
          <w:sz w:val="24"/>
        </w:rPr>
        <w:t xml:space="preserve"> Act provides that the Governor-</w:t>
      </w:r>
      <w:r w:rsidRPr="00506B16">
        <w:rPr>
          <w:rFonts w:ascii="Times New Roman" w:hAnsi="Times New Roman" w:cs="Times New Roman"/>
          <w:sz w:val="24"/>
        </w:rPr>
        <w:t>General may make regulations prescribing matters required or permitted by this Act to be prescribed; or necessary or convenient to be prescribed for carrying out or giving effect to this Act. Section 7 of the</w:t>
      </w:r>
      <w:r w:rsidR="0050537A">
        <w:rPr>
          <w:rFonts w:ascii="Times New Roman" w:hAnsi="Times New Roman" w:cs="Times New Roman"/>
          <w:sz w:val="24"/>
        </w:rPr>
        <w:t xml:space="preserve"> Act provides that the Governor-</w:t>
      </w:r>
      <w:r w:rsidRPr="00506B16">
        <w:rPr>
          <w:rFonts w:ascii="Times New Roman" w:hAnsi="Times New Roman" w:cs="Times New Roman"/>
          <w:sz w:val="24"/>
        </w:rPr>
        <w:t>General may prescribe in regulation a charge in relation to a prescribed matter connected with the adminis</w:t>
      </w:r>
      <w:r>
        <w:rPr>
          <w:rFonts w:ascii="Times New Roman" w:hAnsi="Times New Roman" w:cs="Times New Roman"/>
          <w:sz w:val="24"/>
        </w:rPr>
        <w:t>tration of the Biosecurity Act.</w:t>
      </w:r>
    </w:p>
    <w:p w14:paraId="4D6939CE" w14:textId="77777777" w:rsidR="00506B16" w:rsidRPr="00506B16" w:rsidRDefault="00506B16" w:rsidP="00506B16">
      <w:pPr>
        <w:tabs>
          <w:tab w:val="left" w:pos="1701"/>
          <w:tab w:val="right" w:pos="9072"/>
        </w:tabs>
        <w:spacing w:after="0" w:line="240" w:lineRule="auto"/>
        <w:rPr>
          <w:rFonts w:ascii="Times New Roman" w:hAnsi="Times New Roman" w:cs="Times New Roman"/>
          <w:sz w:val="24"/>
        </w:rPr>
      </w:pPr>
    </w:p>
    <w:p w14:paraId="14FE55C1" w14:textId="6BEDD6AE" w:rsidR="006D5C93" w:rsidRPr="007D26AF" w:rsidRDefault="00506B16" w:rsidP="006D5C93">
      <w:pPr>
        <w:tabs>
          <w:tab w:val="left" w:pos="1701"/>
          <w:tab w:val="right" w:pos="9072"/>
        </w:tabs>
        <w:spacing w:after="0" w:line="240" w:lineRule="auto"/>
        <w:rPr>
          <w:rFonts w:ascii="Times New Roman" w:hAnsi="Times New Roman" w:cs="Times New Roman"/>
          <w:i/>
          <w:sz w:val="24"/>
        </w:rPr>
      </w:pPr>
      <w:r w:rsidRPr="00506B16">
        <w:rPr>
          <w:rFonts w:ascii="Times New Roman" w:hAnsi="Times New Roman" w:cs="Times New Roman"/>
          <w:sz w:val="24"/>
        </w:rPr>
        <w:t>Subsection 8(2) of the Act pr</w:t>
      </w:r>
      <w:r w:rsidR="0050537A">
        <w:rPr>
          <w:rFonts w:ascii="Times New Roman" w:hAnsi="Times New Roman" w:cs="Times New Roman"/>
          <w:sz w:val="24"/>
        </w:rPr>
        <w:t>ovides that before the Governor-</w:t>
      </w:r>
      <w:r w:rsidRPr="00506B16">
        <w:rPr>
          <w:rFonts w:ascii="Times New Roman" w:hAnsi="Times New Roman" w:cs="Times New Roman"/>
          <w:sz w:val="24"/>
        </w:rPr>
        <w:t>General makes a regulation under subsection 7(1) prescribing a charge in relation to a matter, the Minister must be satisfied that the amount of the charge is set at a level that is designed to recover no more than the Commonwealth’s likely costs in connection with the matter.</w:t>
      </w:r>
    </w:p>
    <w:p w14:paraId="7C2C8E73" w14:textId="77777777" w:rsidR="006D5C93" w:rsidRPr="00DF04B3" w:rsidRDefault="006D5C93" w:rsidP="006D5C93">
      <w:pPr>
        <w:tabs>
          <w:tab w:val="right" w:pos="9072"/>
        </w:tabs>
        <w:spacing w:after="0" w:line="240" w:lineRule="auto"/>
        <w:rPr>
          <w:rFonts w:ascii="Times New Roman" w:hAnsi="Times New Roman" w:cs="Times New Roman"/>
          <w:sz w:val="24"/>
        </w:rPr>
      </w:pPr>
    </w:p>
    <w:p w14:paraId="19597A16" w14:textId="77777777" w:rsidR="002B1DB3" w:rsidRPr="007D26AF" w:rsidRDefault="002B1DB3" w:rsidP="005D1ABF">
      <w:pPr>
        <w:tabs>
          <w:tab w:val="left" w:pos="1701"/>
          <w:tab w:val="right" w:pos="9072"/>
        </w:tabs>
        <w:spacing w:after="0" w:line="240" w:lineRule="auto"/>
        <w:rPr>
          <w:rFonts w:ascii="Times New Roman" w:hAnsi="Times New Roman" w:cs="Times New Roman"/>
          <w:b/>
          <w:sz w:val="24"/>
          <w:szCs w:val="24"/>
        </w:rPr>
      </w:pPr>
      <w:r w:rsidRPr="007D26AF">
        <w:rPr>
          <w:rFonts w:ascii="Times New Roman" w:hAnsi="Times New Roman" w:cs="Times New Roman"/>
          <w:b/>
          <w:sz w:val="24"/>
          <w:szCs w:val="24"/>
        </w:rPr>
        <w:t>Purpose</w:t>
      </w:r>
    </w:p>
    <w:p w14:paraId="18AD6434" w14:textId="77777777" w:rsidR="0082348C" w:rsidRDefault="0082348C" w:rsidP="0082348C">
      <w:pPr>
        <w:tabs>
          <w:tab w:val="left" w:pos="1701"/>
          <w:tab w:val="right" w:pos="9072"/>
        </w:tabs>
        <w:spacing w:after="0" w:line="240" w:lineRule="auto"/>
        <w:rPr>
          <w:rFonts w:ascii="Times New Roman" w:hAnsi="Times New Roman" w:cs="Times New Roman"/>
          <w:sz w:val="24"/>
        </w:rPr>
      </w:pPr>
    </w:p>
    <w:p w14:paraId="4EE9D9EF" w14:textId="68EA8856" w:rsidR="0082348C" w:rsidRDefault="00506B16" w:rsidP="0082348C">
      <w:pPr>
        <w:tabs>
          <w:tab w:val="left" w:pos="1701"/>
          <w:tab w:val="right" w:pos="9072"/>
        </w:tabs>
        <w:spacing w:after="0" w:line="240" w:lineRule="auto"/>
        <w:rPr>
          <w:rFonts w:ascii="Times New Roman" w:hAnsi="Times New Roman" w:cs="Times New Roman"/>
          <w:sz w:val="24"/>
        </w:rPr>
      </w:pPr>
      <w:r w:rsidRPr="00506B16">
        <w:rPr>
          <w:rFonts w:ascii="Times New Roman" w:hAnsi="Times New Roman" w:cs="Times New Roman"/>
          <w:sz w:val="24"/>
        </w:rPr>
        <w:t xml:space="preserve">The purpose of the </w:t>
      </w:r>
      <w:r w:rsidRPr="0050537A">
        <w:rPr>
          <w:rFonts w:ascii="Times New Roman" w:hAnsi="Times New Roman" w:cs="Times New Roman"/>
          <w:i/>
          <w:sz w:val="24"/>
        </w:rPr>
        <w:t>Biosecurity Charges Imposition (Customs) Amendment (International Vessel Arrival) Regulations 2018</w:t>
      </w:r>
      <w:r w:rsidRPr="00506B16">
        <w:rPr>
          <w:rFonts w:ascii="Times New Roman" w:hAnsi="Times New Roman" w:cs="Times New Roman"/>
          <w:sz w:val="24"/>
        </w:rPr>
        <w:t xml:space="preserve"> (</w:t>
      </w:r>
      <w:r w:rsidR="001854FD">
        <w:rPr>
          <w:rFonts w:ascii="Times New Roman" w:hAnsi="Times New Roman" w:cs="Times New Roman"/>
          <w:sz w:val="24"/>
        </w:rPr>
        <w:t xml:space="preserve">the </w:t>
      </w:r>
      <w:r w:rsidRPr="001854FD">
        <w:rPr>
          <w:rFonts w:ascii="Times New Roman" w:hAnsi="Times New Roman" w:cs="Times New Roman"/>
          <w:sz w:val="24"/>
        </w:rPr>
        <w:t>Regulations</w:t>
      </w:r>
      <w:r w:rsidRPr="00506B16">
        <w:rPr>
          <w:rFonts w:ascii="Times New Roman" w:hAnsi="Times New Roman" w:cs="Times New Roman"/>
          <w:sz w:val="24"/>
        </w:rPr>
        <w:t xml:space="preserve">) </w:t>
      </w:r>
      <w:r w:rsidR="0050537A">
        <w:rPr>
          <w:rFonts w:ascii="Times New Roman" w:hAnsi="Times New Roman" w:cs="Times New Roman"/>
          <w:sz w:val="24"/>
        </w:rPr>
        <w:t>is</w:t>
      </w:r>
      <w:r w:rsidRPr="00506B16">
        <w:rPr>
          <w:rFonts w:ascii="Times New Roman" w:hAnsi="Times New Roman" w:cs="Times New Roman"/>
          <w:sz w:val="24"/>
        </w:rPr>
        <w:t xml:space="preserve"> to increase the existing international vessel arrival charge to cost recover the expenses of the expanded ballast water biosecurity activities and the most recent vessel arrival volume projections available to the Department of Agriculture and Water Resources (the Department). The increased cost recovery charge </w:t>
      </w:r>
      <w:r w:rsidR="0050537A">
        <w:rPr>
          <w:rFonts w:ascii="Times New Roman" w:hAnsi="Times New Roman" w:cs="Times New Roman"/>
          <w:sz w:val="24"/>
        </w:rPr>
        <w:t>will</w:t>
      </w:r>
      <w:r w:rsidRPr="00506B16">
        <w:rPr>
          <w:rFonts w:ascii="Times New Roman" w:hAnsi="Times New Roman" w:cs="Times New Roman"/>
          <w:sz w:val="24"/>
        </w:rPr>
        <w:t xml:space="preserve"> ensure that the Department’s biosecurity operations for vessels are able to be sustainably funded.</w:t>
      </w:r>
    </w:p>
    <w:p w14:paraId="3A7FEBD9" w14:textId="77777777" w:rsidR="00D93366" w:rsidRPr="00415230" w:rsidRDefault="00D93366" w:rsidP="0082348C">
      <w:pPr>
        <w:tabs>
          <w:tab w:val="right" w:pos="9072"/>
        </w:tabs>
        <w:spacing w:after="0" w:line="240" w:lineRule="auto"/>
        <w:rPr>
          <w:rFonts w:ascii="Times New Roman" w:hAnsi="Times New Roman" w:cs="Times New Roman"/>
          <w:sz w:val="24"/>
        </w:rPr>
      </w:pPr>
    </w:p>
    <w:p w14:paraId="2433636F" w14:textId="77777777" w:rsidR="002B1DB3" w:rsidRPr="007D26AF" w:rsidRDefault="002B1DB3" w:rsidP="005D1ABF">
      <w:pPr>
        <w:tabs>
          <w:tab w:val="left" w:pos="1701"/>
          <w:tab w:val="right" w:pos="9072"/>
        </w:tabs>
        <w:spacing w:after="0" w:line="240" w:lineRule="auto"/>
        <w:rPr>
          <w:rFonts w:ascii="Times New Roman" w:hAnsi="Times New Roman" w:cs="Times New Roman"/>
          <w:b/>
          <w:sz w:val="24"/>
          <w:szCs w:val="24"/>
        </w:rPr>
      </w:pPr>
      <w:r w:rsidRPr="007D26AF">
        <w:rPr>
          <w:rFonts w:ascii="Times New Roman" w:hAnsi="Times New Roman" w:cs="Times New Roman"/>
          <w:b/>
          <w:sz w:val="24"/>
          <w:szCs w:val="24"/>
        </w:rPr>
        <w:t>Background</w:t>
      </w:r>
    </w:p>
    <w:p w14:paraId="659D08E6" w14:textId="77777777" w:rsidR="006D5C93" w:rsidRDefault="006D5C93" w:rsidP="006D5C93">
      <w:pPr>
        <w:tabs>
          <w:tab w:val="right" w:pos="9072"/>
        </w:tabs>
        <w:spacing w:after="0" w:line="240" w:lineRule="auto"/>
        <w:rPr>
          <w:rFonts w:ascii="Times New Roman" w:hAnsi="Times New Roman" w:cs="Times New Roman"/>
          <w:sz w:val="24"/>
          <w:highlight w:val="yellow"/>
        </w:rPr>
      </w:pPr>
    </w:p>
    <w:p w14:paraId="26A0AFFA" w14:textId="77777777" w:rsidR="00506B16" w:rsidRPr="00415230" w:rsidRDefault="00506B16" w:rsidP="00506B16">
      <w:pPr>
        <w:tabs>
          <w:tab w:val="right" w:pos="9072"/>
        </w:tabs>
        <w:spacing w:after="0" w:line="240" w:lineRule="auto"/>
        <w:rPr>
          <w:rFonts w:ascii="Times New Roman" w:hAnsi="Times New Roman" w:cs="Times New Roman"/>
          <w:sz w:val="24"/>
        </w:rPr>
      </w:pPr>
      <w:r w:rsidRPr="00415230">
        <w:rPr>
          <w:rFonts w:ascii="Times New Roman" w:hAnsi="Times New Roman" w:cs="Times New Roman"/>
          <w:sz w:val="24"/>
        </w:rPr>
        <w:t xml:space="preserve">The </w:t>
      </w:r>
      <w:r>
        <w:rPr>
          <w:rFonts w:ascii="Times New Roman" w:hAnsi="Times New Roman" w:cs="Times New Roman"/>
          <w:sz w:val="24"/>
        </w:rPr>
        <w:t>D</w:t>
      </w:r>
      <w:r w:rsidRPr="00415230">
        <w:rPr>
          <w:rFonts w:ascii="Times New Roman" w:hAnsi="Times New Roman" w:cs="Times New Roman"/>
          <w:sz w:val="24"/>
        </w:rPr>
        <w:t xml:space="preserve">epartment provides biosecurity services under the </w:t>
      </w:r>
      <w:r>
        <w:rPr>
          <w:rFonts w:ascii="Times New Roman" w:hAnsi="Times New Roman" w:cs="Times New Roman"/>
          <w:sz w:val="24"/>
        </w:rPr>
        <w:t>Biosecurity Act</w:t>
      </w:r>
      <w:r w:rsidRPr="00415230">
        <w:rPr>
          <w:rFonts w:ascii="Times New Roman" w:hAnsi="Times New Roman" w:cs="Times New Roman"/>
          <w:sz w:val="24"/>
        </w:rPr>
        <w:t xml:space="preserve"> through cost recovered arrangements. Costs are recovered through both fees and charges, imposed in accordance with the Australian Government Charging Framework and the Australian Government Cost Recovery Guidelines.</w:t>
      </w:r>
    </w:p>
    <w:p w14:paraId="7D8BCC34" w14:textId="77777777" w:rsidR="00506B16" w:rsidRPr="00415230" w:rsidRDefault="00506B16" w:rsidP="00506B16">
      <w:pPr>
        <w:tabs>
          <w:tab w:val="right" w:pos="9072"/>
        </w:tabs>
        <w:spacing w:after="0" w:line="240" w:lineRule="auto"/>
        <w:rPr>
          <w:rFonts w:ascii="Times New Roman" w:hAnsi="Times New Roman" w:cs="Times New Roman"/>
          <w:sz w:val="24"/>
        </w:rPr>
      </w:pPr>
    </w:p>
    <w:p w14:paraId="7725E48B" w14:textId="087D3F9C" w:rsidR="00506B16" w:rsidRPr="00415230" w:rsidRDefault="00506B16" w:rsidP="00506B16">
      <w:pPr>
        <w:tabs>
          <w:tab w:val="right" w:pos="9072"/>
        </w:tabs>
        <w:spacing w:after="0" w:line="240" w:lineRule="auto"/>
        <w:rPr>
          <w:rFonts w:ascii="Times New Roman" w:hAnsi="Times New Roman" w:cs="Times New Roman"/>
          <w:sz w:val="24"/>
        </w:rPr>
      </w:pPr>
      <w:r w:rsidRPr="00415230">
        <w:rPr>
          <w:rFonts w:ascii="Times New Roman" w:hAnsi="Times New Roman" w:cs="Times New Roman"/>
          <w:sz w:val="24"/>
        </w:rPr>
        <w:t>Charging is undertaken under the</w:t>
      </w:r>
      <w:r>
        <w:rPr>
          <w:rFonts w:ascii="Times New Roman" w:hAnsi="Times New Roman" w:cs="Times New Roman"/>
          <w:sz w:val="24"/>
        </w:rPr>
        <w:t xml:space="preserve"> Act</w:t>
      </w:r>
      <w:r w:rsidRPr="00415230">
        <w:rPr>
          <w:rFonts w:ascii="Times New Roman" w:hAnsi="Times New Roman" w:cs="Times New Roman"/>
          <w:sz w:val="24"/>
        </w:rPr>
        <w:t xml:space="preserve">, the </w:t>
      </w:r>
      <w:r w:rsidRPr="0081600A">
        <w:rPr>
          <w:rFonts w:ascii="Times New Roman" w:hAnsi="Times New Roman" w:cs="Times New Roman"/>
          <w:i/>
          <w:sz w:val="24"/>
        </w:rPr>
        <w:t>Biosecurity Charges Imposition (Excise) Act 2015</w:t>
      </w:r>
      <w:r w:rsidRPr="00415230">
        <w:rPr>
          <w:rFonts w:ascii="Times New Roman" w:hAnsi="Times New Roman" w:cs="Times New Roman"/>
          <w:sz w:val="24"/>
        </w:rPr>
        <w:t xml:space="preserve"> and the </w:t>
      </w:r>
      <w:r w:rsidRPr="00415230">
        <w:rPr>
          <w:rFonts w:ascii="Times New Roman" w:hAnsi="Times New Roman" w:cs="Times New Roman"/>
          <w:i/>
          <w:sz w:val="24"/>
        </w:rPr>
        <w:t>Biosecurity Charges Imposition (General) Act 2015</w:t>
      </w:r>
      <w:r>
        <w:rPr>
          <w:rFonts w:ascii="Times New Roman" w:hAnsi="Times New Roman" w:cs="Times New Roman"/>
          <w:i/>
          <w:sz w:val="24"/>
        </w:rPr>
        <w:t xml:space="preserve"> </w:t>
      </w:r>
      <w:r>
        <w:rPr>
          <w:rFonts w:ascii="Times New Roman" w:hAnsi="Times New Roman" w:cs="Times New Roman"/>
          <w:sz w:val="24"/>
        </w:rPr>
        <w:t>(</w:t>
      </w:r>
      <w:r w:rsidR="001854FD">
        <w:rPr>
          <w:rFonts w:ascii="Times New Roman" w:hAnsi="Times New Roman" w:cs="Times New Roman"/>
          <w:sz w:val="24"/>
        </w:rPr>
        <w:t>the</w:t>
      </w:r>
      <w:r w:rsidR="001854FD" w:rsidRPr="001854FD">
        <w:rPr>
          <w:rFonts w:ascii="Times New Roman" w:hAnsi="Times New Roman" w:cs="Times New Roman"/>
          <w:sz w:val="24"/>
        </w:rPr>
        <w:t xml:space="preserve"> </w:t>
      </w:r>
      <w:r w:rsidRPr="001854FD">
        <w:rPr>
          <w:rFonts w:ascii="Times New Roman" w:hAnsi="Times New Roman" w:cs="Times New Roman"/>
          <w:sz w:val="24"/>
        </w:rPr>
        <w:t>General Act</w:t>
      </w:r>
      <w:r>
        <w:rPr>
          <w:rFonts w:ascii="Times New Roman" w:hAnsi="Times New Roman" w:cs="Times New Roman"/>
          <w:sz w:val="24"/>
        </w:rPr>
        <w:t>)</w:t>
      </w:r>
      <w:r w:rsidRPr="00415230">
        <w:rPr>
          <w:rFonts w:ascii="Times New Roman" w:hAnsi="Times New Roman" w:cs="Times New Roman"/>
          <w:sz w:val="24"/>
        </w:rPr>
        <w:t>. These Acts provide the taxing legislation framework necessary to support cost recovery charges.</w:t>
      </w:r>
      <w:r>
        <w:rPr>
          <w:rFonts w:ascii="Times New Roman" w:hAnsi="Times New Roman" w:cs="Times New Roman"/>
          <w:sz w:val="24"/>
        </w:rPr>
        <w:t xml:space="preserve"> </w:t>
      </w:r>
      <w:r w:rsidRPr="00C93966">
        <w:rPr>
          <w:rFonts w:ascii="Times New Roman" w:hAnsi="Times New Roman" w:cs="Times New Roman"/>
          <w:sz w:val="24"/>
        </w:rPr>
        <w:t xml:space="preserve">Under the legislative framework for biosecurity cost recovery, charges are imposed under both </w:t>
      </w:r>
      <w:r>
        <w:rPr>
          <w:rFonts w:ascii="Times New Roman" w:hAnsi="Times New Roman" w:cs="Times New Roman"/>
          <w:sz w:val="24"/>
        </w:rPr>
        <w:t xml:space="preserve">the </w:t>
      </w:r>
      <w:r w:rsidRPr="00C93966">
        <w:rPr>
          <w:rFonts w:ascii="Times New Roman" w:hAnsi="Times New Roman" w:cs="Times New Roman"/>
          <w:sz w:val="24"/>
        </w:rPr>
        <w:t>Act</w:t>
      </w:r>
      <w:r>
        <w:rPr>
          <w:rFonts w:ascii="Times New Roman" w:hAnsi="Times New Roman" w:cs="Times New Roman"/>
          <w:sz w:val="24"/>
        </w:rPr>
        <w:t xml:space="preserve"> and the General Act. F</w:t>
      </w:r>
      <w:r w:rsidRPr="00C93966">
        <w:rPr>
          <w:rFonts w:ascii="Times New Roman" w:hAnsi="Times New Roman" w:cs="Times New Roman"/>
          <w:sz w:val="24"/>
        </w:rPr>
        <w:t xml:space="preserve">or the avoidance of any doubt as to the technical classification of </w:t>
      </w:r>
      <w:r w:rsidRPr="00C93966">
        <w:rPr>
          <w:rFonts w:ascii="Times New Roman" w:hAnsi="Times New Roman" w:cs="Times New Roman"/>
          <w:sz w:val="24"/>
        </w:rPr>
        <w:lastRenderedPageBreak/>
        <w:t>the charge in the customs and taxation context</w:t>
      </w:r>
      <w:r>
        <w:rPr>
          <w:rFonts w:ascii="Times New Roman" w:hAnsi="Times New Roman" w:cs="Times New Roman"/>
          <w:sz w:val="24"/>
        </w:rPr>
        <w:t xml:space="preserve">, </w:t>
      </w:r>
      <w:r w:rsidRPr="00C93966">
        <w:rPr>
          <w:rFonts w:ascii="Times New Roman" w:hAnsi="Times New Roman" w:cs="Times New Roman"/>
          <w:sz w:val="24"/>
        </w:rPr>
        <w:t xml:space="preserve">all charges appear in identical form in regulations made under each of the Acts. </w:t>
      </w:r>
    </w:p>
    <w:p w14:paraId="03BD99DE" w14:textId="77777777" w:rsidR="00506B16" w:rsidRPr="00415230" w:rsidRDefault="00506B16" w:rsidP="00506B16">
      <w:pPr>
        <w:tabs>
          <w:tab w:val="right" w:pos="9072"/>
        </w:tabs>
        <w:spacing w:after="0" w:line="240" w:lineRule="auto"/>
        <w:rPr>
          <w:rFonts w:ascii="Times New Roman" w:hAnsi="Times New Roman" w:cs="Times New Roman"/>
          <w:sz w:val="24"/>
        </w:rPr>
      </w:pPr>
    </w:p>
    <w:p w14:paraId="1BC48662" w14:textId="640CCD04" w:rsidR="00506B16" w:rsidRPr="00415230" w:rsidRDefault="00506B16" w:rsidP="00506B16">
      <w:pPr>
        <w:tabs>
          <w:tab w:val="right" w:pos="9072"/>
        </w:tabs>
        <w:spacing w:after="0" w:line="240" w:lineRule="auto"/>
        <w:rPr>
          <w:rFonts w:ascii="Times New Roman" w:hAnsi="Times New Roman" w:cs="Times New Roman"/>
          <w:sz w:val="24"/>
        </w:rPr>
      </w:pPr>
      <w:r w:rsidRPr="00415230">
        <w:rPr>
          <w:rFonts w:ascii="Times New Roman" w:hAnsi="Times New Roman" w:cs="Times New Roman"/>
          <w:sz w:val="24"/>
        </w:rPr>
        <w:t xml:space="preserve">Ballast water has been regulated by the Australian Government since 2001, and has been regulated under the </w:t>
      </w:r>
      <w:r w:rsidRPr="00205EB6">
        <w:rPr>
          <w:rFonts w:ascii="Times New Roman" w:hAnsi="Times New Roman" w:cs="Times New Roman"/>
          <w:sz w:val="24"/>
        </w:rPr>
        <w:t>Biosecurity Act</w:t>
      </w:r>
      <w:r w:rsidRPr="00415230">
        <w:rPr>
          <w:rFonts w:ascii="Times New Roman" w:hAnsi="Times New Roman" w:cs="Times New Roman"/>
          <w:i/>
          <w:sz w:val="24"/>
        </w:rPr>
        <w:t xml:space="preserve"> </w:t>
      </w:r>
      <w:r w:rsidRPr="00415230">
        <w:rPr>
          <w:rFonts w:ascii="Times New Roman" w:hAnsi="Times New Roman" w:cs="Times New Roman"/>
          <w:sz w:val="24"/>
        </w:rPr>
        <w:t>since 16 June 2016. The</w:t>
      </w:r>
      <w:r>
        <w:rPr>
          <w:rFonts w:ascii="Times New Roman" w:hAnsi="Times New Roman" w:cs="Times New Roman"/>
          <w:sz w:val="24"/>
        </w:rPr>
        <w:t xml:space="preserve"> Biosecurity</w:t>
      </w:r>
      <w:r w:rsidRPr="00415230">
        <w:rPr>
          <w:rFonts w:ascii="Times New Roman" w:hAnsi="Times New Roman" w:cs="Times New Roman"/>
          <w:sz w:val="24"/>
        </w:rPr>
        <w:t xml:space="preserve"> Act has a chapter devoted to the management of ballast water and sediments within Australian seas. This chapter provides assessment and managemen</w:t>
      </w:r>
      <w:r w:rsidR="001A2882">
        <w:rPr>
          <w:rFonts w:ascii="Times New Roman" w:hAnsi="Times New Roman" w:cs="Times New Roman"/>
          <w:sz w:val="24"/>
        </w:rPr>
        <w:t xml:space="preserve">t powers to </w:t>
      </w:r>
      <w:r w:rsidR="007341C8">
        <w:rPr>
          <w:rFonts w:ascii="Times New Roman" w:hAnsi="Times New Roman" w:cs="Times New Roman"/>
          <w:sz w:val="24"/>
        </w:rPr>
        <w:t xml:space="preserve">certain </w:t>
      </w:r>
      <w:r w:rsidR="001A2882">
        <w:rPr>
          <w:rFonts w:ascii="Times New Roman" w:hAnsi="Times New Roman" w:cs="Times New Roman"/>
          <w:sz w:val="24"/>
        </w:rPr>
        <w:t>biosecurity officials</w:t>
      </w:r>
      <w:r w:rsidRPr="00415230">
        <w:rPr>
          <w:rFonts w:ascii="Times New Roman" w:hAnsi="Times New Roman" w:cs="Times New Roman"/>
          <w:sz w:val="24"/>
        </w:rPr>
        <w:t xml:space="preserve"> specific to vessels intending to discharge ballast water.</w:t>
      </w:r>
    </w:p>
    <w:p w14:paraId="5D6421EF" w14:textId="77777777" w:rsidR="00506B16" w:rsidRPr="00415230" w:rsidRDefault="00506B16" w:rsidP="00506B16">
      <w:pPr>
        <w:tabs>
          <w:tab w:val="right" w:pos="9072"/>
        </w:tabs>
        <w:spacing w:after="0" w:line="240" w:lineRule="auto"/>
        <w:rPr>
          <w:rFonts w:ascii="Times New Roman" w:hAnsi="Times New Roman" w:cs="Times New Roman"/>
          <w:sz w:val="24"/>
        </w:rPr>
      </w:pPr>
    </w:p>
    <w:p w14:paraId="6576C0D6" w14:textId="47FDFA85" w:rsidR="00506B16" w:rsidRPr="00415230" w:rsidRDefault="00506B16" w:rsidP="00506B16">
      <w:pPr>
        <w:tabs>
          <w:tab w:val="right" w:pos="9072"/>
        </w:tabs>
        <w:spacing w:after="0" w:line="240" w:lineRule="auto"/>
        <w:rPr>
          <w:rFonts w:ascii="Times New Roman" w:hAnsi="Times New Roman" w:cs="Times New Roman"/>
          <w:sz w:val="24"/>
        </w:rPr>
      </w:pPr>
      <w:r w:rsidRPr="00415230">
        <w:rPr>
          <w:rFonts w:ascii="Times New Roman" w:hAnsi="Times New Roman" w:cs="Times New Roman"/>
          <w:sz w:val="24"/>
        </w:rPr>
        <w:t xml:space="preserve">On 17 May 2017, an amendment to the </w:t>
      </w:r>
      <w:r>
        <w:rPr>
          <w:rFonts w:ascii="Times New Roman" w:hAnsi="Times New Roman" w:cs="Times New Roman"/>
          <w:sz w:val="24"/>
        </w:rPr>
        <w:t xml:space="preserve">Biosecurity </w:t>
      </w:r>
      <w:r w:rsidRPr="00415230">
        <w:rPr>
          <w:rFonts w:ascii="Times New Roman" w:hAnsi="Times New Roman" w:cs="Times New Roman"/>
          <w:sz w:val="24"/>
        </w:rPr>
        <w:t xml:space="preserve">Act relating to ballast water received </w:t>
      </w:r>
      <w:r>
        <w:rPr>
          <w:rFonts w:ascii="Times New Roman" w:hAnsi="Times New Roman" w:cs="Times New Roman"/>
          <w:sz w:val="24"/>
        </w:rPr>
        <w:t xml:space="preserve">the </w:t>
      </w:r>
      <w:r w:rsidRPr="00415230">
        <w:rPr>
          <w:rFonts w:ascii="Times New Roman" w:hAnsi="Times New Roman" w:cs="Times New Roman"/>
          <w:sz w:val="24"/>
        </w:rPr>
        <w:t xml:space="preserve">Royal Assent. The </w:t>
      </w:r>
      <w:r w:rsidRPr="00415230">
        <w:rPr>
          <w:rFonts w:ascii="Times New Roman" w:hAnsi="Times New Roman" w:cs="Times New Roman"/>
          <w:i/>
          <w:sz w:val="24"/>
        </w:rPr>
        <w:t>Biosecurity Amendment (Ballast Water and Other Measures) Act 2017</w:t>
      </w:r>
      <w:r w:rsidRPr="00415230">
        <w:rPr>
          <w:rFonts w:ascii="Times New Roman" w:hAnsi="Times New Roman" w:cs="Times New Roman"/>
          <w:sz w:val="24"/>
        </w:rPr>
        <w:t xml:space="preserve"> (</w:t>
      </w:r>
      <w:r w:rsidR="001854FD">
        <w:rPr>
          <w:rFonts w:ascii="Times New Roman" w:hAnsi="Times New Roman" w:cs="Times New Roman"/>
          <w:sz w:val="24"/>
        </w:rPr>
        <w:t xml:space="preserve">the </w:t>
      </w:r>
      <w:r w:rsidRPr="001854FD">
        <w:rPr>
          <w:rFonts w:ascii="Times New Roman" w:hAnsi="Times New Roman" w:cs="Times New Roman"/>
          <w:sz w:val="24"/>
        </w:rPr>
        <w:t>amendment Act</w:t>
      </w:r>
      <w:r w:rsidRPr="00415230">
        <w:rPr>
          <w:rFonts w:ascii="Times New Roman" w:hAnsi="Times New Roman" w:cs="Times New Roman"/>
          <w:sz w:val="24"/>
        </w:rPr>
        <w:t>), strengthen</w:t>
      </w:r>
      <w:r>
        <w:rPr>
          <w:rFonts w:ascii="Times New Roman" w:hAnsi="Times New Roman" w:cs="Times New Roman"/>
          <w:sz w:val="24"/>
        </w:rPr>
        <w:t>ed</w:t>
      </w:r>
      <w:r w:rsidRPr="00415230">
        <w:rPr>
          <w:rFonts w:ascii="Times New Roman" w:hAnsi="Times New Roman" w:cs="Times New Roman"/>
          <w:sz w:val="24"/>
        </w:rPr>
        <w:t xml:space="preserve"> Australia’s ability to manage ballast water in ships, and broaden</w:t>
      </w:r>
      <w:r>
        <w:rPr>
          <w:rFonts w:ascii="Times New Roman" w:hAnsi="Times New Roman" w:cs="Times New Roman"/>
          <w:sz w:val="24"/>
        </w:rPr>
        <w:t>ed</w:t>
      </w:r>
      <w:r w:rsidRPr="00415230">
        <w:rPr>
          <w:rFonts w:ascii="Times New Roman" w:hAnsi="Times New Roman" w:cs="Times New Roman"/>
          <w:sz w:val="24"/>
        </w:rPr>
        <w:t xml:space="preserve"> existing powers to destroy exotic vectors of human disease on vessels and aircraft arriving in Australia. It was also a necessary step in ratifying the International Convention for the Control and Management of Ships' Ballast Water and Sediments (Ballast Water Management Convention) </w:t>
      </w:r>
      <w:r>
        <w:rPr>
          <w:rFonts w:ascii="Times New Roman" w:hAnsi="Times New Roman" w:cs="Times New Roman"/>
          <w:sz w:val="24"/>
        </w:rPr>
        <w:t>which</w:t>
      </w:r>
      <w:r w:rsidRPr="00415230">
        <w:rPr>
          <w:rFonts w:ascii="Times New Roman" w:hAnsi="Times New Roman" w:cs="Times New Roman"/>
          <w:sz w:val="24"/>
        </w:rPr>
        <w:t xml:space="preserve"> came into force internationally and in Australia on 8</w:t>
      </w:r>
      <w:r>
        <w:rPr>
          <w:rFonts w:ascii="Times New Roman" w:hAnsi="Times New Roman" w:cs="Times New Roman"/>
          <w:sz w:val="24"/>
        </w:rPr>
        <w:t> </w:t>
      </w:r>
      <w:r w:rsidRPr="00415230">
        <w:rPr>
          <w:rFonts w:ascii="Times New Roman" w:hAnsi="Times New Roman" w:cs="Times New Roman"/>
          <w:sz w:val="24"/>
        </w:rPr>
        <w:t xml:space="preserve">September 2017. On this day, the amendment Act and the </w:t>
      </w:r>
      <w:r w:rsidRPr="00415230">
        <w:rPr>
          <w:rFonts w:ascii="Times New Roman" w:hAnsi="Times New Roman" w:cs="Times New Roman"/>
          <w:i/>
          <w:sz w:val="24"/>
        </w:rPr>
        <w:t>Biosecurity (Ballast Water and Sediment) Determination 2017</w:t>
      </w:r>
      <w:r w:rsidRPr="00415230">
        <w:rPr>
          <w:rFonts w:ascii="Times New Roman" w:hAnsi="Times New Roman" w:cs="Times New Roman"/>
          <w:sz w:val="24"/>
        </w:rPr>
        <w:t xml:space="preserve"> also came into effect.</w:t>
      </w:r>
    </w:p>
    <w:p w14:paraId="17D0CAFB" w14:textId="77777777" w:rsidR="00506B16" w:rsidRPr="00415230" w:rsidRDefault="00506B16" w:rsidP="00506B16">
      <w:pPr>
        <w:tabs>
          <w:tab w:val="right" w:pos="9072"/>
        </w:tabs>
        <w:spacing w:after="0" w:line="240" w:lineRule="auto"/>
        <w:rPr>
          <w:rFonts w:ascii="Times New Roman" w:hAnsi="Times New Roman" w:cs="Times New Roman"/>
          <w:sz w:val="24"/>
        </w:rPr>
      </w:pPr>
    </w:p>
    <w:p w14:paraId="4007AE9D" w14:textId="579311AC" w:rsidR="00506B16" w:rsidRPr="00A84104" w:rsidRDefault="00506B16" w:rsidP="00506B16">
      <w:pPr>
        <w:tabs>
          <w:tab w:val="right" w:pos="9072"/>
        </w:tabs>
        <w:spacing w:after="0" w:line="240" w:lineRule="auto"/>
        <w:rPr>
          <w:rFonts w:ascii="Times New Roman" w:hAnsi="Times New Roman" w:cs="Times New Roman"/>
          <w:sz w:val="24"/>
        </w:rPr>
      </w:pPr>
      <w:r w:rsidRPr="00415230">
        <w:rPr>
          <w:rFonts w:ascii="Times New Roman" w:hAnsi="Times New Roman" w:cs="Times New Roman"/>
          <w:sz w:val="24"/>
        </w:rPr>
        <w:t xml:space="preserve">As part of the 2017–18 Budget, the </w:t>
      </w:r>
      <w:r>
        <w:rPr>
          <w:rFonts w:ascii="Times New Roman" w:hAnsi="Times New Roman" w:cs="Times New Roman"/>
          <w:sz w:val="24"/>
        </w:rPr>
        <w:t>D</w:t>
      </w:r>
      <w:r w:rsidRPr="00415230">
        <w:rPr>
          <w:rFonts w:ascii="Times New Roman" w:hAnsi="Times New Roman" w:cs="Times New Roman"/>
          <w:sz w:val="24"/>
        </w:rPr>
        <w:t>epartment</w:t>
      </w:r>
      <w:r>
        <w:rPr>
          <w:rFonts w:ascii="Times New Roman" w:hAnsi="Times New Roman" w:cs="Times New Roman"/>
          <w:sz w:val="24"/>
        </w:rPr>
        <w:t xml:space="preserve"> is required</w:t>
      </w:r>
      <w:r w:rsidRPr="00415230">
        <w:rPr>
          <w:rFonts w:ascii="Times New Roman" w:hAnsi="Times New Roman" w:cs="Times New Roman"/>
          <w:sz w:val="24"/>
        </w:rPr>
        <w:t xml:space="preserve"> to cost recover the expenses of the expanded ballast water biosecurity activities from an increase in the international vessel arrival charge. This has resulted in the need for changes to the price of the existing vessel arrival charge (imposed under taxing legislation).</w:t>
      </w:r>
      <w:r>
        <w:rPr>
          <w:rFonts w:ascii="Times New Roman" w:hAnsi="Times New Roman" w:cs="Times New Roman"/>
          <w:sz w:val="24"/>
        </w:rPr>
        <w:t xml:space="preserve"> </w:t>
      </w:r>
    </w:p>
    <w:p w14:paraId="0D40F152" w14:textId="77777777" w:rsidR="006D5C93" w:rsidRPr="004F1D57" w:rsidRDefault="006D5C93" w:rsidP="006D5C93">
      <w:pPr>
        <w:tabs>
          <w:tab w:val="left" w:pos="1701"/>
          <w:tab w:val="right" w:pos="9072"/>
        </w:tabs>
        <w:spacing w:after="0" w:line="240" w:lineRule="auto"/>
        <w:rPr>
          <w:rFonts w:ascii="Times New Roman" w:hAnsi="Times New Roman" w:cs="Times New Roman"/>
          <w:b/>
          <w:sz w:val="24"/>
        </w:rPr>
      </w:pPr>
    </w:p>
    <w:p w14:paraId="0F767FC7" w14:textId="77777777" w:rsidR="002B1DB3" w:rsidRPr="007D26AF" w:rsidRDefault="002B1DB3" w:rsidP="005D1ABF">
      <w:pPr>
        <w:tabs>
          <w:tab w:val="left" w:pos="1701"/>
          <w:tab w:val="right" w:pos="9072"/>
        </w:tabs>
        <w:spacing w:after="0" w:line="240" w:lineRule="auto"/>
        <w:rPr>
          <w:rFonts w:ascii="Times New Roman" w:hAnsi="Times New Roman" w:cs="Times New Roman"/>
          <w:b/>
          <w:sz w:val="24"/>
          <w:szCs w:val="24"/>
        </w:rPr>
      </w:pPr>
      <w:r w:rsidRPr="007D26AF">
        <w:rPr>
          <w:rFonts w:ascii="Times New Roman" w:hAnsi="Times New Roman" w:cs="Times New Roman"/>
          <w:b/>
          <w:sz w:val="24"/>
          <w:szCs w:val="24"/>
        </w:rPr>
        <w:t>Impact and Effect</w:t>
      </w:r>
    </w:p>
    <w:p w14:paraId="5010B67B" w14:textId="77777777" w:rsidR="002B1DB3" w:rsidRPr="007D26AF" w:rsidRDefault="002B1DB3" w:rsidP="005D1ABF">
      <w:pPr>
        <w:tabs>
          <w:tab w:val="right" w:pos="9072"/>
        </w:tabs>
        <w:spacing w:after="0" w:line="240" w:lineRule="auto"/>
        <w:rPr>
          <w:rFonts w:ascii="Times New Roman" w:hAnsi="Times New Roman" w:cs="Times New Roman"/>
          <w:sz w:val="24"/>
          <w:szCs w:val="24"/>
        </w:rPr>
      </w:pPr>
    </w:p>
    <w:p w14:paraId="17D3328B" w14:textId="1069C6B8" w:rsidR="002B1DB3" w:rsidRPr="007D26AF" w:rsidRDefault="00506B16" w:rsidP="005D1ABF">
      <w:pPr>
        <w:tabs>
          <w:tab w:val="right" w:pos="9072"/>
        </w:tabs>
        <w:spacing w:after="0" w:line="240" w:lineRule="auto"/>
        <w:rPr>
          <w:rFonts w:ascii="Times New Roman" w:hAnsi="Times New Roman" w:cs="Times New Roman"/>
          <w:sz w:val="24"/>
          <w:szCs w:val="24"/>
        </w:rPr>
      </w:pPr>
      <w:r w:rsidRPr="004F1D57">
        <w:rPr>
          <w:rFonts w:ascii="Times New Roman" w:hAnsi="Times New Roman" w:cs="Times New Roman"/>
          <w:sz w:val="24"/>
        </w:rPr>
        <w:t>The</w:t>
      </w:r>
      <w:r>
        <w:rPr>
          <w:rFonts w:ascii="Times New Roman" w:hAnsi="Times New Roman" w:cs="Times New Roman"/>
          <w:sz w:val="24"/>
        </w:rPr>
        <w:t xml:space="preserve"> R</w:t>
      </w:r>
      <w:r w:rsidRPr="004F1D57">
        <w:rPr>
          <w:rFonts w:ascii="Times New Roman" w:hAnsi="Times New Roman" w:cs="Times New Roman"/>
          <w:sz w:val="24"/>
        </w:rPr>
        <w:t>egulation</w:t>
      </w:r>
      <w:r>
        <w:rPr>
          <w:rFonts w:ascii="Times New Roman" w:hAnsi="Times New Roman" w:cs="Times New Roman"/>
          <w:sz w:val="24"/>
        </w:rPr>
        <w:t>s</w:t>
      </w:r>
      <w:r w:rsidRPr="004F1D57">
        <w:rPr>
          <w:rFonts w:ascii="Times New Roman" w:hAnsi="Times New Roman" w:cs="Times New Roman"/>
          <w:sz w:val="24"/>
        </w:rPr>
        <w:t xml:space="preserve"> increase the price of the vessel arrival charge from $720 to $920 per arrival. </w:t>
      </w:r>
      <w:r>
        <w:rPr>
          <w:rFonts w:ascii="Times New Roman" w:hAnsi="Times New Roman" w:cs="Times New Roman"/>
          <w:sz w:val="24"/>
        </w:rPr>
        <w:t>T</w:t>
      </w:r>
      <w:r w:rsidRPr="004F1D57">
        <w:rPr>
          <w:rFonts w:ascii="Times New Roman" w:hAnsi="Times New Roman" w:cs="Times New Roman"/>
          <w:sz w:val="24"/>
        </w:rPr>
        <w:t xml:space="preserve">his </w:t>
      </w:r>
      <w:r w:rsidR="009476D5">
        <w:rPr>
          <w:rFonts w:ascii="Times New Roman" w:hAnsi="Times New Roman" w:cs="Times New Roman"/>
          <w:sz w:val="24"/>
        </w:rPr>
        <w:t>is</w:t>
      </w:r>
      <w:r w:rsidRPr="004F1D57">
        <w:rPr>
          <w:rFonts w:ascii="Times New Roman" w:hAnsi="Times New Roman" w:cs="Times New Roman"/>
          <w:sz w:val="24"/>
        </w:rPr>
        <w:t xml:space="preserve"> expected to raise additional revenue of $3.4 million per annum</w:t>
      </w:r>
      <w:r>
        <w:rPr>
          <w:rFonts w:ascii="Times New Roman" w:hAnsi="Times New Roman" w:cs="Times New Roman"/>
          <w:sz w:val="24"/>
        </w:rPr>
        <w:t xml:space="preserve"> to offset the modelled expense base of the biosecurity activities of the seaports program, and the most recent vessel arrival volume projections available to the Department.</w:t>
      </w:r>
    </w:p>
    <w:p w14:paraId="44F93A04" w14:textId="77777777" w:rsidR="009476D5" w:rsidRDefault="009476D5" w:rsidP="005D1ABF">
      <w:pPr>
        <w:tabs>
          <w:tab w:val="left" w:pos="1701"/>
          <w:tab w:val="right" w:pos="9072"/>
        </w:tabs>
        <w:spacing w:after="0" w:line="240" w:lineRule="auto"/>
        <w:rPr>
          <w:rFonts w:ascii="Times New Roman" w:hAnsi="Times New Roman" w:cs="Times New Roman"/>
          <w:b/>
          <w:sz w:val="24"/>
          <w:szCs w:val="24"/>
        </w:rPr>
      </w:pPr>
    </w:p>
    <w:p w14:paraId="1C46C48E" w14:textId="77777777" w:rsidR="002B1DB3" w:rsidRPr="007D26AF" w:rsidRDefault="002B1DB3" w:rsidP="005D1ABF">
      <w:pPr>
        <w:tabs>
          <w:tab w:val="left" w:pos="1701"/>
          <w:tab w:val="right" w:pos="9072"/>
        </w:tabs>
        <w:spacing w:after="0" w:line="240" w:lineRule="auto"/>
        <w:rPr>
          <w:rFonts w:ascii="Times New Roman" w:hAnsi="Times New Roman" w:cs="Times New Roman"/>
          <w:sz w:val="24"/>
          <w:szCs w:val="24"/>
        </w:rPr>
      </w:pPr>
      <w:r w:rsidRPr="007D26AF">
        <w:rPr>
          <w:rFonts w:ascii="Times New Roman" w:hAnsi="Times New Roman" w:cs="Times New Roman"/>
          <w:b/>
          <w:sz w:val="24"/>
          <w:szCs w:val="24"/>
        </w:rPr>
        <w:t>Consultation</w:t>
      </w:r>
    </w:p>
    <w:p w14:paraId="61EF4F0E" w14:textId="77777777" w:rsidR="002B1DB3" w:rsidRPr="007D26AF" w:rsidRDefault="002B1DB3" w:rsidP="005D1ABF">
      <w:pPr>
        <w:tabs>
          <w:tab w:val="left" w:pos="1701"/>
          <w:tab w:val="right" w:pos="9072"/>
        </w:tabs>
        <w:spacing w:after="0" w:line="240" w:lineRule="auto"/>
        <w:rPr>
          <w:rFonts w:ascii="Times New Roman" w:hAnsi="Times New Roman" w:cs="Times New Roman"/>
          <w:sz w:val="24"/>
          <w:szCs w:val="24"/>
        </w:rPr>
      </w:pPr>
    </w:p>
    <w:p w14:paraId="7160AF59" w14:textId="44E7F4D7" w:rsidR="00921363" w:rsidRDefault="006D5C93" w:rsidP="006D5C93">
      <w:pPr>
        <w:tabs>
          <w:tab w:val="left" w:pos="1701"/>
          <w:tab w:val="right" w:pos="9072"/>
        </w:tabs>
        <w:spacing w:after="0" w:line="240" w:lineRule="auto"/>
        <w:rPr>
          <w:rFonts w:ascii="Times New Roman" w:hAnsi="Times New Roman" w:cs="Times New Roman"/>
          <w:sz w:val="24"/>
        </w:rPr>
      </w:pPr>
      <w:r w:rsidRPr="004F1D57">
        <w:rPr>
          <w:rFonts w:ascii="Times New Roman" w:hAnsi="Times New Roman" w:cs="Times New Roman"/>
          <w:sz w:val="24"/>
        </w:rPr>
        <w:t xml:space="preserve">The </w:t>
      </w:r>
      <w:r w:rsidR="00D570CA">
        <w:rPr>
          <w:rFonts w:ascii="Times New Roman" w:hAnsi="Times New Roman" w:cs="Times New Roman"/>
          <w:sz w:val="24"/>
        </w:rPr>
        <w:t>D</w:t>
      </w:r>
      <w:r w:rsidRPr="004F1D57">
        <w:rPr>
          <w:rFonts w:ascii="Times New Roman" w:hAnsi="Times New Roman" w:cs="Times New Roman"/>
          <w:sz w:val="24"/>
        </w:rPr>
        <w:t xml:space="preserve">epartment has undertaken consultation with its industry consultative committee on the details of the expense base, the cost recovery charge points, and the extent of the cost recovery charges payable by each vessel. </w:t>
      </w:r>
      <w:r w:rsidR="00921363" w:rsidRPr="00921363">
        <w:rPr>
          <w:rFonts w:ascii="Times New Roman" w:hAnsi="Times New Roman" w:cs="Times New Roman"/>
          <w:sz w:val="24"/>
        </w:rPr>
        <w:t>The industry committee consists of representatives from the Customs Brokers and Forwarders Council of Australia Inc, the Australian Federation of International Forwarders Ltd, Shipping Australia Limited and the Conference of Asia Pacific Express Carriers.</w:t>
      </w:r>
    </w:p>
    <w:p w14:paraId="52E0C689" w14:textId="77777777" w:rsidR="00921363" w:rsidRDefault="00921363" w:rsidP="006D5C93">
      <w:pPr>
        <w:tabs>
          <w:tab w:val="left" w:pos="1701"/>
          <w:tab w:val="right" w:pos="9072"/>
        </w:tabs>
        <w:spacing w:after="0" w:line="240" w:lineRule="auto"/>
        <w:rPr>
          <w:rFonts w:ascii="Times New Roman" w:hAnsi="Times New Roman" w:cs="Times New Roman"/>
          <w:sz w:val="24"/>
        </w:rPr>
      </w:pPr>
    </w:p>
    <w:p w14:paraId="34B8B343" w14:textId="2533E4E4" w:rsidR="006D5C93" w:rsidRPr="004F1D57" w:rsidRDefault="008463BF" w:rsidP="006D5C93">
      <w:pPr>
        <w:tabs>
          <w:tab w:val="left" w:pos="1701"/>
          <w:tab w:val="right" w:pos="9072"/>
        </w:tabs>
        <w:spacing w:after="0" w:line="240" w:lineRule="auto"/>
        <w:rPr>
          <w:rFonts w:ascii="Times New Roman" w:hAnsi="Times New Roman" w:cs="Times New Roman"/>
          <w:sz w:val="24"/>
        </w:rPr>
      </w:pPr>
      <w:r w:rsidRPr="008463BF">
        <w:rPr>
          <w:rFonts w:ascii="Times New Roman" w:hAnsi="Times New Roman" w:cs="Times New Roman"/>
          <w:sz w:val="24"/>
        </w:rPr>
        <w:t>The Office of Best Practice Regulation has been consulted and considers that the ballast water legislation will have minor impact (ID 16609).</w:t>
      </w:r>
    </w:p>
    <w:p w14:paraId="2CC1EFC0" w14:textId="77777777" w:rsidR="002B1DB3" w:rsidRPr="005D1ABF" w:rsidRDefault="002B1DB3" w:rsidP="005D1ABF">
      <w:pPr>
        <w:tabs>
          <w:tab w:val="right" w:pos="9072"/>
        </w:tabs>
        <w:spacing w:after="0" w:line="240" w:lineRule="auto"/>
        <w:rPr>
          <w:rFonts w:ascii="Times New Roman" w:hAnsi="Times New Roman" w:cs="Times New Roman"/>
          <w:sz w:val="24"/>
          <w:szCs w:val="24"/>
        </w:rPr>
      </w:pPr>
    </w:p>
    <w:p w14:paraId="27176D7F" w14:textId="77777777" w:rsidR="00E76AB5" w:rsidRPr="007D26AF" w:rsidRDefault="00E76AB5" w:rsidP="00E76AB5">
      <w:pPr>
        <w:tabs>
          <w:tab w:val="left" w:pos="1701"/>
          <w:tab w:val="right" w:pos="9072"/>
        </w:tabs>
        <w:spacing w:after="0" w:line="240" w:lineRule="auto"/>
        <w:rPr>
          <w:rFonts w:ascii="Times New Roman" w:hAnsi="Times New Roman" w:cs="Times New Roman"/>
          <w:b/>
          <w:sz w:val="24"/>
        </w:rPr>
      </w:pPr>
      <w:r w:rsidRPr="007D26AF">
        <w:rPr>
          <w:rFonts w:ascii="Times New Roman" w:hAnsi="Times New Roman" w:cs="Times New Roman"/>
          <w:b/>
          <w:sz w:val="24"/>
        </w:rPr>
        <w:t>Details/ Operation</w:t>
      </w:r>
    </w:p>
    <w:p w14:paraId="63A2470D" w14:textId="77777777" w:rsidR="005B6209" w:rsidRPr="007D26AF" w:rsidRDefault="005B6209" w:rsidP="00E76AB5">
      <w:pPr>
        <w:tabs>
          <w:tab w:val="left" w:pos="1701"/>
          <w:tab w:val="right" w:pos="9072"/>
        </w:tabs>
        <w:spacing w:after="0" w:line="240" w:lineRule="auto"/>
        <w:rPr>
          <w:rFonts w:ascii="Times New Roman" w:hAnsi="Times New Roman" w:cs="Times New Roman"/>
          <w:sz w:val="24"/>
        </w:rPr>
      </w:pPr>
    </w:p>
    <w:p w14:paraId="05627AEF" w14:textId="36269C49" w:rsidR="00897176" w:rsidRPr="007D26AF" w:rsidRDefault="00897176" w:rsidP="00E76AB5">
      <w:pPr>
        <w:tabs>
          <w:tab w:val="left" w:pos="1701"/>
          <w:tab w:val="right" w:pos="9072"/>
        </w:tabs>
        <w:spacing w:after="0" w:line="240" w:lineRule="auto"/>
        <w:rPr>
          <w:rFonts w:ascii="Times New Roman" w:hAnsi="Times New Roman" w:cs="Times New Roman"/>
          <w:sz w:val="24"/>
        </w:rPr>
      </w:pPr>
      <w:r w:rsidRPr="007D26AF">
        <w:rPr>
          <w:rFonts w:ascii="Times New Roman" w:hAnsi="Times New Roman" w:cs="Times New Roman"/>
          <w:sz w:val="24"/>
        </w:rPr>
        <w:t xml:space="preserve">Details of the Regulations are set out in </w:t>
      </w:r>
      <w:r w:rsidRPr="007D26AF">
        <w:rPr>
          <w:rFonts w:ascii="Times New Roman" w:hAnsi="Times New Roman" w:cs="Times New Roman"/>
          <w:sz w:val="24"/>
          <w:u w:val="single"/>
        </w:rPr>
        <w:t>Attachment A</w:t>
      </w:r>
      <w:r w:rsidRPr="007D26AF">
        <w:rPr>
          <w:rFonts w:ascii="Times New Roman" w:hAnsi="Times New Roman" w:cs="Times New Roman"/>
          <w:sz w:val="24"/>
        </w:rPr>
        <w:t>.</w:t>
      </w:r>
    </w:p>
    <w:p w14:paraId="2926146A" w14:textId="77777777" w:rsidR="00B66DFF" w:rsidRPr="005B6209" w:rsidRDefault="00B66DFF" w:rsidP="005D1ABF">
      <w:pPr>
        <w:tabs>
          <w:tab w:val="left" w:pos="1701"/>
          <w:tab w:val="right" w:pos="9072"/>
        </w:tabs>
        <w:spacing w:after="0" w:line="240" w:lineRule="auto"/>
        <w:rPr>
          <w:rFonts w:ascii="Times New Roman" w:hAnsi="Times New Roman" w:cs="Times New Roman"/>
          <w:sz w:val="24"/>
          <w:szCs w:val="24"/>
        </w:rPr>
      </w:pPr>
    </w:p>
    <w:p w14:paraId="34E9FB1A" w14:textId="77777777" w:rsidR="00E76AB5" w:rsidRDefault="00E76AB5" w:rsidP="00506B16">
      <w:pPr>
        <w:keepNext/>
        <w:tabs>
          <w:tab w:val="left" w:pos="1701"/>
          <w:tab w:val="right" w:pos="9072"/>
        </w:tabs>
        <w:spacing w:after="0" w:line="240" w:lineRule="auto"/>
        <w:rPr>
          <w:rFonts w:ascii="Times New Roman" w:hAnsi="Times New Roman" w:cs="Times New Roman"/>
          <w:b/>
          <w:sz w:val="24"/>
          <w:szCs w:val="24"/>
        </w:rPr>
      </w:pPr>
      <w:r w:rsidRPr="00781B36">
        <w:rPr>
          <w:rFonts w:ascii="Times New Roman" w:hAnsi="Times New Roman" w:cs="Times New Roman"/>
          <w:b/>
          <w:sz w:val="24"/>
          <w:szCs w:val="24"/>
        </w:rPr>
        <w:lastRenderedPageBreak/>
        <w:t>Other</w:t>
      </w:r>
    </w:p>
    <w:p w14:paraId="1E79F8C3" w14:textId="77777777" w:rsidR="00C46942" w:rsidRPr="00781B36" w:rsidRDefault="00C46942" w:rsidP="00506B16">
      <w:pPr>
        <w:keepNext/>
        <w:tabs>
          <w:tab w:val="left" w:pos="1701"/>
          <w:tab w:val="right" w:pos="9072"/>
        </w:tabs>
        <w:spacing w:after="0" w:line="240" w:lineRule="auto"/>
        <w:rPr>
          <w:rFonts w:ascii="Times New Roman" w:hAnsi="Times New Roman" w:cs="Times New Roman"/>
          <w:sz w:val="24"/>
          <w:szCs w:val="24"/>
        </w:rPr>
      </w:pPr>
    </w:p>
    <w:p w14:paraId="0F52F10F" w14:textId="7FD4AC3D"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C46942">
        <w:rPr>
          <w:rFonts w:ascii="Times New Roman" w:hAnsi="Times New Roman" w:cs="Times New Roman"/>
          <w:sz w:val="24"/>
          <w:szCs w:val="24"/>
        </w:rPr>
        <w:t xml:space="preserve">The </w:t>
      </w:r>
      <w:r w:rsidR="000C36AC" w:rsidRPr="00C46942">
        <w:rPr>
          <w:rFonts w:ascii="Times New Roman" w:hAnsi="Times New Roman" w:cs="Times New Roman"/>
          <w:sz w:val="24"/>
          <w:szCs w:val="24"/>
        </w:rPr>
        <w:t>Regulation</w:t>
      </w:r>
      <w:r w:rsidR="00C46942" w:rsidRPr="00C46942">
        <w:rPr>
          <w:rFonts w:ascii="Times New Roman" w:hAnsi="Times New Roman" w:cs="Times New Roman"/>
          <w:sz w:val="24"/>
          <w:szCs w:val="24"/>
        </w:rPr>
        <w:t>s</w:t>
      </w:r>
      <w:r w:rsidR="000C36AC" w:rsidRPr="007D26AF">
        <w:rPr>
          <w:rFonts w:ascii="Times New Roman" w:hAnsi="Times New Roman" w:cs="Times New Roman"/>
          <w:sz w:val="24"/>
          <w:szCs w:val="24"/>
        </w:rPr>
        <w:t xml:space="preserve"> </w:t>
      </w:r>
      <w:r w:rsidR="00C46942" w:rsidRPr="007D26AF">
        <w:rPr>
          <w:rFonts w:ascii="Times New Roman" w:hAnsi="Times New Roman" w:cs="Times New Roman"/>
          <w:sz w:val="24"/>
          <w:szCs w:val="24"/>
        </w:rPr>
        <w:t xml:space="preserve">are </w:t>
      </w:r>
      <w:r w:rsidR="000C36AC" w:rsidRPr="007D26AF">
        <w:rPr>
          <w:rFonts w:ascii="Times New Roman" w:hAnsi="Times New Roman" w:cs="Times New Roman"/>
          <w:sz w:val="24"/>
          <w:szCs w:val="24"/>
        </w:rPr>
        <w:t>compatible</w:t>
      </w:r>
      <w:r w:rsidRPr="007D26AF">
        <w:rPr>
          <w:rFonts w:ascii="Times New Roman" w:hAnsi="Times New Roman" w:cs="Times New Roman"/>
          <w:sz w:val="24"/>
          <w:szCs w:val="24"/>
        </w:rPr>
        <w:t xml:space="preserve"> with the human 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00C46942">
        <w:rPr>
          <w:rFonts w:ascii="Times New Roman" w:hAnsi="Times New Roman" w:cs="Times New Roman"/>
          <w:sz w:val="24"/>
          <w:szCs w:val="24"/>
        </w:rPr>
        <w:t xml:space="preserve">the </w:t>
      </w:r>
      <w:r w:rsidRPr="00E76AB5">
        <w:rPr>
          <w:rFonts w:ascii="Times New Roman" w:hAnsi="Times New Roman" w:cs="Times New Roman"/>
          <w:sz w:val="24"/>
          <w:szCs w:val="24"/>
          <w:u w:val="single"/>
        </w:rPr>
        <w:t>Attachment</w:t>
      </w:r>
      <w:r w:rsidRPr="00E76AB5">
        <w:rPr>
          <w:rFonts w:ascii="Times New Roman" w:hAnsi="Times New Roman" w:cs="Times New Roman"/>
          <w:sz w:val="24"/>
          <w:szCs w:val="24"/>
        </w:rPr>
        <w:t>.</w:t>
      </w:r>
    </w:p>
    <w:p w14:paraId="7BF69367"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3D81D725" w14:textId="1CE09174"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Pr="007D26AF">
        <w:rPr>
          <w:rFonts w:ascii="Times New Roman" w:hAnsi="Times New Roman" w:cs="Times New Roman"/>
          <w:sz w:val="24"/>
          <w:szCs w:val="24"/>
        </w:rPr>
        <w:t>Regulation</w:t>
      </w:r>
      <w:r w:rsidR="00C46942" w:rsidRPr="007D26AF">
        <w:rPr>
          <w:rFonts w:ascii="Times New Roman" w:hAnsi="Times New Roman" w:cs="Times New Roman"/>
          <w:sz w:val="24"/>
          <w:szCs w:val="24"/>
        </w:rPr>
        <w:t>s</w:t>
      </w:r>
      <w:r w:rsidRPr="00C46942">
        <w:rPr>
          <w:rFonts w:ascii="Times New Roman" w:hAnsi="Times New Roman" w:cs="Times New Roman"/>
          <w:sz w:val="24"/>
          <w:szCs w:val="24"/>
        </w:rPr>
        <w:t xml:space="preserve"> </w:t>
      </w:r>
      <w:r w:rsidR="00C46942">
        <w:rPr>
          <w:rFonts w:ascii="Times New Roman" w:hAnsi="Times New Roman" w:cs="Times New Roman"/>
          <w:sz w:val="24"/>
          <w:szCs w:val="24"/>
        </w:rPr>
        <w:t>are</w:t>
      </w:r>
      <w:r w:rsidR="00C46942" w:rsidRPr="00E76AB5">
        <w:rPr>
          <w:rFonts w:ascii="Times New Roman" w:hAnsi="Times New Roman" w:cs="Times New Roman"/>
          <w:sz w:val="24"/>
          <w:szCs w:val="24"/>
        </w:rPr>
        <w:t xml:space="preserve">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392782AE" w14:textId="6BF7D832" w:rsidR="00897176" w:rsidRDefault="00E76AB5">
      <w:pPr>
        <w:rPr>
          <w:rFonts w:ascii="Times New Roman" w:eastAsia="Times New Roman" w:hAnsi="Times New Roman" w:cs="Times New Roman"/>
          <w:b/>
          <w:caps/>
          <w:color w:val="000000"/>
          <w:sz w:val="24"/>
          <w:szCs w:val="24"/>
          <w:u w:val="single"/>
        </w:rPr>
      </w:pPr>
      <w:r>
        <w:rPr>
          <w:b/>
          <w:caps/>
          <w:szCs w:val="24"/>
          <w:u w:val="single"/>
        </w:rPr>
        <w:br w:type="page"/>
      </w:r>
    </w:p>
    <w:p w14:paraId="011D4689" w14:textId="77777777" w:rsidR="00897176" w:rsidRPr="0092191D" w:rsidRDefault="00897176" w:rsidP="00897176">
      <w:pPr>
        <w:spacing w:after="0" w:line="240" w:lineRule="auto"/>
        <w:jc w:val="right"/>
        <w:rPr>
          <w:rFonts w:ascii="Times New Roman" w:hAnsi="Times New Roman" w:cs="Times New Roman"/>
          <w:b/>
          <w:sz w:val="24"/>
          <w:szCs w:val="24"/>
          <w:lang w:val="en-GB"/>
        </w:rPr>
      </w:pPr>
      <w:r w:rsidRPr="0092191D">
        <w:rPr>
          <w:rFonts w:ascii="Times New Roman" w:hAnsi="Times New Roman" w:cs="Times New Roman"/>
          <w:b/>
          <w:sz w:val="24"/>
          <w:szCs w:val="24"/>
          <w:lang w:val="en-GB"/>
        </w:rPr>
        <w:t>ATTACHMENT</w:t>
      </w:r>
      <w:r>
        <w:rPr>
          <w:rFonts w:ascii="Times New Roman" w:hAnsi="Times New Roman" w:cs="Times New Roman"/>
          <w:b/>
          <w:sz w:val="24"/>
          <w:szCs w:val="24"/>
          <w:lang w:val="en-GB"/>
        </w:rPr>
        <w:t xml:space="preserve"> A</w:t>
      </w:r>
    </w:p>
    <w:p w14:paraId="5B27AA71" w14:textId="77777777" w:rsidR="00897176" w:rsidRDefault="00897176" w:rsidP="00897176">
      <w:pPr>
        <w:spacing w:after="0" w:line="240" w:lineRule="auto"/>
        <w:jc w:val="right"/>
        <w:rPr>
          <w:rFonts w:ascii="Times New Roman" w:hAnsi="Times New Roman" w:cs="Times New Roman"/>
          <w:sz w:val="24"/>
          <w:szCs w:val="24"/>
          <w:lang w:val="en-GB"/>
        </w:rPr>
      </w:pPr>
    </w:p>
    <w:p w14:paraId="1BC2A57E" w14:textId="3CDD01E9" w:rsidR="00897176" w:rsidRDefault="00897176" w:rsidP="00897176">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u w:val="single"/>
          <w:lang w:val="en-GB"/>
        </w:rPr>
        <w:t xml:space="preserve">Details of the </w:t>
      </w:r>
      <w:r>
        <w:rPr>
          <w:rFonts w:ascii="Times New Roman" w:hAnsi="Times New Roman" w:cs="Times New Roman"/>
          <w:b/>
          <w:i/>
          <w:sz w:val="24"/>
          <w:szCs w:val="24"/>
          <w:u w:val="single"/>
          <w:lang w:val="en-GB"/>
        </w:rPr>
        <w:t>Biosecurity Charges Imposition (Customs) Amendment (International Vessel Arrival) Regulations 2018</w:t>
      </w:r>
    </w:p>
    <w:p w14:paraId="15539C0E" w14:textId="77777777" w:rsidR="00897176" w:rsidRDefault="00897176" w:rsidP="00897176">
      <w:pPr>
        <w:spacing w:after="0" w:line="240" w:lineRule="auto"/>
        <w:rPr>
          <w:rFonts w:ascii="Times New Roman" w:hAnsi="Times New Roman" w:cs="Times New Roman"/>
          <w:b/>
          <w:sz w:val="24"/>
          <w:szCs w:val="24"/>
          <w:lang w:val="en-GB"/>
        </w:rPr>
      </w:pPr>
    </w:p>
    <w:p w14:paraId="4396914A" w14:textId="77777777" w:rsidR="00897176" w:rsidRPr="001F59DA" w:rsidRDefault="00897176" w:rsidP="00897176">
      <w:pPr>
        <w:tabs>
          <w:tab w:val="right" w:pos="9072"/>
        </w:tabs>
        <w:spacing w:after="0" w:line="240" w:lineRule="auto"/>
        <w:rPr>
          <w:rFonts w:ascii="Times New Roman" w:hAnsi="Times New Roman" w:cs="Times New Roman"/>
          <w:sz w:val="24"/>
        </w:rPr>
      </w:pPr>
    </w:p>
    <w:p w14:paraId="02509350" w14:textId="77777777" w:rsidR="00897176" w:rsidRPr="0092191D" w:rsidRDefault="00897176" w:rsidP="00897176">
      <w:pPr>
        <w:tabs>
          <w:tab w:val="right" w:pos="9072"/>
        </w:tabs>
        <w:spacing w:after="0" w:line="240" w:lineRule="auto"/>
        <w:rPr>
          <w:rFonts w:ascii="Times New Roman" w:hAnsi="Times New Roman" w:cs="Times New Roman"/>
          <w:sz w:val="24"/>
          <w:u w:val="single"/>
        </w:rPr>
      </w:pPr>
      <w:r w:rsidRPr="0092191D">
        <w:rPr>
          <w:rFonts w:ascii="Times New Roman" w:hAnsi="Times New Roman" w:cs="Times New Roman"/>
          <w:sz w:val="24"/>
          <w:u w:val="single"/>
        </w:rPr>
        <w:t xml:space="preserve">Section 1 – Name </w:t>
      </w:r>
    </w:p>
    <w:p w14:paraId="683005DA" w14:textId="77777777" w:rsidR="00897176" w:rsidRDefault="00897176" w:rsidP="00897176">
      <w:pPr>
        <w:tabs>
          <w:tab w:val="right" w:pos="9072"/>
        </w:tabs>
        <w:spacing w:after="0" w:line="240" w:lineRule="auto"/>
        <w:rPr>
          <w:rFonts w:ascii="Times New Roman" w:hAnsi="Times New Roman" w:cs="Times New Roman"/>
          <w:sz w:val="24"/>
        </w:rPr>
      </w:pPr>
    </w:p>
    <w:p w14:paraId="155D7955" w14:textId="4ECBCE59" w:rsidR="00897176" w:rsidRPr="001F59DA" w:rsidRDefault="00897176" w:rsidP="00897176">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w:t>
      </w:r>
      <w:r w:rsidRPr="001F59DA">
        <w:rPr>
          <w:rFonts w:ascii="Times New Roman" w:hAnsi="Times New Roman" w:cs="Times New Roman"/>
          <w:sz w:val="24"/>
        </w:rPr>
        <w:t>provide</w:t>
      </w:r>
      <w:r>
        <w:rPr>
          <w:rFonts w:ascii="Times New Roman" w:hAnsi="Times New Roman" w:cs="Times New Roman"/>
          <w:sz w:val="24"/>
        </w:rPr>
        <w:t>s</w:t>
      </w:r>
      <w:r w:rsidRPr="001F59DA">
        <w:rPr>
          <w:rFonts w:ascii="Times New Roman" w:hAnsi="Times New Roman" w:cs="Times New Roman"/>
          <w:sz w:val="24"/>
        </w:rPr>
        <w:t xml:space="preserve"> that the name of the </w:t>
      </w:r>
      <w:r>
        <w:rPr>
          <w:rFonts w:ascii="Times New Roman" w:hAnsi="Times New Roman" w:cs="Times New Roman"/>
          <w:sz w:val="24"/>
        </w:rPr>
        <w:t>R</w:t>
      </w:r>
      <w:r w:rsidRPr="001F59DA">
        <w:rPr>
          <w:rFonts w:ascii="Times New Roman" w:hAnsi="Times New Roman" w:cs="Times New Roman"/>
          <w:sz w:val="24"/>
        </w:rPr>
        <w:t xml:space="preserve">egulations is the </w:t>
      </w:r>
      <w:r w:rsidRPr="0092191D">
        <w:rPr>
          <w:rFonts w:ascii="Times New Roman" w:hAnsi="Times New Roman" w:cs="Times New Roman"/>
          <w:i/>
          <w:sz w:val="24"/>
        </w:rPr>
        <w:t>Biosecurity Charges Imposition (</w:t>
      </w:r>
      <w:r>
        <w:rPr>
          <w:rFonts w:ascii="Times New Roman" w:hAnsi="Times New Roman" w:cs="Times New Roman"/>
          <w:i/>
          <w:sz w:val="24"/>
        </w:rPr>
        <w:t>Customs</w:t>
      </w:r>
      <w:r w:rsidRPr="0092191D">
        <w:rPr>
          <w:rFonts w:ascii="Times New Roman" w:hAnsi="Times New Roman" w:cs="Times New Roman"/>
          <w:i/>
          <w:sz w:val="24"/>
        </w:rPr>
        <w:t>) Amendment (International Vessel Arrival) Regulations 2018</w:t>
      </w:r>
      <w:r>
        <w:rPr>
          <w:rFonts w:ascii="Times New Roman" w:hAnsi="Times New Roman" w:cs="Times New Roman"/>
          <w:sz w:val="24"/>
        </w:rPr>
        <w:t>.</w:t>
      </w:r>
    </w:p>
    <w:p w14:paraId="3E046308" w14:textId="77777777" w:rsidR="00897176" w:rsidRPr="001F59DA" w:rsidRDefault="00897176" w:rsidP="00897176">
      <w:pPr>
        <w:tabs>
          <w:tab w:val="right" w:pos="9072"/>
        </w:tabs>
        <w:spacing w:after="0" w:line="240" w:lineRule="auto"/>
        <w:rPr>
          <w:rFonts w:ascii="Times New Roman" w:hAnsi="Times New Roman" w:cs="Times New Roman"/>
          <w:sz w:val="24"/>
        </w:rPr>
      </w:pPr>
    </w:p>
    <w:p w14:paraId="495809BD" w14:textId="77777777" w:rsidR="00897176" w:rsidRPr="0092191D" w:rsidRDefault="00897176" w:rsidP="00897176">
      <w:pPr>
        <w:tabs>
          <w:tab w:val="right" w:pos="9072"/>
        </w:tabs>
        <w:spacing w:after="0" w:line="240" w:lineRule="auto"/>
        <w:rPr>
          <w:rFonts w:ascii="Times New Roman" w:hAnsi="Times New Roman" w:cs="Times New Roman"/>
          <w:sz w:val="24"/>
          <w:u w:val="single"/>
        </w:rPr>
      </w:pPr>
      <w:r w:rsidRPr="0092191D">
        <w:rPr>
          <w:rFonts w:ascii="Times New Roman" w:hAnsi="Times New Roman" w:cs="Times New Roman"/>
          <w:sz w:val="24"/>
          <w:u w:val="single"/>
        </w:rPr>
        <w:t xml:space="preserve">Section 2 – Commencement </w:t>
      </w:r>
    </w:p>
    <w:p w14:paraId="517A7DB6" w14:textId="77777777" w:rsidR="00897176" w:rsidRDefault="00897176" w:rsidP="00897176">
      <w:pPr>
        <w:tabs>
          <w:tab w:val="right" w:pos="9072"/>
        </w:tabs>
        <w:spacing w:after="0" w:line="240" w:lineRule="auto"/>
        <w:rPr>
          <w:rFonts w:ascii="Times New Roman" w:hAnsi="Times New Roman" w:cs="Times New Roman"/>
          <w:sz w:val="24"/>
        </w:rPr>
      </w:pPr>
    </w:p>
    <w:p w14:paraId="63359817" w14:textId="77777777" w:rsidR="00897176" w:rsidRPr="001F59DA" w:rsidRDefault="00897176" w:rsidP="00897176">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provides for </w:t>
      </w:r>
      <w:r w:rsidRPr="001F59DA">
        <w:rPr>
          <w:rFonts w:ascii="Times New Roman" w:hAnsi="Times New Roman" w:cs="Times New Roman"/>
          <w:sz w:val="24"/>
        </w:rPr>
        <w:t xml:space="preserve">the </w:t>
      </w:r>
      <w:r>
        <w:rPr>
          <w:rFonts w:ascii="Times New Roman" w:hAnsi="Times New Roman" w:cs="Times New Roman"/>
          <w:sz w:val="24"/>
        </w:rPr>
        <w:t>Regulations</w:t>
      </w:r>
      <w:r w:rsidRPr="001F59DA">
        <w:rPr>
          <w:rFonts w:ascii="Times New Roman" w:hAnsi="Times New Roman" w:cs="Times New Roman"/>
          <w:sz w:val="24"/>
        </w:rPr>
        <w:t xml:space="preserve"> to commence </w:t>
      </w:r>
      <w:r>
        <w:rPr>
          <w:rFonts w:ascii="Times New Roman" w:hAnsi="Times New Roman" w:cs="Times New Roman"/>
          <w:sz w:val="24"/>
        </w:rPr>
        <w:t>on</w:t>
      </w:r>
      <w:r w:rsidRPr="001F59DA">
        <w:rPr>
          <w:rFonts w:ascii="Times New Roman" w:hAnsi="Times New Roman" w:cs="Times New Roman"/>
          <w:sz w:val="24"/>
        </w:rPr>
        <w:t xml:space="preserve"> 1 April 2018</w:t>
      </w:r>
      <w:r>
        <w:rPr>
          <w:rFonts w:ascii="Times New Roman" w:hAnsi="Times New Roman" w:cs="Times New Roman"/>
          <w:sz w:val="24"/>
        </w:rPr>
        <w:t>.</w:t>
      </w:r>
    </w:p>
    <w:p w14:paraId="1A18968E" w14:textId="77777777" w:rsidR="00897176" w:rsidRPr="001F59DA" w:rsidRDefault="00897176" w:rsidP="00897176">
      <w:pPr>
        <w:tabs>
          <w:tab w:val="right" w:pos="9072"/>
        </w:tabs>
        <w:spacing w:after="0" w:line="240" w:lineRule="auto"/>
        <w:rPr>
          <w:rFonts w:ascii="Times New Roman" w:hAnsi="Times New Roman" w:cs="Times New Roman"/>
          <w:sz w:val="24"/>
        </w:rPr>
      </w:pPr>
    </w:p>
    <w:p w14:paraId="3C548427" w14:textId="77777777" w:rsidR="00897176" w:rsidRDefault="00897176" w:rsidP="00897176">
      <w:pPr>
        <w:tabs>
          <w:tab w:val="right" w:pos="9072"/>
        </w:tabs>
        <w:spacing w:after="0" w:line="240" w:lineRule="auto"/>
        <w:rPr>
          <w:rFonts w:ascii="Times New Roman" w:hAnsi="Times New Roman" w:cs="Times New Roman"/>
          <w:sz w:val="24"/>
          <w:u w:val="single"/>
        </w:rPr>
      </w:pPr>
      <w:r w:rsidRPr="0092191D">
        <w:rPr>
          <w:rFonts w:ascii="Times New Roman" w:hAnsi="Times New Roman" w:cs="Times New Roman"/>
          <w:sz w:val="24"/>
          <w:u w:val="single"/>
        </w:rPr>
        <w:t>Section 3 – Authority</w:t>
      </w:r>
    </w:p>
    <w:p w14:paraId="115E9959" w14:textId="77777777" w:rsidR="00897176" w:rsidRPr="0092191D" w:rsidRDefault="00897176" w:rsidP="00897176">
      <w:pPr>
        <w:tabs>
          <w:tab w:val="right" w:pos="9072"/>
        </w:tabs>
        <w:spacing w:after="0" w:line="240" w:lineRule="auto"/>
        <w:rPr>
          <w:rFonts w:ascii="Times New Roman" w:hAnsi="Times New Roman" w:cs="Times New Roman"/>
          <w:sz w:val="24"/>
          <w:u w:val="single"/>
        </w:rPr>
      </w:pPr>
    </w:p>
    <w:p w14:paraId="752DA240" w14:textId="097C3415" w:rsidR="00897176" w:rsidRPr="001F59DA" w:rsidRDefault="00897176" w:rsidP="00897176">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provides that </w:t>
      </w:r>
      <w:r w:rsidRPr="001F59DA">
        <w:rPr>
          <w:rFonts w:ascii="Times New Roman" w:hAnsi="Times New Roman" w:cs="Times New Roman"/>
          <w:sz w:val="24"/>
        </w:rPr>
        <w:t xml:space="preserve">the </w:t>
      </w:r>
      <w:r>
        <w:rPr>
          <w:rFonts w:ascii="Times New Roman" w:hAnsi="Times New Roman" w:cs="Times New Roman"/>
          <w:sz w:val="24"/>
        </w:rPr>
        <w:t>R</w:t>
      </w:r>
      <w:r w:rsidRPr="001F59DA">
        <w:rPr>
          <w:rFonts w:ascii="Times New Roman" w:hAnsi="Times New Roman" w:cs="Times New Roman"/>
          <w:sz w:val="24"/>
        </w:rPr>
        <w:t xml:space="preserve">egulation </w:t>
      </w:r>
      <w:r>
        <w:rPr>
          <w:rFonts w:ascii="Times New Roman" w:hAnsi="Times New Roman" w:cs="Times New Roman"/>
          <w:sz w:val="24"/>
        </w:rPr>
        <w:t>are</w:t>
      </w:r>
      <w:r w:rsidRPr="001F59DA">
        <w:rPr>
          <w:rFonts w:ascii="Times New Roman" w:hAnsi="Times New Roman" w:cs="Times New Roman"/>
          <w:sz w:val="24"/>
        </w:rPr>
        <w:t xml:space="preserve"> made under the </w:t>
      </w:r>
      <w:r w:rsidRPr="0092191D">
        <w:rPr>
          <w:rFonts w:ascii="Times New Roman" w:hAnsi="Times New Roman" w:cs="Times New Roman"/>
          <w:i/>
          <w:sz w:val="24"/>
        </w:rPr>
        <w:t>Biosecurity Charges Imposition (</w:t>
      </w:r>
      <w:r>
        <w:rPr>
          <w:rFonts w:ascii="Times New Roman" w:hAnsi="Times New Roman" w:cs="Times New Roman"/>
          <w:i/>
          <w:sz w:val="24"/>
        </w:rPr>
        <w:t>Customs</w:t>
      </w:r>
      <w:r w:rsidRPr="0092191D">
        <w:rPr>
          <w:rFonts w:ascii="Times New Roman" w:hAnsi="Times New Roman" w:cs="Times New Roman"/>
          <w:i/>
          <w:sz w:val="24"/>
        </w:rPr>
        <w:t>) Act 2015</w:t>
      </w:r>
      <w:r>
        <w:rPr>
          <w:rFonts w:ascii="Times New Roman" w:hAnsi="Times New Roman" w:cs="Times New Roman"/>
          <w:sz w:val="24"/>
        </w:rPr>
        <w:t>.</w:t>
      </w:r>
    </w:p>
    <w:p w14:paraId="72B676EB" w14:textId="77777777" w:rsidR="00897176" w:rsidRDefault="00897176" w:rsidP="00897176">
      <w:pPr>
        <w:tabs>
          <w:tab w:val="right" w:pos="9072"/>
        </w:tabs>
        <w:spacing w:after="0" w:line="240" w:lineRule="auto"/>
        <w:rPr>
          <w:rFonts w:ascii="Times New Roman" w:hAnsi="Times New Roman" w:cs="Times New Roman"/>
          <w:sz w:val="24"/>
        </w:rPr>
      </w:pPr>
    </w:p>
    <w:p w14:paraId="5CFD175F" w14:textId="77777777" w:rsidR="00897176" w:rsidRPr="00B0663A" w:rsidRDefault="00897176" w:rsidP="00897176">
      <w:pPr>
        <w:tabs>
          <w:tab w:val="left" w:pos="1701"/>
          <w:tab w:val="right" w:pos="9072"/>
        </w:tabs>
        <w:spacing w:after="0" w:line="240" w:lineRule="auto"/>
        <w:rPr>
          <w:rFonts w:ascii="Times New Roman" w:hAnsi="Times New Roman" w:cs="Times New Roman"/>
          <w:sz w:val="24"/>
          <w:u w:val="single"/>
        </w:rPr>
      </w:pPr>
      <w:r w:rsidRPr="00B0663A">
        <w:rPr>
          <w:rFonts w:ascii="Times New Roman" w:hAnsi="Times New Roman" w:cs="Times New Roman"/>
          <w:sz w:val="24"/>
          <w:u w:val="single"/>
        </w:rPr>
        <w:t>Section 4 – Schedules</w:t>
      </w:r>
    </w:p>
    <w:p w14:paraId="7476770B" w14:textId="77777777" w:rsidR="00897176" w:rsidRDefault="00897176" w:rsidP="00897176">
      <w:pPr>
        <w:tabs>
          <w:tab w:val="left" w:pos="1701"/>
          <w:tab w:val="right" w:pos="9072"/>
        </w:tabs>
        <w:spacing w:after="0" w:line="240" w:lineRule="auto"/>
        <w:rPr>
          <w:rFonts w:ascii="Times New Roman" w:hAnsi="Times New Roman" w:cs="Times New Roman"/>
          <w:sz w:val="24"/>
        </w:rPr>
      </w:pPr>
    </w:p>
    <w:p w14:paraId="7FC1D189" w14:textId="77777777" w:rsidR="00897176" w:rsidRDefault="00897176" w:rsidP="00897176">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w:t>
      </w:r>
      <w:r w:rsidRPr="00781B36">
        <w:rPr>
          <w:rFonts w:ascii="Times New Roman" w:hAnsi="Times New Roman" w:cs="Times New Roman"/>
          <w:sz w:val="24"/>
        </w:rPr>
        <w:t>provide</w:t>
      </w:r>
      <w:r>
        <w:rPr>
          <w:rFonts w:ascii="Times New Roman" w:hAnsi="Times New Roman" w:cs="Times New Roman"/>
          <w:sz w:val="24"/>
        </w:rPr>
        <w:t>s</w:t>
      </w:r>
      <w:r w:rsidRPr="00781B36">
        <w:rPr>
          <w:rFonts w:ascii="Times New Roman" w:hAnsi="Times New Roman" w:cs="Times New Roman"/>
          <w:sz w:val="24"/>
        </w:rPr>
        <w:t xml:space="preserve"> that </w:t>
      </w:r>
      <w:r>
        <w:rPr>
          <w:rFonts w:ascii="Times New Roman" w:hAnsi="Times New Roman" w:cs="Times New Roman"/>
          <w:sz w:val="24"/>
        </w:rPr>
        <w:t>the instrument specified in the Schedule to the proposed Regulations is amended as set out in the applicable items in the Schedule.</w:t>
      </w:r>
    </w:p>
    <w:p w14:paraId="49906E61" w14:textId="77777777" w:rsidR="00897176" w:rsidRDefault="00897176" w:rsidP="00897176">
      <w:pPr>
        <w:tabs>
          <w:tab w:val="left" w:pos="1701"/>
          <w:tab w:val="right" w:pos="9072"/>
        </w:tabs>
        <w:spacing w:after="0" w:line="240" w:lineRule="auto"/>
        <w:rPr>
          <w:rFonts w:ascii="Times New Roman" w:hAnsi="Times New Roman" w:cs="Times New Roman"/>
          <w:sz w:val="24"/>
        </w:rPr>
      </w:pPr>
    </w:p>
    <w:p w14:paraId="44E75196" w14:textId="77777777" w:rsidR="00897176" w:rsidRDefault="00897176" w:rsidP="00897176">
      <w:pPr>
        <w:tabs>
          <w:tab w:val="left" w:pos="1701"/>
          <w:tab w:val="right" w:pos="9072"/>
        </w:tabs>
        <w:spacing w:after="0" w:line="240" w:lineRule="auto"/>
        <w:rPr>
          <w:rFonts w:ascii="Times New Roman" w:hAnsi="Times New Roman" w:cs="Times New Roman"/>
          <w:sz w:val="24"/>
          <w:u w:val="single"/>
        </w:rPr>
      </w:pPr>
      <w:r>
        <w:rPr>
          <w:rFonts w:ascii="Times New Roman" w:hAnsi="Times New Roman" w:cs="Times New Roman"/>
          <w:sz w:val="24"/>
          <w:u w:val="single"/>
        </w:rPr>
        <w:t xml:space="preserve">Schedule 1 – Amendments </w:t>
      </w:r>
    </w:p>
    <w:p w14:paraId="7931B2DE" w14:textId="77777777" w:rsidR="00897176" w:rsidRPr="00B0663A" w:rsidRDefault="00897176" w:rsidP="00897176">
      <w:pPr>
        <w:tabs>
          <w:tab w:val="left" w:pos="1701"/>
          <w:tab w:val="right" w:pos="9072"/>
        </w:tabs>
        <w:spacing w:after="0" w:line="240" w:lineRule="auto"/>
        <w:rPr>
          <w:rFonts w:ascii="Times New Roman" w:hAnsi="Times New Roman" w:cs="Times New Roman"/>
          <w:sz w:val="24"/>
          <w:u w:val="single"/>
        </w:rPr>
      </w:pPr>
    </w:p>
    <w:p w14:paraId="02A7E484" w14:textId="5BBCEF8F" w:rsidR="00897176" w:rsidRPr="00781B36" w:rsidRDefault="00897176" w:rsidP="00897176">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Item</w:t>
      </w:r>
      <w:r w:rsidRPr="00781B36">
        <w:rPr>
          <w:rFonts w:ascii="Times New Roman" w:hAnsi="Times New Roman" w:cs="Times New Roman"/>
          <w:sz w:val="24"/>
        </w:rPr>
        <w:t xml:space="preserve"> 1 </w:t>
      </w:r>
      <w:r>
        <w:rPr>
          <w:rFonts w:ascii="Times New Roman" w:hAnsi="Times New Roman" w:cs="Times New Roman"/>
          <w:sz w:val="24"/>
        </w:rPr>
        <w:t>amends</w:t>
      </w:r>
      <w:r w:rsidRPr="00781B36">
        <w:rPr>
          <w:rFonts w:ascii="Times New Roman" w:hAnsi="Times New Roman" w:cs="Times New Roman"/>
          <w:sz w:val="24"/>
        </w:rPr>
        <w:t xml:space="preserve"> the price of the vessel arrival charge (at Section 9 (table item 14, column 2, paragraph (a) of the </w:t>
      </w:r>
      <w:r w:rsidRPr="0092191D">
        <w:rPr>
          <w:rFonts w:ascii="Times New Roman" w:hAnsi="Times New Roman" w:cs="Times New Roman"/>
          <w:i/>
          <w:sz w:val="24"/>
        </w:rPr>
        <w:t>B</w:t>
      </w:r>
      <w:r w:rsidRPr="00781B36">
        <w:rPr>
          <w:rFonts w:ascii="Times New Roman" w:hAnsi="Times New Roman" w:cs="Times New Roman"/>
          <w:i/>
          <w:sz w:val="24"/>
        </w:rPr>
        <w:t>iosecurity Charges Imposition (</w:t>
      </w:r>
      <w:r>
        <w:rPr>
          <w:rFonts w:ascii="Times New Roman" w:hAnsi="Times New Roman" w:cs="Times New Roman"/>
          <w:i/>
          <w:sz w:val="24"/>
        </w:rPr>
        <w:t>Customs</w:t>
      </w:r>
      <w:r w:rsidRPr="00781B36">
        <w:rPr>
          <w:rFonts w:ascii="Times New Roman" w:hAnsi="Times New Roman" w:cs="Times New Roman"/>
          <w:i/>
          <w:sz w:val="24"/>
        </w:rPr>
        <w:t>) Regulation 2016</w:t>
      </w:r>
      <w:r w:rsidRPr="00781B36">
        <w:rPr>
          <w:rFonts w:ascii="Times New Roman" w:hAnsi="Times New Roman" w:cs="Times New Roman"/>
          <w:sz w:val="24"/>
        </w:rPr>
        <w:t>) from $720 to $920.</w:t>
      </w:r>
    </w:p>
    <w:p w14:paraId="7DF644C9" w14:textId="77777777" w:rsidR="00897176" w:rsidRDefault="00897176" w:rsidP="00897176">
      <w:pPr>
        <w:tabs>
          <w:tab w:val="right" w:pos="9072"/>
        </w:tabs>
        <w:spacing w:after="0" w:line="240" w:lineRule="auto"/>
        <w:rPr>
          <w:rFonts w:ascii="Times New Roman" w:hAnsi="Times New Roman" w:cs="Times New Roman"/>
          <w:sz w:val="24"/>
        </w:rPr>
      </w:pPr>
    </w:p>
    <w:p w14:paraId="6BB9D2FF" w14:textId="77777777" w:rsidR="00897176" w:rsidRPr="001F59DA" w:rsidRDefault="00897176" w:rsidP="00897176">
      <w:pPr>
        <w:tabs>
          <w:tab w:val="right" w:pos="9072"/>
        </w:tabs>
        <w:spacing w:after="0" w:line="240" w:lineRule="auto"/>
        <w:rPr>
          <w:rFonts w:ascii="Times New Roman" w:hAnsi="Times New Roman" w:cs="Times New Roman"/>
          <w:sz w:val="24"/>
        </w:rPr>
      </w:pPr>
    </w:p>
    <w:p w14:paraId="52E07AD8" w14:textId="77777777" w:rsidR="00897176" w:rsidRPr="0092191D" w:rsidRDefault="00897176" w:rsidP="00897176">
      <w:pPr>
        <w:spacing w:after="0" w:line="240" w:lineRule="auto"/>
        <w:rPr>
          <w:rFonts w:ascii="Times New Roman" w:hAnsi="Times New Roman" w:cs="Times New Roman"/>
          <w:b/>
          <w:sz w:val="24"/>
          <w:szCs w:val="24"/>
          <w:lang w:val="en-GB"/>
        </w:rPr>
      </w:pPr>
    </w:p>
    <w:p w14:paraId="08D59434" w14:textId="77777777" w:rsidR="00897176" w:rsidRDefault="00897176" w:rsidP="00897176">
      <w:pPr>
        <w:rPr>
          <w:rFonts w:ascii="Times New Roman" w:eastAsia="Times New Roman" w:hAnsi="Times New Roman" w:cs="Times New Roman"/>
          <w:i/>
          <w:color w:val="FF0000"/>
          <w:sz w:val="24"/>
          <w:szCs w:val="24"/>
        </w:rPr>
      </w:pPr>
      <w:r>
        <w:rPr>
          <w:i/>
          <w:color w:val="FF0000"/>
          <w:szCs w:val="24"/>
        </w:rPr>
        <w:br w:type="page"/>
      </w:r>
    </w:p>
    <w:p w14:paraId="71987715" w14:textId="57A2057C" w:rsidR="00E76AB5" w:rsidRPr="007D26AF" w:rsidRDefault="009C4EFB" w:rsidP="007D26AF">
      <w:pPr>
        <w:pStyle w:val="Normal-em"/>
        <w:spacing w:after="0" w:line="240" w:lineRule="auto"/>
        <w:jc w:val="right"/>
        <w:rPr>
          <w:b/>
          <w:caps/>
          <w:szCs w:val="24"/>
        </w:rPr>
      </w:pPr>
      <w:r>
        <w:rPr>
          <w:b/>
          <w:caps/>
          <w:szCs w:val="24"/>
        </w:rPr>
        <w:t>ATTACHMENT B</w:t>
      </w:r>
    </w:p>
    <w:p w14:paraId="3BCD17B1" w14:textId="77777777" w:rsidR="002B1DB3" w:rsidRPr="005D1ABF" w:rsidRDefault="002B1DB3" w:rsidP="005D1ABF">
      <w:pPr>
        <w:pStyle w:val="Normal-em"/>
        <w:spacing w:after="0" w:line="240" w:lineRule="auto"/>
        <w:jc w:val="center"/>
        <w:rPr>
          <w:i/>
          <w:color w:val="FF0000"/>
          <w:szCs w:val="24"/>
        </w:rPr>
      </w:pPr>
    </w:p>
    <w:p w14:paraId="4612A9E8" w14:textId="77777777" w:rsidR="002B1DB3" w:rsidRPr="005D1ABF" w:rsidRDefault="002B1DB3" w:rsidP="005D1ABF">
      <w:pPr>
        <w:spacing w:after="0" w:line="240" w:lineRule="auto"/>
        <w:rPr>
          <w:rFonts w:ascii="Times New Roman" w:hAnsi="Times New Roman" w:cs="Times New Roman"/>
          <w:sz w:val="24"/>
          <w:szCs w:val="24"/>
        </w:rPr>
      </w:pPr>
    </w:p>
    <w:p w14:paraId="550D037E"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6F4BED49"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4EDAF4AB" w14:textId="77777777" w:rsidR="002B1DB3" w:rsidRPr="005D1ABF" w:rsidRDefault="002B1DB3" w:rsidP="005D1ABF">
      <w:pPr>
        <w:spacing w:after="0" w:line="240" w:lineRule="auto"/>
        <w:jc w:val="center"/>
        <w:rPr>
          <w:rFonts w:ascii="Times New Roman" w:hAnsi="Times New Roman" w:cs="Times New Roman"/>
          <w:sz w:val="24"/>
          <w:szCs w:val="24"/>
        </w:rPr>
      </w:pPr>
    </w:p>
    <w:p w14:paraId="40E9145F" w14:textId="77777777" w:rsidR="002B1DB3" w:rsidRPr="007D26AF" w:rsidRDefault="00FA070E" w:rsidP="00FA070E">
      <w:pPr>
        <w:spacing w:after="0" w:line="240" w:lineRule="auto"/>
        <w:jc w:val="center"/>
        <w:rPr>
          <w:rFonts w:ascii="Times New Roman" w:hAnsi="Times New Roman" w:cs="Times New Roman"/>
          <w:i/>
          <w:sz w:val="24"/>
          <w:szCs w:val="24"/>
        </w:rPr>
      </w:pPr>
      <w:r w:rsidRPr="007D26AF">
        <w:rPr>
          <w:rFonts w:ascii="Times New Roman" w:hAnsi="Times New Roman" w:cs="Times New Roman"/>
          <w:i/>
          <w:sz w:val="24"/>
          <w:szCs w:val="24"/>
        </w:rPr>
        <w:t>Biosecurity Charges Imposition (Customs) Amendment (International Vessel Arrival) Regulations 2018</w:t>
      </w:r>
    </w:p>
    <w:p w14:paraId="48BF4898" w14:textId="77777777" w:rsidR="002B1DB3" w:rsidRPr="00C46942" w:rsidRDefault="002B1DB3" w:rsidP="005D1ABF">
      <w:pPr>
        <w:spacing w:after="0" w:line="240" w:lineRule="auto"/>
        <w:jc w:val="center"/>
        <w:rPr>
          <w:rFonts w:ascii="Times New Roman" w:hAnsi="Times New Roman" w:cs="Times New Roman"/>
          <w:sz w:val="24"/>
          <w:szCs w:val="24"/>
        </w:rPr>
      </w:pPr>
    </w:p>
    <w:p w14:paraId="6D50BF04"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4DBCE773" w14:textId="77777777" w:rsidR="002B1DB3" w:rsidRPr="005D1ABF" w:rsidRDefault="002B1DB3" w:rsidP="005D1ABF">
      <w:pPr>
        <w:spacing w:after="0" w:line="240" w:lineRule="auto"/>
        <w:rPr>
          <w:rFonts w:ascii="Times New Roman" w:hAnsi="Times New Roman" w:cs="Times New Roman"/>
          <w:sz w:val="24"/>
          <w:szCs w:val="24"/>
        </w:rPr>
      </w:pPr>
    </w:p>
    <w:p w14:paraId="63080F4D"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73FE5B9" w14:textId="77777777" w:rsidR="002B1DB3" w:rsidRPr="005D1ABF" w:rsidRDefault="000C36AC" w:rsidP="005D1ABF">
      <w:pPr>
        <w:spacing w:after="0" w:line="240" w:lineRule="auto"/>
        <w:rPr>
          <w:rFonts w:ascii="Times New Roman" w:hAnsi="Times New Roman" w:cs="Times New Roman"/>
          <w:sz w:val="24"/>
          <w:szCs w:val="24"/>
        </w:rPr>
      </w:pPr>
      <w:r w:rsidRPr="004F1D57">
        <w:rPr>
          <w:rFonts w:ascii="Times New Roman" w:hAnsi="Times New Roman" w:cs="Times New Roman"/>
          <w:sz w:val="24"/>
        </w:rPr>
        <w:t>The regulation would amend the existing charging regulation to increase the price of the vessel arrival charge from $720 to $920 per arrival.</w:t>
      </w:r>
    </w:p>
    <w:p w14:paraId="795CC17F" w14:textId="77777777" w:rsidR="002B1DB3" w:rsidRPr="005D1ABF" w:rsidRDefault="002B1DB3" w:rsidP="005D1ABF">
      <w:pPr>
        <w:spacing w:after="0" w:line="240" w:lineRule="auto"/>
        <w:rPr>
          <w:rFonts w:ascii="Times New Roman" w:hAnsi="Times New Roman" w:cs="Times New Roman"/>
          <w:sz w:val="24"/>
          <w:szCs w:val="24"/>
        </w:rPr>
      </w:pPr>
    </w:p>
    <w:p w14:paraId="7678166D"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78014603"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63E7C903" w14:textId="77777777" w:rsidR="002B1DB3" w:rsidRPr="005D1ABF" w:rsidRDefault="002B1DB3" w:rsidP="005D1ABF">
      <w:pPr>
        <w:spacing w:after="0" w:line="240" w:lineRule="auto"/>
        <w:rPr>
          <w:rFonts w:ascii="Times New Roman" w:hAnsi="Times New Roman" w:cs="Times New Roman"/>
          <w:sz w:val="24"/>
          <w:szCs w:val="24"/>
        </w:rPr>
      </w:pPr>
    </w:p>
    <w:p w14:paraId="4E1775E5"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7512AB0E"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68392242" w14:textId="77777777" w:rsidR="002B1DB3" w:rsidRPr="005D1ABF" w:rsidRDefault="002B1DB3" w:rsidP="005D1ABF">
      <w:pPr>
        <w:spacing w:after="0" w:line="240" w:lineRule="auto"/>
        <w:rPr>
          <w:rFonts w:ascii="Times New Roman" w:hAnsi="Times New Roman" w:cs="Times New Roman"/>
          <w:sz w:val="24"/>
          <w:szCs w:val="24"/>
        </w:rPr>
      </w:pPr>
    </w:p>
    <w:p w14:paraId="72E426A6" w14:textId="77777777" w:rsidR="002B1DB3" w:rsidRPr="005D1ABF" w:rsidRDefault="002B1DB3" w:rsidP="005D1ABF">
      <w:pPr>
        <w:spacing w:after="0" w:line="240" w:lineRule="auto"/>
        <w:rPr>
          <w:rFonts w:ascii="Times New Roman" w:hAnsi="Times New Roman" w:cs="Times New Roman"/>
          <w:sz w:val="24"/>
          <w:szCs w:val="24"/>
        </w:rPr>
      </w:pPr>
    </w:p>
    <w:p w14:paraId="35ABA4FE" w14:textId="77777777" w:rsidR="002B1DB3" w:rsidRPr="005D1ABF" w:rsidRDefault="002B1DB3" w:rsidP="005D1ABF">
      <w:pPr>
        <w:spacing w:after="0" w:line="240" w:lineRule="auto"/>
        <w:jc w:val="center"/>
        <w:rPr>
          <w:rFonts w:ascii="Times New Roman" w:hAnsi="Times New Roman" w:cs="Times New Roman"/>
          <w:color w:val="FF0000"/>
          <w:sz w:val="24"/>
          <w:szCs w:val="24"/>
        </w:rPr>
      </w:pPr>
    </w:p>
    <w:p w14:paraId="14E57353"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441CCA">
        <w:rPr>
          <w:rFonts w:ascii="Times New Roman" w:hAnsi="Times New Roman" w:cs="Times New Roman"/>
          <w:b/>
          <w:bCs/>
          <w:sz w:val="24"/>
          <w:szCs w:val="24"/>
        </w:rPr>
        <w:t>David Littleproud</w:t>
      </w:r>
      <w:r w:rsidRPr="005D1ABF">
        <w:rPr>
          <w:rFonts w:ascii="Times New Roman" w:hAnsi="Times New Roman" w:cs="Times New Roman"/>
          <w:b/>
          <w:bCs/>
          <w:sz w:val="24"/>
          <w:szCs w:val="24"/>
        </w:rPr>
        <w:t xml:space="preserve"> MP</w:t>
      </w:r>
    </w:p>
    <w:p w14:paraId="418602D5" w14:textId="77777777"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4D276A63"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7C293CF7"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B1311" w14:textId="77777777" w:rsidR="00B65C14" w:rsidRDefault="00B65C14" w:rsidP="00151C54">
      <w:r>
        <w:separator/>
      </w:r>
    </w:p>
  </w:endnote>
  <w:endnote w:type="continuationSeparator" w:id="0">
    <w:p w14:paraId="3E97B417"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346B9" w14:textId="77777777" w:rsidR="00B65C14" w:rsidRDefault="00B65C14" w:rsidP="00151C54">
      <w:r>
        <w:separator/>
      </w:r>
    </w:p>
  </w:footnote>
  <w:footnote w:type="continuationSeparator" w:id="0">
    <w:p w14:paraId="31ED999C"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298F"/>
    <w:rsid w:val="000223C5"/>
    <w:rsid w:val="00035636"/>
    <w:rsid w:val="000503F4"/>
    <w:rsid w:val="000629B8"/>
    <w:rsid w:val="000645AB"/>
    <w:rsid w:val="00092F2C"/>
    <w:rsid w:val="000962BA"/>
    <w:rsid w:val="000976DB"/>
    <w:rsid w:val="000A52A2"/>
    <w:rsid w:val="000A65F6"/>
    <w:rsid w:val="000B129E"/>
    <w:rsid w:val="000C3693"/>
    <w:rsid w:val="000C36AC"/>
    <w:rsid w:val="000D07B5"/>
    <w:rsid w:val="000D78D6"/>
    <w:rsid w:val="000E175A"/>
    <w:rsid w:val="000F08F2"/>
    <w:rsid w:val="00102163"/>
    <w:rsid w:val="001125D9"/>
    <w:rsid w:val="00113C4E"/>
    <w:rsid w:val="0012062A"/>
    <w:rsid w:val="00127498"/>
    <w:rsid w:val="0012775E"/>
    <w:rsid w:val="001372D1"/>
    <w:rsid w:val="0014253A"/>
    <w:rsid w:val="00151C54"/>
    <w:rsid w:val="00153032"/>
    <w:rsid w:val="00161CE2"/>
    <w:rsid w:val="001669D6"/>
    <w:rsid w:val="001746B7"/>
    <w:rsid w:val="00175BD8"/>
    <w:rsid w:val="00180DEF"/>
    <w:rsid w:val="001813AC"/>
    <w:rsid w:val="0018228A"/>
    <w:rsid w:val="001854FD"/>
    <w:rsid w:val="001A2882"/>
    <w:rsid w:val="001A5CE3"/>
    <w:rsid w:val="001A670D"/>
    <w:rsid w:val="001C09FB"/>
    <w:rsid w:val="001D006D"/>
    <w:rsid w:val="001E1A14"/>
    <w:rsid w:val="001E6727"/>
    <w:rsid w:val="001F47AF"/>
    <w:rsid w:val="001F5A48"/>
    <w:rsid w:val="00203AAB"/>
    <w:rsid w:val="00224D28"/>
    <w:rsid w:val="00271C2E"/>
    <w:rsid w:val="002737B5"/>
    <w:rsid w:val="00273C11"/>
    <w:rsid w:val="0029727D"/>
    <w:rsid w:val="002A500B"/>
    <w:rsid w:val="002B1DB3"/>
    <w:rsid w:val="002B2B54"/>
    <w:rsid w:val="002D2972"/>
    <w:rsid w:val="002D3CE5"/>
    <w:rsid w:val="002D41BA"/>
    <w:rsid w:val="002E3223"/>
    <w:rsid w:val="002F2F4C"/>
    <w:rsid w:val="003015AF"/>
    <w:rsid w:val="003064B1"/>
    <w:rsid w:val="003228F6"/>
    <w:rsid w:val="003710C0"/>
    <w:rsid w:val="003869BF"/>
    <w:rsid w:val="003A2479"/>
    <w:rsid w:val="003D6D6F"/>
    <w:rsid w:val="003E0906"/>
    <w:rsid w:val="003E5CA0"/>
    <w:rsid w:val="00402F72"/>
    <w:rsid w:val="00417598"/>
    <w:rsid w:val="004223EC"/>
    <w:rsid w:val="00441CCA"/>
    <w:rsid w:val="00442785"/>
    <w:rsid w:val="004565E0"/>
    <w:rsid w:val="004607C8"/>
    <w:rsid w:val="00461420"/>
    <w:rsid w:val="00470AE8"/>
    <w:rsid w:val="00483CF0"/>
    <w:rsid w:val="00485C1E"/>
    <w:rsid w:val="004A3A20"/>
    <w:rsid w:val="004B0DD7"/>
    <w:rsid w:val="004C276E"/>
    <w:rsid w:val="004C5892"/>
    <w:rsid w:val="004D257B"/>
    <w:rsid w:val="0050279C"/>
    <w:rsid w:val="0050537A"/>
    <w:rsid w:val="00506B16"/>
    <w:rsid w:val="00524522"/>
    <w:rsid w:val="00543544"/>
    <w:rsid w:val="00547846"/>
    <w:rsid w:val="005505AB"/>
    <w:rsid w:val="005664BC"/>
    <w:rsid w:val="00582E28"/>
    <w:rsid w:val="005B6209"/>
    <w:rsid w:val="005B6B55"/>
    <w:rsid w:val="005B759C"/>
    <w:rsid w:val="005C1AC3"/>
    <w:rsid w:val="005C7337"/>
    <w:rsid w:val="005D1ABF"/>
    <w:rsid w:val="005D53EF"/>
    <w:rsid w:val="005E3D4B"/>
    <w:rsid w:val="005F66F2"/>
    <w:rsid w:val="006022C4"/>
    <w:rsid w:val="006320B5"/>
    <w:rsid w:val="006327D8"/>
    <w:rsid w:val="00633472"/>
    <w:rsid w:val="006400BC"/>
    <w:rsid w:val="0064772B"/>
    <w:rsid w:val="00650566"/>
    <w:rsid w:val="00652426"/>
    <w:rsid w:val="00653C86"/>
    <w:rsid w:val="006553D3"/>
    <w:rsid w:val="00690055"/>
    <w:rsid w:val="006A320D"/>
    <w:rsid w:val="006D5C93"/>
    <w:rsid w:val="006E6178"/>
    <w:rsid w:val="00700F91"/>
    <w:rsid w:val="00720AEC"/>
    <w:rsid w:val="00725DC1"/>
    <w:rsid w:val="007341C8"/>
    <w:rsid w:val="00734BCB"/>
    <w:rsid w:val="00745BFD"/>
    <w:rsid w:val="00767639"/>
    <w:rsid w:val="00767D95"/>
    <w:rsid w:val="00781B36"/>
    <w:rsid w:val="00784976"/>
    <w:rsid w:val="00794F9C"/>
    <w:rsid w:val="007B3C0B"/>
    <w:rsid w:val="007B3C56"/>
    <w:rsid w:val="007C45D8"/>
    <w:rsid w:val="007D26AF"/>
    <w:rsid w:val="007F21BF"/>
    <w:rsid w:val="00813B12"/>
    <w:rsid w:val="008224BE"/>
    <w:rsid w:val="00822FBD"/>
    <w:rsid w:val="0082348C"/>
    <w:rsid w:val="0082572E"/>
    <w:rsid w:val="008300B9"/>
    <w:rsid w:val="00841053"/>
    <w:rsid w:val="008463BF"/>
    <w:rsid w:val="0085100D"/>
    <w:rsid w:val="00870516"/>
    <w:rsid w:val="00877C5B"/>
    <w:rsid w:val="00881E4E"/>
    <w:rsid w:val="00896EBE"/>
    <w:rsid w:val="00897176"/>
    <w:rsid w:val="0089780D"/>
    <w:rsid w:val="008B370D"/>
    <w:rsid w:val="008B73F3"/>
    <w:rsid w:val="008C1C7B"/>
    <w:rsid w:val="008C3F1D"/>
    <w:rsid w:val="008D29F0"/>
    <w:rsid w:val="008D4378"/>
    <w:rsid w:val="008E7414"/>
    <w:rsid w:val="009152CA"/>
    <w:rsid w:val="00921363"/>
    <w:rsid w:val="00922C40"/>
    <w:rsid w:val="009257BF"/>
    <w:rsid w:val="009476D5"/>
    <w:rsid w:val="00961FB9"/>
    <w:rsid w:val="00973468"/>
    <w:rsid w:val="009908D6"/>
    <w:rsid w:val="00992814"/>
    <w:rsid w:val="00995D93"/>
    <w:rsid w:val="009A11A2"/>
    <w:rsid w:val="009A38F6"/>
    <w:rsid w:val="009B3BDE"/>
    <w:rsid w:val="009C4EFB"/>
    <w:rsid w:val="009E61C5"/>
    <w:rsid w:val="00A24BF2"/>
    <w:rsid w:val="00A351C1"/>
    <w:rsid w:val="00A37FDF"/>
    <w:rsid w:val="00A426C7"/>
    <w:rsid w:val="00A629BA"/>
    <w:rsid w:val="00A7479C"/>
    <w:rsid w:val="00A806A9"/>
    <w:rsid w:val="00A92EDB"/>
    <w:rsid w:val="00AC20C1"/>
    <w:rsid w:val="00AC358D"/>
    <w:rsid w:val="00AD4432"/>
    <w:rsid w:val="00B030B7"/>
    <w:rsid w:val="00B20EBE"/>
    <w:rsid w:val="00B26C7F"/>
    <w:rsid w:val="00B37AB7"/>
    <w:rsid w:val="00B452D1"/>
    <w:rsid w:val="00B469EB"/>
    <w:rsid w:val="00B57443"/>
    <w:rsid w:val="00B65C14"/>
    <w:rsid w:val="00B66DFF"/>
    <w:rsid w:val="00B80A1E"/>
    <w:rsid w:val="00BA0B39"/>
    <w:rsid w:val="00BB4AD3"/>
    <w:rsid w:val="00BB4CD3"/>
    <w:rsid w:val="00BB7041"/>
    <w:rsid w:val="00BC12A9"/>
    <w:rsid w:val="00BC6B2F"/>
    <w:rsid w:val="00BD34E3"/>
    <w:rsid w:val="00BD3594"/>
    <w:rsid w:val="00BE6861"/>
    <w:rsid w:val="00C06F49"/>
    <w:rsid w:val="00C142FA"/>
    <w:rsid w:val="00C154F5"/>
    <w:rsid w:val="00C32367"/>
    <w:rsid w:val="00C36CC7"/>
    <w:rsid w:val="00C463C2"/>
    <w:rsid w:val="00C46942"/>
    <w:rsid w:val="00C52CC5"/>
    <w:rsid w:val="00C55BA8"/>
    <w:rsid w:val="00C57334"/>
    <w:rsid w:val="00C81402"/>
    <w:rsid w:val="00C93966"/>
    <w:rsid w:val="00C9474A"/>
    <w:rsid w:val="00CB26E2"/>
    <w:rsid w:val="00CD7150"/>
    <w:rsid w:val="00CE72E2"/>
    <w:rsid w:val="00CE73AE"/>
    <w:rsid w:val="00CF1E27"/>
    <w:rsid w:val="00CF2006"/>
    <w:rsid w:val="00CF7161"/>
    <w:rsid w:val="00D0550D"/>
    <w:rsid w:val="00D076DD"/>
    <w:rsid w:val="00D121A6"/>
    <w:rsid w:val="00D45E13"/>
    <w:rsid w:val="00D557BA"/>
    <w:rsid w:val="00D570CA"/>
    <w:rsid w:val="00D70F10"/>
    <w:rsid w:val="00D93366"/>
    <w:rsid w:val="00D93E42"/>
    <w:rsid w:val="00DA2671"/>
    <w:rsid w:val="00DD2C31"/>
    <w:rsid w:val="00DE2764"/>
    <w:rsid w:val="00DE6B9D"/>
    <w:rsid w:val="00DF3F6E"/>
    <w:rsid w:val="00E17A7C"/>
    <w:rsid w:val="00E34976"/>
    <w:rsid w:val="00E555F7"/>
    <w:rsid w:val="00E57D7B"/>
    <w:rsid w:val="00E70274"/>
    <w:rsid w:val="00E73075"/>
    <w:rsid w:val="00E76AB5"/>
    <w:rsid w:val="00E922D3"/>
    <w:rsid w:val="00E9571B"/>
    <w:rsid w:val="00EA7474"/>
    <w:rsid w:val="00EC4AD6"/>
    <w:rsid w:val="00EE0A3F"/>
    <w:rsid w:val="00F11BB3"/>
    <w:rsid w:val="00F12365"/>
    <w:rsid w:val="00F95723"/>
    <w:rsid w:val="00FA070E"/>
    <w:rsid w:val="00FA26FF"/>
    <w:rsid w:val="00FA65D3"/>
    <w:rsid w:val="00FB4B41"/>
    <w:rsid w:val="00FC14A4"/>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6CDE42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32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SecurityClassification xmlns="C3809BD0-A5CD-4010-9916-EFCC3F389F4C" xsi:nil="true"/>
    <pdms_AttachedBy xmlns="C3809BD0-A5CD-4010-9916-EFCC3F389F4C" xsi:nil="true"/>
    <SecurityClassification xmlns="C3809BD0-A5CD-4010-9916-EFCC3F389F4C" xsi:nil="true"/>
    <pdms_Reason xmlns="C3809BD0-A5CD-4010-9916-EFCC3F389F4C" xsi:nil="true"/>
    <pdms_DocumentType xmlns="C3809BD0-A5CD-4010-9916-EFCC3F389F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734C32D8C460842A7E77ADF72808A83" ma:contentTypeVersion="" ma:contentTypeDescription="PDMS Documentation Content Type" ma:contentTypeScope="" ma:versionID="aa4ff32db34be6ea5dafa073afc65bef">
  <xsd:schema xmlns:xsd="http://www.w3.org/2001/XMLSchema" xmlns:xs="http://www.w3.org/2001/XMLSchema" xmlns:p="http://schemas.microsoft.com/office/2006/metadata/properties" xmlns:ns2="C3809BD0-A5CD-4010-9916-EFCC3F389F4C" targetNamespace="http://schemas.microsoft.com/office/2006/metadata/properties" ma:root="true" ma:fieldsID="3619c9db872d69af6674ee47d1d07ec1" ns2:_="">
    <xsd:import namespace="C3809BD0-A5CD-4010-9916-EFCC3F389F4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09BD0-A5CD-4010-9916-EFCC3F389F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DE6C-1410-45DB-BDFF-593B9D624C29}">
  <ds:schemaRefs>
    <ds:schemaRef ds:uri="http://purl.org/dc/terms/"/>
    <ds:schemaRef ds:uri="http://schemas.openxmlformats.org/package/2006/metadata/core-properties"/>
    <ds:schemaRef ds:uri="C3809BD0-A5CD-4010-9916-EFCC3F389F4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8E1ACBF-3C94-4510-BC57-50AA55C8E7B9}">
  <ds:schemaRefs>
    <ds:schemaRef ds:uri="http://schemas.microsoft.com/sharepoint/v3/contenttype/forms"/>
  </ds:schemaRefs>
</ds:datastoreItem>
</file>

<file path=customXml/itemProps3.xml><?xml version="1.0" encoding="utf-8"?>
<ds:datastoreItem xmlns:ds="http://schemas.openxmlformats.org/officeDocument/2006/customXml" ds:itemID="{98C57EAB-CD2D-4A97-9A0A-3AE46AD09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09BD0-A5CD-4010-9916-EFCC3F389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9FD19-20C2-4581-A5D4-80659F37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Norman, Joshua</cp:lastModifiedBy>
  <cp:revision>2</cp:revision>
  <cp:lastPrinted>2018-03-04T22:39:00Z</cp:lastPrinted>
  <dcterms:created xsi:type="dcterms:W3CDTF">2018-03-26T05:18:00Z</dcterms:created>
  <dcterms:modified xsi:type="dcterms:W3CDTF">2018-03-26T05:18:00Z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0x010100266966F133664895A6EE3632470D45F501006734C32D8C460842A7E77ADF72808A83</vt:lpwstr>
  </property>
</Properties>
</file>