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rsidTr="00A22E0D">
        <w:tc>
          <w:tcPr>
            <w:tcW w:w="4661" w:type="dxa"/>
          </w:tcPr>
          <w:p w:rsidR="00090A6F" w:rsidRPr="0000292B" w:rsidRDefault="00364B30">
            <w:pPr>
              <w:pStyle w:val="CoverStandard"/>
            </w:pPr>
            <w:r>
              <w:t>AASB</w:t>
            </w:r>
            <w:r w:rsidR="00831497">
              <w:t xml:space="preserve"> Standard</w:t>
            </w:r>
          </w:p>
        </w:tc>
        <w:tc>
          <w:tcPr>
            <w:tcW w:w="4661" w:type="dxa"/>
          </w:tcPr>
          <w:p w:rsidR="00090A6F" w:rsidRPr="0000292B" w:rsidRDefault="00831497">
            <w:pPr>
              <w:pStyle w:val="CoverNumber"/>
            </w:pPr>
            <w:r>
              <w:t>AASB</w:t>
            </w:r>
            <w:r w:rsidR="00086C20">
              <w:t> </w:t>
            </w:r>
            <w:bookmarkStart w:id="0" w:name="DocNo"/>
            <w:r w:rsidR="0067625E">
              <w:t>2018-2</w:t>
            </w:r>
            <w:bookmarkEnd w:id="0"/>
          </w:p>
          <w:p w:rsidR="00090A6F" w:rsidRPr="0000292B" w:rsidRDefault="0067625E">
            <w:pPr>
              <w:pStyle w:val="CoverDate"/>
            </w:pPr>
            <w:bookmarkStart w:id="1" w:name="DocDate"/>
            <w:r>
              <w:t>March 2018</w:t>
            </w:r>
            <w:bookmarkEnd w:id="1"/>
          </w:p>
        </w:tc>
      </w:tr>
    </w:tbl>
    <w:p w:rsidR="00090A6F" w:rsidRPr="0000292B" w:rsidRDefault="00F83192" w:rsidP="00086C20">
      <w:pPr>
        <w:pStyle w:val="CoverTitle"/>
        <w:jc w:val="left"/>
      </w:pPr>
      <w:bookmarkStart w:id="2" w:name="DocTitle"/>
      <w:r>
        <w:t>Amendments to Australian Accounting Standards – Plan Amendment, Curtailment or Settlement</w:t>
      </w:r>
      <w:bookmarkEnd w:id="2"/>
    </w:p>
    <w:p w:rsidR="00C5022C" w:rsidRPr="00C5022C" w:rsidRDefault="002B7803" w:rsidP="00C5022C">
      <w:pPr>
        <w:pStyle w:val="CoverSubtitle"/>
      </w:pPr>
      <w:r>
        <w:t>[</w:t>
      </w:r>
      <w:bookmarkStart w:id="3" w:name="AmendingNos"/>
      <w:r w:rsidR="00787A76">
        <w:t>AASB </w:t>
      </w:r>
      <w:r w:rsidR="00F83192">
        <w:t>119</w:t>
      </w:r>
      <w:bookmarkEnd w:id="3"/>
      <w:r>
        <w:t>]</w:t>
      </w:r>
      <w:bookmarkStart w:id="4" w:name="_GoBack"/>
      <w:bookmarkEnd w:id="4"/>
    </w:p>
    <w:p w:rsidR="00737714" w:rsidRPr="0000292B" w:rsidRDefault="00737714" w:rsidP="00737714"/>
    <w:p w:rsidR="00090A6F" w:rsidRPr="0000292B" w:rsidRDefault="008B643A">
      <w:pPr>
        <w:sectPr w:rsidR="00090A6F" w:rsidRPr="0000292B" w:rsidSect="00D74C6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77849481" wp14:editId="34420CB4">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rsidR="00895809" w:rsidRPr="0000292B" w:rsidRDefault="00895809" w:rsidP="00895809">
      <w:r w:rsidRPr="0000292B">
        <w:t>Australian Accounting Standards Board</w:t>
      </w:r>
    </w:p>
    <w:p w:rsidR="00895809" w:rsidRPr="0000292B" w:rsidRDefault="00895809" w:rsidP="00895809">
      <w:r>
        <w:t>PO Box 204</w:t>
      </w:r>
    </w:p>
    <w:p w:rsidR="00895809" w:rsidRPr="0000292B" w:rsidRDefault="00895809" w:rsidP="00895809">
      <w:r>
        <w:t>Collins Street West</w:t>
      </w:r>
    </w:p>
    <w:p w:rsidR="00895809" w:rsidRPr="0000292B" w:rsidRDefault="00895809" w:rsidP="00895809">
      <w:r>
        <w:t>Victoria   8007</w:t>
      </w:r>
    </w:p>
    <w:p w:rsidR="00895809" w:rsidRDefault="00895809" w:rsidP="00895809">
      <w:pPr>
        <w:pStyle w:val="CoverContact"/>
        <w:spacing w:after="200"/>
      </w:pPr>
      <w:r w:rsidRPr="0000292B">
        <w:t>AUSTRALIA</w:t>
      </w:r>
    </w:p>
    <w:p w:rsidR="00737714" w:rsidRDefault="00407AD3" w:rsidP="00B82F15">
      <w:pPr>
        <w:pStyle w:val="CoverContact"/>
      </w:pPr>
      <w:r>
        <w:t>Phone:</w:t>
      </w:r>
      <w:r>
        <w:tab/>
        <w:t>(03) 9617 7600</w:t>
      </w:r>
    </w:p>
    <w:p w:rsidR="00E96D45" w:rsidRDefault="00DB00CD" w:rsidP="00DB00CD">
      <w:pPr>
        <w:pStyle w:val="CoverContact"/>
      </w:pPr>
      <w:r>
        <w:t>E-mail:</w:t>
      </w:r>
      <w:r>
        <w:tab/>
      </w:r>
      <w:r w:rsidR="00407AD3">
        <w:t>standard</w:t>
      </w:r>
      <w:r>
        <w:t>@aasb.gov</w:t>
      </w:r>
      <w:r w:rsidRPr="00C5022C">
        <w:t>.au</w:t>
      </w:r>
    </w:p>
    <w:p w:rsidR="00E96D45" w:rsidRPr="00E96D45" w:rsidRDefault="00DB00CD" w:rsidP="00DB00CD">
      <w:pPr>
        <w:pStyle w:val="CoverContact"/>
        <w:spacing w:after="240"/>
      </w:pPr>
      <w:r>
        <w:t>Website:</w:t>
      </w:r>
      <w:r>
        <w:tab/>
        <w:t>www.aasb.gov.au</w:t>
      </w:r>
    </w:p>
    <w:p w:rsidR="00090A6F" w:rsidRPr="0000292B" w:rsidRDefault="00090A6F" w:rsidP="00F13C5A">
      <w:pPr>
        <w:pStyle w:val="Heading1"/>
      </w:pPr>
      <w:r w:rsidRPr="0000292B">
        <w:t xml:space="preserve">Other </w:t>
      </w:r>
      <w:r w:rsidR="005655CE" w:rsidRPr="0000292B">
        <w:t>enquiries</w:t>
      </w:r>
    </w:p>
    <w:p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rsidR="00090A6F" w:rsidRPr="0000292B" w:rsidRDefault="00923261">
      <w:pPr>
        <w:pStyle w:val="CoverContact"/>
      </w:pPr>
      <w:r>
        <w:t>E-mail:</w:t>
      </w:r>
      <w:r>
        <w:tab/>
        <w:t>standard@aasb.gov</w:t>
      </w:r>
      <w:r w:rsidR="00090A6F" w:rsidRPr="0000292B">
        <w:t>.au</w:t>
      </w:r>
    </w:p>
    <w:p w:rsidR="00276BC5" w:rsidRDefault="00276BC5" w:rsidP="00895809">
      <w:pPr>
        <w:pStyle w:val="NoNumPlain1"/>
        <w:spacing w:before="6240"/>
      </w:pPr>
      <w:r>
        <w:t>COPYRIGHT</w:t>
      </w:r>
    </w:p>
    <w:p w:rsidR="00276BC5" w:rsidRDefault="00276BC5" w:rsidP="00276BC5">
      <w:pPr>
        <w:pStyle w:val="NoNumPlain1"/>
      </w:pPr>
      <w:r>
        <w:t xml:space="preserve">© Commonwealth of Australia </w:t>
      </w:r>
      <w:bookmarkStart w:id="5" w:name="Year"/>
      <w:r w:rsidR="00787A76">
        <w:t>2018</w:t>
      </w:r>
      <w:bookmarkEnd w:id="5"/>
    </w:p>
    <w:p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086C20">
        <w:t xml:space="preserve">National </w:t>
      </w:r>
      <w:r w:rsidRPr="00DE4E67">
        <w:t xml:space="preserve">Director, Australian Accounting Standards Board, </w:t>
      </w:r>
      <w:r w:rsidR="00895809">
        <w:t>PO Box </w:t>
      </w:r>
      <w:r w:rsidRPr="00DE4E67">
        <w:t>204, Collins Street West, Victoria 8007.</w:t>
      </w:r>
    </w:p>
    <w:p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rsidR="007455F0" w:rsidRPr="0000292B" w:rsidRDefault="006D4700" w:rsidP="006D4700">
      <w:r>
        <w:t xml:space="preserve">ISSN </w:t>
      </w:r>
      <w:bookmarkStart w:id="6" w:name="ISSN"/>
      <w:r w:rsidR="00787A76">
        <w:t>1036-4803</w:t>
      </w:r>
      <w:bookmarkEnd w:id="6"/>
    </w:p>
    <w:p w:rsidR="00090A6F" w:rsidRPr="0000292B" w:rsidRDefault="00090A6F">
      <w:pPr>
        <w:sectPr w:rsidR="00090A6F" w:rsidRPr="0000292B" w:rsidSect="00D74C6A">
          <w:footerReference w:type="default" r:id="rId15"/>
          <w:pgSz w:w="11907" w:h="16840" w:code="9"/>
          <w:pgMar w:top="1418" w:right="1418" w:bottom="1418" w:left="1418" w:header="709" w:footer="709" w:gutter="0"/>
          <w:paperSrc w:first="7" w:other="7"/>
          <w:cols w:space="720"/>
        </w:sectPr>
      </w:pPr>
    </w:p>
    <w:p w:rsidR="00090A6F" w:rsidRPr="0000292B" w:rsidRDefault="005655CE">
      <w:pPr>
        <w:pStyle w:val="Heading1"/>
      </w:pPr>
      <w:r w:rsidRPr="0000292B">
        <w:lastRenderedPageBreak/>
        <w:t>Contents</w:t>
      </w:r>
    </w:p>
    <w:p w:rsidR="00090A6F" w:rsidRPr="00086C20" w:rsidRDefault="00090A6F">
      <w:pPr>
        <w:pStyle w:val="ContentsCapsPlain"/>
        <w:rPr>
          <w:caps/>
        </w:rPr>
      </w:pPr>
      <w:r w:rsidRPr="00086C20">
        <w:rPr>
          <w:caps/>
        </w:rPr>
        <w:t>Preface</w:t>
      </w:r>
    </w:p>
    <w:p w:rsidR="00090A6F" w:rsidRPr="00086C20" w:rsidRDefault="00090A6F">
      <w:pPr>
        <w:pStyle w:val="ContentsCapsBold"/>
        <w:rPr>
          <w:caps/>
        </w:rPr>
      </w:pPr>
      <w:r w:rsidRPr="00086C20">
        <w:rPr>
          <w:caps/>
        </w:rPr>
        <w:t>Accounting Standard</w:t>
      </w:r>
    </w:p>
    <w:p w:rsidR="00090A6F" w:rsidRPr="00086C20" w:rsidRDefault="00090A6F">
      <w:pPr>
        <w:pStyle w:val="ContentsCapsBold"/>
        <w:rPr>
          <w:i/>
          <w:iCs/>
          <w:caps/>
        </w:rPr>
      </w:pPr>
      <w:r w:rsidRPr="00086C20">
        <w:rPr>
          <w:caps/>
        </w:rPr>
        <w:t>AASB</w:t>
      </w:r>
      <w:r w:rsidR="006B7561">
        <w:rPr>
          <w:caps/>
        </w:rPr>
        <w:t> </w:t>
      </w:r>
      <w:r w:rsidR="009C2479" w:rsidRPr="00086C20">
        <w:rPr>
          <w:iCs/>
          <w:caps/>
        </w:rPr>
        <w:fldChar w:fldCharType="begin" w:fldLock="1"/>
      </w:r>
      <w:r w:rsidR="009C2479" w:rsidRPr="00086C20">
        <w:rPr>
          <w:iCs/>
          <w:caps/>
        </w:rPr>
        <w:instrText xml:space="preserve"> REF DocNo \* charformat </w:instrText>
      </w:r>
      <w:r w:rsidR="00086C20">
        <w:rPr>
          <w:iCs/>
          <w:caps/>
        </w:rPr>
        <w:instrText xml:space="preserve"> \* MERGEFORMAT </w:instrText>
      </w:r>
      <w:r w:rsidR="009C2479" w:rsidRPr="00086C20">
        <w:rPr>
          <w:iCs/>
          <w:caps/>
        </w:rPr>
        <w:fldChar w:fldCharType="separate"/>
      </w:r>
      <w:r w:rsidR="00A43AD6" w:rsidRPr="00A43AD6">
        <w:rPr>
          <w:iCs/>
          <w:caps/>
        </w:rPr>
        <w:t>2018-2</w:t>
      </w:r>
      <w:r w:rsidR="009C2479" w:rsidRPr="00086C20">
        <w:rPr>
          <w:iCs/>
          <w:caps/>
        </w:rPr>
        <w:fldChar w:fldCharType="end"/>
      </w:r>
      <w:r w:rsidRPr="00086C20">
        <w:rPr>
          <w:caps/>
        </w:rPr>
        <w:t xml:space="preserve"> </w:t>
      </w:r>
      <w:r w:rsidR="00CC1DF4" w:rsidRPr="00086C20">
        <w:rPr>
          <w:i/>
          <w:caps/>
        </w:rPr>
        <w:fldChar w:fldCharType="begin" w:fldLock="1"/>
      </w:r>
      <w:r w:rsidR="00CC1DF4" w:rsidRPr="00086C20">
        <w:rPr>
          <w:i/>
          <w:caps/>
        </w:rPr>
        <w:instrText xml:space="preserve"> REF DocTitle \* charformat </w:instrText>
      </w:r>
      <w:r w:rsidR="00086C20">
        <w:rPr>
          <w:i/>
          <w:caps/>
        </w:rPr>
        <w:instrText xml:space="preserve"> \* MERGEFORMAT </w:instrText>
      </w:r>
      <w:r w:rsidR="00CC1DF4" w:rsidRPr="00086C20">
        <w:rPr>
          <w:i/>
          <w:caps/>
        </w:rPr>
        <w:fldChar w:fldCharType="separate"/>
      </w:r>
      <w:r w:rsidR="00A43AD6" w:rsidRPr="00A43AD6">
        <w:rPr>
          <w:i/>
          <w:caps/>
        </w:rPr>
        <w:t>Amendments to Australian Accounting Standards – Plan Amendment, Curtailment or Settlement</w:t>
      </w:r>
      <w:r w:rsidR="00CC1DF4" w:rsidRPr="00086C20">
        <w:rPr>
          <w:i/>
          <w:caps/>
        </w:rPr>
        <w:fldChar w:fldCharType="end"/>
      </w:r>
    </w:p>
    <w:p w:rsidR="002B7803" w:rsidRPr="002B7803" w:rsidRDefault="002B7803" w:rsidP="002B7803"/>
    <w:p w:rsidR="00090A6F" w:rsidRPr="0000292B" w:rsidRDefault="009965BA">
      <w:pPr>
        <w:pStyle w:val="ContentsParaHead"/>
      </w:pPr>
      <w:r>
        <w:t>from page</w:t>
      </w:r>
    </w:p>
    <w:p w:rsidR="00D82909" w:rsidRPr="00D82909" w:rsidRDefault="00D82909" w:rsidP="00D82909">
      <w:pPr>
        <w:pStyle w:val="ContentsLevel1"/>
        <w:rPr>
          <w:b/>
          <w:caps/>
        </w:rPr>
      </w:pPr>
      <w:bookmarkStart w:id="7" w:name="TOCRange"/>
      <w:r w:rsidRPr="00D82909">
        <w:rPr>
          <w:b/>
          <w:caps/>
        </w:rPr>
        <w:t>Objective</w:t>
      </w:r>
      <w:r w:rsidRPr="00D82909">
        <w:rPr>
          <w:b/>
          <w:caps/>
        </w:rPr>
        <w:tab/>
        <w:t>5</w:t>
      </w:r>
    </w:p>
    <w:p w:rsidR="00D82909" w:rsidRPr="00D82909" w:rsidRDefault="00D82909" w:rsidP="00D82909">
      <w:pPr>
        <w:pStyle w:val="ContentsLevel1"/>
        <w:rPr>
          <w:b/>
          <w:caps/>
        </w:rPr>
      </w:pPr>
      <w:r w:rsidRPr="00D82909">
        <w:rPr>
          <w:b/>
          <w:caps/>
        </w:rPr>
        <w:t>Application</w:t>
      </w:r>
      <w:r w:rsidRPr="00D82909">
        <w:rPr>
          <w:b/>
          <w:caps/>
        </w:rPr>
        <w:tab/>
        <w:t>5</w:t>
      </w:r>
    </w:p>
    <w:p w:rsidR="00D82909" w:rsidRPr="00D82909" w:rsidRDefault="00D82909" w:rsidP="00D82909">
      <w:pPr>
        <w:pStyle w:val="ContentsLevel1"/>
        <w:rPr>
          <w:b/>
          <w:caps/>
        </w:rPr>
      </w:pPr>
      <w:r w:rsidRPr="00D82909">
        <w:rPr>
          <w:b/>
          <w:caps/>
        </w:rPr>
        <w:t>Amendments to AASB 119</w:t>
      </w:r>
      <w:r w:rsidRPr="00D82909">
        <w:rPr>
          <w:b/>
          <w:caps/>
        </w:rPr>
        <w:tab/>
        <w:t>5</w:t>
      </w:r>
    </w:p>
    <w:p w:rsidR="00D82909" w:rsidRPr="00D82909" w:rsidRDefault="00D82909" w:rsidP="00D82909">
      <w:pPr>
        <w:pStyle w:val="ContentsLevel1"/>
        <w:rPr>
          <w:b/>
          <w:caps/>
        </w:rPr>
      </w:pPr>
      <w:r w:rsidRPr="00D82909">
        <w:rPr>
          <w:b/>
          <w:caps/>
        </w:rPr>
        <w:t>Commencement of the legislative instrument</w:t>
      </w:r>
      <w:r w:rsidRPr="00D82909">
        <w:rPr>
          <w:b/>
          <w:caps/>
        </w:rPr>
        <w:tab/>
        <w:t>7</w:t>
      </w:r>
    </w:p>
    <w:bookmarkEnd w:id="7"/>
    <w:p w:rsidR="00ED2466" w:rsidRDefault="00ED2466" w:rsidP="00407AD3">
      <w:pPr>
        <w:spacing w:after="60"/>
        <w:jc w:val="left"/>
      </w:pPr>
    </w:p>
    <w:p w:rsidR="00ED2466" w:rsidRPr="00A005DF" w:rsidRDefault="00ED2466" w:rsidP="00407AD3">
      <w:pPr>
        <w:spacing w:after="60"/>
        <w:rPr>
          <w:b/>
          <w:caps/>
        </w:rPr>
      </w:pPr>
      <w:r w:rsidRPr="00A005DF">
        <w:rPr>
          <w:b/>
          <w:caps/>
        </w:rPr>
        <w:t>Available on the AASB website</w:t>
      </w:r>
    </w:p>
    <w:p w:rsidR="00ED2466" w:rsidRPr="00086C20" w:rsidRDefault="002F01D7" w:rsidP="00407AD3">
      <w:pPr>
        <w:spacing w:after="60"/>
        <w:rPr>
          <w:b/>
        </w:rPr>
      </w:pPr>
      <w:r>
        <w:rPr>
          <w:b/>
        </w:rPr>
        <w:t>IASB Basi</w:t>
      </w:r>
      <w:r w:rsidR="00ED2466" w:rsidRPr="00086C20">
        <w:rPr>
          <w:b/>
        </w:rPr>
        <w:t>s for Conclusions</w:t>
      </w:r>
      <w:r w:rsidR="00ED2466">
        <w:rPr>
          <w:b/>
        </w:rPr>
        <w:t xml:space="preserve"> – Amendments</w:t>
      </w:r>
    </w:p>
    <w:p w:rsidR="00ED2466" w:rsidRDefault="00ED2466" w:rsidP="00407AD3">
      <w:pPr>
        <w:spacing w:after="60"/>
      </w:pPr>
    </w:p>
    <w:p w:rsidR="00ED2466" w:rsidRDefault="00ED2466" w:rsidP="00407AD3">
      <w:pPr>
        <w:spacing w:after="60"/>
        <w:jc w:val="left"/>
      </w:pPr>
    </w:p>
    <w:p w:rsidR="00090A6F" w:rsidRPr="0000292B" w:rsidRDefault="00090A6F">
      <w:pPr>
        <w:pStyle w:val="ContentsBox"/>
      </w:pPr>
      <w:r w:rsidRPr="0000292B">
        <w:t>Australian Accounting Standard AASB</w:t>
      </w:r>
      <w:r w:rsidR="00A973FB">
        <w:t>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A43AD6" w:rsidRPr="00A43AD6">
        <w:rPr>
          <w:iCs/>
        </w:rPr>
        <w:t>2018-2</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43AD6" w:rsidRPr="00A43AD6">
        <w:rPr>
          <w:i/>
        </w:rPr>
        <w:t>Amendments to Australian Accounting Standards – Plan Amendment, Curtailment or Settlement</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Pr="0000292B">
        <w:t xml:space="preserve"> </w:t>
      </w:r>
      <w:r w:rsidR="00ED2466">
        <w:t xml:space="preserve">5 – </w:t>
      </w:r>
      <w:r w:rsidR="00757ACD">
        <w:t>7</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D74C6A">
          <w:footerReference w:type="default" r:id="rId16"/>
          <w:pgSz w:w="11907" w:h="16840" w:code="9"/>
          <w:pgMar w:top="1418" w:right="1418" w:bottom="1418" w:left="1418" w:header="709" w:footer="709" w:gutter="0"/>
          <w:paperSrc w:first="7" w:other="7"/>
          <w:cols w:space="720"/>
        </w:sectPr>
      </w:pPr>
    </w:p>
    <w:p w:rsidR="00090A6F" w:rsidRPr="0000292B" w:rsidRDefault="00090A6F">
      <w:pPr>
        <w:pStyle w:val="Heading1"/>
      </w:pPr>
      <w:r w:rsidRPr="0000292B">
        <w:lastRenderedPageBreak/>
        <w:t>Preface</w:t>
      </w:r>
    </w:p>
    <w:p w:rsidR="000F64CC" w:rsidRPr="0000292B" w:rsidRDefault="00CA61C5">
      <w:pPr>
        <w:pStyle w:val="Heading2"/>
      </w:pPr>
      <w:r>
        <w:t>Standards amended by AASB</w:t>
      </w:r>
      <w:r w:rsidR="006B7561">
        <w:t> </w:t>
      </w:r>
      <w:r>
        <w:fldChar w:fldCharType="begin" w:fldLock="1"/>
      </w:r>
      <w:r>
        <w:instrText xml:space="preserve"> REF DocNo \* charformat</w:instrText>
      </w:r>
      <w:r>
        <w:fldChar w:fldCharType="separate"/>
      </w:r>
      <w:r w:rsidR="00A43AD6">
        <w:t>2018-2</w:t>
      </w:r>
      <w:r>
        <w:fldChar w:fldCharType="end"/>
      </w:r>
    </w:p>
    <w:p w:rsidR="008A16EB" w:rsidRDefault="009C2479" w:rsidP="005A2514">
      <w:pPr>
        <w:pStyle w:val="NoNumPlain1"/>
      </w:pPr>
      <w:r>
        <w:t xml:space="preserve">This Standard makes amendments to </w:t>
      </w:r>
      <w:r w:rsidR="009D19F1">
        <w:t>AASB </w:t>
      </w:r>
      <w:r w:rsidR="00F83192">
        <w:t>119</w:t>
      </w:r>
      <w:r w:rsidR="009D19F1">
        <w:t xml:space="preserve"> </w:t>
      </w:r>
      <w:r w:rsidR="00F83192">
        <w:rPr>
          <w:i/>
        </w:rPr>
        <w:t>Employee Benefits</w:t>
      </w:r>
      <w:r w:rsidR="00F83192">
        <w:t xml:space="preserve"> (August 2015)</w:t>
      </w:r>
      <w:r w:rsidR="005A2514">
        <w:t>.</w:t>
      </w:r>
    </w:p>
    <w:p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8" w:name="ArisingTitle"/>
      <w:r w:rsidR="0090152F" w:rsidRPr="0090152F">
        <w:rPr>
          <w:i/>
        </w:rPr>
        <w:t xml:space="preserve">Plan Amendment, Curtailment or Settlement </w:t>
      </w:r>
      <w:r w:rsidR="0090152F" w:rsidRPr="0097665F">
        <w:t>(Amendments to IAS 19)</w:t>
      </w:r>
      <w:bookmarkEnd w:id="8"/>
      <w:r w:rsidR="008A16EB">
        <w:t xml:space="preserve"> by the International Accounting Standards Board (IASB) in </w:t>
      </w:r>
      <w:bookmarkStart w:id="9" w:name="ArisingDate"/>
      <w:r w:rsidR="00F83192">
        <w:t>February 2018</w:t>
      </w:r>
      <w:bookmarkEnd w:id="9"/>
      <w:r w:rsidR="008A16EB">
        <w:t>.</w:t>
      </w:r>
    </w:p>
    <w:p w:rsidR="00090A6F" w:rsidRDefault="00F22AF2" w:rsidP="00F22AF2">
      <w:pPr>
        <w:pStyle w:val="Heading2"/>
      </w:pPr>
      <w:r>
        <w:t>Main features of this Standard</w:t>
      </w:r>
    </w:p>
    <w:p w:rsidR="00F22AF2" w:rsidRDefault="00F22AF2" w:rsidP="00F22AF2">
      <w:pPr>
        <w:pStyle w:val="Heading2Indent1"/>
      </w:pPr>
      <w:r>
        <w:t>Main requirements</w:t>
      </w:r>
    </w:p>
    <w:p w:rsidR="0045013A" w:rsidRDefault="0045013A" w:rsidP="00F83192">
      <w:pPr>
        <w:pStyle w:val="NoNumPlain1"/>
      </w:pPr>
      <w:r>
        <w:t>The Standard amen</w:t>
      </w:r>
      <w:r w:rsidR="00F83192">
        <w:t xml:space="preserve">ds </w:t>
      </w:r>
      <w:r w:rsidR="00650009">
        <w:t xml:space="preserve">AASB 119 to specify how an entity accounts for defined benefit plans when a plan amendment, curtailment or settlement occurs during a reporting period. </w:t>
      </w:r>
      <w:r w:rsidR="0017780E">
        <w:t xml:space="preserve"> </w:t>
      </w:r>
      <w:r w:rsidR="00CE70C1">
        <w:t xml:space="preserve">The amendments require an entity </w:t>
      </w:r>
      <w:r w:rsidR="00650009">
        <w:t xml:space="preserve">to </w:t>
      </w:r>
      <w:r w:rsidR="00453E5B">
        <w:t>use</w:t>
      </w:r>
      <w:r w:rsidR="00D80287">
        <w:t xml:space="preserve"> the assumptions</w:t>
      </w:r>
      <w:r w:rsidR="00453E5B">
        <w:t xml:space="preserve"> used for the remeasurement </w:t>
      </w:r>
      <w:r w:rsidR="00CE70C1">
        <w:t xml:space="preserve">of the net defined benefit liability or asset to determine the current service cost and the net interest for the remainder of the reporting period after </w:t>
      </w:r>
      <w:r w:rsidR="007A333B">
        <w:t>a</w:t>
      </w:r>
      <w:r w:rsidR="00CE70C1">
        <w:t xml:space="preserve"> plan event occurs.</w:t>
      </w:r>
      <w:r w:rsidR="0008574E">
        <w:t xml:space="preserve">  The Standard also clarifies that, when a plan event occurs, an entity recognises the past service cost or a gain or loss on settlement separately from its assessment of the asset ceiling.</w:t>
      </w:r>
    </w:p>
    <w:p w:rsidR="00F22AF2" w:rsidRDefault="00F22AF2" w:rsidP="00F22AF2">
      <w:pPr>
        <w:pStyle w:val="Heading2Indent1"/>
      </w:pPr>
      <w:r>
        <w:t>Application date</w:t>
      </w:r>
    </w:p>
    <w:p w:rsidR="00F22AF2" w:rsidRPr="00F22AF2" w:rsidRDefault="00B16904" w:rsidP="00F22AF2">
      <w:pPr>
        <w:pStyle w:val="NoNumPlain1"/>
      </w:pPr>
      <w:r>
        <w:t xml:space="preserve">This Standard applies to annual </w:t>
      </w:r>
      <w:r w:rsidR="00CF08E5">
        <w:t xml:space="preserve">reporting </w:t>
      </w:r>
      <w:r>
        <w:t xml:space="preserve">periods </w:t>
      </w:r>
      <w:bookmarkStart w:id="10" w:name="ApplyText"/>
      <w:r>
        <w:t>beginning</w:t>
      </w:r>
      <w:bookmarkEnd w:id="10"/>
      <w:r>
        <w:t xml:space="preserve"> on or after</w:t>
      </w:r>
      <w:r w:rsidR="00867FB0">
        <w:t xml:space="preserve"> </w:t>
      </w:r>
      <w:bookmarkStart w:id="11" w:name="ApplyDate"/>
      <w:r w:rsidR="00787A76">
        <w:t>1 January 2019</w:t>
      </w:r>
      <w:bookmarkEnd w:id="11"/>
      <w:r>
        <w:t>.  Earlier application is permitted.</w:t>
      </w:r>
    </w:p>
    <w:p w:rsidR="00ED2466" w:rsidRPr="0000292B" w:rsidRDefault="00ED2466"/>
    <w:p w:rsidR="00090A6F" w:rsidRPr="0000292B" w:rsidRDefault="00090A6F">
      <w:pPr>
        <w:sectPr w:rsidR="00090A6F" w:rsidRPr="0000292B" w:rsidSect="00D74C6A">
          <w:footerReference w:type="default" r:id="rId17"/>
          <w:pgSz w:w="11907" w:h="16840" w:code="9"/>
          <w:pgMar w:top="1418" w:right="1418" w:bottom="1418" w:left="1418" w:header="709" w:footer="709" w:gutter="0"/>
          <w:paperSrc w:first="7" w:other="7"/>
          <w:cols w:space="720"/>
        </w:sectPr>
      </w:pPr>
    </w:p>
    <w:p w:rsidR="001662B8" w:rsidRPr="0000292B" w:rsidRDefault="00F13C5A" w:rsidP="001662B8">
      <w:pPr>
        <w:pStyle w:val="Heading1"/>
      </w:pPr>
      <w:r w:rsidRPr="0000292B">
        <w:lastRenderedPageBreak/>
        <w:t xml:space="preserve">Accounting Standard </w:t>
      </w:r>
      <w:r w:rsidR="001662B8" w:rsidRPr="0000292B">
        <w:t>AASB</w:t>
      </w:r>
      <w:r w:rsidR="0045013A">
        <w:t>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A43AD6" w:rsidRPr="00A43AD6">
        <w:rPr>
          <w:iCs/>
        </w:rPr>
        <w:t>2018-2</w:t>
      </w:r>
      <w:r w:rsidR="001662B8" w:rsidRPr="00BC0D5D">
        <w:rPr>
          <w:iCs/>
        </w:rPr>
        <w:fldChar w:fldCharType="end"/>
      </w:r>
    </w:p>
    <w:p w:rsidR="001662B8" w:rsidRDefault="001662B8" w:rsidP="003E1900">
      <w:pPr>
        <w:pStyle w:val="NoNumPlain1"/>
      </w:pPr>
      <w:r>
        <w:t>The Australian Accounting Standards Board makes Accounting Standard AASB </w:t>
      </w:r>
      <w:fldSimple w:instr=" REF DocNo  \* charformat " w:fldLock="1">
        <w:r w:rsidR="00A43AD6">
          <w:t>2018-2</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43AD6" w:rsidRPr="00A43AD6">
        <w:rPr>
          <w:i/>
        </w:rPr>
        <w:t>Amendments to Australian Accounting Standards – Plan Amendment, Curtailment or Settlement</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Tr="008C1C4A">
        <w:tc>
          <w:tcPr>
            <w:tcW w:w="4361" w:type="dxa"/>
          </w:tcPr>
          <w:p w:rsidR="00C03C7B" w:rsidRDefault="00C03C7B" w:rsidP="0048155F"/>
        </w:tc>
        <w:tc>
          <w:tcPr>
            <w:tcW w:w="4961" w:type="dxa"/>
          </w:tcPr>
          <w:p w:rsidR="00C03C7B" w:rsidRDefault="008F3EBA" w:rsidP="0048155F">
            <w:pPr>
              <w:jc w:val="right"/>
            </w:pPr>
            <w:r>
              <w:t>Kris Peach</w:t>
            </w:r>
          </w:p>
        </w:tc>
      </w:tr>
      <w:tr w:rsidR="00C03C7B" w:rsidTr="008C1C4A">
        <w:tc>
          <w:tcPr>
            <w:tcW w:w="4361" w:type="dxa"/>
          </w:tcPr>
          <w:p w:rsidR="00C03C7B" w:rsidRDefault="00C03C7B" w:rsidP="00407AD3">
            <w:r>
              <w:t xml:space="preserve">Dated </w:t>
            </w:r>
            <w:bookmarkStart w:id="13" w:name="DateSigned"/>
            <w:r w:rsidR="00A43AD6">
              <w:t>23 March 2018</w:t>
            </w:r>
            <w:bookmarkEnd w:id="13"/>
          </w:p>
        </w:tc>
        <w:tc>
          <w:tcPr>
            <w:tcW w:w="4961" w:type="dxa"/>
          </w:tcPr>
          <w:p w:rsidR="00C03C7B" w:rsidRDefault="00C03C7B" w:rsidP="0048155F">
            <w:pPr>
              <w:jc w:val="right"/>
            </w:pPr>
            <w:r>
              <w:t>Chair – AASB</w:t>
            </w:r>
          </w:p>
        </w:tc>
      </w:tr>
    </w:tbl>
    <w:p w:rsidR="00090A6F" w:rsidRPr="0000292B" w:rsidRDefault="00F13C5A" w:rsidP="00867FB0">
      <w:pPr>
        <w:pStyle w:val="Heading1"/>
        <w:spacing w:after="0"/>
      </w:pPr>
      <w:r w:rsidRPr="0000292B">
        <w:t xml:space="preserve">Accounting Standard </w:t>
      </w:r>
      <w:r w:rsidR="00090A6F" w:rsidRPr="0000292B">
        <w:t>AASB</w:t>
      </w:r>
      <w:r w:rsidR="0045013A">
        <w:t>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A43AD6" w:rsidRPr="00A43AD6">
        <w:rPr>
          <w:iCs/>
        </w:rPr>
        <w:t>2018-2</w:t>
      </w:r>
      <w:r w:rsidR="00BC0D5D" w:rsidRPr="00BC0D5D">
        <w:rPr>
          <w:iCs/>
        </w:rPr>
        <w:fldChar w:fldCharType="end"/>
      </w:r>
    </w:p>
    <w:p w:rsidR="00090A6F" w:rsidRDefault="00CC1DF4" w:rsidP="003E1900">
      <w:pPr>
        <w:pStyle w:val="Heading1Italic"/>
        <w:spacing w:before="0"/>
      </w:pPr>
      <w:r>
        <w:fldChar w:fldCharType="begin" w:fldLock="1"/>
      </w:r>
      <w:r>
        <w:instrText xml:space="preserve"> REF DocTitle \* charformat</w:instrText>
      </w:r>
      <w:r>
        <w:fldChar w:fldCharType="separate"/>
      </w:r>
      <w:r w:rsidR="00A43AD6">
        <w:t>Amendments to Australian Accounting Standards – Plan Amendment, Curtailment or Settlement</w:t>
      </w:r>
      <w:r>
        <w:fldChar w:fldCharType="end"/>
      </w:r>
    </w:p>
    <w:p w:rsidR="00090A6F" w:rsidRPr="0000292B" w:rsidRDefault="00090A6F" w:rsidP="00FC30DA">
      <w:pPr>
        <w:pStyle w:val="Heading2"/>
      </w:pPr>
      <w:bookmarkStart w:id="14" w:name="TOCStart"/>
      <w:bookmarkEnd w:id="14"/>
      <w:r w:rsidRPr="0000292B">
        <w:t>Objective</w:t>
      </w:r>
    </w:p>
    <w:p w:rsidR="001662B8" w:rsidRPr="0000292B" w:rsidRDefault="00867FB0" w:rsidP="005A6AC7">
      <w:pPr>
        <w:pStyle w:val="NoNumPlain1"/>
      </w:pPr>
      <w:r>
        <w:t>This</w:t>
      </w:r>
      <w:r w:rsidR="001662B8">
        <w:t xml:space="preserve"> Standard </w:t>
      </w:r>
      <w:r>
        <w:t>amends</w:t>
      </w:r>
      <w:r w:rsidR="00F83192">
        <w:t xml:space="preserve"> </w:t>
      </w:r>
      <w:r w:rsidR="0090152F">
        <w:t xml:space="preserve">Australian Accounting Standard AASB 119 </w:t>
      </w:r>
      <w:r w:rsidR="0090152F">
        <w:rPr>
          <w:i/>
        </w:rPr>
        <w:t>Employee Benefits</w:t>
      </w:r>
      <w:r w:rsidR="0090152F">
        <w:t xml:space="preserve"> (August 2015) </w:t>
      </w:r>
      <w:r w:rsidR="001662B8">
        <w:t>a</w:t>
      </w:r>
      <w:bookmarkStart w:id="15" w:name="StndObj"/>
      <w:bookmarkEnd w:id="15"/>
      <w:r w:rsidR="001662B8">
        <w:t>s a consequence of the issuance of</w:t>
      </w:r>
      <w:r>
        <w:t xml:space="preserve"> International Financial Reporting Standard</w:t>
      </w:r>
      <w:r w:rsidR="001662B8">
        <w:t xml:space="preserve"> </w:t>
      </w:r>
      <w:r w:rsidRPr="00867FB0">
        <w:rPr>
          <w:i/>
        </w:rPr>
        <w:fldChar w:fldCharType="begin" w:fldLock="1"/>
      </w:r>
      <w:r w:rsidRPr="00867FB0">
        <w:rPr>
          <w:i/>
        </w:rPr>
        <w:instrText xml:space="preserve"> REF ArisingTitle \* charformat</w:instrText>
      </w:r>
      <w:r w:rsidR="0090152F">
        <w:rPr>
          <w:i/>
        </w:rPr>
        <w:instrText xml:space="preserve"> \* MERGEFORMAT </w:instrText>
      </w:r>
      <w:r w:rsidRPr="00867FB0">
        <w:rPr>
          <w:i/>
        </w:rPr>
        <w:fldChar w:fldCharType="separate"/>
      </w:r>
      <w:r w:rsidR="00A43AD6" w:rsidRPr="0090152F">
        <w:rPr>
          <w:i/>
        </w:rPr>
        <w:t xml:space="preserve">Plan Amendment, Curtailment or Settlement </w:t>
      </w:r>
      <w:r w:rsidR="00A43AD6" w:rsidRPr="00A43AD6">
        <w:t>(Amendments to IAS 19)</w:t>
      </w:r>
      <w:r w:rsidRPr="00867FB0">
        <w:rPr>
          <w:i/>
        </w:rPr>
        <w:fldChar w:fldCharType="end"/>
      </w:r>
      <w:r w:rsidR="001662B8">
        <w:t xml:space="preserve"> </w:t>
      </w:r>
      <w:r>
        <w:t xml:space="preserve">by the International Accounting Standards Board </w:t>
      </w:r>
      <w:r w:rsidR="001662B8">
        <w:t>in</w:t>
      </w:r>
      <w:r w:rsidR="00742E4B">
        <w:t xml:space="preserve"> </w:t>
      </w:r>
      <w:r>
        <w:fldChar w:fldCharType="begin" w:fldLock="1"/>
      </w:r>
      <w:r>
        <w:instrText xml:space="preserve"> REF ArisingDate \* charformat</w:instrText>
      </w:r>
      <w:r>
        <w:fldChar w:fldCharType="separate"/>
      </w:r>
      <w:r w:rsidR="00A43AD6">
        <w:t>February 2018</w:t>
      </w:r>
      <w:r>
        <w:fldChar w:fldCharType="end"/>
      </w:r>
      <w:r w:rsidR="001662B8">
        <w:t>.</w:t>
      </w:r>
    </w:p>
    <w:p w:rsidR="00090A6F" w:rsidRPr="0000292B" w:rsidRDefault="00090A6F">
      <w:pPr>
        <w:pStyle w:val="Heading2"/>
      </w:pPr>
      <w:r w:rsidRPr="0000292B">
        <w:t>Application</w:t>
      </w:r>
    </w:p>
    <w:p w:rsidR="005A6AC7" w:rsidRPr="005A6AC7" w:rsidRDefault="005A6AC7" w:rsidP="005A6AC7">
      <w:pPr>
        <w:pStyle w:val="NoNumPlain1"/>
        <w:rPr>
          <w:i/>
        </w:rPr>
      </w:pPr>
      <w:r>
        <w:t xml:space="preserve">The amendments set out in this Standard apply to entities and financial statements in accordance with the application of </w:t>
      </w:r>
      <w:r w:rsidR="0090152F">
        <w:t>AASB 119</w:t>
      </w:r>
      <w:r>
        <w:t xml:space="preserve"> set out in AASB</w:t>
      </w:r>
      <w:r w:rsidR="006B7561">
        <w:t> </w:t>
      </w:r>
      <w:r>
        <w:t xml:space="preserve">1057 </w:t>
      </w:r>
      <w:r>
        <w:rPr>
          <w:i/>
        </w:rPr>
        <w:t>Application of Australian Accounting Standards</w:t>
      </w:r>
      <w:r w:rsidRPr="005A6AC7">
        <w:t xml:space="preserve"> (as amended)</w:t>
      </w:r>
      <w:r>
        <w:rPr>
          <w:i/>
        </w:rPr>
        <w:t>.</w:t>
      </w:r>
    </w:p>
    <w:p w:rsidR="00090A6F" w:rsidRPr="00027E8B" w:rsidRDefault="00090A6F" w:rsidP="005A6AC7">
      <w:pPr>
        <w:pStyle w:val="NoNumPlain1"/>
      </w:pPr>
      <w:r w:rsidRPr="00027E8B">
        <w:t xml:space="preserve">This Standard applies to annual </w:t>
      </w:r>
      <w:r w:rsidR="00CF08E5">
        <w:t xml:space="preserve">reporting </w:t>
      </w:r>
      <w:r w:rsidRPr="00027E8B">
        <w:t xml:space="preserve">periods </w:t>
      </w:r>
      <w:r w:rsidR="005A6AC7">
        <w:fldChar w:fldCharType="begin" w:fldLock="1"/>
      </w:r>
      <w:r w:rsidR="005A6AC7">
        <w:instrText xml:space="preserve"> REF ApplyText \* charformat</w:instrText>
      </w:r>
      <w:r w:rsidR="005A6AC7">
        <w:fldChar w:fldCharType="separate"/>
      </w:r>
      <w:r w:rsidR="00A43AD6">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A43AD6">
        <w:t>1 January 2019</w:t>
      </w:r>
      <w:r w:rsidR="005A6AC7">
        <w:fldChar w:fldCharType="end"/>
      </w:r>
      <w:r w:rsidRPr="00027E8B">
        <w:t>.</w:t>
      </w:r>
    </w:p>
    <w:p w:rsidR="00090A6F" w:rsidRPr="0000292B" w:rsidRDefault="0090152F" w:rsidP="005A6AC7">
      <w:pPr>
        <w:pStyle w:val="NoNumPlain1"/>
      </w:pPr>
      <w:bookmarkStart w:id="16" w:name="EarlyYesPara"/>
      <w:r>
        <w:t xml:space="preserve">This Standard </w:t>
      </w:r>
      <w:r w:rsidR="00090A6F" w:rsidRPr="0000292B">
        <w:t xml:space="preserve">may be applied to annual </w:t>
      </w:r>
      <w:r w:rsidR="00CF08E5">
        <w:t xml:space="preserve">reporting </w:t>
      </w:r>
      <w:r w:rsidR="00090A6F" w:rsidRPr="0000292B">
        <w:t xml:space="preserve">periods </w:t>
      </w:r>
      <w:bookmarkStart w:id="17" w:name="EarlyText"/>
      <w:r w:rsidR="00E839DA" w:rsidRPr="0000292B">
        <w:t>beginning</w:t>
      </w:r>
      <w:bookmarkEnd w:id="17"/>
      <w:r w:rsidR="00090A6F" w:rsidRPr="0000292B">
        <w:t xml:space="preserve"> </w:t>
      </w:r>
      <w:r w:rsidR="0078116B" w:rsidRPr="0000292B">
        <w:t xml:space="preserve">before </w:t>
      </w:r>
      <w:fldSimple w:instr=" REF ApplyDate  \* charformat  " w:fldLock="1">
        <w:r w:rsidR="00A43AD6">
          <w:t>1 January 2019</w:t>
        </w:r>
      </w:fldSimple>
      <w:r w:rsidR="00090A6F" w:rsidRPr="0000292B">
        <w:t xml:space="preserve">.  When </w:t>
      </w:r>
      <w:r>
        <w:t>an entity applies this Standard</w:t>
      </w:r>
      <w:r w:rsidR="00407AD3">
        <w:t xml:space="preserve"> </w:t>
      </w:r>
      <w:r w:rsidR="00090A6F" w:rsidRPr="0000292B">
        <w:t xml:space="preserve">to </w:t>
      </w:r>
      <w:r w:rsidR="00590051">
        <w:t xml:space="preserve">such </w:t>
      </w:r>
      <w:r w:rsidR="00090A6F" w:rsidRPr="0000292B">
        <w:t>an annual period</w:t>
      </w:r>
      <w:r w:rsidR="00590051">
        <w:t>,</w:t>
      </w:r>
      <w:r w:rsidR="00090A6F" w:rsidRPr="0000292B">
        <w:t xml:space="preserve"> it shall disclose that fact.</w:t>
      </w:r>
    </w:p>
    <w:bookmarkEnd w:id="16"/>
    <w:p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and also to indicate text that is not amended.</w:t>
      </w:r>
    </w:p>
    <w:p w:rsidR="00F83192" w:rsidRDefault="00F83192" w:rsidP="00D82909">
      <w:pPr>
        <w:pStyle w:val="Heading2"/>
      </w:pPr>
      <w:bookmarkStart w:id="18" w:name="F69404452"/>
      <w:r>
        <w:t xml:space="preserve">Amendments to </w:t>
      </w:r>
      <w:r w:rsidR="00D707FE">
        <w:t>AASB 119</w:t>
      </w:r>
      <w:bookmarkEnd w:id="18"/>
    </w:p>
    <w:tbl>
      <w:tblPr>
        <w:tblW w:w="9208" w:type="dxa"/>
        <w:tblLayout w:type="fixed"/>
        <w:tblCellMar>
          <w:top w:w="57" w:type="dxa"/>
          <w:left w:w="57" w:type="dxa"/>
          <w:bottom w:w="57" w:type="dxa"/>
          <w:right w:w="57" w:type="dxa"/>
        </w:tblCellMar>
        <w:tblLook w:val="0000" w:firstRow="0" w:lastRow="0" w:firstColumn="0" w:lastColumn="0" w:noHBand="0" w:noVBand="0"/>
        <w:tblCaption w:val="Amendments"/>
        <w:tblDescription w:val="Amendments to the Standard proper."/>
      </w:tblPr>
      <w:tblGrid>
        <w:gridCol w:w="9208"/>
      </w:tblGrid>
      <w:tr w:rsidR="00F83192" w:rsidTr="00F83192">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83192" w:rsidRDefault="00F83192" w:rsidP="00D707FE">
            <w:pPr>
              <w:pStyle w:val="IASBTableArial"/>
              <w:spacing w:before="0"/>
            </w:pPr>
            <w:r>
              <w:t>Paragraphs 101A, 122A, 123A and 179 are added and paragraphs 57, 99, 120, 123, 125, 126 and 156 are amended. A heading is added before paragraph 122A. New text is underlined and deleted text is struck through.</w:t>
            </w:r>
          </w:p>
        </w:tc>
      </w:tr>
    </w:tbl>
    <w:p w:rsidR="00F83192" w:rsidRDefault="00F83192" w:rsidP="00F83192">
      <w:pPr>
        <w:pStyle w:val="IASBSectionTitle1NonInd"/>
      </w:pPr>
      <w:bookmarkStart w:id="19" w:name="F69411751"/>
      <w:r>
        <w:t>Post-employment benefits: defined benefit plans</w:t>
      </w:r>
      <w:bookmarkEnd w:id="19"/>
    </w:p>
    <w:p w:rsidR="00F83192" w:rsidRDefault="00F83192" w:rsidP="00F83192">
      <w:pPr>
        <w:pStyle w:val="IASBNormalnpara"/>
      </w:pPr>
      <w:r>
        <w:tab/>
      </w:r>
      <w:bookmarkStart w:id="20" w:name="F69411752"/>
      <w:r>
        <w:t>... </w:t>
      </w:r>
      <w:bookmarkEnd w:id="20"/>
    </w:p>
    <w:p w:rsidR="00F83192" w:rsidRDefault="00F83192" w:rsidP="00F83192">
      <w:pPr>
        <w:pStyle w:val="IASBSectionTitle2Ind"/>
      </w:pPr>
      <w:bookmarkStart w:id="21" w:name="F69411754"/>
      <w:r>
        <w:t>Recognition and measurement</w:t>
      </w:r>
      <w:bookmarkEnd w:id="21"/>
    </w:p>
    <w:p w:rsidR="00F83192" w:rsidRDefault="00F83192" w:rsidP="00F83192">
      <w:pPr>
        <w:pStyle w:val="IASBNormalnpara"/>
      </w:pPr>
      <w:r>
        <w:tab/>
      </w:r>
      <w:bookmarkStart w:id="22" w:name="F69411755"/>
      <w:r>
        <w:t>... </w:t>
      </w:r>
      <w:bookmarkEnd w:id="22"/>
    </w:p>
    <w:p w:rsidR="00F83192" w:rsidRDefault="00F83192" w:rsidP="00F83192">
      <w:pPr>
        <w:pStyle w:val="IASBNormalnpara"/>
      </w:pPr>
      <w:r>
        <w:t>57</w:t>
      </w:r>
      <w:r>
        <w:tab/>
      </w:r>
      <w:bookmarkStart w:id="23" w:name="F69411756"/>
      <w:r>
        <w:t>Accounting by an entity for defined benefit plans involves the following steps:</w:t>
      </w:r>
      <w:bookmarkEnd w:id="23"/>
    </w:p>
    <w:p w:rsidR="00F83192" w:rsidRDefault="00F83192" w:rsidP="00F83192">
      <w:pPr>
        <w:pStyle w:val="IASBNormalnpara"/>
      </w:pPr>
      <w:r>
        <w:tab/>
      </w:r>
      <w:bookmarkStart w:id="24" w:name="F69411759"/>
      <w:r>
        <w:t>... </w:t>
      </w:r>
      <w:bookmarkEnd w:id="24"/>
    </w:p>
    <w:p w:rsidR="00F83192" w:rsidRDefault="00F83192" w:rsidP="00F83192">
      <w:pPr>
        <w:pStyle w:val="IASBNormalnparaL1"/>
      </w:pPr>
      <w:r w:rsidRPr="003C7906">
        <w:rPr>
          <w:lang w:val="en-GB"/>
        </w:rPr>
        <w:t>(c)</w:t>
      </w:r>
      <w:r w:rsidRPr="003C7906">
        <w:rPr>
          <w:lang w:val="en-GB"/>
        </w:rPr>
        <w:tab/>
      </w:r>
      <w:bookmarkStart w:id="25" w:name="SL69411790"/>
      <w:r w:rsidRPr="003C7906">
        <w:rPr>
          <w:lang w:val="en-GB"/>
        </w:rPr>
        <w:t>determining amounts to be recognised in profit or loss:</w:t>
      </w:r>
      <w:bookmarkEnd w:id="25"/>
    </w:p>
    <w:p w:rsidR="00F83192" w:rsidRDefault="00F83192" w:rsidP="00F83192">
      <w:pPr>
        <w:pStyle w:val="IASBNormalnparaL2"/>
      </w:pPr>
      <w:r>
        <w:t>(i)</w:t>
      </w:r>
      <w:r>
        <w:tab/>
      </w:r>
      <w:bookmarkStart w:id="26" w:name="SL69411791"/>
      <w:r>
        <w:t xml:space="preserve">current service cost (see paragraphs 70–74 </w:t>
      </w:r>
      <w:r>
        <w:rPr>
          <w:u w:val="single"/>
        </w:rPr>
        <w:t>and paragraph 122A</w:t>
      </w:r>
      <w:r>
        <w:t>).</w:t>
      </w:r>
      <w:bookmarkEnd w:id="26"/>
    </w:p>
    <w:p w:rsidR="00F83192" w:rsidRDefault="00F83192" w:rsidP="00F83192">
      <w:pPr>
        <w:pStyle w:val="IASBNormalnparaL1"/>
      </w:pPr>
      <w:r>
        <w:tab/>
      </w:r>
      <w:bookmarkStart w:id="27" w:name="F69411774"/>
      <w:r>
        <w:t>... </w:t>
      </w:r>
      <w:bookmarkEnd w:id="27"/>
    </w:p>
    <w:p w:rsidR="00F83192" w:rsidRDefault="00F83192" w:rsidP="00F83192">
      <w:pPr>
        <w:pStyle w:val="IASBNormalnpara"/>
      </w:pPr>
      <w:r>
        <w:tab/>
      </w:r>
      <w:bookmarkStart w:id="28" w:name="F69411771"/>
      <w:r>
        <w:t>... </w:t>
      </w:r>
      <w:bookmarkEnd w:id="28"/>
    </w:p>
    <w:p w:rsidR="00F83192" w:rsidRDefault="00F83192" w:rsidP="00F83192">
      <w:pPr>
        <w:pStyle w:val="IASBSectionTitle2Ind"/>
      </w:pPr>
      <w:bookmarkStart w:id="29" w:name="F69404459"/>
      <w:r>
        <w:t>Past service cost and gains and losses on settlement</w:t>
      </w:r>
      <w:bookmarkEnd w:id="29"/>
    </w:p>
    <w:p w:rsidR="00F83192" w:rsidRDefault="00F83192" w:rsidP="00F83192">
      <w:pPr>
        <w:pStyle w:val="IASBNormalnpara"/>
        <w:rPr>
          <w:b/>
        </w:rPr>
      </w:pPr>
      <w:r>
        <w:rPr>
          <w:b/>
        </w:rPr>
        <w:t>99</w:t>
      </w:r>
      <w:r>
        <w:rPr>
          <w:b/>
        </w:rPr>
        <w:tab/>
      </w:r>
      <w:bookmarkStart w:id="30" w:name="F69404271"/>
      <w:r>
        <w:rPr>
          <w:b/>
          <w:strike/>
        </w:rPr>
        <w:t>Before</w:t>
      </w:r>
      <w:r>
        <w:rPr>
          <w:b/>
        </w:rPr>
        <w:t xml:space="preserve"> </w:t>
      </w:r>
      <w:r>
        <w:rPr>
          <w:b/>
          <w:u w:val="single"/>
        </w:rPr>
        <w:t>When</w:t>
      </w:r>
      <w:r>
        <w:rPr>
          <w:b/>
        </w:rPr>
        <w:t xml:space="preserve"> determining past service cost, or a gain or loss on settlement, an entity shall remeasure the net defined benefit liability (asset) using the current fair value of plan assets and current actuarial assumptions</w:t>
      </w:r>
      <w:r>
        <w:rPr>
          <w:b/>
          <w:u w:val="single"/>
        </w:rPr>
        <w:t>,</w:t>
      </w:r>
      <w:r>
        <w:rPr>
          <w:b/>
        </w:rPr>
        <w:t xml:space="preserve"> </w:t>
      </w:r>
      <w:r>
        <w:rPr>
          <w:b/>
          <w:strike/>
        </w:rPr>
        <w:t>(</w:t>
      </w:r>
      <w:r>
        <w:rPr>
          <w:b/>
        </w:rPr>
        <w:t>including current market interest rates and other current market prices</w:t>
      </w:r>
      <w:r>
        <w:rPr>
          <w:b/>
          <w:strike/>
        </w:rPr>
        <w:t>)</w:t>
      </w:r>
      <w:r>
        <w:rPr>
          <w:b/>
          <w:u w:val="single"/>
        </w:rPr>
        <w:t>,</w:t>
      </w:r>
      <w:r>
        <w:rPr>
          <w:b/>
        </w:rPr>
        <w:t xml:space="preserve"> reflecting</w:t>
      </w:r>
      <w:r>
        <w:rPr>
          <w:b/>
          <w:u w:val="single"/>
        </w:rPr>
        <w:t>:</w:t>
      </w:r>
      <w:bookmarkEnd w:id="30"/>
    </w:p>
    <w:p w:rsidR="00F83192" w:rsidRDefault="00F83192" w:rsidP="00F83192">
      <w:pPr>
        <w:pStyle w:val="IASBNormalnparaL1"/>
      </w:pPr>
      <w:r>
        <w:rPr>
          <w:b/>
        </w:rPr>
        <w:t>(</w:t>
      </w:r>
      <w:r>
        <w:rPr>
          <w:b/>
          <w:u w:val="single"/>
        </w:rPr>
        <w:t>a</w:t>
      </w:r>
      <w:r>
        <w:rPr>
          <w:b/>
        </w:rPr>
        <w:t>)</w:t>
      </w:r>
      <w:r>
        <w:tab/>
      </w:r>
      <w:bookmarkStart w:id="31" w:name="SL69404296"/>
      <w:r>
        <w:rPr>
          <w:b/>
        </w:rPr>
        <w:t xml:space="preserve">the benefits offered under the plan </w:t>
      </w:r>
      <w:r>
        <w:rPr>
          <w:b/>
          <w:u w:val="single"/>
        </w:rPr>
        <w:t>and the plan assets</w:t>
      </w:r>
      <w:r>
        <w:rPr>
          <w:b/>
        </w:rPr>
        <w:t xml:space="preserve"> before the plan amendment, curtailment or settlement</w:t>
      </w:r>
      <w:r>
        <w:rPr>
          <w:b/>
          <w:u w:val="single"/>
        </w:rPr>
        <w:t>; and</w:t>
      </w:r>
      <w:bookmarkEnd w:id="31"/>
    </w:p>
    <w:p w:rsidR="00F83192" w:rsidRDefault="00F83192" w:rsidP="00F83192">
      <w:pPr>
        <w:pStyle w:val="IASBNormalnparaL1"/>
      </w:pPr>
      <w:r>
        <w:rPr>
          <w:b/>
        </w:rPr>
        <w:t>(</w:t>
      </w:r>
      <w:r>
        <w:rPr>
          <w:b/>
          <w:u w:val="single"/>
        </w:rPr>
        <w:t>b</w:t>
      </w:r>
      <w:r>
        <w:rPr>
          <w:b/>
        </w:rPr>
        <w:t>)</w:t>
      </w:r>
      <w:r>
        <w:tab/>
      </w:r>
      <w:bookmarkStart w:id="32" w:name="SL69404297"/>
      <w:r>
        <w:rPr>
          <w:b/>
          <w:u w:val="single"/>
        </w:rPr>
        <w:t>the benefits offered under the plan and the plan assets after the plan amendment, curtailment or settlement</w:t>
      </w:r>
      <w:r>
        <w:rPr>
          <w:b/>
        </w:rPr>
        <w:t>.</w:t>
      </w:r>
      <w:bookmarkEnd w:id="32"/>
    </w:p>
    <w:p w:rsidR="00F83192" w:rsidRDefault="00F83192" w:rsidP="00F83192">
      <w:pPr>
        <w:pStyle w:val="IASBNormalnpara"/>
      </w:pPr>
      <w:r>
        <w:tab/>
      </w:r>
      <w:bookmarkStart w:id="33" w:name="F69404277"/>
      <w:r>
        <w:t>... </w:t>
      </w:r>
      <w:bookmarkEnd w:id="33"/>
    </w:p>
    <w:p w:rsidR="00F83192" w:rsidRDefault="00F83192" w:rsidP="00F83192">
      <w:pPr>
        <w:pStyle w:val="IASBNormalnpara"/>
      </w:pPr>
      <w:r>
        <w:rPr>
          <w:u w:val="single"/>
        </w:rPr>
        <w:t>101A</w:t>
      </w:r>
      <w:r w:rsidRPr="00827997">
        <w:tab/>
      </w:r>
      <w:bookmarkStart w:id="34" w:name="F69404278"/>
      <w:r>
        <w:rPr>
          <w:u w:val="single"/>
        </w:rPr>
        <w:t>When a plan amendment, curtailment or settlement occurs, an entity shall recognise and measure any past service cost, or a gain or loss on settlement, in accordance with paragraphs 99–101 and paragraphs 102–112. In doing so, an entity shall not consider the effect of the asset ceiling. An entity shall then determine the effect of the asset ceiling after the plan amendment, curtailment or settlement and shall recognise any change in that effect in accordance with paragraph 57(d).</w:t>
      </w:r>
      <w:bookmarkEnd w:id="34"/>
    </w:p>
    <w:p w:rsidR="00F83192" w:rsidRDefault="00F83192" w:rsidP="00F83192">
      <w:pPr>
        <w:pStyle w:val="IASBNormalnpara"/>
      </w:pPr>
      <w:r>
        <w:tab/>
      </w:r>
      <w:bookmarkStart w:id="35" w:name="F69404279"/>
      <w:r>
        <w:t>... </w:t>
      </w:r>
      <w:bookmarkEnd w:id="35"/>
    </w:p>
    <w:p w:rsidR="00F83192" w:rsidRDefault="00F83192" w:rsidP="00F83192">
      <w:pPr>
        <w:pStyle w:val="IASBSectionTitle2Ind"/>
      </w:pPr>
      <w:bookmarkStart w:id="36" w:name="F69404461"/>
      <w:r>
        <w:t>Components of defined benefit cost</w:t>
      </w:r>
      <w:bookmarkEnd w:id="36"/>
    </w:p>
    <w:p w:rsidR="00F83192" w:rsidRDefault="00F83192" w:rsidP="00F83192">
      <w:pPr>
        <w:pStyle w:val="IASBNormalnpara"/>
        <w:rPr>
          <w:b/>
        </w:rPr>
      </w:pPr>
      <w:r>
        <w:rPr>
          <w:b/>
        </w:rPr>
        <w:t>120</w:t>
      </w:r>
      <w:r>
        <w:rPr>
          <w:b/>
        </w:rPr>
        <w:tab/>
      </w:r>
      <w:bookmarkStart w:id="37" w:name="F69404282"/>
      <w:r>
        <w:rPr>
          <w:b/>
        </w:rPr>
        <w:t xml:space="preserve">An entity shall recognise the components of defined benefit cost, except to the extent that another </w:t>
      </w:r>
      <w:r w:rsidR="00165B84">
        <w:rPr>
          <w:b/>
        </w:rPr>
        <w:t>Australian Accounting Standard</w:t>
      </w:r>
      <w:r>
        <w:rPr>
          <w:b/>
        </w:rPr>
        <w:t xml:space="preserve"> requires or permits their inclusion in the cost of an asset, as follows:</w:t>
      </w:r>
      <w:bookmarkEnd w:id="37"/>
    </w:p>
    <w:p w:rsidR="00F83192" w:rsidRDefault="00F83192" w:rsidP="00F83192">
      <w:pPr>
        <w:pStyle w:val="IASBNormalnparaL1"/>
      </w:pPr>
      <w:r>
        <w:rPr>
          <w:b/>
        </w:rPr>
        <w:t>(a)</w:t>
      </w:r>
      <w:r>
        <w:tab/>
      </w:r>
      <w:bookmarkStart w:id="38" w:name="SL69404298"/>
      <w:r>
        <w:rPr>
          <w:b/>
        </w:rPr>
        <w:t xml:space="preserve">service cost (see paragraphs 66–112 </w:t>
      </w:r>
      <w:r>
        <w:rPr>
          <w:b/>
          <w:u w:val="single"/>
        </w:rPr>
        <w:t>and paragraph 122A</w:t>
      </w:r>
      <w:r>
        <w:rPr>
          <w:b/>
        </w:rPr>
        <w:t>) in profit or loss;</w:t>
      </w:r>
      <w:bookmarkEnd w:id="38"/>
    </w:p>
    <w:p w:rsidR="00F83192" w:rsidRDefault="00F83192" w:rsidP="00F83192">
      <w:pPr>
        <w:pStyle w:val="IASBNormalnpara"/>
      </w:pPr>
      <w:r>
        <w:tab/>
      </w:r>
      <w:bookmarkStart w:id="39" w:name="F69404287"/>
      <w:r>
        <w:t>... </w:t>
      </w:r>
      <w:bookmarkEnd w:id="39"/>
    </w:p>
    <w:p w:rsidR="00F83192" w:rsidRDefault="00F83192" w:rsidP="00F83192">
      <w:pPr>
        <w:pStyle w:val="IASBSectionTitle3Ind"/>
      </w:pPr>
      <w:bookmarkStart w:id="40" w:name="F69404591"/>
      <w:r>
        <w:rPr>
          <w:u w:val="single"/>
        </w:rPr>
        <w:t>Current service cost</w:t>
      </w:r>
      <w:bookmarkEnd w:id="40"/>
    </w:p>
    <w:p w:rsidR="00F83192" w:rsidRDefault="00F83192" w:rsidP="00F83192">
      <w:pPr>
        <w:pStyle w:val="IASBNormalnpara"/>
        <w:rPr>
          <w:b/>
        </w:rPr>
      </w:pPr>
      <w:r>
        <w:rPr>
          <w:b/>
          <w:u w:val="single"/>
        </w:rPr>
        <w:t>122A</w:t>
      </w:r>
      <w:r w:rsidRPr="00827997">
        <w:rPr>
          <w:b/>
        </w:rPr>
        <w:tab/>
      </w:r>
      <w:bookmarkStart w:id="41" w:name="F69404308"/>
      <w:r>
        <w:rPr>
          <w:b/>
          <w:u w:val="single"/>
        </w:rPr>
        <w:t>An entity shall determine current service cost using actuarial assumptions determined at the start of the annual reporting period. However, if an entity remeasures the net defined benefit liability (asset) in accordance with paragraph 99, it shall determine current service cost for the remainder of the annual reporting period after the plan amendment, curtailment or settlement using the actuarial assumptions used to remeasure the net defined benefit liability (asset) in accordance with paragraph 99(b).</w:t>
      </w:r>
      <w:bookmarkEnd w:id="41"/>
    </w:p>
    <w:p w:rsidR="00F83192" w:rsidRDefault="00F83192" w:rsidP="00F83192">
      <w:pPr>
        <w:pStyle w:val="IASBSectionTitle3Ind"/>
      </w:pPr>
      <w:bookmarkStart w:id="42" w:name="F69404467"/>
      <w:r>
        <w:t>Net interest on the net defined benefit liability (asset)</w:t>
      </w:r>
      <w:bookmarkEnd w:id="42"/>
    </w:p>
    <w:p w:rsidR="00F83192" w:rsidRDefault="00F83192" w:rsidP="00F83192">
      <w:pPr>
        <w:pStyle w:val="IASBNormalnpara"/>
        <w:rPr>
          <w:b/>
        </w:rPr>
      </w:pPr>
      <w:r>
        <w:rPr>
          <w:b/>
        </w:rPr>
        <w:t>123</w:t>
      </w:r>
      <w:r>
        <w:rPr>
          <w:b/>
        </w:rPr>
        <w:tab/>
      </w:r>
      <w:bookmarkStart w:id="43" w:name="F69404311"/>
      <w:r>
        <w:rPr>
          <w:b/>
          <w:u w:val="single"/>
        </w:rPr>
        <w:t>An entity shall determine</w:t>
      </w:r>
      <w:r>
        <w:rPr>
          <w:b/>
        </w:rPr>
        <w:t xml:space="preserve"> </w:t>
      </w:r>
      <w:r>
        <w:rPr>
          <w:b/>
          <w:strike/>
        </w:rPr>
        <w:t>N</w:t>
      </w:r>
      <w:r>
        <w:rPr>
          <w:b/>
          <w:u w:val="single"/>
        </w:rPr>
        <w:t>n</w:t>
      </w:r>
      <w:r>
        <w:rPr>
          <w:b/>
        </w:rPr>
        <w:t xml:space="preserve">et interest on the net defined benefit liability (asset) </w:t>
      </w:r>
      <w:r>
        <w:rPr>
          <w:b/>
          <w:strike/>
        </w:rPr>
        <w:t>shall be determined</w:t>
      </w:r>
      <w:r>
        <w:rPr>
          <w:b/>
        </w:rPr>
        <w:t xml:space="preserve"> by multiplying the net defined benefit liability (asset) by the discount rate specified in paragraph 83</w:t>
      </w:r>
      <w:r>
        <w:rPr>
          <w:b/>
          <w:u w:val="single"/>
        </w:rPr>
        <w:t>.</w:t>
      </w:r>
      <w:r>
        <w:rPr>
          <w:b/>
        </w:rPr>
        <w:t xml:space="preserve"> </w:t>
      </w:r>
      <w:r>
        <w:rPr>
          <w:b/>
          <w:strike/>
        </w:rPr>
        <w:t>, both as determined at the start of the annual reporting period, taking account of any changes in the net defined benefit liability (asset) during the period as a result of contribution and benefit payments.</w:t>
      </w:r>
      <w:bookmarkEnd w:id="43"/>
    </w:p>
    <w:p w:rsidR="00F83192" w:rsidRDefault="00F83192" w:rsidP="00F83192">
      <w:pPr>
        <w:pStyle w:val="IASBNormalnpara"/>
        <w:rPr>
          <w:b/>
        </w:rPr>
      </w:pPr>
      <w:r>
        <w:rPr>
          <w:b/>
          <w:u w:val="single"/>
        </w:rPr>
        <w:t>123A</w:t>
      </w:r>
      <w:r w:rsidRPr="00827997">
        <w:rPr>
          <w:b/>
        </w:rPr>
        <w:tab/>
      </w:r>
      <w:bookmarkStart w:id="44" w:name="F69404313"/>
      <w:r>
        <w:rPr>
          <w:b/>
          <w:u w:val="single"/>
        </w:rPr>
        <w:t>To determine net interest in accordance with paragraph 123, an entity shall use the net defined benefit liability (asset) and the discount rate determined at the start of the annual reporting period. However, if an entity remeasures the net defined benefit liability (asset) in accordance with paragraph 99, the entity shall determine net interest for the remainder of the annual reporting period after the plan amendment, curtailment or settlement using:</w:t>
      </w:r>
      <w:bookmarkEnd w:id="44"/>
    </w:p>
    <w:p w:rsidR="00F83192" w:rsidRDefault="00F83192" w:rsidP="00F83192">
      <w:pPr>
        <w:pStyle w:val="IASBNormalnparaL1"/>
      </w:pPr>
      <w:r>
        <w:rPr>
          <w:b/>
        </w:rPr>
        <w:t>(</w:t>
      </w:r>
      <w:r>
        <w:rPr>
          <w:b/>
          <w:u w:val="single"/>
        </w:rPr>
        <w:t>a</w:t>
      </w:r>
      <w:r>
        <w:rPr>
          <w:b/>
        </w:rPr>
        <w:t>)</w:t>
      </w:r>
      <w:r>
        <w:tab/>
      </w:r>
      <w:bookmarkStart w:id="45" w:name="SL69404410"/>
      <w:r>
        <w:rPr>
          <w:b/>
          <w:u w:val="single"/>
        </w:rPr>
        <w:t>the net defined benefit liability (asset) determined in accordance with paragraph 99(b); and</w:t>
      </w:r>
      <w:bookmarkEnd w:id="45"/>
    </w:p>
    <w:p w:rsidR="00F83192" w:rsidRDefault="00F83192" w:rsidP="00F83192">
      <w:pPr>
        <w:pStyle w:val="IASBNormalnparaL1"/>
      </w:pPr>
      <w:r>
        <w:rPr>
          <w:b/>
        </w:rPr>
        <w:t>(</w:t>
      </w:r>
      <w:r>
        <w:rPr>
          <w:b/>
          <w:u w:val="single"/>
        </w:rPr>
        <w:t>b</w:t>
      </w:r>
      <w:r>
        <w:rPr>
          <w:b/>
        </w:rPr>
        <w:t>)</w:t>
      </w:r>
      <w:r>
        <w:tab/>
      </w:r>
      <w:bookmarkStart w:id="46" w:name="SL69404411"/>
      <w:r>
        <w:rPr>
          <w:b/>
          <w:u w:val="single"/>
        </w:rPr>
        <w:t>the discount rate used to remeasure the net defined benefit liability (asset) in accordance with paragraph 99(b).</w:t>
      </w:r>
      <w:bookmarkEnd w:id="46"/>
    </w:p>
    <w:p w:rsidR="00F83192" w:rsidRDefault="00F83192" w:rsidP="00F83192">
      <w:pPr>
        <w:pStyle w:val="IASBNormalnparaP"/>
      </w:pPr>
      <w:bookmarkStart w:id="47" w:name="F69404318"/>
      <w:r>
        <w:rPr>
          <w:b/>
          <w:u w:val="single"/>
        </w:rPr>
        <w:t>In applying paragraph 123A, the entity shall also take into account any changes in the net defined benefit liability (asset) during the period resulting from contributions or benefit payments.</w:t>
      </w:r>
      <w:bookmarkEnd w:id="47"/>
    </w:p>
    <w:p w:rsidR="00F83192" w:rsidRDefault="00F83192" w:rsidP="00F83192">
      <w:pPr>
        <w:pStyle w:val="IASBNormalnparaP"/>
      </w:pPr>
      <w:bookmarkStart w:id="48" w:name="F69404319"/>
      <w:r>
        <w:t>... </w:t>
      </w:r>
      <w:bookmarkEnd w:id="48"/>
    </w:p>
    <w:p w:rsidR="00F83192" w:rsidRDefault="00F83192" w:rsidP="00F83192">
      <w:pPr>
        <w:pStyle w:val="IASBNormalnpara"/>
      </w:pPr>
      <w:r>
        <w:t>125</w:t>
      </w:r>
      <w:r>
        <w:tab/>
      </w:r>
      <w:bookmarkStart w:id="49" w:name="F69404323"/>
      <w:r>
        <w:t xml:space="preserve">Interest income on plan assets is a component of the return on plan assets, and is determined by multiplying the fair value of the plan assets by the discount rate specified in paragraph </w:t>
      </w:r>
      <w:r>
        <w:rPr>
          <w:u w:val="single"/>
        </w:rPr>
        <w:t>123A.</w:t>
      </w:r>
      <w:r>
        <w:t xml:space="preserve"> </w:t>
      </w:r>
      <w:r>
        <w:rPr>
          <w:strike/>
        </w:rPr>
        <w:t>83, both as determined</w:t>
      </w:r>
      <w:r>
        <w:t xml:space="preserve"> </w:t>
      </w:r>
      <w:r>
        <w:rPr>
          <w:u w:val="single"/>
        </w:rPr>
        <w:t>An entity shall determine the fair value of the plan assets</w:t>
      </w:r>
      <w:r>
        <w:t xml:space="preserve"> at the start of the annual reporting period</w:t>
      </w:r>
      <w:r>
        <w:rPr>
          <w:strike/>
        </w:rPr>
        <w:t>, taking account of any changes in the plan assets held during the period as a result of contributions and benefit payments</w:t>
      </w:r>
      <w:r>
        <w:t xml:space="preserve">. </w:t>
      </w:r>
      <w:r>
        <w:rPr>
          <w:u w:val="single"/>
        </w:rPr>
        <w:t>However, if an entity remeasures the net defined benefit liability (asset) in accordance with paragraph 99, the entity shall determine interest income for the remainder of the annual reporting period after the plan amendment, curtailment or settlement using the plan assets used to remeasure the net defined benefit liability (asset) in accordance with paragraph 99(b). In applying paragraph 125, the entity shall also take into account any changes in the plan assets held during the period resulting from contributions or benefit payments.</w:t>
      </w:r>
      <w:r>
        <w:t xml:space="preserve"> The difference between the interest income on plan assets and the return on plan assets is included in the remeasurement of the net defined benefit liability (asset).</w:t>
      </w:r>
      <w:bookmarkEnd w:id="49"/>
    </w:p>
    <w:p w:rsidR="00F83192" w:rsidRDefault="00F83192" w:rsidP="00F83192">
      <w:pPr>
        <w:pStyle w:val="IASBNormalnpara"/>
      </w:pPr>
      <w:r>
        <w:t>126</w:t>
      </w:r>
      <w:r>
        <w:tab/>
      </w:r>
      <w:bookmarkStart w:id="50" w:name="F69404324"/>
      <w:r>
        <w:t xml:space="preserve">Interest on the effect of the asset ceiling is part of the total change in the effect of the asset ceiling, and is determined by multiplying the effect of the asset ceiling by the discount rate specified in paragraph </w:t>
      </w:r>
      <w:r>
        <w:rPr>
          <w:u w:val="single"/>
        </w:rPr>
        <w:t>123A.</w:t>
      </w:r>
      <w:r>
        <w:t xml:space="preserve"> </w:t>
      </w:r>
      <w:r>
        <w:rPr>
          <w:strike/>
        </w:rPr>
        <w:t>83, both as determined at the start of the annual reporting period.</w:t>
      </w:r>
      <w:r>
        <w:t xml:space="preserve"> </w:t>
      </w:r>
      <w:r>
        <w:rPr>
          <w:u w:val="single"/>
        </w:rPr>
        <w:t>An entity shall determine the effect of the asset ceiling at the start of the annual reporting period. However, if an entity remeasures the net defined benefit liability (asset) in accordance with paragraph 99, the entity shall determine interest on the effect of the asset ceiling for the remainder of the annual reporting period after the plan amendment, curtailment or settlement taking into account any change in the effect of the asset ceiling determined in accordance with paragraph 101A.</w:t>
      </w:r>
      <w:r>
        <w:t xml:space="preserve"> The difference between </w:t>
      </w:r>
      <w:r>
        <w:rPr>
          <w:strike/>
        </w:rPr>
        <w:t>that amount</w:t>
      </w:r>
      <w:r>
        <w:t xml:space="preserve"> </w:t>
      </w:r>
      <w:r>
        <w:rPr>
          <w:u w:val="single"/>
        </w:rPr>
        <w:t>interest on the effect of the asset ceiling</w:t>
      </w:r>
      <w:r>
        <w:t xml:space="preserve"> and the total change in the effect of the asset ceiling is included in the remeasurement of the net defined benefit liability (asset).</w:t>
      </w:r>
      <w:bookmarkEnd w:id="50"/>
    </w:p>
    <w:p w:rsidR="00F83192" w:rsidRDefault="00F83192" w:rsidP="00F83192">
      <w:pPr>
        <w:pStyle w:val="IASBNormalnpara"/>
      </w:pPr>
      <w:r>
        <w:tab/>
      </w:r>
      <w:bookmarkStart w:id="51" w:name="F69404341"/>
      <w:r>
        <w:t>... </w:t>
      </w:r>
      <w:bookmarkEnd w:id="51"/>
    </w:p>
    <w:p w:rsidR="00F83192" w:rsidRDefault="00F83192" w:rsidP="00F83192">
      <w:pPr>
        <w:pStyle w:val="IASBSectionTitle1NonInd"/>
      </w:pPr>
      <w:bookmarkStart w:id="52" w:name="F69411776"/>
      <w:r>
        <w:t>Other long-term employee benefits</w:t>
      </w:r>
      <w:bookmarkEnd w:id="52"/>
    </w:p>
    <w:p w:rsidR="00F83192" w:rsidRDefault="00F83192" w:rsidP="00F83192">
      <w:pPr>
        <w:pStyle w:val="IASBNormalnpara"/>
      </w:pPr>
      <w:r>
        <w:tab/>
      </w:r>
      <w:bookmarkStart w:id="53" w:name="F69411777"/>
      <w:r>
        <w:t>... </w:t>
      </w:r>
      <w:bookmarkEnd w:id="53"/>
    </w:p>
    <w:p w:rsidR="00F83192" w:rsidRDefault="00F83192" w:rsidP="00F83192">
      <w:pPr>
        <w:pStyle w:val="IASBSectionTitle2Ind"/>
      </w:pPr>
      <w:bookmarkStart w:id="54" w:name="F69411779"/>
      <w:r>
        <w:t>Recognition and measurement</w:t>
      </w:r>
      <w:bookmarkEnd w:id="54"/>
    </w:p>
    <w:p w:rsidR="00F83192" w:rsidRDefault="00F83192" w:rsidP="00F83192">
      <w:pPr>
        <w:pStyle w:val="IASBNormalnpara"/>
      </w:pPr>
      <w:r>
        <w:tab/>
      </w:r>
      <w:bookmarkStart w:id="55" w:name="F69411780"/>
      <w:r>
        <w:t>... </w:t>
      </w:r>
      <w:bookmarkEnd w:id="55"/>
    </w:p>
    <w:p w:rsidR="00F83192" w:rsidRDefault="00F83192" w:rsidP="00F83192">
      <w:pPr>
        <w:pStyle w:val="IASBNormalnpara"/>
        <w:rPr>
          <w:b/>
        </w:rPr>
      </w:pPr>
      <w:r>
        <w:rPr>
          <w:b/>
        </w:rPr>
        <w:t>156</w:t>
      </w:r>
      <w:r>
        <w:rPr>
          <w:b/>
        </w:rPr>
        <w:tab/>
      </w:r>
      <w:bookmarkStart w:id="56" w:name="F69411781"/>
      <w:r>
        <w:rPr>
          <w:b/>
        </w:rPr>
        <w:t xml:space="preserve">For other long-term employee benefits, an entity shall recognise the net total of the following amounts in profit or loss, except to the extent that another </w:t>
      </w:r>
      <w:r w:rsidR="00165B84">
        <w:rPr>
          <w:b/>
        </w:rPr>
        <w:t>Australian Accounting Standard</w:t>
      </w:r>
      <w:r>
        <w:rPr>
          <w:b/>
        </w:rPr>
        <w:t xml:space="preserve"> requires or permits their inclusion in the cost of an asset:</w:t>
      </w:r>
      <w:bookmarkEnd w:id="56"/>
    </w:p>
    <w:p w:rsidR="00F83192" w:rsidRDefault="00F83192" w:rsidP="00F83192">
      <w:pPr>
        <w:pStyle w:val="IASBNormalnparaL1"/>
      </w:pPr>
      <w:r>
        <w:rPr>
          <w:b/>
        </w:rPr>
        <w:t>(a)</w:t>
      </w:r>
      <w:r>
        <w:tab/>
      </w:r>
      <w:bookmarkStart w:id="57" w:name="SL69411792"/>
      <w:r>
        <w:rPr>
          <w:b/>
        </w:rPr>
        <w:t xml:space="preserve">service cost (see paragraphs 66–112 </w:t>
      </w:r>
      <w:r>
        <w:rPr>
          <w:b/>
          <w:u w:val="single"/>
        </w:rPr>
        <w:t>and paragraph 122A</w:t>
      </w:r>
      <w:r>
        <w:rPr>
          <w:b/>
        </w:rPr>
        <w:t>);</w:t>
      </w:r>
      <w:bookmarkEnd w:id="57"/>
    </w:p>
    <w:p w:rsidR="00F83192" w:rsidRDefault="00F83192" w:rsidP="00F83192">
      <w:pPr>
        <w:pStyle w:val="IASBNormalnpara"/>
      </w:pPr>
      <w:r>
        <w:tab/>
      </w:r>
      <w:bookmarkStart w:id="58" w:name="F69411784"/>
      <w:r>
        <w:rPr>
          <w:b/>
        </w:rPr>
        <w:t>... </w:t>
      </w:r>
      <w:bookmarkEnd w:id="58"/>
    </w:p>
    <w:p w:rsidR="00F83192" w:rsidRDefault="00F83192" w:rsidP="00F83192">
      <w:pPr>
        <w:pStyle w:val="IASBSectionTitle1NonInd"/>
      </w:pPr>
      <w:bookmarkStart w:id="59" w:name="F69404339"/>
      <w:r>
        <w:t>Transition and effective date</w:t>
      </w:r>
      <w:bookmarkEnd w:id="59"/>
    </w:p>
    <w:p w:rsidR="00F83192" w:rsidRDefault="00F83192" w:rsidP="00F83192">
      <w:pPr>
        <w:pStyle w:val="IASBNormalnpara"/>
      </w:pPr>
      <w:r>
        <w:tab/>
      </w:r>
      <w:bookmarkStart w:id="60" w:name="F69404340"/>
      <w:r>
        <w:t>... </w:t>
      </w:r>
      <w:bookmarkEnd w:id="60"/>
    </w:p>
    <w:p w:rsidR="00F83192" w:rsidRDefault="00F83192" w:rsidP="00F83192">
      <w:pPr>
        <w:pStyle w:val="IASBNormalnpara"/>
      </w:pPr>
      <w:r>
        <w:rPr>
          <w:u w:val="single"/>
        </w:rPr>
        <w:t>179</w:t>
      </w:r>
      <w:r w:rsidRPr="00827997">
        <w:tab/>
      </w:r>
      <w:bookmarkStart w:id="61" w:name="F69404342"/>
      <w:r w:rsidR="00165B84" w:rsidRPr="00165B84">
        <w:rPr>
          <w:u w:val="single"/>
        </w:rPr>
        <w:t>AASB 2018-</w:t>
      </w:r>
      <w:r w:rsidR="00A43AD6">
        <w:rPr>
          <w:u w:val="single"/>
        </w:rPr>
        <w:t>2</w:t>
      </w:r>
      <w:r w:rsidR="00165B84" w:rsidRPr="00165B84">
        <w:rPr>
          <w:u w:val="single"/>
        </w:rPr>
        <w:t xml:space="preserve"> </w:t>
      </w:r>
      <w:r w:rsidR="00165B84" w:rsidRPr="00165B84">
        <w:rPr>
          <w:i/>
          <w:u w:val="single"/>
        </w:rPr>
        <w:t>Amendments</w:t>
      </w:r>
      <w:r w:rsidR="00165B84">
        <w:rPr>
          <w:i/>
          <w:u w:val="single"/>
        </w:rPr>
        <w:t xml:space="preserve"> to Australian Accounting Standards – P</w:t>
      </w:r>
      <w:r>
        <w:rPr>
          <w:i/>
          <w:u w:val="single"/>
        </w:rPr>
        <w:t>lan Amendment, Curtailment or Settlement</w:t>
      </w:r>
      <w:r>
        <w:rPr>
          <w:u w:val="single"/>
        </w:rPr>
        <w:t xml:space="preserve">, issued in </w:t>
      </w:r>
      <w:r w:rsidR="00DA127A">
        <w:rPr>
          <w:u w:val="single"/>
        </w:rPr>
        <w:t>March</w:t>
      </w:r>
      <w:r>
        <w:rPr>
          <w:u w:val="single"/>
        </w:rPr>
        <w:t xml:space="preserve"> 2018, added paragraphs 101A, 122A and 123A, and amended paragraphs 57, 99, 120, 123, 125, 126 and 156. An entity shall apply these amendments to plan amendments, curtailments or settlements occurring on or after the beginning of the first annual reporting period that begins on or after 1</w:t>
      </w:r>
      <w:r w:rsidR="00165B84">
        <w:rPr>
          <w:u w:val="single"/>
        </w:rPr>
        <w:t> </w:t>
      </w:r>
      <w:r>
        <w:rPr>
          <w:u w:val="single"/>
        </w:rPr>
        <w:t>January 2019. Earlier application is permitted. If an entity applies these amendments earlier, it shall disclose that fact.</w:t>
      </w:r>
      <w:bookmarkEnd w:id="61"/>
    </w:p>
    <w:p w:rsidR="00787A76" w:rsidRDefault="00787A76">
      <w:pPr>
        <w:pStyle w:val="Heading2"/>
      </w:pPr>
      <w:r>
        <w:t>Commencement of the legislative instrument</w:t>
      </w:r>
    </w:p>
    <w:p w:rsidR="00787A76" w:rsidRPr="0000292B" w:rsidRDefault="00787A76" w:rsidP="000812F8">
      <w:pPr>
        <w:pStyle w:val="NoNumPlain1"/>
      </w:pPr>
      <w:r>
        <w:t xml:space="preserve">For legal purposes, this legislative instrument commences on </w:t>
      </w:r>
      <w:bookmarkStart w:id="62" w:name="CommenceDate"/>
      <w:r>
        <w:t>31 December 2018</w:t>
      </w:r>
      <w:bookmarkEnd w:id="62"/>
      <w:r>
        <w:t>.</w:t>
      </w:r>
    </w:p>
    <w:sectPr w:rsidR="00787A76" w:rsidRPr="0000292B" w:rsidSect="00D74C6A">
      <w:headerReference w:type="default" r:id="rId18"/>
      <w:footerReference w:type="default" r:id="rId19"/>
      <w:headerReference w:type="first" r:id="rId20"/>
      <w:footerReference w:type="first" r:id="rId21"/>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76" w:rsidRDefault="00787A76">
      <w:r>
        <w:separator/>
      </w:r>
    </w:p>
  </w:endnote>
  <w:endnote w:type="continuationSeparator" w:id="0">
    <w:p w:rsidR="00787A76" w:rsidRDefault="007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6B6AEE">
      <w:rPr>
        <w:b/>
      </w:rPr>
      <w:t> </w:t>
    </w:r>
    <w:r>
      <w:rPr>
        <w:b/>
      </w:rPr>
      <w:fldChar w:fldCharType="begin" w:fldLock="1"/>
    </w:r>
    <w:r>
      <w:rPr>
        <w:b/>
      </w:rPr>
      <w:instrText xml:space="preserve"> REF DocNo  \* charformat </w:instrText>
    </w:r>
    <w:r>
      <w:rPr>
        <w:b/>
      </w:rPr>
      <w:fldChar w:fldCharType="separate"/>
    </w:r>
    <w:r w:rsidR="00A43AD6" w:rsidRPr="00A43AD6">
      <w:rPr>
        <w:b/>
      </w:rPr>
      <w:t>2018-2</w:t>
    </w:r>
    <w:r>
      <w:rPr>
        <w:b/>
      </w:rPr>
      <w:fldChar w:fldCharType="end"/>
    </w:r>
    <w:r>
      <w:rPr>
        <w:b/>
      </w:rPr>
      <w:tab/>
    </w:r>
    <w:r>
      <w:fldChar w:fldCharType="begin"/>
    </w:r>
    <w:r>
      <w:instrText>PAGE</w:instrText>
    </w:r>
    <w:r>
      <w:fldChar w:fldCharType="separate"/>
    </w:r>
    <w:r w:rsidR="000A7B4B">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6B6AEE">
      <w:rPr>
        <w:b/>
      </w:rPr>
      <w:t> </w:t>
    </w:r>
    <w:r>
      <w:rPr>
        <w:b/>
      </w:rPr>
      <w:fldChar w:fldCharType="begin" w:fldLock="1"/>
    </w:r>
    <w:r>
      <w:rPr>
        <w:b/>
      </w:rPr>
      <w:instrText xml:space="preserve"> REF DocNo  \* charformat </w:instrText>
    </w:r>
    <w:r>
      <w:rPr>
        <w:b/>
      </w:rPr>
      <w:fldChar w:fldCharType="separate"/>
    </w:r>
    <w:r w:rsidR="00A43AD6" w:rsidRPr="00A43AD6">
      <w:rPr>
        <w:b/>
      </w:rPr>
      <w:t>2018-2</w:t>
    </w:r>
    <w:r>
      <w:rPr>
        <w:b/>
      </w:rPr>
      <w:fldChar w:fldCharType="end"/>
    </w:r>
    <w:r>
      <w:rPr>
        <w:b/>
      </w:rPr>
      <w:tab/>
    </w:r>
    <w:r>
      <w:fldChar w:fldCharType="begin"/>
    </w:r>
    <w:r>
      <w:instrText>PAGE</w:instrText>
    </w:r>
    <w:r>
      <w:fldChar w:fldCharType="separate"/>
    </w:r>
    <w:r w:rsidR="000A7B4B">
      <w:rPr>
        <w:noProof/>
      </w:rPr>
      <w:t>3</w:t>
    </w:r>
    <w:r>
      <w:fldChar w:fldCharType="end"/>
    </w:r>
    <w:r>
      <w:tab/>
    </w:r>
    <w:r>
      <w:rPr>
        <w:b/>
        <w:bCs/>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6B6AEE">
      <w:rPr>
        <w:b/>
      </w:rPr>
      <w:t> </w:t>
    </w:r>
    <w:r>
      <w:rPr>
        <w:b/>
      </w:rPr>
      <w:fldChar w:fldCharType="begin" w:fldLock="1"/>
    </w:r>
    <w:r>
      <w:rPr>
        <w:b/>
      </w:rPr>
      <w:instrText xml:space="preserve"> REF DocNo  \* charformat </w:instrText>
    </w:r>
    <w:r>
      <w:rPr>
        <w:b/>
      </w:rPr>
      <w:fldChar w:fldCharType="separate"/>
    </w:r>
    <w:r w:rsidR="00A43AD6" w:rsidRPr="00A43AD6">
      <w:rPr>
        <w:b/>
      </w:rPr>
      <w:t>2018-2</w:t>
    </w:r>
    <w:r>
      <w:rPr>
        <w:b/>
      </w:rPr>
      <w:fldChar w:fldCharType="end"/>
    </w:r>
    <w:r>
      <w:rPr>
        <w:b/>
      </w:rPr>
      <w:tab/>
    </w:r>
    <w:r>
      <w:fldChar w:fldCharType="begin"/>
    </w:r>
    <w:r>
      <w:instrText>PAGE</w:instrText>
    </w:r>
    <w:r>
      <w:fldChar w:fldCharType="separate"/>
    </w:r>
    <w:r w:rsidR="000A7B4B">
      <w:rPr>
        <w:noProof/>
      </w:rPr>
      <w:t>4</w:t>
    </w:r>
    <w:r>
      <w:fldChar w:fldCharType="end"/>
    </w:r>
    <w:r>
      <w:tab/>
    </w:r>
    <w:r>
      <w:rPr>
        <w:b/>
        <w:bCs/>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6B6AEE">
      <w:rPr>
        <w:b/>
      </w:rPr>
      <w:t> </w:t>
    </w:r>
    <w:r>
      <w:rPr>
        <w:b/>
      </w:rPr>
      <w:fldChar w:fldCharType="begin" w:fldLock="1"/>
    </w:r>
    <w:r>
      <w:rPr>
        <w:b/>
      </w:rPr>
      <w:instrText xml:space="preserve"> REF DocNo  \* charformat </w:instrText>
    </w:r>
    <w:r>
      <w:rPr>
        <w:b/>
      </w:rPr>
      <w:fldChar w:fldCharType="separate"/>
    </w:r>
    <w:r w:rsidR="00A43AD6" w:rsidRPr="00A43AD6">
      <w:rPr>
        <w:b/>
      </w:rPr>
      <w:t>2018-2</w:t>
    </w:r>
    <w:r>
      <w:rPr>
        <w:b/>
      </w:rPr>
      <w:fldChar w:fldCharType="end"/>
    </w:r>
    <w:r>
      <w:rPr>
        <w:b/>
      </w:rPr>
      <w:tab/>
    </w:r>
    <w:r>
      <w:fldChar w:fldCharType="begin"/>
    </w:r>
    <w:r>
      <w:instrText>PAGE</w:instrText>
    </w:r>
    <w:r>
      <w:fldChar w:fldCharType="separate"/>
    </w:r>
    <w:r w:rsidR="000A7B4B">
      <w:rPr>
        <w:noProof/>
      </w:rPr>
      <w:t>7</w:t>
    </w:r>
    <w:r>
      <w:fldChar w:fldCharType="end"/>
    </w:r>
    <w:r>
      <w:tab/>
    </w:r>
    <w:r>
      <w:rPr>
        <w:b/>
        <w:bCs/>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76" w:rsidRDefault="00787A76">
      <w:r>
        <w:separator/>
      </w:r>
    </w:p>
  </w:footnote>
  <w:footnote w:type="continuationSeparator" w:id="0">
    <w:p w:rsidR="00787A76" w:rsidRDefault="0078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D6" w:rsidRDefault="00A43A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74BCD492"/>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096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76"/>
    <w:rsid w:val="0000292B"/>
    <w:rsid w:val="00027E8B"/>
    <w:rsid w:val="0004455B"/>
    <w:rsid w:val="000625F2"/>
    <w:rsid w:val="00074133"/>
    <w:rsid w:val="000812F8"/>
    <w:rsid w:val="0008574E"/>
    <w:rsid w:val="00086C20"/>
    <w:rsid w:val="00090A6F"/>
    <w:rsid w:val="00096027"/>
    <w:rsid w:val="000A7B4B"/>
    <w:rsid w:val="000B733C"/>
    <w:rsid w:val="000C3EB0"/>
    <w:rsid w:val="000D7B40"/>
    <w:rsid w:val="000F006F"/>
    <w:rsid w:val="000F64CC"/>
    <w:rsid w:val="00110B96"/>
    <w:rsid w:val="001162C5"/>
    <w:rsid w:val="001206CF"/>
    <w:rsid w:val="001271C5"/>
    <w:rsid w:val="00165B84"/>
    <w:rsid w:val="001662B8"/>
    <w:rsid w:val="00171F51"/>
    <w:rsid w:val="001761C6"/>
    <w:rsid w:val="0017780E"/>
    <w:rsid w:val="001864D4"/>
    <w:rsid w:val="0019286F"/>
    <w:rsid w:val="001B33A5"/>
    <w:rsid w:val="001C225F"/>
    <w:rsid w:val="001F78DF"/>
    <w:rsid w:val="0022022E"/>
    <w:rsid w:val="00254B16"/>
    <w:rsid w:val="00276BC5"/>
    <w:rsid w:val="0028086D"/>
    <w:rsid w:val="00283482"/>
    <w:rsid w:val="0029647E"/>
    <w:rsid w:val="002A201D"/>
    <w:rsid w:val="002B7803"/>
    <w:rsid w:val="002B7D12"/>
    <w:rsid w:val="002F01D7"/>
    <w:rsid w:val="002F1CD0"/>
    <w:rsid w:val="0030794A"/>
    <w:rsid w:val="00307F26"/>
    <w:rsid w:val="003251D8"/>
    <w:rsid w:val="0033581C"/>
    <w:rsid w:val="00364B30"/>
    <w:rsid w:val="00367DC9"/>
    <w:rsid w:val="00371246"/>
    <w:rsid w:val="00377B8D"/>
    <w:rsid w:val="00382796"/>
    <w:rsid w:val="0039009E"/>
    <w:rsid w:val="003A488F"/>
    <w:rsid w:val="003B0CAA"/>
    <w:rsid w:val="003B0E71"/>
    <w:rsid w:val="003B6633"/>
    <w:rsid w:val="003D1DD4"/>
    <w:rsid w:val="003E0A68"/>
    <w:rsid w:val="003E1900"/>
    <w:rsid w:val="003E5E1B"/>
    <w:rsid w:val="00401ECA"/>
    <w:rsid w:val="00407AD3"/>
    <w:rsid w:val="004150BD"/>
    <w:rsid w:val="00422E4D"/>
    <w:rsid w:val="00426876"/>
    <w:rsid w:val="00434D86"/>
    <w:rsid w:val="00436A2D"/>
    <w:rsid w:val="0044702C"/>
    <w:rsid w:val="0045013A"/>
    <w:rsid w:val="00453E5B"/>
    <w:rsid w:val="00460FBB"/>
    <w:rsid w:val="00470CE9"/>
    <w:rsid w:val="0047683E"/>
    <w:rsid w:val="0048155F"/>
    <w:rsid w:val="00487CF6"/>
    <w:rsid w:val="004961F8"/>
    <w:rsid w:val="004A417F"/>
    <w:rsid w:val="004B038C"/>
    <w:rsid w:val="004B1E4A"/>
    <w:rsid w:val="004B736C"/>
    <w:rsid w:val="004C1FD8"/>
    <w:rsid w:val="004C5BDE"/>
    <w:rsid w:val="004D23D4"/>
    <w:rsid w:val="004D3809"/>
    <w:rsid w:val="004D4D1C"/>
    <w:rsid w:val="004F1198"/>
    <w:rsid w:val="004F55FE"/>
    <w:rsid w:val="00500E80"/>
    <w:rsid w:val="00511C34"/>
    <w:rsid w:val="005166B2"/>
    <w:rsid w:val="00532527"/>
    <w:rsid w:val="0053452C"/>
    <w:rsid w:val="00535EC5"/>
    <w:rsid w:val="0056274D"/>
    <w:rsid w:val="005655CE"/>
    <w:rsid w:val="00577065"/>
    <w:rsid w:val="0058004D"/>
    <w:rsid w:val="00580BC4"/>
    <w:rsid w:val="00590051"/>
    <w:rsid w:val="005A2514"/>
    <w:rsid w:val="005A6AC7"/>
    <w:rsid w:val="005B146F"/>
    <w:rsid w:val="005E6BE4"/>
    <w:rsid w:val="00602261"/>
    <w:rsid w:val="00640934"/>
    <w:rsid w:val="00641282"/>
    <w:rsid w:val="00650009"/>
    <w:rsid w:val="00652DF8"/>
    <w:rsid w:val="0067625E"/>
    <w:rsid w:val="00694562"/>
    <w:rsid w:val="006A3AE9"/>
    <w:rsid w:val="006A40E5"/>
    <w:rsid w:val="006B0CD6"/>
    <w:rsid w:val="006B6AEE"/>
    <w:rsid w:val="006B7561"/>
    <w:rsid w:val="006C2E37"/>
    <w:rsid w:val="006D055E"/>
    <w:rsid w:val="006D134A"/>
    <w:rsid w:val="006D4700"/>
    <w:rsid w:val="006D7679"/>
    <w:rsid w:val="006E2C39"/>
    <w:rsid w:val="00714340"/>
    <w:rsid w:val="007219F7"/>
    <w:rsid w:val="007333C2"/>
    <w:rsid w:val="00737714"/>
    <w:rsid w:val="00742E4B"/>
    <w:rsid w:val="007455F0"/>
    <w:rsid w:val="00751F6A"/>
    <w:rsid w:val="007554ED"/>
    <w:rsid w:val="00755E40"/>
    <w:rsid w:val="00756FF6"/>
    <w:rsid w:val="00757ACD"/>
    <w:rsid w:val="0076127E"/>
    <w:rsid w:val="0078116B"/>
    <w:rsid w:val="00787A76"/>
    <w:rsid w:val="007A333B"/>
    <w:rsid w:val="007A6BC3"/>
    <w:rsid w:val="007F1D3D"/>
    <w:rsid w:val="00812637"/>
    <w:rsid w:val="00813227"/>
    <w:rsid w:val="00820794"/>
    <w:rsid w:val="00831497"/>
    <w:rsid w:val="008459E8"/>
    <w:rsid w:val="00864ADE"/>
    <w:rsid w:val="00867FB0"/>
    <w:rsid w:val="00871A12"/>
    <w:rsid w:val="00881BBE"/>
    <w:rsid w:val="00895809"/>
    <w:rsid w:val="008A16EB"/>
    <w:rsid w:val="008A6182"/>
    <w:rsid w:val="008B1D94"/>
    <w:rsid w:val="008B4C8D"/>
    <w:rsid w:val="008B643A"/>
    <w:rsid w:val="008B7D1C"/>
    <w:rsid w:val="008C1C4A"/>
    <w:rsid w:val="008C60B1"/>
    <w:rsid w:val="008C6BD0"/>
    <w:rsid w:val="008D2EBD"/>
    <w:rsid w:val="008F0A81"/>
    <w:rsid w:val="008F3EBA"/>
    <w:rsid w:val="008F4AC5"/>
    <w:rsid w:val="008F5963"/>
    <w:rsid w:val="0090152F"/>
    <w:rsid w:val="00923261"/>
    <w:rsid w:val="009256B7"/>
    <w:rsid w:val="009322BF"/>
    <w:rsid w:val="00970C7A"/>
    <w:rsid w:val="009721DB"/>
    <w:rsid w:val="00972BFA"/>
    <w:rsid w:val="0097665F"/>
    <w:rsid w:val="009965BA"/>
    <w:rsid w:val="009B6535"/>
    <w:rsid w:val="009C2479"/>
    <w:rsid w:val="009C78F6"/>
    <w:rsid w:val="009D06F8"/>
    <w:rsid w:val="009D19F1"/>
    <w:rsid w:val="009D73F1"/>
    <w:rsid w:val="009E3082"/>
    <w:rsid w:val="00A005DF"/>
    <w:rsid w:val="00A05041"/>
    <w:rsid w:val="00A13F82"/>
    <w:rsid w:val="00A16664"/>
    <w:rsid w:val="00A22E0D"/>
    <w:rsid w:val="00A41ED3"/>
    <w:rsid w:val="00A43AD6"/>
    <w:rsid w:val="00A47FA2"/>
    <w:rsid w:val="00A51A7E"/>
    <w:rsid w:val="00A55F4F"/>
    <w:rsid w:val="00A748BA"/>
    <w:rsid w:val="00A83862"/>
    <w:rsid w:val="00A8486C"/>
    <w:rsid w:val="00A96702"/>
    <w:rsid w:val="00A973FB"/>
    <w:rsid w:val="00A97EB2"/>
    <w:rsid w:val="00AA14A9"/>
    <w:rsid w:val="00AB3E27"/>
    <w:rsid w:val="00AB780A"/>
    <w:rsid w:val="00AC4315"/>
    <w:rsid w:val="00AC5C63"/>
    <w:rsid w:val="00AD1E99"/>
    <w:rsid w:val="00AD42DA"/>
    <w:rsid w:val="00AF61B8"/>
    <w:rsid w:val="00B110AD"/>
    <w:rsid w:val="00B16904"/>
    <w:rsid w:val="00B271BA"/>
    <w:rsid w:val="00B3429E"/>
    <w:rsid w:val="00B50877"/>
    <w:rsid w:val="00B74237"/>
    <w:rsid w:val="00B82F15"/>
    <w:rsid w:val="00BA3AB4"/>
    <w:rsid w:val="00BA4622"/>
    <w:rsid w:val="00BB4C9F"/>
    <w:rsid w:val="00BC0794"/>
    <w:rsid w:val="00BC0D5D"/>
    <w:rsid w:val="00BE2F68"/>
    <w:rsid w:val="00BE38FC"/>
    <w:rsid w:val="00C03C7B"/>
    <w:rsid w:val="00C3493B"/>
    <w:rsid w:val="00C37458"/>
    <w:rsid w:val="00C438DD"/>
    <w:rsid w:val="00C43CD1"/>
    <w:rsid w:val="00C45020"/>
    <w:rsid w:val="00C5022C"/>
    <w:rsid w:val="00C552FD"/>
    <w:rsid w:val="00C63573"/>
    <w:rsid w:val="00C76D7C"/>
    <w:rsid w:val="00C95D8A"/>
    <w:rsid w:val="00CA61C5"/>
    <w:rsid w:val="00CB719A"/>
    <w:rsid w:val="00CC1DF4"/>
    <w:rsid w:val="00CC6FCD"/>
    <w:rsid w:val="00CD5D1C"/>
    <w:rsid w:val="00CE2F8C"/>
    <w:rsid w:val="00CE70C1"/>
    <w:rsid w:val="00CF08E5"/>
    <w:rsid w:val="00CF75CA"/>
    <w:rsid w:val="00CF7B67"/>
    <w:rsid w:val="00D00FD5"/>
    <w:rsid w:val="00D52086"/>
    <w:rsid w:val="00D54F5C"/>
    <w:rsid w:val="00D67336"/>
    <w:rsid w:val="00D707FE"/>
    <w:rsid w:val="00D74038"/>
    <w:rsid w:val="00D74C6A"/>
    <w:rsid w:val="00D80287"/>
    <w:rsid w:val="00D82909"/>
    <w:rsid w:val="00D942EB"/>
    <w:rsid w:val="00D96A64"/>
    <w:rsid w:val="00DA127A"/>
    <w:rsid w:val="00DA2A7B"/>
    <w:rsid w:val="00DB00CD"/>
    <w:rsid w:val="00DC1DED"/>
    <w:rsid w:val="00DC7E1B"/>
    <w:rsid w:val="00DD1DDC"/>
    <w:rsid w:val="00DD7E7A"/>
    <w:rsid w:val="00DE4D84"/>
    <w:rsid w:val="00DF39E3"/>
    <w:rsid w:val="00E033B7"/>
    <w:rsid w:val="00E06C2F"/>
    <w:rsid w:val="00E24399"/>
    <w:rsid w:val="00E274C6"/>
    <w:rsid w:val="00E41399"/>
    <w:rsid w:val="00E63279"/>
    <w:rsid w:val="00E71D76"/>
    <w:rsid w:val="00E74BD5"/>
    <w:rsid w:val="00E7592A"/>
    <w:rsid w:val="00E839DA"/>
    <w:rsid w:val="00E90B4F"/>
    <w:rsid w:val="00E915E3"/>
    <w:rsid w:val="00E94DA2"/>
    <w:rsid w:val="00E96D45"/>
    <w:rsid w:val="00E97B4B"/>
    <w:rsid w:val="00EB4197"/>
    <w:rsid w:val="00EB42DE"/>
    <w:rsid w:val="00EB4756"/>
    <w:rsid w:val="00EC4AFD"/>
    <w:rsid w:val="00ED0067"/>
    <w:rsid w:val="00ED06E4"/>
    <w:rsid w:val="00ED2466"/>
    <w:rsid w:val="00EE2509"/>
    <w:rsid w:val="00EE3D03"/>
    <w:rsid w:val="00EE740D"/>
    <w:rsid w:val="00F13C5A"/>
    <w:rsid w:val="00F14BDB"/>
    <w:rsid w:val="00F22AF2"/>
    <w:rsid w:val="00F2677A"/>
    <w:rsid w:val="00F27D29"/>
    <w:rsid w:val="00F358CE"/>
    <w:rsid w:val="00F424C9"/>
    <w:rsid w:val="00F669FB"/>
    <w:rsid w:val="00F66B41"/>
    <w:rsid w:val="00F70811"/>
    <w:rsid w:val="00F82A0E"/>
    <w:rsid w:val="00F83192"/>
    <w:rsid w:val="00F970FB"/>
    <w:rsid w:val="00FB39CB"/>
    <w:rsid w:val="00FC2254"/>
    <w:rsid w:val="00FC30DA"/>
    <w:rsid w:val="00FC64EE"/>
    <w:rsid w:val="00FC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silver,#eaeaea"/>
    </o:shapedefaults>
    <o:shapelayout v:ext="edit">
      <o:idmap v:ext="edit" data="1"/>
    </o:shapelayout>
  </w:shapeDefaults>
  <w:decimalSymbol w:val="."/>
  <w:listSeparator w:val=","/>
  <w15:docId w15:val="{E53BDB12-7F3B-4414-A24F-4A59DB91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086C20"/>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0F006F"/>
    <w:pPr>
      <w:spacing w:before="100"/>
      <w:ind w:left="782" w:hanging="782"/>
    </w:pPr>
    <w:rPr>
      <w:lang w:val="en-US"/>
    </w:rPr>
  </w:style>
  <w:style w:type="paragraph" w:customStyle="1" w:styleId="IASBSectionTitle1NonInd">
    <w:name w:val="IASB Section Title 1 NonInd"/>
    <w:basedOn w:val="Normal"/>
    <w:rsid w:val="000F006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0F006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0F006F"/>
    <w:pPr>
      <w:keepNext/>
      <w:keepLines/>
      <w:spacing w:before="240" w:after="200"/>
      <w:ind w:left="782"/>
      <w:jc w:val="left"/>
    </w:pPr>
    <w:rPr>
      <w:rFonts w:ascii="Arial" w:hAnsi="Arial" w:cs="Arial"/>
      <w:b/>
      <w:sz w:val="22"/>
      <w:lang w:val="en-US"/>
    </w:rPr>
  </w:style>
  <w:style w:type="character" w:styleId="FootnoteReference">
    <w:name w:val="footnote reference"/>
    <w:uiPriority w:val="99"/>
    <w:unhideWhenUsed/>
    <w:rsid w:val="000F006F"/>
    <w:rPr>
      <w:rFonts w:cs="Times New Roman"/>
      <w:vertAlign w:val="superscript"/>
    </w:rPr>
  </w:style>
  <w:style w:type="paragraph" w:customStyle="1" w:styleId="IASBTableArial">
    <w:name w:val="IASB Table Arial"/>
    <w:basedOn w:val="Normal"/>
    <w:rsid w:val="000F006F"/>
    <w:pPr>
      <w:spacing w:before="120"/>
      <w:jc w:val="left"/>
    </w:pPr>
    <w:rPr>
      <w:rFonts w:ascii="Arial" w:hAnsi="Arial"/>
      <w:sz w:val="18"/>
      <w:lang w:val="en-GB" w:eastAsia="en-GB"/>
    </w:rPr>
  </w:style>
  <w:style w:type="paragraph" w:customStyle="1" w:styleId="IASBNormalnparaL1">
    <w:name w:val="IASB Normal nparaL1"/>
    <w:basedOn w:val="IASBNormalnpara"/>
    <w:rsid w:val="00F83192"/>
    <w:pPr>
      <w:ind w:left="1564"/>
    </w:pPr>
  </w:style>
  <w:style w:type="paragraph" w:customStyle="1" w:styleId="IASBNormalnparaP">
    <w:name w:val="IASB Normal nparaP"/>
    <w:basedOn w:val="Normal"/>
    <w:rsid w:val="00F83192"/>
    <w:pPr>
      <w:tabs>
        <w:tab w:val="left" w:pos="4253"/>
      </w:tabs>
      <w:spacing w:before="100" w:after="100"/>
      <w:ind w:left="782"/>
    </w:pPr>
    <w:rPr>
      <w:lang w:val="en-US"/>
    </w:rPr>
  </w:style>
  <w:style w:type="paragraph" w:customStyle="1" w:styleId="IASBNormalnparaL2">
    <w:name w:val="IASB Normal nparaL2"/>
    <w:basedOn w:val="IASBNormalnparaL1"/>
    <w:rsid w:val="00F83192"/>
    <w:pPr>
      <w:ind w:left="2347"/>
    </w:pPr>
  </w:style>
  <w:style w:type="paragraph" w:styleId="BalloonText">
    <w:name w:val="Balloon Text"/>
    <w:basedOn w:val="Normal"/>
    <w:link w:val="BalloonTextChar"/>
    <w:semiHidden/>
    <w:unhideWhenUsed/>
    <w:rsid w:val="000A7B4B"/>
    <w:rPr>
      <w:rFonts w:ascii="Segoe UI" w:hAnsi="Segoe UI" w:cs="Segoe UI"/>
      <w:sz w:val="18"/>
      <w:szCs w:val="18"/>
    </w:rPr>
  </w:style>
  <w:style w:type="character" w:customStyle="1" w:styleId="BalloonTextChar">
    <w:name w:val="Balloon Text Char"/>
    <w:basedOn w:val="DefaultParagraphFont"/>
    <w:link w:val="BalloonText"/>
    <w:semiHidden/>
    <w:rsid w:val="000A7B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E1FD-AD97-4424-84F6-338BC3C5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136</TotalTime>
  <Pages>7</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AASB 2018-2 Amendments to Australian Accounting Standards – Plan Amendment, Curtailment or Settlement</vt:lpstr>
    </vt:vector>
  </TitlesOfParts>
  <Company>Australian Accounting Standards Board</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2018-2 Amendments to Australian Accounting Standards – Plan Amendment, Curtailment or Settlement</dc:title>
  <dc:creator>Valuckas, Danielius</dc:creator>
  <cp:lastModifiedBy>John, Kathleen</cp:lastModifiedBy>
  <cp:revision>50</cp:revision>
  <cp:lastPrinted>2018-03-27T00:23:00Z</cp:lastPrinted>
  <dcterms:created xsi:type="dcterms:W3CDTF">2018-01-11T00:47:00Z</dcterms:created>
  <dcterms:modified xsi:type="dcterms:W3CDTF">2018-03-27T00:23:00Z</dcterms:modified>
</cp:coreProperties>
</file>