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4B" w:rsidRPr="007756D0" w:rsidRDefault="00CA424B" w:rsidP="00CA424B">
      <w:pPr>
        <w:spacing w:before="100" w:beforeAutospacing="1" w:after="100" w:afterAutospacing="1"/>
        <w:jc w:val="center"/>
        <w:rPr>
          <w:rFonts w:ascii="Times New Roman" w:hAnsi="Times New Roman" w:cs="Times New Roman"/>
        </w:rPr>
      </w:pPr>
      <w:bookmarkStart w:id="0" w:name="_GoBack"/>
      <w:bookmarkEnd w:id="0"/>
      <w:r w:rsidRPr="007756D0">
        <w:rPr>
          <w:rFonts w:ascii="Times New Roman" w:hAnsi="Times New Roman" w:cs="Times New Roman"/>
          <w:b/>
          <w:bCs/>
          <w:sz w:val="28"/>
          <w:szCs w:val="28"/>
        </w:rPr>
        <w:t>EXPLANATORY STATEMENT</w:t>
      </w:r>
    </w:p>
    <w:p w:rsidR="00CA424B" w:rsidRPr="007756D0" w:rsidRDefault="00CA424B" w:rsidP="00CA424B">
      <w:pPr>
        <w:spacing w:before="100" w:beforeAutospacing="1" w:after="100" w:afterAutospacing="1"/>
        <w:jc w:val="center"/>
        <w:rPr>
          <w:rFonts w:ascii="Times New Roman" w:hAnsi="Times New Roman" w:cs="Times New Roman"/>
        </w:rPr>
      </w:pPr>
      <w:r w:rsidRPr="007756D0">
        <w:rPr>
          <w:rFonts w:ascii="Times New Roman" w:hAnsi="Times New Roman" w:cs="Times New Roman"/>
        </w:rPr>
        <w:t xml:space="preserve">(Issued under the Authority of the </w:t>
      </w:r>
      <w:r w:rsidRPr="00573A9E">
        <w:rPr>
          <w:rFonts w:ascii="Times New Roman" w:hAnsi="Times New Roman" w:cs="Times New Roman"/>
        </w:rPr>
        <w:t>Minister for Small and Family Business, the</w:t>
      </w:r>
      <w:r>
        <w:rPr>
          <w:rFonts w:ascii="Times New Roman" w:hAnsi="Times New Roman" w:cs="Times New Roman"/>
        </w:rPr>
        <w:t> </w:t>
      </w:r>
      <w:r w:rsidRPr="00573A9E">
        <w:rPr>
          <w:rFonts w:ascii="Times New Roman" w:hAnsi="Times New Roman" w:cs="Times New Roman"/>
        </w:rPr>
        <w:t>Workplace</w:t>
      </w:r>
      <w:r>
        <w:rPr>
          <w:rFonts w:ascii="Times New Roman" w:hAnsi="Times New Roman" w:cs="Times New Roman"/>
        </w:rPr>
        <w:t> </w:t>
      </w:r>
      <w:r w:rsidRPr="00573A9E">
        <w:rPr>
          <w:rFonts w:ascii="Times New Roman" w:hAnsi="Times New Roman" w:cs="Times New Roman"/>
        </w:rPr>
        <w:t>and</w:t>
      </w:r>
      <w:r>
        <w:rPr>
          <w:rFonts w:ascii="Times New Roman" w:hAnsi="Times New Roman" w:cs="Times New Roman"/>
        </w:rPr>
        <w:t> </w:t>
      </w:r>
      <w:r w:rsidRPr="00573A9E">
        <w:rPr>
          <w:rFonts w:ascii="Times New Roman" w:hAnsi="Times New Roman" w:cs="Times New Roman"/>
        </w:rPr>
        <w:t>Deregulation</w:t>
      </w:r>
      <w:r w:rsidRPr="007756D0">
        <w:rPr>
          <w:rFonts w:ascii="Times New Roman" w:hAnsi="Times New Roman" w:cs="Times New Roman"/>
        </w:rPr>
        <w:t>)</w:t>
      </w:r>
    </w:p>
    <w:p w:rsidR="00CA424B" w:rsidRPr="007756D0" w:rsidRDefault="00CA424B" w:rsidP="00CA424B">
      <w:pPr>
        <w:spacing w:before="100" w:beforeAutospacing="1" w:after="100" w:afterAutospacing="1"/>
        <w:jc w:val="center"/>
        <w:rPr>
          <w:rFonts w:ascii="Times New Roman" w:hAnsi="Times New Roman" w:cs="Times New Roman"/>
          <w:i/>
        </w:rPr>
      </w:pPr>
      <w:r w:rsidRPr="007756D0">
        <w:rPr>
          <w:rFonts w:ascii="Times New Roman" w:hAnsi="Times New Roman" w:cs="Times New Roman"/>
          <w:i/>
          <w:iCs/>
          <w:sz w:val="28"/>
          <w:szCs w:val="28"/>
        </w:rPr>
        <w:t>Fair Entitlements Guarantee Act 2012</w:t>
      </w:r>
    </w:p>
    <w:p w:rsidR="00CA424B" w:rsidRPr="007756D0" w:rsidRDefault="00CA424B" w:rsidP="00CA424B">
      <w:pPr>
        <w:spacing w:before="100" w:beforeAutospacing="1" w:after="100" w:afterAutospacing="1"/>
        <w:jc w:val="center"/>
        <w:rPr>
          <w:rFonts w:ascii="Times New Roman" w:hAnsi="Times New Roman" w:cs="Times New Roman"/>
          <w:b/>
        </w:rPr>
      </w:pPr>
      <w:r w:rsidRPr="007756D0">
        <w:rPr>
          <w:rFonts w:ascii="Times New Roman" w:hAnsi="Times New Roman" w:cs="Times New Roman"/>
          <w:b/>
        </w:rPr>
        <w:t> </w:t>
      </w:r>
      <w:r w:rsidRPr="007756D0">
        <w:rPr>
          <w:rFonts w:ascii="Times New Roman" w:hAnsi="Times New Roman" w:cs="Times New Roman"/>
          <w:b/>
          <w:bCs/>
          <w:sz w:val="28"/>
          <w:szCs w:val="28"/>
        </w:rPr>
        <w:t xml:space="preserve">Fair Entitlements Guarantee </w:t>
      </w:r>
      <w:r w:rsidRPr="007756D0">
        <w:rPr>
          <w:rFonts w:ascii="Times New Roman" w:hAnsi="Times New Roman" w:cs="Times New Roman"/>
          <w:b/>
          <w:bCs/>
          <w:sz w:val="28"/>
          <w:szCs w:val="28"/>
        </w:rPr>
        <w:br/>
      </w:r>
      <w:r w:rsidRPr="007756D0">
        <w:rPr>
          <w:rFonts w:ascii="Times New Roman" w:hAnsi="Times New Roman" w:cs="Times New Roman"/>
          <w:b/>
          <w:bCs/>
          <w:iCs/>
          <w:sz w:val="28"/>
          <w:szCs w:val="28"/>
        </w:rPr>
        <w:t xml:space="preserve">(Extended operation of the Act in relation to </w:t>
      </w:r>
      <w:r>
        <w:rPr>
          <w:rFonts w:ascii="Times New Roman" w:hAnsi="Times New Roman" w:cs="Times New Roman"/>
          <w:b/>
          <w:bCs/>
          <w:iCs/>
          <w:sz w:val="28"/>
          <w:szCs w:val="28"/>
        </w:rPr>
        <w:t xml:space="preserve">Custom Bus Australia Pty Ltd in </w:t>
      </w:r>
      <w:r w:rsidRPr="007756D0">
        <w:rPr>
          <w:rFonts w:ascii="Times New Roman" w:hAnsi="Times New Roman" w:cs="Times New Roman"/>
          <w:b/>
          <w:bCs/>
          <w:iCs/>
          <w:sz w:val="28"/>
          <w:szCs w:val="28"/>
        </w:rPr>
        <w:t>Administration)</w:t>
      </w:r>
      <w:r w:rsidRPr="007756D0">
        <w:rPr>
          <w:rFonts w:ascii="Times New Roman" w:hAnsi="Times New Roman" w:cs="Times New Roman"/>
          <w:b/>
          <w:bCs/>
          <w:sz w:val="28"/>
          <w:szCs w:val="28"/>
        </w:rPr>
        <w:t xml:space="preserve"> Declaration 0</w:t>
      </w:r>
      <w:r>
        <w:rPr>
          <w:rFonts w:ascii="Times New Roman" w:hAnsi="Times New Roman" w:cs="Times New Roman"/>
          <w:b/>
          <w:bCs/>
          <w:sz w:val="28"/>
          <w:szCs w:val="28"/>
        </w:rPr>
        <w:t>1</w:t>
      </w:r>
      <w:r w:rsidRPr="007756D0">
        <w:rPr>
          <w:rFonts w:ascii="Times New Roman" w:hAnsi="Times New Roman" w:cs="Times New Roman"/>
          <w:b/>
          <w:bCs/>
          <w:sz w:val="28"/>
          <w:szCs w:val="28"/>
        </w:rPr>
        <w:t>/201</w:t>
      </w:r>
      <w:r>
        <w:rPr>
          <w:rFonts w:ascii="Times New Roman" w:hAnsi="Times New Roman" w:cs="Times New Roman"/>
          <w:b/>
          <w:bCs/>
          <w:sz w:val="28"/>
          <w:szCs w:val="28"/>
        </w:rPr>
        <w:t>8</w:t>
      </w:r>
      <w:r w:rsidRPr="007756D0">
        <w:rPr>
          <w:rFonts w:ascii="Times New Roman" w:hAnsi="Times New Roman" w:cs="Times New Roman"/>
          <w:b/>
          <w:bCs/>
          <w:sz w:val="28"/>
          <w:szCs w:val="28"/>
        </w:rPr>
        <w:t xml:space="preserve"> </w:t>
      </w:r>
    </w:p>
    <w:p w:rsidR="00CA424B" w:rsidRPr="007756D0" w:rsidRDefault="00CA424B" w:rsidP="00CA424B">
      <w:pPr>
        <w:spacing w:before="100" w:beforeAutospacing="1" w:after="100" w:afterAutospacing="1"/>
        <w:ind w:left="426"/>
        <w:rPr>
          <w:rFonts w:ascii="Times New Roman" w:hAnsi="Times New Roman" w:cs="Times New Roman"/>
        </w:rPr>
      </w:pPr>
      <w:r w:rsidRPr="007756D0">
        <w:rPr>
          <w:rFonts w:ascii="Times New Roman" w:hAnsi="Times New Roman" w:cs="Times New Roman"/>
        </w:rPr>
        <w:t xml:space="preserve">The purpose of this instrument is to declare that the </w:t>
      </w:r>
      <w:r w:rsidRPr="007756D0">
        <w:rPr>
          <w:rFonts w:ascii="Times New Roman" w:hAnsi="Times New Roman" w:cs="Times New Roman"/>
          <w:i/>
        </w:rPr>
        <w:t>Fair Entitlements Guarantee Act 2012</w:t>
      </w:r>
      <w:r w:rsidRPr="007756D0">
        <w:rPr>
          <w:rFonts w:ascii="Times New Roman" w:hAnsi="Times New Roman" w:cs="Times New Roman"/>
        </w:rPr>
        <w:t xml:space="preserve"> (the Act) applies to persons who were employed, but are no longer employed by </w:t>
      </w:r>
      <w:r>
        <w:rPr>
          <w:rFonts w:ascii="Times New Roman" w:hAnsi="Times New Roman" w:cs="Times New Roman"/>
        </w:rPr>
        <w:t>Custom Bus Australia Pty Ltd, an entity</w:t>
      </w:r>
      <w:r w:rsidRPr="007756D0">
        <w:rPr>
          <w:rFonts w:ascii="Times New Roman" w:hAnsi="Times New Roman" w:cs="Times New Roman"/>
        </w:rPr>
        <w:t xml:space="preserve"> under administration under Part 5.3A of the </w:t>
      </w:r>
      <w:r w:rsidRPr="007756D0">
        <w:rPr>
          <w:rFonts w:ascii="Times New Roman" w:hAnsi="Times New Roman" w:cs="Times New Roman"/>
          <w:i/>
        </w:rPr>
        <w:t>Corporations Act 2001</w:t>
      </w:r>
      <w:r w:rsidRPr="007756D0">
        <w:rPr>
          <w:rFonts w:ascii="Times New Roman" w:hAnsi="Times New Roman" w:cs="Times New Roman"/>
        </w:rPr>
        <w:t xml:space="preserve"> (the Corporations Act). The Act does not otherwise apply to persons whose former employer is in administration.</w:t>
      </w:r>
    </w:p>
    <w:p w:rsidR="00CA424B" w:rsidRPr="007756D0" w:rsidRDefault="00CA424B" w:rsidP="00CA424B">
      <w:pPr>
        <w:spacing w:after="230"/>
        <w:ind w:left="426"/>
        <w:rPr>
          <w:rFonts w:ascii="Times New Roman" w:hAnsi="Times New Roman" w:cs="Times New Roman"/>
          <w:i/>
        </w:rPr>
      </w:pPr>
      <w:r w:rsidRPr="007756D0">
        <w:rPr>
          <w:rFonts w:ascii="Times New Roman" w:hAnsi="Times New Roman" w:cs="Times New Roman"/>
          <w:i/>
        </w:rPr>
        <w:t>Legislative background</w:t>
      </w:r>
    </w:p>
    <w:p w:rsidR="00CA424B" w:rsidRPr="007756D0" w:rsidRDefault="00CA424B" w:rsidP="00CA424B">
      <w:pPr>
        <w:spacing w:after="230"/>
        <w:ind w:left="426"/>
        <w:rPr>
          <w:rFonts w:ascii="Times New Roman" w:hAnsi="Times New Roman" w:cs="Times New Roman"/>
        </w:rPr>
      </w:pPr>
      <w:r w:rsidRPr="007756D0">
        <w:rPr>
          <w:rFonts w:ascii="Times New Roman" w:hAnsi="Times New Roman" w:cs="Times New Roman"/>
        </w:rPr>
        <w:t>The Act commenced on 5 December 2012 and creates a scheme to provide financial assistance for workers who have not been fully paid for work done for insolvents or bankrupts.</w:t>
      </w:r>
    </w:p>
    <w:p w:rsidR="00CA424B" w:rsidRPr="007756D0" w:rsidRDefault="00CA424B" w:rsidP="00CA424B">
      <w:pPr>
        <w:spacing w:after="230"/>
        <w:ind w:left="426"/>
        <w:rPr>
          <w:rFonts w:ascii="Times New Roman" w:hAnsi="Times New Roman" w:cs="Times New Roman"/>
        </w:rPr>
      </w:pPr>
      <w:r w:rsidRPr="007756D0">
        <w:rPr>
          <w:rFonts w:ascii="Times New Roman" w:hAnsi="Times New Roman" w:cs="Times New Roman"/>
        </w:rPr>
        <w:t xml:space="preserve">Section 10 of the Act sets out the conditions </w:t>
      </w:r>
      <w:r>
        <w:rPr>
          <w:rFonts w:ascii="Times New Roman" w:hAnsi="Times New Roman" w:cs="Times New Roman"/>
        </w:rPr>
        <w:t>for an individual’</w:t>
      </w:r>
      <w:r w:rsidRPr="007756D0">
        <w:rPr>
          <w:rFonts w:ascii="Times New Roman" w:hAnsi="Times New Roman" w:cs="Times New Roman"/>
        </w:rPr>
        <w:t xml:space="preserve">s eligibility for an advance under the Act. One of the conditions is that an ‘insolvency event’ has happened to the person’s employer. An ‘insolvency event’, as defined in section 5 of the Act, happens when a liquidator of the employer is appointed (provisionally or otherwise) but does not include the employer being under administration under Part 5.3A of the Corporations Act. </w:t>
      </w:r>
    </w:p>
    <w:p w:rsidR="00CA424B" w:rsidRPr="007756D0" w:rsidRDefault="00CA424B" w:rsidP="00CA424B">
      <w:pPr>
        <w:spacing w:after="230"/>
        <w:ind w:left="426"/>
        <w:rPr>
          <w:rFonts w:ascii="Times New Roman" w:hAnsi="Times New Roman" w:cs="Times New Roman"/>
        </w:rPr>
      </w:pPr>
      <w:r w:rsidRPr="007756D0">
        <w:rPr>
          <w:rFonts w:ascii="Times New Roman" w:hAnsi="Times New Roman" w:cs="Times New Roman"/>
        </w:rPr>
        <w:t>Section 49 of the Act allows the Minister to declare that the Act applies to persons who were employed, but are no longer employed, by a specified person that is in administration under Part 5.3A of the Corporations Act if satisfied that:</w:t>
      </w:r>
    </w:p>
    <w:p w:rsidR="00CA424B" w:rsidRPr="007756D0" w:rsidRDefault="00CA424B" w:rsidP="00CA424B">
      <w:pPr>
        <w:pStyle w:val="ListParagraph"/>
        <w:numPr>
          <w:ilvl w:val="0"/>
          <w:numId w:val="1"/>
        </w:numPr>
        <w:spacing w:after="230" w:line="240" w:lineRule="auto"/>
        <w:ind w:left="426" w:firstLine="0"/>
        <w:rPr>
          <w:rFonts w:ascii="Times New Roman" w:hAnsi="Times New Roman" w:cs="Times New Roman"/>
        </w:rPr>
      </w:pPr>
      <w:r w:rsidRPr="007756D0">
        <w:rPr>
          <w:rFonts w:ascii="Times New Roman" w:hAnsi="Times New Roman" w:cs="Times New Roman"/>
        </w:rPr>
        <w:t>The employer’s creditors are expected to resolve at a meeting convened under section 439A of the Corporations Act that the employer be wound up; and</w:t>
      </w:r>
    </w:p>
    <w:p w:rsidR="00CA424B" w:rsidRPr="007756D0" w:rsidRDefault="00CA424B" w:rsidP="00CA424B">
      <w:pPr>
        <w:pStyle w:val="ListParagraph"/>
        <w:numPr>
          <w:ilvl w:val="0"/>
          <w:numId w:val="1"/>
        </w:numPr>
        <w:spacing w:after="230" w:line="240" w:lineRule="auto"/>
        <w:ind w:left="426" w:firstLine="0"/>
        <w:rPr>
          <w:rFonts w:ascii="Times New Roman" w:hAnsi="Times New Roman" w:cs="Times New Roman"/>
        </w:rPr>
      </w:pPr>
      <w:r w:rsidRPr="007756D0">
        <w:rPr>
          <w:rFonts w:ascii="Times New Roman" w:hAnsi="Times New Roman" w:cs="Times New Roman"/>
        </w:rPr>
        <w:t>If the declaration is made, it will be practicable to administer the Act as it will apply because of the declaration in relation to the specified employer.</w:t>
      </w:r>
    </w:p>
    <w:p w:rsidR="00CA424B" w:rsidRPr="007756D0" w:rsidRDefault="00CA424B" w:rsidP="00CA424B">
      <w:pPr>
        <w:spacing w:after="230"/>
        <w:ind w:left="426"/>
        <w:rPr>
          <w:rFonts w:ascii="Times New Roman" w:hAnsi="Times New Roman" w:cs="Times New Roman"/>
          <w:i/>
        </w:rPr>
      </w:pPr>
      <w:r w:rsidRPr="007756D0">
        <w:rPr>
          <w:rFonts w:ascii="Times New Roman" w:hAnsi="Times New Roman" w:cs="Times New Roman"/>
          <w:i/>
        </w:rPr>
        <w:t>Effect of the declaration</w:t>
      </w:r>
    </w:p>
    <w:p w:rsidR="00CA424B" w:rsidRPr="007756D0" w:rsidRDefault="00CA424B" w:rsidP="00CA424B">
      <w:pPr>
        <w:spacing w:after="230"/>
        <w:ind w:left="426"/>
        <w:rPr>
          <w:rFonts w:ascii="Times New Roman" w:hAnsi="Times New Roman" w:cs="Times New Roman"/>
        </w:rPr>
      </w:pPr>
      <w:r w:rsidRPr="007756D0">
        <w:rPr>
          <w:rFonts w:ascii="Times New Roman" w:hAnsi="Times New Roman" w:cs="Times New Roman"/>
        </w:rPr>
        <w:t xml:space="preserve">The effect of the declaration is that the Act applies to former employees of </w:t>
      </w:r>
      <w:r>
        <w:rPr>
          <w:rFonts w:ascii="Times New Roman" w:hAnsi="Times New Roman" w:cs="Times New Roman"/>
        </w:rPr>
        <w:t>Custom Bus Australia Pty Ltd</w:t>
      </w:r>
      <w:r w:rsidRPr="007756D0">
        <w:rPr>
          <w:rFonts w:ascii="Times New Roman" w:hAnsi="Times New Roman" w:cs="Times New Roman"/>
        </w:rPr>
        <w:t xml:space="preserve"> as if the relevant administrator were a liquidator appointed when the administrator was appointed, and the reference to an ‘insolvency event’ in paragraph 14(2)(a) of the Act is a reference to this declaration being made.</w:t>
      </w:r>
    </w:p>
    <w:p w:rsidR="00CA424B" w:rsidRPr="007756D0" w:rsidRDefault="00CA424B" w:rsidP="00CA424B">
      <w:pPr>
        <w:spacing w:after="230"/>
        <w:ind w:left="426"/>
        <w:rPr>
          <w:rFonts w:ascii="Times New Roman" w:hAnsi="Times New Roman" w:cs="Times New Roman"/>
        </w:rPr>
      </w:pPr>
      <w:r w:rsidRPr="007756D0">
        <w:rPr>
          <w:rFonts w:ascii="Times New Roman" w:hAnsi="Times New Roman" w:cs="Times New Roman"/>
        </w:rPr>
        <w:t xml:space="preserve">This will allow any former employees of </w:t>
      </w:r>
      <w:r>
        <w:rPr>
          <w:rFonts w:ascii="Times New Roman" w:hAnsi="Times New Roman" w:cs="Times New Roman"/>
        </w:rPr>
        <w:t>Custom Bus Australia Pty Ltd</w:t>
      </w:r>
      <w:r w:rsidRPr="007756D0">
        <w:rPr>
          <w:rFonts w:ascii="Times New Roman" w:hAnsi="Times New Roman" w:cs="Times New Roman"/>
        </w:rPr>
        <w:t xml:space="preserve"> to make a claim under the Act, and receive an advance if they are eligible.</w:t>
      </w:r>
    </w:p>
    <w:p w:rsidR="00CA424B" w:rsidRPr="007756D0" w:rsidRDefault="00CA424B" w:rsidP="00CA424B">
      <w:pPr>
        <w:spacing w:after="230"/>
        <w:ind w:left="426"/>
        <w:rPr>
          <w:rFonts w:ascii="Times New Roman" w:hAnsi="Times New Roman" w:cs="Times New Roman"/>
        </w:rPr>
      </w:pPr>
      <w:r w:rsidRPr="007756D0">
        <w:rPr>
          <w:rFonts w:ascii="Times New Roman" w:hAnsi="Times New Roman" w:cs="Times New Roman"/>
          <w:i/>
        </w:rPr>
        <w:t>Consultation</w:t>
      </w:r>
    </w:p>
    <w:p w:rsidR="00CA424B" w:rsidRPr="007756D0" w:rsidRDefault="00CA424B" w:rsidP="00CA424B">
      <w:pPr>
        <w:spacing w:after="230"/>
        <w:ind w:left="426"/>
        <w:rPr>
          <w:rFonts w:ascii="Times New Roman" w:hAnsi="Times New Roman" w:cs="Times New Roman"/>
        </w:rPr>
      </w:pPr>
      <w:r w:rsidRPr="007756D0">
        <w:rPr>
          <w:rFonts w:ascii="Times New Roman" w:hAnsi="Times New Roman" w:cs="Times New Roman"/>
        </w:rPr>
        <w:t xml:space="preserve">To be satisfied of the factors listed in subsection 49(2) of the Act, consultation was undertaken with the insolvency practitioner responsible for the administration of </w:t>
      </w:r>
      <w:r>
        <w:rPr>
          <w:rFonts w:ascii="Times New Roman" w:hAnsi="Times New Roman" w:cs="Times New Roman"/>
        </w:rPr>
        <w:t>Custom Bus Australia Pty Ltd</w:t>
      </w:r>
    </w:p>
    <w:p w:rsidR="00CA424B" w:rsidRPr="007756D0" w:rsidRDefault="00CA424B" w:rsidP="00CA424B">
      <w:pPr>
        <w:spacing w:after="230"/>
        <w:ind w:left="426"/>
        <w:rPr>
          <w:rFonts w:ascii="Times New Roman" w:hAnsi="Times New Roman" w:cs="Times New Roman"/>
        </w:rPr>
      </w:pPr>
      <w:r w:rsidRPr="007756D0">
        <w:rPr>
          <w:rFonts w:ascii="Times New Roman" w:hAnsi="Times New Roman" w:cs="Times New Roman"/>
        </w:rPr>
        <w:t xml:space="preserve">The </w:t>
      </w:r>
      <w:r>
        <w:rPr>
          <w:rFonts w:ascii="Times New Roman" w:hAnsi="Times New Roman" w:cs="Times New Roman"/>
        </w:rPr>
        <w:t xml:space="preserve">declaration </w:t>
      </w:r>
      <w:r w:rsidRPr="007756D0">
        <w:rPr>
          <w:rFonts w:ascii="Times New Roman" w:hAnsi="Times New Roman" w:cs="Times New Roman"/>
        </w:rPr>
        <w:t xml:space="preserve">is a legislative instrument subject to the </w:t>
      </w:r>
      <w:r w:rsidRPr="0060572F">
        <w:rPr>
          <w:rFonts w:ascii="Times New Roman" w:hAnsi="Times New Roman" w:cs="Times New Roman"/>
          <w:i/>
        </w:rPr>
        <w:t>Legislation Act 2003</w:t>
      </w:r>
      <w:r w:rsidRPr="007756D0">
        <w:rPr>
          <w:rFonts w:ascii="Times New Roman" w:hAnsi="Times New Roman" w:cs="Times New Roman"/>
        </w:rPr>
        <w:t>.</w:t>
      </w:r>
    </w:p>
    <w:p w:rsidR="00CA424B" w:rsidRDefault="00CA424B" w:rsidP="00CA424B">
      <w:pPr>
        <w:pStyle w:val="NoSpacing"/>
        <w:jc w:val="center"/>
        <w:rPr>
          <w:rFonts w:ascii="Times New Roman" w:hAnsi="Times New Roman" w:cs="Times New Roman"/>
          <w:b/>
        </w:rPr>
      </w:pPr>
    </w:p>
    <w:p w:rsidR="00CA424B" w:rsidRDefault="00CA424B" w:rsidP="00CA424B">
      <w:pPr>
        <w:pStyle w:val="NoSpacing"/>
        <w:jc w:val="center"/>
        <w:rPr>
          <w:rFonts w:ascii="Times New Roman" w:hAnsi="Times New Roman" w:cs="Times New Roman"/>
          <w:b/>
        </w:rPr>
      </w:pPr>
    </w:p>
    <w:p w:rsidR="00CA424B" w:rsidRDefault="00CA424B" w:rsidP="00CA424B">
      <w:pPr>
        <w:pStyle w:val="NoSpacing"/>
        <w:jc w:val="center"/>
        <w:rPr>
          <w:rFonts w:ascii="Times New Roman" w:hAnsi="Times New Roman" w:cs="Times New Roman"/>
          <w:b/>
        </w:rPr>
      </w:pPr>
    </w:p>
    <w:p w:rsidR="00CA424B" w:rsidRDefault="00CA424B" w:rsidP="00CA424B">
      <w:pPr>
        <w:pStyle w:val="NoSpacing"/>
        <w:jc w:val="center"/>
        <w:rPr>
          <w:rFonts w:ascii="Times New Roman" w:hAnsi="Times New Roman" w:cs="Times New Roman"/>
          <w:b/>
        </w:rPr>
      </w:pPr>
    </w:p>
    <w:p w:rsidR="00CA424B" w:rsidRPr="006D037A" w:rsidRDefault="00CA424B" w:rsidP="00CA424B">
      <w:pPr>
        <w:pStyle w:val="NoSpacing"/>
        <w:ind w:firstLine="567"/>
        <w:rPr>
          <w:rFonts w:ascii="Times New Roman" w:hAnsi="Times New Roman" w:cs="Times New Roman"/>
          <w:b/>
        </w:rPr>
      </w:pPr>
      <w:r w:rsidRPr="006D037A">
        <w:rPr>
          <w:rFonts w:ascii="Times New Roman" w:hAnsi="Times New Roman" w:cs="Times New Roman"/>
          <w:b/>
        </w:rPr>
        <w:lastRenderedPageBreak/>
        <w:t>Statement of Compatibility with Human Rights</w:t>
      </w:r>
    </w:p>
    <w:p w:rsidR="00CA424B" w:rsidRPr="00F41EDD" w:rsidRDefault="00CA424B" w:rsidP="00CA424B">
      <w:pPr>
        <w:pStyle w:val="NoSpacing"/>
        <w:rPr>
          <w:rFonts w:ascii="Times New Roman" w:hAnsi="Times New Roman" w:cs="Times New Roman"/>
          <w:i/>
          <w:iCs/>
        </w:rPr>
      </w:pPr>
    </w:p>
    <w:p w:rsidR="00CA424B" w:rsidRPr="00F41EDD" w:rsidRDefault="00CA424B" w:rsidP="00CA424B">
      <w:pPr>
        <w:pStyle w:val="NoSpacing"/>
        <w:ind w:left="567" w:hanging="57"/>
        <w:rPr>
          <w:rFonts w:ascii="Times New Roman" w:hAnsi="Times New Roman" w:cs="Times New Roman"/>
        </w:rPr>
      </w:pPr>
      <w:r w:rsidRPr="00F41EDD">
        <w:rPr>
          <w:rFonts w:ascii="Times New Roman" w:hAnsi="Times New Roman" w:cs="Times New Roman"/>
          <w:i/>
          <w:iCs/>
        </w:rPr>
        <w:t>Prepared in accordance with Part 3 of the Human Rights (Parliamentary Scrutiny) Act 2011</w:t>
      </w:r>
    </w:p>
    <w:p w:rsidR="00CA424B" w:rsidRPr="00F41EDD" w:rsidRDefault="00CA424B" w:rsidP="00CA424B">
      <w:pPr>
        <w:pStyle w:val="NoSpacing"/>
        <w:ind w:left="567" w:hanging="57"/>
        <w:rPr>
          <w:rFonts w:ascii="Times New Roman" w:hAnsi="Times New Roman" w:cs="Times New Roman"/>
        </w:rPr>
      </w:pPr>
      <w:r w:rsidRPr="00F41EDD">
        <w:rPr>
          <w:rFonts w:ascii="Times New Roman" w:hAnsi="Times New Roman" w:cs="Times New Roman"/>
        </w:rPr>
        <w:t> </w:t>
      </w:r>
    </w:p>
    <w:p w:rsidR="00CA424B" w:rsidRPr="00F41EDD" w:rsidRDefault="00CA424B" w:rsidP="00CA424B">
      <w:pPr>
        <w:pStyle w:val="NoSpacing"/>
        <w:ind w:left="567" w:hanging="57"/>
        <w:rPr>
          <w:rFonts w:ascii="Times New Roman" w:hAnsi="Times New Roman" w:cs="Times New Roman"/>
        </w:rPr>
      </w:pPr>
      <w:r w:rsidRPr="00F41EDD">
        <w:rPr>
          <w:rFonts w:ascii="Times New Roman" w:hAnsi="Times New Roman" w:cs="Times New Roman"/>
        </w:rPr>
        <w:t xml:space="preserve">The </w:t>
      </w:r>
      <w:r w:rsidRPr="00F41EDD">
        <w:rPr>
          <w:rFonts w:ascii="Times New Roman" w:hAnsi="Times New Roman" w:cs="Times New Roman"/>
          <w:i/>
        </w:rPr>
        <w:t xml:space="preserve">Fair Entitlements Guarantee (Extended operation of the Act in relation to </w:t>
      </w:r>
      <w:r w:rsidRPr="001068B0">
        <w:rPr>
          <w:rFonts w:ascii="Times New Roman" w:hAnsi="Times New Roman" w:cs="Times New Roman"/>
          <w:i/>
        </w:rPr>
        <w:t>Custom Bus Australia Pty Ltd</w:t>
      </w:r>
      <w:r w:rsidRPr="00F41EDD">
        <w:rPr>
          <w:rFonts w:ascii="Times New Roman" w:hAnsi="Times New Roman" w:cs="Times New Roman"/>
          <w:i/>
        </w:rPr>
        <w:t xml:space="preserve"> in Administration)</w:t>
      </w:r>
      <w:r>
        <w:rPr>
          <w:rFonts w:ascii="Times New Roman" w:hAnsi="Times New Roman" w:cs="Times New Roman"/>
          <w:i/>
        </w:rPr>
        <w:t xml:space="preserve"> </w:t>
      </w:r>
      <w:r w:rsidRPr="00F41EDD">
        <w:rPr>
          <w:rFonts w:ascii="Times New Roman" w:hAnsi="Times New Roman" w:cs="Times New Roman"/>
          <w:i/>
        </w:rPr>
        <w:t>Declaration 0</w:t>
      </w:r>
      <w:r>
        <w:rPr>
          <w:rFonts w:ascii="Times New Roman" w:hAnsi="Times New Roman" w:cs="Times New Roman"/>
          <w:i/>
        </w:rPr>
        <w:t>1</w:t>
      </w:r>
      <w:r w:rsidRPr="00F41EDD">
        <w:rPr>
          <w:rFonts w:ascii="Times New Roman" w:hAnsi="Times New Roman" w:cs="Times New Roman"/>
          <w:i/>
        </w:rPr>
        <w:t>/201</w:t>
      </w:r>
      <w:r>
        <w:rPr>
          <w:rFonts w:ascii="Times New Roman" w:hAnsi="Times New Roman" w:cs="Times New Roman"/>
          <w:i/>
        </w:rPr>
        <w:t>8</w:t>
      </w:r>
      <w:r w:rsidRPr="00F41EDD">
        <w:rPr>
          <w:rFonts w:ascii="Times New Roman" w:hAnsi="Times New Roman" w:cs="Times New Roman"/>
          <w:i/>
        </w:rPr>
        <w:t xml:space="preserve"> </w:t>
      </w:r>
      <w:r w:rsidRPr="00F41EDD">
        <w:rPr>
          <w:rFonts w:ascii="Times New Roman" w:hAnsi="Times New Roman" w:cs="Times New Roman"/>
        </w:rPr>
        <w:t xml:space="preserve">is compatible with the human rights and freedoms recognised or declared in the international instruments listed in section 3 of the </w:t>
      </w:r>
      <w:r w:rsidRPr="00F41EDD">
        <w:rPr>
          <w:rFonts w:ascii="Times New Roman" w:hAnsi="Times New Roman" w:cs="Times New Roman"/>
          <w:i/>
          <w:iCs/>
        </w:rPr>
        <w:t>Human Rights (Parliamentary Scrutiny) Act 2011</w:t>
      </w:r>
      <w:r w:rsidRPr="00F41EDD">
        <w:rPr>
          <w:rFonts w:ascii="Times New Roman" w:hAnsi="Times New Roman" w:cs="Times New Roman"/>
        </w:rPr>
        <w:t>.</w:t>
      </w:r>
    </w:p>
    <w:p w:rsidR="00CA424B" w:rsidRPr="00F41EDD" w:rsidRDefault="00CA424B" w:rsidP="00CA424B">
      <w:pPr>
        <w:pStyle w:val="NoSpacing"/>
        <w:ind w:left="567" w:hanging="57"/>
        <w:rPr>
          <w:rFonts w:ascii="Times New Roman" w:hAnsi="Times New Roman" w:cs="Times New Roman"/>
        </w:rPr>
      </w:pPr>
      <w:r w:rsidRPr="00F41EDD">
        <w:rPr>
          <w:rFonts w:ascii="Times New Roman" w:hAnsi="Times New Roman" w:cs="Times New Roman"/>
        </w:rPr>
        <w:t> </w:t>
      </w:r>
    </w:p>
    <w:p w:rsidR="00CA424B" w:rsidRPr="00F41EDD" w:rsidRDefault="00CA424B" w:rsidP="00CA424B">
      <w:pPr>
        <w:pStyle w:val="NoSpacing"/>
        <w:ind w:left="567" w:hanging="57"/>
        <w:rPr>
          <w:rFonts w:ascii="Times New Roman" w:hAnsi="Times New Roman" w:cs="Times New Roman"/>
          <w:b/>
        </w:rPr>
      </w:pPr>
      <w:r w:rsidRPr="00F41EDD">
        <w:rPr>
          <w:rFonts w:ascii="Times New Roman" w:hAnsi="Times New Roman" w:cs="Times New Roman"/>
          <w:b/>
        </w:rPr>
        <w:t>Human rights implications</w:t>
      </w:r>
    </w:p>
    <w:p w:rsidR="00CA424B" w:rsidRPr="00F41EDD" w:rsidRDefault="00CA424B" w:rsidP="00CA424B">
      <w:pPr>
        <w:pStyle w:val="NoSpacing"/>
        <w:ind w:left="567" w:hanging="57"/>
        <w:rPr>
          <w:rFonts w:ascii="Times New Roman" w:hAnsi="Times New Roman" w:cs="Times New Roman"/>
        </w:rPr>
      </w:pPr>
    </w:p>
    <w:p w:rsidR="00CA424B" w:rsidRPr="00F41EDD" w:rsidRDefault="00CA424B" w:rsidP="00CA424B">
      <w:pPr>
        <w:pStyle w:val="NoSpacing"/>
        <w:ind w:left="567" w:hanging="57"/>
        <w:rPr>
          <w:rFonts w:ascii="Times New Roman" w:hAnsi="Times New Roman" w:cs="Times New Roman"/>
        </w:rPr>
      </w:pPr>
      <w:r w:rsidRPr="00F41EDD">
        <w:rPr>
          <w:rFonts w:ascii="Times New Roman" w:hAnsi="Times New Roman" w:cs="Times New Roman"/>
        </w:rPr>
        <w:t>Article 9 of the International Covenant on Economic, Social and Cultural Rights (the ICESCR) provides that, ‘the State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in order to secure protection from lack of work-related income caused by unemployment.</w:t>
      </w:r>
      <w:r>
        <w:rPr>
          <w:rStyle w:val="FootnoteReference"/>
          <w:rFonts w:ascii="Times New Roman" w:hAnsi="Times New Roman" w:cs="Times New Roman"/>
        </w:rPr>
        <w:footnoteReference w:id="1"/>
      </w:r>
    </w:p>
    <w:p w:rsidR="00CA424B" w:rsidRPr="00F41EDD" w:rsidRDefault="00CA424B" w:rsidP="00CA424B">
      <w:pPr>
        <w:pStyle w:val="NoSpacing"/>
        <w:ind w:left="567" w:hanging="57"/>
        <w:rPr>
          <w:rFonts w:ascii="Times New Roman" w:hAnsi="Times New Roman" w:cs="Times New Roman"/>
        </w:rPr>
      </w:pPr>
    </w:p>
    <w:p w:rsidR="00CA424B" w:rsidRPr="00F41EDD" w:rsidRDefault="00CA424B" w:rsidP="00CA424B">
      <w:pPr>
        <w:pStyle w:val="NoSpacing"/>
        <w:ind w:left="567" w:hanging="57"/>
        <w:rPr>
          <w:rFonts w:ascii="Times New Roman" w:hAnsi="Times New Roman" w:cs="Times New Roman"/>
        </w:rPr>
      </w:pPr>
      <w:r w:rsidRPr="00F41EDD">
        <w:rPr>
          <w:rFonts w:ascii="Times New Roman" w:hAnsi="Times New Roman" w:cs="Times New Roman"/>
        </w:rPr>
        <w:t xml:space="preserve">The </w:t>
      </w:r>
      <w:r w:rsidRPr="00F41EDD">
        <w:rPr>
          <w:rFonts w:ascii="Times New Roman" w:hAnsi="Times New Roman" w:cs="Times New Roman"/>
          <w:i/>
        </w:rPr>
        <w:t>Fair Entitlements Guarantee Act 2012</w:t>
      </w:r>
      <w:r w:rsidRPr="00F41EDD">
        <w:rPr>
          <w:rFonts w:ascii="Times New Roman" w:hAnsi="Times New Roman" w:cs="Times New Roman"/>
        </w:rPr>
        <w:t xml:space="preserve"> establishes an assistance scheme that is intended to operate as a safety net for persons whose employment has ended due to the insolvency or bankruptcy of their employer. This safety net could be characterised as ‘social insurance’ because it ensures that employees’ unpaid entitlements are met when their employer becomes insolvent. It thus seeks to protect individuals from lack of work-related income due to unemployment.</w:t>
      </w:r>
    </w:p>
    <w:p w:rsidR="00CA424B" w:rsidRPr="00F41EDD" w:rsidRDefault="00CA424B" w:rsidP="00CA424B">
      <w:pPr>
        <w:pStyle w:val="NoSpacing"/>
        <w:ind w:left="567" w:hanging="57"/>
        <w:rPr>
          <w:rFonts w:ascii="Times New Roman" w:hAnsi="Times New Roman" w:cs="Times New Roman"/>
        </w:rPr>
      </w:pPr>
    </w:p>
    <w:p w:rsidR="00CA424B" w:rsidRPr="00F41EDD" w:rsidRDefault="00CA424B" w:rsidP="00CA424B">
      <w:pPr>
        <w:pStyle w:val="NoSpacing"/>
        <w:ind w:left="567" w:hanging="57"/>
        <w:rPr>
          <w:rFonts w:ascii="Times New Roman" w:hAnsi="Times New Roman" w:cs="Times New Roman"/>
        </w:rPr>
      </w:pPr>
      <w:r w:rsidRPr="00F41EDD">
        <w:rPr>
          <w:rFonts w:ascii="Times New Roman" w:hAnsi="Times New Roman" w:cs="Times New Roman"/>
        </w:rPr>
        <w:t xml:space="preserve">This declaration expands the operation of the Act to an employer in administration under the </w:t>
      </w:r>
      <w:r w:rsidRPr="00F41EDD">
        <w:rPr>
          <w:rFonts w:ascii="Times New Roman" w:hAnsi="Times New Roman" w:cs="Times New Roman"/>
          <w:i/>
        </w:rPr>
        <w:t>Corporations Act 2001</w:t>
      </w:r>
      <w:r w:rsidRPr="00F41EDD">
        <w:rPr>
          <w:rFonts w:ascii="Times New Roman" w:hAnsi="Times New Roman" w:cs="Times New Roman"/>
        </w:rPr>
        <w:t xml:space="preserve">. The effect is </w:t>
      </w:r>
      <w:r>
        <w:rPr>
          <w:rFonts w:ascii="Times New Roman" w:hAnsi="Times New Roman" w:cs="Times New Roman"/>
        </w:rPr>
        <w:t xml:space="preserve">that the employees whose access to unpaid entitlements would be delayed until such time as a liquidator is appointed, will be able to apply for assistance earlier. </w:t>
      </w:r>
      <w:r w:rsidRPr="00F41EDD">
        <w:rPr>
          <w:rFonts w:ascii="Times New Roman" w:hAnsi="Times New Roman" w:cs="Times New Roman"/>
        </w:rPr>
        <w:t>This supports the right to access benefits in order to secure protection from lack of work-related income caused by unemployment.</w:t>
      </w:r>
    </w:p>
    <w:p w:rsidR="00CA424B" w:rsidRDefault="00CA424B" w:rsidP="00CA424B">
      <w:pPr>
        <w:pStyle w:val="NoSpacing"/>
        <w:ind w:left="567" w:hanging="57"/>
        <w:rPr>
          <w:rFonts w:ascii="Times New Roman" w:hAnsi="Times New Roman" w:cs="Times New Roman"/>
        </w:rPr>
      </w:pPr>
      <w:r w:rsidRPr="00F41EDD">
        <w:rPr>
          <w:rFonts w:ascii="Times New Roman" w:hAnsi="Times New Roman" w:cs="Times New Roman"/>
        </w:rPr>
        <w:t> </w:t>
      </w:r>
    </w:p>
    <w:p w:rsidR="00CA424B" w:rsidRPr="00F41EDD" w:rsidRDefault="00CA424B" w:rsidP="00CA424B">
      <w:pPr>
        <w:pStyle w:val="NoSpacing"/>
        <w:ind w:left="567" w:hanging="57"/>
        <w:rPr>
          <w:rFonts w:ascii="Times New Roman" w:hAnsi="Times New Roman" w:cs="Times New Roman"/>
          <w:b/>
        </w:rPr>
      </w:pPr>
      <w:r w:rsidRPr="00F41EDD">
        <w:rPr>
          <w:rFonts w:ascii="Times New Roman" w:hAnsi="Times New Roman" w:cs="Times New Roman"/>
          <w:b/>
        </w:rPr>
        <w:t>Conclusion</w:t>
      </w:r>
    </w:p>
    <w:p w:rsidR="00CA424B" w:rsidRPr="00F41EDD" w:rsidRDefault="00CA424B" w:rsidP="00CA424B">
      <w:pPr>
        <w:pStyle w:val="NoSpacing"/>
        <w:ind w:left="567" w:hanging="57"/>
        <w:rPr>
          <w:rFonts w:ascii="Times New Roman" w:hAnsi="Times New Roman" w:cs="Times New Roman"/>
        </w:rPr>
      </w:pPr>
    </w:p>
    <w:p w:rsidR="00CA424B" w:rsidRPr="00F41EDD" w:rsidRDefault="00CA424B" w:rsidP="00CA424B">
      <w:pPr>
        <w:pStyle w:val="NoSpacing"/>
        <w:ind w:left="567" w:hanging="57"/>
        <w:rPr>
          <w:rFonts w:ascii="Times New Roman" w:hAnsi="Times New Roman" w:cs="Times New Roman"/>
        </w:rPr>
      </w:pPr>
      <w:r w:rsidRPr="00F41EDD">
        <w:rPr>
          <w:rFonts w:ascii="Times New Roman" w:hAnsi="Times New Roman" w:cs="Times New Roman"/>
        </w:rPr>
        <w:t xml:space="preserve">This </w:t>
      </w:r>
      <w:r>
        <w:rPr>
          <w:rFonts w:ascii="Times New Roman" w:hAnsi="Times New Roman" w:cs="Times New Roman"/>
        </w:rPr>
        <w:t>d</w:t>
      </w:r>
      <w:r w:rsidRPr="00F41EDD">
        <w:rPr>
          <w:rFonts w:ascii="Times New Roman" w:hAnsi="Times New Roman" w:cs="Times New Roman"/>
        </w:rPr>
        <w:t>eclaration is compatible with human rights as it does not raise any human rights issues.</w:t>
      </w:r>
    </w:p>
    <w:p w:rsidR="00CA424B" w:rsidRPr="00F41EDD" w:rsidRDefault="00CA424B" w:rsidP="00CA424B">
      <w:pPr>
        <w:pStyle w:val="NoSpacing"/>
        <w:ind w:left="567" w:hanging="57"/>
        <w:rPr>
          <w:rFonts w:ascii="Times New Roman" w:hAnsi="Times New Roman" w:cs="Times New Roman"/>
        </w:rPr>
      </w:pPr>
      <w:r w:rsidRPr="00F41EDD">
        <w:rPr>
          <w:rFonts w:ascii="Times New Roman" w:hAnsi="Times New Roman" w:cs="Times New Roman"/>
        </w:rPr>
        <w:t> </w:t>
      </w:r>
    </w:p>
    <w:p w:rsidR="00CA424B" w:rsidRPr="00F41EDD" w:rsidRDefault="00CA424B" w:rsidP="00CA424B">
      <w:pPr>
        <w:pStyle w:val="NoSpacing"/>
        <w:ind w:left="567" w:hanging="57"/>
        <w:rPr>
          <w:rFonts w:ascii="Times New Roman" w:hAnsi="Times New Roman" w:cs="Times New Roman"/>
        </w:rPr>
      </w:pPr>
    </w:p>
    <w:p w:rsidR="00CA424B" w:rsidRPr="00F41EDD" w:rsidRDefault="00CA424B" w:rsidP="00CA424B">
      <w:pPr>
        <w:pStyle w:val="NoSpacing"/>
        <w:ind w:left="567" w:hanging="57"/>
        <w:rPr>
          <w:rFonts w:ascii="Times New Roman" w:hAnsi="Times New Roman" w:cs="Times New Roman"/>
        </w:rPr>
      </w:pPr>
    </w:p>
    <w:p w:rsidR="00CA424B" w:rsidRPr="00F41EDD" w:rsidRDefault="00CA424B" w:rsidP="00CA424B">
      <w:pPr>
        <w:pStyle w:val="NoSpacing"/>
        <w:ind w:left="567" w:hanging="57"/>
        <w:rPr>
          <w:rFonts w:ascii="Times New Roman" w:hAnsi="Times New Roman" w:cs="Times New Roman"/>
        </w:rPr>
      </w:pPr>
    </w:p>
    <w:p w:rsidR="00CA424B" w:rsidRPr="00F41EDD" w:rsidRDefault="00CA424B" w:rsidP="00CA424B">
      <w:pPr>
        <w:pStyle w:val="NoSpacing"/>
        <w:ind w:left="567" w:hanging="57"/>
        <w:rPr>
          <w:rFonts w:ascii="Times New Roman" w:hAnsi="Times New Roman" w:cs="Times New Roman"/>
        </w:rPr>
      </w:pPr>
      <w:r>
        <w:rPr>
          <w:rFonts w:ascii="Times New Roman" w:hAnsi="Times New Roman" w:cs="Times New Roman"/>
        </w:rPr>
        <w:t xml:space="preserve">Craig Laundy </w:t>
      </w:r>
    </w:p>
    <w:p w:rsidR="00CA424B" w:rsidRPr="007756D0" w:rsidRDefault="00CA424B" w:rsidP="00CA424B">
      <w:pPr>
        <w:spacing w:after="0" w:line="240" w:lineRule="auto"/>
        <w:ind w:left="567" w:hanging="57"/>
        <w:rPr>
          <w:rFonts w:ascii="Times New Roman" w:hAnsi="Times New Roman" w:cs="Times New Roman"/>
        </w:rPr>
      </w:pPr>
      <w:r w:rsidRPr="00573A9E">
        <w:rPr>
          <w:rFonts w:ascii="Times New Roman" w:hAnsi="Times New Roman" w:cs="Times New Roman"/>
        </w:rPr>
        <w:t>Minister for Small and Family Business, the Workplace and Deregulation</w:t>
      </w:r>
    </w:p>
    <w:p w:rsidR="00CA424B" w:rsidRPr="00A20643" w:rsidRDefault="00CA424B" w:rsidP="00CA424B">
      <w:pPr>
        <w:spacing w:after="0" w:line="240" w:lineRule="auto"/>
        <w:rPr>
          <w:rFonts w:cstheme="minorHAnsi"/>
        </w:rPr>
      </w:pPr>
    </w:p>
    <w:p w:rsidR="00B47EE6" w:rsidRDefault="00B47EE6"/>
    <w:sectPr w:rsidR="00B47EE6" w:rsidSect="005D42A7">
      <w:headerReference w:type="default" r:id="rId7"/>
      <w:footerReference w:type="default" r:id="rId8"/>
      <w:headerReference w:type="first" r:id="rId9"/>
      <w:footerReference w:type="first" r:id="rId10"/>
      <w:pgSz w:w="11906" w:h="16838"/>
      <w:pgMar w:top="284" w:right="849" w:bottom="851" w:left="567" w:header="28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24B" w:rsidRDefault="00CA424B" w:rsidP="00CA424B">
      <w:pPr>
        <w:spacing w:after="0" w:line="240" w:lineRule="auto"/>
      </w:pPr>
      <w:r>
        <w:separator/>
      </w:r>
    </w:p>
  </w:endnote>
  <w:endnote w:type="continuationSeparator" w:id="0">
    <w:p w:rsidR="00CA424B" w:rsidRDefault="00CA424B"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F9" w:rsidRPr="000B1FF9" w:rsidRDefault="00B6602F" w:rsidP="000B1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98F" w:rsidRPr="00AA0179" w:rsidRDefault="00CA424B" w:rsidP="0064098F">
    <w:pPr>
      <w:pStyle w:val="Footer"/>
      <w:pBdr>
        <w:top w:val="single" w:sz="8" w:space="0" w:color="365F91"/>
      </w:pBdr>
      <w:jc w:val="center"/>
      <w:rPr>
        <w:rFonts w:ascii="Times New Roman" w:hAnsi="Times New Roman"/>
        <w:color w:val="365F91"/>
        <w:sz w:val="20"/>
      </w:rPr>
    </w:pPr>
    <w:r w:rsidRPr="00AA0179">
      <w:rPr>
        <w:rFonts w:ascii="Times New Roman" w:hAnsi="Times New Roman"/>
        <w:color w:val="365F91"/>
        <w:sz w:val="20"/>
      </w:rPr>
      <w:t>Parliament House Canber</w:t>
    </w:r>
    <w:r>
      <w:rPr>
        <w:rFonts w:ascii="Times New Roman" w:hAnsi="Times New Roman"/>
        <w:color w:val="365F91"/>
        <w:sz w:val="20"/>
      </w:rPr>
      <w:t>ra ACT 2600 Telephone (02) 6277 7610</w:t>
    </w:r>
    <w:r w:rsidRPr="00AA0179">
      <w:rPr>
        <w:rFonts w:ascii="Times New Roman" w:hAnsi="Times New Roman"/>
        <w:color w:val="365F91"/>
        <w:sz w:val="20"/>
      </w:rPr>
      <w:t xml:space="preserve"> </w:t>
    </w:r>
  </w:p>
  <w:p w:rsidR="003E5F78" w:rsidRPr="0064098F" w:rsidRDefault="00B6602F" w:rsidP="0064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24B" w:rsidRDefault="00CA424B" w:rsidP="00CA424B">
      <w:pPr>
        <w:spacing w:after="0" w:line="240" w:lineRule="auto"/>
      </w:pPr>
      <w:r>
        <w:separator/>
      </w:r>
    </w:p>
  </w:footnote>
  <w:footnote w:type="continuationSeparator" w:id="0">
    <w:p w:rsidR="00CA424B" w:rsidRDefault="00CA424B" w:rsidP="00CA424B">
      <w:pPr>
        <w:spacing w:after="0" w:line="240" w:lineRule="auto"/>
      </w:pPr>
      <w:r>
        <w:continuationSeparator/>
      </w:r>
    </w:p>
  </w:footnote>
  <w:footnote w:id="1">
    <w:p w:rsidR="00CA424B" w:rsidRPr="00B52BE4" w:rsidRDefault="00CA424B" w:rsidP="00CA424B">
      <w:pPr>
        <w:pStyle w:val="FootnoteText"/>
      </w:pPr>
      <w:r>
        <w:rPr>
          <w:rStyle w:val="FootnoteReference"/>
        </w:rPr>
        <w:footnoteRef/>
      </w:r>
      <w:r>
        <w:t xml:space="preserve"> Committee on Economic, Social and Cultural Rights, </w:t>
      </w:r>
      <w:r>
        <w:rPr>
          <w:i/>
        </w:rPr>
        <w:t>General Comment 19, The Right to Social Security</w:t>
      </w:r>
      <w:r>
        <w:t>, U.N. Doc. E/C.12/GC/19 (2008)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C3" w:rsidRPr="00010DC8" w:rsidRDefault="00B6602F">
    <w:pPr>
      <w:pStyle w:val="Header"/>
      <w:jc w:val="center"/>
      <w:rPr>
        <w:rFonts w:ascii="Times New Roman" w:hAnsi="Times New Roman" w:cs="Times New Roman"/>
      </w:rPr>
    </w:pPr>
  </w:p>
  <w:p w:rsidR="00ED0017" w:rsidRPr="00010DC8" w:rsidRDefault="00B6602F" w:rsidP="00ED0017">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ommonwealth Coat of Arms"/>
      <w:tag w:val="Commonwealth Coat of Arms"/>
      <w:id w:val="1288624559"/>
      <w:lock w:val="contentLocked"/>
    </w:sdtPr>
    <w:sdtEndPr/>
    <w:sdtContent>
      <w:p w:rsidR="003E5F78" w:rsidRDefault="00CA424B" w:rsidP="009E584C">
        <w:pPr>
          <w:pStyle w:val="Header"/>
          <w:jc w:val="center"/>
        </w:pPr>
        <w:r>
          <w:rPr>
            <w:noProof/>
            <w:color w:val="0000FF"/>
            <w:sz w:val="20"/>
            <w:lang w:eastAsia="en-AU"/>
          </w:rPr>
          <w:drawing>
            <wp:inline distT="0" distB="0" distL="0" distR="0" wp14:anchorId="4E8A87A7" wp14:editId="3382E7D6">
              <wp:extent cx="1151890" cy="866775"/>
              <wp:effectExtent l="0" t="0" r="0" b="9525"/>
              <wp:docPr id="2" name="Picture 2" descr="mini a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73948" name="Picture 1" descr="mini aust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1890" cy="866775"/>
                      </a:xfrm>
                      <a:prstGeom prst="rect">
                        <a:avLst/>
                      </a:prstGeom>
                      <a:noFill/>
                      <a:ln>
                        <a:noFill/>
                      </a:ln>
                    </pic:spPr>
                  </pic:pic>
                </a:graphicData>
              </a:graphic>
            </wp:inline>
          </w:drawing>
        </w:r>
      </w:p>
    </w:sdtContent>
  </w:sdt>
  <w:sdt>
    <w:sdtPr>
      <w:rPr>
        <w:rFonts w:ascii="Times New Roman" w:hAnsi="Times New Roman" w:cs="Times New Roman"/>
        <w:color w:val="365F91"/>
        <w:sz w:val="28"/>
        <w:szCs w:val="28"/>
      </w:rPr>
      <w:alias w:val="Ministerial header page 1"/>
      <w:tag w:val="Ministerial header page 1"/>
      <w:id w:val="-2024002603"/>
      <w:lock w:val="contentLocked"/>
    </w:sdtPr>
    <w:sdtEndPr>
      <w:rPr>
        <w:color w:val="auto"/>
        <w:sz w:val="22"/>
        <w:szCs w:val="22"/>
      </w:rPr>
    </w:sdtEndPr>
    <w:sdtContent>
      <w:p w:rsidR="0064098F" w:rsidRPr="005E46E4" w:rsidRDefault="00CA424B" w:rsidP="0064098F">
        <w:pPr>
          <w:tabs>
            <w:tab w:val="center" w:pos="4513"/>
            <w:tab w:val="right" w:pos="9026"/>
          </w:tabs>
          <w:spacing w:after="0" w:line="240" w:lineRule="auto"/>
          <w:jc w:val="center"/>
          <w:rPr>
            <w:rFonts w:ascii="Times New Roman" w:hAnsi="Times New Roman"/>
            <w:b/>
            <w:color w:val="365F91"/>
            <w:sz w:val="32"/>
            <w:szCs w:val="32"/>
          </w:rPr>
        </w:pPr>
        <w:r>
          <w:rPr>
            <w:rFonts w:ascii="Times New Roman" w:hAnsi="Times New Roman"/>
            <w:b/>
            <w:color w:val="365F91"/>
            <w:sz w:val="32"/>
            <w:szCs w:val="32"/>
          </w:rPr>
          <w:t>T</w:t>
        </w:r>
        <w:r w:rsidRPr="005E46E4">
          <w:rPr>
            <w:rFonts w:ascii="Times New Roman" w:hAnsi="Times New Roman"/>
            <w:b/>
            <w:color w:val="365F91"/>
            <w:sz w:val="32"/>
            <w:szCs w:val="32"/>
          </w:rPr>
          <w:t xml:space="preserve">he Hon </w:t>
        </w:r>
        <w:r>
          <w:rPr>
            <w:rFonts w:ascii="Times New Roman" w:hAnsi="Times New Roman"/>
            <w:b/>
            <w:color w:val="365F91"/>
            <w:sz w:val="32"/>
            <w:szCs w:val="32"/>
          </w:rPr>
          <w:t>Craig Laundy MP</w:t>
        </w:r>
      </w:p>
      <w:p w:rsidR="003E5F78" w:rsidRPr="00F4244B" w:rsidRDefault="00CA424B" w:rsidP="00A20643">
        <w:pPr>
          <w:tabs>
            <w:tab w:val="center" w:pos="4513"/>
            <w:tab w:val="right" w:pos="9026"/>
          </w:tabs>
          <w:spacing w:after="480"/>
          <w:jc w:val="center"/>
          <w:rPr>
            <w:rFonts w:ascii="Times New Roman" w:hAnsi="Times New Roman" w:cs="Times New Roman"/>
            <w:color w:val="365F91"/>
            <w:sz w:val="28"/>
            <w:szCs w:val="28"/>
          </w:rPr>
        </w:pPr>
        <w:r w:rsidRPr="005E46E4">
          <w:rPr>
            <w:rFonts w:ascii="Times New Roman" w:hAnsi="Times New Roman"/>
            <w:color w:val="365F91"/>
            <w:sz w:val="28"/>
            <w:szCs w:val="28"/>
          </w:rPr>
          <w:t xml:space="preserve">Minister for </w:t>
        </w:r>
        <w:r>
          <w:rPr>
            <w:rFonts w:ascii="Times New Roman" w:hAnsi="Times New Roman"/>
            <w:color w:val="365F91"/>
            <w:sz w:val="28"/>
            <w:szCs w:val="28"/>
          </w:rPr>
          <w:t>Small and Family Business, the Workplace and Deregulation</w:t>
        </w:r>
      </w:p>
    </w:sdtContent>
  </w:sdt>
  <w:p w:rsidR="003E5F78" w:rsidRPr="00A20643" w:rsidRDefault="00CA424B" w:rsidP="00EE2D43">
    <w:pPr>
      <w:spacing w:after="0" w:line="240" w:lineRule="auto"/>
      <w:rPr>
        <w:rFonts w:eastAsia="Times New Roman" w:cstheme="minorHAnsi"/>
        <w:sz w:val="24"/>
        <w:szCs w:val="24"/>
        <w:lang w:eastAsia="en-AU"/>
      </w:rPr>
    </w:pPr>
    <w:r w:rsidRPr="00A20643">
      <w:rPr>
        <w:rFonts w:eastAsia="Times New Roman" w:cstheme="minorHAnsi"/>
        <w:sz w:val="24"/>
        <w:szCs w:val="24"/>
        <w:lang w:eastAsia="en-AU"/>
      </w:rPr>
      <w:t xml:space="preserve">Reference: </w:t>
    </w:r>
    <w:sdt>
      <w:sdtPr>
        <w:rPr>
          <w:rFonts w:eastAsia="Times New Roman" w:cstheme="minorHAnsi"/>
          <w:sz w:val="24"/>
          <w:szCs w:val="24"/>
          <w:lang w:eastAsia="en-AU"/>
        </w:rPr>
        <w:alias w:val="PDR number"/>
        <w:tag w:val="PdrId"/>
        <w:id w:val="-415019345"/>
      </w:sdtPr>
      <w:sdtEndPr/>
      <w:sdtContent>
        <w:r>
          <w:rPr>
            <w:rFonts w:ascii="Calibri" w:eastAsia="Times New Roman" w:hAnsi="Calibri" w:cs="Calibri"/>
            <w:sz w:val="24"/>
            <w:szCs w:val="24"/>
            <w:bdr w:val="nil"/>
            <w:lang w:eastAsia="en-AU"/>
          </w:rPr>
          <w:t>MS18-000195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54C2F"/>
    <w:multiLevelType w:val="hybridMultilevel"/>
    <w:tmpl w:val="B5B09DC4"/>
    <w:lvl w:ilvl="0" w:tplc="5810EE24">
      <w:start w:val="1"/>
      <w:numFmt w:val="bullet"/>
      <w:lvlText w:val=""/>
      <w:lvlJc w:val="left"/>
      <w:pPr>
        <w:ind w:left="720" w:hanging="360"/>
      </w:pPr>
      <w:rPr>
        <w:rFonts w:ascii="Symbol" w:hAnsi="Symbol" w:hint="default"/>
      </w:rPr>
    </w:lvl>
    <w:lvl w:ilvl="1" w:tplc="83B6446E" w:tentative="1">
      <w:start w:val="1"/>
      <w:numFmt w:val="bullet"/>
      <w:lvlText w:val="o"/>
      <w:lvlJc w:val="left"/>
      <w:pPr>
        <w:ind w:left="1440" w:hanging="360"/>
      </w:pPr>
      <w:rPr>
        <w:rFonts w:ascii="Courier New" w:hAnsi="Courier New" w:cs="Courier New" w:hint="default"/>
      </w:rPr>
    </w:lvl>
    <w:lvl w:ilvl="2" w:tplc="990E3E0A" w:tentative="1">
      <w:start w:val="1"/>
      <w:numFmt w:val="bullet"/>
      <w:lvlText w:val=""/>
      <w:lvlJc w:val="left"/>
      <w:pPr>
        <w:ind w:left="2160" w:hanging="360"/>
      </w:pPr>
      <w:rPr>
        <w:rFonts w:ascii="Wingdings" w:hAnsi="Wingdings" w:hint="default"/>
      </w:rPr>
    </w:lvl>
    <w:lvl w:ilvl="3" w:tplc="5A0CEEAA" w:tentative="1">
      <w:start w:val="1"/>
      <w:numFmt w:val="bullet"/>
      <w:lvlText w:val=""/>
      <w:lvlJc w:val="left"/>
      <w:pPr>
        <w:ind w:left="2880" w:hanging="360"/>
      </w:pPr>
      <w:rPr>
        <w:rFonts w:ascii="Symbol" w:hAnsi="Symbol" w:hint="default"/>
      </w:rPr>
    </w:lvl>
    <w:lvl w:ilvl="4" w:tplc="9E0A8E5C" w:tentative="1">
      <w:start w:val="1"/>
      <w:numFmt w:val="bullet"/>
      <w:lvlText w:val="o"/>
      <w:lvlJc w:val="left"/>
      <w:pPr>
        <w:ind w:left="3600" w:hanging="360"/>
      </w:pPr>
      <w:rPr>
        <w:rFonts w:ascii="Courier New" w:hAnsi="Courier New" w:cs="Courier New" w:hint="default"/>
      </w:rPr>
    </w:lvl>
    <w:lvl w:ilvl="5" w:tplc="DC5AFC18" w:tentative="1">
      <w:start w:val="1"/>
      <w:numFmt w:val="bullet"/>
      <w:lvlText w:val=""/>
      <w:lvlJc w:val="left"/>
      <w:pPr>
        <w:ind w:left="4320" w:hanging="360"/>
      </w:pPr>
      <w:rPr>
        <w:rFonts w:ascii="Wingdings" w:hAnsi="Wingdings" w:hint="default"/>
      </w:rPr>
    </w:lvl>
    <w:lvl w:ilvl="6" w:tplc="BBE603B4" w:tentative="1">
      <w:start w:val="1"/>
      <w:numFmt w:val="bullet"/>
      <w:lvlText w:val=""/>
      <w:lvlJc w:val="left"/>
      <w:pPr>
        <w:ind w:left="5040" w:hanging="360"/>
      </w:pPr>
      <w:rPr>
        <w:rFonts w:ascii="Symbol" w:hAnsi="Symbol" w:hint="default"/>
      </w:rPr>
    </w:lvl>
    <w:lvl w:ilvl="7" w:tplc="5F98C6E4" w:tentative="1">
      <w:start w:val="1"/>
      <w:numFmt w:val="bullet"/>
      <w:lvlText w:val="o"/>
      <w:lvlJc w:val="left"/>
      <w:pPr>
        <w:ind w:left="5760" w:hanging="360"/>
      </w:pPr>
      <w:rPr>
        <w:rFonts w:ascii="Courier New" w:hAnsi="Courier New" w:cs="Courier New" w:hint="default"/>
      </w:rPr>
    </w:lvl>
    <w:lvl w:ilvl="8" w:tplc="8A9034F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4B"/>
    <w:rsid w:val="00B47EE6"/>
    <w:rsid w:val="00B6602F"/>
    <w:rsid w:val="00CA4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8E329-2926-4D31-A8B9-06391621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24B"/>
  </w:style>
  <w:style w:type="paragraph" w:styleId="Footer">
    <w:name w:val="footer"/>
    <w:basedOn w:val="Normal"/>
    <w:link w:val="FooterChar"/>
    <w:uiPriority w:val="99"/>
    <w:unhideWhenUsed/>
    <w:rsid w:val="00CA4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24B"/>
  </w:style>
  <w:style w:type="paragraph" w:styleId="ListParagraph">
    <w:name w:val="List Paragraph"/>
    <w:basedOn w:val="Normal"/>
    <w:uiPriority w:val="34"/>
    <w:qFormat/>
    <w:rsid w:val="00CA424B"/>
    <w:pPr>
      <w:ind w:left="720"/>
      <w:contextualSpacing/>
    </w:pPr>
  </w:style>
  <w:style w:type="paragraph" w:styleId="FootnoteText">
    <w:name w:val="footnote text"/>
    <w:basedOn w:val="Normal"/>
    <w:link w:val="FootnoteTextChar"/>
    <w:rsid w:val="00CA424B"/>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CA424B"/>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A424B"/>
    <w:rPr>
      <w:vertAlign w:val="superscript"/>
    </w:rPr>
  </w:style>
  <w:style w:type="paragraph" w:styleId="NoSpacing">
    <w:name w:val="No Spacing"/>
    <w:uiPriority w:val="1"/>
    <w:qFormat/>
    <w:rsid w:val="00CA4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F85791DC.dotm</Template>
  <TotalTime>0</TotalTime>
  <Pages>2</Pages>
  <Words>712</Words>
  <Characters>4064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ROSS,Michael</dc:creator>
  <cp:keywords/>
  <dc:description/>
  <cp:lastModifiedBy>CUMNER,Tori</cp:lastModifiedBy>
  <cp:revision>2</cp:revision>
  <dcterms:created xsi:type="dcterms:W3CDTF">2018-04-08T23:27:00Z</dcterms:created>
  <dcterms:modified xsi:type="dcterms:W3CDTF">2018-04-08T23:27:00Z</dcterms:modified>
</cp:coreProperties>
</file>