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4A82" w14:textId="13C76FE9" w:rsidR="005B0E3A" w:rsidRPr="00517910" w:rsidRDefault="005B0E3A" w:rsidP="003729CD">
      <w:pPr>
        <w:spacing w:before="63" w:line="479" w:lineRule="auto"/>
        <w:jc w:val="center"/>
      </w:pPr>
      <w:bookmarkStart w:id="0" w:name="_GoBack"/>
      <w:bookmarkEnd w:id="0"/>
      <w:r w:rsidRPr="00517910">
        <w:rPr>
          <w:b/>
          <w:color w:val="000000"/>
          <w:sz w:val="28"/>
        </w:rPr>
        <w:t>EXPLANATORY</w:t>
      </w:r>
      <w:r w:rsidRPr="00517910">
        <w:rPr>
          <w:b/>
          <w:color w:val="000000"/>
          <w:spacing w:val="-39"/>
          <w:sz w:val="28"/>
        </w:rPr>
        <w:t xml:space="preserve"> </w:t>
      </w:r>
      <w:r w:rsidRPr="00517910">
        <w:rPr>
          <w:b/>
          <w:color w:val="000000"/>
          <w:spacing w:val="-1"/>
          <w:sz w:val="28"/>
        </w:rPr>
        <w:t xml:space="preserve">STATEMENT for </w:t>
      </w:r>
      <w:r w:rsidRPr="00517910">
        <w:rPr>
          <w:b/>
          <w:color w:val="000000"/>
          <w:spacing w:val="-1"/>
          <w:sz w:val="28"/>
        </w:rPr>
        <w:br/>
      </w:r>
      <w:r w:rsidR="003729CD" w:rsidRPr="00517910">
        <w:rPr>
          <w:b/>
          <w:color w:val="000000"/>
          <w:spacing w:val="-1"/>
          <w:sz w:val="28"/>
        </w:rPr>
        <w:t>ASIC Corporations (</w:t>
      </w:r>
      <w:r w:rsidR="002148E7" w:rsidRPr="00517910">
        <w:rPr>
          <w:b/>
          <w:color w:val="000000"/>
          <w:spacing w:val="-1"/>
          <w:sz w:val="28"/>
        </w:rPr>
        <w:t>Amendment</w:t>
      </w:r>
      <w:r w:rsidR="003729CD" w:rsidRPr="00517910">
        <w:rPr>
          <w:b/>
          <w:color w:val="000000"/>
          <w:spacing w:val="-1"/>
          <w:sz w:val="28"/>
        </w:rPr>
        <w:t xml:space="preserve">) Instrument </w:t>
      </w:r>
      <w:r w:rsidR="00CD71D9" w:rsidRPr="00517910">
        <w:rPr>
          <w:b/>
          <w:color w:val="000000"/>
          <w:spacing w:val="-1"/>
          <w:sz w:val="28"/>
        </w:rPr>
        <w:t>2018/213</w:t>
      </w:r>
      <w:r w:rsidR="003729CD" w:rsidRPr="00517910">
        <w:rPr>
          <w:b/>
          <w:color w:val="000000"/>
          <w:spacing w:val="-1"/>
          <w:sz w:val="28"/>
        </w:rPr>
        <w:br/>
      </w:r>
      <w:r w:rsidRPr="00517910">
        <w:t>Prepared by the Australian Securities and Investments Commission</w:t>
      </w:r>
    </w:p>
    <w:p w14:paraId="29D54561" w14:textId="77777777" w:rsidR="005B0E3A" w:rsidRPr="00517910" w:rsidRDefault="005B0E3A" w:rsidP="005B0E3A">
      <w:pPr>
        <w:jc w:val="center"/>
        <w:rPr>
          <w:i/>
          <w:sz w:val="24"/>
        </w:rPr>
      </w:pPr>
      <w:r w:rsidRPr="00517910">
        <w:rPr>
          <w:i/>
          <w:sz w:val="24"/>
        </w:rPr>
        <w:t>Corporations Act 2001</w:t>
      </w:r>
    </w:p>
    <w:p w14:paraId="75D36025" w14:textId="19AE819A" w:rsidR="003729CD" w:rsidRPr="00517910" w:rsidRDefault="005B0E3A" w:rsidP="003729CD">
      <w:pPr>
        <w:pStyle w:val="BodyText"/>
        <w:spacing w:line="261" w:lineRule="auto"/>
      </w:pPr>
      <w:r w:rsidRPr="00517910">
        <w:t xml:space="preserve">The Australian Securities and Investments Commission (ASIC) makes </w:t>
      </w:r>
      <w:r w:rsidR="003729CD" w:rsidRPr="00517910">
        <w:t>ASIC Corporations (</w:t>
      </w:r>
      <w:r w:rsidR="002148E7" w:rsidRPr="00517910">
        <w:t>Amendment</w:t>
      </w:r>
      <w:r w:rsidR="003729CD" w:rsidRPr="00517910">
        <w:t xml:space="preserve">) Instrument </w:t>
      </w:r>
      <w:r w:rsidR="00CD71D9" w:rsidRPr="00517910">
        <w:t>2018/213</w:t>
      </w:r>
      <w:r w:rsidR="00CD71D9" w:rsidRPr="00517910" w:rsidDel="00CD71D9">
        <w:t xml:space="preserve"> </w:t>
      </w:r>
      <w:r w:rsidR="002148E7" w:rsidRPr="00517910">
        <w:t>(the Amending Instrument)</w:t>
      </w:r>
      <w:r w:rsidR="003729CD" w:rsidRPr="00517910">
        <w:t xml:space="preserve"> under section 926A</w:t>
      </w:r>
      <w:r w:rsidR="00045CF8" w:rsidRPr="00517910">
        <w:t>(2)(a)</w:t>
      </w:r>
      <w:r w:rsidR="003729CD" w:rsidRPr="00517910">
        <w:t xml:space="preserve"> of the </w:t>
      </w:r>
      <w:r w:rsidR="003729CD" w:rsidRPr="00517910">
        <w:rPr>
          <w:i/>
        </w:rPr>
        <w:t>Corporations Act 2001</w:t>
      </w:r>
      <w:r w:rsidR="003729CD" w:rsidRPr="00517910">
        <w:t xml:space="preserve"> (Corporations Act).</w:t>
      </w:r>
      <w:r w:rsidR="00045CF8" w:rsidRPr="00517910">
        <w:t xml:space="preserve"> Paragraph 926A(2)(a)</w:t>
      </w:r>
      <w:r w:rsidR="003729CD" w:rsidRPr="00517910">
        <w:rPr>
          <w:spacing w:val="-1"/>
        </w:rPr>
        <w:t xml:space="preserve"> </w:t>
      </w:r>
      <w:r w:rsidR="003729CD" w:rsidRPr="00517910">
        <w:t>provides that ASIC may</w:t>
      </w:r>
      <w:r w:rsidR="003729CD" w:rsidRPr="00517910">
        <w:rPr>
          <w:spacing w:val="-1"/>
        </w:rPr>
        <w:t xml:space="preserve"> </w:t>
      </w:r>
      <w:r w:rsidR="00045CF8" w:rsidRPr="00517910">
        <w:t>exempt a person, or class of persons, from all or specified provisions in Part 7.6 of that Act (except Divisions 4 and 8).</w:t>
      </w:r>
    </w:p>
    <w:p w14:paraId="491C5757" w14:textId="77777777" w:rsidR="002148E7" w:rsidRPr="00517910" w:rsidRDefault="002148E7" w:rsidP="003729CD">
      <w:pPr>
        <w:pStyle w:val="BodyText"/>
        <w:spacing w:line="261" w:lineRule="auto"/>
      </w:pPr>
      <w:r w:rsidRPr="00517910">
        <w:t xml:space="preserve">Under subsection 33(3) of the </w:t>
      </w:r>
      <w:r w:rsidRPr="00517910">
        <w:rPr>
          <w:i/>
        </w:rPr>
        <w:t>Acts Interpretations Act 1901</w:t>
      </w:r>
      <w:r w:rsidRPr="00517910">
        <w:t xml:space="preserve"> (as applicable to the relevant powers because of section 5C of the Act), where an Act confers a power to make, grant or issue any instrument, the power shall be construed as including a power exercisable in the like manner and subject to the like conditions to repeal, rescind, revoke, amend or vary any such instrument.</w:t>
      </w:r>
    </w:p>
    <w:p w14:paraId="5F4F6DA9" w14:textId="77777777" w:rsidR="005B0E3A" w:rsidRPr="00517910" w:rsidRDefault="005B0E3A" w:rsidP="0090337E">
      <w:pPr>
        <w:pStyle w:val="Heading2"/>
        <w:numPr>
          <w:ilvl w:val="0"/>
          <w:numId w:val="20"/>
        </w:numPr>
        <w:spacing w:before="480"/>
        <w:ind w:hanging="720"/>
        <w:rPr>
          <w:rFonts w:eastAsia="Arial" w:cs="Arial"/>
          <w:sz w:val="28"/>
          <w:szCs w:val="28"/>
        </w:rPr>
      </w:pPr>
      <w:bookmarkStart w:id="1" w:name="1._Background"/>
      <w:bookmarkEnd w:id="1"/>
      <w:r w:rsidRPr="00517910">
        <w:rPr>
          <w:sz w:val="28"/>
          <w:szCs w:val="28"/>
        </w:rPr>
        <w:t>Background</w:t>
      </w:r>
    </w:p>
    <w:p w14:paraId="052ECA0F" w14:textId="77777777" w:rsidR="002148E7" w:rsidRPr="00517910" w:rsidRDefault="002148E7" w:rsidP="002148E7">
      <w:pPr>
        <w:pStyle w:val="BodyText"/>
        <w:spacing w:before="199"/>
      </w:pPr>
      <w:r w:rsidRPr="00517910">
        <w:t xml:space="preserve">On 14 December 2016 ASIC made ASIC Corporations (Concept Validation Licensing Exemption) Instrument 2016/1175 (the Principal Instrument) and ASIC Credit (Concept Validation Licensing Exemption) Instrument 2016/1176, which allow eligible businesses to test certain products and services for 12 months without needing to obtain an AFS licence or credit licence, respectively. </w:t>
      </w:r>
    </w:p>
    <w:p w14:paraId="6F0A56DF" w14:textId="6F687520" w:rsidR="002148E7" w:rsidRPr="00517910" w:rsidRDefault="002148E7" w:rsidP="002148E7">
      <w:pPr>
        <w:pStyle w:val="BodyText"/>
        <w:spacing w:before="199"/>
      </w:pPr>
      <w:r w:rsidRPr="00517910">
        <w:t>The Principal Instrument provides that a person does not need to hold an AFS licence to:</w:t>
      </w:r>
    </w:p>
    <w:p w14:paraId="7AB39667" w14:textId="77777777" w:rsidR="002148E7" w:rsidRPr="00517910" w:rsidRDefault="002148E7" w:rsidP="002148E7">
      <w:pPr>
        <w:pStyle w:val="BodyText"/>
        <w:spacing w:before="199"/>
      </w:pPr>
      <w:r w:rsidRPr="00517910">
        <w:t>a.</w:t>
      </w:r>
      <w:r w:rsidRPr="00517910">
        <w:tab/>
        <w:t xml:space="preserve">provide financial product advice in relation to an eligible product; </w:t>
      </w:r>
    </w:p>
    <w:p w14:paraId="569DF51D" w14:textId="77777777" w:rsidR="002148E7" w:rsidRPr="00517910" w:rsidRDefault="002148E7" w:rsidP="002148E7">
      <w:pPr>
        <w:pStyle w:val="BodyText"/>
        <w:spacing w:before="199"/>
      </w:pPr>
      <w:r w:rsidRPr="00517910">
        <w:t>b.</w:t>
      </w:r>
      <w:r w:rsidRPr="00517910">
        <w:tab/>
        <w:t>deal in an eligible product (other than by way of issuing or varying the eligible product).</w:t>
      </w:r>
    </w:p>
    <w:p w14:paraId="4463E4E4" w14:textId="77777777" w:rsidR="00375864" w:rsidRPr="00517910" w:rsidRDefault="006872A1" w:rsidP="00375864">
      <w:pPr>
        <w:pStyle w:val="li-bodytextunnumbered"/>
        <w:shd w:val="clear" w:color="auto" w:fill="FFFFFF"/>
      </w:pPr>
      <w:r w:rsidRPr="00517910">
        <w:t xml:space="preserve">In </w:t>
      </w:r>
      <w:r w:rsidR="00375864" w:rsidRPr="00517910">
        <w:t>defining the eligible products the instrument each of the following:</w:t>
      </w:r>
    </w:p>
    <w:p w14:paraId="4750CD81" w14:textId="77777777" w:rsidR="00375864" w:rsidRPr="00517910" w:rsidRDefault="00375864" w:rsidP="00375864">
      <w:pPr>
        <w:pStyle w:val="li-bodytextunnumbered"/>
        <w:shd w:val="clear" w:color="auto" w:fill="FFFFFF"/>
        <w:ind w:left="720"/>
      </w:pPr>
      <w:r w:rsidRPr="00517910">
        <w:t>(a)     a non-cash payment facility issued by an ADI (within the meaning of the Banking Act 1959);</w:t>
      </w:r>
    </w:p>
    <w:p w14:paraId="01E89D11" w14:textId="77777777" w:rsidR="00375864" w:rsidRPr="00517910" w:rsidRDefault="00375864" w:rsidP="00375864">
      <w:pPr>
        <w:pStyle w:val="li-bodytextunnumbered"/>
        <w:shd w:val="clear" w:color="auto" w:fill="FFFFFF"/>
        <w:ind w:left="720"/>
      </w:pPr>
      <w:r w:rsidRPr="00517910">
        <w:t>(b)     a home contents insurance product where the sum insured under the product does not exceed $50,000;</w:t>
      </w:r>
    </w:p>
    <w:p w14:paraId="53DE486D" w14:textId="77777777" w:rsidR="00375864" w:rsidRPr="00517910" w:rsidRDefault="00375864" w:rsidP="00375864">
      <w:pPr>
        <w:pStyle w:val="li-bodytextunnumbered"/>
        <w:shd w:val="clear" w:color="auto" w:fill="FFFFFF"/>
        <w:ind w:left="720"/>
      </w:pPr>
      <w:r w:rsidRPr="00517910">
        <w:t>(c)     a personal and domestic property insurance product where the sum insured under the product does not exceed $50,000;</w:t>
      </w:r>
    </w:p>
    <w:p w14:paraId="118D60BC" w14:textId="77777777" w:rsidR="00375864" w:rsidRPr="00517910" w:rsidRDefault="00375864" w:rsidP="00375864">
      <w:pPr>
        <w:pStyle w:val="li-bodytextunnumbered"/>
        <w:shd w:val="clear" w:color="auto" w:fill="FFFFFF"/>
        <w:ind w:left="720"/>
      </w:pPr>
      <w:r w:rsidRPr="00517910">
        <w:t xml:space="preserve">(d)     a managed investment product in relation to a simple managed investment scheme; </w:t>
      </w:r>
    </w:p>
    <w:p w14:paraId="77C4BC53" w14:textId="77777777" w:rsidR="00375864" w:rsidRPr="00517910" w:rsidRDefault="00375864" w:rsidP="00375864">
      <w:pPr>
        <w:pStyle w:val="li-bodytextunnumbered"/>
        <w:shd w:val="clear" w:color="auto" w:fill="FFFFFF"/>
        <w:ind w:left="720"/>
      </w:pPr>
      <w:r w:rsidRPr="00517910">
        <w:lastRenderedPageBreak/>
        <w:t>(e)     a quoted security;</w:t>
      </w:r>
    </w:p>
    <w:p w14:paraId="6867BEA6" w14:textId="7B68E9FC" w:rsidR="002148E7" w:rsidRPr="00517910" w:rsidRDefault="00375864" w:rsidP="00375864">
      <w:pPr>
        <w:pStyle w:val="li-bodytextunnumbered"/>
        <w:shd w:val="clear" w:color="auto" w:fill="FFFFFF"/>
        <w:ind w:left="720"/>
      </w:pPr>
      <w:r w:rsidRPr="00517910">
        <w:t>(f)     debentures, stocks or bonds issued or proposed to be issued by the Government of the Commonwealth.;</w:t>
      </w:r>
    </w:p>
    <w:p w14:paraId="44ED08EA" w14:textId="2A20943A" w:rsidR="002148E7" w:rsidRPr="00517910" w:rsidRDefault="002148E7" w:rsidP="002148E7">
      <w:pPr>
        <w:pStyle w:val="BodyText"/>
        <w:tabs>
          <w:tab w:val="clear" w:pos="567"/>
          <w:tab w:val="clear" w:pos="680"/>
          <w:tab w:val="left" w:pos="851"/>
        </w:tabs>
        <w:spacing w:before="199"/>
      </w:pPr>
      <w:r w:rsidRPr="00517910">
        <w:t>When making the Principal Instrument, ASIC intended to include</w:t>
      </w:r>
      <w:r w:rsidR="002E0264" w:rsidRPr="00517910">
        <w:t xml:space="preserve"> amongst the conditions</w:t>
      </w:r>
      <w:r w:rsidRPr="00517910">
        <w:t xml:space="preserve"> </w:t>
      </w:r>
      <w:r w:rsidR="006872A1" w:rsidRPr="00517910">
        <w:t xml:space="preserve">that a person relying on the exemption in within the Principal Instrument </w:t>
      </w:r>
      <w:r w:rsidR="009B00E0" w:rsidRPr="00517910">
        <w:t xml:space="preserve">comply </w:t>
      </w:r>
      <w:r w:rsidR="00D859B0" w:rsidRPr="00517910">
        <w:t>to be permitted to engage with basic deposit products</w:t>
      </w:r>
      <w:r w:rsidR="00A954D0" w:rsidRPr="00517910">
        <w:t>.</w:t>
      </w:r>
      <w:r w:rsidRPr="00517910">
        <w:t xml:space="preserve"> However, this did not occur.</w:t>
      </w:r>
      <w:r w:rsidR="00DC6E7B" w:rsidRPr="00517910">
        <w:t xml:space="preserve"> </w:t>
      </w:r>
    </w:p>
    <w:p w14:paraId="547BCE33" w14:textId="77777777" w:rsidR="002148E7" w:rsidRPr="00517910" w:rsidRDefault="002148E7" w:rsidP="002148E7">
      <w:pPr>
        <w:pStyle w:val="Heading2"/>
        <w:numPr>
          <w:ilvl w:val="0"/>
          <w:numId w:val="20"/>
        </w:numPr>
        <w:spacing w:before="480"/>
        <w:ind w:hanging="720"/>
        <w:rPr>
          <w:sz w:val="28"/>
          <w:szCs w:val="28"/>
        </w:rPr>
      </w:pPr>
      <w:r w:rsidRPr="00517910">
        <w:rPr>
          <w:sz w:val="28"/>
          <w:szCs w:val="28"/>
        </w:rPr>
        <w:t>Purpose of the instrument</w:t>
      </w:r>
    </w:p>
    <w:p w14:paraId="7E8661AD" w14:textId="47BC07F9" w:rsidR="00A954D0" w:rsidRDefault="002148E7" w:rsidP="00A954D0">
      <w:pPr>
        <w:pStyle w:val="BodyText"/>
        <w:spacing w:before="199"/>
      </w:pPr>
      <w:r w:rsidRPr="00517910">
        <w:t xml:space="preserve">ASIC has made </w:t>
      </w:r>
      <w:r w:rsidR="008D7B5E" w:rsidRPr="00517910">
        <w:t>the Amending Instrument</w:t>
      </w:r>
      <w:r w:rsidRPr="000F3C75">
        <w:t xml:space="preserve"> </w:t>
      </w:r>
      <w:r>
        <w:t xml:space="preserve">to amend the Principal Instrument to include </w:t>
      </w:r>
      <w:r w:rsidR="00B62916">
        <w:t xml:space="preserve">the </w:t>
      </w:r>
      <w:r w:rsidR="00D859B0">
        <w:t>basic deposit products as an eligible product</w:t>
      </w:r>
      <w:r w:rsidR="00A954D0">
        <w:t>.</w:t>
      </w:r>
    </w:p>
    <w:p w14:paraId="6D90A907" w14:textId="65FE7002" w:rsidR="002148E7" w:rsidRDefault="002148E7" w:rsidP="00A954D0">
      <w:pPr>
        <w:pStyle w:val="BodyText"/>
        <w:tabs>
          <w:tab w:val="clear" w:pos="567"/>
          <w:tab w:val="clear" w:pos="680"/>
          <w:tab w:val="left" w:pos="851"/>
        </w:tabs>
        <w:spacing w:before="199"/>
      </w:pPr>
      <w:r>
        <w:t>The effect of this change is that</w:t>
      </w:r>
      <w:r w:rsidR="008D7B5E">
        <w:t xml:space="preserve"> new businesses may test certain financial services </w:t>
      </w:r>
      <w:r w:rsidR="00B62916">
        <w:t xml:space="preserve">related to the provision of </w:t>
      </w:r>
      <w:r w:rsidR="00D859B0">
        <w:t>basic deposit products from existing authorized deposit taking institutions</w:t>
      </w:r>
      <w:r w:rsidR="008D7B5E">
        <w:t xml:space="preserve"> without a financial services licence for 12 months</w:t>
      </w:r>
      <w:r w:rsidR="00960333">
        <w:t xml:space="preserve">. </w:t>
      </w:r>
    </w:p>
    <w:p w14:paraId="61B17544" w14:textId="77777777" w:rsidR="002148E7" w:rsidRPr="0090337E" w:rsidRDefault="002148E7" w:rsidP="002148E7">
      <w:pPr>
        <w:pStyle w:val="Heading2"/>
        <w:numPr>
          <w:ilvl w:val="0"/>
          <w:numId w:val="20"/>
        </w:numPr>
        <w:spacing w:before="480"/>
        <w:ind w:hanging="720"/>
        <w:rPr>
          <w:sz w:val="28"/>
          <w:szCs w:val="28"/>
        </w:rPr>
      </w:pPr>
      <w:r w:rsidRPr="0090337E">
        <w:rPr>
          <w:sz w:val="28"/>
          <w:szCs w:val="28"/>
        </w:rPr>
        <w:t>Operation of the instrument</w:t>
      </w:r>
    </w:p>
    <w:p w14:paraId="6FEC9821" w14:textId="0BEE8D1A" w:rsidR="002148E7" w:rsidRDefault="002148E7" w:rsidP="002148E7">
      <w:pPr>
        <w:pStyle w:val="BodyText"/>
        <w:spacing w:before="199"/>
      </w:pPr>
      <w:r>
        <w:t xml:space="preserve">Section </w:t>
      </w:r>
      <w:r w:rsidR="007C714E">
        <w:t xml:space="preserve">4 </w:t>
      </w:r>
      <w:r w:rsidR="008D7B5E">
        <w:t xml:space="preserve">of, </w:t>
      </w:r>
      <w:r>
        <w:t>and Schedule 1 to</w:t>
      </w:r>
      <w:r w:rsidR="008D7B5E">
        <w:t>, the Amending Instrument</w:t>
      </w:r>
      <w:r>
        <w:t xml:space="preserve"> provides that the </w:t>
      </w:r>
      <w:r w:rsidR="007C714E">
        <w:t xml:space="preserve">definition of </w:t>
      </w:r>
      <w:r w:rsidR="007C714E" w:rsidRPr="00CD71D9">
        <w:rPr>
          <w:b/>
          <w:i/>
        </w:rPr>
        <w:t>eligible product</w:t>
      </w:r>
      <w:r w:rsidR="007C714E">
        <w:t xml:space="preserve"> in the Principal Instrument is amended to include a</w:t>
      </w:r>
      <w:r w:rsidR="00D859B0">
        <w:t xml:space="preserve"> basic deposit product.</w:t>
      </w:r>
    </w:p>
    <w:p w14:paraId="62950F70" w14:textId="77777777" w:rsidR="002148E7" w:rsidRPr="0090337E" w:rsidRDefault="002148E7" w:rsidP="002148E7">
      <w:pPr>
        <w:pStyle w:val="Heading2"/>
        <w:numPr>
          <w:ilvl w:val="0"/>
          <w:numId w:val="20"/>
        </w:numPr>
        <w:spacing w:before="480"/>
        <w:ind w:hanging="720"/>
        <w:rPr>
          <w:b w:val="0"/>
          <w:spacing w:val="-1"/>
          <w:sz w:val="24"/>
        </w:rPr>
      </w:pPr>
      <w:r w:rsidRPr="0090337E">
        <w:rPr>
          <w:sz w:val="28"/>
          <w:szCs w:val="28"/>
        </w:rPr>
        <w:t>Consultation</w:t>
      </w:r>
    </w:p>
    <w:p w14:paraId="0B7E39CC" w14:textId="088AC293" w:rsidR="002148E7" w:rsidRDefault="002148E7" w:rsidP="002148E7">
      <w:pPr>
        <w:pStyle w:val="BodyText"/>
        <w:spacing w:before="199"/>
      </w:pPr>
      <w:r w:rsidRPr="002148E7">
        <w:t xml:space="preserve">ASIC did not undertake a formal consultation process </w:t>
      </w:r>
      <w:r w:rsidR="006E05C8">
        <w:t>for</w:t>
      </w:r>
      <w:r w:rsidRPr="002148E7">
        <w:t xml:space="preserve"> the </w:t>
      </w:r>
      <w:r w:rsidR="008D7B5E">
        <w:t>Amending I</w:t>
      </w:r>
      <w:r w:rsidRPr="002148E7">
        <w:t xml:space="preserve">nstrument on the basis that it makes a minor amendment to </w:t>
      </w:r>
      <w:r w:rsidR="008D7B5E">
        <w:t>reflect</w:t>
      </w:r>
      <w:r w:rsidRPr="002148E7">
        <w:t xml:space="preserve"> the intended effec</w:t>
      </w:r>
      <w:r w:rsidR="008D7B5E">
        <w:t>t of the Principal I</w:t>
      </w:r>
      <w:r w:rsidRPr="002148E7">
        <w:t>nstrument</w:t>
      </w:r>
      <w:r w:rsidR="00A77F03">
        <w:t xml:space="preserve"> which did have consultation undertaken</w:t>
      </w:r>
      <w:r w:rsidR="00CD71D9">
        <w:t xml:space="preserve"> in line with approvals from Office of Best Practice of Regulation.</w:t>
      </w:r>
    </w:p>
    <w:p w14:paraId="047BEF20" w14:textId="77777777" w:rsidR="005B0E3A" w:rsidRDefault="005B0E3A" w:rsidP="00043431">
      <w:pPr>
        <w:pStyle w:val="Bodytextplain"/>
        <w:ind w:left="0"/>
        <w:sectPr w:rsidR="005B0E3A" w:rsidSect="003729CD">
          <w:headerReference w:type="even" r:id="rId11"/>
          <w:footerReference w:type="even" r:id="rId12"/>
          <w:footerReference w:type="default" r:id="rId13"/>
          <w:headerReference w:type="first" r:id="rId14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</w:p>
    <w:p w14:paraId="219151F4" w14:textId="77777777" w:rsidR="00574893" w:rsidRPr="0099243B" w:rsidRDefault="00574893" w:rsidP="00574893">
      <w:pPr>
        <w:pStyle w:val="Heading2"/>
        <w:spacing w:before="480"/>
        <w:jc w:val="center"/>
        <w:rPr>
          <w:sz w:val="28"/>
          <w:szCs w:val="28"/>
        </w:rPr>
      </w:pPr>
      <w:r w:rsidRPr="00574893">
        <w:rPr>
          <w:sz w:val="28"/>
          <w:szCs w:val="28"/>
        </w:rPr>
        <w:lastRenderedPageBreak/>
        <w:t xml:space="preserve">Statement of </w:t>
      </w:r>
      <w:r w:rsidRPr="0099243B">
        <w:rPr>
          <w:sz w:val="28"/>
          <w:szCs w:val="28"/>
        </w:rPr>
        <w:t>Compatibility with Human Rights</w:t>
      </w:r>
    </w:p>
    <w:p w14:paraId="5F01C160" w14:textId="77777777" w:rsidR="00574893" w:rsidRPr="0099243B" w:rsidRDefault="00574893" w:rsidP="00574893">
      <w:pPr>
        <w:spacing w:before="120" w:after="120"/>
        <w:jc w:val="center"/>
      </w:pPr>
      <w:r w:rsidRPr="0099243B">
        <w:rPr>
          <w:i/>
        </w:rPr>
        <w:t>Prepared in accordance with Part 3 of the Human Rights (Parliamentary Scrutiny) Act 2011</w:t>
      </w:r>
    </w:p>
    <w:p w14:paraId="61646181" w14:textId="77777777" w:rsidR="00574893" w:rsidRPr="0099243B" w:rsidRDefault="00574893" w:rsidP="00574893">
      <w:pPr>
        <w:spacing w:before="120" w:after="120"/>
        <w:jc w:val="center"/>
      </w:pPr>
    </w:p>
    <w:p w14:paraId="62FD85B3" w14:textId="4F7085EC" w:rsidR="00574893" w:rsidRPr="0099243B" w:rsidRDefault="00574893" w:rsidP="008D7B5E">
      <w:pPr>
        <w:spacing w:before="120" w:after="120"/>
        <w:jc w:val="center"/>
        <w:rPr>
          <w:b/>
        </w:rPr>
      </w:pPr>
      <w:r w:rsidRPr="0099243B">
        <w:rPr>
          <w:b/>
        </w:rPr>
        <w:t>ASIC Corporations (</w:t>
      </w:r>
      <w:r w:rsidR="008D7B5E" w:rsidRPr="0099243B">
        <w:rPr>
          <w:b/>
        </w:rPr>
        <w:t>Amendment</w:t>
      </w:r>
      <w:r w:rsidRPr="0099243B">
        <w:rPr>
          <w:b/>
        </w:rPr>
        <w:t xml:space="preserve">) Instrument </w:t>
      </w:r>
      <w:r w:rsidR="0099243B" w:rsidRPr="00517910">
        <w:rPr>
          <w:b/>
        </w:rPr>
        <w:t>2018/213</w:t>
      </w:r>
    </w:p>
    <w:p w14:paraId="32FF1D30" w14:textId="77777777" w:rsidR="00574893" w:rsidRPr="0099243B" w:rsidRDefault="00574893" w:rsidP="00574893">
      <w:pPr>
        <w:spacing w:before="120" w:after="120"/>
      </w:pPr>
    </w:p>
    <w:p w14:paraId="000F8944" w14:textId="5618F4B2" w:rsidR="00574893" w:rsidRDefault="00574893" w:rsidP="00574893">
      <w:pPr>
        <w:spacing w:before="120" w:after="120"/>
      </w:pPr>
      <w:r w:rsidRPr="0099243B">
        <w:t>ASIC Corporations (</w:t>
      </w:r>
      <w:r w:rsidR="008D7B5E" w:rsidRPr="0099243B">
        <w:t>Amendment</w:t>
      </w:r>
      <w:r w:rsidR="003477F2" w:rsidRPr="0099243B">
        <w:t xml:space="preserve">) Instrument </w:t>
      </w:r>
      <w:r w:rsidR="0099243B" w:rsidRPr="00517910">
        <w:t>2018/213</w:t>
      </w:r>
      <w:r w:rsidR="0099243B" w:rsidRPr="00517910" w:rsidDel="00CD71D9">
        <w:t xml:space="preserve"> </w:t>
      </w:r>
      <w:r w:rsidR="008D7B5E" w:rsidRPr="0099243B">
        <w:t xml:space="preserve">(Amending </w:t>
      </w:r>
      <w:r w:rsidR="008D7B5E">
        <w:t>Instrument)</w:t>
      </w:r>
      <w:r>
        <w:t xml:space="preserve"> </w:t>
      </w:r>
      <w:r w:rsidR="008D7B5E">
        <w:t>is</w:t>
      </w:r>
      <w:r>
        <w:t xml:space="preserve"> </w:t>
      </w:r>
      <w:r w:rsidRPr="00247F54">
        <w:t xml:space="preserve">compatible with the human rights and freedoms recognised or declared in the international instruments listed in section 3 of the </w:t>
      </w:r>
      <w:r w:rsidRPr="00247F54">
        <w:rPr>
          <w:i/>
        </w:rPr>
        <w:t>Human Rights (Parliamentary Scrutiny) Act 2011</w:t>
      </w:r>
      <w:r w:rsidRPr="00247F54">
        <w:t>.</w:t>
      </w:r>
    </w:p>
    <w:p w14:paraId="6F11AC79" w14:textId="77777777" w:rsidR="00574893" w:rsidRPr="00FF4C09" w:rsidRDefault="00574893" w:rsidP="00FF4C09">
      <w:pPr>
        <w:pStyle w:val="Heading3"/>
        <w:spacing w:before="199" w:after="0" w:line="300" w:lineRule="atLeast"/>
        <w:ind w:left="0"/>
        <w:jc w:val="left"/>
        <w:rPr>
          <w:b/>
          <w:sz w:val="24"/>
          <w:szCs w:val="24"/>
        </w:rPr>
      </w:pPr>
      <w:r w:rsidRPr="00FF4C09">
        <w:rPr>
          <w:b/>
          <w:sz w:val="24"/>
          <w:szCs w:val="24"/>
        </w:rPr>
        <w:t>Overview</w:t>
      </w:r>
    </w:p>
    <w:p w14:paraId="141295B2" w14:textId="77777777" w:rsidR="008D7B5E" w:rsidRDefault="008D7B5E" w:rsidP="00574893">
      <w:pPr>
        <w:spacing w:before="120" w:after="120"/>
      </w:pPr>
      <w:r>
        <w:t xml:space="preserve">The purpose of the Amending Instrument is to make a minor amendment to the </w:t>
      </w:r>
      <w:r w:rsidR="00574893">
        <w:t>ASIC Corporations (Concept Validation Licensing Exemption) Instrument 2016/1175</w:t>
      </w:r>
      <w:r>
        <w:t xml:space="preserve"> (the Principal Instrument).</w:t>
      </w:r>
    </w:p>
    <w:p w14:paraId="280598F8" w14:textId="77777777" w:rsidR="00574893" w:rsidRDefault="008D7B5E" w:rsidP="00574893">
      <w:pPr>
        <w:spacing w:before="120" w:after="120"/>
      </w:pPr>
      <w:r>
        <w:t>The Principal Instrument</w:t>
      </w:r>
      <w:r w:rsidR="00574893">
        <w:t xml:space="preserve"> </w:t>
      </w:r>
      <w:r w:rsidR="00574893" w:rsidRPr="003C6B0D">
        <w:t>allow</w:t>
      </w:r>
      <w:r>
        <w:t>s</w:t>
      </w:r>
      <w:r w:rsidR="00574893" w:rsidRPr="003C6B0D">
        <w:t xml:space="preserve"> eligible </w:t>
      </w:r>
      <w:r w:rsidR="00574893">
        <w:t>persons</w:t>
      </w:r>
      <w:r w:rsidR="00574893" w:rsidRPr="003C6B0D">
        <w:t xml:space="preserve"> to test certain products and services for 12 months without needing to obtain an AFS licence</w:t>
      </w:r>
      <w:r w:rsidR="00574893">
        <w:t xml:space="preserve">. </w:t>
      </w:r>
      <w:r>
        <w:t>The intention of the Principal instrument</w:t>
      </w:r>
      <w:r w:rsidR="00574893">
        <w:t xml:space="preserve"> is to promote innov</w:t>
      </w:r>
      <w:r>
        <w:t xml:space="preserve">ation in financial services </w:t>
      </w:r>
      <w:r w:rsidR="000030EB">
        <w:t xml:space="preserve">by facilitating unlicensed testing of certain types of services </w:t>
      </w:r>
      <w:r w:rsidR="00574893">
        <w:t>while maintaining many of the normal protections that apply to consumers.</w:t>
      </w:r>
    </w:p>
    <w:p w14:paraId="79CA2A9F" w14:textId="5D9676E2" w:rsidR="008D7B5E" w:rsidRPr="00883DB6" w:rsidRDefault="008D7B5E" w:rsidP="00574893">
      <w:pPr>
        <w:spacing w:before="120" w:after="120"/>
      </w:pPr>
      <w:r>
        <w:t xml:space="preserve">The Amending </w:t>
      </w:r>
      <w:r w:rsidRPr="00517910">
        <w:t xml:space="preserve">Instrument </w:t>
      </w:r>
      <w:r w:rsidR="0099243B" w:rsidRPr="00517910">
        <w:t xml:space="preserve">ensures those using the Principal Instrument </w:t>
      </w:r>
      <w:r w:rsidR="00517910" w:rsidRPr="00517910">
        <w:t xml:space="preserve">are </w:t>
      </w:r>
      <w:r w:rsidR="0099243B" w:rsidRPr="00517910">
        <w:t>permitted to engage with deposit products</w:t>
      </w:r>
      <w:r w:rsidRPr="00517910">
        <w:t>.</w:t>
      </w:r>
    </w:p>
    <w:p w14:paraId="5BD20F5E" w14:textId="77777777" w:rsidR="00574893" w:rsidRPr="00FF4C09" w:rsidRDefault="00574893" w:rsidP="00FF4C09">
      <w:pPr>
        <w:pStyle w:val="Heading3"/>
        <w:spacing w:before="199" w:after="0" w:line="300" w:lineRule="atLeast"/>
        <w:ind w:left="0"/>
        <w:jc w:val="left"/>
        <w:rPr>
          <w:b/>
          <w:sz w:val="24"/>
          <w:szCs w:val="24"/>
        </w:rPr>
      </w:pPr>
      <w:r w:rsidRPr="00FF4C09">
        <w:rPr>
          <w:b/>
          <w:sz w:val="24"/>
          <w:szCs w:val="24"/>
        </w:rPr>
        <w:t>Human rights implications</w:t>
      </w:r>
    </w:p>
    <w:p w14:paraId="24A481DC" w14:textId="77777777" w:rsidR="008D7B5E" w:rsidRDefault="00574893" w:rsidP="00574893">
      <w:pPr>
        <w:spacing w:before="120" w:after="120"/>
      </w:pPr>
      <w:r>
        <w:t>The</w:t>
      </w:r>
      <w:r w:rsidR="008D7B5E">
        <w:t xml:space="preserve"> Amending Instrument does not engage any of the applicable rights or freedoms.</w:t>
      </w:r>
    </w:p>
    <w:p w14:paraId="5616A04C" w14:textId="77777777" w:rsidR="00574893" w:rsidRPr="00FF4C09" w:rsidRDefault="00574893" w:rsidP="00FF4C09">
      <w:pPr>
        <w:pStyle w:val="Heading3"/>
        <w:spacing w:before="199" w:after="0" w:line="300" w:lineRule="atLeast"/>
        <w:ind w:left="0"/>
        <w:jc w:val="left"/>
        <w:rPr>
          <w:b/>
          <w:sz w:val="24"/>
          <w:szCs w:val="24"/>
        </w:rPr>
      </w:pPr>
      <w:r w:rsidRPr="00FF4C09">
        <w:rPr>
          <w:b/>
          <w:sz w:val="24"/>
          <w:szCs w:val="24"/>
        </w:rPr>
        <w:t>Conclusion</w:t>
      </w:r>
    </w:p>
    <w:p w14:paraId="3D107979" w14:textId="77777777" w:rsidR="00574893" w:rsidRDefault="001E59C8" w:rsidP="001E59C8">
      <w:pPr>
        <w:pStyle w:val="ListParagraph"/>
        <w:spacing w:before="120" w:after="120"/>
        <w:ind w:left="0"/>
      </w:pPr>
      <w:r w:rsidRPr="001E59C8">
        <w:t>The</w:t>
      </w:r>
      <w:r w:rsidR="008D7B5E">
        <w:t xml:space="preserve"> Amending</w:t>
      </w:r>
      <w:r w:rsidRPr="001E59C8">
        <w:t xml:space="preserve"> Instrument is compatible with human rights</w:t>
      </w:r>
      <w:r w:rsidR="008D7B5E">
        <w:t xml:space="preserve"> as it does not raise any human rights issues.</w:t>
      </w:r>
    </w:p>
    <w:p w14:paraId="3C10E615" w14:textId="77777777" w:rsidR="001E59C8" w:rsidRPr="00E4135E" w:rsidRDefault="001E59C8" w:rsidP="000030EB">
      <w:pPr>
        <w:pStyle w:val="ListParagraph"/>
        <w:spacing w:before="120" w:after="120"/>
        <w:ind w:left="1080"/>
      </w:pPr>
    </w:p>
    <w:p w14:paraId="6F578646" w14:textId="77777777" w:rsidR="00574893" w:rsidRPr="00E4135E" w:rsidRDefault="00574893" w:rsidP="001E59C8">
      <w:pPr>
        <w:spacing w:before="120" w:after="120"/>
        <w:jc w:val="center"/>
      </w:pPr>
      <w:r w:rsidRPr="001E59C8">
        <w:rPr>
          <w:b/>
        </w:rPr>
        <w:t>Australian Securities and Investments Commission</w:t>
      </w:r>
    </w:p>
    <w:p w14:paraId="0BC712AF" w14:textId="77777777" w:rsidR="00574893" w:rsidRDefault="00574893" w:rsidP="000030EB">
      <w:pPr>
        <w:pStyle w:val="ListParagraph"/>
        <w:spacing w:before="120" w:after="120"/>
        <w:ind w:left="1080"/>
      </w:pPr>
    </w:p>
    <w:p w14:paraId="6F2482BC" w14:textId="77777777" w:rsidR="000076D6" w:rsidRDefault="000076D6"/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DD9" w14:textId="77777777" w:rsidR="001C3E1F" w:rsidRDefault="001C3E1F">
      <w:pPr>
        <w:spacing w:after="0"/>
      </w:pPr>
      <w:r>
        <w:separator/>
      </w:r>
    </w:p>
  </w:endnote>
  <w:endnote w:type="continuationSeparator" w:id="0">
    <w:p w14:paraId="2284DA4B" w14:textId="77777777" w:rsidR="001C3E1F" w:rsidRDefault="001C3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4796" w14:textId="77777777" w:rsidR="007A4EE4" w:rsidRDefault="007A4E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9BB3C07" w14:textId="77777777" w:rsidR="007A4EE4" w:rsidRDefault="007A4EE4">
    <w:pPr>
      <w:pStyle w:val="Footer"/>
      <w:ind w:right="360"/>
    </w:pPr>
  </w:p>
  <w:p w14:paraId="1EFAC02C" w14:textId="77777777" w:rsidR="007A4EE4" w:rsidRDefault="007A4EE4"/>
  <w:p w14:paraId="14AB138E" w14:textId="77777777" w:rsidR="007A4EE4" w:rsidRDefault="007A4EE4"/>
  <w:p w14:paraId="0219F193" w14:textId="77777777" w:rsidR="007A4EE4" w:rsidRDefault="007A4EE4"/>
  <w:p w14:paraId="385556B7" w14:textId="77777777" w:rsidR="007A4EE4" w:rsidRDefault="007A4EE4"/>
  <w:p w14:paraId="3CEC7ACE" w14:textId="77777777" w:rsidR="007A4EE4" w:rsidRDefault="007A4E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EB70" w14:textId="490DF470" w:rsidR="007A4EE4" w:rsidRDefault="007A4EE4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E47FC50" wp14:editId="2AA78B11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F5484" w14:textId="1BEFE5F5" w:rsidR="007A4EE4" w:rsidRPr="008F541E" w:rsidRDefault="007A4EE4" w:rsidP="003729CD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62A2F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3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7FC5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180F5484" w14:textId="1BEFE5F5" w:rsidR="007A4EE4" w:rsidRPr="008F541E" w:rsidRDefault="007A4EE4" w:rsidP="003729CD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962A2F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3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6B38" w14:textId="77777777" w:rsidR="001C3E1F" w:rsidRDefault="001C3E1F">
      <w:pPr>
        <w:spacing w:after="0"/>
      </w:pPr>
      <w:r>
        <w:separator/>
      </w:r>
    </w:p>
  </w:footnote>
  <w:footnote w:type="continuationSeparator" w:id="0">
    <w:p w14:paraId="3D23563A" w14:textId="77777777" w:rsidR="001C3E1F" w:rsidRDefault="001C3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E1C6" w14:textId="77777777" w:rsidR="007A4EE4" w:rsidRDefault="007A4EE4"/>
  <w:p w14:paraId="7AE25280" w14:textId="77777777" w:rsidR="007A4EE4" w:rsidRDefault="007A4E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AA08" w14:textId="77777777" w:rsidR="007A4EE4" w:rsidRDefault="007A4EE4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0239"/>
    <w:multiLevelType w:val="hybridMultilevel"/>
    <w:tmpl w:val="126E8204"/>
    <w:lvl w:ilvl="0" w:tplc="38F0B41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11169"/>
    <w:multiLevelType w:val="hybridMultilevel"/>
    <w:tmpl w:val="4CB0928A"/>
    <w:lvl w:ilvl="0" w:tplc="1E7280D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2163883"/>
    <w:multiLevelType w:val="hybridMultilevel"/>
    <w:tmpl w:val="D4D2FC7A"/>
    <w:lvl w:ilvl="0" w:tplc="FD72A49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706"/>
    <w:multiLevelType w:val="hybridMultilevel"/>
    <w:tmpl w:val="A1141A0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139E6"/>
    <w:multiLevelType w:val="hybridMultilevel"/>
    <w:tmpl w:val="BE94BDC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211A46"/>
    <w:multiLevelType w:val="hybridMultilevel"/>
    <w:tmpl w:val="4DD45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5" w15:restartNumberingAfterBreak="0">
    <w:nsid w:val="406C20D7"/>
    <w:multiLevelType w:val="hybridMultilevel"/>
    <w:tmpl w:val="19BED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5181A"/>
    <w:multiLevelType w:val="hybridMultilevel"/>
    <w:tmpl w:val="BE94BDC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F25735"/>
    <w:multiLevelType w:val="hybridMultilevel"/>
    <w:tmpl w:val="BE94BDC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25BD4"/>
    <w:multiLevelType w:val="hybridMultilevel"/>
    <w:tmpl w:val="FFAABC38"/>
    <w:lvl w:ilvl="0" w:tplc="0C09000F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50A8B"/>
    <w:multiLevelType w:val="hybridMultilevel"/>
    <w:tmpl w:val="99B65442"/>
    <w:lvl w:ilvl="0" w:tplc="0C0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222C6"/>
    <w:multiLevelType w:val="hybridMultilevel"/>
    <w:tmpl w:val="F1084C4E"/>
    <w:lvl w:ilvl="0" w:tplc="6994C1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5" w15:restartNumberingAfterBreak="0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24"/>
  </w:num>
  <w:num w:numId="5">
    <w:abstractNumId w:val="7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23"/>
  </w:num>
  <w:num w:numId="13">
    <w:abstractNumId w:val="20"/>
  </w:num>
  <w:num w:numId="14">
    <w:abstractNumId w:val="8"/>
  </w:num>
  <w:num w:numId="15">
    <w:abstractNumId w:val="1"/>
  </w:num>
  <w:num w:numId="16">
    <w:abstractNumId w:val="9"/>
  </w:num>
  <w:num w:numId="17">
    <w:abstractNumId w:val="16"/>
  </w:num>
  <w:num w:numId="18">
    <w:abstractNumId w:val="12"/>
  </w:num>
  <w:num w:numId="19">
    <w:abstractNumId w:val="10"/>
  </w:num>
  <w:num w:numId="20">
    <w:abstractNumId w:val="5"/>
  </w:num>
  <w:num w:numId="21">
    <w:abstractNumId w:val="18"/>
  </w:num>
  <w:num w:numId="22">
    <w:abstractNumId w:val="13"/>
  </w:num>
  <w:num w:numId="23">
    <w:abstractNumId w:val="22"/>
  </w:num>
  <w:num w:numId="24">
    <w:abstractNumId w:val="19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3A"/>
    <w:rsid w:val="000030EB"/>
    <w:rsid w:val="000076D6"/>
    <w:rsid w:val="00034C15"/>
    <w:rsid w:val="00043431"/>
    <w:rsid w:val="00045CF8"/>
    <w:rsid w:val="000C7FF0"/>
    <w:rsid w:val="000D10FE"/>
    <w:rsid w:val="000F3C75"/>
    <w:rsid w:val="00123043"/>
    <w:rsid w:val="00126F82"/>
    <w:rsid w:val="0018051C"/>
    <w:rsid w:val="001C3E1F"/>
    <w:rsid w:val="001E59C8"/>
    <w:rsid w:val="002148E7"/>
    <w:rsid w:val="002E0264"/>
    <w:rsid w:val="00322D4F"/>
    <w:rsid w:val="003477F2"/>
    <w:rsid w:val="003729CD"/>
    <w:rsid w:val="00375864"/>
    <w:rsid w:val="003C4235"/>
    <w:rsid w:val="003C4D88"/>
    <w:rsid w:val="003C6B0D"/>
    <w:rsid w:val="004857BE"/>
    <w:rsid w:val="004F0124"/>
    <w:rsid w:val="004F3989"/>
    <w:rsid w:val="00517910"/>
    <w:rsid w:val="00532F44"/>
    <w:rsid w:val="00542A61"/>
    <w:rsid w:val="00574893"/>
    <w:rsid w:val="005B0E3A"/>
    <w:rsid w:val="00664FF6"/>
    <w:rsid w:val="006872A1"/>
    <w:rsid w:val="006E05C8"/>
    <w:rsid w:val="00733962"/>
    <w:rsid w:val="007A4EE4"/>
    <w:rsid w:val="007C714E"/>
    <w:rsid w:val="007D7097"/>
    <w:rsid w:val="008D7B5E"/>
    <w:rsid w:val="008F4B61"/>
    <w:rsid w:val="0090337E"/>
    <w:rsid w:val="00946934"/>
    <w:rsid w:val="00960333"/>
    <w:rsid w:val="00962A2F"/>
    <w:rsid w:val="0099243B"/>
    <w:rsid w:val="009B00E0"/>
    <w:rsid w:val="00A1682F"/>
    <w:rsid w:val="00A77F03"/>
    <w:rsid w:val="00A954D0"/>
    <w:rsid w:val="00AA349D"/>
    <w:rsid w:val="00AB73F6"/>
    <w:rsid w:val="00AC02C2"/>
    <w:rsid w:val="00AD7EE2"/>
    <w:rsid w:val="00B229BA"/>
    <w:rsid w:val="00B503FC"/>
    <w:rsid w:val="00B62916"/>
    <w:rsid w:val="00B655D0"/>
    <w:rsid w:val="00C05AD5"/>
    <w:rsid w:val="00C3565D"/>
    <w:rsid w:val="00CA24A5"/>
    <w:rsid w:val="00CC60D0"/>
    <w:rsid w:val="00CD71D9"/>
    <w:rsid w:val="00CE583D"/>
    <w:rsid w:val="00D05C06"/>
    <w:rsid w:val="00D841DD"/>
    <w:rsid w:val="00D859B0"/>
    <w:rsid w:val="00DB3A5E"/>
    <w:rsid w:val="00DC6E7B"/>
    <w:rsid w:val="00DD3C61"/>
    <w:rsid w:val="00EA60D8"/>
    <w:rsid w:val="00F25C15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FB96E8"/>
  <w15:docId w15:val="{624210FF-6112-40A5-B6C9-C1AFF2E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D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4F"/>
    <w:rPr>
      <w:rFonts w:ascii="Tahoma" w:hAnsi="Tahoma" w:cs="Tahoma"/>
      <w:sz w:val="16"/>
      <w:szCs w:val="16"/>
    </w:rPr>
  </w:style>
  <w:style w:type="paragraph" w:customStyle="1" w:styleId="li-bodytextunnumbered">
    <w:name w:val="li-bodytextunnumbered"/>
    <w:basedOn w:val="Normal"/>
    <w:rsid w:val="00375864"/>
    <w:pPr>
      <w:spacing w:before="100" w:beforeAutospacing="1" w:after="100" w:afterAutospacing="1"/>
    </w:pPr>
    <w:rPr>
      <w:sz w:val="24"/>
      <w:szCs w:val="24"/>
    </w:rPr>
  </w:style>
  <w:style w:type="paragraph" w:customStyle="1" w:styleId="li-bodytextparaa">
    <w:name w:val="li-bodytextparaa"/>
    <w:basedOn w:val="Normal"/>
    <w:rsid w:val="0037586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9B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859B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77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9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M Project Document" ma:contentTypeID="0x010100B5F685A1365F544391EF8C813B164F3A9E00EAFF1B56FE073C42895EC72E49ED6F99" ma:contentTypeVersion="11" ma:contentTypeDescription="" ma:contentTypeScope="" ma:versionID="98e52c4866e2dc8839b12c980b92a9ff">
  <xsd:schema xmlns:xsd="http://www.w3.org/2001/XMLSchema" xmlns:xs="http://www.w3.org/2001/XMLSchema" xmlns:p="http://schemas.microsoft.com/office/2006/metadata/properties" xmlns:ns2="da7a9ac0-bc47-4684-84e6-3a8e9ac80c12" xmlns:ns3="6181b681-ca7e-4648-8291-7d20c9dedd2c" xmlns:ns4="17f478ab-373e-4295-9ff0-9b833ad01319" xmlns:ns6="http://schemas.microsoft.com/sharepoint/v4" targetNamespace="http://schemas.microsoft.com/office/2006/metadata/properties" ma:root="true" ma:fieldsID="f5191e77ae6aff7a15f705330a01fe65" ns2:_="" ns3:_="" ns4:_="" ns6:_="">
    <xsd:import namespace="da7a9ac0-bc47-4684-84e6-3a8e9ac80c12"/>
    <xsd:import namespace="6181b681-ca7e-4648-8291-7d20c9dedd2c"/>
    <xsd:import namespace="17f478ab-373e-4295-9ff0-9b833ad013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CalendarYear" minOccurs="0"/>
                <xsd:element ref="ns3:CalendarMonth" minOccurs="0"/>
                <xsd:element ref="ns2:NotesLinks" minOccurs="0"/>
                <xsd:element ref="ns4:Reviewers" minOccurs="0"/>
                <xsd:element ref="ns4:Approvers" minOccurs="0"/>
                <xsd:element ref="ns2:ded95d7ab059406991d558011d18c177" minOccurs="0"/>
                <xsd:element ref="ns2:a87ee999f33e4c889ce908369cd07390" minOccurs="0"/>
                <xsd:element ref="ns3:TaxCatchAll" minOccurs="0"/>
                <xsd:element ref="ns3:c228645dc5b941d487efcccbb7847f18" minOccurs="0"/>
                <xsd:element ref="ns3:ifcd54bf53b24354af98482ec6fcf7b8" minOccurs="0"/>
                <xsd:element ref="ns6:IconOverlay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NotesLinks" ma:index="10" nillable="true" ma:displayName="Notes &amp; Links" ma:description="Use this field to enter relevant document/site hyperlinks and/or notes." ma:internalName="NotesLinks">
      <xsd:simpleType>
        <xsd:restriction base="dms:Note"/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a87ee999f33e4c889ce908369cd07390" ma:index="17" nillable="true" ma:displayName="APMProjectDocumentType_0" ma:hidden="true" ma:internalName="a87ee999f33e4c889ce908369cd0739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b681-ca7e-4648-8291-7d20c9dedd2c" elementFormDefault="qualified">
    <xsd:import namespace="http://schemas.microsoft.com/office/2006/documentManagement/types"/>
    <xsd:import namespace="http://schemas.microsoft.com/office/infopath/2007/PartnerControls"/>
    <xsd:element name="CalendarYear" ma:index="8" nillable="true" ma:displayName="Calendar Year" ma:format="Dropdown" ma:internalName="CalendarYear" ma:readOnly="false">
      <xsd:simpleType>
        <xsd:restriction base="dms:Choice"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  <xsd:enumeration value="2066"/>
          <xsd:enumeration value="2067"/>
          <xsd:enumeration value="2068"/>
          <xsd:enumeration value="2069"/>
          <xsd:enumeration value="2070"/>
        </xsd:restriction>
      </xsd:simpleType>
    </xsd:element>
    <xsd:element name="CalendarMonth" ma:index="9" nillable="true" ma:displayName="Calendar Month" ma:format="Dropdown" ma:internalName="CalendarMonth" ma:readOnly="false">
      <xsd:simpleType>
        <xsd:restriction base="dms:Choice">
          <xsd:enumeration value="01 - Jan"/>
          <xsd:enumeration value="02 - Feb"/>
          <xsd:enumeration value="03 - Mar"/>
          <xsd:enumeration value="04 - Apr"/>
          <xsd:enumeration value="05 - May"/>
          <xsd:enumeration value="06 - Jun"/>
          <xsd:enumeration value="07 - Jul"/>
          <xsd:enumeration value="08 - Aug"/>
          <xsd:enumeration value="09 - Sep"/>
          <xsd:enumeration value="10 - Oct"/>
          <xsd:enumeration value="11 - Nov"/>
          <xsd:enumeration value="12 - Dec"/>
        </xsd:restriction>
      </xsd:simpleType>
    </xsd:element>
    <xsd:element name="TaxCatchAll" ma:index="18" nillable="true" ma:displayName="Taxonomy Catch All Column" ma:hidden="true" ma:list="{a2ba6e6e-2055-4ede-8df7-78c3b710d162}" ma:internalName="TaxCatchAll" ma:showField="CatchAllData" ma:web="6181b681-ca7e-4648-8291-7d20c9ded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28645dc5b941d487efcccbb7847f18" ma:index="20" nillable="true" ma:taxonomy="true" ma:internalName="c228645dc5b941d487efcccbb7847f18" ma:taxonomyFieldName="APMProjectDocumentType" ma:displayName="APM Project Document Type" ma:fieldId="{c228645d-c5b9-41d4-87ef-cccbb7847f18}" ma:sspId="b38671ba-7d76-46f8-b8a5-5fc3a7d6229d" ma:termSetId="7f972143-e5b6-42ad-815e-5f17102fbe8b" ma:anchorId="45b7f801-b95c-481d-b286-1083f114eefc" ma:open="false" ma:isKeyword="false">
      <xsd:complexType>
        <xsd:sequence>
          <xsd:element ref="pc:Terms" minOccurs="0" maxOccurs="1"/>
        </xsd:sequence>
      </xsd:complexType>
    </xsd:element>
    <xsd:element name="ifcd54bf53b24354af98482ec6fcf7b8" ma:index="21" ma:taxonomy="true" ma:internalName="ifcd54bf53b24354af98482ec6fcf7b8" ma:taxonomyFieldName="SecurityClassification" ma:displayName="Security Classification" ma:default="6;#Sensitive|19fd2cb8-3e97-4464-ae71-8c2c2095d028" ma:fieldId="{2fcd54bf-53b2-4354-af98-482ec6fcf7b8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2ba6e6e-2055-4ede-8df7-78c3b710d162}" ma:internalName="TaxCatchAllLabel" ma:readOnly="true" ma:showField="CatchAllDataLabel" ma:web="6181b681-ca7e-4648-8291-7d20c9ded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1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R20180000257493</RecordNumber>
    <ObjectiveID xmlns="da7a9ac0-bc47-4684-84e6-3a8e9ac80c12" xsi:nil="true"/>
    <c228645dc5b941d487efcccbb7847f18 xmlns="6181b681-ca7e-4648-8291-7d20c9dedd2c">
      <Terms xmlns="http://schemas.microsoft.com/office/infopath/2007/PartnerControls"/>
    </c228645dc5b941d487efcccbb7847f18>
    <IconOverlay xmlns="http://schemas.microsoft.com/sharepoint/v4" xsi:nil="true"/>
    <ifcd54bf53b24354af98482ec6fcf7b8 xmlns="6181b681-ca7e-4648-8291-7d20c9ded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ifcd54bf53b24354af98482ec6fcf7b8>
    <CalendarMonth xmlns="6181b681-ca7e-4648-8291-7d20c9dedd2c" xsi:nil="true"/>
    <SignificantFlag xmlns="da7a9ac0-bc47-4684-84e6-3a8e9ac80c12">false</SignificantFlag>
    <CalendarYear xmlns="6181b681-ca7e-4648-8291-7d20c9dedd2c" xsi:nil="true"/>
    <SenateOrder12 xmlns="da7a9ac0-bc47-4684-84e6-3a8e9ac80c12">false</SenateOrder12>
    <Approvers xmlns="17f478ab-373e-4295-9ff0-9b833ad01319">
      <UserInfo>
        <DisplayName/>
        <AccountId xsi:nil="true"/>
        <AccountType/>
      </UserInfo>
    </Approvers>
    <ded95d7ab059406991d558011d18c177 xmlns="da7a9ac0-bc47-4684-84e6-3a8e9ac80c12" xsi:nil="true"/>
    <a87ee999f33e4c889ce908369cd07390 xmlns="da7a9ac0-bc47-4684-84e6-3a8e9ac80c12" xsi:nil="true"/>
    <Reviewers xmlns="17f478ab-373e-4295-9ff0-9b833ad01319">
      <UserInfo>
        <DisplayName/>
        <AccountId xsi:nil="true"/>
        <AccountType/>
      </UserInfo>
    </Reviewers>
    <TaxCatchAll xmlns="6181b681-ca7e-4648-8291-7d20c9dedd2c">
      <Value>6</Value>
    </TaxCatchAll>
    <SignificantReason xmlns="da7a9ac0-bc47-4684-84e6-3a8e9ac80c12" xsi:nil="true"/>
    <NotesLinks xmlns="da7a9ac0-bc47-4684-84e6-3a8e9ac80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3EB8-B0B7-4D54-85BA-BFC8ECA0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181b681-ca7e-4648-8291-7d20c9dedd2c"/>
    <ds:schemaRef ds:uri="17f478ab-373e-4295-9ff0-9b833ad013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70E67-5D63-47BE-88F1-BBE98B751869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sharepoint/v4"/>
    <ds:schemaRef ds:uri="http://schemas.microsoft.com/office/2006/documentManagement/types"/>
    <ds:schemaRef ds:uri="da7a9ac0-bc47-4684-84e6-3a8e9ac80c1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7f478ab-373e-4295-9ff0-9b833ad01319"/>
    <ds:schemaRef ds:uri="6181b681-ca7e-4648-8291-7d20c9dedd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DB89B7-3748-47CC-9463-C2218DD6B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403794-766E-4182-A8CD-4EF3D3BF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Ruki Weerasinghe</cp:lastModifiedBy>
  <cp:revision>2</cp:revision>
  <cp:lastPrinted>2018-03-19T05:17:00Z</cp:lastPrinted>
  <dcterms:created xsi:type="dcterms:W3CDTF">2018-04-09T23:03:00Z</dcterms:created>
  <dcterms:modified xsi:type="dcterms:W3CDTF">2018-04-09T23:03:00Z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0x010100B5F685A1365F544391EF8C813B164F3A9E00EAFF1B56FE073C42895EC72E49ED6F99</vt:lpwstr>
  </property>
  <property fmtid="{D5CDD505-2E9C-101B-9397-08002B2CF9AE}" pid="23" name="SecurityClassification">
    <vt:lpwstr>6;#Sensitive|19fd2cb8-3e97-4464-ae71-8c2c2095d028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APMProjectDocumentType">
    <vt:lpwstr/>
  </property>
  <property fmtid="{D5CDD505-2E9C-101B-9397-08002B2CF9AE}" pid="26" name="RecordPoint_ActiveItemUniqueId">
    <vt:lpwstr>{2f376b44-cbea-4d57-8a5a-9e983298e4f7}</vt:lpwstr>
  </property>
  <property fmtid="{D5CDD505-2E9C-101B-9397-08002B2CF9AE}" pid="27" name="RecordPoint_SubmissionCompleted">
    <vt:lpwstr>2018-04-03T14:23:41.2596145+10:00</vt:lpwstr>
  </property>
  <property fmtid="{D5CDD505-2E9C-101B-9397-08002B2CF9AE}" pid="28" name="RecordPoint_ActiveItemWebId">
    <vt:lpwstr>{6181b681-ca7e-4648-8291-7d20c9dedd2c}</vt:lpwstr>
  </property>
  <property fmtid="{D5CDD505-2E9C-101B-9397-08002B2CF9AE}" pid="29" name="RecordPoint_ActiveItemSiteId">
    <vt:lpwstr>{c3e7edcd-6660-4b69-a035-df4fac795ed5}</vt:lpwstr>
  </property>
  <property fmtid="{D5CDD505-2E9C-101B-9397-08002B2CF9AE}" pid="30" name="RecordPoint_ActiveItemListId">
    <vt:lpwstr>{5be4d1b1-9c12-4ff2-ac68-45e54a97c56b}</vt:lpwstr>
  </property>
  <property fmtid="{D5CDD505-2E9C-101B-9397-08002B2CF9AE}" pid="31" name="RecordPoint_RecordNumberSubmitted">
    <vt:lpwstr>R20180000257493</vt:lpwstr>
  </property>
  <property fmtid="{D5CDD505-2E9C-101B-9397-08002B2CF9AE}" pid="32" name="RecordPoint_SubmissionDate">
    <vt:lpwstr/>
  </property>
  <property fmtid="{D5CDD505-2E9C-101B-9397-08002B2CF9AE}" pid="33" name="RecordPoint_ActiveItemMoved">
    <vt:lpwstr/>
  </property>
  <property fmtid="{D5CDD505-2E9C-101B-9397-08002B2CF9AE}" pid="34" name="RecordPoint_RecordFormat">
    <vt:lpwstr/>
  </property>
</Properties>
</file>