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A179A" w14:textId="77777777" w:rsidR="00634FF0" w:rsidRDefault="0098414E" w:rsidP="00FC1309">
      <w:pPr>
        <w:pStyle w:val="Heading"/>
        <w:spacing w:before="120"/>
        <w:jc w:val="center"/>
        <w:rPr>
          <w:rFonts w:ascii="Times New Roman" w:hAnsi="Times New Roman" w:cs="Times New Roman"/>
          <w:sz w:val="24"/>
          <w:szCs w:val="24"/>
        </w:rPr>
      </w:pPr>
      <w:bookmarkStart w:id="0" w:name="_GoBack"/>
      <w:bookmarkEnd w:id="0"/>
      <w:r>
        <w:rPr>
          <w:rFonts w:ascii="Times New Roman" w:hAnsi="Times New Roman" w:cs="Times New Roman"/>
          <w:bCs/>
          <w:sz w:val="24"/>
          <w:szCs w:val="24"/>
        </w:rPr>
        <w:t>Insurance</w:t>
      </w:r>
      <w:r w:rsidR="005814F9" w:rsidRPr="005814F9">
        <w:rPr>
          <w:rFonts w:ascii="Times New Roman" w:hAnsi="Times New Roman" w:cs="Times New Roman"/>
          <w:bCs/>
          <w:sz w:val="24"/>
          <w:szCs w:val="24"/>
        </w:rPr>
        <w:t xml:space="preserve"> (</w:t>
      </w:r>
      <w:r>
        <w:rPr>
          <w:rFonts w:ascii="Times New Roman" w:hAnsi="Times New Roman" w:cs="Times New Roman"/>
          <w:bCs/>
          <w:sz w:val="24"/>
          <w:szCs w:val="24"/>
        </w:rPr>
        <w:t>prudential standard</w:t>
      </w:r>
      <w:r w:rsidR="005814F9" w:rsidRPr="005814F9">
        <w:rPr>
          <w:rFonts w:ascii="Times New Roman" w:hAnsi="Times New Roman" w:cs="Times New Roman"/>
          <w:bCs/>
          <w:sz w:val="24"/>
          <w:szCs w:val="24"/>
        </w:rPr>
        <w:t>) determination No.</w:t>
      </w:r>
      <w:r w:rsidR="008F6732">
        <w:rPr>
          <w:rFonts w:ascii="Times New Roman" w:hAnsi="Times New Roman" w:cs="Times New Roman"/>
          <w:bCs/>
          <w:sz w:val="24"/>
          <w:szCs w:val="24"/>
        </w:rPr>
        <w:t> </w:t>
      </w:r>
      <w:r w:rsidR="005814F9" w:rsidRPr="005814F9">
        <w:rPr>
          <w:rFonts w:ascii="Times New Roman" w:hAnsi="Times New Roman" w:cs="Times New Roman"/>
          <w:bCs/>
          <w:sz w:val="24"/>
          <w:szCs w:val="24"/>
        </w:rPr>
        <w:t>1 of 201</w:t>
      </w:r>
      <w:r>
        <w:rPr>
          <w:rFonts w:ascii="Times New Roman" w:hAnsi="Times New Roman" w:cs="Times New Roman"/>
          <w:bCs/>
          <w:sz w:val="24"/>
          <w:szCs w:val="24"/>
        </w:rPr>
        <w:t>8</w:t>
      </w:r>
    </w:p>
    <w:p w14:paraId="41C8517A" w14:textId="77777777" w:rsidR="005941E1" w:rsidRPr="008B7528" w:rsidRDefault="005941E1" w:rsidP="00FC1309">
      <w:pPr>
        <w:pStyle w:val="Heading"/>
        <w:tabs>
          <w:tab w:val="left" w:pos="360"/>
        </w:tabs>
        <w:spacing w:before="120"/>
        <w:jc w:val="center"/>
        <w:rPr>
          <w:rFonts w:ascii="Times New Roman" w:hAnsi="Times New Roman" w:cs="Times New Roman"/>
          <w:sz w:val="24"/>
          <w:szCs w:val="24"/>
          <w:u w:val="single"/>
        </w:rPr>
      </w:pPr>
      <w:bookmarkStart w:id="1" w:name="bkInstrumentSubTitle"/>
      <w:bookmarkStart w:id="2" w:name="bkStart"/>
      <w:bookmarkEnd w:id="1"/>
      <w:bookmarkEnd w:id="2"/>
      <w:r w:rsidRPr="008B7528">
        <w:rPr>
          <w:rFonts w:ascii="Times New Roman" w:hAnsi="Times New Roman" w:cs="Times New Roman"/>
          <w:sz w:val="24"/>
          <w:szCs w:val="24"/>
          <w:u w:val="single"/>
        </w:rPr>
        <w:t>EXPLANATORY STATEMENT</w:t>
      </w:r>
    </w:p>
    <w:p w14:paraId="3CEA89B1" w14:textId="77777777" w:rsidR="00102F9E" w:rsidRDefault="005941E1" w:rsidP="00FC1309">
      <w:pPr>
        <w:pStyle w:val="Heading"/>
        <w:spacing w:before="120"/>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r w:rsidR="00D75558">
        <w:rPr>
          <w:rFonts w:ascii="Times New Roman" w:hAnsi="Times New Roman" w:cs="Times New Roman"/>
          <w:sz w:val="24"/>
          <w:szCs w:val="24"/>
        </w:rPr>
        <w:t>(</w:t>
      </w:r>
      <w:r w:rsidR="00D75558" w:rsidRPr="009A5FDB">
        <w:rPr>
          <w:rFonts w:ascii="Times New Roman" w:hAnsi="Times New Roman" w:cs="Times New Roman"/>
          <w:sz w:val="24"/>
          <w:szCs w:val="24"/>
        </w:rPr>
        <w:t>APRA</w:t>
      </w:r>
      <w:r w:rsidR="00D75558">
        <w:rPr>
          <w:rFonts w:ascii="Times New Roman" w:hAnsi="Times New Roman" w:cs="Times New Roman"/>
          <w:sz w:val="24"/>
          <w:szCs w:val="24"/>
        </w:rPr>
        <w:t>)</w:t>
      </w:r>
    </w:p>
    <w:p w14:paraId="0CB11303" w14:textId="77777777" w:rsidR="00BF7D8F" w:rsidRDefault="0098414E" w:rsidP="00FB198F">
      <w:pPr>
        <w:pStyle w:val="Heading"/>
        <w:tabs>
          <w:tab w:val="left" w:pos="360"/>
        </w:tabs>
        <w:spacing w:before="120"/>
        <w:jc w:val="center"/>
        <w:rPr>
          <w:rFonts w:ascii="Times New Roman" w:hAnsi="Times New Roman"/>
          <w:b w:val="0"/>
          <w:i/>
          <w:sz w:val="24"/>
        </w:rPr>
      </w:pPr>
      <w:r>
        <w:rPr>
          <w:rFonts w:ascii="Times New Roman" w:hAnsi="Times New Roman"/>
          <w:b w:val="0"/>
          <w:i/>
          <w:sz w:val="24"/>
        </w:rPr>
        <w:t>Insurance Act 1973</w:t>
      </w:r>
      <w:r w:rsidR="00C77085" w:rsidRPr="00B600C0">
        <w:rPr>
          <w:rFonts w:ascii="Times New Roman" w:hAnsi="Times New Roman"/>
          <w:b w:val="0"/>
          <w:i/>
          <w:sz w:val="24"/>
        </w:rPr>
        <w:t>,</w:t>
      </w:r>
      <w:r w:rsidR="00C77085">
        <w:rPr>
          <w:rFonts w:ascii="Times New Roman" w:hAnsi="Times New Roman"/>
          <w:b w:val="0"/>
          <w:sz w:val="24"/>
        </w:rPr>
        <w:t xml:space="preserve"> </w:t>
      </w:r>
      <w:r w:rsidR="00BF7D8F">
        <w:rPr>
          <w:rFonts w:ascii="Times New Roman" w:hAnsi="Times New Roman"/>
          <w:b w:val="0"/>
          <w:i/>
          <w:sz w:val="24"/>
        </w:rPr>
        <w:t xml:space="preserve">section </w:t>
      </w:r>
      <w:r>
        <w:rPr>
          <w:rFonts w:ascii="Times New Roman" w:hAnsi="Times New Roman"/>
          <w:b w:val="0"/>
          <w:i/>
          <w:sz w:val="24"/>
        </w:rPr>
        <w:t>3</w:t>
      </w:r>
      <w:r w:rsidR="00AF00C9">
        <w:rPr>
          <w:rFonts w:ascii="Times New Roman" w:hAnsi="Times New Roman"/>
          <w:b w:val="0"/>
          <w:i/>
          <w:sz w:val="24"/>
        </w:rPr>
        <w:t>2</w:t>
      </w:r>
    </w:p>
    <w:p w14:paraId="0033070D" w14:textId="77777777" w:rsidR="005A35B4" w:rsidRDefault="005A35B4" w:rsidP="005A35B4">
      <w:pPr>
        <w:widowControl w:val="0"/>
        <w:spacing w:before="120" w:after="60"/>
        <w:rPr>
          <w:rFonts w:ascii="Times New Roman" w:hAnsi="Times New Roman"/>
        </w:rPr>
      </w:pPr>
      <w:bookmarkStart w:id="3" w:name="bkAct"/>
      <w:bookmarkStart w:id="4" w:name="bkExplanatory"/>
      <w:bookmarkEnd w:id="3"/>
      <w:bookmarkEnd w:id="4"/>
      <w:r w:rsidRPr="00992CB7">
        <w:rPr>
          <w:rFonts w:ascii="Times New Roman" w:hAnsi="Times New Roman"/>
        </w:rPr>
        <w:t xml:space="preserve">Under </w:t>
      </w:r>
      <w:r w:rsidR="00307E8C">
        <w:rPr>
          <w:rFonts w:ascii="Times New Roman" w:hAnsi="Times New Roman"/>
        </w:rPr>
        <w:t>s</w:t>
      </w:r>
      <w:r w:rsidR="000D37BD">
        <w:rPr>
          <w:rFonts w:ascii="Times New Roman" w:hAnsi="Times New Roman"/>
        </w:rPr>
        <w:t xml:space="preserve">ubsection </w:t>
      </w:r>
      <w:r w:rsidR="000D37BD" w:rsidRPr="003B744D">
        <w:rPr>
          <w:rFonts w:ascii="Times New Roman" w:hAnsi="Times New Roman"/>
        </w:rPr>
        <w:t>3</w:t>
      </w:r>
      <w:r w:rsidR="003B744D">
        <w:rPr>
          <w:rFonts w:ascii="Times New Roman" w:hAnsi="Times New Roman"/>
        </w:rPr>
        <w:t>2</w:t>
      </w:r>
      <w:r w:rsidR="000D37BD" w:rsidRPr="003B744D">
        <w:rPr>
          <w:rFonts w:ascii="Times New Roman" w:hAnsi="Times New Roman"/>
        </w:rPr>
        <w:t>(1)</w:t>
      </w:r>
      <w:r w:rsidR="009969C3">
        <w:rPr>
          <w:rFonts w:ascii="Times New Roman" w:hAnsi="Times New Roman"/>
        </w:rPr>
        <w:t xml:space="preserve"> </w:t>
      </w:r>
      <w:r w:rsidR="00307E8C">
        <w:rPr>
          <w:rFonts w:ascii="Times New Roman" w:hAnsi="Times New Roman"/>
        </w:rPr>
        <w:t>of</w:t>
      </w:r>
      <w:r w:rsidRPr="00992CB7">
        <w:rPr>
          <w:rFonts w:ascii="Times New Roman" w:hAnsi="Times New Roman"/>
        </w:rPr>
        <w:t xml:space="preserve"> the </w:t>
      </w:r>
      <w:r w:rsidR="000D37BD" w:rsidRPr="000D37BD">
        <w:rPr>
          <w:rFonts w:ascii="Times New Roman" w:hAnsi="Times New Roman"/>
          <w:i/>
        </w:rPr>
        <w:t>Insurance Act 1973</w:t>
      </w:r>
      <w:r w:rsidR="00DF2E43">
        <w:rPr>
          <w:rFonts w:ascii="Times New Roman" w:hAnsi="Times New Roman"/>
        </w:rPr>
        <w:t xml:space="preserve"> (</w:t>
      </w:r>
      <w:r w:rsidR="00DF2E43" w:rsidRPr="009A5FDB">
        <w:rPr>
          <w:rFonts w:ascii="Times New Roman" w:hAnsi="Times New Roman"/>
        </w:rPr>
        <w:t>the Act</w:t>
      </w:r>
      <w:r w:rsidR="00DF2E43">
        <w:rPr>
          <w:rFonts w:ascii="Times New Roman" w:hAnsi="Times New Roman"/>
        </w:rPr>
        <w:t>)</w:t>
      </w:r>
      <w:r w:rsidRPr="00992CB7">
        <w:rPr>
          <w:rFonts w:ascii="Times New Roman" w:hAnsi="Times New Roman"/>
        </w:rPr>
        <w:t xml:space="preserve">, APRA has </w:t>
      </w:r>
      <w:r>
        <w:rPr>
          <w:rFonts w:ascii="Times New Roman" w:hAnsi="Times New Roman"/>
        </w:rPr>
        <w:t xml:space="preserve">the </w:t>
      </w:r>
      <w:r w:rsidRPr="00992CB7">
        <w:rPr>
          <w:rFonts w:ascii="Times New Roman" w:hAnsi="Times New Roman"/>
        </w:rPr>
        <w:t xml:space="preserve">power to </w:t>
      </w:r>
      <w:r w:rsidR="000D37BD" w:rsidRPr="000D37BD">
        <w:rPr>
          <w:rFonts w:ascii="Times New Roman" w:hAnsi="Times New Roman"/>
        </w:rPr>
        <w:t>determine standards (prudential standards), in writing, in relation to prudential matters to be complied with by</w:t>
      </w:r>
      <w:r w:rsidR="000D37BD">
        <w:rPr>
          <w:rFonts w:ascii="Times New Roman" w:hAnsi="Times New Roman"/>
        </w:rPr>
        <w:t xml:space="preserve"> general insurers</w:t>
      </w:r>
      <w:r w:rsidRPr="00992CB7">
        <w:rPr>
          <w:rFonts w:ascii="Times New Roman" w:hAnsi="Times New Roman"/>
        </w:rPr>
        <w:t>.</w:t>
      </w:r>
      <w:r w:rsidR="00BF7D8F">
        <w:rPr>
          <w:rFonts w:ascii="Times New Roman" w:hAnsi="Times New Roman"/>
        </w:rPr>
        <w:t xml:space="preserve"> </w:t>
      </w:r>
    </w:p>
    <w:p w14:paraId="40A23099" w14:textId="77777777" w:rsidR="00862300" w:rsidRDefault="00BF7D8F" w:rsidP="008377E5">
      <w:pPr>
        <w:widowControl w:val="0"/>
        <w:spacing w:before="120" w:after="60"/>
        <w:rPr>
          <w:rFonts w:ascii="Times New Roman" w:hAnsi="Times New Roman"/>
        </w:rPr>
      </w:pPr>
      <w:r>
        <w:rPr>
          <w:rFonts w:ascii="Times New Roman" w:hAnsi="Times New Roman"/>
        </w:rPr>
        <w:t xml:space="preserve">On </w:t>
      </w:r>
      <w:r w:rsidR="000D37BD">
        <w:rPr>
          <w:rFonts w:ascii="Times New Roman" w:hAnsi="Times New Roman"/>
        </w:rPr>
        <w:t>13 April 2018</w:t>
      </w:r>
      <w:r>
        <w:rPr>
          <w:rFonts w:ascii="Times New Roman" w:hAnsi="Times New Roman"/>
        </w:rPr>
        <w:t>, APRA made</w:t>
      </w:r>
      <w:r w:rsidR="005814F9">
        <w:rPr>
          <w:rFonts w:ascii="Times New Roman" w:hAnsi="Times New Roman"/>
        </w:rPr>
        <w:t xml:space="preserve"> </w:t>
      </w:r>
      <w:r w:rsidR="008377E5">
        <w:rPr>
          <w:rFonts w:ascii="Times New Roman" w:hAnsi="Times New Roman"/>
        </w:rPr>
        <w:t>Insurance (prudential standard)</w:t>
      </w:r>
      <w:r w:rsidR="005814F9" w:rsidRPr="005814F9">
        <w:rPr>
          <w:rFonts w:ascii="Times New Roman" w:hAnsi="Times New Roman"/>
        </w:rPr>
        <w:t xml:space="preserve"> determination No.</w:t>
      </w:r>
      <w:r w:rsidR="004674E6">
        <w:rPr>
          <w:rFonts w:ascii="Times New Roman" w:hAnsi="Times New Roman"/>
        </w:rPr>
        <w:t> </w:t>
      </w:r>
      <w:r w:rsidR="008F6732">
        <w:rPr>
          <w:rFonts w:ascii="Times New Roman" w:hAnsi="Times New Roman"/>
        </w:rPr>
        <w:t xml:space="preserve"> </w:t>
      </w:r>
      <w:r w:rsidR="005814F9" w:rsidRPr="005814F9">
        <w:rPr>
          <w:rFonts w:ascii="Times New Roman" w:hAnsi="Times New Roman"/>
        </w:rPr>
        <w:t>1 of 201</w:t>
      </w:r>
      <w:r w:rsidR="008377E5">
        <w:rPr>
          <w:rFonts w:ascii="Times New Roman" w:hAnsi="Times New Roman"/>
        </w:rPr>
        <w:t xml:space="preserve">8 (the instrument) </w:t>
      </w:r>
      <w:r w:rsidR="009969C3">
        <w:rPr>
          <w:rFonts w:ascii="Times New Roman" w:hAnsi="Times New Roman"/>
        </w:rPr>
        <w:t>which</w:t>
      </w:r>
      <w:r w:rsidR="008377E5">
        <w:rPr>
          <w:rFonts w:ascii="Times New Roman" w:hAnsi="Times New Roman"/>
        </w:rPr>
        <w:t xml:space="preserve"> makes </w:t>
      </w:r>
      <w:r w:rsidR="008377E5" w:rsidRPr="008377E5">
        <w:rPr>
          <w:rFonts w:ascii="Times New Roman" w:hAnsi="Times New Roman"/>
          <w:i/>
        </w:rPr>
        <w:t xml:space="preserve">Prudential Standard GPS 410 Transfer and Amalgamation of Insurance </w:t>
      </w:r>
      <w:r w:rsidR="00AF00C9">
        <w:rPr>
          <w:rFonts w:ascii="Times New Roman" w:hAnsi="Times New Roman"/>
          <w:i/>
        </w:rPr>
        <w:t xml:space="preserve">Business </w:t>
      </w:r>
      <w:r w:rsidR="008377E5" w:rsidRPr="008377E5">
        <w:rPr>
          <w:rFonts w:ascii="Times New Roman" w:hAnsi="Times New Roman"/>
          <w:i/>
        </w:rPr>
        <w:t>for General Insurers</w:t>
      </w:r>
      <w:r w:rsidR="008377E5">
        <w:rPr>
          <w:rFonts w:ascii="Times New Roman" w:hAnsi="Times New Roman"/>
        </w:rPr>
        <w:t xml:space="preserve"> (GPS 410).</w:t>
      </w:r>
    </w:p>
    <w:p w14:paraId="292F443D" w14:textId="77777777" w:rsidR="0027046F" w:rsidRDefault="0027046F" w:rsidP="005A35B4">
      <w:pPr>
        <w:widowControl w:val="0"/>
        <w:spacing w:before="120" w:after="60"/>
        <w:rPr>
          <w:rFonts w:ascii="Times New Roman" w:hAnsi="Times New Roman"/>
        </w:rPr>
      </w:pPr>
      <w:r>
        <w:rPr>
          <w:rFonts w:ascii="Times New Roman" w:hAnsi="Times New Roman"/>
        </w:rPr>
        <w:t>The instrument commence</w:t>
      </w:r>
      <w:r w:rsidR="008377E5">
        <w:rPr>
          <w:rFonts w:ascii="Times New Roman" w:hAnsi="Times New Roman"/>
        </w:rPr>
        <w:t>s</w:t>
      </w:r>
      <w:r>
        <w:rPr>
          <w:rFonts w:ascii="Times New Roman" w:hAnsi="Times New Roman"/>
        </w:rPr>
        <w:t xml:space="preserve"> on the date </w:t>
      </w:r>
      <w:r w:rsidR="008377E5">
        <w:rPr>
          <w:rFonts w:ascii="Times New Roman" w:hAnsi="Times New Roman"/>
        </w:rPr>
        <w:t>it is</w:t>
      </w:r>
      <w:r>
        <w:rPr>
          <w:rFonts w:ascii="Times New Roman" w:hAnsi="Times New Roman"/>
        </w:rPr>
        <w:t xml:space="preserve"> registered on the Federal Register of </w:t>
      </w:r>
      <w:r w:rsidR="008377E5">
        <w:rPr>
          <w:rFonts w:ascii="Times New Roman" w:hAnsi="Times New Roman"/>
        </w:rPr>
        <w:t>L</w:t>
      </w:r>
      <w:r>
        <w:rPr>
          <w:rFonts w:ascii="Times New Roman" w:hAnsi="Times New Roman"/>
        </w:rPr>
        <w:t>egislation (FRL).</w:t>
      </w:r>
    </w:p>
    <w:p w14:paraId="1559942E" w14:textId="77777777" w:rsidR="005941E1" w:rsidRPr="00C92B6B" w:rsidRDefault="00C92B6B" w:rsidP="007B433E">
      <w:pPr>
        <w:pStyle w:val="Heading"/>
        <w:keepNext w:val="0"/>
        <w:spacing w:before="1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5941E1">
        <w:rPr>
          <w:rFonts w:ascii="Times New Roman" w:hAnsi="Times New Roman" w:cs="Times New Roman"/>
          <w:sz w:val="24"/>
          <w:szCs w:val="24"/>
        </w:rPr>
        <w:t>Background</w:t>
      </w:r>
    </w:p>
    <w:p w14:paraId="28966F25" w14:textId="77777777" w:rsidR="00006AA1" w:rsidRDefault="00DA1674" w:rsidP="00DB3E67">
      <w:pPr>
        <w:spacing w:before="120" w:after="60"/>
        <w:rPr>
          <w:rFonts w:ascii="Times New Roman" w:hAnsi="Times New Roman"/>
        </w:rPr>
      </w:pPr>
      <w:bookmarkStart w:id="5" w:name="bkBackground"/>
      <w:bookmarkEnd w:id="5"/>
      <w:r>
        <w:rPr>
          <w:rFonts w:ascii="Times New Roman" w:hAnsi="Times New Roman"/>
        </w:rPr>
        <w:t xml:space="preserve">GPS 410 sets out </w:t>
      </w:r>
      <w:r w:rsidR="00A8236A">
        <w:rPr>
          <w:rFonts w:ascii="Times New Roman" w:hAnsi="Times New Roman"/>
        </w:rPr>
        <w:t xml:space="preserve">for </w:t>
      </w:r>
      <w:r>
        <w:rPr>
          <w:rFonts w:ascii="Times New Roman" w:hAnsi="Times New Roman"/>
        </w:rPr>
        <w:t xml:space="preserve">procedural matters to be met by general insurers when transferring insurance business iunder </w:t>
      </w:r>
      <w:r w:rsidRPr="00DA1674">
        <w:rPr>
          <w:rFonts w:ascii="Times New Roman" w:hAnsi="Times New Roman"/>
        </w:rPr>
        <w:t>Division 3A of Part III of the</w:t>
      </w:r>
      <w:r>
        <w:rPr>
          <w:rFonts w:ascii="Times New Roman" w:hAnsi="Times New Roman"/>
        </w:rPr>
        <w:t xml:space="preserve"> Act. </w:t>
      </w:r>
      <w:r w:rsidR="00076790" w:rsidRPr="00076790">
        <w:rPr>
          <w:rFonts w:ascii="Times New Roman" w:hAnsi="Times New Roman"/>
        </w:rPr>
        <w:t xml:space="preserve">Division 3A of Part III of the </w:t>
      </w:r>
      <w:r w:rsidR="00076790" w:rsidRPr="00076790">
        <w:rPr>
          <w:rFonts w:ascii="Times New Roman" w:hAnsi="Times New Roman"/>
          <w:iCs/>
        </w:rPr>
        <w:t>Act</w:t>
      </w:r>
      <w:r w:rsidR="00076790" w:rsidRPr="00076790">
        <w:rPr>
          <w:rFonts w:ascii="Times New Roman" w:hAnsi="Times New Roman"/>
        </w:rPr>
        <w:t xml:space="preserve"> provides that insurance business of a general insurer authorised under the Act may be transferred to a similarly authorised general insurer or amalgamated with the business of another general insurer. The Division provides that the business is transferred or amalgamated by a scheme that is to be confirmed by the Federal Court.</w:t>
      </w:r>
    </w:p>
    <w:p w14:paraId="2E32AE64" w14:textId="77777777" w:rsidR="005941E1" w:rsidRDefault="00C92B6B" w:rsidP="00C92B6B">
      <w:pPr>
        <w:pStyle w:val="Heading"/>
        <w:keepNext w:val="0"/>
        <w:spacing w:before="1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A84AD6">
        <w:rPr>
          <w:rFonts w:ascii="Times New Roman" w:hAnsi="Times New Roman" w:cs="Times New Roman"/>
          <w:sz w:val="24"/>
          <w:szCs w:val="24"/>
        </w:rPr>
        <w:t>Purpose and o</w:t>
      </w:r>
      <w:r w:rsidR="005A03AC">
        <w:rPr>
          <w:rFonts w:ascii="Times New Roman" w:hAnsi="Times New Roman" w:cs="Times New Roman"/>
          <w:sz w:val="24"/>
          <w:szCs w:val="24"/>
        </w:rPr>
        <w:t>peration</w:t>
      </w:r>
      <w:r w:rsidR="008B7528">
        <w:rPr>
          <w:rFonts w:ascii="Times New Roman" w:hAnsi="Times New Roman" w:cs="Times New Roman"/>
          <w:sz w:val="24"/>
          <w:szCs w:val="24"/>
        </w:rPr>
        <w:t xml:space="preserve"> of the instrument</w:t>
      </w:r>
      <w:r w:rsidR="007B433E">
        <w:rPr>
          <w:rFonts w:ascii="Times New Roman" w:hAnsi="Times New Roman" w:cs="Times New Roman"/>
          <w:sz w:val="24"/>
          <w:szCs w:val="24"/>
        </w:rPr>
        <w:t>s</w:t>
      </w:r>
    </w:p>
    <w:p w14:paraId="695904E6" w14:textId="77777777" w:rsidR="00EB31EB" w:rsidRDefault="003C7991" w:rsidP="00C55996">
      <w:pPr>
        <w:pStyle w:val="Heading"/>
        <w:keepNext w:val="0"/>
        <w:spacing w:before="120"/>
        <w:rPr>
          <w:rFonts w:ascii="Times New Roman" w:hAnsi="Times New Roman"/>
          <w:b w:val="0"/>
          <w:bCs/>
          <w:sz w:val="24"/>
          <w:szCs w:val="24"/>
        </w:rPr>
      </w:pPr>
      <w:bookmarkStart w:id="6" w:name="bkPurpose"/>
      <w:bookmarkEnd w:id="6"/>
      <w:r w:rsidRPr="005D53CA">
        <w:rPr>
          <w:rFonts w:ascii="Times New Roman" w:hAnsi="Times New Roman" w:cs="Times New Roman"/>
          <w:b w:val="0"/>
          <w:sz w:val="24"/>
          <w:szCs w:val="24"/>
        </w:rPr>
        <w:t>T</w:t>
      </w:r>
      <w:r w:rsidR="00A84AD6" w:rsidRPr="005D53CA">
        <w:rPr>
          <w:rFonts w:ascii="Times New Roman" w:hAnsi="Times New Roman" w:cs="Times New Roman"/>
          <w:b w:val="0"/>
          <w:sz w:val="24"/>
          <w:szCs w:val="24"/>
        </w:rPr>
        <w:t xml:space="preserve">he purpose of the </w:t>
      </w:r>
      <w:r w:rsidR="00076790">
        <w:rPr>
          <w:rFonts w:ascii="Times New Roman" w:hAnsi="Times New Roman"/>
          <w:b w:val="0"/>
          <w:sz w:val="24"/>
          <w:szCs w:val="24"/>
        </w:rPr>
        <w:t xml:space="preserve">instrument is to remake without change </w:t>
      </w:r>
      <w:r w:rsidR="009F4075" w:rsidRPr="009F4075">
        <w:rPr>
          <w:rFonts w:ascii="Times New Roman" w:hAnsi="Times New Roman"/>
          <w:b w:val="0"/>
          <w:i/>
          <w:sz w:val="24"/>
          <w:szCs w:val="24"/>
        </w:rPr>
        <w:t>Prudential Standard GPS 410 Transfer and Amalgamation of Insurance for General Insurers</w:t>
      </w:r>
      <w:r w:rsidR="00076790">
        <w:rPr>
          <w:rFonts w:ascii="Times New Roman" w:hAnsi="Times New Roman"/>
          <w:b w:val="0"/>
          <w:sz w:val="24"/>
          <w:szCs w:val="24"/>
        </w:rPr>
        <w:t xml:space="preserve"> </w:t>
      </w:r>
      <w:r w:rsidR="00EB31EB">
        <w:rPr>
          <w:rFonts w:ascii="Times New Roman" w:hAnsi="Times New Roman"/>
          <w:b w:val="0"/>
          <w:sz w:val="24"/>
          <w:szCs w:val="24"/>
        </w:rPr>
        <w:t xml:space="preserve">(original GPS 410) </w:t>
      </w:r>
      <w:r w:rsidR="009F4075" w:rsidRPr="009F4075">
        <w:rPr>
          <w:rFonts w:ascii="Times New Roman" w:hAnsi="Times New Roman"/>
          <w:b w:val="0"/>
          <w:sz w:val="24"/>
          <w:szCs w:val="24"/>
        </w:rPr>
        <w:t xml:space="preserve">made </w:t>
      </w:r>
      <w:r w:rsidR="009F4075">
        <w:rPr>
          <w:rFonts w:ascii="Times New Roman" w:hAnsi="Times New Roman"/>
          <w:b w:val="0"/>
          <w:sz w:val="24"/>
          <w:szCs w:val="24"/>
        </w:rPr>
        <w:t xml:space="preserve">on 7 February 2002 by </w:t>
      </w:r>
      <w:r w:rsidR="009F4075" w:rsidRPr="00EB31EB">
        <w:rPr>
          <w:rFonts w:ascii="Times New Roman" w:hAnsi="Times New Roman"/>
          <w:b w:val="0"/>
          <w:i/>
          <w:sz w:val="24"/>
          <w:szCs w:val="24"/>
        </w:rPr>
        <w:t>Insurance Act 1973 - Determination of Prudential Standards - GPS 110 - Capital Adequacy for General Insurers; GPS 120 - Assets in Australia for General Insurers; GPS 210 - Liability Valuation for General Insurers; GPS 220 - Risk Management for General Insurers; GSP 230 - Reinsurance Arrangements for General Insurers; GPS 410 - Transfer and Amalgamation of Insurance Business for General Insurers and Transitional Prudential Standard GPS 900- Early Approvals of Auditors and Actuaries</w:t>
      </w:r>
      <w:r w:rsidR="009F4075" w:rsidRPr="00EB31EB">
        <w:rPr>
          <w:rFonts w:ascii="Times New Roman" w:hAnsi="Times New Roman"/>
          <w:b w:val="0"/>
          <w:sz w:val="24"/>
          <w:szCs w:val="24"/>
        </w:rPr>
        <w:t xml:space="preserve"> </w:t>
      </w:r>
      <w:r w:rsidR="00EB31EB">
        <w:rPr>
          <w:rFonts w:ascii="Times New Roman" w:hAnsi="Times New Roman"/>
          <w:b w:val="0"/>
          <w:sz w:val="24"/>
          <w:szCs w:val="24"/>
        </w:rPr>
        <w:t xml:space="preserve">(FRL registration number </w:t>
      </w:r>
      <w:r w:rsidR="00EB31EB" w:rsidRPr="00EB31EB">
        <w:rPr>
          <w:rFonts w:ascii="Times New Roman" w:hAnsi="Times New Roman"/>
          <w:b w:val="0"/>
          <w:bCs/>
          <w:sz w:val="24"/>
          <w:szCs w:val="24"/>
        </w:rPr>
        <w:t>F2006B01543</w:t>
      </w:r>
      <w:r w:rsidR="00EB31EB">
        <w:rPr>
          <w:rFonts w:ascii="Times New Roman" w:hAnsi="Times New Roman"/>
          <w:b w:val="0"/>
          <w:bCs/>
          <w:sz w:val="24"/>
          <w:szCs w:val="24"/>
        </w:rPr>
        <w:t>).</w:t>
      </w:r>
    </w:p>
    <w:p w14:paraId="171DCBD7" w14:textId="77777777" w:rsidR="009F4075" w:rsidRDefault="00EB31EB" w:rsidP="00C55996">
      <w:pPr>
        <w:pStyle w:val="Heading"/>
        <w:keepNext w:val="0"/>
        <w:spacing w:before="120"/>
        <w:rPr>
          <w:rFonts w:ascii="Times New Roman" w:hAnsi="Times New Roman"/>
          <w:b w:val="0"/>
          <w:bCs/>
          <w:sz w:val="24"/>
          <w:szCs w:val="24"/>
        </w:rPr>
      </w:pPr>
      <w:r>
        <w:rPr>
          <w:rFonts w:ascii="Times New Roman" w:hAnsi="Times New Roman"/>
          <w:b w:val="0"/>
          <w:bCs/>
          <w:sz w:val="24"/>
          <w:szCs w:val="24"/>
        </w:rPr>
        <w:t xml:space="preserve">The original GPS 410 </w:t>
      </w:r>
      <w:r w:rsidRPr="00EB31EB">
        <w:rPr>
          <w:rFonts w:ascii="Times New Roman" w:hAnsi="Times New Roman"/>
          <w:b w:val="0"/>
          <w:bCs/>
          <w:sz w:val="24"/>
          <w:szCs w:val="24"/>
        </w:rPr>
        <w:t xml:space="preserve">was mistakenly labelled on the Federal Register of Legislation as having been repealed on 1 January 2007 by </w:t>
      </w:r>
      <w:r w:rsidRPr="00EB31EB">
        <w:rPr>
          <w:rFonts w:ascii="Times New Roman" w:hAnsi="Times New Roman"/>
          <w:b w:val="0"/>
          <w:bCs/>
          <w:i/>
          <w:iCs/>
          <w:sz w:val="24"/>
          <w:szCs w:val="24"/>
        </w:rPr>
        <w:t>Insurance (prudential standard) determination No. 7 of 2006 – Prudential Standard GPS 110 – Capital Adequacy</w:t>
      </w:r>
      <w:r w:rsidRPr="00EB31EB">
        <w:rPr>
          <w:rFonts w:ascii="Times New Roman" w:hAnsi="Times New Roman"/>
          <w:b w:val="0"/>
          <w:bCs/>
          <w:sz w:val="24"/>
          <w:szCs w:val="24"/>
        </w:rPr>
        <w:t xml:space="preserve">. GPS 410 was consequently not included in the lists of sunsetting legislative instruments prepared by the Attorney- General under section 52 of the </w:t>
      </w:r>
      <w:r w:rsidRPr="00EB31EB">
        <w:rPr>
          <w:rFonts w:ascii="Times New Roman" w:hAnsi="Times New Roman"/>
          <w:b w:val="0"/>
          <w:bCs/>
          <w:i/>
          <w:iCs/>
          <w:sz w:val="24"/>
          <w:szCs w:val="24"/>
        </w:rPr>
        <w:t xml:space="preserve">Legislation Act 2003 </w:t>
      </w:r>
      <w:r w:rsidRPr="00EB31EB">
        <w:rPr>
          <w:rFonts w:ascii="Times New Roman" w:hAnsi="Times New Roman"/>
          <w:b w:val="0"/>
          <w:bCs/>
          <w:sz w:val="24"/>
          <w:szCs w:val="24"/>
        </w:rPr>
        <w:t xml:space="preserve">(Legislation Act). It was not therefore identified for remaking and was repealed on 1 October 2016 by operation of subsection 50(1) of the Legislation Act. </w:t>
      </w:r>
      <w:r w:rsidR="005921D8">
        <w:rPr>
          <w:rFonts w:ascii="Times New Roman" w:hAnsi="Times New Roman"/>
          <w:b w:val="0"/>
          <w:bCs/>
          <w:sz w:val="24"/>
          <w:szCs w:val="24"/>
        </w:rPr>
        <w:t xml:space="preserve">It was not APRA’s intention that the original GPS 410 be allowed to sunset. </w:t>
      </w:r>
      <w:r w:rsidRPr="00EB31EB">
        <w:rPr>
          <w:rFonts w:ascii="Times New Roman" w:hAnsi="Times New Roman"/>
          <w:b w:val="0"/>
          <w:bCs/>
          <w:sz w:val="24"/>
          <w:szCs w:val="24"/>
        </w:rPr>
        <w:t>The Office of Parliamentary Counsel have acknowledged the error but advised there is no way in which the operation of GPS 410 can be continued other than by remaking it.</w:t>
      </w:r>
    </w:p>
    <w:p w14:paraId="6D21BA3D" w14:textId="77777777" w:rsidR="002B02C7" w:rsidRPr="002B02C7" w:rsidRDefault="002B02C7" w:rsidP="002B02C7">
      <w:pPr>
        <w:pStyle w:val="Heading"/>
        <w:spacing w:before="120"/>
        <w:rPr>
          <w:rFonts w:ascii="Times New Roman" w:hAnsi="Times New Roman" w:cs="Times New Roman"/>
          <w:b w:val="0"/>
          <w:sz w:val="24"/>
          <w:szCs w:val="24"/>
        </w:rPr>
      </w:pPr>
      <w:r w:rsidRPr="002B02C7">
        <w:rPr>
          <w:rFonts w:ascii="Times New Roman" w:hAnsi="Times New Roman" w:cs="Times New Roman"/>
          <w:b w:val="0"/>
          <w:sz w:val="24"/>
          <w:szCs w:val="24"/>
        </w:rPr>
        <w:lastRenderedPageBreak/>
        <w:t>Division 3A of Part III of the</w:t>
      </w:r>
      <w:r>
        <w:rPr>
          <w:rFonts w:ascii="Times New Roman" w:hAnsi="Times New Roman" w:cs="Times New Roman"/>
          <w:b w:val="0"/>
          <w:sz w:val="24"/>
          <w:szCs w:val="24"/>
        </w:rPr>
        <w:t xml:space="preserve"> Act </w:t>
      </w:r>
      <w:r w:rsidRPr="002B02C7">
        <w:rPr>
          <w:rFonts w:ascii="Times New Roman" w:hAnsi="Times New Roman" w:cs="Times New Roman"/>
          <w:b w:val="0"/>
          <w:sz w:val="24"/>
          <w:szCs w:val="24"/>
        </w:rPr>
        <w:t xml:space="preserve">provides that certain procedural matters are to be carried out in accordance with Prudential Standards that are to be made by APRA under section 32 of the Insurance Act. GPS 410 was the prudential standard that set out those procedural requirements, which were: </w:t>
      </w:r>
    </w:p>
    <w:p w14:paraId="41F2ACC6" w14:textId="77777777" w:rsidR="002B02C7" w:rsidRPr="002B02C7" w:rsidRDefault="002B02C7" w:rsidP="002B02C7">
      <w:pPr>
        <w:pStyle w:val="Heading"/>
        <w:spacing w:before="120"/>
        <w:ind w:left="284"/>
        <w:rPr>
          <w:rFonts w:ascii="Times New Roman" w:hAnsi="Times New Roman" w:cs="Times New Roman"/>
          <w:b w:val="0"/>
          <w:sz w:val="24"/>
          <w:szCs w:val="24"/>
        </w:rPr>
      </w:pPr>
      <w:r w:rsidRPr="002B02C7">
        <w:rPr>
          <w:rFonts w:ascii="Times New Roman" w:hAnsi="Times New Roman" w:cs="Times New Roman"/>
          <w:b w:val="0"/>
          <w:sz w:val="24"/>
          <w:szCs w:val="24"/>
        </w:rPr>
        <w:t xml:space="preserve">(i) when a copy of the scheme and any actuarial reports should be given to APRA; </w:t>
      </w:r>
    </w:p>
    <w:p w14:paraId="15DAF017" w14:textId="77777777" w:rsidR="002B02C7" w:rsidRPr="002B02C7" w:rsidRDefault="002B02C7" w:rsidP="002B02C7">
      <w:pPr>
        <w:pStyle w:val="Heading"/>
        <w:spacing w:before="120"/>
        <w:ind w:left="284"/>
        <w:rPr>
          <w:rFonts w:ascii="Times New Roman" w:hAnsi="Times New Roman" w:cs="Times New Roman"/>
          <w:b w:val="0"/>
          <w:sz w:val="24"/>
          <w:szCs w:val="24"/>
        </w:rPr>
      </w:pPr>
      <w:r w:rsidRPr="002B02C7">
        <w:rPr>
          <w:rFonts w:ascii="Times New Roman" w:hAnsi="Times New Roman" w:cs="Times New Roman"/>
          <w:b w:val="0"/>
          <w:sz w:val="24"/>
          <w:szCs w:val="24"/>
        </w:rPr>
        <w:t xml:space="preserve">(ii) how a notice of intention to transfer the insurance business was to be published, and what was required to be in the notice; </w:t>
      </w:r>
    </w:p>
    <w:p w14:paraId="0B3952C3" w14:textId="77777777" w:rsidR="002B02C7" w:rsidRPr="002B02C7" w:rsidRDefault="002B02C7" w:rsidP="002B02C7">
      <w:pPr>
        <w:pStyle w:val="Heading"/>
        <w:spacing w:before="120"/>
        <w:ind w:left="284"/>
        <w:rPr>
          <w:rFonts w:ascii="Times New Roman" w:hAnsi="Times New Roman" w:cs="Times New Roman"/>
          <w:b w:val="0"/>
          <w:sz w:val="24"/>
          <w:szCs w:val="24"/>
        </w:rPr>
      </w:pPr>
      <w:r w:rsidRPr="002B02C7">
        <w:rPr>
          <w:rFonts w:ascii="Times New Roman" w:hAnsi="Times New Roman" w:cs="Times New Roman"/>
          <w:b w:val="0"/>
          <w:sz w:val="24"/>
          <w:szCs w:val="24"/>
        </w:rPr>
        <w:t xml:space="preserve">(iii) the minimum content to be included in a summary of the scheme that is provided to affected policyholders; </w:t>
      </w:r>
    </w:p>
    <w:p w14:paraId="3128C35B" w14:textId="77777777" w:rsidR="002B02C7" w:rsidRPr="002B02C7" w:rsidRDefault="002B02C7" w:rsidP="002B02C7">
      <w:pPr>
        <w:pStyle w:val="Heading"/>
        <w:spacing w:before="120"/>
        <w:ind w:left="284"/>
        <w:rPr>
          <w:rFonts w:ascii="Times New Roman" w:hAnsi="Times New Roman" w:cs="Times New Roman"/>
          <w:b w:val="0"/>
          <w:sz w:val="24"/>
          <w:szCs w:val="24"/>
        </w:rPr>
      </w:pPr>
      <w:r w:rsidRPr="002B02C7">
        <w:rPr>
          <w:rFonts w:ascii="Times New Roman" w:hAnsi="Times New Roman" w:cs="Times New Roman"/>
          <w:b w:val="0"/>
          <w:sz w:val="24"/>
          <w:szCs w:val="24"/>
        </w:rPr>
        <w:t xml:space="preserve">(iv) when an application for confirmation can be made to the court; and </w:t>
      </w:r>
    </w:p>
    <w:p w14:paraId="03DB3C99" w14:textId="77777777" w:rsidR="002B02C7" w:rsidRDefault="002B02C7" w:rsidP="002B02C7">
      <w:pPr>
        <w:pStyle w:val="Heading"/>
        <w:spacing w:before="120"/>
        <w:ind w:left="284"/>
        <w:rPr>
          <w:rFonts w:ascii="Times New Roman" w:hAnsi="Times New Roman" w:cs="Times New Roman"/>
          <w:b w:val="0"/>
          <w:sz w:val="24"/>
          <w:szCs w:val="24"/>
        </w:rPr>
      </w:pPr>
      <w:r w:rsidRPr="002B02C7">
        <w:rPr>
          <w:rFonts w:ascii="Times New Roman" w:hAnsi="Times New Roman" w:cs="Times New Roman"/>
          <w:b w:val="0"/>
          <w:sz w:val="24"/>
          <w:szCs w:val="24"/>
        </w:rPr>
        <w:t>(v) the documents that are to be provided to APRA after the transfer is completed.</w:t>
      </w:r>
    </w:p>
    <w:p w14:paraId="0CB07873" w14:textId="77777777" w:rsidR="008B7528" w:rsidRDefault="00FC1309" w:rsidP="009969C3">
      <w:pPr>
        <w:pStyle w:val="Heading"/>
        <w:keepNext w:val="0"/>
        <w:spacing w:before="120"/>
        <w:rPr>
          <w:rFonts w:ascii="Times New Roman" w:hAnsi="Times New Roman" w:cs="Times New Roman"/>
          <w:sz w:val="24"/>
          <w:szCs w:val="24"/>
        </w:rPr>
      </w:pPr>
      <w:r>
        <w:rPr>
          <w:rFonts w:ascii="Times New Roman" w:hAnsi="Times New Roman" w:cs="Times New Roman"/>
          <w:sz w:val="24"/>
          <w:szCs w:val="24"/>
        </w:rPr>
        <w:t>C</w:t>
      </w:r>
      <w:r w:rsidR="008B7528">
        <w:rPr>
          <w:rFonts w:ascii="Times New Roman" w:hAnsi="Times New Roman" w:cs="Times New Roman"/>
          <w:sz w:val="24"/>
          <w:szCs w:val="24"/>
        </w:rPr>
        <w:t>onsultation</w:t>
      </w:r>
    </w:p>
    <w:p w14:paraId="69099676" w14:textId="77777777" w:rsidR="008A1076" w:rsidRPr="00FA2E08" w:rsidRDefault="00F72105" w:rsidP="003B4D27">
      <w:pPr>
        <w:pStyle w:val="Heading"/>
        <w:keepNext w:val="0"/>
        <w:tabs>
          <w:tab w:val="left" w:pos="360"/>
        </w:tabs>
        <w:spacing w:before="120"/>
        <w:rPr>
          <w:rFonts w:ascii="Times New Roman" w:hAnsi="Times New Roman" w:cs="Times New Roman"/>
          <w:b w:val="0"/>
          <w:sz w:val="24"/>
          <w:szCs w:val="24"/>
        </w:rPr>
      </w:pPr>
      <w:bookmarkStart w:id="7" w:name="bkConsultation"/>
      <w:bookmarkStart w:id="8" w:name="bkRISNO"/>
      <w:bookmarkEnd w:id="7"/>
      <w:bookmarkEnd w:id="8"/>
      <w:r>
        <w:rPr>
          <w:rFonts w:ascii="Times New Roman" w:hAnsi="Times New Roman"/>
          <w:b w:val="0"/>
          <w:sz w:val="24"/>
          <w:szCs w:val="24"/>
        </w:rPr>
        <w:t xml:space="preserve">As </w:t>
      </w:r>
      <w:r w:rsidR="00B37A22">
        <w:rPr>
          <w:rFonts w:ascii="Times New Roman" w:hAnsi="Times New Roman"/>
          <w:b w:val="0"/>
          <w:sz w:val="24"/>
          <w:szCs w:val="24"/>
        </w:rPr>
        <w:t>GPS 410</w:t>
      </w:r>
      <w:r>
        <w:rPr>
          <w:rFonts w:ascii="Times New Roman" w:hAnsi="Times New Roman"/>
          <w:b w:val="0"/>
          <w:sz w:val="24"/>
          <w:szCs w:val="24"/>
        </w:rPr>
        <w:t xml:space="preserve"> is being remade </w:t>
      </w:r>
      <w:r w:rsidR="008A69AD">
        <w:rPr>
          <w:rFonts w:ascii="Times New Roman" w:hAnsi="Times New Roman"/>
          <w:b w:val="0"/>
          <w:sz w:val="24"/>
          <w:szCs w:val="24"/>
        </w:rPr>
        <w:t>unchanged</w:t>
      </w:r>
      <w:r w:rsidR="00C928CD">
        <w:rPr>
          <w:rFonts w:ascii="Times New Roman" w:hAnsi="Times New Roman"/>
          <w:b w:val="0"/>
          <w:sz w:val="24"/>
          <w:szCs w:val="24"/>
        </w:rPr>
        <w:t>,</w:t>
      </w:r>
      <w:r w:rsidR="008A69AD">
        <w:rPr>
          <w:rFonts w:ascii="Times New Roman" w:hAnsi="Times New Roman"/>
          <w:b w:val="0"/>
          <w:sz w:val="24"/>
          <w:szCs w:val="24"/>
        </w:rPr>
        <w:t xml:space="preserve"> </w:t>
      </w:r>
      <w:r w:rsidR="00C34E1E">
        <w:rPr>
          <w:rFonts w:ascii="Times New Roman" w:hAnsi="Times New Roman" w:cs="Times New Roman"/>
          <w:b w:val="0"/>
          <w:sz w:val="24"/>
          <w:szCs w:val="24"/>
        </w:rPr>
        <w:t xml:space="preserve">APRA did not consult externally in relation to the </w:t>
      </w:r>
      <w:r w:rsidR="0027046F">
        <w:rPr>
          <w:rFonts w:ascii="Times New Roman" w:hAnsi="Times New Roman"/>
          <w:b w:val="0"/>
          <w:sz w:val="24"/>
          <w:szCs w:val="24"/>
        </w:rPr>
        <w:t>instruments.</w:t>
      </w:r>
      <w:r w:rsidR="006B4040">
        <w:rPr>
          <w:rFonts w:ascii="Times New Roman" w:hAnsi="Times New Roman"/>
          <w:b w:val="0"/>
          <w:sz w:val="24"/>
          <w:szCs w:val="24"/>
        </w:rPr>
        <w:t xml:space="preserve">  </w:t>
      </w:r>
      <w:r w:rsidR="008A69AD">
        <w:rPr>
          <w:rFonts w:ascii="Times New Roman" w:hAnsi="Times New Roman"/>
          <w:b w:val="0"/>
          <w:sz w:val="24"/>
          <w:szCs w:val="24"/>
        </w:rPr>
        <w:t>This was also i</w:t>
      </w:r>
      <w:r>
        <w:rPr>
          <w:rFonts w:ascii="Times New Roman" w:hAnsi="Times New Roman"/>
          <w:b w:val="0"/>
          <w:sz w:val="24"/>
          <w:szCs w:val="24"/>
        </w:rPr>
        <w:t xml:space="preserve">n part due to the urgency of reintroducing a procedural framework for the </w:t>
      </w:r>
      <w:r w:rsidR="007348D2">
        <w:rPr>
          <w:rFonts w:ascii="Times New Roman" w:hAnsi="Times New Roman"/>
          <w:b w:val="0"/>
          <w:sz w:val="24"/>
          <w:szCs w:val="24"/>
        </w:rPr>
        <w:t>transfers of insurance business</w:t>
      </w:r>
      <w:r w:rsidR="005921D8">
        <w:rPr>
          <w:rFonts w:ascii="Times New Roman" w:hAnsi="Times New Roman"/>
          <w:b w:val="0"/>
          <w:sz w:val="24"/>
          <w:szCs w:val="24"/>
        </w:rPr>
        <w:t>.</w:t>
      </w:r>
    </w:p>
    <w:p w14:paraId="2FDE2009" w14:textId="77777777" w:rsidR="00DB4C68" w:rsidRPr="006664E8" w:rsidRDefault="00DB4C68" w:rsidP="009969C3">
      <w:pPr>
        <w:pStyle w:val="Heading"/>
        <w:keepNext w:val="0"/>
        <w:spacing w:before="120"/>
        <w:rPr>
          <w:rFonts w:ascii="Times New Roman" w:hAnsi="Times New Roman" w:cs="Times New Roman"/>
          <w:sz w:val="24"/>
          <w:szCs w:val="24"/>
        </w:rPr>
      </w:pPr>
      <w:r w:rsidRPr="00FA2E08">
        <w:rPr>
          <w:rFonts w:ascii="Times New Roman" w:hAnsi="Times New Roman" w:cs="Times New Roman"/>
          <w:sz w:val="24"/>
          <w:szCs w:val="24"/>
        </w:rPr>
        <w:t>Re</w:t>
      </w:r>
      <w:r w:rsidRPr="0043016B">
        <w:rPr>
          <w:rFonts w:ascii="Times New Roman" w:hAnsi="Times New Roman" w:cs="Times New Roman"/>
          <w:sz w:val="24"/>
          <w:szCs w:val="24"/>
        </w:rPr>
        <w:t>gulati</w:t>
      </w:r>
      <w:r w:rsidRPr="006664E8">
        <w:rPr>
          <w:rFonts w:ascii="Times New Roman" w:hAnsi="Times New Roman" w:cs="Times New Roman"/>
          <w:sz w:val="24"/>
          <w:szCs w:val="24"/>
        </w:rPr>
        <w:t>on Impact Statement</w:t>
      </w:r>
    </w:p>
    <w:p w14:paraId="777FB3B6" w14:textId="77777777" w:rsidR="008A1076" w:rsidRPr="009A5FDB" w:rsidRDefault="00DB4C68" w:rsidP="00DB4C68">
      <w:pPr>
        <w:pStyle w:val="Heading"/>
        <w:keepNext w:val="0"/>
        <w:spacing w:before="120"/>
        <w:rPr>
          <w:rFonts w:ascii="Times New Roman" w:hAnsi="Times New Roman" w:cs="Times New Roman"/>
          <w:b w:val="0"/>
          <w:sz w:val="24"/>
          <w:szCs w:val="24"/>
        </w:rPr>
      </w:pPr>
      <w:r w:rsidRPr="009A5FDB">
        <w:rPr>
          <w:rFonts w:ascii="Times New Roman" w:hAnsi="Times New Roman" w:cs="Times New Roman"/>
          <w:b w:val="0"/>
          <w:sz w:val="24"/>
          <w:szCs w:val="24"/>
        </w:rPr>
        <w:t>The Office of Best Practice Regulation has advised that a Regulation Impact Statement is not required for</w:t>
      </w:r>
      <w:r w:rsidR="00B37A22">
        <w:rPr>
          <w:rFonts w:ascii="Times New Roman" w:hAnsi="Times New Roman" w:cs="Times New Roman"/>
          <w:b w:val="0"/>
          <w:sz w:val="24"/>
          <w:szCs w:val="24"/>
        </w:rPr>
        <w:t xml:space="preserve"> the instrument</w:t>
      </w:r>
      <w:r w:rsidR="00142441">
        <w:rPr>
          <w:rFonts w:ascii="Times New Roman" w:hAnsi="Times New Roman"/>
          <w:b w:val="0"/>
          <w:sz w:val="24"/>
          <w:szCs w:val="24"/>
        </w:rPr>
        <w:t>.</w:t>
      </w:r>
      <w:r w:rsidR="00F72105">
        <w:rPr>
          <w:rFonts w:ascii="Times New Roman" w:hAnsi="Times New Roman"/>
          <w:b w:val="0"/>
          <w:sz w:val="24"/>
          <w:szCs w:val="24"/>
        </w:rPr>
        <w:t xml:space="preserve">  OBPR also advised </w:t>
      </w:r>
      <w:r w:rsidR="00F72105">
        <w:rPr>
          <w:rFonts w:ascii="Times New Roman" w:hAnsi="Times New Roman"/>
          <w:b w:val="0"/>
          <w:sz w:val="24"/>
          <w:szCs w:val="24"/>
        </w:rPr>
        <w:lastRenderedPageBreak/>
        <w:t xml:space="preserve">that it was not necessary to provide a </w:t>
      </w:r>
      <w:r w:rsidR="00F72105" w:rsidRPr="00F72105">
        <w:rPr>
          <w:rFonts w:ascii="Times New Roman" w:hAnsi="Times New Roman"/>
          <w:b w:val="0"/>
          <w:sz w:val="24"/>
          <w:szCs w:val="24"/>
        </w:rPr>
        <w:t>certification letter as outlined in the guidance note for Sunsetting Legislative Instruments</w:t>
      </w:r>
    </w:p>
    <w:p w14:paraId="791E4107" w14:textId="77777777" w:rsidR="00DB4C68" w:rsidRPr="009A5FDB" w:rsidRDefault="00DB4C68" w:rsidP="009969C3">
      <w:pPr>
        <w:pStyle w:val="Heading"/>
        <w:keepNext w:val="0"/>
        <w:spacing w:before="120"/>
        <w:rPr>
          <w:rFonts w:ascii="Times New Roman" w:hAnsi="Times New Roman" w:cs="Times New Roman"/>
          <w:sz w:val="24"/>
          <w:szCs w:val="24"/>
        </w:rPr>
      </w:pPr>
      <w:r w:rsidRPr="009A5FDB">
        <w:rPr>
          <w:rFonts w:ascii="Times New Roman" w:hAnsi="Times New Roman" w:cs="Times New Roman"/>
          <w:sz w:val="24"/>
          <w:szCs w:val="24"/>
        </w:rPr>
        <w:t xml:space="preserve">Statement of compatibility prepared in accordance with Part 3 of the </w:t>
      </w:r>
      <w:r w:rsidRPr="009A5FDB">
        <w:rPr>
          <w:rFonts w:ascii="Times New Roman" w:hAnsi="Times New Roman" w:cs="Times New Roman"/>
          <w:i/>
          <w:sz w:val="24"/>
          <w:szCs w:val="24"/>
        </w:rPr>
        <w:t>Human Rights (Parliamentary Scrutiny) Act 2011</w:t>
      </w:r>
    </w:p>
    <w:p w14:paraId="18B1A9BF" w14:textId="77777777" w:rsidR="00DB4C68" w:rsidRDefault="00DB4C68" w:rsidP="00DB4C68">
      <w:pPr>
        <w:pStyle w:val="Heading"/>
        <w:keepNext w:val="0"/>
        <w:spacing w:before="120"/>
        <w:rPr>
          <w:rFonts w:ascii="Times New Roman" w:hAnsi="Times New Roman" w:cs="Times New Roman"/>
          <w:b w:val="0"/>
          <w:sz w:val="24"/>
          <w:szCs w:val="24"/>
        </w:rPr>
      </w:pPr>
      <w:r w:rsidRPr="009A5FDB">
        <w:rPr>
          <w:rFonts w:ascii="Times New Roman" w:hAnsi="Times New Roman" w:cs="Times New Roman"/>
          <w:b w:val="0"/>
          <w:sz w:val="24"/>
          <w:szCs w:val="24"/>
        </w:rPr>
        <w:t xml:space="preserve">A statement of compatibility prepared in accordance with Part 3 of the </w:t>
      </w:r>
      <w:r w:rsidRPr="009A5FDB">
        <w:rPr>
          <w:rFonts w:ascii="Times New Roman" w:hAnsi="Times New Roman" w:cs="Times New Roman"/>
          <w:b w:val="0"/>
          <w:i/>
          <w:sz w:val="24"/>
          <w:szCs w:val="24"/>
        </w:rPr>
        <w:t>Human Rights (Parliamentary Scrutiny) Act 2011</w:t>
      </w:r>
      <w:r w:rsidRPr="009A5FDB">
        <w:rPr>
          <w:rFonts w:ascii="Times New Roman" w:hAnsi="Times New Roman" w:cs="Times New Roman"/>
          <w:b w:val="0"/>
          <w:sz w:val="24"/>
          <w:szCs w:val="24"/>
        </w:rPr>
        <w:t xml:space="preserve"> is provided at Attachment A to this Explanatory Statement.</w:t>
      </w:r>
    </w:p>
    <w:p w14:paraId="72C9D621" w14:textId="77777777" w:rsidR="00DB4C68" w:rsidRDefault="00DB4C68" w:rsidP="00DB4C68">
      <w:pPr>
        <w:pStyle w:val="Title"/>
        <w:jc w:val="left"/>
        <w:rPr>
          <w:szCs w:val="24"/>
        </w:rPr>
      </w:pPr>
      <w:r>
        <w:rPr>
          <w:b w:val="0"/>
          <w:szCs w:val="24"/>
        </w:rPr>
        <w:br w:type="page"/>
      </w:r>
      <w:r>
        <w:rPr>
          <w:szCs w:val="24"/>
        </w:rPr>
        <w:lastRenderedPageBreak/>
        <w:t>Attachment A</w:t>
      </w:r>
    </w:p>
    <w:p w14:paraId="4428B6B6" w14:textId="77777777" w:rsidR="00DB4C68" w:rsidRDefault="00DB4C68" w:rsidP="00DB4C68">
      <w:pPr>
        <w:pStyle w:val="Title"/>
        <w:rPr>
          <w:szCs w:val="24"/>
        </w:rPr>
      </w:pPr>
    </w:p>
    <w:p w14:paraId="68F62E5E" w14:textId="77777777" w:rsidR="00DB4C68" w:rsidRDefault="00DB4C68" w:rsidP="009A5FDB">
      <w:pPr>
        <w:autoSpaceDE w:val="0"/>
        <w:autoSpaceDN w:val="0"/>
        <w:adjustRightInd w:val="0"/>
        <w:jc w:val="center"/>
        <w:rPr>
          <w:rFonts w:ascii="Times New Roman" w:hAnsi="Times New Roman"/>
          <w:b/>
          <w:szCs w:val="20"/>
        </w:rPr>
      </w:pPr>
      <w:r>
        <w:rPr>
          <w:rFonts w:ascii="Times New Roman" w:hAnsi="Times New Roman"/>
          <w:b/>
        </w:rPr>
        <w:t>Statement of Compatibility with Human Rights</w:t>
      </w:r>
    </w:p>
    <w:p w14:paraId="475DCC93" w14:textId="77777777" w:rsidR="00DB4C68" w:rsidRDefault="00DB4C68" w:rsidP="000E60CC">
      <w:pPr>
        <w:autoSpaceDE w:val="0"/>
        <w:autoSpaceDN w:val="0"/>
        <w:adjustRightInd w:val="0"/>
        <w:spacing w:before="0" w:after="0"/>
        <w:jc w:val="center"/>
        <w:rPr>
          <w:rFonts w:ascii="Times New Roman" w:hAnsi="Times New Roman"/>
          <w:i/>
        </w:rPr>
      </w:pPr>
      <w:r>
        <w:rPr>
          <w:rFonts w:ascii="Times New Roman" w:hAnsi="Times New Roman"/>
          <w:i/>
        </w:rPr>
        <w:t>Prepared in accordance with Part 3 of the Human Rights (Parliamentary Scrutiny) Act 2011</w:t>
      </w:r>
    </w:p>
    <w:p w14:paraId="747E09FA" w14:textId="77777777" w:rsidR="00CB233A" w:rsidRDefault="00CB233A" w:rsidP="000E60CC">
      <w:pPr>
        <w:autoSpaceDE w:val="0"/>
        <w:autoSpaceDN w:val="0"/>
        <w:adjustRightInd w:val="0"/>
        <w:spacing w:before="0" w:after="0"/>
        <w:jc w:val="center"/>
        <w:rPr>
          <w:rFonts w:ascii="Times New Roman" w:hAnsi="Times New Roman"/>
          <w:i/>
        </w:rPr>
      </w:pPr>
    </w:p>
    <w:p w14:paraId="2251AF36" w14:textId="77777777" w:rsidR="0099256A" w:rsidRPr="00FB0F4A" w:rsidRDefault="009D2B98" w:rsidP="00397690">
      <w:pPr>
        <w:pStyle w:val="BodyText"/>
        <w:spacing w:after="0"/>
        <w:jc w:val="both"/>
        <w:rPr>
          <w:b/>
          <w:bCs/>
          <w:szCs w:val="24"/>
        </w:rPr>
      </w:pPr>
      <w:r>
        <w:rPr>
          <w:b/>
          <w:bCs/>
          <w:szCs w:val="24"/>
        </w:rPr>
        <w:t xml:space="preserve">Insurance </w:t>
      </w:r>
      <w:r w:rsidR="005738CC" w:rsidRPr="00FB0F4A">
        <w:rPr>
          <w:b/>
          <w:bCs/>
          <w:szCs w:val="24"/>
        </w:rPr>
        <w:t>(</w:t>
      </w:r>
      <w:r>
        <w:rPr>
          <w:b/>
          <w:bCs/>
          <w:szCs w:val="24"/>
        </w:rPr>
        <w:t>prudential standard</w:t>
      </w:r>
      <w:r w:rsidR="005738CC" w:rsidRPr="00FB0F4A">
        <w:rPr>
          <w:b/>
          <w:bCs/>
          <w:szCs w:val="24"/>
        </w:rPr>
        <w:t>) determination No</w:t>
      </w:r>
      <w:r w:rsidR="001E782E" w:rsidRPr="001E782E">
        <w:rPr>
          <w:b/>
          <w:bCs/>
          <w:szCs w:val="24"/>
        </w:rPr>
        <w:t>. </w:t>
      </w:r>
      <w:r w:rsidR="005738CC" w:rsidRPr="00FB0F4A">
        <w:rPr>
          <w:b/>
          <w:bCs/>
          <w:szCs w:val="24"/>
        </w:rPr>
        <w:t>1 of 201</w:t>
      </w:r>
      <w:r>
        <w:rPr>
          <w:b/>
          <w:bCs/>
          <w:szCs w:val="24"/>
        </w:rPr>
        <w:t>8</w:t>
      </w:r>
    </w:p>
    <w:p w14:paraId="32BB79F8" w14:textId="77777777" w:rsidR="00DB4C68" w:rsidRDefault="00DB4C68" w:rsidP="00397690">
      <w:pPr>
        <w:pStyle w:val="BodyText"/>
        <w:spacing w:after="0"/>
        <w:jc w:val="both"/>
        <w:rPr>
          <w:szCs w:val="24"/>
        </w:rPr>
      </w:pPr>
    </w:p>
    <w:p w14:paraId="5D42E048" w14:textId="77777777" w:rsidR="00DB4C68" w:rsidRDefault="00DB4C68" w:rsidP="00397690">
      <w:pPr>
        <w:pStyle w:val="BodyText"/>
        <w:spacing w:after="0"/>
        <w:jc w:val="both"/>
        <w:rPr>
          <w:i/>
          <w:szCs w:val="24"/>
        </w:rPr>
      </w:pPr>
      <w:r>
        <w:rPr>
          <w:szCs w:val="24"/>
        </w:rPr>
        <w:t>Th</w:t>
      </w:r>
      <w:r w:rsidR="001A2106">
        <w:rPr>
          <w:szCs w:val="24"/>
        </w:rPr>
        <w:t>e</w:t>
      </w:r>
      <w:r>
        <w:rPr>
          <w:szCs w:val="24"/>
        </w:rPr>
        <w:t xml:space="preserve"> Legislative Instrument</w:t>
      </w:r>
      <w:r w:rsidR="001A2106">
        <w:rPr>
          <w:szCs w:val="24"/>
        </w:rPr>
        <w:t xml:space="preserve">s </w:t>
      </w:r>
      <w:r w:rsidR="009D2B98">
        <w:rPr>
          <w:szCs w:val="24"/>
        </w:rPr>
        <w:t>is</w:t>
      </w:r>
      <w:r>
        <w:rPr>
          <w:szCs w:val="24"/>
        </w:rPr>
        <w:t xml:space="preserve"> compatible with the human rights and freedoms recognised or declared in the international instruments listed in section 3 of the </w:t>
      </w:r>
      <w:r>
        <w:rPr>
          <w:i/>
          <w:szCs w:val="24"/>
        </w:rPr>
        <w:t>Human Rights (Parliamentary Scrutiny) Act 2011.</w:t>
      </w:r>
    </w:p>
    <w:p w14:paraId="69A3050B" w14:textId="77777777" w:rsidR="00DB4C68" w:rsidRDefault="00DB4C68" w:rsidP="00397690">
      <w:pPr>
        <w:pStyle w:val="BodyText"/>
        <w:spacing w:after="0"/>
        <w:jc w:val="both"/>
        <w:rPr>
          <w:i/>
          <w:szCs w:val="24"/>
        </w:rPr>
      </w:pPr>
    </w:p>
    <w:p w14:paraId="2E055D80" w14:textId="77777777" w:rsidR="00DB4C68" w:rsidRDefault="00DB4C68" w:rsidP="00397690">
      <w:pPr>
        <w:pStyle w:val="BodyText"/>
        <w:spacing w:after="0"/>
        <w:jc w:val="both"/>
        <w:rPr>
          <w:b/>
          <w:szCs w:val="24"/>
        </w:rPr>
      </w:pPr>
      <w:r>
        <w:rPr>
          <w:b/>
          <w:szCs w:val="24"/>
        </w:rPr>
        <w:t>Overview of the Legislative Instrument</w:t>
      </w:r>
      <w:r w:rsidR="001A2106">
        <w:rPr>
          <w:b/>
          <w:szCs w:val="24"/>
        </w:rPr>
        <w:t>s</w:t>
      </w:r>
    </w:p>
    <w:p w14:paraId="1EE0BD8F" w14:textId="77777777" w:rsidR="00310DC2" w:rsidRDefault="00310DC2" w:rsidP="00397690">
      <w:pPr>
        <w:pStyle w:val="BodyText"/>
        <w:spacing w:after="0"/>
        <w:jc w:val="both"/>
        <w:rPr>
          <w:b/>
          <w:szCs w:val="24"/>
        </w:rPr>
      </w:pPr>
    </w:p>
    <w:p w14:paraId="2ED4EA6C" w14:textId="77777777" w:rsidR="00DB4C68" w:rsidRDefault="009D2B98" w:rsidP="00397690">
      <w:pPr>
        <w:pStyle w:val="BodyText"/>
        <w:spacing w:after="0"/>
        <w:jc w:val="both"/>
      </w:pPr>
      <w:r w:rsidRPr="009D2B98">
        <w:rPr>
          <w:szCs w:val="24"/>
        </w:rPr>
        <w:t xml:space="preserve">The purpose of the instrument is to remake without change </w:t>
      </w:r>
      <w:r w:rsidRPr="009D2B98">
        <w:rPr>
          <w:i/>
          <w:szCs w:val="24"/>
        </w:rPr>
        <w:t>Prudential Standard GPS 410 Transfer and Amalgamation of Insurance for General Insurers</w:t>
      </w:r>
      <w:r w:rsidRPr="009D2B98">
        <w:rPr>
          <w:szCs w:val="24"/>
        </w:rPr>
        <w:t xml:space="preserve"> (GPS 410) made on 7 February 2002</w:t>
      </w:r>
      <w:r w:rsidR="00DB4C68">
        <w:t>.</w:t>
      </w:r>
    </w:p>
    <w:p w14:paraId="3931F20C" w14:textId="77777777" w:rsidR="000D187A" w:rsidRDefault="000D187A" w:rsidP="00397690">
      <w:pPr>
        <w:pStyle w:val="BodyText"/>
        <w:spacing w:after="0"/>
        <w:jc w:val="both"/>
        <w:rPr>
          <w:szCs w:val="24"/>
        </w:rPr>
      </w:pPr>
    </w:p>
    <w:p w14:paraId="4C1F94C5" w14:textId="77777777" w:rsidR="00C928CD" w:rsidRDefault="00C928CD" w:rsidP="00011BB1">
      <w:pPr>
        <w:pStyle w:val="BodyText"/>
        <w:jc w:val="both"/>
      </w:pPr>
      <w:r w:rsidRPr="00C928CD">
        <w:t xml:space="preserve">Division 3A of Part III of the </w:t>
      </w:r>
      <w:r w:rsidRPr="00C928CD">
        <w:rPr>
          <w:i/>
          <w:iCs/>
        </w:rPr>
        <w:t xml:space="preserve">Insurance Act 1973 </w:t>
      </w:r>
      <w:r w:rsidRPr="00C928CD">
        <w:t>(Insurance Act) provides that insurance business of a general insurer authorised under the Insurance Act may be transferred to a similarly authorised general insurer or amalgamated with the business of another general insurer. The Division provides that the business is transferred or amalgamated by a scheme that is to be confirmed by the Federal Court.</w:t>
      </w:r>
    </w:p>
    <w:p w14:paraId="729B1E4F" w14:textId="77777777" w:rsidR="00C928CD" w:rsidRPr="00C928CD" w:rsidRDefault="00C928CD" w:rsidP="00C928CD">
      <w:pPr>
        <w:pStyle w:val="BodyText"/>
      </w:pPr>
      <w:r w:rsidRPr="00C928CD">
        <w:lastRenderedPageBreak/>
        <w:t xml:space="preserve">The Division provides that certain procedural matters are to be carried out in accordance with Prudential Standards that are to be made by APRA under section 32 of the Insurance Act. GPS 410 was the prudential standard that set out those procedural requirements, which were: </w:t>
      </w:r>
    </w:p>
    <w:p w14:paraId="43E6A73F" w14:textId="77777777" w:rsidR="00C928CD" w:rsidRPr="00C928CD" w:rsidRDefault="00C928CD" w:rsidP="00C928CD">
      <w:pPr>
        <w:pStyle w:val="BodyText"/>
        <w:ind w:left="284"/>
      </w:pPr>
      <w:r w:rsidRPr="00C928CD">
        <w:t xml:space="preserve">(i) when a copy of the scheme and any actuarial reports should be given to APRA; </w:t>
      </w:r>
    </w:p>
    <w:p w14:paraId="02AB011E" w14:textId="77777777" w:rsidR="00C928CD" w:rsidRPr="00C928CD" w:rsidRDefault="00C928CD" w:rsidP="00C928CD">
      <w:pPr>
        <w:pStyle w:val="BodyText"/>
        <w:ind w:left="284"/>
      </w:pPr>
      <w:r w:rsidRPr="00C928CD">
        <w:t xml:space="preserve">(ii) how a notice of intention to transfer the insurance business was to be published, and what was required to be in the notice; </w:t>
      </w:r>
    </w:p>
    <w:p w14:paraId="75569E95" w14:textId="77777777" w:rsidR="00C928CD" w:rsidRPr="00C928CD" w:rsidRDefault="00C928CD" w:rsidP="00C928CD">
      <w:pPr>
        <w:pStyle w:val="BodyText"/>
        <w:ind w:left="284"/>
      </w:pPr>
      <w:r w:rsidRPr="00C928CD">
        <w:t xml:space="preserve">(iii) the minimum content to be included in a summary of the scheme that is provided to affected policyholders; </w:t>
      </w:r>
    </w:p>
    <w:p w14:paraId="170EAD4D" w14:textId="77777777" w:rsidR="00C928CD" w:rsidRPr="00C928CD" w:rsidRDefault="00C928CD" w:rsidP="00C928CD">
      <w:pPr>
        <w:pStyle w:val="BodyText"/>
        <w:ind w:left="284"/>
      </w:pPr>
      <w:r w:rsidRPr="00C928CD">
        <w:t xml:space="preserve">(iv) when an application for confirmation can be made to the court; and </w:t>
      </w:r>
    </w:p>
    <w:p w14:paraId="291B0E0F" w14:textId="77777777" w:rsidR="00DB4C68" w:rsidRDefault="00C928CD" w:rsidP="00C928CD">
      <w:pPr>
        <w:pStyle w:val="BodyText"/>
        <w:ind w:left="284"/>
      </w:pPr>
      <w:r w:rsidRPr="00C928CD">
        <w:t>(v) the documents that are to be provided to APRA after the transfer is completed.</w:t>
      </w:r>
    </w:p>
    <w:p w14:paraId="0DF719F0" w14:textId="77777777" w:rsidR="00DB4C68" w:rsidRDefault="00DB4C68" w:rsidP="00397690">
      <w:pPr>
        <w:pStyle w:val="BodyText"/>
        <w:jc w:val="both"/>
        <w:rPr>
          <w:b/>
        </w:rPr>
      </w:pPr>
      <w:r>
        <w:rPr>
          <w:b/>
        </w:rPr>
        <w:t>Human rights implications</w:t>
      </w:r>
    </w:p>
    <w:p w14:paraId="5BAAC069" w14:textId="77777777" w:rsidR="00684FBC" w:rsidRDefault="00684FBC" w:rsidP="00684FBC">
      <w:pPr>
        <w:autoSpaceDE w:val="0"/>
        <w:autoSpaceDN w:val="0"/>
        <w:adjustRightInd w:val="0"/>
        <w:spacing w:before="0" w:after="0"/>
        <w:jc w:val="left"/>
        <w:rPr>
          <w:rFonts w:ascii="Times New Roman" w:hAnsi="Times New Roman"/>
        </w:rPr>
      </w:pPr>
      <w:r>
        <w:rPr>
          <w:rFonts w:ascii="Times New Roman" w:hAnsi="Times New Roman"/>
        </w:rPr>
        <w:t>APRA has assessed the instrument and is of the view that it does not engage any of</w:t>
      </w:r>
    </w:p>
    <w:p w14:paraId="40A46D23" w14:textId="77777777" w:rsidR="00684FBC" w:rsidRDefault="00684FBC" w:rsidP="00684FBC">
      <w:pPr>
        <w:autoSpaceDE w:val="0"/>
        <w:autoSpaceDN w:val="0"/>
        <w:adjustRightInd w:val="0"/>
        <w:spacing w:before="0" w:after="0"/>
        <w:jc w:val="left"/>
        <w:rPr>
          <w:rFonts w:ascii="Times New Roman" w:hAnsi="Times New Roman"/>
        </w:rPr>
      </w:pPr>
      <w:r>
        <w:rPr>
          <w:rFonts w:ascii="Times New Roman" w:hAnsi="Times New Roman"/>
        </w:rPr>
        <w:t>the applicable rights or freedoms recognised or declared in the international</w:t>
      </w:r>
    </w:p>
    <w:p w14:paraId="7EFBAE41" w14:textId="77777777" w:rsidR="00684FBC" w:rsidRDefault="00684FBC" w:rsidP="00684FBC">
      <w:pPr>
        <w:autoSpaceDE w:val="0"/>
        <w:autoSpaceDN w:val="0"/>
        <w:adjustRightInd w:val="0"/>
        <w:spacing w:before="0" w:after="0"/>
        <w:jc w:val="left"/>
        <w:rPr>
          <w:rFonts w:ascii="Times New Roman" w:hAnsi="Times New Roman"/>
        </w:rPr>
      </w:pPr>
      <w:r>
        <w:rPr>
          <w:rFonts w:ascii="Times New Roman" w:hAnsi="Times New Roman"/>
        </w:rPr>
        <w:t>instruments listed in section 3 of the HRPS Act. Accordingly, in APRA’s assessment,</w:t>
      </w:r>
    </w:p>
    <w:p w14:paraId="1858EBF3" w14:textId="77777777" w:rsidR="00DB4C68" w:rsidRDefault="00684FBC" w:rsidP="00684FBC">
      <w:pPr>
        <w:pStyle w:val="BodyText"/>
        <w:jc w:val="both"/>
      </w:pPr>
      <w:r>
        <w:t>the instrument is compatible with human rights.</w:t>
      </w:r>
      <w:r w:rsidR="00D5244C">
        <w:t xml:space="preserve"> </w:t>
      </w:r>
    </w:p>
    <w:p w14:paraId="26609854" w14:textId="77777777" w:rsidR="00DB4C68" w:rsidRDefault="00DB4C68" w:rsidP="00397690">
      <w:pPr>
        <w:pStyle w:val="BodyText"/>
        <w:jc w:val="both"/>
        <w:rPr>
          <w:b/>
        </w:rPr>
      </w:pPr>
      <w:r>
        <w:rPr>
          <w:b/>
        </w:rPr>
        <w:lastRenderedPageBreak/>
        <w:t>Conclusion</w:t>
      </w:r>
    </w:p>
    <w:p w14:paraId="62C09A31" w14:textId="77777777" w:rsidR="00DB4C68" w:rsidRPr="009A5FDB" w:rsidRDefault="00B873EF" w:rsidP="00397690">
      <w:pPr>
        <w:pStyle w:val="BodyText"/>
        <w:jc w:val="both"/>
        <w:rPr>
          <w:szCs w:val="24"/>
        </w:rPr>
      </w:pPr>
      <w:r>
        <w:t xml:space="preserve">These </w:t>
      </w:r>
      <w:r w:rsidR="00DB4C68">
        <w:t>Legislative Instrument</w:t>
      </w:r>
      <w:r>
        <w:t>s</w:t>
      </w:r>
      <w:r w:rsidR="00DB4C68">
        <w:t xml:space="preserve"> </w:t>
      </w:r>
      <w:r>
        <w:t>are</w:t>
      </w:r>
      <w:r w:rsidR="00DB4C68">
        <w:t xml:space="preserve"> compatible with human rights as </w:t>
      </w:r>
      <w:r>
        <w:t xml:space="preserve">they </w:t>
      </w:r>
      <w:r w:rsidR="00DB4C68">
        <w:t>do not raise any human rights issues.</w:t>
      </w:r>
    </w:p>
    <w:sectPr w:rsidR="00DB4C68" w:rsidRPr="009A5FDB" w:rsidSect="002D7DA8">
      <w:footerReference w:type="even" r:id="rId14"/>
      <w:footerReference w:type="default" r:id="rId15"/>
      <w:footerReference w:type="first" r:id="rId16"/>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8BF0" w14:textId="77777777" w:rsidR="00977324" w:rsidRDefault="00977324">
      <w:pPr>
        <w:spacing w:before="0" w:after="0"/>
      </w:pPr>
      <w:r>
        <w:separator/>
      </w:r>
    </w:p>
  </w:endnote>
  <w:endnote w:type="continuationSeparator" w:id="0">
    <w:p w14:paraId="274EC5F1" w14:textId="77777777" w:rsidR="00977324" w:rsidRDefault="009773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C6CE4" w14:textId="77777777" w:rsidR="008A69AD" w:rsidRDefault="008A69AD"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C4A40BE" w14:textId="77777777" w:rsidR="008A69AD" w:rsidRDefault="008A69AD"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AFC08" w14:textId="77777777" w:rsidR="008A69AD" w:rsidRDefault="008A69AD" w:rsidP="00D56ADD">
    <w:pPr>
      <w:pStyle w:val="Footer"/>
      <w:jc w:val="right"/>
    </w:pPr>
    <w:r>
      <w:rPr>
        <w:b/>
        <w:bCs/>
      </w:rPr>
      <w:fldChar w:fldCharType="begin"/>
    </w:r>
    <w:r>
      <w:rPr>
        <w:b/>
        <w:bCs/>
      </w:rPr>
      <w:instrText xml:space="preserve"> PAGE </w:instrText>
    </w:r>
    <w:r>
      <w:rPr>
        <w:b/>
        <w:bCs/>
      </w:rPr>
      <w:fldChar w:fldCharType="separate"/>
    </w:r>
    <w:r w:rsidR="00C65701">
      <w:rPr>
        <w:b/>
        <w:bCs/>
        <w:noProof/>
      </w:rPr>
      <w:t>1</w:t>
    </w:r>
    <w:r>
      <w:rPr>
        <w:b/>
        <w:bCs/>
      </w:rPr>
      <w:fldChar w:fldCharType="end"/>
    </w:r>
  </w:p>
  <w:p w14:paraId="2A636725" w14:textId="77777777" w:rsidR="008A69AD" w:rsidRDefault="008A69AD"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AA39" w14:textId="77777777" w:rsidR="008A69AD" w:rsidRDefault="008A69AD">
    <w:pPr>
      <w:pStyle w:val="Footer"/>
      <w:jc w:val="right"/>
    </w:pPr>
  </w:p>
  <w:p w14:paraId="4B8A0919" w14:textId="77777777" w:rsidR="008A69AD" w:rsidRDefault="008A6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CBDFE" w14:textId="77777777" w:rsidR="00977324" w:rsidRDefault="00977324">
      <w:pPr>
        <w:spacing w:before="0" w:after="0"/>
      </w:pPr>
      <w:r>
        <w:separator/>
      </w:r>
    </w:p>
  </w:footnote>
  <w:footnote w:type="continuationSeparator" w:id="0">
    <w:p w14:paraId="1F7B5D41" w14:textId="77777777" w:rsidR="00977324" w:rsidRDefault="009773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3C8"/>
    <w:multiLevelType w:val="hybridMultilevel"/>
    <w:tmpl w:val="AC0AA83C"/>
    <w:lvl w:ilvl="0" w:tplc="FC248EA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57DD9"/>
    <w:multiLevelType w:val="hybridMultilevel"/>
    <w:tmpl w:val="B69AC5FC"/>
    <w:lvl w:ilvl="0" w:tplc="5A38AD24">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B70BD"/>
    <w:multiLevelType w:val="hybridMultilevel"/>
    <w:tmpl w:val="B57E2648"/>
    <w:lvl w:ilvl="0" w:tplc="771E1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A81249"/>
    <w:multiLevelType w:val="hybridMultilevel"/>
    <w:tmpl w:val="A98CD3C8"/>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5" w15:restartNumberingAfterBreak="0">
    <w:nsid w:val="191B46E0"/>
    <w:multiLevelType w:val="multilevel"/>
    <w:tmpl w:val="334A0B0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2A416E"/>
    <w:multiLevelType w:val="hybridMultilevel"/>
    <w:tmpl w:val="D6864C00"/>
    <w:lvl w:ilvl="0" w:tplc="67185DD4">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3676A"/>
    <w:multiLevelType w:val="hybridMultilevel"/>
    <w:tmpl w:val="578624D8"/>
    <w:lvl w:ilvl="0" w:tplc="67185DD4">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61CC8"/>
    <w:multiLevelType w:val="hybridMultilevel"/>
    <w:tmpl w:val="D866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45FB7"/>
    <w:multiLevelType w:val="hybridMultilevel"/>
    <w:tmpl w:val="6B3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5C0308"/>
    <w:multiLevelType w:val="hybridMultilevel"/>
    <w:tmpl w:val="D2DE4A0A"/>
    <w:lvl w:ilvl="0" w:tplc="59CA196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B34C77"/>
    <w:multiLevelType w:val="hybridMultilevel"/>
    <w:tmpl w:val="620E094C"/>
    <w:lvl w:ilvl="0" w:tplc="94B2DD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7A5B6E"/>
    <w:multiLevelType w:val="hybridMultilevel"/>
    <w:tmpl w:val="FF9CAC76"/>
    <w:lvl w:ilvl="0" w:tplc="0C090001">
      <w:start w:val="1"/>
      <w:numFmt w:val="bullet"/>
      <w:lvlText w:val=""/>
      <w:lvlJc w:val="left"/>
      <w:pPr>
        <w:ind w:left="845" w:hanging="360"/>
      </w:pPr>
      <w:rPr>
        <w:rFonts w:ascii="Symbol" w:hAnsi="Symbol" w:hint="default"/>
      </w:rPr>
    </w:lvl>
    <w:lvl w:ilvl="1" w:tplc="0C090003">
      <w:start w:val="1"/>
      <w:numFmt w:val="bullet"/>
      <w:lvlText w:val="o"/>
      <w:lvlJc w:val="left"/>
      <w:pPr>
        <w:ind w:left="1565" w:hanging="360"/>
      </w:pPr>
      <w:rPr>
        <w:rFonts w:ascii="Courier New" w:hAnsi="Courier New" w:cs="Courier New" w:hint="default"/>
      </w:rPr>
    </w:lvl>
    <w:lvl w:ilvl="2" w:tplc="0C090005">
      <w:start w:val="1"/>
      <w:numFmt w:val="bullet"/>
      <w:lvlText w:val=""/>
      <w:lvlJc w:val="left"/>
      <w:pPr>
        <w:ind w:left="2285" w:hanging="360"/>
      </w:pPr>
      <w:rPr>
        <w:rFonts w:ascii="Wingdings" w:hAnsi="Wingdings" w:hint="default"/>
      </w:rPr>
    </w:lvl>
    <w:lvl w:ilvl="3" w:tplc="0C090001">
      <w:start w:val="1"/>
      <w:numFmt w:val="bullet"/>
      <w:lvlText w:val=""/>
      <w:lvlJc w:val="left"/>
      <w:pPr>
        <w:ind w:left="3005" w:hanging="360"/>
      </w:pPr>
      <w:rPr>
        <w:rFonts w:ascii="Symbol" w:hAnsi="Symbol" w:hint="default"/>
      </w:rPr>
    </w:lvl>
    <w:lvl w:ilvl="4" w:tplc="0C090003">
      <w:start w:val="1"/>
      <w:numFmt w:val="bullet"/>
      <w:lvlText w:val="o"/>
      <w:lvlJc w:val="left"/>
      <w:pPr>
        <w:ind w:left="3725" w:hanging="360"/>
      </w:pPr>
      <w:rPr>
        <w:rFonts w:ascii="Courier New" w:hAnsi="Courier New" w:cs="Courier New" w:hint="default"/>
      </w:rPr>
    </w:lvl>
    <w:lvl w:ilvl="5" w:tplc="0C090005">
      <w:start w:val="1"/>
      <w:numFmt w:val="bullet"/>
      <w:lvlText w:val=""/>
      <w:lvlJc w:val="left"/>
      <w:pPr>
        <w:ind w:left="4445" w:hanging="360"/>
      </w:pPr>
      <w:rPr>
        <w:rFonts w:ascii="Wingdings" w:hAnsi="Wingdings" w:hint="default"/>
      </w:rPr>
    </w:lvl>
    <w:lvl w:ilvl="6" w:tplc="0C090001">
      <w:start w:val="1"/>
      <w:numFmt w:val="bullet"/>
      <w:lvlText w:val=""/>
      <w:lvlJc w:val="left"/>
      <w:pPr>
        <w:ind w:left="5165" w:hanging="360"/>
      </w:pPr>
      <w:rPr>
        <w:rFonts w:ascii="Symbol" w:hAnsi="Symbol" w:hint="default"/>
      </w:rPr>
    </w:lvl>
    <w:lvl w:ilvl="7" w:tplc="0C090003">
      <w:start w:val="1"/>
      <w:numFmt w:val="bullet"/>
      <w:lvlText w:val="o"/>
      <w:lvlJc w:val="left"/>
      <w:pPr>
        <w:ind w:left="5885" w:hanging="360"/>
      </w:pPr>
      <w:rPr>
        <w:rFonts w:ascii="Courier New" w:hAnsi="Courier New" w:cs="Courier New" w:hint="default"/>
      </w:rPr>
    </w:lvl>
    <w:lvl w:ilvl="8" w:tplc="0C090005">
      <w:start w:val="1"/>
      <w:numFmt w:val="bullet"/>
      <w:lvlText w:val=""/>
      <w:lvlJc w:val="left"/>
      <w:pPr>
        <w:ind w:left="6605" w:hanging="360"/>
      </w:pPr>
      <w:rPr>
        <w:rFonts w:ascii="Wingdings" w:hAnsi="Wingdings" w:hint="default"/>
      </w:rPr>
    </w:lvl>
  </w:abstractNum>
  <w:abstractNum w:abstractNumId="19" w15:restartNumberingAfterBreak="0">
    <w:nsid w:val="647C3EA3"/>
    <w:multiLevelType w:val="hybridMultilevel"/>
    <w:tmpl w:val="7EA2A402"/>
    <w:lvl w:ilvl="0" w:tplc="67185DD4">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F551D2"/>
    <w:multiLevelType w:val="hybridMultilevel"/>
    <w:tmpl w:val="6824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A2BC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3"/>
  </w:num>
  <w:num w:numId="3">
    <w:abstractNumId w:val="14"/>
  </w:num>
  <w:num w:numId="4">
    <w:abstractNumId w:val="8"/>
  </w:num>
  <w:num w:numId="5">
    <w:abstractNumId w:val="7"/>
  </w:num>
  <w:num w:numId="6">
    <w:abstractNumId w:val="15"/>
  </w:num>
  <w:num w:numId="7">
    <w:abstractNumId w:val="6"/>
  </w:num>
  <w:num w:numId="8">
    <w:abstractNumId w:val="4"/>
  </w:num>
  <w:num w:numId="9">
    <w:abstractNumId w:val="21"/>
  </w:num>
  <w:num w:numId="10">
    <w:abstractNumId w:val="5"/>
  </w:num>
  <w:num w:numId="11">
    <w:abstractNumId w:val="0"/>
  </w:num>
  <w:num w:numId="12">
    <w:abstractNumId w:val="1"/>
  </w:num>
  <w:num w:numId="13">
    <w:abstractNumId w:val="19"/>
  </w:num>
  <w:num w:numId="14">
    <w:abstractNumId w:val="10"/>
  </w:num>
  <w:num w:numId="15">
    <w:abstractNumId w:val="9"/>
  </w:num>
  <w:num w:numId="16">
    <w:abstractNumId w:val="17"/>
  </w:num>
  <w:num w:numId="17">
    <w:abstractNumId w:val="12"/>
  </w:num>
  <w:num w:numId="18">
    <w:abstractNumId w:val="18"/>
  </w:num>
  <w:num w:numId="19">
    <w:abstractNumId w:val="11"/>
  </w:num>
  <w:num w:numId="20">
    <w:abstractNumId w:val="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AE6"/>
    <w:rsid w:val="00003C2C"/>
    <w:rsid w:val="0000558E"/>
    <w:rsid w:val="00006970"/>
    <w:rsid w:val="00006AA1"/>
    <w:rsid w:val="00010B30"/>
    <w:rsid w:val="00011BB1"/>
    <w:rsid w:val="00012695"/>
    <w:rsid w:val="0001606E"/>
    <w:rsid w:val="00017144"/>
    <w:rsid w:val="000201AE"/>
    <w:rsid w:val="000218B6"/>
    <w:rsid w:val="00026726"/>
    <w:rsid w:val="0002731C"/>
    <w:rsid w:val="00027386"/>
    <w:rsid w:val="00030BD8"/>
    <w:rsid w:val="000324C9"/>
    <w:rsid w:val="00032E46"/>
    <w:rsid w:val="00033B73"/>
    <w:rsid w:val="0003688E"/>
    <w:rsid w:val="00043838"/>
    <w:rsid w:val="00044AD3"/>
    <w:rsid w:val="000555F4"/>
    <w:rsid w:val="00055C1B"/>
    <w:rsid w:val="00056C6C"/>
    <w:rsid w:val="00056DFC"/>
    <w:rsid w:val="0006042E"/>
    <w:rsid w:val="000631DA"/>
    <w:rsid w:val="00063B11"/>
    <w:rsid w:val="00076790"/>
    <w:rsid w:val="00076969"/>
    <w:rsid w:val="000775A1"/>
    <w:rsid w:val="00080B55"/>
    <w:rsid w:val="0008669D"/>
    <w:rsid w:val="000A0480"/>
    <w:rsid w:val="000A579A"/>
    <w:rsid w:val="000A6A49"/>
    <w:rsid w:val="000A7BC2"/>
    <w:rsid w:val="000B22C3"/>
    <w:rsid w:val="000B3626"/>
    <w:rsid w:val="000B5532"/>
    <w:rsid w:val="000B59FF"/>
    <w:rsid w:val="000B6D67"/>
    <w:rsid w:val="000C3406"/>
    <w:rsid w:val="000C3A21"/>
    <w:rsid w:val="000D046E"/>
    <w:rsid w:val="000D187A"/>
    <w:rsid w:val="000D27CA"/>
    <w:rsid w:val="000D2ED7"/>
    <w:rsid w:val="000D37BD"/>
    <w:rsid w:val="000D6AC0"/>
    <w:rsid w:val="000E055A"/>
    <w:rsid w:val="000E55C2"/>
    <w:rsid w:val="000E60CC"/>
    <w:rsid w:val="000E6A1C"/>
    <w:rsid w:val="000F309E"/>
    <w:rsid w:val="000F35BE"/>
    <w:rsid w:val="000F3E1E"/>
    <w:rsid w:val="000F6592"/>
    <w:rsid w:val="0010211C"/>
    <w:rsid w:val="00102F9E"/>
    <w:rsid w:val="0010459D"/>
    <w:rsid w:val="0010495D"/>
    <w:rsid w:val="00105F5C"/>
    <w:rsid w:val="001064E1"/>
    <w:rsid w:val="00110071"/>
    <w:rsid w:val="00111CA4"/>
    <w:rsid w:val="00115586"/>
    <w:rsid w:val="00117860"/>
    <w:rsid w:val="00120EE0"/>
    <w:rsid w:val="00121061"/>
    <w:rsid w:val="0012491A"/>
    <w:rsid w:val="00124D2A"/>
    <w:rsid w:val="00124EE2"/>
    <w:rsid w:val="00126BDF"/>
    <w:rsid w:val="001271A7"/>
    <w:rsid w:val="00142441"/>
    <w:rsid w:val="00146362"/>
    <w:rsid w:val="00147418"/>
    <w:rsid w:val="0016350A"/>
    <w:rsid w:val="001636BF"/>
    <w:rsid w:val="00163AE4"/>
    <w:rsid w:val="00170877"/>
    <w:rsid w:val="00170E56"/>
    <w:rsid w:val="001735C0"/>
    <w:rsid w:val="0017381C"/>
    <w:rsid w:val="00173C12"/>
    <w:rsid w:val="00174200"/>
    <w:rsid w:val="00176630"/>
    <w:rsid w:val="001830F9"/>
    <w:rsid w:val="00183A1C"/>
    <w:rsid w:val="00183C8A"/>
    <w:rsid w:val="00186318"/>
    <w:rsid w:val="00191382"/>
    <w:rsid w:val="00193A6E"/>
    <w:rsid w:val="0019482E"/>
    <w:rsid w:val="001A0790"/>
    <w:rsid w:val="001A2106"/>
    <w:rsid w:val="001A2FAB"/>
    <w:rsid w:val="001A32D6"/>
    <w:rsid w:val="001B6E91"/>
    <w:rsid w:val="001C0BC5"/>
    <w:rsid w:val="001C26B8"/>
    <w:rsid w:val="001D16A9"/>
    <w:rsid w:val="001D1DC0"/>
    <w:rsid w:val="001D609C"/>
    <w:rsid w:val="001E06CB"/>
    <w:rsid w:val="001E2DB0"/>
    <w:rsid w:val="001E54DD"/>
    <w:rsid w:val="001E623B"/>
    <w:rsid w:val="001E6EA4"/>
    <w:rsid w:val="001E782E"/>
    <w:rsid w:val="001F3B6C"/>
    <w:rsid w:val="001F4FB6"/>
    <w:rsid w:val="00202DDE"/>
    <w:rsid w:val="00205894"/>
    <w:rsid w:val="0021023F"/>
    <w:rsid w:val="002114F1"/>
    <w:rsid w:val="00222511"/>
    <w:rsid w:val="002237DC"/>
    <w:rsid w:val="00223C69"/>
    <w:rsid w:val="00225921"/>
    <w:rsid w:val="00227D36"/>
    <w:rsid w:val="00227E3D"/>
    <w:rsid w:val="00231BAB"/>
    <w:rsid w:val="002330A5"/>
    <w:rsid w:val="002341A1"/>
    <w:rsid w:val="00235804"/>
    <w:rsid w:val="002430F8"/>
    <w:rsid w:val="00247C69"/>
    <w:rsid w:val="002504E2"/>
    <w:rsid w:val="002529DB"/>
    <w:rsid w:val="00254ED3"/>
    <w:rsid w:val="00261E28"/>
    <w:rsid w:val="002642DC"/>
    <w:rsid w:val="00265913"/>
    <w:rsid w:val="002669D5"/>
    <w:rsid w:val="0027046F"/>
    <w:rsid w:val="00272E20"/>
    <w:rsid w:val="00282B1D"/>
    <w:rsid w:val="00283869"/>
    <w:rsid w:val="00285041"/>
    <w:rsid w:val="00295ADF"/>
    <w:rsid w:val="002962EE"/>
    <w:rsid w:val="002A0F36"/>
    <w:rsid w:val="002A47FA"/>
    <w:rsid w:val="002B02C7"/>
    <w:rsid w:val="002B2A6A"/>
    <w:rsid w:val="002B6511"/>
    <w:rsid w:val="002B6780"/>
    <w:rsid w:val="002B6E99"/>
    <w:rsid w:val="002C1A10"/>
    <w:rsid w:val="002C3F98"/>
    <w:rsid w:val="002C4D4B"/>
    <w:rsid w:val="002C54FA"/>
    <w:rsid w:val="002C5C6E"/>
    <w:rsid w:val="002C6AA1"/>
    <w:rsid w:val="002C7D5C"/>
    <w:rsid w:val="002D003A"/>
    <w:rsid w:val="002D0373"/>
    <w:rsid w:val="002D0F29"/>
    <w:rsid w:val="002D15B6"/>
    <w:rsid w:val="002D413C"/>
    <w:rsid w:val="002D5680"/>
    <w:rsid w:val="002D7440"/>
    <w:rsid w:val="002D7DA8"/>
    <w:rsid w:val="002E68FA"/>
    <w:rsid w:val="002F4319"/>
    <w:rsid w:val="002F53AE"/>
    <w:rsid w:val="00300114"/>
    <w:rsid w:val="003033E4"/>
    <w:rsid w:val="00307E8C"/>
    <w:rsid w:val="00310DC2"/>
    <w:rsid w:val="00314F61"/>
    <w:rsid w:val="003168CC"/>
    <w:rsid w:val="00323CB1"/>
    <w:rsid w:val="00323DBD"/>
    <w:rsid w:val="003306AA"/>
    <w:rsid w:val="00342271"/>
    <w:rsid w:val="0034386A"/>
    <w:rsid w:val="00343C01"/>
    <w:rsid w:val="00347B15"/>
    <w:rsid w:val="00347FCC"/>
    <w:rsid w:val="0036074D"/>
    <w:rsid w:val="00361A51"/>
    <w:rsid w:val="003664C9"/>
    <w:rsid w:val="003671DF"/>
    <w:rsid w:val="00384AF2"/>
    <w:rsid w:val="00385EBA"/>
    <w:rsid w:val="00397690"/>
    <w:rsid w:val="003A0FB4"/>
    <w:rsid w:val="003A31C5"/>
    <w:rsid w:val="003A551B"/>
    <w:rsid w:val="003B20B4"/>
    <w:rsid w:val="003B4D27"/>
    <w:rsid w:val="003B5265"/>
    <w:rsid w:val="003B6B84"/>
    <w:rsid w:val="003B744D"/>
    <w:rsid w:val="003C1F4C"/>
    <w:rsid w:val="003C3568"/>
    <w:rsid w:val="003C5FAA"/>
    <w:rsid w:val="003C7991"/>
    <w:rsid w:val="003D14AA"/>
    <w:rsid w:val="003D3A7D"/>
    <w:rsid w:val="003D671F"/>
    <w:rsid w:val="003D71A3"/>
    <w:rsid w:val="003E01A0"/>
    <w:rsid w:val="003E1487"/>
    <w:rsid w:val="003E2F84"/>
    <w:rsid w:val="003E399F"/>
    <w:rsid w:val="003E526B"/>
    <w:rsid w:val="003E7F89"/>
    <w:rsid w:val="003F02D2"/>
    <w:rsid w:val="003F2D0E"/>
    <w:rsid w:val="003F5E7E"/>
    <w:rsid w:val="003F7B4A"/>
    <w:rsid w:val="00403EA8"/>
    <w:rsid w:val="0040568B"/>
    <w:rsid w:val="00406A36"/>
    <w:rsid w:val="0041088E"/>
    <w:rsid w:val="00413A01"/>
    <w:rsid w:val="004143D8"/>
    <w:rsid w:val="00414E21"/>
    <w:rsid w:val="00415716"/>
    <w:rsid w:val="00416296"/>
    <w:rsid w:val="00416641"/>
    <w:rsid w:val="00416C5B"/>
    <w:rsid w:val="00416EF2"/>
    <w:rsid w:val="0042007F"/>
    <w:rsid w:val="00421938"/>
    <w:rsid w:val="00426F46"/>
    <w:rsid w:val="00427335"/>
    <w:rsid w:val="0043016B"/>
    <w:rsid w:val="004315EE"/>
    <w:rsid w:val="00436690"/>
    <w:rsid w:val="00437C5F"/>
    <w:rsid w:val="00443B03"/>
    <w:rsid w:val="00443DD6"/>
    <w:rsid w:val="00444ED4"/>
    <w:rsid w:val="00446793"/>
    <w:rsid w:val="00446DA2"/>
    <w:rsid w:val="00452BFF"/>
    <w:rsid w:val="00455CFD"/>
    <w:rsid w:val="00456B13"/>
    <w:rsid w:val="00456F7A"/>
    <w:rsid w:val="004571C5"/>
    <w:rsid w:val="00463269"/>
    <w:rsid w:val="00466BE1"/>
    <w:rsid w:val="004674E6"/>
    <w:rsid w:val="00471C71"/>
    <w:rsid w:val="004803D4"/>
    <w:rsid w:val="00480AB5"/>
    <w:rsid w:val="00485359"/>
    <w:rsid w:val="00485782"/>
    <w:rsid w:val="00486F54"/>
    <w:rsid w:val="004913BF"/>
    <w:rsid w:val="00491AD1"/>
    <w:rsid w:val="004974E6"/>
    <w:rsid w:val="00497A10"/>
    <w:rsid w:val="004A7EF8"/>
    <w:rsid w:val="004B004C"/>
    <w:rsid w:val="004B0AC4"/>
    <w:rsid w:val="004B2073"/>
    <w:rsid w:val="004B2576"/>
    <w:rsid w:val="004B4775"/>
    <w:rsid w:val="004B621D"/>
    <w:rsid w:val="004C2493"/>
    <w:rsid w:val="004C79A4"/>
    <w:rsid w:val="004F0124"/>
    <w:rsid w:val="004F0E6C"/>
    <w:rsid w:val="004F3053"/>
    <w:rsid w:val="004F4CCA"/>
    <w:rsid w:val="004F6C96"/>
    <w:rsid w:val="004F7451"/>
    <w:rsid w:val="00505C2A"/>
    <w:rsid w:val="00505E41"/>
    <w:rsid w:val="00506BDF"/>
    <w:rsid w:val="005125B9"/>
    <w:rsid w:val="00514E54"/>
    <w:rsid w:val="0051573E"/>
    <w:rsid w:val="00523E14"/>
    <w:rsid w:val="005323E9"/>
    <w:rsid w:val="005378DF"/>
    <w:rsid w:val="00544186"/>
    <w:rsid w:val="00544768"/>
    <w:rsid w:val="00544CDE"/>
    <w:rsid w:val="0054724E"/>
    <w:rsid w:val="00554D51"/>
    <w:rsid w:val="00560844"/>
    <w:rsid w:val="00561055"/>
    <w:rsid w:val="0056224E"/>
    <w:rsid w:val="00562B07"/>
    <w:rsid w:val="005644B5"/>
    <w:rsid w:val="00565315"/>
    <w:rsid w:val="00567A9A"/>
    <w:rsid w:val="00567AE3"/>
    <w:rsid w:val="005718A5"/>
    <w:rsid w:val="0057342F"/>
    <w:rsid w:val="005738CC"/>
    <w:rsid w:val="00574616"/>
    <w:rsid w:val="005748FE"/>
    <w:rsid w:val="0058063A"/>
    <w:rsid w:val="005814F9"/>
    <w:rsid w:val="005833B9"/>
    <w:rsid w:val="00583B77"/>
    <w:rsid w:val="00583EC2"/>
    <w:rsid w:val="00587962"/>
    <w:rsid w:val="00591630"/>
    <w:rsid w:val="005921D8"/>
    <w:rsid w:val="00592576"/>
    <w:rsid w:val="00593BF7"/>
    <w:rsid w:val="005941E1"/>
    <w:rsid w:val="005A03AC"/>
    <w:rsid w:val="005A35B4"/>
    <w:rsid w:val="005A3EC1"/>
    <w:rsid w:val="005A743A"/>
    <w:rsid w:val="005C37A6"/>
    <w:rsid w:val="005C388E"/>
    <w:rsid w:val="005C3C75"/>
    <w:rsid w:val="005C701A"/>
    <w:rsid w:val="005C7AB3"/>
    <w:rsid w:val="005D0304"/>
    <w:rsid w:val="005D05E1"/>
    <w:rsid w:val="005D2281"/>
    <w:rsid w:val="005D2ABE"/>
    <w:rsid w:val="005D435B"/>
    <w:rsid w:val="005D53CA"/>
    <w:rsid w:val="005D7020"/>
    <w:rsid w:val="005E3630"/>
    <w:rsid w:val="005E52F5"/>
    <w:rsid w:val="005E6B0F"/>
    <w:rsid w:val="005F0577"/>
    <w:rsid w:val="005F30ED"/>
    <w:rsid w:val="005F48F1"/>
    <w:rsid w:val="005F5DF4"/>
    <w:rsid w:val="005F6BAC"/>
    <w:rsid w:val="00602CB7"/>
    <w:rsid w:val="00606800"/>
    <w:rsid w:val="00611A4D"/>
    <w:rsid w:val="0061258F"/>
    <w:rsid w:val="006208F9"/>
    <w:rsid w:val="006210C2"/>
    <w:rsid w:val="00622493"/>
    <w:rsid w:val="0062524F"/>
    <w:rsid w:val="00625D6C"/>
    <w:rsid w:val="00633372"/>
    <w:rsid w:val="00634FF0"/>
    <w:rsid w:val="00635A7C"/>
    <w:rsid w:val="0063720A"/>
    <w:rsid w:val="00637E7B"/>
    <w:rsid w:val="00644F26"/>
    <w:rsid w:val="00645119"/>
    <w:rsid w:val="00645868"/>
    <w:rsid w:val="00647B94"/>
    <w:rsid w:val="00647F1F"/>
    <w:rsid w:val="00652397"/>
    <w:rsid w:val="00663C9A"/>
    <w:rsid w:val="006664E8"/>
    <w:rsid w:val="00667386"/>
    <w:rsid w:val="00672036"/>
    <w:rsid w:val="00673DC2"/>
    <w:rsid w:val="00673E01"/>
    <w:rsid w:val="00684FBC"/>
    <w:rsid w:val="00685016"/>
    <w:rsid w:val="00685CF1"/>
    <w:rsid w:val="00694F60"/>
    <w:rsid w:val="006967C8"/>
    <w:rsid w:val="006A05FB"/>
    <w:rsid w:val="006A2BB1"/>
    <w:rsid w:val="006B3BC5"/>
    <w:rsid w:val="006B4040"/>
    <w:rsid w:val="006B4444"/>
    <w:rsid w:val="006B5A7F"/>
    <w:rsid w:val="006B6285"/>
    <w:rsid w:val="006B757E"/>
    <w:rsid w:val="006C0777"/>
    <w:rsid w:val="006C0888"/>
    <w:rsid w:val="006C6A19"/>
    <w:rsid w:val="006D1265"/>
    <w:rsid w:val="006E15EA"/>
    <w:rsid w:val="006E222F"/>
    <w:rsid w:val="006E5383"/>
    <w:rsid w:val="006F48E7"/>
    <w:rsid w:val="006F5C88"/>
    <w:rsid w:val="006F6C05"/>
    <w:rsid w:val="006F795E"/>
    <w:rsid w:val="006F7EA5"/>
    <w:rsid w:val="006F7F45"/>
    <w:rsid w:val="007007D3"/>
    <w:rsid w:val="00700E16"/>
    <w:rsid w:val="00702EF7"/>
    <w:rsid w:val="007032E9"/>
    <w:rsid w:val="00704E26"/>
    <w:rsid w:val="00705B21"/>
    <w:rsid w:val="007060F0"/>
    <w:rsid w:val="00712E3F"/>
    <w:rsid w:val="00716276"/>
    <w:rsid w:val="00717A79"/>
    <w:rsid w:val="007217DD"/>
    <w:rsid w:val="0072537C"/>
    <w:rsid w:val="00733B48"/>
    <w:rsid w:val="00733ECB"/>
    <w:rsid w:val="007348D2"/>
    <w:rsid w:val="00740443"/>
    <w:rsid w:val="007408B3"/>
    <w:rsid w:val="00743617"/>
    <w:rsid w:val="00744851"/>
    <w:rsid w:val="00744E6B"/>
    <w:rsid w:val="00760CF4"/>
    <w:rsid w:val="00770264"/>
    <w:rsid w:val="00777E93"/>
    <w:rsid w:val="00780C75"/>
    <w:rsid w:val="00785B77"/>
    <w:rsid w:val="00792567"/>
    <w:rsid w:val="00794153"/>
    <w:rsid w:val="007954AB"/>
    <w:rsid w:val="00796DE0"/>
    <w:rsid w:val="007A20AB"/>
    <w:rsid w:val="007B093E"/>
    <w:rsid w:val="007B433E"/>
    <w:rsid w:val="007B49C0"/>
    <w:rsid w:val="007C0975"/>
    <w:rsid w:val="007C0A45"/>
    <w:rsid w:val="007C3365"/>
    <w:rsid w:val="007D0DF6"/>
    <w:rsid w:val="007D4313"/>
    <w:rsid w:val="007D72A4"/>
    <w:rsid w:val="007E6495"/>
    <w:rsid w:val="007F0CC9"/>
    <w:rsid w:val="007F50A4"/>
    <w:rsid w:val="00800AD5"/>
    <w:rsid w:val="008015D2"/>
    <w:rsid w:val="0080552D"/>
    <w:rsid w:val="00806B31"/>
    <w:rsid w:val="00807B3F"/>
    <w:rsid w:val="0081008D"/>
    <w:rsid w:val="008124F3"/>
    <w:rsid w:val="008163EE"/>
    <w:rsid w:val="0082354F"/>
    <w:rsid w:val="008254F2"/>
    <w:rsid w:val="00826B4E"/>
    <w:rsid w:val="00830C54"/>
    <w:rsid w:val="00830E90"/>
    <w:rsid w:val="00831BDC"/>
    <w:rsid w:val="0083482E"/>
    <w:rsid w:val="008377E5"/>
    <w:rsid w:val="00837FB3"/>
    <w:rsid w:val="00844445"/>
    <w:rsid w:val="0084490C"/>
    <w:rsid w:val="0084495C"/>
    <w:rsid w:val="00852AB3"/>
    <w:rsid w:val="00853398"/>
    <w:rsid w:val="00860310"/>
    <w:rsid w:val="00860DC0"/>
    <w:rsid w:val="00862300"/>
    <w:rsid w:val="0086446D"/>
    <w:rsid w:val="008713A5"/>
    <w:rsid w:val="00881B57"/>
    <w:rsid w:val="008825C2"/>
    <w:rsid w:val="00883676"/>
    <w:rsid w:val="00884552"/>
    <w:rsid w:val="0088539F"/>
    <w:rsid w:val="00885D7C"/>
    <w:rsid w:val="00887670"/>
    <w:rsid w:val="0089629C"/>
    <w:rsid w:val="008A1076"/>
    <w:rsid w:val="008A1A5F"/>
    <w:rsid w:val="008A36C7"/>
    <w:rsid w:val="008A69AD"/>
    <w:rsid w:val="008A7848"/>
    <w:rsid w:val="008B09A2"/>
    <w:rsid w:val="008B1DD5"/>
    <w:rsid w:val="008B3011"/>
    <w:rsid w:val="008B5B9B"/>
    <w:rsid w:val="008B7528"/>
    <w:rsid w:val="008C0F09"/>
    <w:rsid w:val="008C228A"/>
    <w:rsid w:val="008C3BF7"/>
    <w:rsid w:val="008D0E01"/>
    <w:rsid w:val="008E1C9F"/>
    <w:rsid w:val="008E25C7"/>
    <w:rsid w:val="008E39A3"/>
    <w:rsid w:val="008E445F"/>
    <w:rsid w:val="008F07CE"/>
    <w:rsid w:val="008F4265"/>
    <w:rsid w:val="008F49C2"/>
    <w:rsid w:val="008F6732"/>
    <w:rsid w:val="008F6AA0"/>
    <w:rsid w:val="00910F17"/>
    <w:rsid w:val="00915A33"/>
    <w:rsid w:val="00922097"/>
    <w:rsid w:val="00932D57"/>
    <w:rsid w:val="009373BE"/>
    <w:rsid w:val="009403D0"/>
    <w:rsid w:val="009411C8"/>
    <w:rsid w:val="0094610F"/>
    <w:rsid w:val="00953841"/>
    <w:rsid w:val="00954320"/>
    <w:rsid w:val="00956A1C"/>
    <w:rsid w:val="00966731"/>
    <w:rsid w:val="00966F57"/>
    <w:rsid w:val="0097167E"/>
    <w:rsid w:val="009732D4"/>
    <w:rsid w:val="00977324"/>
    <w:rsid w:val="0098414E"/>
    <w:rsid w:val="00985A96"/>
    <w:rsid w:val="0099256A"/>
    <w:rsid w:val="009969C3"/>
    <w:rsid w:val="00997B46"/>
    <w:rsid w:val="00997DC8"/>
    <w:rsid w:val="009A078F"/>
    <w:rsid w:val="009A37C4"/>
    <w:rsid w:val="009A55C0"/>
    <w:rsid w:val="009A5FDB"/>
    <w:rsid w:val="009A7D70"/>
    <w:rsid w:val="009B40FD"/>
    <w:rsid w:val="009B57FF"/>
    <w:rsid w:val="009C19B4"/>
    <w:rsid w:val="009D2B98"/>
    <w:rsid w:val="009D445F"/>
    <w:rsid w:val="009E216B"/>
    <w:rsid w:val="009E35B1"/>
    <w:rsid w:val="009F2DFF"/>
    <w:rsid w:val="009F4075"/>
    <w:rsid w:val="00A03AB9"/>
    <w:rsid w:val="00A047B5"/>
    <w:rsid w:val="00A15209"/>
    <w:rsid w:val="00A208EB"/>
    <w:rsid w:val="00A26FD8"/>
    <w:rsid w:val="00A32B98"/>
    <w:rsid w:val="00A3768F"/>
    <w:rsid w:val="00A40D5C"/>
    <w:rsid w:val="00A4292F"/>
    <w:rsid w:val="00A43FF9"/>
    <w:rsid w:val="00A51D19"/>
    <w:rsid w:val="00A541EB"/>
    <w:rsid w:val="00A55057"/>
    <w:rsid w:val="00A560DE"/>
    <w:rsid w:val="00A560EA"/>
    <w:rsid w:val="00A6134F"/>
    <w:rsid w:val="00A61ADB"/>
    <w:rsid w:val="00A66958"/>
    <w:rsid w:val="00A66DF3"/>
    <w:rsid w:val="00A70D13"/>
    <w:rsid w:val="00A73430"/>
    <w:rsid w:val="00A7387D"/>
    <w:rsid w:val="00A73F0F"/>
    <w:rsid w:val="00A75644"/>
    <w:rsid w:val="00A8236A"/>
    <w:rsid w:val="00A82561"/>
    <w:rsid w:val="00A83C07"/>
    <w:rsid w:val="00A84AD6"/>
    <w:rsid w:val="00A96F6A"/>
    <w:rsid w:val="00AA08EC"/>
    <w:rsid w:val="00AA11D4"/>
    <w:rsid w:val="00AA2735"/>
    <w:rsid w:val="00AB0A7D"/>
    <w:rsid w:val="00AB1F92"/>
    <w:rsid w:val="00AB3FCB"/>
    <w:rsid w:val="00AB533D"/>
    <w:rsid w:val="00AB6C9A"/>
    <w:rsid w:val="00AC031B"/>
    <w:rsid w:val="00AC2996"/>
    <w:rsid w:val="00AC3F07"/>
    <w:rsid w:val="00AC5DA2"/>
    <w:rsid w:val="00AD31BC"/>
    <w:rsid w:val="00AD556C"/>
    <w:rsid w:val="00AD5F26"/>
    <w:rsid w:val="00AD62C5"/>
    <w:rsid w:val="00AE242B"/>
    <w:rsid w:val="00AE287A"/>
    <w:rsid w:val="00AE2D97"/>
    <w:rsid w:val="00AE7E64"/>
    <w:rsid w:val="00AF00C9"/>
    <w:rsid w:val="00AF027C"/>
    <w:rsid w:val="00AF3144"/>
    <w:rsid w:val="00AF462F"/>
    <w:rsid w:val="00AF589B"/>
    <w:rsid w:val="00B02043"/>
    <w:rsid w:val="00B046EB"/>
    <w:rsid w:val="00B06CA1"/>
    <w:rsid w:val="00B12376"/>
    <w:rsid w:val="00B2617D"/>
    <w:rsid w:val="00B27510"/>
    <w:rsid w:val="00B31706"/>
    <w:rsid w:val="00B3530A"/>
    <w:rsid w:val="00B37A22"/>
    <w:rsid w:val="00B40178"/>
    <w:rsid w:val="00B44E5F"/>
    <w:rsid w:val="00B458A3"/>
    <w:rsid w:val="00B46846"/>
    <w:rsid w:val="00B46CD2"/>
    <w:rsid w:val="00B52224"/>
    <w:rsid w:val="00B52C31"/>
    <w:rsid w:val="00B57341"/>
    <w:rsid w:val="00B600C0"/>
    <w:rsid w:val="00B61024"/>
    <w:rsid w:val="00B71A97"/>
    <w:rsid w:val="00B72FD4"/>
    <w:rsid w:val="00B77BD4"/>
    <w:rsid w:val="00B84194"/>
    <w:rsid w:val="00B873EF"/>
    <w:rsid w:val="00B93E03"/>
    <w:rsid w:val="00B96C5A"/>
    <w:rsid w:val="00B97B6E"/>
    <w:rsid w:val="00BA0BC1"/>
    <w:rsid w:val="00BA3189"/>
    <w:rsid w:val="00BA3DEB"/>
    <w:rsid w:val="00BB27C5"/>
    <w:rsid w:val="00BB387D"/>
    <w:rsid w:val="00BC2BFB"/>
    <w:rsid w:val="00BC5504"/>
    <w:rsid w:val="00BC6A8D"/>
    <w:rsid w:val="00BE0E02"/>
    <w:rsid w:val="00BE2380"/>
    <w:rsid w:val="00BE5145"/>
    <w:rsid w:val="00BE5F98"/>
    <w:rsid w:val="00BE7AD6"/>
    <w:rsid w:val="00BF7D8F"/>
    <w:rsid w:val="00C007F6"/>
    <w:rsid w:val="00C03925"/>
    <w:rsid w:val="00C047E7"/>
    <w:rsid w:val="00C04E96"/>
    <w:rsid w:val="00C06282"/>
    <w:rsid w:val="00C112A2"/>
    <w:rsid w:val="00C119DE"/>
    <w:rsid w:val="00C16BD6"/>
    <w:rsid w:val="00C17ED3"/>
    <w:rsid w:val="00C220E1"/>
    <w:rsid w:val="00C2447B"/>
    <w:rsid w:val="00C26E59"/>
    <w:rsid w:val="00C27D9E"/>
    <w:rsid w:val="00C34E1E"/>
    <w:rsid w:val="00C3551A"/>
    <w:rsid w:val="00C40FD6"/>
    <w:rsid w:val="00C41329"/>
    <w:rsid w:val="00C464F8"/>
    <w:rsid w:val="00C55996"/>
    <w:rsid w:val="00C57B96"/>
    <w:rsid w:val="00C62FA1"/>
    <w:rsid w:val="00C65701"/>
    <w:rsid w:val="00C66F5F"/>
    <w:rsid w:val="00C70DC3"/>
    <w:rsid w:val="00C72F5E"/>
    <w:rsid w:val="00C77085"/>
    <w:rsid w:val="00C8545C"/>
    <w:rsid w:val="00C87DDA"/>
    <w:rsid w:val="00C90010"/>
    <w:rsid w:val="00C928CD"/>
    <w:rsid w:val="00C92B6B"/>
    <w:rsid w:val="00C94DCF"/>
    <w:rsid w:val="00C9694D"/>
    <w:rsid w:val="00C96E5E"/>
    <w:rsid w:val="00C97019"/>
    <w:rsid w:val="00C97A01"/>
    <w:rsid w:val="00CA2403"/>
    <w:rsid w:val="00CA29DB"/>
    <w:rsid w:val="00CA6DFB"/>
    <w:rsid w:val="00CB165E"/>
    <w:rsid w:val="00CB233A"/>
    <w:rsid w:val="00CC1195"/>
    <w:rsid w:val="00CC4BE4"/>
    <w:rsid w:val="00CC7754"/>
    <w:rsid w:val="00CC793B"/>
    <w:rsid w:val="00CD0116"/>
    <w:rsid w:val="00CD142D"/>
    <w:rsid w:val="00CD519A"/>
    <w:rsid w:val="00CE1D16"/>
    <w:rsid w:val="00CF2A51"/>
    <w:rsid w:val="00CF36DC"/>
    <w:rsid w:val="00CF426F"/>
    <w:rsid w:val="00CF6510"/>
    <w:rsid w:val="00CF7B05"/>
    <w:rsid w:val="00D04EA3"/>
    <w:rsid w:val="00D14C3D"/>
    <w:rsid w:val="00D161B4"/>
    <w:rsid w:val="00D2126B"/>
    <w:rsid w:val="00D22D14"/>
    <w:rsid w:val="00D26C46"/>
    <w:rsid w:val="00D27DE1"/>
    <w:rsid w:val="00D3515D"/>
    <w:rsid w:val="00D37455"/>
    <w:rsid w:val="00D410CA"/>
    <w:rsid w:val="00D4290F"/>
    <w:rsid w:val="00D4387C"/>
    <w:rsid w:val="00D44DB1"/>
    <w:rsid w:val="00D5244C"/>
    <w:rsid w:val="00D55C7F"/>
    <w:rsid w:val="00D56ADD"/>
    <w:rsid w:val="00D56C0A"/>
    <w:rsid w:val="00D63690"/>
    <w:rsid w:val="00D66CB2"/>
    <w:rsid w:val="00D67BC4"/>
    <w:rsid w:val="00D7240A"/>
    <w:rsid w:val="00D724D7"/>
    <w:rsid w:val="00D74639"/>
    <w:rsid w:val="00D75558"/>
    <w:rsid w:val="00D77584"/>
    <w:rsid w:val="00D80BBF"/>
    <w:rsid w:val="00D8796B"/>
    <w:rsid w:val="00D94F65"/>
    <w:rsid w:val="00D96744"/>
    <w:rsid w:val="00D96A48"/>
    <w:rsid w:val="00DA0FCD"/>
    <w:rsid w:val="00DA1674"/>
    <w:rsid w:val="00DA35EA"/>
    <w:rsid w:val="00DA3F2E"/>
    <w:rsid w:val="00DA5D0D"/>
    <w:rsid w:val="00DB2DC5"/>
    <w:rsid w:val="00DB3E67"/>
    <w:rsid w:val="00DB4C68"/>
    <w:rsid w:val="00DC2B2A"/>
    <w:rsid w:val="00DD0354"/>
    <w:rsid w:val="00DD3416"/>
    <w:rsid w:val="00DD45B4"/>
    <w:rsid w:val="00DD6787"/>
    <w:rsid w:val="00DE0FA5"/>
    <w:rsid w:val="00DE4AFA"/>
    <w:rsid w:val="00DE6BEB"/>
    <w:rsid w:val="00DF0A98"/>
    <w:rsid w:val="00DF2E43"/>
    <w:rsid w:val="00DF716C"/>
    <w:rsid w:val="00E014BC"/>
    <w:rsid w:val="00E02EA6"/>
    <w:rsid w:val="00E11C56"/>
    <w:rsid w:val="00E13541"/>
    <w:rsid w:val="00E14D72"/>
    <w:rsid w:val="00E21E01"/>
    <w:rsid w:val="00E26AC5"/>
    <w:rsid w:val="00E35AF1"/>
    <w:rsid w:val="00E40DB2"/>
    <w:rsid w:val="00E43758"/>
    <w:rsid w:val="00E53839"/>
    <w:rsid w:val="00E55EC5"/>
    <w:rsid w:val="00E566E4"/>
    <w:rsid w:val="00E57643"/>
    <w:rsid w:val="00E60B70"/>
    <w:rsid w:val="00E60C03"/>
    <w:rsid w:val="00E62C37"/>
    <w:rsid w:val="00E65CBA"/>
    <w:rsid w:val="00E67C6B"/>
    <w:rsid w:val="00E727DC"/>
    <w:rsid w:val="00E8014D"/>
    <w:rsid w:val="00E829A2"/>
    <w:rsid w:val="00E83ADE"/>
    <w:rsid w:val="00E854D2"/>
    <w:rsid w:val="00E866D6"/>
    <w:rsid w:val="00E90876"/>
    <w:rsid w:val="00E921EA"/>
    <w:rsid w:val="00E9434C"/>
    <w:rsid w:val="00E97F6A"/>
    <w:rsid w:val="00EA0357"/>
    <w:rsid w:val="00EA40A7"/>
    <w:rsid w:val="00EA5111"/>
    <w:rsid w:val="00EA5B38"/>
    <w:rsid w:val="00EA61E2"/>
    <w:rsid w:val="00EA6BF0"/>
    <w:rsid w:val="00EB2024"/>
    <w:rsid w:val="00EB31EB"/>
    <w:rsid w:val="00EB38C6"/>
    <w:rsid w:val="00EC2BA7"/>
    <w:rsid w:val="00EC3693"/>
    <w:rsid w:val="00ED2483"/>
    <w:rsid w:val="00ED64E9"/>
    <w:rsid w:val="00EE5B9C"/>
    <w:rsid w:val="00EF4430"/>
    <w:rsid w:val="00F0354E"/>
    <w:rsid w:val="00F101EC"/>
    <w:rsid w:val="00F218DD"/>
    <w:rsid w:val="00F221C2"/>
    <w:rsid w:val="00F26DBF"/>
    <w:rsid w:val="00F34AD1"/>
    <w:rsid w:val="00F3543A"/>
    <w:rsid w:val="00F37566"/>
    <w:rsid w:val="00F4269A"/>
    <w:rsid w:val="00F53DE9"/>
    <w:rsid w:val="00F579EC"/>
    <w:rsid w:val="00F61D30"/>
    <w:rsid w:val="00F62BE0"/>
    <w:rsid w:val="00F62FDB"/>
    <w:rsid w:val="00F64655"/>
    <w:rsid w:val="00F71B7F"/>
    <w:rsid w:val="00F72105"/>
    <w:rsid w:val="00F72B3D"/>
    <w:rsid w:val="00F731A2"/>
    <w:rsid w:val="00F739CD"/>
    <w:rsid w:val="00F7445B"/>
    <w:rsid w:val="00F759BF"/>
    <w:rsid w:val="00F8044D"/>
    <w:rsid w:val="00F85924"/>
    <w:rsid w:val="00F931A4"/>
    <w:rsid w:val="00FA2E08"/>
    <w:rsid w:val="00FA3360"/>
    <w:rsid w:val="00FA5216"/>
    <w:rsid w:val="00FB0A5B"/>
    <w:rsid w:val="00FB0F4A"/>
    <w:rsid w:val="00FB198F"/>
    <w:rsid w:val="00FB2AA4"/>
    <w:rsid w:val="00FB7C88"/>
    <w:rsid w:val="00FB7D7F"/>
    <w:rsid w:val="00FC0F58"/>
    <w:rsid w:val="00FC1309"/>
    <w:rsid w:val="00FC1DCC"/>
    <w:rsid w:val="00FC5596"/>
    <w:rsid w:val="00FD0FCA"/>
    <w:rsid w:val="00FD1524"/>
    <w:rsid w:val="00FD1AF0"/>
    <w:rsid w:val="00FD30EE"/>
    <w:rsid w:val="00FD5583"/>
    <w:rsid w:val="00FD7015"/>
    <w:rsid w:val="00FE0073"/>
    <w:rsid w:val="00FE07A8"/>
    <w:rsid w:val="00FE0B6D"/>
    <w:rsid w:val="00FE13E7"/>
    <w:rsid w:val="00FE373A"/>
    <w:rsid w:val="00FE4422"/>
    <w:rsid w:val="00FE6CDC"/>
    <w:rsid w:val="00FF19E9"/>
    <w:rsid w:val="00FF4047"/>
    <w:rsid w:val="00FF4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357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B4"/>
    <w:pPr>
      <w:spacing w:before="240" w:after="240"/>
      <w:jc w:val="both"/>
    </w:pPr>
    <w:rPr>
      <w:rFonts w:ascii="Garamond" w:hAnsi="Garamond"/>
      <w:sz w:val="24"/>
      <w:szCs w:val="24"/>
    </w:rPr>
  </w:style>
  <w:style w:type="paragraph" w:styleId="Heading1">
    <w:name w:val="heading 1"/>
    <w:basedOn w:val="Normal"/>
    <w:next w:val="Normal"/>
    <w:qFormat/>
    <w:rsid w:val="00B57341"/>
    <w:pPr>
      <w:keepNext/>
      <w:spacing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SubHeading"/>
    <w:rsid w:val="00B57341"/>
    <w:rPr>
      <w:sz w:val="26"/>
    </w:rPr>
  </w:style>
  <w:style w:type="character" w:styleId="Hyperlink">
    <w:name w:val="Hyperlink"/>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after="60"/>
      <w:outlineLvl w:val="0"/>
    </w:pPr>
    <w:rPr>
      <w:rFonts w:cs="Arial"/>
      <w:b/>
      <w:kern w:val="32"/>
      <w:szCs w:val="32"/>
    </w:rPr>
  </w:style>
  <w:style w:type="character" w:styleId="FootnoteReference">
    <w:name w:val="footnote reference"/>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B93E03"/>
    <w:rPr>
      <w:rFonts w:ascii="Tahoma" w:hAnsi="Tahoma" w:cs="Tahoma"/>
      <w:sz w:val="16"/>
      <w:szCs w:val="16"/>
    </w:rPr>
  </w:style>
  <w:style w:type="character" w:styleId="CommentReference">
    <w:name w:val="annotation reference"/>
    <w:semiHidden/>
    <w:rsid w:val="00884552"/>
    <w:rPr>
      <w:sz w:val="16"/>
      <w:szCs w:val="16"/>
    </w:rPr>
  </w:style>
  <w:style w:type="paragraph" w:styleId="CommentText">
    <w:name w:val="annotation text"/>
    <w:basedOn w:val="Normal"/>
    <w:semiHidden/>
    <w:rsid w:val="00884552"/>
    <w:rPr>
      <w:sz w:val="20"/>
      <w:szCs w:val="20"/>
    </w:rPr>
  </w:style>
  <w:style w:type="paragraph" w:styleId="CommentSubject">
    <w:name w:val="annotation subject"/>
    <w:basedOn w:val="CommentText"/>
    <w:next w:val="CommentText"/>
    <w:semiHidden/>
    <w:rsid w:val="00884552"/>
    <w:rPr>
      <w:b/>
      <w:bCs/>
    </w:rPr>
  </w:style>
  <w:style w:type="paragraph" w:styleId="Title">
    <w:name w:val="Title"/>
    <w:basedOn w:val="Normal"/>
    <w:link w:val="TitleChar"/>
    <w:qFormat/>
    <w:rsid w:val="00DB4C68"/>
    <w:pPr>
      <w:spacing w:before="0" w:after="0"/>
      <w:jc w:val="center"/>
    </w:pPr>
    <w:rPr>
      <w:rFonts w:ascii="Times New Roman" w:hAnsi="Times New Roman"/>
      <w:b/>
      <w:szCs w:val="20"/>
      <w:lang w:val="en-US"/>
    </w:rPr>
  </w:style>
  <w:style w:type="character" w:customStyle="1" w:styleId="TitleChar">
    <w:name w:val="Title Char"/>
    <w:link w:val="Title"/>
    <w:rsid w:val="00DB4C68"/>
    <w:rPr>
      <w:b/>
      <w:sz w:val="24"/>
      <w:lang w:val="en-US"/>
    </w:rPr>
  </w:style>
  <w:style w:type="paragraph" w:styleId="BodyText">
    <w:name w:val="Body Text"/>
    <w:basedOn w:val="Normal"/>
    <w:link w:val="BodyTextChar"/>
    <w:unhideWhenUsed/>
    <w:rsid w:val="00DB4C68"/>
    <w:pPr>
      <w:spacing w:before="0"/>
      <w:jc w:val="left"/>
    </w:pPr>
    <w:rPr>
      <w:rFonts w:ascii="Times New Roman" w:hAnsi="Times New Roman"/>
      <w:szCs w:val="20"/>
    </w:rPr>
  </w:style>
  <w:style w:type="character" w:customStyle="1" w:styleId="BodyTextChar">
    <w:name w:val="Body Text Char"/>
    <w:link w:val="BodyText"/>
    <w:rsid w:val="00DB4C68"/>
    <w:rPr>
      <w:sz w:val="24"/>
    </w:rPr>
  </w:style>
  <w:style w:type="paragraph" w:styleId="Revision">
    <w:name w:val="Revision"/>
    <w:hidden/>
    <w:uiPriority w:val="99"/>
    <w:semiHidden/>
    <w:rsid w:val="00295ADF"/>
    <w:rPr>
      <w:rFonts w:ascii="Garamond" w:hAnsi="Garamond"/>
      <w:sz w:val="24"/>
      <w:szCs w:val="24"/>
    </w:rPr>
  </w:style>
  <w:style w:type="character" w:customStyle="1" w:styleId="FooterChar">
    <w:name w:val="Footer Char"/>
    <w:link w:val="Footer"/>
    <w:uiPriority w:val="99"/>
    <w:rsid w:val="00DD0354"/>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29755">
      <w:bodyDiv w:val="1"/>
      <w:marLeft w:val="0"/>
      <w:marRight w:val="0"/>
      <w:marTop w:val="0"/>
      <w:marBottom w:val="0"/>
      <w:divBdr>
        <w:top w:val="none" w:sz="0" w:space="0" w:color="auto"/>
        <w:left w:val="none" w:sz="0" w:space="0" w:color="auto"/>
        <w:bottom w:val="none" w:sz="0" w:space="0" w:color="auto"/>
        <w:right w:val="none" w:sz="0" w:space="0" w:color="auto"/>
      </w:divBdr>
    </w:div>
    <w:div w:id="1392849140">
      <w:bodyDiv w:val="1"/>
      <w:marLeft w:val="0"/>
      <w:marRight w:val="0"/>
      <w:marTop w:val="0"/>
      <w:marBottom w:val="0"/>
      <w:divBdr>
        <w:top w:val="none" w:sz="0" w:space="0" w:color="auto"/>
        <w:left w:val="none" w:sz="0" w:space="0" w:color="auto"/>
        <w:bottom w:val="none" w:sz="0" w:space="0" w:color="auto"/>
        <w:right w:val="none" w:sz="0" w:space="0" w:color="auto"/>
      </w:divBdr>
    </w:div>
    <w:div w:id="2072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 xmlns="" name="APRACostCentre"><![CDATA[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LongProp>
  <LongProp xmlns="" name="TaxCatchAll"><![CDATA[24;#Legal - ADI|652d8d2a-ab45-47b4-ac6e-fe6ac9299b39;#83;#Legal - Insurance: Life|56f18b50-6605-4f3f-97e3-cad1cb5394e0;#234;#Explanatory statement|b22f2e2f-3f73-411b-9a7c-34264d26fa25;#134;#Legal - Superannuation|cce3181d-fd23-4eee-94d3-c66abc2350cf;#10;#Registration|390476ce-d76d-4e8d-905f-28e32d2df127;#26;#Legal - Insurance: General|8229dc1a-d7f2-47b2-844a-b026fed0c13d;#109;#Statutory instrument|fe68928c-5a9c-4caf-bc8c-6c18cedcb17f;#158;#PAD300|98bbdbe4-d019-48eb-87c4-aa31a7f2f98f;#4;#Legal - Corporate and Resolution|696624b1-19f4-47b2-a07b-57868a922a96;#19;#Final|84d6b2d0-8498-4d62-bf46-bab38babbe9e]]></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2018-04-12T14:00:00+00:00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Insurance (prudential standard) determination No. 1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5JENXJJSCC7A-445999044-7962</_dlc_DocId>
    <_dlc_DocIdUrl xmlns="814d62cb-2db6-4c25-ab62-b9075facbc11">
      <Url>https://im/teams/LEGAL/_layouts/15/DocIdRedir.aspx?ID=5JENXJJSCC7A-445999044-7962</Url>
      <Description>5JENXJJSCC7A-445999044-7962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40BD-90FB-481B-8FDF-7B94815D1C4E}">
  <ds:schemaRefs>
    <ds:schemaRef ds:uri="http://schemas.microsoft.com/sharepoint/v3/contenttype/forms"/>
  </ds:schemaRefs>
</ds:datastoreItem>
</file>

<file path=customXml/itemProps2.xml><?xml version="1.0" encoding="utf-8"?>
<ds:datastoreItem xmlns:ds="http://schemas.openxmlformats.org/officeDocument/2006/customXml" ds:itemID="{3B667FDA-5343-430F-BFCD-3F91E5E3784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5A99EB-71D8-491A-B326-7C17FDF4B2F9}">
  <ds:schemaRefs>
    <ds:schemaRef ds:uri="http://schemas.microsoft.com/sharepoint/events"/>
  </ds:schemaRefs>
</ds:datastoreItem>
</file>

<file path=customXml/itemProps4.xml><?xml version="1.0" encoding="utf-8"?>
<ds:datastoreItem xmlns:ds="http://schemas.openxmlformats.org/officeDocument/2006/customXml" ds:itemID="{932079FA-2E68-425E-9E83-DA7CA0F71F7D}">
  <ds:schemaRefs>
    <ds:schemaRef ds:uri="Microsoft.SharePoint.Taxonomy.ContentTypeSync"/>
  </ds:schemaRefs>
</ds:datastoreItem>
</file>

<file path=customXml/itemProps5.xml><?xml version="1.0" encoding="utf-8"?>
<ds:datastoreItem xmlns:ds="http://schemas.openxmlformats.org/officeDocument/2006/customXml" ds:itemID="{3D7CA734-7FB8-47EF-A335-4F24467C0BB1}">
  <ds:schemaRefs>
    <ds:schemaRef ds:uri="http://www.w3.org/XML/1998/namespace"/>
    <ds:schemaRef ds:uri="http://purl.org/dc/dcmitype/"/>
    <ds:schemaRef ds:uri="814d62cb-2db6-4c25-ab62-b9075facbc11"/>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FFA9D776-05E5-404D-853E-2D979F48B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E94645-3505-40D5-A6F7-6F4F1E95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5606</Characters>
  <Application>Microsoft Office Word</Application>
  <DocSecurity>0</DocSecurity>
  <Lines>109</Lines>
  <Paragraphs>53</Paragraphs>
  <ScaleCrop>false</ScaleCrop>
  <HeadingPairs>
    <vt:vector size="2" baseType="variant">
      <vt:variant>
        <vt:lpstr>Title</vt:lpstr>
      </vt:variant>
      <vt:variant>
        <vt:i4>1</vt:i4>
      </vt:variant>
    </vt:vector>
  </HeadingPairs>
  <TitlesOfParts>
    <vt:vector size="1" baseType="lpstr">
      <vt:lpstr>ES - Financial Sector (Business Transfer and Group Restructure) determinations Nos. 1 and 2 of 2017</vt:lpstr>
    </vt:vector>
  </TitlesOfParts>
  <Manager/>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 No. 1 of 2018</dc:title>
  <dc:subject/>
  <dc:creator/>
  <cp:keywords>[SEC=UNCLASSIFIED]</cp:keywords>
  <dc:description/>
  <cp:lastModifiedBy/>
  <cp:revision>1</cp:revision>
  <cp:lastPrinted>2006-11-27T01:33:00Z</cp:lastPrinted>
  <dcterms:created xsi:type="dcterms:W3CDTF">2018-04-16T00:20:00Z</dcterms:created>
  <dcterms:modified xsi:type="dcterms:W3CDTF">2018-04-16T00:20:00Z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68648FCBA850BBCE5A10289DAC714C5F8F387443</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F181E3319DBA44449B59B1BB2F9119E8</vt:lpwstr>
  </property>
  <property fmtid="{D5CDD505-2E9C-101B-9397-08002B2CF9AE}" pid="17" name="PM_OriginationTimeStamp">
    <vt:lpwstr>2017-09-29T05:59:52Z</vt:lpwstr>
  </property>
  <property fmtid="{D5CDD505-2E9C-101B-9397-08002B2CF9AE}" pid="18" name="PM_Hash_Version">
    <vt:lpwstr>2016.1</vt:lpwstr>
  </property>
  <property fmtid="{D5CDD505-2E9C-101B-9397-08002B2CF9AE}" pid="19" name="PM_Hash_Salt_Prev">
    <vt:lpwstr>7CD0AEAF147CAEC365F366B62C62B120</vt:lpwstr>
  </property>
  <property fmtid="{D5CDD505-2E9C-101B-9397-08002B2CF9AE}" pid="20" name="PM_Hash_Salt">
    <vt:lpwstr>0444112934927625159728C07BA28234</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APRAStatus">
    <vt:lpwstr>19;#Final|84d6b2d0-8498-4d62-bf46-bab38babbe9e</vt:lpwstr>
  </property>
  <property fmtid="{D5CDD505-2E9C-101B-9397-08002B2CF9AE}" pid="24" name="APRADocumentType">
    <vt:lpwstr>234;#Explanatory statement|b22f2e2f-3f73-411b-9a7c-34264d26fa25</vt:lpwstr>
  </property>
  <property fmtid="{D5CDD505-2E9C-101B-9397-08002B2CF9AE}" pid="25" name="IsLocked">
    <vt:lpwstr>False</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ExternalOrganisation">
    <vt:lpwstr/>
  </property>
  <property fmtid="{D5CDD505-2E9C-101B-9397-08002B2CF9AE}" pid="29" name="APRAIRTR">
    <vt:lpwstr/>
  </property>
  <property fmtid="{D5CDD505-2E9C-101B-9397-08002B2CF9AE}" pid="30" name="APRACategory">
    <vt:lpwstr/>
  </property>
  <property fmtid="{D5CDD505-2E9C-101B-9397-08002B2CF9AE}" pid="31" name="RecordPoint_WorkflowType">
    <vt:lpwstr>ActiveSubmitStub</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{8334a617-6e8f-4d28-bbb1-e1b298db06f8}</vt:lpwstr>
  </property>
  <property fmtid="{D5CDD505-2E9C-101B-9397-08002B2CF9AE}" pid="35" name="RecordPoint_ActiveItemWebId">
    <vt:lpwstr>{75a71c27-8d66-4282-ae60-1bfc22a83be1}</vt:lpwstr>
  </property>
  <property fmtid="{D5CDD505-2E9C-101B-9397-08002B2CF9AE}" pid="36" name="RecordPoint_SubmissionCompleted">
    <vt:lpwstr/>
  </property>
  <property fmtid="{D5CDD505-2E9C-101B-9397-08002B2CF9AE}" pid="37" name="RecordPoint_RecordNumberSubmitted">
    <vt:lpwstr/>
  </property>
  <property fmtid="{D5CDD505-2E9C-101B-9397-08002B2CF9AE}" pid="38" name="_docset_NoMedatataSyncRequired">
    <vt:lpwstr>False</vt:lpwstr>
  </property>
  <property fmtid="{D5CDD505-2E9C-101B-9397-08002B2CF9AE}" pid="39" name="IT system type">
    <vt:lpwstr/>
  </property>
  <property fmtid="{D5CDD505-2E9C-101B-9397-08002B2CF9AE}" pid="40" name="APRAPeriod">
    <vt:lpwstr/>
  </property>
  <property fmtid="{D5CDD505-2E9C-101B-9397-08002B2CF9AE}" pid="41" name="APRAPRSG">
    <vt:lpwstr/>
  </property>
  <property fmtid="{D5CDD505-2E9C-101B-9397-08002B2CF9AE}" pid="42"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43" name="APRALegislation">
    <vt:lpwstr/>
  </property>
  <property fmtid="{D5CDD505-2E9C-101B-9397-08002B2CF9AE}" pid="44" name="APRAYear">
    <vt:lpwstr>171;#2018|337d548e-be9a-4363-bbb3-ec2b7c3daa90</vt:lpwstr>
  </property>
  <property fmtid="{D5CDD505-2E9C-101B-9397-08002B2CF9AE}" pid="45" name="APRAIndustry">
    <vt:lpwstr/>
  </property>
  <property fmtid="{D5CDD505-2E9C-101B-9397-08002B2CF9AE}" pid="46" name="_dlc_DocId">
    <vt:lpwstr>5JENXJJSCC7A-504945117-1017</vt:lpwstr>
  </property>
  <property fmtid="{D5CDD505-2E9C-101B-9397-08002B2CF9AE}" pid="47" name="_dlc_DocIdItemGuid">
    <vt:lpwstr>8334a617-6e8f-4d28-bbb1-e1b298db06f8</vt:lpwstr>
  </property>
  <property fmtid="{D5CDD505-2E9C-101B-9397-08002B2CF9AE}" pid="48" name="_dlc_DocIdUrl">
    <vt:lpwstr>https://im/teams/LEGAL/_layouts/15/DocIdRedir.aspx?ID=5JENXJJSCC7A-504945117-1017, 5JENXJJSCC7A-504945117-1017</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ContentTypeId">
    <vt:lpwstr>0x0101008CA7A4F8331B45C7B0D3158B4994D0CA0200577EC0F5A1FBFC498F9A8436B963F8A6</vt:lpwstr>
  </property>
</Properties>
</file>