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16E81" w14:textId="77777777" w:rsidR="00AE5DFA" w:rsidRPr="00E80020" w:rsidRDefault="00AE5DFA" w:rsidP="00AE5DFA">
      <w:pPr>
        <w:rPr>
          <w:color w:val="000000"/>
        </w:rPr>
      </w:pPr>
      <w:bookmarkStart w:id="0" w:name="_Toc168113228"/>
      <w:r>
        <w:rPr>
          <w:noProof/>
          <w:color w:val="000000"/>
        </w:rPr>
        <w:drawing>
          <wp:inline distT="0" distB="0" distL="0" distR="0" wp14:anchorId="33372494" wp14:editId="6583123D">
            <wp:extent cx="1419225" cy="11049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7D7917F6" w14:textId="01575244" w:rsidR="00AE5DFA" w:rsidRPr="00E80020" w:rsidRDefault="002666D0" w:rsidP="00AE5DFA">
      <w:pPr>
        <w:pStyle w:val="Title"/>
        <w:rPr>
          <w:color w:val="000000"/>
        </w:rPr>
      </w:pPr>
      <w:bookmarkStart w:id="1" w:name="_GoBack"/>
      <w:r w:rsidRPr="00CF65DD">
        <w:rPr>
          <w:color w:val="000000"/>
        </w:rPr>
        <w:t>Insurance</w:t>
      </w:r>
      <w:r w:rsidR="00AE5DFA" w:rsidRPr="00CF65DD">
        <w:rPr>
          <w:color w:val="000000"/>
        </w:rPr>
        <w:t xml:space="preserve"> (prudential standard) determination No. </w:t>
      </w:r>
      <w:r w:rsidR="004E72B3">
        <w:rPr>
          <w:color w:val="000000"/>
        </w:rPr>
        <w:t>1</w:t>
      </w:r>
      <w:r w:rsidR="00AE5DFA" w:rsidRPr="00CF65DD">
        <w:rPr>
          <w:color w:val="000000"/>
        </w:rPr>
        <w:t xml:space="preserve"> of 20</w:t>
      </w:r>
      <w:r w:rsidR="004E72B3">
        <w:rPr>
          <w:color w:val="000000"/>
        </w:rPr>
        <w:t>18</w:t>
      </w:r>
      <w:bookmarkEnd w:id="1"/>
    </w:p>
    <w:p w14:paraId="2999350D" w14:textId="77777777" w:rsidR="00AE5DFA" w:rsidRPr="00774C08" w:rsidRDefault="00AE5DFA" w:rsidP="00AE5DFA">
      <w:pPr>
        <w:pStyle w:val="Title"/>
        <w:rPr>
          <w:color w:val="000000"/>
          <w:sz w:val="28"/>
          <w:szCs w:val="28"/>
        </w:rPr>
      </w:pPr>
      <w:r w:rsidRPr="00CF65DD">
        <w:rPr>
          <w:color w:val="000000"/>
          <w:sz w:val="28"/>
          <w:szCs w:val="28"/>
        </w:rPr>
        <w:t xml:space="preserve">Prudential Standard </w:t>
      </w:r>
      <w:r w:rsidR="002666D0" w:rsidRPr="00CF65DD">
        <w:rPr>
          <w:color w:val="000000"/>
          <w:sz w:val="28"/>
          <w:szCs w:val="28"/>
        </w:rPr>
        <w:t>G</w:t>
      </w:r>
      <w:r w:rsidRPr="00CF65DD">
        <w:rPr>
          <w:color w:val="000000"/>
          <w:sz w:val="28"/>
          <w:szCs w:val="28"/>
        </w:rPr>
        <w:t>PS</w:t>
      </w:r>
      <w:r w:rsidR="002666D0" w:rsidRPr="00CF65DD">
        <w:rPr>
          <w:color w:val="000000"/>
          <w:sz w:val="28"/>
          <w:szCs w:val="28"/>
        </w:rPr>
        <w:t xml:space="preserve"> 4</w:t>
      </w:r>
      <w:r w:rsidRPr="00CF65DD">
        <w:rPr>
          <w:color w:val="000000"/>
          <w:sz w:val="28"/>
          <w:szCs w:val="28"/>
        </w:rPr>
        <w:t>10</w:t>
      </w:r>
      <w:r w:rsidR="002666D0" w:rsidRPr="00CF65DD">
        <w:rPr>
          <w:color w:val="000000"/>
          <w:sz w:val="28"/>
          <w:szCs w:val="28"/>
        </w:rPr>
        <w:t xml:space="preserve"> </w:t>
      </w:r>
      <w:r w:rsidR="002666D0" w:rsidRPr="002666D0">
        <w:rPr>
          <w:color w:val="000000"/>
          <w:sz w:val="28"/>
          <w:szCs w:val="28"/>
        </w:rPr>
        <w:t>Transfer and Amalgamation of Insurance Business for General Insurers</w:t>
      </w:r>
    </w:p>
    <w:p w14:paraId="7594F0C9" w14:textId="6DC76E1B" w:rsidR="00AE5DFA" w:rsidRPr="00E80020" w:rsidRDefault="00CF65DD" w:rsidP="00AE5DFA">
      <w:pPr>
        <w:pStyle w:val="ActTitle"/>
        <w:rPr>
          <w:color w:val="000000"/>
        </w:rPr>
      </w:pPr>
      <w:r>
        <w:rPr>
          <w:color w:val="000000"/>
        </w:rPr>
        <w:t>Insurance Act 1973</w:t>
      </w:r>
    </w:p>
    <w:p w14:paraId="6DE650A5" w14:textId="77777777" w:rsidR="00AE5DFA" w:rsidRPr="00E80020" w:rsidRDefault="00AE5DFA" w:rsidP="00AE5DFA">
      <w:pPr>
        <w:pStyle w:val="IntroTo"/>
        <w:rPr>
          <w:color w:val="000000"/>
        </w:rPr>
      </w:pPr>
    </w:p>
    <w:p w14:paraId="37B0AD13" w14:textId="0A6A1F14" w:rsidR="00AE5DFA" w:rsidRPr="003675D4" w:rsidRDefault="00AE5DFA" w:rsidP="00AE5DFA">
      <w:pPr>
        <w:pStyle w:val="IntroTo"/>
        <w:ind w:left="0" w:firstLine="0"/>
        <w:jc w:val="both"/>
        <w:rPr>
          <w:color w:val="000000"/>
          <w:szCs w:val="24"/>
        </w:rPr>
      </w:pPr>
      <w:r w:rsidRPr="00C11FF1">
        <w:rPr>
          <w:szCs w:val="24"/>
        </w:rPr>
        <w:t xml:space="preserve">I, </w:t>
      </w:r>
      <w:r w:rsidR="00CF65DD">
        <w:rPr>
          <w:szCs w:val="24"/>
        </w:rPr>
        <w:t>Pat Brennan</w:t>
      </w:r>
      <w:r>
        <w:rPr>
          <w:szCs w:val="24"/>
        </w:rPr>
        <w:t xml:space="preserve">, delegate of APRA, </w:t>
      </w:r>
      <w:r w:rsidRPr="003675D4">
        <w:rPr>
          <w:color w:val="000000"/>
          <w:szCs w:val="24"/>
        </w:rPr>
        <w:t xml:space="preserve">under subsection </w:t>
      </w:r>
      <w:r w:rsidR="00CF65DD">
        <w:rPr>
          <w:color w:val="000000"/>
          <w:szCs w:val="24"/>
        </w:rPr>
        <w:t>32(1)</w:t>
      </w:r>
      <w:r w:rsidRPr="003675D4">
        <w:rPr>
          <w:color w:val="000000"/>
          <w:szCs w:val="24"/>
        </w:rPr>
        <w:t xml:space="preserve"> of the </w:t>
      </w:r>
      <w:r w:rsidR="00CF65DD" w:rsidRPr="00D62709">
        <w:rPr>
          <w:i/>
          <w:color w:val="000000"/>
          <w:szCs w:val="24"/>
        </w:rPr>
        <w:t>Insurance Act 1973</w:t>
      </w:r>
      <w:r w:rsidRPr="003675D4">
        <w:rPr>
          <w:color w:val="000000"/>
          <w:szCs w:val="24"/>
        </w:rPr>
        <w:t xml:space="preserve"> </w:t>
      </w:r>
      <w:r>
        <w:rPr>
          <w:color w:val="000000"/>
          <w:szCs w:val="24"/>
        </w:rPr>
        <w:t xml:space="preserve">(the Act) </w:t>
      </w:r>
      <w:r w:rsidRPr="003675D4">
        <w:rPr>
          <w:color w:val="000000"/>
          <w:szCs w:val="24"/>
        </w:rPr>
        <w:t xml:space="preserve">DETERMINE </w:t>
      </w:r>
      <w:r w:rsidRPr="004E72B3">
        <w:rPr>
          <w:i/>
          <w:color w:val="000000"/>
          <w:szCs w:val="24"/>
        </w:rPr>
        <w:t xml:space="preserve">Prudential Standard </w:t>
      </w:r>
      <w:r w:rsidR="00CF65DD" w:rsidRPr="004E72B3">
        <w:rPr>
          <w:i/>
          <w:color w:val="000000"/>
          <w:szCs w:val="24"/>
        </w:rPr>
        <w:t>GPS 410</w:t>
      </w:r>
      <w:r w:rsidRPr="004E72B3">
        <w:rPr>
          <w:i/>
          <w:color w:val="000000"/>
          <w:szCs w:val="24"/>
        </w:rPr>
        <w:t xml:space="preserve"> </w:t>
      </w:r>
      <w:r w:rsidR="00CF65DD">
        <w:rPr>
          <w:i/>
          <w:color w:val="000000"/>
          <w:szCs w:val="24"/>
        </w:rPr>
        <w:t xml:space="preserve">Transfer and Amalgamation of </w:t>
      </w:r>
      <w:r w:rsidR="004E72B3">
        <w:rPr>
          <w:i/>
          <w:color w:val="000000"/>
          <w:szCs w:val="24"/>
        </w:rPr>
        <w:t>Insurance</w:t>
      </w:r>
      <w:r w:rsidR="00EA5A95">
        <w:rPr>
          <w:i/>
          <w:color w:val="000000"/>
          <w:szCs w:val="24"/>
        </w:rPr>
        <w:t xml:space="preserve"> Business for General Insurers</w:t>
      </w:r>
      <w:r w:rsidRPr="003675D4">
        <w:rPr>
          <w:color w:val="000000"/>
          <w:szCs w:val="24"/>
        </w:rPr>
        <w:t>, in the form set out in the</w:t>
      </w:r>
      <w:r w:rsidR="004E72B3">
        <w:rPr>
          <w:color w:val="000000"/>
          <w:szCs w:val="24"/>
        </w:rPr>
        <w:t xml:space="preserve"> Schedule, which applies to all general insurers</w:t>
      </w:r>
      <w:r w:rsidRPr="003675D4">
        <w:rPr>
          <w:color w:val="000000"/>
          <w:szCs w:val="24"/>
        </w:rPr>
        <w:t xml:space="preserve">. </w:t>
      </w:r>
    </w:p>
    <w:p w14:paraId="0FEC715F" w14:textId="77777777" w:rsidR="00AE5DFA" w:rsidRDefault="00AE5DFA" w:rsidP="00AE5DFA">
      <w:pPr>
        <w:jc w:val="both"/>
      </w:pPr>
    </w:p>
    <w:p w14:paraId="7CC5F737" w14:textId="305DC929" w:rsidR="00AE5DFA" w:rsidRPr="00C875E7" w:rsidRDefault="00AE5DFA" w:rsidP="00AE5DFA">
      <w:pPr>
        <w:jc w:val="both"/>
      </w:pPr>
      <w:r w:rsidRPr="00C875E7">
        <w:t xml:space="preserve">This instrument </w:t>
      </w:r>
      <w:r>
        <w:t>commences</w:t>
      </w:r>
      <w:r w:rsidRPr="00C875E7">
        <w:t xml:space="preserve"> </w:t>
      </w:r>
      <w:r w:rsidR="004E72B3">
        <w:t xml:space="preserve">upon registration on </w:t>
      </w:r>
      <w:r w:rsidR="004E72B3" w:rsidRPr="00D651BC">
        <w:t>the Federal Register of Legislation</w:t>
      </w:r>
      <w:r w:rsidRPr="00D651BC">
        <w:t>.</w:t>
      </w:r>
    </w:p>
    <w:p w14:paraId="51A9F18A" w14:textId="77777777" w:rsidR="00AE5DFA" w:rsidRPr="00C875E7" w:rsidRDefault="00AE5DFA" w:rsidP="00AE5DFA">
      <w:pPr>
        <w:jc w:val="both"/>
      </w:pPr>
    </w:p>
    <w:p w14:paraId="7FA41F02" w14:textId="02C0F355" w:rsidR="00AE5DFA" w:rsidRPr="00C875E7" w:rsidRDefault="00AE5DFA" w:rsidP="00AE5DFA">
      <w:pPr>
        <w:jc w:val="both"/>
      </w:pPr>
      <w:r w:rsidRPr="00C875E7">
        <w:lastRenderedPageBreak/>
        <w:t xml:space="preserve">Dated: </w:t>
      </w:r>
      <w:r w:rsidR="004D52E4">
        <w:t>13 April 2018</w:t>
      </w:r>
    </w:p>
    <w:p w14:paraId="33F127A3" w14:textId="741606D2" w:rsidR="00AE5DFA" w:rsidRDefault="00C128A9" w:rsidP="00AE5DFA">
      <w:pPr>
        <w:jc w:val="both"/>
      </w:pPr>
      <w:r>
        <w:t>[Signed]</w:t>
      </w:r>
    </w:p>
    <w:p w14:paraId="458A5894" w14:textId="3BFFA962" w:rsidR="00AE5DFA" w:rsidRPr="00C875E7" w:rsidRDefault="004D52E4" w:rsidP="004D52E4">
      <w:pPr>
        <w:spacing w:after="0"/>
        <w:jc w:val="both"/>
      </w:pPr>
      <w:r>
        <w:t>Pat Brennan</w:t>
      </w:r>
    </w:p>
    <w:p w14:paraId="677500BA" w14:textId="77777777" w:rsidR="00AE5DFA" w:rsidRPr="00C875E7" w:rsidRDefault="00AE5DFA" w:rsidP="004D52E4">
      <w:pPr>
        <w:spacing w:after="0"/>
        <w:jc w:val="both"/>
      </w:pPr>
      <w:r w:rsidRPr="004D52E4">
        <w:t>Executive General Manager</w:t>
      </w:r>
    </w:p>
    <w:p w14:paraId="0EA9CD0B" w14:textId="52A53BA1" w:rsidR="00AE5DFA" w:rsidRPr="00C875E7" w:rsidRDefault="004D52E4" w:rsidP="004D52E4">
      <w:pPr>
        <w:spacing w:after="0"/>
        <w:jc w:val="both"/>
      </w:pPr>
      <w:r>
        <w:t>Policy and Advice</w:t>
      </w:r>
      <w:r w:rsidR="00AE5DFA">
        <w:t xml:space="preserve"> Division</w:t>
      </w:r>
    </w:p>
    <w:p w14:paraId="232BE0EF" w14:textId="77777777" w:rsidR="00AE5DFA" w:rsidRDefault="00AE5DFA" w:rsidP="00AE5DFA">
      <w:pPr>
        <w:jc w:val="both"/>
      </w:pPr>
    </w:p>
    <w:p w14:paraId="00926AE5" w14:textId="77777777" w:rsidR="004D52E4" w:rsidRDefault="004D52E4" w:rsidP="00AE5DFA">
      <w:pPr>
        <w:jc w:val="both"/>
      </w:pPr>
    </w:p>
    <w:p w14:paraId="656104AB" w14:textId="77777777" w:rsidR="00AE5DFA" w:rsidRPr="00E80020" w:rsidRDefault="00AE5DFA" w:rsidP="00AE5DFA">
      <w:pPr>
        <w:pStyle w:val="IH"/>
        <w:ind w:left="0" w:firstLine="0"/>
        <w:rPr>
          <w:rFonts w:ascii="Times New Roman" w:hAnsi="Times New Roman"/>
          <w:color w:val="000000"/>
        </w:rPr>
      </w:pPr>
      <w:r w:rsidRPr="00E80020">
        <w:rPr>
          <w:rFonts w:ascii="Times New Roman" w:hAnsi="Times New Roman"/>
          <w:color w:val="000000"/>
        </w:rPr>
        <w:t>Interpretation</w:t>
      </w:r>
    </w:p>
    <w:p w14:paraId="55FCF7C6" w14:textId="77777777" w:rsidR="00AE5DFA" w:rsidRPr="00E80020" w:rsidRDefault="00AE5DFA" w:rsidP="00AE5DFA">
      <w:pPr>
        <w:pStyle w:val="IP"/>
        <w:rPr>
          <w:color w:val="000000"/>
        </w:rPr>
      </w:pPr>
      <w:r w:rsidRPr="00E80020">
        <w:rPr>
          <w:color w:val="000000"/>
        </w:rPr>
        <w:t xml:space="preserve">In this </w:t>
      </w:r>
      <w:r>
        <w:rPr>
          <w:color w:val="000000"/>
        </w:rPr>
        <w:t>Determination:</w:t>
      </w:r>
    </w:p>
    <w:p w14:paraId="5BAC30B3" w14:textId="77777777" w:rsidR="00AE5DFA" w:rsidRDefault="00AE5DFA" w:rsidP="00AE5DFA">
      <w:pPr>
        <w:pStyle w:val="IntroTo"/>
        <w:spacing w:before="120"/>
        <w:ind w:left="0" w:firstLine="0"/>
        <w:jc w:val="both"/>
        <w:rPr>
          <w:color w:val="000000"/>
          <w:szCs w:val="24"/>
        </w:rPr>
      </w:pPr>
      <w:r w:rsidRPr="000B5D99">
        <w:rPr>
          <w:b/>
          <w:i/>
          <w:color w:val="000000"/>
          <w:szCs w:val="24"/>
        </w:rPr>
        <w:t>APRA</w:t>
      </w:r>
      <w:r w:rsidRPr="000B5D99">
        <w:rPr>
          <w:color w:val="000000"/>
          <w:szCs w:val="24"/>
        </w:rPr>
        <w:t xml:space="preserve"> means the Australian Prudential Regulation Authority.</w:t>
      </w:r>
    </w:p>
    <w:p w14:paraId="57599552" w14:textId="77777777" w:rsidR="00A23DD8" w:rsidRPr="00A23DD8" w:rsidRDefault="00A23DD8" w:rsidP="00A23DD8">
      <w:pPr>
        <w:pStyle w:val="IntroTo"/>
        <w:spacing w:before="120"/>
        <w:ind w:left="0" w:firstLine="0"/>
        <w:jc w:val="both"/>
        <w:rPr>
          <w:color w:val="000000"/>
          <w:szCs w:val="24"/>
        </w:rPr>
      </w:pPr>
      <w:r w:rsidRPr="00A23DD8">
        <w:rPr>
          <w:b/>
          <w:i/>
          <w:color w:val="000000"/>
          <w:szCs w:val="24"/>
        </w:rPr>
        <w:t xml:space="preserve">general insurer </w:t>
      </w:r>
      <w:r w:rsidRPr="00A23DD8">
        <w:rPr>
          <w:color w:val="000000"/>
          <w:szCs w:val="24"/>
        </w:rPr>
        <w:t>has the meaning given in section 3 of the Act.</w:t>
      </w:r>
    </w:p>
    <w:p w14:paraId="2B3CE0C0" w14:textId="77777777" w:rsidR="00A23DD8" w:rsidRDefault="00A23DD8" w:rsidP="00AE5DFA">
      <w:pPr>
        <w:pStyle w:val="IntroTo"/>
        <w:spacing w:before="120"/>
        <w:ind w:left="0" w:firstLine="0"/>
        <w:jc w:val="both"/>
        <w:rPr>
          <w:color w:val="000000"/>
          <w:szCs w:val="24"/>
        </w:rPr>
      </w:pPr>
    </w:p>
    <w:p w14:paraId="53ED21DC" w14:textId="77777777" w:rsidR="00C128A9" w:rsidRDefault="00C128A9" w:rsidP="00AE5DFA">
      <w:pPr>
        <w:pStyle w:val="IntroTo"/>
        <w:spacing w:before="120"/>
        <w:ind w:left="0" w:firstLine="0"/>
        <w:jc w:val="both"/>
        <w:rPr>
          <w:color w:val="000000"/>
          <w:szCs w:val="24"/>
        </w:rPr>
      </w:pPr>
    </w:p>
    <w:p w14:paraId="459EC3DF" w14:textId="77777777" w:rsidR="00AE5DFA" w:rsidRPr="00E80020" w:rsidRDefault="00AE5DFA" w:rsidP="00AE5DFA">
      <w:pPr>
        <w:pStyle w:val="AS"/>
        <w:ind w:left="0" w:firstLine="0"/>
        <w:rPr>
          <w:rStyle w:val="CharSchText"/>
          <w:color w:val="000000"/>
        </w:rPr>
      </w:pPr>
      <w:r w:rsidRPr="00E80020">
        <w:rPr>
          <w:rStyle w:val="CharSchNo"/>
          <w:color w:val="000000"/>
        </w:rPr>
        <w:t xml:space="preserve">Schedule </w:t>
      </w:r>
    </w:p>
    <w:p w14:paraId="3750393F" w14:textId="77777777" w:rsidR="00AE5DFA" w:rsidRDefault="00AE5DFA" w:rsidP="00AE5DFA">
      <w:pPr>
        <w:pStyle w:val="Header"/>
        <w:jc w:val="both"/>
        <w:rPr>
          <w:i/>
          <w:color w:val="000000"/>
          <w:highlight w:val="yellow"/>
        </w:rPr>
      </w:pPr>
    </w:p>
    <w:p w14:paraId="1BB0ED72" w14:textId="77777777" w:rsidR="00AE5DFA" w:rsidRPr="004D52E4" w:rsidRDefault="002666D0" w:rsidP="00AE5DFA">
      <w:pPr>
        <w:pStyle w:val="Header"/>
        <w:jc w:val="both"/>
        <w:rPr>
          <w:b w:val="0"/>
          <w:bCs/>
        </w:rPr>
      </w:pPr>
      <w:r w:rsidRPr="004D52E4">
        <w:rPr>
          <w:b w:val="0"/>
          <w:i/>
          <w:color w:val="000000"/>
        </w:rPr>
        <w:t>Prudential Standard GPS 4</w:t>
      </w:r>
      <w:r w:rsidR="00AE5DFA" w:rsidRPr="004D52E4">
        <w:rPr>
          <w:b w:val="0"/>
          <w:i/>
          <w:color w:val="000000"/>
        </w:rPr>
        <w:t>10</w:t>
      </w:r>
      <w:r w:rsidRPr="004D52E4">
        <w:rPr>
          <w:b w:val="0"/>
          <w:i/>
          <w:color w:val="000000"/>
        </w:rPr>
        <w:t xml:space="preserve"> Transfer and Amalgamation of Insurance Business for General Insurers</w:t>
      </w:r>
      <w:r w:rsidR="00AE5DFA" w:rsidRPr="004D52E4">
        <w:rPr>
          <w:b w:val="0"/>
          <w:color w:val="000000"/>
        </w:rPr>
        <w:t xml:space="preserve"> </w:t>
      </w:r>
      <w:r w:rsidR="00AE5DFA" w:rsidRPr="004D52E4">
        <w:rPr>
          <w:b w:val="0"/>
          <w:bCs/>
        </w:rPr>
        <w:t>comprises the document commencing on the following page.</w:t>
      </w:r>
      <w:bookmarkEnd w:id="0"/>
    </w:p>
    <w:p w14:paraId="2463BD92" w14:textId="77777777" w:rsidR="0052112D" w:rsidRDefault="0052112D"/>
    <w:p w14:paraId="51127A62" w14:textId="77777777" w:rsidR="0052112D" w:rsidRDefault="0052112D">
      <w:pPr>
        <w:sectPr w:rsidR="0052112D" w:rsidSect="002666D0">
          <w:pgSz w:w="11906" w:h="16838" w:code="9"/>
          <w:pgMar w:top="1440" w:right="1797" w:bottom="1440" w:left="1797" w:header="709" w:footer="709" w:gutter="0"/>
          <w:pgNumType w:start="1"/>
          <w:cols w:space="708"/>
          <w:docGrid w:linePitch="360"/>
        </w:sectPr>
      </w:pPr>
    </w:p>
    <w:p w14:paraId="1342BA98" w14:textId="315BB158" w:rsidR="003B52EB" w:rsidRDefault="00506079" w:rsidP="003B52EB">
      <w:pPr>
        <w:spacing w:after="0"/>
      </w:pPr>
      <w:r>
        <w:rPr>
          <w:noProof/>
        </w:rPr>
        <w:lastRenderedPageBreak/>
        <w:drawing>
          <wp:inline distT="0" distB="0" distL="0" distR="0" wp14:anchorId="06E27236" wp14:editId="384428A8">
            <wp:extent cx="1485900" cy="1095375"/>
            <wp:effectExtent l="0" t="0" r="0" b="9525"/>
            <wp:docPr id="2" name="Picture 1" descr="C:\Documents and Settings\rxtuck\Desktop\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xtuck\Desktop\co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01FD18D6" w14:textId="77777777" w:rsidR="00DA3651" w:rsidRPr="009B6212" w:rsidRDefault="006A6A52" w:rsidP="001F6B8D">
      <w:pPr>
        <w:pStyle w:val="Title"/>
      </w:pPr>
      <w:bookmarkStart w:id="2" w:name="_Toc326937696"/>
      <w:r w:rsidRPr="001F6B8D">
        <w:t>Prudential</w:t>
      </w:r>
      <w:r w:rsidRPr="009B6212">
        <w:t xml:space="preserve"> Standard</w:t>
      </w:r>
      <w:r w:rsidRPr="00E07F40">
        <w:rPr>
          <w:rStyle w:val="PSNofieldtext"/>
        </w:rPr>
        <w:t xml:space="preserve"> </w:t>
      </w:r>
      <w:r w:rsidR="00AE5DFA">
        <w:rPr>
          <w:rStyle w:val="PSNofieldtext"/>
        </w:rPr>
        <w:t>GPS 410</w:t>
      </w:r>
      <w:r w:rsidR="009B6212" w:rsidRPr="009B6212">
        <w:t xml:space="preserve">  </w:t>
      </w:r>
    </w:p>
    <w:bookmarkEnd w:id="2"/>
    <w:p w14:paraId="65AE8562" w14:textId="77777777" w:rsidR="00BC2D08" w:rsidRPr="00110917" w:rsidRDefault="00AE5DFA" w:rsidP="001F6B8D">
      <w:pPr>
        <w:pStyle w:val="Title"/>
      </w:pPr>
      <w:r w:rsidRPr="00AE5DFA">
        <w:rPr>
          <w:rStyle w:val="PSNamefieldtext"/>
        </w:rPr>
        <w:t>Transfer and Amalgamation of Insurance Business for General Insurers</w:t>
      </w:r>
    </w:p>
    <w:tbl>
      <w:tblPr>
        <w:tblStyle w:val="TableGrid"/>
        <w:tblW w:w="0" w:type="auto"/>
        <w:shd w:val="clear" w:color="auto" w:fill="DDDDDD"/>
        <w:tblLook w:val="04A0" w:firstRow="1" w:lastRow="0" w:firstColumn="1" w:lastColumn="0" w:noHBand="0" w:noVBand="1"/>
      </w:tblPr>
      <w:tblGrid>
        <w:gridCol w:w="8302"/>
      </w:tblGrid>
      <w:tr w:rsidR="0048511B" w14:paraId="41BC955B" w14:textId="77777777" w:rsidTr="00DF539C">
        <w:tc>
          <w:tcPr>
            <w:tcW w:w="8528" w:type="dxa"/>
            <w:shd w:val="clear" w:color="auto" w:fill="DDDDDD"/>
          </w:tcPr>
          <w:p w14:paraId="733FF0EB" w14:textId="77777777" w:rsidR="003C46D7" w:rsidRPr="00B37C03" w:rsidRDefault="003C46D7" w:rsidP="00656D42">
            <w:pPr>
              <w:pStyle w:val="BoxHeading"/>
            </w:pPr>
            <w:r w:rsidRPr="00B37C03">
              <w:t xml:space="preserve">Objectives and key requirements of this Prudential </w:t>
            </w:r>
            <w:r w:rsidRPr="00173A04">
              <w:t>Standard</w:t>
            </w:r>
          </w:p>
          <w:p w14:paraId="770A62ED" w14:textId="77777777" w:rsidR="00AE5DFA" w:rsidRDefault="00AE5DFA" w:rsidP="002666D0">
            <w:pPr>
              <w:jc w:val="both"/>
            </w:pPr>
            <w:r>
              <w:t>This Prudential Standard deals with the transfer or amalgamation of insurance business of a general insurer.</w:t>
            </w:r>
          </w:p>
          <w:p w14:paraId="64820C2A" w14:textId="77777777" w:rsidR="00AE5DFA" w:rsidRDefault="00AE5DFA" w:rsidP="002666D0">
            <w:pPr>
              <w:jc w:val="both"/>
            </w:pPr>
            <w:r>
              <w:t>Insurers transferring or amalgamating insurance business in accordance with the Act are subject to procedural requirements set out in the Act and this Standard.  These requirements are designed to ensure that affected policyholders, and other interested members of the public, are informed about any such transfer or amalgamation, are given accurate information about it, and are provided with the opportunity to obtain more detailed particulars if they wish to do so.</w:t>
            </w:r>
          </w:p>
          <w:p w14:paraId="6C19A104" w14:textId="77777777" w:rsidR="00AE5DFA" w:rsidRDefault="00AE5DFA" w:rsidP="002666D0">
            <w:pPr>
              <w:jc w:val="both"/>
            </w:pPr>
            <w:r>
              <w:t>The key requirements of the Act and this Prudential Standard are:</w:t>
            </w:r>
          </w:p>
          <w:p w14:paraId="2E42F6AA" w14:textId="77777777" w:rsidR="00AE5DFA" w:rsidRDefault="00AE5DFA" w:rsidP="002666D0">
            <w:pPr>
              <w:pStyle w:val="BoxBullet"/>
              <w:jc w:val="both"/>
            </w:pPr>
            <w:r>
              <w:t xml:space="preserve">An insurer cannot make an application to the Court for confirmation of a scheme of transfer or amalgamation unless, amongst other things, an insurer provides a </w:t>
            </w:r>
            <w:r>
              <w:lastRenderedPageBreak/>
              <w:t>copy of the scheme and any actuarial reports on which the scheme is based to APRA.</w:t>
            </w:r>
          </w:p>
          <w:p w14:paraId="59FD93ED" w14:textId="77777777" w:rsidR="00AE5DFA" w:rsidRDefault="00AE5DFA" w:rsidP="002666D0">
            <w:pPr>
              <w:pStyle w:val="BoxBullet"/>
              <w:jc w:val="both"/>
            </w:pPr>
            <w:r>
              <w:t>Prior to making an application to the Court, and with APRA’s approval, the insurer must also publish a notice of intention to make the application in the Government Gazette and relevant newspapers.</w:t>
            </w:r>
          </w:p>
          <w:p w14:paraId="7020BF77" w14:textId="77777777" w:rsidR="00173A04" w:rsidRDefault="00AE5DFA" w:rsidP="002666D0">
            <w:pPr>
              <w:pStyle w:val="BoxBullet"/>
              <w:jc w:val="both"/>
            </w:pPr>
            <w:r>
              <w:t>An application to the Court for confirmation of a scheme cannot be made unless, amongst other things, a summary of the scheme, approved by APRA (the approved summary), has been given to every affected policyholder.  A copy of the scheme must also be available for public inspection.</w:t>
            </w:r>
          </w:p>
          <w:p w14:paraId="335E264D" w14:textId="77777777" w:rsidR="002666D0" w:rsidRDefault="002666D0" w:rsidP="002666D0">
            <w:pPr>
              <w:pStyle w:val="BoxBullet"/>
              <w:jc w:val="both"/>
            </w:pPr>
            <w:r>
              <w:t>An insurer to which insurance business is transferred or amalgamated must give APRA a range of documents after the Courts have approved the scheme, including a statement of the nature and terms of the transfer or amalgamation, and the Court order confirming the scheme.</w:t>
            </w:r>
          </w:p>
          <w:p w14:paraId="3DF02B5E" w14:textId="77777777" w:rsidR="00173A04" w:rsidRDefault="002666D0" w:rsidP="002666D0">
            <w:pPr>
              <w:pStyle w:val="BoxBullet"/>
              <w:numPr>
                <w:ilvl w:val="0"/>
                <w:numId w:val="0"/>
              </w:numPr>
              <w:jc w:val="both"/>
            </w:pPr>
            <w:r>
              <w:t>Details on these requirements are contained below.</w:t>
            </w:r>
          </w:p>
        </w:tc>
      </w:tr>
    </w:tbl>
    <w:p w14:paraId="64DFD3FB" w14:textId="77777777" w:rsidR="004A0708" w:rsidRDefault="004A0708" w:rsidP="00C716C7">
      <w:pPr>
        <w:pStyle w:val="Heading1"/>
      </w:pPr>
      <w:r>
        <w:lastRenderedPageBreak/>
        <w:t>Prudential Standard</w:t>
      </w:r>
    </w:p>
    <w:p w14:paraId="79D43B2B" w14:textId="77777777" w:rsidR="004A0708" w:rsidRPr="009A1F58" w:rsidRDefault="004A0708" w:rsidP="004A0708">
      <w:pPr>
        <w:pStyle w:val="BodyText3"/>
        <w:numPr>
          <w:ilvl w:val="0"/>
          <w:numId w:val="36"/>
        </w:numPr>
        <w:jc w:val="both"/>
        <w:rPr>
          <w:szCs w:val="24"/>
        </w:rPr>
      </w:pPr>
      <w:r w:rsidRPr="009A1F58">
        <w:rPr>
          <w:szCs w:val="24"/>
        </w:rPr>
        <w:t xml:space="preserve">This Prudential Standard, made under section 32 of the </w:t>
      </w:r>
      <w:r w:rsidRPr="009A1F58">
        <w:rPr>
          <w:i/>
          <w:szCs w:val="24"/>
        </w:rPr>
        <w:t>Insurance Act 1973</w:t>
      </w:r>
      <w:r w:rsidRPr="009A1F58">
        <w:rPr>
          <w:szCs w:val="24"/>
        </w:rPr>
        <w:t xml:space="preserve"> (the Act), applies to all general insurers authorised under the Act.</w:t>
      </w:r>
    </w:p>
    <w:p w14:paraId="5DEECB8B" w14:textId="5751A267" w:rsidR="004A0708" w:rsidRPr="009A1F58" w:rsidRDefault="004A0708" w:rsidP="004A0708">
      <w:pPr>
        <w:pStyle w:val="BodyText3"/>
        <w:numPr>
          <w:ilvl w:val="0"/>
          <w:numId w:val="36"/>
        </w:numPr>
        <w:jc w:val="both"/>
        <w:rPr>
          <w:szCs w:val="24"/>
        </w:rPr>
      </w:pPr>
      <w:r w:rsidRPr="009A1F58">
        <w:rPr>
          <w:szCs w:val="24"/>
        </w:rPr>
        <w:t xml:space="preserve">A transfer or amalgamation of insurance business can occur only under a scheme confirmed by the Federal Court (unless it is undertaken in </w:t>
      </w:r>
      <w:r w:rsidRPr="009A1F58">
        <w:rPr>
          <w:szCs w:val="24"/>
        </w:rPr>
        <w:lastRenderedPageBreak/>
        <w:t xml:space="preserve">response to a direction from </w:t>
      </w:r>
      <w:r w:rsidR="00C2076D" w:rsidRPr="009A1F58">
        <w:rPr>
          <w:szCs w:val="24"/>
        </w:rPr>
        <w:t>the Australian Prudential Regulation Authority (</w:t>
      </w:r>
      <w:r w:rsidRPr="009A1F58">
        <w:rPr>
          <w:szCs w:val="24"/>
        </w:rPr>
        <w:t>APRA</w:t>
      </w:r>
      <w:r w:rsidR="00C2076D" w:rsidRPr="009A1F58">
        <w:rPr>
          <w:szCs w:val="24"/>
        </w:rPr>
        <w:t>)</w:t>
      </w:r>
      <w:r w:rsidRPr="009A1F58">
        <w:rPr>
          <w:szCs w:val="24"/>
          <w:vertAlign w:val="superscript"/>
        </w:rPr>
        <w:footnoteReference w:id="2"/>
      </w:r>
      <w:r w:rsidRPr="009A1F58">
        <w:rPr>
          <w:szCs w:val="24"/>
        </w:rPr>
        <w:t>).  This Prudential Standard sets out specific requirements in relation to documentation, notification, public inspection and an application to the Court.</w:t>
      </w:r>
    </w:p>
    <w:p w14:paraId="2D037521" w14:textId="77777777" w:rsidR="004A0708" w:rsidRPr="009A1F58" w:rsidRDefault="004A0708" w:rsidP="004A0708">
      <w:pPr>
        <w:pStyle w:val="BodyText3"/>
        <w:numPr>
          <w:ilvl w:val="0"/>
          <w:numId w:val="36"/>
        </w:numPr>
        <w:jc w:val="both"/>
        <w:rPr>
          <w:szCs w:val="24"/>
        </w:rPr>
      </w:pPr>
      <w:r w:rsidRPr="009A1F58">
        <w:rPr>
          <w:szCs w:val="24"/>
        </w:rPr>
        <w:t xml:space="preserve">In addition, any transfer or amalgamation of insurance business is subject to the provisions of the </w:t>
      </w:r>
      <w:r w:rsidRPr="009A1F58">
        <w:rPr>
          <w:i/>
          <w:szCs w:val="24"/>
        </w:rPr>
        <w:t>Insurance Acquisitions and Takeovers Act 1991</w:t>
      </w:r>
      <w:r w:rsidRPr="009A1F58">
        <w:rPr>
          <w:szCs w:val="24"/>
        </w:rPr>
        <w:t xml:space="preserve"> (IATA).  The IATA requires compulsory notification of proposals involving the acquisition of any or all of the interests, rights or benefits of an insurer under contracts of insurance where that transfer amounts to 15% or more of the transferring insurer’s premiums or outstanding claims liabilities.</w:t>
      </w:r>
    </w:p>
    <w:p w14:paraId="78B14076" w14:textId="77777777" w:rsidR="004A0708" w:rsidRDefault="004A0708" w:rsidP="00C716C7">
      <w:pPr>
        <w:pStyle w:val="Heading1"/>
      </w:pPr>
      <w:r>
        <w:t>Documents to be Provided to APRA Prior to an Application Being Made to the Court</w:t>
      </w:r>
      <w:r>
        <w:rPr>
          <w:rStyle w:val="FootnoteReference"/>
          <w:b w:val="0"/>
          <w:sz w:val="26"/>
        </w:rPr>
        <w:footnoteReference w:id="3"/>
      </w:r>
      <w:r>
        <w:t xml:space="preserve"> </w:t>
      </w:r>
    </w:p>
    <w:p w14:paraId="4302E807" w14:textId="77777777" w:rsidR="004A0708" w:rsidRPr="009A1F58" w:rsidRDefault="004A0708" w:rsidP="004A0708">
      <w:pPr>
        <w:pStyle w:val="BodyText3"/>
        <w:numPr>
          <w:ilvl w:val="0"/>
          <w:numId w:val="36"/>
        </w:numPr>
        <w:jc w:val="both"/>
        <w:rPr>
          <w:szCs w:val="24"/>
        </w:rPr>
      </w:pPr>
      <w:r w:rsidRPr="009A1F58">
        <w:rPr>
          <w:szCs w:val="24"/>
        </w:rPr>
        <w:t>An application to the Court for confirmation of a scheme cannot be made unless, amongst other things, an insurer provides a copy of the scheme and any actuarial reports on which the scheme is based to APRA.</w:t>
      </w:r>
      <w:r w:rsidRPr="009A1F58">
        <w:rPr>
          <w:szCs w:val="24"/>
          <w:vertAlign w:val="superscript"/>
        </w:rPr>
        <w:footnoteReference w:id="4"/>
      </w:r>
      <w:r w:rsidRPr="009A1F58">
        <w:rPr>
          <w:szCs w:val="24"/>
        </w:rPr>
        <w:t xml:space="preserve">  </w:t>
      </w:r>
    </w:p>
    <w:p w14:paraId="618C2371" w14:textId="77777777" w:rsidR="004A0708" w:rsidRPr="009A1F58" w:rsidRDefault="004A0708" w:rsidP="004A0708">
      <w:pPr>
        <w:pStyle w:val="BodyText3"/>
        <w:numPr>
          <w:ilvl w:val="0"/>
          <w:numId w:val="36"/>
        </w:numPr>
        <w:jc w:val="both"/>
        <w:rPr>
          <w:szCs w:val="24"/>
        </w:rPr>
      </w:pPr>
      <w:r w:rsidRPr="009A1F58">
        <w:rPr>
          <w:szCs w:val="24"/>
        </w:rPr>
        <w:lastRenderedPageBreak/>
        <w:t>These documents must be provided to APRA before:</w:t>
      </w:r>
    </w:p>
    <w:p w14:paraId="58388A27" w14:textId="77777777" w:rsidR="004A0708" w:rsidRPr="009A1F58" w:rsidRDefault="004A0708" w:rsidP="004A0708">
      <w:pPr>
        <w:pStyle w:val="bullet"/>
        <w:spacing w:after="240"/>
        <w:ind w:left="1124" w:hanging="562"/>
        <w:jc w:val="both"/>
        <w:rPr>
          <w:szCs w:val="24"/>
        </w:rPr>
      </w:pPr>
      <w:r w:rsidRPr="009A1F58">
        <w:rPr>
          <w:szCs w:val="24"/>
        </w:rPr>
        <w:t>the relevant notice of intention to apply to the Court for confirmation of the scheme is published;</w:t>
      </w:r>
      <w:r w:rsidRPr="009A1F58">
        <w:rPr>
          <w:rStyle w:val="FootnoteReference"/>
          <w:szCs w:val="24"/>
        </w:rPr>
        <w:footnoteReference w:id="5"/>
      </w:r>
      <w:r w:rsidRPr="009A1F58">
        <w:rPr>
          <w:szCs w:val="24"/>
        </w:rPr>
        <w:t xml:space="preserve">  and</w:t>
      </w:r>
    </w:p>
    <w:p w14:paraId="0C18EDC9" w14:textId="77777777" w:rsidR="004A0708" w:rsidRDefault="004A0708" w:rsidP="004A0708">
      <w:pPr>
        <w:pStyle w:val="bullet"/>
        <w:spacing w:after="240"/>
        <w:ind w:left="1124" w:hanging="562"/>
        <w:jc w:val="both"/>
      </w:pPr>
      <w:r w:rsidRPr="009A1F58">
        <w:rPr>
          <w:szCs w:val="24"/>
        </w:rPr>
        <w:t>the summary of the scheme (approved by APRA) has been given to each affected policyholder</w:t>
      </w:r>
      <w:r>
        <w:t>.</w:t>
      </w:r>
      <w:r w:rsidRPr="009A1F58">
        <w:rPr>
          <w:rStyle w:val="FootnoteReference"/>
          <w:szCs w:val="24"/>
        </w:rPr>
        <w:footnoteReference w:id="6"/>
      </w:r>
    </w:p>
    <w:p w14:paraId="3366F5E9" w14:textId="77777777" w:rsidR="004A0708" w:rsidRPr="009A1F58" w:rsidRDefault="004A0708" w:rsidP="004A0708">
      <w:pPr>
        <w:pStyle w:val="BodyText3"/>
        <w:numPr>
          <w:ilvl w:val="0"/>
          <w:numId w:val="36"/>
        </w:numPr>
        <w:jc w:val="both"/>
        <w:rPr>
          <w:szCs w:val="24"/>
        </w:rPr>
      </w:pPr>
      <w:r w:rsidRPr="009A1F58">
        <w:rPr>
          <w:szCs w:val="24"/>
        </w:rPr>
        <w:t>In practice, the documents will need to be given to APRA before APRA can approve the summary of the scheme, and it is expected that companies will discuss their intentions with APRA at the earliest opportunity.</w:t>
      </w:r>
    </w:p>
    <w:p w14:paraId="0FF4C6D6" w14:textId="77777777" w:rsidR="004A0708" w:rsidRDefault="004A0708" w:rsidP="00C716C7">
      <w:pPr>
        <w:pStyle w:val="Heading1"/>
      </w:pPr>
      <w:r>
        <w:t>Notification Requirements</w:t>
      </w:r>
      <w:r>
        <w:rPr>
          <w:rStyle w:val="FootnoteReference"/>
          <w:b w:val="0"/>
          <w:sz w:val="26"/>
        </w:rPr>
        <w:footnoteReference w:id="7"/>
      </w:r>
      <w:r>
        <w:t xml:space="preserve"> </w:t>
      </w:r>
    </w:p>
    <w:p w14:paraId="3C7CB564" w14:textId="77777777" w:rsidR="004A0708" w:rsidRPr="009A1F58" w:rsidRDefault="004A0708" w:rsidP="004A0708">
      <w:pPr>
        <w:pStyle w:val="BodyText3"/>
        <w:numPr>
          <w:ilvl w:val="0"/>
          <w:numId w:val="36"/>
        </w:numPr>
        <w:jc w:val="both"/>
        <w:rPr>
          <w:szCs w:val="24"/>
        </w:rPr>
      </w:pPr>
      <w:r w:rsidRPr="009A1F58">
        <w:rPr>
          <w:szCs w:val="24"/>
        </w:rPr>
        <w:t xml:space="preserve">An application to the Court for confirmation of a scheme cannot be made unless, amongst other things, a notice of intention to make the application has been published by the insurer.  </w:t>
      </w:r>
    </w:p>
    <w:p w14:paraId="17479945" w14:textId="77777777" w:rsidR="004A0708" w:rsidRPr="009A1F58" w:rsidRDefault="004A0708" w:rsidP="004A0708">
      <w:pPr>
        <w:pStyle w:val="BodyText3"/>
        <w:numPr>
          <w:ilvl w:val="0"/>
          <w:numId w:val="36"/>
        </w:numPr>
        <w:jc w:val="both"/>
        <w:rPr>
          <w:szCs w:val="24"/>
        </w:rPr>
      </w:pPr>
      <w:r w:rsidRPr="009A1F58">
        <w:rPr>
          <w:szCs w:val="24"/>
        </w:rPr>
        <w:t>Before publishing a notice of intention an insurer must first secure APRA’s approval of the summary of the scheme.</w:t>
      </w:r>
      <w:r w:rsidRPr="009A1F58">
        <w:rPr>
          <w:szCs w:val="24"/>
          <w:vertAlign w:val="superscript"/>
        </w:rPr>
        <w:footnoteReference w:id="8"/>
      </w:r>
    </w:p>
    <w:p w14:paraId="30CF9AAC" w14:textId="77777777" w:rsidR="004A0708" w:rsidRPr="009A1F58" w:rsidRDefault="004A0708" w:rsidP="004A0708">
      <w:pPr>
        <w:pStyle w:val="BodyText3"/>
        <w:numPr>
          <w:ilvl w:val="0"/>
          <w:numId w:val="36"/>
        </w:numPr>
        <w:jc w:val="both"/>
        <w:rPr>
          <w:szCs w:val="24"/>
        </w:rPr>
      </w:pPr>
      <w:r w:rsidRPr="009A1F58">
        <w:rPr>
          <w:szCs w:val="24"/>
        </w:rPr>
        <w:lastRenderedPageBreak/>
        <w:t>The insurer must publish the notice of intention in a form approved by APRA:</w:t>
      </w:r>
    </w:p>
    <w:p w14:paraId="276D9193" w14:textId="77777777" w:rsidR="004A0708" w:rsidRPr="009A1F58" w:rsidRDefault="004A0708" w:rsidP="004A0708">
      <w:pPr>
        <w:pStyle w:val="bullet"/>
        <w:numPr>
          <w:ilvl w:val="0"/>
          <w:numId w:val="28"/>
        </w:numPr>
        <w:spacing w:after="240"/>
        <w:jc w:val="both"/>
        <w:rPr>
          <w:szCs w:val="24"/>
        </w:rPr>
      </w:pPr>
      <w:r w:rsidRPr="009A1F58">
        <w:rPr>
          <w:szCs w:val="24"/>
        </w:rPr>
        <w:t xml:space="preserve">in the Government </w:t>
      </w:r>
      <w:r w:rsidRPr="009A1F58">
        <w:rPr>
          <w:i/>
          <w:szCs w:val="24"/>
        </w:rPr>
        <w:t>Gazette</w:t>
      </w:r>
      <w:r w:rsidRPr="009A1F58">
        <w:rPr>
          <w:szCs w:val="24"/>
        </w:rPr>
        <w:t>; and</w:t>
      </w:r>
    </w:p>
    <w:p w14:paraId="31768D1E" w14:textId="77777777" w:rsidR="004A0708" w:rsidRPr="009A1F58" w:rsidRDefault="004A0708" w:rsidP="004A0708">
      <w:pPr>
        <w:pStyle w:val="bullet"/>
        <w:numPr>
          <w:ilvl w:val="0"/>
          <w:numId w:val="28"/>
        </w:numPr>
        <w:spacing w:after="240"/>
        <w:jc w:val="both"/>
        <w:rPr>
          <w:szCs w:val="24"/>
        </w:rPr>
      </w:pPr>
      <w:r w:rsidRPr="009A1F58">
        <w:rPr>
          <w:szCs w:val="24"/>
        </w:rPr>
        <w:t>in one or more newspapers, approved by APRA, circulating in each State and Territory in which an affected policyholder resides.</w:t>
      </w:r>
    </w:p>
    <w:p w14:paraId="2C109423" w14:textId="77777777" w:rsidR="004A0708" w:rsidRPr="009A1F58" w:rsidRDefault="004A0708" w:rsidP="004A0708">
      <w:pPr>
        <w:pStyle w:val="BodyText3"/>
        <w:numPr>
          <w:ilvl w:val="0"/>
          <w:numId w:val="36"/>
        </w:numPr>
        <w:jc w:val="both"/>
        <w:rPr>
          <w:szCs w:val="24"/>
        </w:rPr>
      </w:pPr>
      <w:r w:rsidRPr="009A1F58">
        <w:rPr>
          <w:szCs w:val="24"/>
        </w:rPr>
        <w:t>The notice must, at a minimum:</w:t>
      </w:r>
    </w:p>
    <w:p w14:paraId="130FCD32" w14:textId="77777777" w:rsidR="004A0708" w:rsidRPr="009A1F58" w:rsidRDefault="004A0708" w:rsidP="004A0708">
      <w:pPr>
        <w:pStyle w:val="bullet"/>
        <w:numPr>
          <w:ilvl w:val="0"/>
          <w:numId w:val="26"/>
        </w:numPr>
        <w:spacing w:after="240"/>
        <w:jc w:val="both"/>
        <w:rPr>
          <w:szCs w:val="24"/>
        </w:rPr>
      </w:pPr>
      <w:r w:rsidRPr="009A1F58">
        <w:rPr>
          <w:szCs w:val="24"/>
        </w:rPr>
        <w:t>state the places, dates and times that an affected policyholder may obtain a copy of the scheme and any associated documentation; and</w:t>
      </w:r>
    </w:p>
    <w:p w14:paraId="603FBFC5" w14:textId="77777777" w:rsidR="004A0708" w:rsidRPr="009A1F58" w:rsidRDefault="004A0708" w:rsidP="004A0708">
      <w:pPr>
        <w:pStyle w:val="bullet"/>
        <w:numPr>
          <w:ilvl w:val="0"/>
          <w:numId w:val="28"/>
        </w:numPr>
        <w:spacing w:after="240"/>
        <w:jc w:val="both"/>
        <w:rPr>
          <w:szCs w:val="24"/>
        </w:rPr>
      </w:pPr>
      <w:r w:rsidRPr="009A1F58">
        <w:rPr>
          <w:szCs w:val="24"/>
        </w:rPr>
        <w:t>give the address of each place at which a copy of the scheme and any associated documentation may be obtained.</w:t>
      </w:r>
    </w:p>
    <w:p w14:paraId="08ACC2C9" w14:textId="77777777" w:rsidR="004A0708" w:rsidRPr="009A1F58" w:rsidRDefault="004A0708" w:rsidP="004A0708">
      <w:pPr>
        <w:pStyle w:val="BodyText3"/>
        <w:numPr>
          <w:ilvl w:val="0"/>
          <w:numId w:val="36"/>
        </w:numPr>
        <w:jc w:val="both"/>
        <w:rPr>
          <w:szCs w:val="24"/>
        </w:rPr>
      </w:pPr>
      <w:r w:rsidRPr="009A1F58">
        <w:rPr>
          <w:szCs w:val="24"/>
        </w:rPr>
        <w:t>The notice must be published before the scheme is released for public inspection under paragraph 16.</w:t>
      </w:r>
    </w:p>
    <w:p w14:paraId="66B940CE" w14:textId="77777777" w:rsidR="004A0708" w:rsidRDefault="004A0708" w:rsidP="00C716C7">
      <w:pPr>
        <w:pStyle w:val="Heading1"/>
      </w:pPr>
      <w:r>
        <w:lastRenderedPageBreak/>
        <w:t>Approved Summary</w:t>
      </w:r>
      <w:r>
        <w:rPr>
          <w:rStyle w:val="FootnoteReference"/>
          <w:b w:val="0"/>
          <w:sz w:val="26"/>
        </w:rPr>
        <w:footnoteReference w:id="9"/>
      </w:r>
      <w:r>
        <w:t xml:space="preserve"> </w:t>
      </w:r>
    </w:p>
    <w:p w14:paraId="6BF809FB" w14:textId="77777777" w:rsidR="004A0708" w:rsidRPr="009A1F58" w:rsidRDefault="004A0708" w:rsidP="004A0708">
      <w:pPr>
        <w:pStyle w:val="BodyText3"/>
        <w:numPr>
          <w:ilvl w:val="0"/>
          <w:numId w:val="36"/>
        </w:numPr>
        <w:jc w:val="both"/>
        <w:rPr>
          <w:szCs w:val="24"/>
        </w:rPr>
      </w:pPr>
      <w:r w:rsidRPr="009A1F58">
        <w:rPr>
          <w:szCs w:val="24"/>
        </w:rPr>
        <w:t xml:space="preserve">An application to the Court for confirmation of a scheme cannot be made unless, amongst other things, a summary of the scheme, approved by APRA (the approved summary), has been given to every affected policyholder. </w:t>
      </w:r>
    </w:p>
    <w:p w14:paraId="25A3D8A6" w14:textId="77777777" w:rsidR="004A0708" w:rsidRPr="009A1F58" w:rsidRDefault="004A0708" w:rsidP="004A0708">
      <w:pPr>
        <w:pStyle w:val="BodyText3"/>
        <w:numPr>
          <w:ilvl w:val="0"/>
          <w:numId w:val="36"/>
        </w:numPr>
        <w:jc w:val="both"/>
        <w:rPr>
          <w:szCs w:val="24"/>
        </w:rPr>
      </w:pPr>
      <w:r w:rsidRPr="009A1F58">
        <w:rPr>
          <w:szCs w:val="24"/>
        </w:rPr>
        <w:t>The approved summary need not be a stand-alone document and the required information may be included in a document, sent directly to the policyholder, that contains other information in relation to the transfer, provided that the required information is prominently featured so that it is obvious to the policyholder.</w:t>
      </w:r>
    </w:p>
    <w:p w14:paraId="19BB1287" w14:textId="77777777" w:rsidR="004A0708" w:rsidRPr="009A1F58" w:rsidRDefault="004A0708" w:rsidP="004A0708">
      <w:pPr>
        <w:pStyle w:val="BodyText3"/>
        <w:numPr>
          <w:ilvl w:val="0"/>
          <w:numId w:val="36"/>
        </w:numPr>
        <w:jc w:val="both"/>
        <w:rPr>
          <w:szCs w:val="24"/>
        </w:rPr>
      </w:pPr>
      <w:r w:rsidRPr="009A1F58">
        <w:rPr>
          <w:szCs w:val="24"/>
        </w:rPr>
        <w:t>The format and content of the approved summary will depend on the circumstances of the transfer, however, the insurer should, at a minimum, advise affected policyholders:</w:t>
      </w:r>
    </w:p>
    <w:p w14:paraId="38C27DB1" w14:textId="77777777" w:rsidR="004A0708" w:rsidRPr="009A1F58" w:rsidRDefault="004A0708" w:rsidP="004A0708">
      <w:pPr>
        <w:pStyle w:val="bullet"/>
        <w:numPr>
          <w:ilvl w:val="0"/>
          <w:numId w:val="27"/>
        </w:numPr>
        <w:spacing w:after="240"/>
        <w:jc w:val="both"/>
        <w:rPr>
          <w:szCs w:val="24"/>
        </w:rPr>
      </w:pPr>
      <w:r w:rsidRPr="009A1F58">
        <w:rPr>
          <w:szCs w:val="24"/>
        </w:rPr>
        <w:t xml:space="preserve">that the insurer proposes to transfer the policyholder’s policy or policies to another insurer, on or after a specified date; </w:t>
      </w:r>
    </w:p>
    <w:p w14:paraId="185CAF11" w14:textId="77777777" w:rsidR="004A0708" w:rsidRPr="009A1F58" w:rsidRDefault="004A0708" w:rsidP="004A0708">
      <w:pPr>
        <w:pStyle w:val="bullet"/>
        <w:numPr>
          <w:ilvl w:val="0"/>
          <w:numId w:val="27"/>
        </w:numPr>
        <w:spacing w:after="240"/>
        <w:jc w:val="both"/>
        <w:rPr>
          <w:szCs w:val="24"/>
        </w:rPr>
      </w:pPr>
      <w:r w:rsidRPr="009A1F58">
        <w:rPr>
          <w:szCs w:val="24"/>
        </w:rPr>
        <w:t xml:space="preserve">of the full name and contact details of the other insurer; </w:t>
      </w:r>
    </w:p>
    <w:p w14:paraId="36B4E8C2" w14:textId="77777777" w:rsidR="004A0708" w:rsidRPr="009A1F58" w:rsidRDefault="004A0708" w:rsidP="004A0708">
      <w:pPr>
        <w:pStyle w:val="bullet"/>
        <w:spacing w:after="240"/>
        <w:ind w:left="1124" w:hanging="562"/>
        <w:jc w:val="both"/>
        <w:rPr>
          <w:szCs w:val="24"/>
        </w:rPr>
      </w:pPr>
      <w:r w:rsidRPr="009A1F58">
        <w:rPr>
          <w:szCs w:val="24"/>
        </w:rPr>
        <w:t xml:space="preserve">of the effect of the transfer (this explanation may be brief and may, for example, explain that from the date of the transfer all rights and liabilities under the policies will be transferred to the other </w:t>
      </w:r>
      <w:r w:rsidRPr="009A1F58">
        <w:rPr>
          <w:szCs w:val="24"/>
        </w:rPr>
        <w:lastRenderedPageBreak/>
        <w:t xml:space="preserve">insurer, so that premiums will have to be paid to, and claims will have to be lodged with, that insurer); </w:t>
      </w:r>
    </w:p>
    <w:p w14:paraId="55521C30" w14:textId="77777777" w:rsidR="004A0708" w:rsidRPr="009A1F58" w:rsidRDefault="004A0708" w:rsidP="004A0708">
      <w:pPr>
        <w:pStyle w:val="bullet"/>
        <w:spacing w:after="240"/>
        <w:ind w:left="1124" w:hanging="562"/>
        <w:jc w:val="both"/>
        <w:rPr>
          <w:szCs w:val="24"/>
        </w:rPr>
      </w:pPr>
      <w:r w:rsidRPr="009A1F58">
        <w:rPr>
          <w:szCs w:val="24"/>
        </w:rPr>
        <w:t xml:space="preserve">of any action the policyholder will need to take before or as a result of the transfer (for example, any changes in arrangements relating to paying premiums or lodging claims); </w:t>
      </w:r>
    </w:p>
    <w:p w14:paraId="4A1042BE" w14:textId="77777777" w:rsidR="004A0708" w:rsidRPr="009A1F58" w:rsidRDefault="004A0708" w:rsidP="004A0708">
      <w:pPr>
        <w:pStyle w:val="bullet"/>
        <w:spacing w:after="240"/>
        <w:ind w:left="1124" w:hanging="562"/>
        <w:jc w:val="both"/>
        <w:rPr>
          <w:szCs w:val="24"/>
        </w:rPr>
      </w:pPr>
      <w:r w:rsidRPr="009A1F58">
        <w:rPr>
          <w:szCs w:val="24"/>
        </w:rPr>
        <w:t xml:space="preserve">if the policyholder does not need to take any action before or as a result of the transfer - advise the policyholder accordingly; </w:t>
      </w:r>
    </w:p>
    <w:p w14:paraId="6CDD3CAD" w14:textId="77777777" w:rsidR="004A0708" w:rsidRPr="009A1F58" w:rsidRDefault="004A0708" w:rsidP="004A0708">
      <w:pPr>
        <w:pStyle w:val="bullet"/>
        <w:spacing w:after="240"/>
        <w:ind w:left="1124" w:hanging="562"/>
        <w:jc w:val="both"/>
        <w:rPr>
          <w:szCs w:val="24"/>
        </w:rPr>
      </w:pPr>
      <w:r w:rsidRPr="009A1F58">
        <w:rPr>
          <w:szCs w:val="24"/>
        </w:rPr>
        <w:t>how the policyholder can obtain further information and inspect relevant documents as may be available for public inspection; and</w:t>
      </w:r>
    </w:p>
    <w:p w14:paraId="7E6DA7E3" w14:textId="77777777" w:rsidR="004A0708" w:rsidRPr="009A1F58" w:rsidRDefault="004A0708" w:rsidP="004A0708">
      <w:pPr>
        <w:pStyle w:val="bullet"/>
        <w:spacing w:after="240"/>
        <w:ind w:left="1124" w:hanging="562"/>
        <w:jc w:val="both"/>
        <w:rPr>
          <w:snapToGrid w:val="0"/>
          <w:szCs w:val="24"/>
          <w:lang w:eastAsia="en-US"/>
        </w:rPr>
      </w:pPr>
      <w:r w:rsidRPr="009A1F58">
        <w:rPr>
          <w:szCs w:val="24"/>
        </w:rPr>
        <w:t>that the policyholder</w:t>
      </w:r>
      <w:r w:rsidRPr="009A1F58">
        <w:rPr>
          <w:snapToGrid w:val="0"/>
          <w:szCs w:val="24"/>
          <w:lang w:eastAsia="en-US"/>
        </w:rPr>
        <w:t xml:space="preserve"> has the right to attend the Federal Court.</w:t>
      </w:r>
    </w:p>
    <w:p w14:paraId="4FCEB729" w14:textId="77777777" w:rsidR="004A0708" w:rsidRPr="009A1F58" w:rsidRDefault="004A0708" w:rsidP="004A0708">
      <w:pPr>
        <w:pStyle w:val="BodyText3"/>
        <w:numPr>
          <w:ilvl w:val="0"/>
          <w:numId w:val="36"/>
        </w:numPr>
        <w:jc w:val="both"/>
        <w:rPr>
          <w:szCs w:val="24"/>
        </w:rPr>
      </w:pPr>
      <w:r w:rsidRPr="009A1F58">
        <w:rPr>
          <w:szCs w:val="24"/>
        </w:rPr>
        <w:t xml:space="preserve">The approved summary must be sent to affected policyholders before the scheme is released for public inspection under paragraph 16. </w:t>
      </w:r>
    </w:p>
    <w:p w14:paraId="485577EF" w14:textId="77777777" w:rsidR="004A0708" w:rsidRDefault="004A0708" w:rsidP="00C716C7">
      <w:pPr>
        <w:pStyle w:val="Heading1"/>
      </w:pPr>
      <w:r>
        <w:t>Public Inspection</w:t>
      </w:r>
      <w:r>
        <w:rPr>
          <w:rStyle w:val="FootnoteReference"/>
          <w:b w:val="0"/>
          <w:sz w:val="26"/>
        </w:rPr>
        <w:footnoteReference w:id="10"/>
      </w:r>
    </w:p>
    <w:p w14:paraId="11E6F613" w14:textId="77777777" w:rsidR="004A0708" w:rsidRPr="009A1F58" w:rsidRDefault="004A0708" w:rsidP="004A0708">
      <w:pPr>
        <w:pStyle w:val="BodyText3"/>
        <w:numPr>
          <w:ilvl w:val="0"/>
          <w:numId w:val="36"/>
        </w:numPr>
        <w:jc w:val="both"/>
        <w:rPr>
          <w:szCs w:val="24"/>
        </w:rPr>
      </w:pPr>
      <w:r w:rsidRPr="009A1F58">
        <w:rPr>
          <w:szCs w:val="24"/>
        </w:rPr>
        <w:t xml:space="preserve">A copy of the scheme must be open for public inspection from 9.00 a.m. until 5.00 p.m. every day (except weekends and public holidays), for a period of at least 15 days, at: </w:t>
      </w:r>
    </w:p>
    <w:p w14:paraId="647B001B" w14:textId="77777777" w:rsidR="004A0708" w:rsidRPr="009A1F58" w:rsidRDefault="004A0708" w:rsidP="004A0708">
      <w:pPr>
        <w:pStyle w:val="bullet"/>
        <w:numPr>
          <w:ilvl w:val="0"/>
          <w:numId w:val="29"/>
        </w:numPr>
        <w:spacing w:after="240"/>
        <w:jc w:val="both"/>
        <w:rPr>
          <w:szCs w:val="24"/>
        </w:rPr>
      </w:pPr>
      <w:r w:rsidRPr="009A1F58">
        <w:rPr>
          <w:szCs w:val="24"/>
        </w:rPr>
        <w:t xml:space="preserve">an office of the insurer; or  </w:t>
      </w:r>
    </w:p>
    <w:p w14:paraId="5DBFF767" w14:textId="77777777" w:rsidR="004A0708" w:rsidRPr="009A1F58" w:rsidRDefault="004A0708" w:rsidP="004A0708">
      <w:pPr>
        <w:pStyle w:val="bullet"/>
        <w:numPr>
          <w:ilvl w:val="0"/>
          <w:numId w:val="29"/>
        </w:numPr>
        <w:spacing w:after="240"/>
        <w:jc w:val="both"/>
        <w:rPr>
          <w:szCs w:val="24"/>
        </w:rPr>
      </w:pPr>
      <w:r w:rsidRPr="009A1F58">
        <w:rPr>
          <w:szCs w:val="24"/>
        </w:rPr>
        <w:lastRenderedPageBreak/>
        <w:t xml:space="preserve">another location approved by APRA in writing, </w:t>
      </w:r>
    </w:p>
    <w:p w14:paraId="28832454" w14:textId="77777777" w:rsidR="004A0708" w:rsidRPr="009A1F58" w:rsidRDefault="004A0708" w:rsidP="004A0708">
      <w:pPr>
        <w:pStyle w:val="BodyText"/>
        <w:numPr>
          <w:ilvl w:val="0"/>
          <w:numId w:val="0"/>
        </w:numPr>
        <w:spacing w:before="0" w:after="240" w:line="240" w:lineRule="auto"/>
        <w:ind w:firstLine="567"/>
        <w:jc w:val="both"/>
        <w:rPr>
          <w:sz w:val="24"/>
          <w:szCs w:val="24"/>
        </w:rPr>
      </w:pPr>
      <w:r w:rsidRPr="009A1F58">
        <w:rPr>
          <w:sz w:val="24"/>
          <w:szCs w:val="24"/>
        </w:rPr>
        <w:t>in each State and Territory in which an affected policyholder resides.</w:t>
      </w:r>
    </w:p>
    <w:p w14:paraId="4A15724C" w14:textId="77777777" w:rsidR="004A0708" w:rsidRDefault="004A0708" w:rsidP="00C716C7">
      <w:pPr>
        <w:pStyle w:val="Heading1"/>
      </w:pPr>
      <w:r>
        <w:t>Application for Confirmation of Scheme</w:t>
      </w:r>
      <w:r>
        <w:rPr>
          <w:rStyle w:val="FootnoteReference"/>
          <w:b w:val="0"/>
          <w:sz w:val="26"/>
        </w:rPr>
        <w:footnoteReference w:id="11"/>
      </w:r>
      <w:r>
        <w:t xml:space="preserve"> </w:t>
      </w:r>
    </w:p>
    <w:p w14:paraId="33CEA7E6" w14:textId="77777777" w:rsidR="004A0708" w:rsidRPr="009A1F58" w:rsidRDefault="004A0708" w:rsidP="004A0708">
      <w:pPr>
        <w:pStyle w:val="BodyText3"/>
        <w:numPr>
          <w:ilvl w:val="0"/>
          <w:numId w:val="36"/>
        </w:numPr>
        <w:jc w:val="both"/>
        <w:rPr>
          <w:szCs w:val="24"/>
        </w:rPr>
      </w:pPr>
      <w:r w:rsidRPr="009A1F58">
        <w:rPr>
          <w:szCs w:val="24"/>
        </w:rPr>
        <w:t>An application to the Court for confirmation of a scheme may be made no earlier than:</w:t>
      </w:r>
    </w:p>
    <w:p w14:paraId="1A0BF7AD" w14:textId="77777777" w:rsidR="004A0708" w:rsidRPr="009A1F58" w:rsidRDefault="004A0708" w:rsidP="004A0708">
      <w:pPr>
        <w:pStyle w:val="bullet"/>
        <w:numPr>
          <w:ilvl w:val="0"/>
          <w:numId w:val="31"/>
        </w:numPr>
        <w:spacing w:after="240"/>
        <w:rPr>
          <w:szCs w:val="24"/>
        </w:rPr>
      </w:pPr>
      <w:r w:rsidRPr="009A1F58">
        <w:rPr>
          <w:szCs w:val="24"/>
        </w:rPr>
        <w:t xml:space="preserve">the day after the day on which the period referred to in paragraph 16 ends; and </w:t>
      </w:r>
    </w:p>
    <w:p w14:paraId="58296882" w14:textId="77777777" w:rsidR="004A0708" w:rsidRPr="009A1F58" w:rsidRDefault="004A0708" w:rsidP="004A0708">
      <w:pPr>
        <w:pStyle w:val="bullet"/>
        <w:numPr>
          <w:ilvl w:val="0"/>
          <w:numId w:val="31"/>
        </w:numPr>
        <w:spacing w:after="240"/>
        <w:jc w:val="both"/>
        <w:rPr>
          <w:szCs w:val="24"/>
        </w:rPr>
      </w:pPr>
      <w:r w:rsidRPr="009A1F58">
        <w:rPr>
          <w:szCs w:val="24"/>
        </w:rPr>
        <w:t>unless the Court dispenses with the need for compliance with paragraph 17C(2)(c) of the Act</w:t>
      </w:r>
      <w:r w:rsidRPr="009A1F58">
        <w:rPr>
          <w:rStyle w:val="FootnoteReference"/>
          <w:szCs w:val="24"/>
        </w:rPr>
        <w:footnoteReference w:id="12"/>
      </w:r>
      <w:r w:rsidRPr="009A1F58">
        <w:rPr>
          <w:szCs w:val="24"/>
        </w:rPr>
        <w:t xml:space="preserve"> — 15 days after the approved summary of the scheme has been given to every affected policyholder under that paragraph,</w:t>
      </w:r>
    </w:p>
    <w:p w14:paraId="479B3A10" w14:textId="77777777" w:rsidR="004A0708" w:rsidRPr="009A1F58" w:rsidRDefault="004A0708" w:rsidP="004A0708">
      <w:pPr>
        <w:pStyle w:val="BodyText"/>
        <w:numPr>
          <w:ilvl w:val="0"/>
          <w:numId w:val="0"/>
        </w:numPr>
        <w:spacing w:before="0" w:after="240" w:line="240" w:lineRule="auto"/>
        <w:ind w:firstLine="562"/>
        <w:jc w:val="both"/>
        <w:rPr>
          <w:sz w:val="24"/>
          <w:szCs w:val="24"/>
        </w:rPr>
      </w:pPr>
      <w:r w:rsidRPr="009A1F58">
        <w:rPr>
          <w:sz w:val="24"/>
          <w:szCs w:val="24"/>
        </w:rPr>
        <w:t>whichever is the later.</w:t>
      </w:r>
    </w:p>
    <w:p w14:paraId="290F54CD" w14:textId="77777777" w:rsidR="004A0708" w:rsidRDefault="004A0708" w:rsidP="00C716C7">
      <w:pPr>
        <w:pStyle w:val="Heading1"/>
      </w:pPr>
      <w:r>
        <w:lastRenderedPageBreak/>
        <w:t>Documents to be Provided to APRA after the Court has Approved a Scheme</w:t>
      </w:r>
      <w:r>
        <w:rPr>
          <w:rStyle w:val="FootnoteReference"/>
          <w:b w:val="0"/>
          <w:sz w:val="26"/>
        </w:rPr>
        <w:footnoteReference w:id="13"/>
      </w:r>
      <w:r>
        <w:t xml:space="preserve"> </w:t>
      </w:r>
    </w:p>
    <w:p w14:paraId="4C34FFE8" w14:textId="77777777" w:rsidR="004A0708" w:rsidRPr="009A1F58" w:rsidRDefault="004A0708" w:rsidP="004A0708">
      <w:pPr>
        <w:pStyle w:val="BodyText3"/>
        <w:numPr>
          <w:ilvl w:val="0"/>
          <w:numId w:val="36"/>
        </w:numPr>
        <w:jc w:val="both"/>
        <w:rPr>
          <w:szCs w:val="24"/>
        </w:rPr>
      </w:pPr>
      <w:r w:rsidRPr="009A1F58">
        <w:rPr>
          <w:szCs w:val="24"/>
        </w:rPr>
        <w:t xml:space="preserve">An insurer to which insurance business is transferred, or with whose insurance business any part of the business of another insurer is amalgamated, must give APRA the following documents: </w:t>
      </w:r>
    </w:p>
    <w:p w14:paraId="284A5368" w14:textId="77777777" w:rsidR="004A0708" w:rsidRPr="009A1F58" w:rsidRDefault="004A0708" w:rsidP="004A0708">
      <w:pPr>
        <w:pStyle w:val="bullet"/>
        <w:numPr>
          <w:ilvl w:val="0"/>
          <w:numId w:val="30"/>
        </w:numPr>
        <w:spacing w:after="240"/>
        <w:ind w:left="1124" w:hanging="562"/>
        <w:jc w:val="both"/>
        <w:rPr>
          <w:szCs w:val="24"/>
        </w:rPr>
      </w:pPr>
      <w:r w:rsidRPr="009A1F58">
        <w:rPr>
          <w:szCs w:val="24"/>
        </w:rPr>
        <w:t xml:space="preserve">a statement of the nature and terms of the transfer or amalgamation; </w:t>
      </w:r>
    </w:p>
    <w:p w14:paraId="466E7461" w14:textId="77777777" w:rsidR="004A0708" w:rsidRPr="009A1F58" w:rsidRDefault="004A0708" w:rsidP="004A0708">
      <w:pPr>
        <w:pStyle w:val="bullet"/>
        <w:numPr>
          <w:ilvl w:val="0"/>
          <w:numId w:val="30"/>
        </w:numPr>
        <w:spacing w:after="240"/>
        <w:ind w:left="1124" w:hanging="562"/>
        <w:jc w:val="both"/>
        <w:rPr>
          <w:szCs w:val="24"/>
        </w:rPr>
      </w:pPr>
      <w:r w:rsidRPr="009A1F58">
        <w:rPr>
          <w:szCs w:val="24"/>
        </w:rPr>
        <w:t>a certified copy of each of the following documents:</w:t>
      </w:r>
    </w:p>
    <w:p w14:paraId="16737E8A" w14:textId="77777777" w:rsidR="004A0708" w:rsidRPr="009A1F58" w:rsidRDefault="004A0708" w:rsidP="004A0708">
      <w:pPr>
        <w:pStyle w:val="BodyText"/>
        <w:numPr>
          <w:ilvl w:val="0"/>
          <w:numId w:val="23"/>
        </w:numPr>
        <w:tabs>
          <w:tab w:val="clear" w:pos="1800"/>
          <w:tab w:val="left" w:pos="1701"/>
        </w:tabs>
        <w:spacing w:before="0" w:after="240" w:line="240" w:lineRule="auto"/>
        <w:ind w:left="1701" w:hanging="567"/>
        <w:jc w:val="both"/>
        <w:rPr>
          <w:sz w:val="24"/>
          <w:szCs w:val="24"/>
        </w:rPr>
      </w:pPr>
      <w:r w:rsidRPr="009A1F58">
        <w:rPr>
          <w:sz w:val="24"/>
          <w:szCs w:val="24"/>
        </w:rPr>
        <w:t xml:space="preserve">the scheme providing for the transfer or amalgamation; </w:t>
      </w:r>
    </w:p>
    <w:p w14:paraId="67CA2AAE" w14:textId="77777777" w:rsidR="004A0708" w:rsidRPr="009A1F58" w:rsidRDefault="004A0708" w:rsidP="004A0708">
      <w:pPr>
        <w:pStyle w:val="BodyText"/>
        <w:numPr>
          <w:ilvl w:val="0"/>
          <w:numId w:val="23"/>
        </w:numPr>
        <w:tabs>
          <w:tab w:val="clear" w:pos="1800"/>
        </w:tabs>
        <w:spacing w:before="0" w:after="240" w:line="240" w:lineRule="auto"/>
        <w:ind w:left="1701" w:hanging="567"/>
        <w:jc w:val="both"/>
        <w:rPr>
          <w:sz w:val="24"/>
          <w:szCs w:val="24"/>
        </w:rPr>
      </w:pPr>
      <w:r w:rsidRPr="009A1F58">
        <w:rPr>
          <w:sz w:val="24"/>
          <w:szCs w:val="24"/>
        </w:rPr>
        <w:t xml:space="preserve">an actuarial report, or other report, on which the scheme, and the agreement or deed, are founded; </w:t>
      </w:r>
    </w:p>
    <w:p w14:paraId="51D4380A" w14:textId="77777777" w:rsidR="004A0708" w:rsidRPr="009A1F58" w:rsidRDefault="004A0708" w:rsidP="004A0708">
      <w:pPr>
        <w:pStyle w:val="BodyText"/>
        <w:numPr>
          <w:ilvl w:val="0"/>
          <w:numId w:val="23"/>
        </w:numPr>
        <w:tabs>
          <w:tab w:val="clear" w:pos="1800"/>
        </w:tabs>
        <w:spacing w:before="0" w:after="240" w:line="240" w:lineRule="auto"/>
        <w:ind w:left="1701" w:hanging="567"/>
        <w:jc w:val="both"/>
        <w:rPr>
          <w:sz w:val="24"/>
          <w:szCs w:val="24"/>
        </w:rPr>
      </w:pPr>
      <w:r w:rsidRPr="009A1F58">
        <w:rPr>
          <w:sz w:val="24"/>
          <w:szCs w:val="24"/>
        </w:rPr>
        <w:t xml:space="preserve">the agreement or deed under which the transfer or amalgamation is effected; </w:t>
      </w:r>
    </w:p>
    <w:p w14:paraId="5576C7E0" w14:textId="77777777" w:rsidR="004A0708" w:rsidRPr="009A1F58" w:rsidRDefault="004A0708" w:rsidP="004A0708">
      <w:pPr>
        <w:pStyle w:val="BodyText"/>
        <w:numPr>
          <w:ilvl w:val="0"/>
          <w:numId w:val="23"/>
        </w:numPr>
        <w:tabs>
          <w:tab w:val="clear" w:pos="1800"/>
        </w:tabs>
        <w:spacing w:before="0" w:after="240" w:line="240" w:lineRule="auto"/>
        <w:ind w:left="1701" w:hanging="567"/>
        <w:jc w:val="both"/>
        <w:rPr>
          <w:sz w:val="24"/>
          <w:szCs w:val="24"/>
        </w:rPr>
      </w:pPr>
      <w:r w:rsidRPr="009A1F58">
        <w:rPr>
          <w:sz w:val="24"/>
          <w:szCs w:val="24"/>
        </w:rPr>
        <w:t xml:space="preserve">the Court order confirming the scheme; </w:t>
      </w:r>
    </w:p>
    <w:p w14:paraId="48DEB9F6" w14:textId="77777777" w:rsidR="004A0708" w:rsidRPr="009A1F58" w:rsidRDefault="004A0708" w:rsidP="004A0708">
      <w:pPr>
        <w:pStyle w:val="BodyText"/>
        <w:numPr>
          <w:ilvl w:val="0"/>
          <w:numId w:val="23"/>
        </w:numPr>
        <w:tabs>
          <w:tab w:val="clear" w:pos="1800"/>
          <w:tab w:val="left" w:pos="1701"/>
        </w:tabs>
        <w:spacing w:before="0" w:after="240" w:line="240" w:lineRule="auto"/>
        <w:ind w:left="1701" w:hanging="567"/>
        <w:jc w:val="both"/>
        <w:rPr>
          <w:sz w:val="24"/>
          <w:szCs w:val="24"/>
        </w:rPr>
      </w:pPr>
      <w:r w:rsidRPr="009A1F58">
        <w:rPr>
          <w:sz w:val="24"/>
          <w:szCs w:val="24"/>
        </w:rPr>
        <w:t xml:space="preserve">a statement of the assets and liabilities of each insurer associated with the transfer or amalgamation, before and after the transfer or amalgamation; </w:t>
      </w:r>
    </w:p>
    <w:p w14:paraId="2390E730" w14:textId="77777777" w:rsidR="004A0708" w:rsidRPr="009A1F58" w:rsidRDefault="004A0708" w:rsidP="004A0708">
      <w:pPr>
        <w:pStyle w:val="bullet"/>
        <w:numPr>
          <w:ilvl w:val="0"/>
          <w:numId w:val="30"/>
        </w:numPr>
        <w:spacing w:after="240"/>
        <w:ind w:left="1124" w:hanging="562"/>
        <w:jc w:val="both"/>
        <w:rPr>
          <w:szCs w:val="24"/>
        </w:rPr>
      </w:pPr>
      <w:r w:rsidRPr="009A1F58">
        <w:rPr>
          <w:szCs w:val="24"/>
        </w:rPr>
        <w:lastRenderedPageBreak/>
        <w:t xml:space="preserve">a statutory declaration by a Director: </w:t>
      </w:r>
    </w:p>
    <w:p w14:paraId="0901E798" w14:textId="77777777" w:rsidR="004A0708" w:rsidRPr="009A1F58" w:rsidRDefault="004A0708" w:rsidP="004A0708">
      <w:pPr>
        <w:pStyle w:val="BodyText"/>
        <w:numPr>
          <w:ilvl w:val="0"/>
          <w:numId w:val="24"/>
        </w:numPr>
        <w:tabs>
          <w:tab w:val="clear" w:pos="1800"/>
          <w:tab w:val="num" w:pos="1701"/>
        </w:tabs>
        <w:spacing w:before="0" w:after="240" w:line="240" w:lineRule="auto"/>
        <w:ind w:left="1701" w:hanging="567"/>
        <w:jc w:val="both"/>
        <w:rPr>
          <w:sz w:val="24"/>
          <w:szCs w:val="24"/>
        </w:rPr>
      </w:pPr>
      <w:r w:rsidRPr="009A1F58">
        <w:rPr>
          <w:sz w:val="24"/>
          <w:szCs w:val="24"/>
        </w:rPr>
        <w:t xml:space="preserve">setting out, in relation to the transfer or amalgamation: </w:t>
      </w:r>
    </w:p>
    <w:p w14:paraId="291E6CD0" w14:textId="77777777" w:rsidR="004A0708" w:rsidRPr="009A1F58" w:rsidRDefault="004A0708" w:rsidP="004A0708">
      <w:pPr>
        <w:pStyle w:val="BodyText"/>
        <w:numPr>
          <w:ilvl w:val="0"/>
          <w:numId w:val="25"/>
        </w:numPr>
        <w:tabs>
          <w:tab w:val="clear" w:pos="2203"/>
          <w:tab w:val="num" w:pos="2127"/>
        </w:tabs>
        <w:spacing w:before="0" w:after="240" w:line="240" w:lineRule="auto"/>
        <w:ind w:left="2127" w:hanging="426"/>
        <w:jc w:val="both"/>
        <w:rPr>
          <w:sz w:val="24"/>
          <w:szCs w:val="24"/>
        </w:rPr>
      </w:pPr>
      <w:r w:rsidRPr="009A1F58">
        <w:rPr>
          <w:sz w:val="24"/>
          <w:szCs w:val="24"/>
        </w:rPr>
        <w:t xml:space="preserve">each payment made; and </w:t>
      </w:r>
    </w:p>
    <w:p w14:paraId="0F41430E" w14:textId="77777777" w:rsidR="004A0708" w:rsidRPr="009A1F58" w:rsidRDefault="004A0708" w:rsidP="004A0708">
      <w:pPr>
        <w:pStyle w:val="BodyText"/>
        <w:numPr>
          <w:ilvl w:val="0"/>
          <w:numId w:val="25"/>
        </w:numPr>
        <w:tabs>
          <w:tab w:val="clear" w:pos="2203"/>
          <w:tab w:val="num" w:pos="2127"/>
        </w:tabs>
        <w:spacing w:before="0" w:after="240" w:line="240" w:lineRule="auto"/>
        <w:ind w:left="2127" w:hanging="426"/>
        <w:jc w:val="both"/>
        <w:rPr>
          <w:sz w:val="24"/>
          <w:szCs w:val="24"/>
        </w:rPr>
      </w:pPr>
      <w:r w:rsidRPr="009A1F58">
        <w:rPr>
          <w:sz w:val="24"/>
          <w:szCs w:val="24"/>
        </w:rPr>
        <w:t xml:space="preserve">a reasonable estimate of each payment to be made; and </w:t>
      </w:r>
    </w:p>
    <w:p w14:paraId="55B61B3E" w14:textId="77777777" w:rsidR="004A0708" w:rsidRPr="009A1F58" w:rsidRDefault="004A0708" w:rsidP="004A0708">
      <w:pPr>
        <w:pStyle w:val="BodyText"/>
        <w:numPr>
          <w:ilvl w:val="0"/>
          <w:numId w:val="24"/>
        </w:numPr>
        <w:tabs>
          <w:tab w:val="clear" w:pos="1800"/>
          <w:tab w:val="left" w:pos="1701"/>
        </w:tabs>
        <w:spacing w:before="0" w:after="240" w:line="240" w:lineRule="auto"/>
        <w:ind w:left="1701" w:hanging="567"/>
        <w:jc w:val="both"/>
        <w:rPr>
          <w:sz w:val="24"/>
          <w:szCs w:val="24"/>
        </w:rPr>
      </w:pPr>
      <w:r w:rsidRPr="009A1F58">
        <w:rPr>
          <w:sz w:val="24"/>
          <w:szCs w:val="24"/>
        </w:rPr>
        <w:t xml:space="preserve">stating that he or she reasonably believes that no other payment has been made, or will be made, by, or with the knowledge of, a party to the transfer or amalgamation. </w:t>
      </w:r>
    </w:p>
    <w:p w14:paraId="46400B57" w14:textId="77777777" w:rsidR="004A0708" w:rsidRPr="009A1F58" w:rsidRDefault="004A0708" w:rsidP="004A0708">
      <w:pPr>
        <w:pStyle w:val="BodyText3"/>
        <w:numPr>
          <w:ilvl w:val="0"/>
          <w:numId w:val="36"/>
        </w:numPr>
        <w:jc w:val="both"/>
        <w:rPr>
          <w:szCs w:val="24"/>
        </w:rPr>
      </w:pPr>
      <w:r w:rsidRPr="009A1F58">
        <w:rPr>
          <w:szCs w:val="24"/>
        </w:rPr>
        <w:t xml:space="preserve">The documents specified above must be lodged with APRA within 30 days after the transfer or amalgamation is completed.  </w:t>
      </w:r>
    </w:p>
    <w:p w14:paraId="21FFDF13" w14:textId="77777777" w:rsidR="004A0708" w:rsidRPr="009A1F58" w:rsidRDefault="004A0708" w:rsidP="004A0708">
      <w:pPr>
        <w:pStyle w:val="BodyText3"/>
        <w:numPr>
          <w:ilvl w:val="0"/>
          <w:numId w:val="36"/>
        </w:numPr>
        <w:jc w:val="both"/>
        <w:rPr>
          <w:szCs w:val="24"/>
        </w:rPr>
      </w:pPr>
      <w:r w:rsidRPr="009A1F58">
        <w:rPr>
          <w:szCs w:val="24"/>
        </w:rPr>
        <w:t>An insurer may apply to APRA, in writing, before the end of the 30 day period, for an extension of the time in which to lodge the documents.  If APRA believes that the insurer cannot reasonably provide the documents within 30 days, APRA must, within 14 days of receiving an application for an extension, give a written extension of up to 30 days.</w:t>
      </w:r>
      <w:r w:rsidRPr="009A1F58">
        <w:rPr>
          <w:rStyle w:val="FootnoteReference"/>
          <w:szCs w:val="24"/>
        </w:rPr>
        <w:footnoteReference w:id="14"/>
      </w:r>
      <w:r w:rsidRPr="009A1F58">
        <w:rPr>
          <w:szCs w:val="24"/>
        </w:rPr>
        <w:t xml:space="preserve"> </w:t>
      </w:r>
    </w:p>
    <w:p w14:paraId="26D5A417" w14:textId="77777777" w:rsidR="00C716C7" w:rsidRDefault="00C716C7" w:rsidP="00C716C7">
      <w:pPr>
        <w:pStyle w:val="BodyText3"/>
        <w:numPr>
          <w:ilvl w:val="0"/>
          <w:numId w:val="0"/>
        </w:numPr>
        <w:ind w:left="1701" w:hanging="567"/>
        <w:jc w:val="both"/>
        <w:rPr>
          <w:sz w:val="26"/>
        </w:rPr>
      </w:pPr>
    </w:p>
    <w:p w14:paraId="701DA6E7" w14:textId="16534107" w:rsidR="004A0708" w:rsidRDefault="004A0708" w:rsidP="004A0708">
      <w:pPr>
        <w:pStyle w:val="BodyText"/>
        <w:numPr>
          <w:ilvl w:val="0"/>
          <w:numId w:val="0"/>
        </w:numPr>
        <w:spacing w:before="0" w:after="120" w:line="240" w:lineRule="auto"/>
        <w:jc w:val="right"/>
        <w:rPr>
          <w:b/>
          <w:sz w:val="26"/>
        </w:rPr>
      </w:pPr>
      <w:r>
        <w:rPr>
          <w:b/>
        </w:rPr>
        <w:t>Attachment</w:t>
      </w:r>
    </w:p>
    <w:p w14:paraId="3C98E54D" w14:textId="77777777" w:rsidR="004A0708" w:rsidRPr="00C716C7" w:rsidRDefault="004A0708" w:rsidP="00C716C7">
      <w:pPr>
        <w:pStyle w:val="Heading2"/>
      </w:pPr>
      <w:r w:rsidRPr="00C716C7">
        <w:lastRenderedPageBreak/>
        <w:t xml:space="preserve">Transfer and Amalgamation of Insurance Business </w:t>
      </w:r>
    </w:p>
    <w:p w14:paraId="50A19EB4" w14:textId="77777777" w:rsidR="004A0708" w:rsidRPr="00C716C7" w:rsidRDefault="004A0708" w:rsidP="00C716C7">
      <w:pPr>
        <w:pStyle w:val="Heading2"/>
      </w:pPr>
      <w:r w:rsidRPr="00C716C7">
        <w:t>(Part III, Division 3A of the Act)</w:t>
      </w:r>
    </w:p>
    <w:p w14:paraId="63523029" w14:textId="77777777" w:rsidR="004A0708" w:rsidRDefault="004A0708" w:rsidP="004A0708">
      <w:pPr>
        <w:pStyle w:val="BodyText"/>
        <w:numPr>
          <w:ilvl w:val="0"/>
          <w:numId w:val="0"/>
        </w:numPr>
        <w:spacing w:before="0" w:after="240" w:line="240" w:lineRule="auto"/>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678"/>
        <w:gridCol w:w="1417"/>
        <w:gridCol w:w="1802"/>
      </w:tblGrid>
      <w:tr w:rsidR="004A0708" w14:paraId="5B46A4F2" w14:textId="77777777" w:rsidTr="004A0708">
        <w:tc>
          <w:tcPr>
            <w:tcW w:w="959" w:type="dxa"/>
          </w:tcPr>
          <w:p w14:paraId="630E8DC1" w14:textId="77777777" w:rsidR="004A0708" w:rsidRPr="00226737" w:rsidRDefault="004A0708" w:rsidP="004A0708">
            <w:pPr>
              <w:pStyle w:val="Heading1"/>
              <w:jc w:val="center"/>
              <w:rPr>
                <w:rFonts w:ascii="Times New Roman" w:hAnsi="Times New Roman"/>
                <w:sz w:val="26"/>
                <w:szCs w:val="26"/>
              </w:rPr>
            </w:pPr>
            <w:r w:rsidRPr="00226737">
              <w:rPr>
                <w:rFonts w:ascii="Times New Roman" w:hAnsi="Times New Roman"/>
                <w:sz w:val="26"/>
                <w:szCs w:val="26"/>
              </w:rPr>
              <w:t>Order</w:t>
            </w:r>
          </w:p>
        </w:tc>
        <w:tc>
          <w:tcPr>
            <w:tcW w:w="4678" w:type="dxa"/>
          </w:tcPr>
          <w:p w14:paraId="4060FE6E" w14:textId="77777777" w:rsidR="004A0708" w:rsidRPr="00226737" w:rsidRDefault="004A0708" w:rsidP="004A0708">
            <w:pPr>
              <w:pStyle w:val="Heading1"/>
              <w:jc w:val="center"/>
              <w:rPr>
                <w:rFonts w:ascii="Times New Roman" w:hAnsi="Times New Roman"/>
                <w:sz w:val="26"/>
                <w:szCs w:val="26"/>
              </w:rPr>
            </w:pPr>
            <w:r w:rsidRPr="00226737">
              <w:rPr>
                <w:rFonts w:ascii="Times New Roman" w:hAnsi="Times New Roman"/>
                <w:sz w:val="26"/>
                <w:szCs w:val="26"/>
              </w:rPr>
              <w:t>Task</w:t>
            </w:r>
          </w:p>
        </w:tc>
        <w:tc>
          <w:tcPr>
            <w:tcW w:w="1417" w:type="dxa"/>
          </w:tcPr>
          <w:p w14:paraId="640D8937" w14:textId="77777777" w:rsidR="004A0708" w:rsidRDefault="004A0708" w:rsidP="004A0708">
            <w:pPr>
              <w:spacing w:after="120"/>
              <w:jc w:val="center"/>
              <w:rPr>
                <w:b/>
              </w:rPr>
            </w:pPr>
            <w:r>
              <w:rPr>
                <w:b/>
              </w:rPr>
              <w:t>Reference in Standard</w:t>
            </w:r>
          </w:p>
        </w:tc>
        <w:tc>
          <w:tcPr>
            <w:tcW w:w="1802" w:type="dxa"/>
          </w:tcPr>
          <w:p w14:paraId="7655F937" w14:textId="77777777" w:rsidR="004A0708" w:rsidRDefault="004A0708" w:rsidP="004A0708">
            <w:pPr>
              <w:spacing w:after="120"/>
              <w:jc w:val="center"/>
              <w:rPr>
                <w:b/>
              </w:rPr>
            </w:pPr>
            <w:r>
              <w:rPr>
                <w:b/>
              </w:rPr>
              <w:t>Insurance Act section</w:t>
            </w:r>
          </w:p>
        </w:tc>
      </w:tr>
      <w:tr w:rsidR="004A0708" w14:paraId="7001C748" w14:textId="77777777" w:rsidTr="004A0708">
        <w:tc>
          <w:tcPr>
            <w:tcW w:w="959" w:type="dxa"/>
          </w:tcPr>
          <w:p w14:paraId="4032BC65" w14:textId="77777777" w:rsidR="004A0708" w:rsidRDefault="004A0708" w:rsidP="004A0708">
            <w:pPr>
              <w:spacing w:after="120"/>
              <w:jc w:val="center"/>
            </w:pPr>
            <w:r>
              <w:t>1</w:t>
            </w:r>
          </w:p>
        </w:tc>
        <w:tc>
          <w:tcPr>
            <w:tcW w:w="4678" w:type="dxa"/>
          </w:tcPr>
          <w:p w14:paraId="7572386B" w14:textId="77777777" w:rsidR="004A0708" w:rsidRDefault="004A0708" w:rsidP="004A0708">
            <w:pPr>
              <w:spacing w:after="120"/>
            </w:pPr>
            <w:r>
              <w:t>Copy of scheme and any actuarial reports to APRA</w:t>
            </w:r>
          </w:p>
          <w:p w14:paraId="39EB56E2" w14:textId="77777777" w:rsidR="004A0708" w:rsidRDefault="004A0708" w:rsidP="004A0708">
            <w:pPr>
              <w:pStyle w:val="DefinitionTerm"/>
              <w:spacing w:after="120"/>
              <w:rPr>
                <w:snapToGrid/>
                <w:lang w:val="en-US"/>
              </w:rPr>
            </w:pPr>
            <w:r>
              <w:rPr>
                <w:snapToGrid/>
                <w:lang w:val="en-US"/>
              </w:rPr>
              <w:t>(Note: at this point APRA can arrange for an independent actuarial review of the scheme under section 17D of the Act)</w:t>
            </w:r>
          </w:p>
        </w:tc>
        <w:tc>
          <w:tcPr>
            <w:tcW w:w="1417" w:type="dxa"/>
          </w:tcPr>
          <w:p w14:paraId="1470F93E" w14:textId="77777777" w:rsidR="004A0708" w:rsidRDefault="004A0708" w:rsidP="004A0708">
            <w:pPr>
              <w:spacing w:after="120"/>
              <w:jc w:val="center"/>
            </w:pPr>
            <w:r>
              <w:t>Para 4-6</w:t>
            </w:r>
          </w:p>
        </w:tc>
        <w:tc>
          <w:tcPr>
            <w:tcW w:w="1802" w:type="dxa"/>
          </w:tcPr>
          <w:p w14:paraId="4D166A88" w14:textId="77777777" w:rsidR="004A0708" w:rsidRDefault="004A0708" w:rsidP="004A0708">
            <w:pPr>
              <w:spacing w:after="120"/>
              <w:jc w:val="center"/>
            </w:pPr>
            <w:r>
              <w:t>17C(2)(a)</w:t>
            </w:r>
          </w:p>
        </w:tc>
      </w:tr>
      <w:tr w:rsidR="004A0708" w14:paraId="07539B61" w14:textId="77777777" w:rsidTr="004A0708">
        <w:tc>
          <w:tcPr>
            <w:tcW w:w="959" w:type="dxa"/>
          </w:tcPr>
          <w:p w14:paraId="0F471A3B" w14:textId="77777777" w:rsidR="004A0708" w:rsidRDefault="004A0708" w:rsidP="004A0708">
            <w:pPr>
              <w:spacing w:after="120"/>
              <w:jc w:val="center"/>
            </w:pPr>
            <w:r>
              <w:t>2</w:t>
            </w:r>
          </w:p>
        </w:tc>
        <w:tc>
          <w:tcPr>
            <w:tcW w:w="4678" w:type="dxa"/>
          </w:tcPr>
          <w:p w14:paraId="35C613B0" w14:textId="77777777" w:rsidR="004A0708" w:rsidRDefault="004A0708" w:rsidP="004A0708">
            <w:pPr>
              <w:spacing w:after="120"/>
            </w:pPr>
            <w:r>
              <w:t>Seek APRA’s approval of:</w:t>
            </w:r>
          </w:p>
          <w:p w14:paraId="0AEE2101" w14:textId="77777777" w:rsidR="004A0708" w:rsidRDefault="004A0708" w:rsidP="004A0708">
            <w:pPr>
              <w:pStyle w:val="DefinitionTerm"/>
              <w:numPr>
                <w:ilvl w:val="0"/>
                <w:numId w:val="32"/>
              </w:numPr>
              <w:spacing w:after="120"/>
              <w:rPr>
                <w:snapToGrid/>
                <w:lang w:val="en-US"/>
              </w:rPr>
            </w:pPr>
            <w:r>
              <w:rPr>
                <w:snapToGrid/>
                <w:lang w:val="en-US"/>
              </w:rPr>
              <w:t>notice of intention</w:t>
            </w:r>
          </w:p>
          <w:p w14:paraId="6C74E393" w14:textId="77777777" w:rsidR="004A0708" w:rsidRDefault="004A0708" w:rsidP="004A0708">
            <w:pPr>
              <w:numPr>
                <w:ilvl w:val="0"/>
                <w:numId w:val="33"/>
              </w:numPr>
              <w:spacing w:after="120"/>
            </w:pPr>
            <w:r>
              <w:t>approved summary</w:t>
            </w:r>
          </w:p>
        </w:tc>
        <w:tc>
          <w:tcPr>
            <w:tcW w:w="1417" w:type="dxa"/>
          </w:tcPr>
          <w:p w14:paraId="5B4B71CA" w14:textId="77777777" w:rsidR="004A0708" w:rsidRDefault="004A0708" w:rsidP="004A0708">
            <w:pPr>
              <w:spacing w:after="120"/>
              <w:jc w:val="center"/>
            </w:pPr>
          </w:p>
          <w:p w14:paraId="78594818" w14:textId="77777777" w:rsidR="004A0708" w:rsidRDefault="004A0708" w:rsidP="004A0708">
            <w:pPr>
              <w:spacing w:after="120"/>
              <w:jc w:val="center"/>
            </w:pPr>
            <w:r>
              <w:t>Para 7-11</w:t>
            </w:r>
          </w:p>
          <w:p w14:paraId="142FA846" w14:textId="77777777" w:rsidR="004A0708" w:rsidRDefault="004A0708" w:rsidP="004A0708">
            <w:pPr>
              <w:spacing w:after="120"/>
              <w:jc w:val="center"/>
            </w:pPr>
            <w:r>
              <w:t>Para 12-15</w:t>
            </w:r>
          </w:p>
        </w:tc>
        <w:tc>
          <w:tcPr>
            <w:tcW w:w="1802" w:type="dxa"/>
          </w:tcPr>
          <w:p w14:paraId="03573A1C" w14:textId="77777777" w:rsidR="004A0708" w:rsidRDefault="004A0708" w:rsidP="004A0708">
            <w:pPr>
              <w:spacing w:after="120"/>
              <w:jc w:val="center"/>
            </w:pPr>
          </w:p>
          <w:p w14:paraId="445CEBE2" w14:textId="77777777" w:rsidR="004A0708" w:rsidRDefault="004A0708" w:rsidP="004A0708">
            <w:pPr>
              <w:spacing w:after="120"/>
              <w:jc w:val="center"/>
            </w:pPr>
            <w:r>
              <w:t>17C(2)(b)</w:t>
            </w:r>
          </w:p>
          <w:p w14:paraId="3BD22148" w14:textId="77777777" w:rsidR="004A0708" w:rsidRDefault="004A0708" w:rsidP="004A0708">
            <w:pPr>
              <w:spacing w:after="120"/>
              <w:jc w:val="center"/>
            </w:pPr>
            <w:r>
              <w:t>17C(2)(c)</w:t>
            </w:r>
          </w:p>
        </w:tc>
      </w:tr>
      <w:tr w:rsidR="004A0708" w14:paraId="595B7188" w14:textId="77777777" w:rsidTr="004A0708">
        <w:tc>
          <w:tcPr>
            <w:tcW w:w="959" w:type="dxa"/>
          </w:tcPr>
          <w:p w14:paraId="2D7C9202" w14:textId="77777777" w:rsidR="004A0708" w:rsidRDefault="004A0708" w:rsidP="004A0708">
            <w:pPr>
              <w:spacing w:after="120"/>
              <w:jc w:val="center"/>
            </w:pPr>
            <w:r>
              <w:t>3</w:t>
            </w:r>
          </w:p>
        </w:tc>
        <w:tc>
          <w:tcPr>
            <w:tcW w:w="4678" w:type="dxa"/>
          </w:tcPr>
          <w:p w14:paraId="1EFA324B" w14:textId="77777777" w:rsidR="004A0708" w:rsidRDefault="004A0708" w:rsidP="004A0708">
            <w:pPr>
              <w:numPr>
                <w:ilvl w:val="0"/>
                <w:numId w:val="34"/>
              </w:numPr>
              <w:spacing w:after="120"/>
            </w:pPr>
            <w:r>
              <w:t>notice of intention published</w:t>
            </w:r>
          </w:p>
          <w:p w14:paraId="7F68195F" w14:textId="77777777" w:rsidR="004A0708" w:rsidRDefault="004A0708" w:rsidP="004A0708">
            <w:pPr>
              <w:numPr>
                <w:ilvl w:val="0"/>
                <w:numId w:val="35"/>
              </w:numPr>
              <w:spacing w:after="120"/>
            </w:pPr>
            <w:r>
              <w:t>approved summary to policyholders</w:t>
            </w:r>
          </w:p>
          <w:p w14:paraId="57A23F35" w14:textId="77777777" w:rsidR="004A0708" w:rsidRDefault="004A0708" w:rsidP="004A0708">
            <w:pPr>
              <w:spacing w:after="120"/>
            </w:pPr>
            <w:r>
              <w:t>(Note: these can be done simultaneously)</w:t>
            </w:r>
          </w:p>
        </w:tc>
        <w:tc>
          <w:tcPr>
            <w:tcW w:w="1417" w:type="dxa"/>
          </w:tcPr>
          <w:p w14:paraId="065FAB1A" w14:textId="77777777" w:rsidR="004A0708" w:rsidRDefault="004A0708" w:rsidP="004A0708">
            <w:pPr>
              <w:spacing w:after="120"/>
              <w:jc w:val="center"/>
            </w:pPr>
            <w:r>
              <w:t>Para 7-11</w:t>
            </w:r>
          </w:p>
          <w:p w14:paraId="1F33A591" w14:textId="77777777" w:rsidR="004A0708" w:rsidRDefault="004A0708" w:rsidP="004A0708">
            <w:pPr>
              <w:spacing w:after="120"/>
              <w:jc w:val="center"/>
            </w:pPr>
            <w:r>
              <w:t>Para 12-15</w:t>
            </w:r>
          </w:p>
        </w:tc>
        <w:tc>
          <w:tcPr>
            <w:tcW w:w="1802" w:type="dxa"/>
          </w:tcPr>
          <w:p w14:paraId="1B636A18" w14:textId="77777777" w:rsidR="004A0708" w:rsidRDefault="004A0708" w:rsidP="004A0708">
            <w:pPr>
              <w:spacing w:after="120"/>
              <w:jc w:val="center"/>
            </w:pPr>
            <w:r>
              <w:t>17C(2)(b)</w:t>
            </w:r>
          </w:p>
          <w:p w14:paraId="4FE9D9F5" w14:textId="77777777" w:rsidR="004A0708" w:rsidRDefault="004A0708" w:rsidP="004A0708">
            <w:pPr>
              <w:spacing w:after="120"/>
              <w:jc w:val="center"/>
            </w:pPr>
            <w:r>
              <w:t>17C(2)(c)</w:t>
            </w:r>
          </w:p>
        </w:tc>
      </w:tr>
      <w:tr w:rsidR="004A0708" w14:paraId="64E4A360" w14:textId="77777777" w:rsidTr="004A0708">
        <w:tc>
          <w:tcPr>
            <w:tcW w:w="959" w:type="dxa"/>
          </w:tcPr>
          <w:p w14:paraId="241F4CF8" w14:textId="77777777" w:rsidR="004A0708" w:rsidRDefault="004A0708" w:rsidP="004A0708">
            <w:pPr>
              <w:spacing w:after="120"/>
              <w:jc w:val="center"/>
            </w:pPr>
            <w:r>
              <w:t>4</w:t>
            </w:r>
          </w:p>
        </w:tc>
        <w:tc>
          <w:tcPr>
            <w:tcW w:w="4678" w:type="dxa"/>
          </w:tcPr>
          <w:p w14:paraId="5FD88269" w14:textId="77777777" w:rsidR="004A0708" w:rsidRDefault="004A0708" w:rsidP="004A0708">
            <w:pPr>
              <w:spacing w:after="120"/>
            </w:pPr>
            <w:r>
              <w:t>Make scheme available for public inspection</w:t>
            </w:r>
          </w:p>
        </w:tc>
        <w:tc>
          <w:tcPr>
            <w:tcW w:w="1417" w:type="dxa"/>
          </w:tcPr>
          <w:p w14:paraId="100FD874" w14:textId="77777777" w:rsidR="004A0708" w:rsidRDefault="004A0708" w:rsidP="004A0708">
            <w:pPr>
              <w:spacing w:after="120"/>
              <w:jc w:val="center"/>
            </w:pPr>
            <w:r>
              <w:t>Para 16</w:t>
            </w:r>
          </w:p>
        </w:tc>
        <w:tc>
          <w:tcPr>
            <w:tcW w:w="1802" w:type="dxa"/>
          </w:tcPr>
          <w:p w14:paraId="4AEF999B" w14:textId="77777777" w:rsidR="004A0708" w:rsidRDefault="004A0708" w:rsidP="004A0708">
            <w:pPr>
              <w:spacing w:after="120"/>
              <w:jc w:val="center"/>
            </w:pPr>
            <w:r>
              <w:t>17C(3), 17E(2)</w:t>
            </w:r>
          </w:p>
        </w:tc>
      </w:tr>
      <w:tr w:rsidR="004A0708" w14:paraId="08565564" w14:textId="77777777" w:rsidTr="004A0708">
        <w:tc>
          <w:tcPr>
            <w:tcW w:w="959" w:type="dxa"/>
          </w:tcPr>
          <w:p w14:paraId="325C9270" w14:textId="77777777" w:rsidR="004A0708" w:rsidRDefault="004A0708" w:rsidP="004A0708">
            <w:pPr>
              <w:spacing w:after="120"/>
              <w:jc w:val="center"/>
            </w:pPr>
            <w:r>
              <w:t>5</w:t>
            </w:r>
          </w:p>
        </w:tc>
        <w:tc>
          <w:tcPr>
            <w:tcW w:w="4678" w:type="dxa"/>
          </w:tcPr>
          <w:p w14:paraId="246A9021" w14:textId="77777777" w:rsidR="004A0708" w:rsidRDefault="004A0708" w:rsidP="004A0708">
            <w:pPr>
              <w:spacing w:after="120"/>
            </w:pPr>
            <w:r>
              <w:t>Make application to Court</w:t>
            </w:r>
          </w:p>
        </w:tc>
        <w:tc>
          <w:tcPr>
            <w:tcW w:w="1417" w:type="dxa"/>
          </w:tcPr>
          <w:p w14:paraId="272819BB" w14:textId="77777777" w:rsidR="004A0708" w:rsidRDefault="004A0708" w:rsidP="004A0708">
            <w:pPr>
              <w:spacing w:after="120"/>
              <w:jc w:val="center"/>
            </w:pPr>
            <w:r>
              <w:t>Para 17</w:t>
            </w:r>
          </w:p>
        </w:tc>
        <w:tc>
          <w:tcPr>
            <w:tcW w:w="1802" w:type="dxa"/>
          </w:tcPr>
          <w:p w14:paraId="486FE94F" w14:textId="77777777" w:rsidR="004A0708" w:rsidRDefault="004A0708" w:rsidP="004A0708">
            <w:pPr>
              <w:spacing w:after="120"/>
              <w:jc w:val="center"/>
            </w:pPr>
            <w:r>
              <w:t>17E</w:t>
            </w:r>
          </w:p>
        </w:tc>
      </w:tr>
      <w:tr w:rsidR="004A0708" w14:paraId="076061D8" w14:textId="77777777" w:rsidTr="004A0708">
        <w:tc>
          <w:tcPr>
            <w:tcW w:w="959" w:type="dxa"/>
          </w:tcPr>
          <w:p w14:paraId="7316A10F" w14:textId="77777777" w:rsidR="004A0708" w:rsidRDefault="004A0708" w:rsidP="004A0708">
            <w:pPr>
              <w:spacing w:after="120"/>
              <w:jc w:val="center"/>
            </w:pPr>
            <w:r>
              <w:t>6</w:t>
            </w:r>
          </w:p>
        </w:tc>
        <w:tc>
          <w:tcPr>
            <w:tcW w:w="4678" w:type="dxa"/>
          </w:tcPr>
          <w:p w14:paraId="462DC472" w14:textId="77777777" w:rsidR="004A0708" w:rsidRDefault="004A0708" w:rsidP="004A0708">
            <w:pPr>
              <w:spacing w:after="120"/>
            </w:pPr>
            <w:r>
              <w:t>Court can confirm scheme</w:t>
            </w:r>
          </w:p>
        </w:tc>
        <w:tc>
          <w:tcPr>
            <w:tcW w:w="1417" w:type="dxa"/>
          </w:tcPr>
          <w:p w14:paraId="64D616F7" w14:textId="77777777" w:rsidR="004A0708" w:rsidRDefault="004A0708" w:rsidP="004A0708">
            <w:pPr>
              <w:spacing w:after="120"/>
              <w:jc w:val="center"/>
            </w:pPr>
            <w:r>
              <w:t>N/A</w:t>
            </w:r>
          </w:p>
        </w:tc>
        <w:tc>
          <w:tcPr>
            <w:tcW w:w="1802" w:type="dxa"/>
          </w:tcPr>
          <w:p w14:paraId="043BDB80" w14:textId="77777777" w:rsidR="004A0708" w:rsidRDefault="004A0708" w:rsidP="004A0708">
            <w:pPr>
              <w:spacing w:after="120"/>
              <w:jc w:val="center"/>
            </w:pPr>
            <w:r>
              <w:t>17F</w:t>
            </w:r>
          </w:p>
        </w:tc>
      </w:tr>
      <w:tr w:rsidR="004A0708" w14:paraId="27DD1918" w14:textId="77777777" w:rsidTr="004A0708">
        <w:tc>
          <w:tcPr>
            <w:tcW w:w="959" w:type="dxa"/>
          </w:tcPr>
          <w:p w14:paraId="1796529E" w14:textId="77777777" w:rsidR="004A0708" w:rsidRDefault="004A0708" w:rsidP="004A0708">
            <w:pPr>
              <w:spacing w:after="120"/>
              <w:jc w:val="center"/>
            </w:pPr>
            <w:r>
              <w:lastRenderedPageBreak/>
              <w:t>7</w:t>
            </w:r>
          </w:p>
        </w:tc>
        <w:tc>
          <w:tcPr>
            <w:tcW w:w="4678" w:type="dxa"/>
          </w:tcPr>
          <w:p w14:paraId="7CEC453F" w14:textId="77777777" w:rsidR="004A0708" w:rsidRDefault="004A0708" w:rsidP="004A0708">
            <w:pPr>
              <w:spacing w:after="120"/>
            </w:pPr>
            <w:r>
              <w:t>If scheme confirmed, documents to be provided to APRA by the transferee</w:t>
            </w:r>
          </w:p>
        </w:tc>
        <w:tc>
          <w:tcPr>
            <w:tcW w:w="1417" w:type="dxa"/>
          </w:tcPr>
          <w:p w14:paraId="0F297787" w14:textId="77777777" w:rsidR="004A0708" w:rsidRDefault="004A0708" w:rsidP="004A0708">
            <w:pPr>
              <w:spacing w:after="120"/>
              <w:jc w:val="center"/>
            </w:pPr>
            <w:r>
              <w:t>Para 18-20</w:t>
            </w:r>
          </w:p>
        </w:tc>
        <w:tc>
          <w:tcPr>
            <w:tcW w:w="1802" w:type="dxa"/>
          </w:tcPr>
          <w:p w14:paraId="44DB306A" w14:textId="77777777" w:rsidR="004A0708" w:rsidRDefault="004A0708" w:rsidP="004A0708">
            <w:pPr>
              <w:spacing w:after="120"/>
              <w:jc w:val="center"/>
            </w:pPr>
            <w:r>
              <w:t>17I</w:t>
            </w:r>
          </w:p>
        </w:tc>
      </w:tr>
    </w:tbl>
    <w:p w14:paraId="6818653D" w14:textId="77777777" w:rsidR="004A0708" w:rsidRDefault="004A0708" w:rsidP="004A0708">
      <w:pPr>
        <w:spacing w:after="120"/>
      </w:pPr>
    </w:p>
    <w:p w14:paraId="0AF0C5DB" w14:textId="77777777" w:rsidR="004A0708" w:rsidRDefault="004A0708" w:rsidP="004A0708">
      <w:pPr>
        <w:pStyle w:val="BodyText"/>
        <w:numPr>
          <w:ilvl w:val="0"/>
          <w:numId w:val="0"/>
        </w:numPr>
        <w:spacing w:before="0" w:after="240" w:line="240" w:lineRule="auto"/>
      </w:pPr>
    </w:p>
    <w:p w14:paraId="51E31D3A" w14:textId="77777777" w:rsidR="004A0708" w:rsidRDefault="004A0708" w:rsidP="004A0708"/>
    <w:p w14:paraId="0B4B788A" w14:textId="77777777" w:rsidR="001F6B8D" w:rsidRPr="007D2D7F" w:rsidRDefault="001F6B8D" w:rsidP="001F6B8D"/>
    <w:sectPr w:rsidR="001F6B8D" w:rsidRPr="007D2D7F" w:rsidSect="005E7EEC">
      <w:footerReference w:type="default" r:id="rId15"/>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F278F" w14:textId="77777777" w:rsidR="003D5678" w:rsidRDefault="003D5678" w:rsidP="006A6A52">
      <w:pPr>
        <w:spacing w:after="0"/>
      </w:pPr>
      <w:r>
        <w:separator/>
      </w:r>
    </w:p>
  </w:endnote>
  <w:endnote w:type="continuationSeparator" w:id="0">
    <w:p w14:paraId="1D881653" w14:textId="77777777" w:rsidR="003D5678" w:rsidRDefault="003D5678" w:rsidP="006A6A52">
      <w:pPr>
        <w:spacing w:after="0"/>
      </w:pPr>
      <w:r>
        <w:continuationSeparator/>
      </w:r>
    </w:p>
  </w:endnote>
  <w:endnote w:type="continuationNotice" w:id="1">
    <w:p w14:paraId="40FA4A60" w14:textId="77777777" w:rsidR="003D5678" w:rsidRDefault="003D56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1A2F5" w14:textId="77777777" w:rsidR="003D5678" w:rsidRPr="00842FBD" w:rsidRDefault="00C128A9" w:rsidP="00842FBD">
    <w:pPr>
      <w:pStyle w:val="Footer"/>
    </w:pPr>
    <w:r>
      <w:fldChar w:fldCharType="begin"/>
    </w:r>
    <w:r>
      <w:instrText xml:space="preserve"> STYLEREF  "PS No. field text"  \* MERGEFORMAT </w:instrText>
    </w:r>
    <w:r>
      <w:fldChar w:fldCharType="separate"/>
    </w:r>
    <w:r>
      <w:rPr>
        <w:noProof/>
      </w:rPr>
      <w:t>GPS 410</w:t>
    </w:r>
    <w:r>
      <w:rPr>
        <w:noProof/>
      </w:rPr>
      <w:fldChar w:fldCharType="end"/>
    </w:r>
    <w:r w:rsidR="003D5678">
      <w:t xml:space="preserve"> – </w:t>
    </w:r>
    <w:r w:rsidR="003D5678" w:rsidRPr="00842FBD">
      <w:fldChar w:fldCharType="begin"/>
    </w:r>
    <w:r w:rsidR="003D5678" w:rsidRPr="00842FBD">
      <w:instrText xml:space="preserve"> PAGE </w:instrText>
    </w:r>
    <w:r w:rsidR="003D5678" w:rsidRPr="00842FBD">
      <w:fldChar w:fldCharType="separate"/>
    </w:r>
    <w:r>
      <w:rPr>
        <w:noProof/>
      </w:rPr>
      <w:t>3</w:t>
    </w:r>
    <w:r w:rsidR="003D5678" w:rsidRPr="00842FB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201F9" w14:textId="77777777" w:rsidR="003D5678" w:rsidRDefault="003D5678" w:rsidP="006A6A52">
      <w:pPr>
        <w:spacing w:after="0"/>
      </w:pPr>
      <w:r>
        <w:separator/>
      </w:r>
    </w:p>
  </w:footnote>
  <w:footnote w:type="continuationSeparator" w:id="0">
    <w:p w14:paraId="573CDA9B" w14:textId="77777777" w:rsidR="003D5678" w:rsidRDefault="003D5678" w:rsidP="006A6A52">
      <w:pPr>
        <w:spacing w:after="0"/>
      </w:pPr>
      <w:r>
        <w:continuationSeparator/>
      </w:r>
    </w:p>
  </w:footnote>
  <w:footnote w:type="continuationNotice" w:id="1">
    <w:p w14:paraId="665FF4A3" w14:textId="77777777" w:rsidR="003D5678" w:rsidRDefault="003D5678">
      <w:pPr>
        <w:spacing w:after="0"/>
      </w:pPr>
    </w:p>
  </w:footnote>
  <w:footnote w:id="2">
    <w:p w14:paraId="10E51C87" w14:textId="77777777" w:rsidR="003D5678" w:rsidRDefault="003D5678" w:rsidP="004A0708">
      <w:pPr>
        <w:pStyle w:val="FootnoteText"/>
        <w:rPr>
          <w:sz w:val="22"/>
        </w:rPr>
      </w:pPr>
      <w:r>
        <w:rPr>
          <w:rStyle w:val="FootnoteReference"/>
          <w:sz w:val="22"/>
        </w:rPr>
        <w:footnoteRef/>
      </w:r>
      <w:r>
        <w:rPr>
          <w:sz w:val="22"/>
        </w:rPr>
        <w:t xml:space="preserve"> </w:t>
      </w:r>
      <w:r>
        <w:rPr>
          <w:sz w:val="22"/>
        </w:rPr>
        <w:tab/>
        <w:t>Refer subsections 17(1) and 17(2) of the Act.</w:t>
      </w:r>
    </w:p>
  </w:footnote>
  <w:footnote w:id="3">
    <w:p w14:paraId="40843472" w14:textId="77777777" w:rsidR="003D5678" w:rsidRDefault="003D5678" w:rsidP="004A0708">
      <w:pPr>
        <w:pStyle w:val="FootnoteText"/>
        <w:rPr>
          <w:sz w:val="22"/>
        </w:rPr>
      </w:pPr>
      <w:r>
        <w:rPr>
          <w:rStyle w:val="FootnoteReference"/>
          <w:sz w:val="22"/>
        </w:rPr>
        <w:footnoteRef/>
      </w:r>
      <w:r>
        <w:rPr>
          <w:sz w:val="22"/>
        </w:rPr>
        <w:t xml:space="preserve"> </w:t>
      </w:r>
      <w:r>
        <w:rPr>
          <w:sz w:val="22"/>
        </w:rPr>
        <w:tab/>
        <w:t>The matters in paragraphs 4 to 6 are specified for the purposes of paragraph 17C(2)(a) of the Act.</w:t>
      </w:r>
    </w:p>
  </w:footnote>
  <w:footnote w:id="4">
    <w:p w14:paraId="2ADCC53E" w14:textId="77777777" w:rsidR="003D5678" w:rsidRDefault="003D5678" w:rsidP="004A0708">
      <w:pPr>
        <w:pStyle w:val="FootnoteText"/>
        <w:rPr>
          <w:sz w:val="22"/>
        </w:rPr>
      </w:pPr>
      <w:r>
        <w:rPr>
          <w:rStyle w:val="FootnoteReference"/>
          <w:sz w:val="22"/>
        </w:rPr>
        <w:footnoteRef/>
      </w:r>
      <w:r>
        <w:rPr>
          <w:sz w:val="22"/>
        </w:rPr>
        <w:t xml:space="preserve"> </w:t>
      </w:r>
      <w:r>
        <w:rPr>
          <w:sz w:val="22"/>
        </w:rPr>
        <w:tab/>
        <w:t>Refer paragraph 17C(2)(a) of the Act.</w:t>
      </w:r>
    </w:p>
  </w:footnote>
  <w:footnote w:id="5">
    <w:p w14:paraId="7287AE77" w14:textId="77777777" w:rsidR="003D5678" w:rsidRDefault="003D5678" w:rsidP="004A0708">
      <w:pPr>
        <w:pStyle w:val="FootnoteText"/>
        <w:rPr>
          <w:sz w:val="22"/>
        </w:rPr>
      </w:pPr>
      <w:r>
        <w:rPr>
          <w:rStyle w:val="FootnoteReference"/>
          <w:sz w:val="22"/>
        </w:rPr>
        <w:footnoteRef/>
      </w:r>
      <w:r>
        <w:rPr>
          <w:sz w:val="22"/>
        </w:rPr>
        <w:t xml:space="preserve"> </w:t>
      </w:r>
      <w:r>
        <w:rPr>
          <w:sz w:val="22"/>
        </w:rPr>
        <w:tab/>
        <w:t>Under paragraph 17C(2)(b) of the Act.</w:t>
      </w:r>
    </w:p>
  </w:footnote>
  <w:footnote w:id="6">
    <w:p w14:paraId="5A3D0E5B" w14:textId="77777777" w:rsidR="003D5678" w:rsidRDefault="003D5678" w:rsidP="004A0708">
      <w:pPr>
        <w:pStyle w:val="FootnoteText"/>
        <w:rPr>
          <w:sz w:val="22"/>
        </w:rPr>
      </w:pPr>
      <w:r>
        <w:rPr>
          <w:rStyle w:val="FootnoteReference"/>
          <w:sz w:val="22"/>
        </w:rPr>
        <w:footnoteRef/>
      </w:r>
      <w:r>
        <w:rPr>
          <w:sz w:val="22"/>
        </w:rPr>
        <w:t xml:space="preserve"> </w:t>
      </w:r>
      <w:r>
        <w:rPr>
          <w:sz w:val="22"/>
        </w:rPr>
        <w:tab/>
        <w:t>Under paragraph 17C(2)(c) of the Act.</w:t>
      </w:r>
    </w:p>
  </w:footnote>
  <w:footnote w:id="7">
    <w:p w14:paraId="735C8E19" w14:textId="77777777" w:rsidR="003D5678" w:rsidRDefault="003D5678" w:rsidP="004A0708">
      <w:pPr>
        <w:pStyle w:val="FootnoteText"/>
        <w:rPr>
          <w:sz w:val="22"/>
        </w:rPr>
      </w:pPr>
      <w:r>
        <w:rPr>
          <w:rStyle w:val="FootnoteReference"/>
          <w:sz w:val="22"/>
        </w:rPr>
        <w:footnoteRef/>
      </w:r>
      <w:r>
        <w:rPr>
          <w:sz w:val="22"/>
        </w:rPr>
        <w:t xml:space="preserve"> </w:t>
      </w:r>
      <w:r>
        <w:rPr>
          <w:sz w:val="22"/>
        </w:rPr>
        <w:tab/>
        <w:t>The matters in paragraphs 7 to 11 are specified for the purposes of paragraph 17C(2)(b) of the Act.</w:t>
      </w:r>
    </w:p>
  </w:footnote>
  <w:footnote w:id="8">
    <w:p w14:paraId="40C45B81" w14:textId="77777777" w:rsidR="003D5678" w:rsidRDefault="003D5678" w:rsidP="004A0708">
      <w:pPr>
        <w:pStyle w:val="FootnoteText"/>
        <w:rPr>
          <w:sz w:val="22"/>
        </w:rPr>
      </w:pPr>
      <w:r>
        <w:rPr>
          <w:rStyle w:val="FootnoteReference"/>
          <w:sz w:val="22"/>
        </w:rPr>
        <w:footnoteRef/>
      </w:r>
      <w:r>
        <w:rPr>
          <w:sz w:val="22"/>
        </w:rPr>
        <w:t xml:space="preserve"> </w:t>
      </w:r>
      <w:r>
        <w:rPr>
          <w:sz w:val="22"/>
        </w:rPr>
        <w:tab/>
        <w:t>The requirement for an approved summary is contained in paragraph 17C(2)(c) of the Act.</w:t>
      </w:r>
    </w:p>
  </w:footnote>
  <w:footnote w:id="9">
    <w:p w14:paraId="47F7389B" w14:textId="77777777" w:rsidR="003D5678" w:rsidRDefault="003D5678" w:rsidP="004A0708">
      <w:pPr>
        <w:pStyle w:val="FootnoteText"/>
        <w:rPr>
          <w:sz w:val="22"/>
        </w:rPr>
      </w:pPr>
      <w:r>
        <w:rPr>
          <w:rStyle w:val="FootnoteReference"/>
          <w:sz w:val="22"/>
        </w:rPr>
        <w:footnoteRef/>
      </w:r>
      <w:r>
        <w:rPr>
          <w:sz w:val="22"/>
        </w:rPr>
        <w:t xml:space="preserve"> </w:t>
      </w:r>
      <w:r>
        <w:rPr>
          <w:sz w:val="22"/>
        </w:rPr>
        <w:tab/>
        <w:t>Paragraphs 12 to 15 specify matters for the purposes of paragraph 17(2)(c) of the Act.</w:t>
      </w:r>
    </w:p>
  </w:footnote>
  <w:footnote w:id="10">
    <w:p w14:paraId="72437CDB" w14:textId="77777777" w:rsidR="003D5678" w:rsidRDefault="003D5678" w:rsidP="004A0708">
      <w:pPr>
        <w:pStyle w:val="FootnoteText"/>
        <w:rPr>
          <w:sz w:val="22"/>
        </w:rPr>
      </w:pPr>
      <w:r>
        <w:rPr>
          <w:rStyle w:val="FootnoteReference"/>
          <w:sz w:val="22"/>
        </w:rPr>
        <w:footnoteRef/>
      </w:r>
      <w:r>
        <w:rPr>
          <w:sz w:val="22"/>
        </w:rPr>
        <w:t xml:space="preserve"> </w:t>
      </w:r>
      <w:r>
        <w:rPr>
          <w:sz w:val="22"/>
        </w:rPr>
        <w:tab/>
        <w:t>Paragraph 16 specifies matters for the purposes of subsections 17C(3) and 17E(2) of the Act.</w:t>
      </w:r>
    </w:p>
  </w:footnote>
  <w:footnote w:id="11">
    <w:p w14:paraId="2219C2A4" w14:textId="77777777" w:rsidR="003D5678" w:rsidRDefault="003D5678" w:rsidP="004A0708">
      <w:pPr>
        <w:pStyle w:val="FootnoteText"/>
        <w:rPr>
          <w:sz w:val="22"/>
        </w:rPr>
      </w:pPr>
      <w:r>
        <w:rPr>
          <w:rStyle w:val="FootnoteReference"/>
          <w:sz w:val="22"/>
        </w:rPr>
        <w:footnoteRef/>
      </w:r>
      <w:r>
        <w:rPr>
          <w:sz w:val="22"/>
        </w:rPr>
        <w:t xml:space="preserve"> </w:t>
      </w:r>
      <w:r>
        <w:rPr>
          <w:sz w:val="22"/>
        </w:rPr>
        <w:tab/>
        <w:t>Paragraph 17 specifies matters for the purposes of subsection 17E(2) of the Act.</w:t>
      </w:r>
    </w:p>
  </w:footnote>
  <w:footnote w:id="12">
    <w:p w14:paraId="514CC267" w14:textId="77777777" w:rsidR="003D5678" w:rsidRDefault="003D5678" w:rsidP="004A0708">
      <w:pPr>
        <w:pStyle w:val="FootnoteText"/>
        <w:rPr>
          <w:sz w:val="22"/>
        </w:rPr>
      </w:pPr>
      <w:r>
        <w:rPr>
          <w:rStyle w:val="FootnoteReference"/>
          <w:sz w:val="22"/>
        </w:rPr>
        <w:footnoteRef/>
      </w:r>
      <w:r>
        <w:rPr>
          <w:sz w:val="22"/>
        </w:rPr>
        <w:t xml:space="preserve"> </w:t>
      </w:r>
      <w:r>
        <w:rPr>
          <w:sz w:val="22"/>
        </w:rPr>
        <w:tab/>
        <w:t>The Court may do so under subsection 17C(5) of the Act.</w:t>
      </w:r>
    </w:p>
  </w:footnote>
  <w:footnote w:id="13">
    <w:p w14:paraId="08CAC56F" w14:textId="77777777" w:rsidR="003D5678" w:rsidRDefault="003D5678" w:rsidP="004A0708">
      <w:pPr>
        <w:pStyle w:val="FootnoteText"/>
        <w:rPr>
          <w:sz w:val="22"/>
        </w:rPr>
      </w:pPr>
      <w:r>
        <w:rPr>
          <w:rStyle w:val="FootnoteReference"/>
          <w:sz w:val="22"/>
        </w:rPr>
        <w:footnoteRef/>
      </w:r>
      <w:r>
        <w:rPr>
          <w:sz w:val="22"/>
        </w:rPr>
        <w:t xml:space="preserve"> </w:t>
      </w:r>
      <w:r>
        <w:rPr>
          <w:sz w:val="22"/>
        </w:rPr>
        <w:tab/>
        <w:t>Paragraphs 18 to 20 specify matters for the purposes of section 17I of the Act.</w:t>
      </w:r>
    </w:p>
  </w:footnote>
  <w:footnote w:id="14">
    <w:p w14:paraId="6604E8E5" w14:textId="77777777" w:rsidR="003D5678" w:rsidRDefault="003D5678" w:rsidP="004A0708">
      <w:pPr>
        <w:pStyle w:val="FootnoteText"/>
      </w:pPr>
      <w:r>
        <w:rPr>
          <w:rStyle w:val="FootnoteReference"/>
        </w:rPr>
        <w:footnoteRef/>
      </w:r>
      <w:r>
        <w:t xml:space="preserve"> </w:t>
      </w:r>
      <w:r>
        <w:tab/>
        <w:t>Refer section 17I(2) of the Act.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D954EC2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2CAEEC"/>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D554AE4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4826C46"/>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4274E45"/>
    <w:multiLevelType w:val="singleLevel"/>
    <w:tmpl w:val="F914005A"/>
    <w:lvl w:ilvl="0">
      <w:numFmt w:val="bullet"/>
      <w:lvlText w:val="-"/>
      <w:lvlJc w:val="left"/>
      <w:pPr>
        <w:tabs>
          <w:tab w:val="num" w:pos="2203"/>
        </w:tabs>
        <w:ind w:left="2203" w:hanging="360"/>
      </w:pPr>
      <w:rPr>
        <w:rFonts w:hint="default"/>
      </w:rPr>
    </w:lvl>
  </w:abstractNum>
  <w:abstractNum w:abstractNumId="7"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F05564"/>
    <w:multiLevelType w:val="singleLevel"/>
    <w:tmpl w:val="8D72F080"/>
    <w:lvl w:ilvl="0">
      <w:start w:val="1"/>
      <w:numFmt w:val="lowerLetter"/>
      <w:lvlText w:val="(%1)"/>
      <w:lvlJc w:val="left"/>
      <w:pPr>
        <w:tabs>
          <w:tab w:val="num" w:pos="1134"/>
        </w:tabs>
        <w:ind w:left="1134" w:hanging="567"/>
      </w:pPr>
      <w:rPr>
        <w:rFonts w:ascii="Times New Roman" w:hAnsi="Times New Roman" w:hint="default"/>
        <w:b w:val="0"/>
        <w:i w:val="0"/>
        <w:sz w:val="26"/>
      </w:rPr>
    </w:lvl>
  </w:abstractNum>
  <w:abstractNum w:abstractNumId="9" w15:restartNumberingAfterBreak="0">
    <w:nsid w:val="16463545"/>
    <w:multiLevelType w:val="multilevel"/>
    <w:tmpl w:val="130E79A2"/>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7BB074E"/>
    <w:multiLevelType w:val="singleLevel"/>
    <w:tmpl w:val="65502FFC"/>
    <w:lvl w:ilvl="0">
      <w:start w:val="1"/>
      <w:numFmt w:val="bullet"/>
      <w:lvlText w:val=""/>
      <w:lvlJc w:val="left"/>
      <w:pPr>
        <w:tabs>
          <w:tab w:val="num" w:pos="360"/>
        </w:tabs>
        <w:ind w:left="360" w:hanging="360"/>
      </w:pPr>
      <w:rPr>
        <w:rFonts w:ascii="Symbol" w:hAnsi="Symbol" w:hint="default"/>
        <w:b w:val="0"/>
        <w:i w:val="0"/>
        <w:sz w:val="20"/>
      </w:rPr>
    </w:lvl>
  </w:abstractNum>
  <w:abstractNum w:abstractNumId="11"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3CFF3C9C"/>
    <w:multiLevelType w:val="singleLevel"/>
    <w:tmpl w:val="65502FFC"/>
    <w:lvl w:ilvl="0">
      <w:start w:val="1"/>
      <w:numFmt w:val="bullet"/>
      <w:lvlText w:val=""/>
      <w:lvlJc w:val="left"/>
      <w:pPr>
        <w:tabs>
          <w:tab w:val="num" w:pos="360"/>
        </w:tabs>
        <w:ind w:left="360" w:hanging="360"/>
      </w:pPr>
      <w:rPr>
        <w:rFonts w:ascii="Symbol" w:hAnsi="Symbol" w:hint="default"/>
        <w:b w:val="0"/>
        <w:i w:val="0"/>
        <w:sz w:val="20"/>
      </w:rPr>
    </w:lvl>
  </w:abstractNum>
  <w:abstractNum w:abstractNumId="14"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5"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16"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7"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8"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4FC129C"/>
    <w:multiLevelType w:val="hybridMultilevel"/>
    <w:tmpl w:val="16EA59EE"/>
    <w:lvl w:ilvl="0" w:tplc="7D6650F8">
      <w:start w:val="1"/>
      <w:numFmt w:val="decimal"/>
      <w:lvlText w:val="%1."/>
      <w:lvlJc w:val="left"/>
      <w:pPr>
        <w:tabs>
          <w:tab w:val="num" w:pos="562"/>
        </w:tabs>
        <w:ind w:left="562" w:hanging="562"/>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57E35B7D"/>
    <w:multiLevelType w:val="singleLevel"/>
    <w:tmpl w:val="846EEF88"/>
    <w:lvl w:ilvl="0">
      <w:start w:val="1"/>
      <w:numFmt w:val="decimal"/>
      <w:pStyle w:val="BodyText"/>
      <w:lvlText w:val="%1."/>
      <w:lvlJc w:val="left"/>
      <w:pPr>
        <w:tabs>
          <w:tab w:val="num" w:pos="562"/>
        </w:tabs>
        <w:ind w:left="562" w:hanging="562"/>
      </w:pPr>
    </w:lvl>
  </w:abstractNum>
  <w:abstractNum w:abstractNumId="22" w15:restartNumberingAfterBreak="0">
    <w:nsid w:val="5A7343F3"/>
    <w:multiLevelType w:val="singleLevel"/>
    <w:tmpl w:val="65502FFC"/>
    <w:lvl w:ilvl="0">
      <w:start w:val="1"/>
      <w:numFmt w:val="bullet"/>
      <w:lvlText w:val=""/>
      <w:lvlJc w:val="left"/>
      <w:pPr>
        <w:tabs>
          <w:tab w:val="num" w:pos="360"/>
        </w:tabs>
        <w:ind w:left="360" w:hanging="360"/>
      </w:pPr>
      <w:rPr>
        <w:rFonts w:ascii="Symbol" w:hAnsi="Symbol" w:hint="default"/>
        <w:b w:val="0"/>
        <w:i w:val="0"/>
        <w:sz w:val="20"/>
      </w:rPr>
    </w:lvl>
  </w:abstractNum>
  <w:abstractNum w:abstractNumId="23"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4" w15:restartNumberingAfterBreak="0">
    <w:nsid w:val="65C21588"/>
    <w:multiLevelType w:val="singleLevel"/>
    <w:tmpl w:val="4F223D3A"/>
    <w:lvl w:ilvl="0">
      <w:start w:val="1"/>
      <w:numFmt w:val="lowerLetter"/>
      <w:pStyle w:val="bullet"/>
      <w:lvlText w:val="(%1)"/>
      <w:lvlJc w:val="left"/>
      <w:pPr>
        <w:tabs>
          <w:tab w:val="num" w:pos="1134"/>
        </w:tabs>
        <w:ind w:left="1134" w:hanging="567"/>
      </w:pPr>
      <w:rPr>
        <w:rFonts w:hint="default"/>
      </w:rPr>
    </w:lvl>
  </w:abstractNum>
  <w:abstractNum w:abstractNumId="25" w15:restartNumberingAfterBreak="0">
    <w:nsid w:val="6B363FFA"/>
    <w:multiLevelType w:val="singleLevel"/>
    <w:tmpl w:val="0D90AEB4"/>
    <w:lvl w:ilvl="0">
      <w:start w:val="1"/>
      <w:numFmt w:val="lowerRoman"/>
      <w:lvlText w:val="(%1)"/>
      <w:lvlJc w:val="left"/>
      <w:pPr>
        <w:tabs>
          <w:tab w:val="num" w:pos="1800"/>
        </w:tabs>
        <w:ind w:left="1800" w:hanging="720"/>
      </w:pPr>
      <w:rPr>
        <w:rFonts w:hint="default"/>
      </w:rPr>
    </w:lvl>
  </w:abstractNum>
  <w:abstractNum w:abstractNumId="26"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7" w15:restartNumberingAfterBreak="0">
    <w:nsid w:val="6FC528E7"/>
    <w:multiLevelType w:val="singleLevel"/>
    <w:tmpl w:val="0D90AEB4"/>
    <w:lvl w:ilvl="0">
      <w:start w:val="1"/>
      <w:numFmt w:val="lowerRoman"/>
      <w:lvlText w:val="(%1)"/>
      <w:lvlJc w:val="left"/>
      <w:pPr>
        <w:tabs>
          <w:tab w:val="num" w:pos="1800"/>
        </w:tabs>
        <w:ind w:left="1800" w:hanging="720"/>
      </w:pPr>
      <w:rPr>
        <w:rFonts w:hint="default"/>
      </w:rPr>
    </w:lvl>
  </w:abstractNum>
  <w:abstractNum w:abstractNumId="28"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927661"/>
    <w:multiLevelType w:val="singleLevel"/>
    <w:tmpl w:val="65502FFC"/>
    <w:lvl w:ilvl="0">
      <w:start w:val="1"/>
      <w:numFmt w:val="bullet"/>
      <w:lvlText w:val=""/>
      <w:lvlJc w:val="left"/>
      <w:pPr>
        <w:tabs>
          <w:tab w:val="num" w:pos="360"/>
        </w:tabs>
        <w:ind w:left="360" w:hanging="360"/>
      </w:pPr>
      <w:rPr>
        <w:rFonts w:ascii="Symbol" w:hAnsi="Symbol" w:hint="default"/>
        <w:b w:val="0"/>
        <w:i w:val="0"/>
        <w:sz w:val="20"/>
      </w:rPr>
    </w:lvl>
  </w:abstractNum>
  <w:abstractNum w:abstractNumId="30"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7"/>
  </w:num>
  <w:num w:numId="3">
    <w:abstractNumId w:val="5"/>
  </w:num>
  <w:num w:numId="4">
    <w:abstractNumId w:val="12"/>
  </w:num>
  <w:num w:numId="5">
    <w:abstractNumId w:val="30"/>
  </w:num>
  <w:num w:numId="6">
    <w:abstractNumId w:val="11"/>
  </w:num>
  <w:num w:numId="7">
    <w:abstractNumId w:val="28"/>
  </w:num>
  <w:num w:numId="8">
    <w:abstractNumId w:val="23"/>
  </w:num>
  <w:num w:numId="9">
    <w:abstractNumId w:val="26"/>
  </w:num>
  <w:num w:numId="10">
    <w:abstractNumId w:val="19"/>
  </w:num>
  <w:num w:numId="11">
    <w:abstractNumId w:val="4"/>
  </w:num>
  <w:num w:numId="12">
    <w:abstractNumId w:val="0"/>
  </w:num>
  <w:num w:numId="13">
    <w:abstractNumId w:val="3"/>
  </w:num>
  <w:num w:numId="14">
    <w:abstractNumId w:val="1"/>
  </w:num>
  <w:num w:numId="15">
    <w:abstractNumId w:val="18"/>
  </w:num>
  <w:num w:numId="16">
    <w:abstractNumId w:val="7"/>
  </w:num>
  <w:num w:numId="17">
    <w:abstractNumId w:val="16"/>
  </w:num>
  <w:num w:numId="18">
    <w:abstractNumId w:val="15"/>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7"/>
  </w:num>
  <w:num w:numId="24">
    <w:abstractNumId w:val="25"/>
  </w:num>
  <w:num w:numId="25">
    <w:abstractNumId w:val="6"/>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8"/>
    <w:lvlOverride w:ilvl="0">
      <w:startOverride w:val="1"/>
    </w:lvlOverride>
  </w:num>
  <w:num w:numId="30">
    <w:abstractNumId w:val="8"/>
    <w:lvlOverride w:ilvl="0">
      <w:startOverride w:val="1"/>
    </w:lvlOverride>
  </w:num>
  <w:num w:numId="31">
    <w:abstractNumId w:val="8"/>
    <w:lvlOverride w:ilvl="0">
      <w:startOverride w:val="1"/>
    </w:lvlOverride>
  </w:num>
  <w:num w:numId="32">
    <w:abstractNumId w:val="10"/>
  </w:num>
  <w:num w:numId="33">
    <w:abstractNumId w:val="29"/>
  </w:num>
  <w:num w:numId="34">
    <w:abstractNumId w:val="13"/>
  </w:num>
  <w:num w:numId="35">
    <w:abstractNumId w:val="22"/>
  </w:num>
  <w:num w:numId="36">
    <w:abstractNumId w:val="20"/>
  </w:num>
  <w:num w:numId="37">
    <w:abstractNumId w:val="24"/>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DFA"/>
    <w:rsid w:val="0000183A"/>
    <w:rsid w:val="00001D43"/>
    <w:rsid w:val="000518B9"/>
    <w:rsid w:val="0006337F"/>
    <w:rsid w:val="00087D3E"/>
    <w:rsid w:val="000C57C5"/>
    <w:rsid w:val="000D63A8"/>
    <w:rsid w:val="000D7A9C"/>
    <w:rsid w:val="000F4246"/>
    <w:rsid w:val="00110917"/>
    <w:rsid w:val="00110A0F"/>
    <w:rsid w:val="00117843"/>
    <w:rsid w:val="0013237B"/>
    <w:rsid w:val="00141CA6"/>
    <w:rsid w:val="00173A04"/>
    <w:rsid w:val="00182FA1"/>
    <w:rsid w:val="001C297B"/>
    <w:rsid w:val="001C755C"/>
    <w:rsid w:val="001E7EA9"/>
    <w:rsid w:val="001F6B8D"/>
    <w:rsid w:val="002500F9"/>
    <w:rsid w:val="002666D0"/>
    <w:rsid w:val="00281C32"/>
    <w:rsid w:val="0029455F"/>
    <w:rsid w:val="002A07F8"/>
    <w:rsid w:val="002F6A32"/>
    <w:rsid w:val="00320D0F"/>
    <w:rsid w:val="0037343B"/>
    <w:rsid w:val="0038413F"/>
    <w:rsid w:val="00391AD7"/>
    <w:rsid w:val="003936EA"/>
    <w:rsid w:val="003B52EB"/>
    <w:rsid w:val="003C46D7"/>
    <w:rsid w:val="003D5032"/>
    <w:rsid w:val="003D5678"/>
    <w:rsid w:val="004323FD"/>
    <w:rsid w:val="00453E3A"/>
    <w:rsid w:val="004560E3"/>
    <w:rsid w:val="00461F95"/>
    <w:rsid w:val="004776D4"/>
    <w:rsid w:val="0048511B"/>
    <w:rsid w:val="004A0708"/>
    <w:rsid w:val="004A593E"/>
    <w:rsid w:val="004C3D07"/>
    <w:rsid w:val="004D37CE"/>
    <w:rsid w:val="004D52E4"/>
    <w:rsid w:val="004E502C"/>
    <w:rsid w:val="004E72B3"/>
    <w:rsid w:val="004F2AC1"/>
    <w:rsid w:val="005050E8"/>
    <w:rsid w:val="00506079"/>
    <w:rsid w:val="00516410"/>
    <w:rsid w:val="0052112D"/>
    <w:rsid w:val="00521673"/>
    <w:rsid w:val="00534FFE"/>
    <w:rsid w:val="00544072"/>
    <w:rsid w:val="00551C22"/>
    <w:rsid w:val="00576882"/>
    <w:rsid w:val="005A75C6"/>
    <w:rsid w:val="005B6DC2"/>
    <w:rsid w:val="005E1E75"/>
    <w:rsid w:val="005E5663"/>
    <w:rsid w:val="005E5910"/>
    <w:rsid w:val="005E7EEC"/>
    <w:rsid w:val="005F6F74"/>
    <w:rsid w:val="00622480"/>
    <w:rsid w:val="00647D58"/>
    <w:rsid w:val="00656D42"/>
    <w:rsid w:val="00684F73"/>
    <w:rsid w:val="00696E43"/>
    <w:rsid w:val="006A6A52"/>
    <w:rsid w:val="006B4C94"/>
    <w:rsid w:val="006C06E6"/>
    <w:rsid w:val="006E5DD8"/>
    <w:rsid w:val="007031F4"/>
    <w:rsid w:val="00715ED9"/>
    <w:rsid w:val="00725AA6"/>
    <w:rsid w:val="00745B81"/>
    <w:rsid w:val="00776D66"/>
    <w:rsid w:val="00777ACD"/>
    <w:rsid w:val="00787FA9"/>
    <w:rsid w:val="007A2B5C"/>
    <w:rsid w:val="007A33E6"/>
    <w:rsid w:val="007A53AC"/>
    <w:rsid w:val="007D2D7F"/>
    <w:rsid w:val="00842FBD"/>
    <w:rsid w:val="0086194F"/>
    <w:rsid w:val="00867092"/>
    <w:rsid w:val="00887222"/>
    <w:rsid w:val="008C3D9F"/>
    <w:rsid w:val="008D76C5"/>
    <w:rsid w:val="009101E1"/>
    <w:rsid w:val="009559D7"/>
    <w:rsid w:val="00971180"/>
    <w:rsid w:val="009727F9"/>
    <w:rsid w:val="009871FB"/>
    <w:rsid w:val="009A1F58"/>
    <w:rsid w:val="009B0A33"/>
    <w:rsid w:val="009B28A5"/>
    <w:rsid w:val="009B502B"/>
    <w:rsid w:val="009B6212"/>
    <w:rsid w:val="009C5368"/>
    <w:rsid w:val="009C62A9"/>
    <w:rsid w:val="009C77A0"/>
    <w:rsid w:val="009D467A"/>
    <w:rsid w:val="009E29DE"/>
    <w:rsid w:val="009E76B1"/>
    <w:rsid w:val="009F7699"/>
    <w:rsid w:val="00A23DD8"/>
    <w:rsid w:val="00A50372"/>
    <w:rsid w:val="00A5159D"/>
    <w:rsid w:val="00A63A2B"/>
    <w:rsid w:val="00A97802"/>
    <w:rsid w:val="00AA44FF"/>
    <w:rsid w:val="00AC2517"/>
    <w:rsid w:val="00AC3B8E"/>
    <w:rsid w:val="00AE1650"/>
    <w:rsid w:val="00AE5DFA"/>
    <w:rsid w:val="00B04B20"/>
    <w:rsid w:val="00B47BD7"/>
    <w:rsid w:val="00B6068B"/>
    <w:rsid w:val="00B766FA"/>
    <w:rsid w:val="00B872F5"/>
    <w:rsid w:val="00BA18CD"/>
    <w:rsid w:val="00BA4C45"/>
    <w:rsid w:val="00BA6D10"/>
    <w:rsid w:val="00BC2D08"/>
    <w:rsid w:val="00BE59F9"/>
    <w:rsid w:val="00BF6CDF"/>
    <w:rsid w:val="00C0120F"/>
    <w:rsid w:val="00C128A9"/>
    <w:rsid w:val="00C14367"/>
    <w:rsid w:val="00C2076D"/>
    <w:rsid w:val="00C21A2A"/>
    <w:rsid w:val="00C302FA"/>
    <w:rsid w:val="00C5686C"/>
    <w:rsid w:val="00C6788C"/>
    <w:rsid w:val="00C67A76"/>
    <w:rsid w:val="00C716C7"/>
    <w:rsid w:val="00C74819"/>
    <w:rsid w:val="00C86748"/>
    <w:rsid w:val="00CA6032"/>
    <w:rsid w:val="00CA6CB3"/>
    <w:rsid w:val="00CB7762"/>
    <w:rsid w:val="00CF65DD"/>
    <w:rsid w:val="00D01427"/>
    <w:rsid w:val="00D124EA"/>
    <w:rsid w:val="00D22147"/>
    <w:rsid w:val="00D3278A"/>
    <w:rsid w:val="00D47051"/>
    <w:rsid w:val="00D62709"/>
    <w:rsid w:val="00D62EFA"/>
    <w:rsid w:val="00D64906"/>
    <w:rsid w:val="00D651BC"/>
    <w:rsid w:val="00D857C7"/>
    <w:rsid w:val="00DA3651"/>
    <w:rsid w:val="00DC52E3"/>
    <w:rsid w:val="00DD1BB1"/>
    <w:rsid w:val="00DE3174"/>
    <w:rsid w:val="00DF539C"/>
    <w:rsid w:val="00E05BC3"/>
    <w:rsid w:val="00E07F40"/>
    <w:rsid w:val="00E15497"/>
    <w:rsid w:val="00E16DD9"/>
    <w:rsid w:val="00E201A8"/>
    <w:rsid w:val="00E700C2"/>
    <w:rsid w:val="00E83A76"/>
    <w:rsid w:val="00E8616E"/>
    <w:rsid w:val="00E90C89"/>
    <w:rsid w:val="00E96B6D"/>
    <w:rsid w:val="00EA5A95"/>
    <w:rsid w:val="00EC5653"/>
    <w:rsid w:val="00EE6B51"/>
    <w:rsid w:val="00F16D46"/>
    <w:rsid w:val="00F6431E"/>
    <w:rsid w:val="00F7706D"/>
    <w:rsid w:val="00F81DDA"/>
    <w:rsid w:val="00F86281"/>
    <w:rsid w:val="00F94F82"/>
    <w:rsid w:val="00FA5345"/>
    <w:rsid w:val="00FF0F1C"/>
    <w:rsid w:val="00FF51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D15AF58"/>
  <w15:docId w15:val="{EB034F40-37BF-4D89-8347-B5B31231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5"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1" w:unhideWhenUsed="1"/>
    <w:lsdException w:name="index heading" w:semiHidden="1" w:unhideWhenUsed="1"/>
    <w:lsdException w:name="caption" w:semiHidden="1" w:unhideWhenUsed="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9"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uiPriority="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A76"/>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56D42"/>
    <w:pPr>
      <w:numPr>
        <w:ilvl w:val="1"/>
        <w:numId w:val="19"/>
      </w:numPr>
    </w:pPr>
  </w:style>
  <w:style w:type="character" w:customStyle="1" w:styleId="BodyText2Char">
    <w:name w:val="Body Text 2 Char"/>
    <w:basedOn w:val="DefaultParagraphFont"/>
    <w:link w:val="BodyText2"/>
    <w:rsid w:val="00656D42"/>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1"/>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1"/>
    <w:rsid w:val="00E83A76"/>
    <w:rPr>
      <w:b/>
    </w:rPr>
  </w:style>
  <w:style w:type="paragraph" w:styleId="FootnoteText">
    <w:name w:val="footnote text"/>
    <w:basedOn w:val="Normal"/>
    <w:link w:val="FootnoteTextChar"/>
    <w:uiPriority w:val="99"/>
    <w:semiHidden/>
    <w:rsid w:val="00E83A76"/>
    <w:pPr>
      <w:spacing w:after="0"/>
      <w:ind w:left="567" w:hanging="567"/>
      <w:jc w:val="both"/>
    </w:pPr>
    <w:rPr>
      <w:sz w:val="20"/>
    </w:rPr>
  </w:style>
  <w:style w:type="character" w:customStyle="1" w:styleId="FootnoteTextChar">
    <w:name w:val="Footnote Text Char"/>
    <w:basedOn w:val="DefaultParagraphFont"/>
    <w:link w:val="FootnoteText"/>
    <w:uiPriority w:val="99"/>
    <w:semiHidden/>
    <w:rsid w:val="00E83A76"/>
    <w:rPr>
      <w:sz w:val="20"/>
    </w:rPr>
  </w:style>
  <w:style w:type="character" w:styleId="FootnoteReference">
    <w:name w:val="footnote reference"/>
    <w:basedOn w:val="DefaultParagraphFont"/>
    <w:uiPriority w:val="99"/>
    <w:semiHidden/>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semiHidden/>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semiHidden/>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19"/>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19"/>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qFormat/>
    <w:rsid w:val="00C67A76"/>
    <w:pPr>
      <w:spacing w:before="120"/>
    </w:pPr>
    <w:rPr>
      <w:rFonts w:asciiTheme="majorHAnsi" w:hAnsiTheme="majorHAnsi"/>
      <w:b/>
      <w:sz w:val="40"/>
    </w:rPr>
  </w:style>
  <w:style w:type="character" w:customStyle="1" w:styleId="TitleChar">
    <w:name w:val="Title Char"/>
    <w:basedOn w:val="DefaultParagraphFont"/>
    <w:link w:val="Title"/>
    <w:uiPriority w:val="1"/>
    <w:rsid w:val="00C67A76"/>
    <w:rPr>
      <w:rFonts w:asciiTheme="majorHAnsi" w:hAnsiTheme="majorHAnsi"/>
      <w:b/>
      <w:sz w:val="40"/>
    </w:rPr>
  </w:style>
  <w:style w:type="paragraph" w:styleId="TOC1">
    <w:name w:val="toc 1"/>
    <w:basedOn w:val="Normal"/>
    <w:next w:val="Normal"/>
    <w:autoRedefine/>
    <w:uiPriority w:val="39"/>
    <w:semiHidden/>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semiHidden/>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19"/>
      </w:numPr>
    </w:pPr>
  </w:style>
  <w:style w:type="character" w:styleId="CommentReference">
    <w:name w:val="annotation reference"/>
    <w:semiHidden/>
    <w:rsid w:val="00AE5DFA"/>
    <w:rPr>
      <w:sz w:val="16"/>
      <w:szCs w:val="16"/>
    </w:rPr>
  </w:style>
  <w:style w:type="paragraph" w:styleId="CommentText">
    <w:name w:val="annotation text"/>
    <w:basedOn w:val="Normal"/>
    <w:link w:val="CommentTextChar"/>
    <w:semiHidden/>
    <w:rsid w:val="00AE5DFA"/>
    <w:pPr>
      <w:spacing w:after="0"/>
    </w:pPr>
    <w:rPr>
      <w:rFonts w:eastAsia="Times New Roman"/>
      <w:sz w:val="20"/>
      <w:szCs w:val="20"/>
    </w:rPr>
  </w:style>
  <w:style w:type="character" w:customStyle="1" w:styleId="CommentTextChar">
    <w:name w:val="Comment Text Char"/>
    <w:basedOn w:val="DefaultParagraphFont"/>
    <w:link w:val="CommentText"/>
    <w:semiHidden/>
    <w:rsid w:val="00AE5DFA"/>
    <w:rPr>
      <w:rFonts w:eastAsia="Times New Roman"/>
      <w:sz w:val="20"/>
      <w:szCs w:val="20"/>
    </w:rPr>
  </w:style>
  <w:style w:type="paragraph" w:customStyle="1" w:styleId="ActTitle">
    <w:name w:val="Act Title"/>
    <w:basedOn w:val="Normal"/>
    <w:next w:val="IntroTo"/>
    <w:rsid w:val="00AE5DFA"/>
    <w:pPr>
      <w:pBdr>
        <w:bottom w:val="single" w:sz="4" w:space="3" w:color="auto"/>
      </w:pBdr>
      <w:spacing w:before="480"/>
    </w:pPr>
    <w:rPr>
      <w:rFonts w:ascii="Arial" w:eastAsia="Times New Roman" w:hAnsi="Arial"/>
      <w:i/>
      <w:iCs/>
      <w:sz w:val="28"/>
      <w:szCs w:val="20"/>
    </w:rPr>
  </w:style>
  <w:style w:type="paragraph" w:customStyle="1" w:styleId="IntroTo">
    <w:name w:val="IntroTo:"/>
    <w:basedOn w:val="Normal"/>
    <w:rsid w:val="00AE5DFA"/>
    <w:pPr>
      <w:spacing w:after="0"/>
      <w:ind w:left="720" w:hanging="720"/>
    </w:pPr>
    <w:rPr>
      <w:rFonts w:eastAsia="Times New Roman"/>
      <w:szCs w:val="20"/>
      <w:lang w:eastAsia="en-US"/>
    </w:rPr>
  </w:style>
  <w:style w:type="paragraph" w:customStyle="1" w:styleId="IH">
    <w:name w:val="IH"/>
    <w:aliases w:val="Interpretation heading"/>
    <w:basedOn w:val="Normal"/>
    <w:next w:val="Normal"/>
    <w:rsid w:val="00AE5DFA"/>
    <w:pPr>
      <w:keepNext/>
      <w:spacing w:before="480" w:after="0"/>
      <w:ind w:left="964" w:hanging="964"/>
    </w:pPr>
    <w:rPr>
      <w:rFonts w:ascii="Arial" w:eastAsia="Times New Roman" w:hAnsi="Arial"/>
      <w:b/>
      <w:lang w:eastAsia="en-US"/>
    </w:rPr>
  </w:style>
  <w:style w:type="paragraph" w:customStyle="1" w:styleId="IP">
    <w:name w:val="IP"/>
    <w:aliases w:val="Interpretation paragraph"/>
    <w:basedOn w:val="Normal"/>
    <w:next w:val="Normal"/>
    <w:rsid w:val="00AE5DFA"/>
    <w:pPr>
      <w:keepNext/>
      <w:tabs>
        <w:tab w:val="right" w:pos="794"/>
      </w:tabs>
      <w:spacing w:before="120" w:after="0" w:line="260" w:lineRule="exact"/>
      <w:ind w:left="964" w:hanging="964"/>
      <w:jc w:val="both"/>
    </w:pPr>
    <w:rPr>
      <w:rFonts w:eastAsia="Times New Roman"/>
      <w:lang w:eastAsia="en-US"/>
    </w:rPr>
  </w:style>
  <w:style w:type="paragraph" w:customStyle="1" w:styleId="AS">
    <w:name w:val="AS"/>
    <w:aliases w:val="Schedule title Amendment"/>
    <w:basedOn w:val="Normal"/>
    <w:next w:val="ASref"/>
    <w:rsid w:val="00AE5DFA"/>
    <w:pPr>
      <w:keepNext/>
      <w:autoSpaceDE w:val="0"/>
      <w:autoSpaceDN w:val="0"/>
      <w:spacing w:before="480" w:after="0"/>
      <w:ind w:left="2410" w:hanging="2410"/>
    </w:pPr>
    <w:rPr>
      <w:rFonts w:ascii="Arial" w:eastAsia="Times New Roman" w:hAnsi="Arial" w:cs="Arial"/>
      <w:b/>
      <w:bCs/>
      <w:sz w:val="32"/>
      <w:szCs w:val="32"/>
    </w:rPr>
  </w:style>
  <w:style w:type="paragraph" w:customStyle="1" w:styleId="ASref">
    <w:name w:val="AS ref"/>
    <w:basedOn w:val="Normal"/>
    <w:next w:val="Normal"/>
    <w:rsid w:val="00AE5DFA"/>
    <w:pPr>
      <w:keepNext/>
      <w:autoSpaceDE w:val="0"/>
      <w:autoSpaceDN w:val="0"/>
      <w:spacing w:before="60" w:after="0" w:line="200" w:lineRule="exact"/>
      <w:ind w:left="2410"/>
    </w:pPr>
    <w:rPr>
      <w:rFonts w:ascii="Arial" w:eastAsia="Times New Roman" w:hAnsi="Arial" w:cs="Arial"/>
      <w:sz w:val="18"/>
      <w:szCs w:val="18"/>
    </w:rPr>
  </w:style>
  <w:style w:type="character" w:customStyle="1" w:styleId="CharSchNo">
    <w:name w:val="CharSchNo"/>
    <w:basedOn w:val="DefaultParagraphFont"/>
    <w:rsid w:val="00AE5DFA"/>
  </w:style>
  <w:style w:type="character" w:customStyle="1" w:styleId="CharSchText">
    <w:name w:val="CharSchText"/>
    <w:basedOn w:val="DefaultParagraphFont"/>
    <w:rsid w:val="00AE5DFA"/>
  </w:style>
  <w:style w:type="paragraph" w:customStyle="1" w:styleId="DefinitionTerm">
    <w:name w:val="Definition Term"/>
    <w:basedOn w:val="Normal"/>
    <w:next w:val="Normal"/>
    <w:rsid w:val="004A0708"/>
    <w:pPr>
      <w:spacing w:after="0"/>
    </w:pPr>
    <w:rPr>
      <w:rFonts w:eastAsia="Times New Roman"/>
      <w:snapToGrid w:val="0"/>
      <w:szCs w:val="20"/>
      <w:lang w:eastAsia="en-US"/>
    </w:rPr>
  </w:style>
  <w:style w:type="paragraph" w:styleId="BodyText">
    <w:name w:val="Body Text"/>
    <w:basedOn w:val="Normal"/>
    <w:link w:val="BodyTextChar"/>
    <w:rsid w:val="004A0708"/>
    <w:pPr>
      <w:numPr>
        <w:numId w:val="38"/>
      </w:numPr>
      <w:spacing w:before="260" w:after="260" w:line="360" w:lineRule="auto"/>
    </w:pPr>
    <w:rPr>
      <w:rFonts w:eastAsia="Times New Roman"/>
      <w:sz w:val="28"/>
      <w:szCs w:val="20"/>
      <w:lang w:val="en-US"/>
    </w:rPr>
  </w:style>
  <w:style w:type="character" w:customStyle="1" w:styleId="BodyTextChar">
    <w:name w:val="Body Text Char"/>
    <w:basedOn w:val="DefaultParagraphFont"/>
    <w:link w:val="BodyText"/>
    <w:rsid w:val="004A0708"/>
    <w:rPr>
      <w:rFonts w:eastAsia="Times New Roman"/>
      <w:sz w:val="28"/>
      <w:szCs w:val="20"/>
      <w:lang w:val="en-US"/>
    </w:rPr>
  </w:style>
  <w:style w:type="paragraph" w:customStyle="1" w:styleId="bullet">
    <w:name w:val="bullet"/>
    <w:basedOn w:val="Normal"/>
    <w:rsid w:val="004A0708"/>
    <w:pPr>
      <w:numPr>
        <w:numId w:val="37"/>
      </w:numPr>
      <w:spacing w:after="0"/>
    </w:pPr>
    <w:rPr>
      <w:rFonts w:eastAsia="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m/sites/contenttypes/APRATemplates/Prudential%20Standard.dotx" TargetMode="Externa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m2df5fdf6d1643b4a596982762bb3d00 xmlns="814d62cb-2db6-4c25-ab62-b9075facbc11">
      <Terms xmlns="http://schemas.microsoft.com/office/infopath/2007/PartnerControls"/>
    </m2df5fdf6d1643b4a596982762bb3d0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2018-04-12T14:00:00+00:00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109</Value>
      <Value>142</Value>
      <Value>26</Value>
      <Value>24</Value>
      <Value>134</Value>
      <Value>58</Value>
      <Value>19</Value>
      <Value>93</Value>
      <Value>171</Value>
      <Value>10</Value>
      <Value>158</Value>
      <Value>83</Value>
      <Value>4</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f284b4f8578a44cfae4f67a86df81119 xmlns="814d62cb-2db6-4c25-ab62-b9075facbc11">
      <Terms xmlns="http://schemas.microsoft.com/office/infopath/2007/PartnerControls"/>
    </f284b4f8578a44cfae4f67a86df81119>
    <l003ee8eff60461aa1bd0027aba92ea4 xmlns="814d62cb-2db6-4c25-ab62-b9075facbc11">
      <Terms xmlns="http://schemas.microsoft.com/office/infopath/2007/PartnerControls"/>
    </l003ee8eff60461aa1bd0027aba92ea4>
    <APRADescription xmlns="814d62cb-2db6-4c25-ab62-b9075facbc11">GPS 410 Transfer and Amalgamation of Insurance Business for General Insurers</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337d548e-be9a-4363-bbb3-ec2b7c3daa90</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5JENXJJSCC7A-445999044-7961</_dlc_DocId>
    <_dlc_DocIdUrl xmlns="814d62cb-2db6-4c25-ab62-b9075facbc11">
      <Url>https://im/teams/LEGAL/_layouts/15/DocIdRedir.aspx?ID=5JENXJJSCC7A-445999044-7961</Url>
      <Description>5JENXJJSCC7A-445999044-7961</Description>
    </_dlc_DocIdUrl>
    <APRAMeetingDate xmlns="814d62cb-2db6-4c25-ab62-b9075facbc11" xsi:nil="true"/>
    <APRAMeetingNumber xmlns="814d62cb-2db6-4c25-ab62-b9075facbc1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1" ma:contentTypeDescription="Create a new document." ma:contentTypeScope="" ma:versionID="593a7336944447a431342e13939a075b">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DD59C-6A2A-4939-9493-8490C42A3001}">
  <ds:schemaRefs>
    <ds:schemaRef ds:uri="http://schemas.microsoft.com/sharepoint/events"/>
  </ds:schemaRefs>
</ds:datastoreItem>
</file>

<file path=customXml/itemProps2.xml><?xml version="1.0" encoding="utf-8"?>
<ds:datastoreItem xmlns:ds="http://schemas.openxmlformats.org/officeDocument/2006/customXml" ds:itemID="{015EC228-8403-457B-B38E-0AB34224B059}">
  <ds:schemaRefs>
    <ds:schemaRef ds:uri="Microsoft.SharePoint.Taxonomy.ContentTypeSync"/>
  </ds:schemaRefs>
</ds:datastoreItem>
</file>

<file path=customXml/itemProps3.xml><?xml version="1.0" encoding="utf-8"?>
<ds:datastoreItem xmlns:ds="http://schemas.openxmlformats.org/officeDocument/2006/customXml" ds:itemID="{B690898D-D98F-4D0B-A88C-C0BF835A1045}">
  <ds:schemaRefs>
    <ds:schemaRef ds:uri="http://schemas.microsoft.com/sharepoint/v3/contenttype/forms"/>
  </ds:schemaRefs>
</ds:datastoreItem>
</file>

<file path=customXml/itemProps4.xml><?xml version="1.0" encoding="utf-8"?>
<ds:datastoreItem xmlns:ds="http://schemas.openxmlformats.org/officeDocument/2006/customXml" ds:itemID="{834FACA5-FF25-44EB-9F22-13BC540CEFF1}">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 ds:uri="http://schemas.openxmlformats.org/package/2006/metadata/core-properties"/>
    <ds:schemaRef ds:uri="814d62cb-2db6-4c25-ab62-b9075facbc11"/>
    <ds:schemaRef ds:uri="http://purl.org/dc/terms/"/>
  </ds:schemaRefs>
</ds:datastoreItem>
</file>

<file path=customXml/itemProps5.xml><?xml version="1.0" encoding="utf-8"?>
<ds:datastoreItem xmlns:ds="http://schemas.openxmlformats.org/officeDocument/2006/customXml" ds:itemID="{8B3EB9F9-F0E9-4161-ACD1-13A79EE30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4D0B63B-20EA-43CB-B293-F54A41BF1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Prudential%20Standard.dotx</Template>
  <TotalTime>0</TotalTime>
  <Pages>8</Pages>
  <Words>1736</Words>
  <Characters>8877</Characters>
  <Application>Microsoft Office Word</Application>
  <DocSecurity>0</DocSecurity>
  <Lines>239</Lines>
  <Paragraphs>151</Paragraphs>
  <ScaleCrop>false</ScaleCrop>
  <HeadingPairs>
    <vt:vector size="2" baseType="variant">
      <vt:variant>
        <vt:lpstr>Title</vt:lpstr>
      </vt:variant>
      <vt:variant>
        <vt:i4>1</vt:i4>
      </vt:variant>
    </vt:vector>
  </HeadingPairs>
  <TitlesOfParts>
    <vt:vector size="1" baseType="lpstr">
      <vt:lpstr>GPS 410 Determination and Standard</vt:lpstr>
    </vt:vector>
  </TitlesOfParts>
  <Company>APRA</Company>
  <LinksUpToDate>false</LinksUpToDate>
  <CharactersWithSpaces>10462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Insurance (prudential standard) determination No. 1 of 2018</dc:title>
  <dc:creator>Pham, Antony</dc:creator>
  <cp:keywords>[SEC=UNCLASSIFIED]</cp:keywords>
  <cp:lastModifiedBy>Toni Michalis</cp:lastModifiedBy>
  <cp:revision>2</cp:revision>
  <cp:lastPrinted>2018-04-13T03:42:00Z</cp:lastPrinted>
  <dcterms:created xsi:type="dcterms:W3CDTF">2018-04-16T00:16:00Z</dcterms:created>
  <dcterms:modified xsi:type="dcterms:W3CDTF">2018-04-16T00:16:00Z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SecurityClassification">
    <vt:lpwstr>UNCLASSIFIED</vt:lpwstr>
  </property>
  <property fmtid="{D5CDD505-2E9C-101B-9397-08002B2CF9AE}" pid="5" name="PM_DisplayValueSecClassificationWithQualifier">
    <vt:lpwstr>UNCLASSIFIED</vt:lpwstr>
  </property>
  <property fmtid="{D5CDD505-2E9C-101B-9397-08002B2CF9AE}" pid="6" name="PM_InsertionValue">
    <vt:lpwstr>UNCLASSIFIED</vt:lpwstr>
  </property>
  <property fmtid="{D5CDD505-2E9C-101B-9397-08002B2CF9AE}" pid="7" name="PM_Originator_Hash_SHA1">
    <vt:lpwstr>EF112C8219E7BD1AD21CFB7ECA17C2C385930BF7</vt:lpwstr>
  </property>
  <property fmtid="{D5CDD505-2E9C-101B-9397-08002B2CF9AE}" pid="8" name="PM_Hash_Version">
    <vt:lpwstr>2016.1</vt:lpwstr>
  </property>
  <property fmtid="{D5CDD505-2E9C-101B-9397-08002B2CF9AE}" pid="9" name="PM_Hash_Salt">
    <vt:lpwstr>E0B5BBEE52695A4B12A91A9E4A217EF8</vt:lpwstr>
  </property>
  <property fmtid="{D5CDD505-2E9C-101B-9397-08002B2CF9AE}" pid="10" name="PM_Hash_SHA1">
    <vt:lpwstr>13D3AC9A565F444C53E4EF0C5F29795FEEF3E166</vt:lpwstr>
  </property>
  <property fmtid="{D5CDD505-2E9C-101B-9397-08002B2CF9AE}" pid="11" name="PM_SecurityClassification_Prev">
    <vt:lpwstr>DLM-ONLY</vt:lpwstr>
  </property>
  <property fmtid="{D5CDD505-2E9C-101B-9397-08002B2CF9AE}" pid="12" name="PM_Qualifier_Prev">
    <vt:lpwstr>For-Official-Use-Only</vt:lpwstr>
  </property>
  <property fmtid="{D5CDD505-2E9C-101B-9397-08002B2CF9AE}" pid="13" name="PM_Hash_Salt_Prev">
    <vt:lpwstr>44A0694AFCE17CF90F691E82DAAECA8A</vt:lpwstr>
  </property>
  <property fmtid="{D5CDD505-2E9C-101B-9397-08002B2CF9AE}" pid="14" name="PM_Caveats_Count">
    <vt:lpwstr>0</vt:lpwstr>
  </property>
  <property fmtid="{D5CDD505-2E9C-101B-9397-08002B2CF9AE}" pid="15" name="PM_ProtectiveMarkingImage_Header">
    <vt:lpwstr>C:\Program Files (x86)\Common Files\janusNET Shared\janusSEAL\Images\DocumentSlashBlue.png</vt:lpwstr>
  </property>
  <property fmtid="{D5CDD505-2E9C-101B-9397-08002B2CF9AE}" pid="16" name="PM_ProtectiveMarkingValue_Header">
    <vt:lpwstr>UNCLASSIFIED</vt:lpwstr>
  </property>
  <property fmtid="{D5CDD505-2E9C-101B-9397-08002B2CF9AE}" pid="17" name="PM_ProtectiveMarkingValue_Footer">
    <vt:lpwstr>UNCLASSIFIED</vt:lpwstr>
  </property>
  <property fmtid="{D5CDD505-2E9C-101B-9397-08002B2CF9AE}" pid="18" name="PM_ProtectiveMarkingImage_Footer">
    <vt:lpwstr>C:\Program Files (x86)\Common Files\janusNET Shared\janusSEAL\Images\DocumentSlashBlue.png</vt:lpwstr>
  </property>
  <property fmtid="{D5CDD505-2E9C-101B-9397-08002B2CF9AE}" pid="19" name="PM_Namespace">
    <vt:lpwstr>gov.au</vt:lpwstr>
  </property>
  <property fmtid="{D5CDD505-2E9C-101B-9397-08002B2CF9AE}" pid="20" name="PM_Version">
    <vt:lpwstr>2012.3</vt:lpwstr>
  </property>
  <property fmtid="{D5CDD505-2E9C-101B-9397-08002B2CF9AE}" pid="21" name="PM_Originating_FileId">
    <vt:lpwstr>9CDD4A8A38FF4D3681F9F9DB8CFE362E</vt:lpwstr>
  </property>
  <property fmtid="{D5CDD505-2E9C-101B-9397-08002B2CF9AE}" pid="22" name="PM_OriginationTimeStamp">
    <vt:lpwstr>2018-04-13T03:03:44Z</vt:lpwstr>
  </property>
  <property fmtid="{D5CDD505-2E9C-101B-9397-08002B2CF9AE}" pid="23" name="PM_MinimumSecurityClassification">
    <vt:lpwstr/>
  </property>
  <property fmtid="{D5CDD505-2E9C-101B-9397-08002B2CF9AE}" pid="24" name="ContentTypeId">
    <vt:lpwstr>0x0101008CA7A4F8331B45C7B0D3158B4994D0CA0200577EC0F5A1FBFC498F9A8436B963F8A6</vt:lpwstr>
  </property>
  <property fmtid="{D5CDD505-2E9C-101B-9397-08002B2CF9AE}" pid="25" name="APRACostCentre">
    <vt:lpwstr>158;#PAD300|98bbdbe4-d019-48eb-87c4-aa31a7f2f98f;#24;#Legal - ADI|652d8d2a-ab45-47b4-ac6e-fe6ac9299b39;#26;#Legal - Insurance: General|8229dc1a-d7f2-47b2-844a-b026fed0c13d;#83;#Legal - Insurance: Life|56f18b50-6605-4f3f-97e3-cad1cb5394e0;#93;#Legal - Insurance: Health|21611e62-d688-4f0d-8807-02701cc43699;#134;#Legal - Superannuation|cce3181d-fd23-4eee-94d3-c66abc2350cf;#4;#Legal - Resolution ＆ Corporate|696624b1-19f4-47b2-a07b-57868a922a96</vt:lpwstr>
  </property>
  <property fmtid="{D5CDD505-2E9C-101B-9397-08002B2CF9AE}" pid="26" name="IT system type">
    <vt:lpwstr/>
  </property>
  <property fmtid="{D5CDD505-2E9C-101B-9397-08002B2CF9AE}" pid="27" name="APRACategory">
    <vt:lpwstr/>
  </property>
  <property fmtid="{D5CDD505-2E9C-101B-9397-08002B2CF9AE}" pid="28" name="APRAPeerGroup">
    <vt:lpwstr/>
  </property>
  <property fmtid="{D5CDD505-2E9C-101B-9397-08002B2CF9AE}" pid="29" name="APRADocumentType">
    <vt:lpwstr>142;#Prudential standard|6ce5a155-9ab2-41e3-9b2a-5baab4b7f1d1;#58;#Legal instrument|71fd6ed3-d6d6-4975-ba99-bfe45802e734</vt:lpwstr>
  </property>
  <property fmtid="{D5CDD505-2E9C-101B-9397-08002B2CF9AE}" pid="30" name="APRAStatus">
    <vt:lpwstr>19;#Final|84d6b2d0-8498-4d62-bf46-bab38babbe9e</vt:lpwstr>
  </property>
  <property fmtid="{D5CDD505-2E9C-101B-9397-08002B2CF9AE}" pid="31" name="APRAPRSG">
    <vt:lpwstr/>
  </property>
  <property fmtid="{D5CDD505-2E9C-101B-9397-08002B2CF9AE}" pid="32" name="APRAReportingGroup">
    <vt:lpwstr/>
  </property>
  <property fmtid="{D5CDD505-2E9C-101B-9397-08002B2CF9AE}" pid="33" name="APRAActivity">
    <vt:lpwstr>10;#Registration|390476ce-d76d-4e8d-905f-28e32d2df127;#109;#Statutory instrument|fe68928c-5a9c-4caf-bc8c-6c18cedcb17f</vt:lpwstr>
  </property>
  <property fmtid="{D5CDD505-2E9C-101B-9397-08002B2CF9AE}" pid="34" name="APRAEntityAdviceSupport">
    <vt:lpwstr/>
  </property>
  <property fmtid="{D5CDD505-2E9C-101B-9397-08002B2CF9AE}" pid="35" name="APRATemplateType">
    <vt:lpwstr>23;#Policy|f1d41970-be64-43ea-8d6f-300cb1384ee7</vt:lpwstr>
  </property>
  <property fmtid="{D5CDD505-2E9C-101B-9397-08002B2CF9AE}" pid="36" name="APRAYear">
    <vt:lpwstr>171;#2018|337d548e-be9a-4363-bbb3-ec2b7c3daa90</vt:lpwstr>
  </property>
  <property fmtid="{D5CDD505-2E9C-101B-9397-08002B2CF9AE}" pid="37" name="APRAIndustry">
    <vt:lpwstr/>
  </property>
  <property fmtid="{D5CDD505-2E9C-101B-9397-08002B2CF9AE}" pid="38" name="APRALegislation">
    <vt:lpwstr/>
  </property>
  <property fmtid="{D5CDD505-2E9C-101B-9397-08002B2CF9AE}" pid="39" name="APRAExternalOrganisation">
    <vt:lpwstr/>
  </property>
  <property fmtid="{D5CDD505-2E9C-101B-9397-08002B2CF9AE}" pid="40" name="APRAIRTR">
    <vt:lpwstr/>
  </property>
  <property fmtid="{D5CDD505-2E9C-101B-9397-08002B2CF9AE}" pid="41" name="APRAPeriod">
    <vt:lpwstr/>
  </property>
  <property fmtid="{D5CDD505-2E9C-101B-9397-08002B2CF9AE}" pid="42" name="_dlc_DocIdItemGuid">
    <vt:lpwstr>867aad78-ae43-40bc-8f8c-bb9286caf423</vt:lpwstr>
  </property>
  <property fmtid="{D5CDD505-2E9C-101B-9397-08002B2CF9AE}" pid="43" name="IsLocked">
    <vt:lpwstr>False</vt:lpwstr>
  </property>
  <property fmtid="{D5CDD505-2E9C-101B-9397-08002B2CF9AE}" pid="44" name="RecordPoint_WorkflowType">
    <vt:lpwstr>ActiveSubmitStub</vt:lpwstr>
  </property>
  <property fmtid="{D5CDD505-2E9C-101B-9397-08002B2CF9AE}" pid="45" name="RecordPoint_ActiveItemSiteId">
    <vt:lpwstr>{88691c01-5bbb-4215-adc0-66cb7065b0af}</vt:lpwstr>
  </property>
  <property fmtid="{D5CDD505-2E9C-101B-9397-08002B2CF9AE}" pid="46" name="RecordPoint_ActiveItemListId">
    <vt:lpwstr>{0e59e171-09d8-4401-800a-327154450cb3}</vt:lpwstr>
  </property>
  <property fmtid="{D5CDD505-2E9C-101B-9397-08002B2CF9AE}" pid="47" name="RecordPoint_ActiveItemUniqueId">
    <vt:lpwstr>{867aad78-ae43-40bc-8f8c-bb9286caf423}</vt:lpwstr>
  </property>
  <property fmtid="{D5CDD505-2E9C-101B-9397-08002B2CF9AE}" pid="48" name="RecordPoint_ActiveItemWebId">
    <vt:lpwstr>{75a71c27-8d66-4282-ae60-1bfc22a83be1}</vt:lpwstr>
  </property>
  <property fmtid="{D5CDD505-2E9C-101B-9397-08002B2CF9AE}" pid="49" name="RecordPoint_SubmissionDate">
    <vt:lpwstr/>
  </property>
  <property fmtid="{D5CDD505-2E9C-101B-9397-08002B2CF9AE}" pid="50" name="RecordPoint_RecordNumberSubmitted">
    <vt:lpwstr/>
  </property>
  <property fmtid="{D5CDD505-2E9C-101B-9397-08002B2CF9AE}" pid="51" name="RecordPoint_ActiveItemMoved">
    <vt:lpwstr/>
  </property>
  <property fmtid="{D5CDD505-2E9C-101B-9397-08002B2CF9AE}" pid="52" name="RecordPoint_RecordFormat">
    <vt:lpwstr/>
  </property>
  <property fmtid="{D5CDD505-2E9C-101B-9397-08002B2CF9AE}" pid="53" name="RecordPoint_SubmissionCompleted">
    <vt:lpwstr/>
  </property>
</Properties>
</file>