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E6023" w14:textId="7EEC9B83" w:rsidR="002436BD" w:rsidRPr="002C6D26" w:rsidRDefault="002E2D85" w:rsidP="00DF7DA0">
      <w:pPr>
        <w:pStyle w:val="Heading"/>
        <w:spacing w:after="240"/>
        <w:jc w:val="center"/>
        <w:rPr>
          <w:rFonts w:ascii="Times New Roman" w:hAnsi="Times New Roman"/>
          <w:sz w:val="24"/>
          <w:szCs w:val="24"/>
        </w:rPr>
      </w:pPr>
      <w:bookmarkStart w:id="0" w:name="_GoBack"/>
      <w:r>
        <w:rPr>
          <w:rFonts w:ascii="Times New Roman" w:hAnsi="Times New Roman"/>
          <w:sz w:val="24"/>
          <w:szCs w:val="24"/>
        </w:rPr>
        <w:t>Superannuation</w:t>
      </w:r>
      <w:r w:rsidR="002436BD" w:rsidRPr="002C6D26">
        <w:rPr>
          <w:rFonts w:ascii="Times New Roman" w:hAnsi="Times New Roman"/>
          <w:sz w:val="24"/>
          <w:szCs w:val="24"/>
        </w:rPr>
        <w:t xml:space="preserve"> (prudential standard) determination </w:t>
      </w:r>
      <w:r w:rsidR="002436BD" w:rsidRPr="00214613">
        <w:rPr>
          <w:rFonts w:ascii="Times New Roman" w:hAnsi="Times New Roman"/>
          <w:sz w:val="24"/>
          <w:szCs w:val="24"/>
        </w:rPr>
        <w:t xml:space="preserve">No. </w:t>
      </w:r>
      <w:r w:rsidR="00E72068" w:rsidRPr="00214613">
        <w:rPr>
          <w:rFonts w:ascii="Times New Roman" w:hAnsi="Times New Roman"/>
          <w:sz w:val="24"/>
          <w:szCs w:val="24"/>
        </w:rPr>
        <w:t>1</w:t>
      </w:r>
      <w:r w:rsidR="002436BD" w:rsidRPr="00214613">
        <w:rPr>
          <w:rFonts w:ascii="Times New Roman" w:hAnsi="Times New Roman"/>
          <w:sz w:val="24"/>
          <w:szCs w:val="24"/>
        </w:rPr>
        <w:t xml:space="preserve"> of 20</w:t>
      </w:r>
      <w:r w:rsidR="00E72068" w:rsidRPr="00214613">
        <w:rPr>
          <w:rFonts w:ascii="Times New Roman" w:hAnsi="Times New Roman"/>
          <w:sz w:val="24"/>
          <w:szCs w:val="24"/>
        </w:rPr>
        <w:t>18</w:t>
      </w:r>
      <w:bookmarkEnd w:id="0"/>
    </w:p>
    <w:p w14:paraId="070AD857"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749EAD61" w14:textId="4F7017D6" w:rsidR="002436BD" w:rsidRPr="002C6D26" w:rsidRDefault="0049269A" w:rsidP="00DF7DA0">
      <w:pPr>
        <w:pStyle w:val="Heading"/>
        <w:tabs>
          <w:tab w:val="left" w:pos="360"/>
        </w:tabs>
        <w:spacing w:after="240"/>
        <w:jc w:val="center"/>
        <w:rPr>
          <w:rFonts w:ascii="Times New Roman" w:hAnsi="Times New Roman"/>
          <w:b w:val="0"/>
          <w:sz w:val="24"/>
          <w:szCs w:val="24"/>
        </w:rPr>
      </w:pPr>
      <w:r w:rsidRPr="0049269A">
        <w:rPr>
          <w:rFonts w:ascii="Times New Roman" w:hAnsi="Times New Roman"/>
          <w:b w:val="0"/>
          <w:i/>
          <w:sz w:val="24"/>
          <w:szCs w:val="24"/>
        </w:rPr>
        <w:t>Superannuation Industry (Supervision) Act 1993</w:t>
      </w:r>
      <w:r w:rsidR="002436BD" w:rsidRPr="002C6D26">
        <w:rPr>
          <w:rFonts w:ascii="Times New Roman" w:hAnsi="Times New Roman"/>
          <w:b w:val="0"/>
          <w:sz w:val="24"/>
          <w:szCs w:val="24"/>
        </w:rPr>
        <w:t xml:space="preserve">, </w:t>
      </w:r>
      <w:r w:rsidR="002436BD" w:rsidRPr="002C6D26">
        <w:rPr>
          <w:rFonts w:ascii="Times New Roman" w:hAnsi="Times New Roman"/>
          <w:b w:val="0"/>
          <w:color w:val="000000"/>
          <w:sz w:val="24"/>
          <w:szCs w:val="24"/>
        </w:rPr>
        <w:t xml:space="preserve">section </w:t>
      </w:r>
      <w:r>
        <w:rPr>
          <w:rFonts w:ascii="Times New Roman" w:hAnsi="Times New Roman"/>
          <w:b w:val="0"/>
          <w:color w:val="000000"/>
          <w:sz w:val="24"/>
          <w:szCs w:val="24"/>
        </w:rPr>
        <w:t>34C</w:t>
      </w:r>
    </w:p>
    <w:p w14:paraId="066E4F30" w14:textId="3F0B8991" w:rsidR="002436BD" w:rsidRPr="002C6D26" w:rsidRDefault="002436BD" w:rsidP="00DF7DA0">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2E2D85">
        <w:rPr>
          <w:rFonts w:ascii="Times New Roman" w:hAnsi="Times New Roman"/>
          <w:sz w:val="24"/>
          <w:szCs w:val="24"/>
        </w:rPr>
        <w:t>34C(</w:t>
      </w:r>
      <w:r w:rsidR="0049269A">
        <w:rPr>
          <w:rFonts w:ascii="Times New Roman" w:hAnsi="Times New Roman"/>
          <w:sz w:val="24"/>
          <w:szCs w:val="24"/>
        </w:rPr>
        <w:t>1</w:t>
      </w:r>
      <w:r w:rsidRPr="002C6D26">
        <w:rPr>
          <w:rFonts w:ascii="Times New Roman" w:hAnsi="Times New Roman"/>
          <w:sz w:val="24"/>
          <w:szCs w:val="24"/>
        </w:rPr>
        <w:t xml:space="preserve">) of the </w:t>
      </w:r>
      <w:r w:rsidR="002E2D85">
        <w:rPr>
          <w:rFonts w:ascii="Times New Roman" w:hAnsi="Times New Roman"/>
          <w:i/>
          <w:sz w:val="24"/>
          <w:szCs w:val="24"/>
        </w:rPr>
        <w:t>Superannuation Industry (Supervision) Act 1993</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has the power to determine standards </w:t>
      </w:r>
      <w:r w:rsidRPr="007428D4">
        <w:rPr>
          <w:rFonts w:ascii="Times New Roman" w:hAnsi="Times New Roman"/>
          <w:sz w:val="24"/>
          <w:szCs w:val="24"/>
        </w:rPr>
        <w:t>(prudential standards),</w:t>
      </w:r>
      <w:r w:rsidRPr="002C6D26">
        <w:rPr>
          <w:rFonts w:ascii="Times New Roman" w:hAnsi="Times New Roman"/>
          <w:sz w:val="24"/>
          <w:szCs w:val="24"/>
        </w:rPr>
        <w:t xml:space="preserve"> in writing, in relation </w:t>
      </w:r>
      <w:r w:rsidR="00AE31F7" w:rsidRPr="00AE31F7">
        <w:rPr>
          <w:rFonts w:ascii="Times New Roman" w:hAnsi="Times New Roman"/>
          <w:sz w:val="24"/>
          <w:szCs w:val="24"/>
        </w:rPr>
        <w:t>to prudential matters to be complied with by all RSE licensees of registrable superannuation entit</w:t>
      </w:r>
      <w:r w:rsidR="001E01E0">
        <w:rPr>
          <w:rFonts w:ascii="Times New Roman" w:hAnsi="Times New Roman"/>
          <w:sz w:val="24"/>
          <w:szCs w:val="24"/>
        </w:rPr>
        <w:t>ies</w:t>
      </w:r>
      <w:r w:rsidR="00AE31F7" w:rsidRPr="00AE31F7">
        <w:rPr>
          <w:rFonts w:ascii="Times New Roman" w:hAnsi="Times New Roman"/>
          <w:sz w:val="24"/>
          <w:szCs w:val="24"/>
        </w:rPr>
        <w:t xml:space="preserve"> (RSEs).</w:t>
      </w:r>
      <w:r w:rsidR="00F30C81" w:rsidRPr="00F30C81">
        <w:rPr>
          <w:rFonts w:ascii="Times New Roman" w:hAnsi="Times New Roman"/>
          <w:sz w:val="24"/>
          <w:szCs w:val="24"/>
        </w:rPr>
        <w:t xml:space="preserve"> Under subsection </w:t>
      </w:r>
      <w:r w:rsidR="0049269A">
        <w:rPr>
          <w:rFonts w:ascii="Times New Roman" w:hAnsi="Times New Roman"/>
          <w:sz w:val="24"/>
          <w:szCs w:val="24"/>
        </w:rPr>
        <w:t>34C(6</w:t>
      </w:r>
      <w:r w:rsidR="00F30C81" w:rsidRPr="00F30C81">
        <w:rPr>
          <w:rFonts w:ascii="Times New Roman" w:hAnsi="Times New Roman"/>
          <w:sz w:val="24"/>
          <w:szCs w:val="24"/>
        </w:rPr>
        <w:t>) of the Act, APRA may, in writing, vary or revoke a prudential standard.</w:t>
      </w:r>
    </w:p>
    <w:p w14:paraId="50E09C1C" w14:textId="545BCDC2" w:rsidR="00246723" w:rsidRDefault="002436BD" w:rsidP="00DF7DA0">
      <w:pPr>
        <w:widowControl w:val="0"/>
        <w:spacing w:after="240"/>
        <w:jc w:val="both"/>
        <w:rPr>
          <w:rFonts w:ascii="Times New Roman" w:hAnsi="Times New Roman"/>
          <w:sz w:val="24"/>
          <w:szCs w:val="24"/>
        </w:rPr>
      </w:pPr>
      <w:r>
        <w:rPr>
          <w:rFonts w:ascii="Times New Roman" w:hAnsi="Times New Roman"/>
          <w:sz w:val="24"/>
          <w:szCs w:val="24"/>
        </w:rPr>
        <w:t xml:space="preserve">On </w:t>
      </w:r>
      <w:r w:rsidR="00B52D45">
        <w:rPr>
          <w:rFonts w:ascii="Times New Roman" w:hAnsi="Times New Roman"/>
          <w:sz w:val="24"/>
          <w:szCs w:val="24"/>
        </w:rPr>
        <w:t>18 April</w:t>
      </w:r>
      <w:r w:rsidR="00E72068" w:rsidRPr="00214613">
        <w:rPr>
          <w:rFonts w:ascii="Times New Roman" w:hAnsi="Times New Roman"/>
          <w:sz w:val="24"/>
          <w:szCs w:val="24"/>
        </w:rPr>
        <w:t xml:space="preserve"> 2018</w:t>
      </w:r>
      <w:r w:rsidRPr="00C011ED">
        <w:rPr>
          <w:rFonts w:ascii="Times New Roman" w:hAnsi="Times New Roman"/>
          <w:sz w:val="24"/>
          <w:szCs w:val="24"/>
        </w:rPr>
        <w:t>,</w:t>
      </w:r>
      <w:r>
        <w:rPr>
          <w:rFonts w:ascii="Times New Roman" w:hAnsi="Times New Roman"/>
          <w:sz w:val="24"/>
          <w:szCs w:val="24"/>
        </w:rPr>
        <w:t xml:space="preserve"> APRA made </w:t>
      </w:r>
      <w:r w:rsidR="0049269A">
        <w:rPr>
          <w:rFonts w:ascii="Times New Roman" w:hAnsi="Times New Roman"/>
          <w:sz w:val="24"/>
          <w:szCs w:val="24"/>
        </w:rPr>
        <w:t>Superannuation</w:t>
      </w:r>
      <w:r w:rsidRPr="002C6D26">
        <w:rPr>
          <w:rFonts w:ascii="Times New Roman" w:hAnsi="Times New Roman"/>
          <w:sz w:val="24"/>
          <w:szCs w:val="24"/>
        </w:rPr>
        <w:t xml:space="preserve"> (prudential standard) determination </w:t>
      </w:r>
      <w:r w:rsidRPr="00214613">
        <w:rPr>
          <w:rFonts w:ascii="Times New Roman" w:hAnsi="Times New Roman"/>
          <w:sz w:val="24"/>
          <w:szCs w:val="24"/>
        </w:rPr>
        <w:t xml:space="preserve">No. </w:t>
      </w:r>
      <w:r w:rsidR="00E72068" w:rsidRPr="00214613">
        <w:rPr>
          <w:rFonts w:ascii="Times New Roman" w:hAnsi="Times New Roman"/>
          <w:sz w:val="24"/>
          <w:szCs w:val="24"/>
        </w:rPr>
        <w:t>1</w:t>
      </w:r>
      <w:r w:rsidRPr="00214613">
        <w:rPr>
          <w:rFonts w:ascii="Times New Roman" w:hAnsi="Times New Roman"/>
          <w:sz w:val="24"/>
          <w:szCs w:val="24"/>
        </w:rPr>
        <w:t xml:space="preserve"> of 20</w:t>
      </w:r>
      <w:r w:rsidR="0049269A" w:rsidRPr="00214613">
        <w:rPr>
          <w:rFonts w:ascii="Times New Roman" w:hAnsi="Times New Roman"/>
          <w:sz w:val="24"/>
          <w:szCs w:val="24"/>
        </w:rPr>
        <w:t>18</w:t>
      </w:r>
      <w:r w:rsidRPr="002C6D26">
        <w:rPr>
          <w:rFonts w:ascii="Times New Roman" w:hAnsi="Times New Roman"/>
          <w:sz w:val="24"/>
          <w:szCs w:val="24"/>
        </w:rPr>
        <w:t xml:space="preserve"> </w:t>
      </w:r>
      <w:r>
        <w:rPr>
          <w:rFonts w:ascii="Times New Roman" w:hAnsi="Times New Roman"/>
          <w:sz w:val="24"/>
          <w:szCs w:val="24"/>
        </w:rPr>
        <w:t xml:space="preserve">(the instrument) which </w:t>
      </w:r>
      <w:r w:rsidR="009927BF">
        <w:rPr>
          <w:rFonts w:ascii="Times New Roman" w:hAnsi="Times New Roman"/>
          <w:sz w:val="24"/>
          <w:szCs w:val="24"/>
        </w:rPr>
        <w:t xml:space="preserve">revokes </w:t>
      </w:r>
      <w:r w:rsidR="0049269A">
        <w:rPr>
          <w:rFonts w:ascii="Times New Roman" w:hAnsi="Times New Roman"/>
          <w:i/>
          <w:sz w:val="24"/>
          <w:szCs w:val="24"/>
        </w:rPr>
        <w:t>Prudential Standard S</w:t>
      </w:r>
      <w:r w:rsidR="009927BF" w:rsidRPr="009927BF">
        <w:rPr>
          <w:rFonts w:ascii="Times New Roman" w:hAnsi="Times New Roman"/>
          <w:i/>
          <w:sz w:val="24"/>
          <w:szCs w:val="24"/>
        </w:rPr>
        <w:t xml:space="preserve">PS </w:t>
      </w:r>
      <w:r w:rsidR="0049269A">
        <w:rPr>
          <w:rFonts w:ascii="Times New Roman" w:hAnsi="Times New Roman"/>
          <w:i/>
          <w:sz w:val="24"/>
          <w:szCs w:val="24"/>
        </w:rPr>
        <w:t>3</w:t>
      </w:r>
      <w:r w:rsidR="009927BF" w:rsidRPr="009927BF">
        <w:rPr>
          <w:rFonts w:ascii="Times New Roman" w:hAnsi="Times New Roman"/>
          <w:i/>
          <w:sz w:val="24"/>
          <w:szCs w:val="24"/>
        </w:rPr>
        <w:t xml:space="preserve">10 </w:t>
      </w:r>
      <w:r w:rsidR="0049269A">
        <w:rPr>
          <w:rFonts w:ascii="Times New Roman" w:hAnsi="Times New Roman"/>
          <w:i/>
          <w:sz w:val="24"/>
          <w:szCs w:val="24"/>
        </w:rPr>
        <w:t xml:space="preserve">Audit and Related Matters </w:t>
      </w:r>
      <w:r w:rsidR="009927BF">
        <w:rPr>
          <w:rFonts w:ascii="Times New Roman" w:hAnsi="Times New Roman"/>
          <w:sz w:val="24"/>
          <w:szCs w:val="24"/>
        </w:rPr>
        <w:t xml:space="preserve">made </w:t>
      </w:r>
      <w:r w:rsidR="009927BF" w:rsidRPr="009927BF">
        <w:rPr>
          <w:rFonts w:ascii="Times New Roman" w:hAnsi="Times New Roman"/>
          <w:sz w:val="24"/>
          <w:szCs w:val="24"/>
        </w:rPr>
        <w:t xml:space="preserve">under </w:t>
      </w:r>
      <w:r w:rsidR="0049269A">
        <w:rPr>
          <w:rFonts w:ascii="Times New Roman" w:hAnsi="Times New Roman"/>
          <w:sz w:val="24"/>
          <w:szCs w:val="24"/>
        </w:rPr>
        <w:t>Superannuation</w:t>
      </w:r>
      <w:r w:rsidR="009927BF" w:rsidRPr="009927BF">
        <w:rPr>
          <w:rFonts w:ascii="Times New Roman" w:hAnsi="Times New Roman"/>
          <w:sz w:val="24"/>
          <w:szCs w:val="24"/>
        </w:rPr>
        <w:t xml:space="preserve"> (prudential standard) determination </w:t>
      </w:r>
      <w:r w:rsidR="009927BF" w:rsidRPr="00214613">
        <w:rPr>
          <w:rFonts w:ascii="Times New Roman" w:hAnsi="Times New Roman"/>
          <w:sz w:val="24"/>
          <w:szCs w:val="24"/>
        </w:rPr>
        <w:t>No. 3 of 20</w:t>
      </w:r>
      <w:r w:rsidR="0049269A" w:rsidRPr="00214613">
        <w:rPr>
          <w:rFonts w:ascii="Times New Roman" w:hAnsi="Times New Roman"/>
          <w:sz w:val="24"/>
          <w:szCs w:val="24"/>
        </w:rPr>
        <w:t>13</w:t>
      </w:r>
      <w:r w:rsidR="009927BF">
        <w:rPr>
          <w:rFonts w:ascii="Times New Roman" w:hAnsi="Times New Roman"/>
          <w:sz w:val="24"/>
          <w:szCs w:val="24"/>
        </w:rPr>
        <w:t xml:space="preserve"> and </w:t>
      </w:r>
      <w:r w:rsidRPr="002C6D26">
        <w:rPr>
          <w:rFonts w:ascii="Times New Roman" w:hAnsi="Times New Roman"/>
          <w:sz w:val="24"/>
          <w:szCs w:val="24"/>
        </w:rPr>
        <w:t xml:space="preserve">determines </w:t>
      </w:r>
      <w:r w:rsidR="00E758B5">
        <w:rPr>
          <w:rFonts w:ascii="Times New Roman" w:hAnsi="Times New Roman"/>
          <w:sz w:val="24"/>
          <w:szCs w:val="24"/>
        </w:rPr>
        <w:t xml:space="preserve">a new </w:t>
      </w:r>
      <w:r>
        <w:rPr>
          <w:rFonts w:ascii="Times New Roman" w:hAnsi="Times New Roman"/>
          <w:i/>
          <w:sz w:val="24"/>
          <w:szCs w:val="24"/>
        </w:rPr>
        <w:t>Prudential Standard</w:t>
      </w:r>
      <w:r w:rsidRPr="00246723">
        <w:rPr>
          <w:rFonts w:ascii="Times New Roman" w:hAnsi="Times New Roman"/>
          <w:sz w:val="24"/>
          <w:szCs w:val="24"/>
        </w:rPr>
        <w:t xml:space="preserve"> </w:t>
      </w:r>
      <w:r w:rsidR="0049269A">
        <w:rPr>
          <w:rFonts w:ascii="Times New Roman" w:hAnsi="Times New Roman"/>
          <w:i/>
          <w:sz w:val="24"/>
          <w:szCs w:val="24"/>
        </w:rPr>
        <w:t>SP</w:t>
      </w:r>
      <w:r w:rsidR="0040175E" w:rsidRPr="0040175E">
        <w:rPr>
          <w:rFonts w:ascii="Times New Roman" w:hAnsi="Times New Roman"/>
          <w:i/>
          <w:sz w:val="24"/>
          <w:szCs w:val="24"/>
        </w:rPr>
        <w:t xml:space="preserve">S </w:t>
      </w:r>
      <w:r w:rsidR="0049269A">
        <w:rPr>
          <w:rFonts w:ascii="Times New Roman" w:hAnsi="Times New Roman"/>
          <w:i/>
          <w:sz w:val="24"/>
          <w:szCs w:val="24"/>
        </w:rPr>
        <w:t>3</w:t>
      </w:r>
      <w:r w:rsidR="0040175E" w:rsidRPr="0040175E">
        <w:rPr>
          <w:rFonts w:ascii="Times New Roman" w:hAnsi="Times New Roman"/>
          <w:i/>
          <w:sz w:val="24"/>
          <w:szCs w:val="24"/>
        </w:rPr>
        <w:t xml:space="preserve">10 </w:t>
      </w:r>
      <w:r w:rsidR="0049269A">
        <w:rPr>
          <w:rFonts w:ascii="Times New Roman" w:hAnsi="Times New Roman"/>
          <w:i/>
          <w:sz w:val="24"/>
          <w:szCs w:val="24"/>
        </w:rPr>
        <w:t xml:space="preserve">Audit and Related Matters </w:t>
      </w:r>
      <w:r>
        <w:rPr>
          <w:rFonts w:ascii="Times New Roman" w:hAnsi="Times New Roman"/>
          <w:sz w:val="24"/>
          <w:szCs w:val="24"/>
        </w:rPr>
        <w:t>(</w:t>
      </w:r>
      <w:r w:rsidR="0049269A">
        <w:rPr>
          <w:rFonts w:ascii="Times New Roman" w:hAnsi="Times New Roman"/>
          <w:sz w:val="24"/>
          <w:szCs w:val="24"/>
        </w:rPr>
        <w:t>S</w:t>
      </w:r>
      <w:r>
        <w:rPr>
          <w:rFonts w:ascii="Times New Roman" w:hAnsi="Times New Roman"/>
          <w:sz w:val="24"/>
          <w:szCs w:val="24"/>
        </w:rPr>
        <w:t xml:space="preserve">PS </w:t>
      </w:r>
      <w:r w:rsidR="0049269A">
        <w:rPr>
          <w:rFonts w:ascii="Times New Roman" w:hAnsi="Times New Roman"/>
          <w:sz w:val="24"/>
          <w:szCs w:val="24"/>
        </w:rPr>
        <w:t>3</w:t>
      </w:r>
      <w:r w:rsidR="0040175E">
        <w:rPr>
          <w:rFonts w:ascii="Times New Roman" w:hAnsi="Times New Roman"/>
          <w:sz w:val="24"/>
          <w:szCs w:val="24"/>
        </w:rPr>
        <w:t>10</w:t>
      </w:r>
      <w:r>
        <w:rPr>
          <w:rFonts w:ascii="Times New Roman" w:hAnsi="Times New Roman"/>
          <w:sz w:val="24"/>
          <w:szCs w:val="24"/>
        </w:rPr>
        <w:t>)</w:t>
      </w:r>
      <w:r w:rsidR="00246723">
        <w:rPr>
          <w:rFonts w:ascii="Times New Roman" w:hAnsi="Times New Roman"/>
          <w:sz w:val="24"/>
          <w:szCs w:val="24"/>
        </w:rPr>
        <w:t>.</w:t>
      </w:r>
      <w:r w:rsidR="00003D3A" w:rsidRPr="00003D3A">
        <w:t xml:space="preserve"> </w:t>
      </w:r>
    </w:p>
    <w:p w14:paraId="53D1B670" w14:textId="06FEEAEF" w:rsidR="002436BD" w:rsidRPr="0049269A" w:rsidRDefault="00246723" w:rsidP="00DF7DA0">
      <w:pPr>
        <w:widowControl w:val="0"/>
        <w:spacing w:after="240"/>
        <w:jc w:val="both"/>
        <w:rPr>
          <w:rFonts w:ascii="Times New Roman" w:hAnsi="Times New Roman"/>
          <w:sz w:val="24"/>
          <w:szCs w:val="24"/>
        </w:rPr>
      </w:pPr>
      <w:r>
        <w:rPr>
          <w:rFonts w:ascii="Times New Roman" w:hAnsi="Times New Roman"/>
          <w:sz w:val="24"/>
          <w:szCs w:val="24"/>
        </w:rPr>
        <w:t>The instrument commences on</w:t>
      </w:r>
      <w:r w:rsidR="002436BD" w:rsidRPr="002C6D26">
        <w:rPr>
          <w:rFonts w:ascii="Times New Roman" w:hAnsi="Times New Roman"/>
          <w:sz w:val="24"/>
          <w:szCs w:val="24"/>
        </w:rPr>
        <w:t xml:space="preserve"> </w:t>
      </w:r>
      <w:r w:rsidR="00961A4F" w:rsidRPr="00214613">
        <w:rPr>
          <w:rFonts w:ascii="Times New Roman" w:hAnsi="Times New Roman"/>
          <w:sz w:val="24"/>
          <w:szCs w:val="24"/>
        </w:rPr>
        <w:t>1 May</w:t>
      </w:r>
      <w:r w:rsidR="00896147" w:rsidRPr="00214613">
        <w:rPr>
          <w:rFonts w:ascii="Times New Roman" w:hAnsi="Times New Roman"/>
          <w:sz w:val="24"/>
          <w:szCs w:val="24"/>
        </w:rPr>
        <w:t xml:space="preserve"> 2018</w:t>
      </w:r>
      <w:r w:rsidR="002436BD" w:rsidRPr="0049269A">
        <w:rPr>
          <w:rFonts w:ascii="Times New Roman" w:hAnsi="Times New Roman"/>
          <w:sz w:val="24"/>
          <w:szCs w:val="24"/>
        </w:rPr>
        <w:t xml:space="preserve">. </w:t>
      </w:r>
    </w:p>
    <w:p w14:paraId="25ABAD4C" w14:textId="77777777"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3DD3613B" w14:textId="391989A7" w:rsidR="0028210B" w:rsidRDefault="00A0741E" w:rsidP="00DF7DA0">
      <w:pPr>
        <w:pStyle w:val="Heading"/>
        <w:keepNext/>
        <w:spacing w:after="240"/>
        <w:outlineLvl w:val="0"/>
        <w:rPr>
          <w:rFonts w:ascii="Times New Roman" w:hAnsi="Times New Roman"/>
          <w:b w:val="0"/>
          <w:sz w:val="24"/>
          <w:szCs w:val="24"/>
        </w:rPr>
      </w:pPr>
      <w:r w:rsidRPr="0028210B">
        <w:rPr>
          <w:rFonts w:ascii="Times New Roman" w:hAnsi="Times New Roman"/>
          <w:b w:val="0"/>
          <w:sz w:val="24"/>
          <w:szCs w:val="24"/>
        </w:rPr>
        <w:t xml:space="preserve">APRA was granted power to make prudential standards applying to RSE licensees in 2012. </w:t>
      </w:r>
      <w:r w:rsidR="00687885">
        <w:rPr>
          <w:rFonts w:ascii="Times New Roman" w:hAnsi="Times New Roman"/>
          <w:b w:val="0"/>
          <w:sz w:val="24"/>
          <w:szCs w:val="24"/>
        </w:rPr>
        <w:t xml:space="preserve">In 2013, APRA introduced </w:t>
      </w:r>
      <w:r w:rsidR="0028210B" w:rsidRPr="0028210B">
        <w:rPr>
          <w:rFonts w:ascii="Times New Roman" w:hAnsi="Times New Roman"/>
          <w:b w:val="0"/>
          <w:sz w:val="24"/>
          <w:szCs w:val="24"/>
        </w:rPr>
        <w:t xml:space="preserve">SPS </w:t>
      </w:r>
      <w:r w:rsidR="0028210B">
        <w:rPr>
          <w:rFonts w:ascii="Times New Roman" w:hAnsi="Times New Roman"/>
          <w:b w:val="0"/>
          <w:sz w:val="24"/>
          <w:szCs w:val="24"/>
        </w:rPr>
        <w:t>310</w:t>
      </w:r>
      <w:r w:rsidR="0028210B" w:rsidRPr="0028210B">
        <w:rPr>
          <w:rFonts w:ascii="Times New Roman" w:hAnsi="Times New Roman"/>
          <w:b w:val="0"/>
          <w:sz w:val="24"/>
          <w:szCs w:val="24"/>
        </w:rPr>
        <w:t xml:space="preserve"> as part of a package of new prudential standards applying to RSE licensees</w:t>
      </w:r>
      <w:r>
        <w:rPr>
          <w:rFonts w:ascii="Times New Roman" w:hAnsi="Times New Roman"/>
          <w:b w:val="0"/>
          <w:sz w:val="24"/>
          <w:szCs w:val="24"/>
        </w:rPr>
        <w:t xml:space="preserve"> which sought to </w:t>
      </w:r>
      <w:r w:rsidR="0028210B" w:rsidRPr="0028210B">
        <w:rPr>
          <w:rFonts w:ascii="Times New Roman" w:hAnsi="Times New Roman"/>
          <w:b w:val="0"/>
          <w:sz w:val="24"/>
          <w:szCs w:val="24"/>
        </w:rPr>
        <w:t xml:space="preserve">strengthen prudential requirements applying to RSE licensees and support </w:t>
      </w:r>
      <w:r w:rsidR="0028210B" w:rsidRPr="0028210B">
        <w:rPr>
          <w:rFonts w:ascii="Times New Roman" w:hAnsi="Times New Roman"/>
          <w:b w:val="0"/>
          <w:sz w:val="24"/>
          <w:szCs w:val="24"/>
        </w:rPr>
        <w:lastRenderedPageBreak/>
        <w:t>the amendments to the legislative framework arising from the Government’s Stronger Super reforms.</w:t>
      </w:r>
    </w:p>
    <w:p w14:paraId="6BFBD89B" w14:textId="76223CF1" w:rsidR="00896147" w:rsidRDefault="00A0741E" w:rsidP="00DF7DA0">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Paragraph 20 of </w:t>
      </w:r>
      <w:r w:rsidR="00896147">
        <w:rPr>
          <w:rFonts w:ascii="Times New Roman" w:hAnsi="Times New Roman"/>
          <w:b w:val="0"/>
          <w:sz w:val="24"/>
          <w:szCs w:val="24"/>
        </w:rPr>
        <w:t xml:space="preserve">SPS 310 allows APRA to approve a form </w:t>
      </w:r>
      <w:r w:rsidR="00896147" w:rsidRPr="00896147">
        <w:rPr>
          <w:rFonts w:ascii="Times New Roman" w:hAnsi="Times New Roman"/>
          <w:b w:val="0"/>
          <w:sz w:val="24"/>
          <w:szCs w:val="24"/>
        </w:rPr>
        <w:t>(the approved form) for the auditor’s report</w:t>
      </w:r>
      <w:r w:rsidR="00896147">
        <w:rPr>
          <w:rFonts w:ascii="Times New Roman" w:hAnsi="Times New Roman"/>
          <w:b w:val="0"/>
          <w:sz w:val="24"/>
          <w:szCs w:val="24"/>
        </w:rPr>
        <w:t xml:space="preserve">, </w:t>
      </w:r>
      <w:r w:rsidR="00A8305F">
        <w:rPr>
          <w:rFonts w:ascii="Times New Roman" w:hAnsi="Times New Roman"/>
          <w:b w:val="0"/>
          <w:sz w:val="24"/>
          <w:szCs w:val="24"/>
        </w:rPr>
        <w:t xml:space="preserve">and requires </w:t>
      </w:r>
      <w:r w:rsidR="00896147" w:rsidRPr="00896147">
        <w:rPr>
          <w:rFonts w:ascii="Times New Roman" w:hAnsi="Times New Roman"/>
          <w:b w:val="0"/>
          <w:sz w:val="24"/>
          <w:szCs w:val="24"/>
        </w:rPr>
        <w:t xml:space="preserve">the auditor’s report </w:t>
      </w:r>
      <w:r w:rsidR="00896147">
        <w:rPr>
          <w:rFonts w:ascii="Times New Roman" w:hAnsi="Times New Roman"/>
          <w:b w:val="0"/>
          <w:sz w:val="24"/>
          <w:szCs w:val="24"/>
        </w:rPr>
        <w:t>to</w:t>
      </w:r>
      <w:r w:rsidR="00896147" w:rsidRPr="00896147">
        <w:rPr>
          <w:rFonts w:ascii="Times New Roman" w:hAnsi="Times New Roman"/>
          <w:b w:val="0"/>
          <w:sz w:val="24"/>
          <w:szCs w:val="24"/>
        </w:rPr>
        <w:t xml:space="preserve"> be in the approved form. </w:t>
      </w:r>
    </w:p>
    <w:p w14:paraId="57C9DCA3" w14:textId="0466E444" w:rsidR="00A67F0B" w:rsidRDefault="00A67F0B" w:rsidP="00DF7DA0">
      <w:pPr>
        <w:pStyle w:val="Heading"/>
        <w:keepNext/>
        <w:spacing w:after="240"/>
        <w:outlineLvl w:val="0"/>
        <w:rPr>
          <w:rFonts w:ascii="Times New Roman" w:hAnsi="Times New Roman"/>
          <w:b w:val="0"/>
          <w:sz w:val="24"/>
          <w:szCs w:val="24"/>
        </w:rPr>
      </w:pPr>
      <w:r w:rsidRPr="007E1511">
        <w:rPr>
          <w:rFonts w:ascii="Times New Roman" w:hAnsi="Times New Roman"/>
          <w:b w:val="0"/>
          <w:sz w:val="24"/>
          <w:szCs w:val="24"/>
        </w:rPr>
        <w:t xml:space="preserve">For the avoidance of doubt, </w:t>
      </w:r>
      <w:r w:rsidRPr="00214613">
        <w:rPr>
          <w:rFonts w:ascii="Times New Roman" w:hAnsi="Times New Roman"/>
          <w:b w:val="0"/>
          <w:sz w:val="24"/>
          <w:szCs w:val="24"/>
        </w:rPr>
        <w:t>where SPS 310 refers to an Act, Regulation or prudential standard, this is a reference to the document as it exists from time to time.</w:t>
      </w:r>
    </w:p>
    <w:p w14:paraId="6E9E2C8E" w14:textId="77777777"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0F61BB96" w14:textId="5C307610" w:rsidR="007E2547" w:rsidRDefault="00A0741E" w:rsidP="004A6B4F">
      <w:pPr>
        <w:pStyle w:val="Heading"/>
        <w:keepNext/>
        <w:spacing w:after="240"/>
        <w:outlineLvl w:val="0"/>
        <w:rPr>
          <w:rFonts w:ascii="Times New Roman" w:hAnsi="Times New Roman"/>
          <w:b w:val="0"/>
          <w:sz w:val="24"/>
          <w:szCs w:val="24"/>
        </w:rPr>
      </w:pPr>
      <w:bookmarkStart w:id="5" w:name="bkPurpose"/>
      <w:bookmarkEnd w:id="5"/>
      <w:r>
        <w:rPr>
          <w:rFonts w:ascii="Times New Roman" w:hAnsi="Times New Roman"/>
          <w:b w:val="0"/>
          <w:sz w:val="24"/>
          <w:szCs w:val="24"/>
        </w:rPr>
        <w:t xml:space="preserve">Paragraph 19(b)(iv) of </w:t>
      </w:r>
      <w:r w:rsidR="004A6B4F" w:rsidRPr="004A6B4F">
        <w:rPr>
          <w:rFonts w:ascii="Times New Roman" w:hAnsi="Times New Roman"/>
          <w:b w:val="0"/>
          <w:sz w:val="24"/>
          <w:szCs w:val="24"/>
        </w:rPr>
        <w:t>SPS 310</w:t>
      </w:r>
      <w:r w:rsidDel="00A0741E">
        <w:rPr>
          <w:rFonts w:ascii="Times New Roman" w:hAnsi="Times New Roman"/>
          <w:b w:val="0"/>
          <w:sz w:val="24"/>
          <w:szCs w:val="24"/>
        </w:rPr>
        <w:t xml:space="preserve"> </w:t>
      </w:r>
      <w:r w:rsidR="004A6B4F">
        <w:rPr>
          <w:rFonts w:ascii="Times New Roman" w:hAnsi="Times New Roman"/>
          <w:b w:val="0"/>
          <w:sz w:val="24"/>
          <w:szCs w:val="24"/>
        </w:rPr>
        <w:t xml:space="preserve">previously required </w:t>
      </w:r>
      <w:r w:rsidR="004A6B4F" w:rsidRPr="004A6B4F">
        <w:rPr>
          <w:rFonts w:ascii="Times New Roman" w:hAnsi="Times New Roman"/>
          <w:b w:val="0"/>
          <w:sz w:val="24"/>
          <w:szCs w:val="24"/>
        </w:rPr>
        <w:t>auditors to provide, via the auditor’s report, limited assurance addressing the RSE licensee’s compliance with its operational risk financial requirement (ORFR) strategy.</w:t>
      </w:r>
      <w:r w:rsidR="00DD5C02">
        <w:rPr>
          <w:rStyle w:val="FootnoteReference"/>
          <w:rFonts w:ascii="Times New Roman" w:hAnsi="Times New Roman"/>
          <w:b w:val="0"/>
          <w:sz w:val="24"/>
          <w:szCs w:val="24"/>
        </w:rPr>
        <w:footnoteReference w:id="2"/>
      </w:r>
      <w:r w:rsidR="004A6B4F" w:rsidRPr="004A6B4F">
        <w:rPr>
          <w:rFonts w:ascii="Times New Roman" w:hAnsi="Times New Roman"/>
          <w:b w:val="0"/>
          <w:sz w:val="24"/>
          <w:szCs w:val="24"/>
        </w:rPr>
        <w:t xml:space="preserve"> </w:t>
      </w:r>
      <w:r w:rsidR="00A23ED6">
        <w:rPr>
          <w:rFonts w:ascii="Times New Roman" w:hAnsi="Times New Roman"/>
          <w:b w:val="0"/>
          <w:sz w:val="24"/>
          <w:szCs w:val="24"/>
        </w:rPr>
        <w:t>Th</w:t>
      </w:r>
      <w:r w:rsidR="00A23ED6" w:rsidRPr="00A23ED6">
        <w:rPr>
          <w:rFonts w:ascii="Times New Roman" w:hAnsi="Times New Roman"/>
          <w:b w:val="0"/>
          <w:sz w:val="24"/>
          <w:szCs w:val="24"/>
        </w:rPr>
        <w:t>is limited assurance requirement was</w:t>
      </w:r>
      <w:r w:rsidR="00A23ED6">
        <w:rPr>
          <w:rFonts w:ascii="Times New Roman" w:hAnsi="Times New Roman"/>
          <w:b w:val="0"/>
          <w:sz w:val="24"/>
          <w:szCs w:val="24"/>
        </w:rPr>
        <w:t xml:space="preserve"> </w:t>
      </w:r>
      <w:r>
        <w:rPr>
          <w:rFonts w:ascii="Times New Roman" w:hAnsi="Times New Roman"/>
          <w:b w:val="0"/>
          <w:sz w:val="24"/>
          <w:szCs w:val="24"/>
        </w:rPr>
        <w:t>intended</w:t>
      </w:r>
      <w:r w:rsidRPr="00A23ED6">
        <w:rPr>
          <w:rFonts w:ascii="Times New Roman" w:hAnsi="Times New Roman"/>
          <w:b w:val="0"/>
          <w:sz w:val="24"/>
          <w:szCs w:val="24"/>
        </w:rPr>
        <w:t xml:space="preserve"> </w:t>
      </w:r>
      <w:r w:rsidR="00A23ED6" w:rsidRPr="00A23ED6">
        <w:rPr>
          <w:rFonts w:ascii="Times New Roman" w:hAnsi="Times New Roman"/>
          <w:b w:val="0"/>
          <w:sz w:val="24"/>
          <w:szCs w:val="24"/>
        </w:rPr>
        <w:t>to ensure adequate review of the ORFR target amount and tolerance limit, how the financial resources will be used, the replenishment plan, and review and monitoring processes in relation to the ORFR</w:t>
      </w:r>
      <w:r w:rsidR="00A23ED6">
        <w:rPr>
          <w:rFonts w:ascii="Times New Roman" w:hAnsi="Times New Roman"/>
          <w:b w:val="0"/>
          <w:sz w:val="24"/>
          <w:szCs w:val="24"/>
        </w:rPr>
        <w:t>.</w:t>
      </w:r>
      <w:r w:rsidR="00A23ED6" w:rsidRPr="00A23ED6">
        <w:rPr>
          <w:rFonts w:ascii="Times New Roman" w:hAnsi="Times New Roman"/>
          <w:b w:val="0"/>
          <w:sz w:val="24"/>
          <w:szCs w:val="24"/>
        </w:rPr>
        <w:t xml:space="preserve"> </w:t>
      </w:r>
    </w:p>
    <w:p w14:paraId="04A301EE" w14:textId="518B0816" w:rsidR="004A6B4F" w:rsidRDefault="007356CC" w:rsidP="004A6B4F">
      <w:pPr>
        <w:pStyle w:val="Heading"/>
        <w:keepNext/>
        <w:spacing w:after="240"/>
        <w:outlineLvl w:val="0"/>
        <w:rPr>
          <w:rFonts w:ascii="Times New Roman" w:hAnsi="Times New Roman"/>
          <w:b w:val="0"/>
          <w:sz w:val="24"/>
          <w:szCs w:val="24"/>
        </w:rPr>
      </w:pPr>
      <w:r>
        <w:rPr>
          <w:rFonts w:ascii="Times New Roman" w:hAnsi="Times New Roman"/>
          <w:b w:val="0"/>
          <w:sz w:val="24"/>
          <w:szCs w:val="24"/>
        </w:rPr>
        <w:t>The</w:t>
      </w:r>
      <w:r w:rsidR="004A6B4F" w:rsidRPr="004A6B4F">
        <w:rPr>
          <w:rFonts w:ascii="Times New Roman" w:hAnsi="Times New Roman"/>
          <w:b w:val="0"/>
          <w:sz w:val="24"/>
          <w:szCs w:val="24"/>
        </w:rPr>
        <w:t xml:space="preserve"> audit profession </w:t>
      </w:r>
      <w:r>
        <w:rPr>
          <w:rFonts w:ascii="Times New Roman" w:hAnsi="Times New Roman"/>
          <w:b w:val="0"/>
          <w:sz w:val="24"/>
          <w:szCs w:val="24"/>
        </w:rPr>
        <w:t xml:space="preserve">has advised that, as </w:t>
      </w:r>
      <w:r w:rsidRPr="004A6B4F">
        <w:rPr>
          <w:rFonts w:ascii="Times New Roman" w:hAnsi="Times New Roman"/>
          <w:b w:val="0"/>
          <w:sz w:val="24"/>
          <w:szCs w:val="24"/>
        </w:rPr>
        <w:t xml:space="preserve">there is no additional testing that the </w:t>
      </w:r>
      <w:r>
        <w:rPr>
          <w:rFonts w:ascii="Times New Roman" w:hAnsi="Times New Roman"/>
          <w:b w:val="0"/>
          <w:sz w:val="24"/>
          <w:szCs w:val="24"/>
        </w:rPr>
        <w:t xml:space="preserve">external </w:t>
      </w:r>
      <w:r w:rsidRPr="004A6B4F">
        <w:rPr>
          <w:rFonts w:ascii="Times New Roman" w:hAnsi="Times New Roman"/>
          <w:b w:val="0"/>
          <w:sz w:val="24"/>
          <w:szCs w:val="24"/>
        </w:rPr>
        <w:t xml:space="preserve">auditor </w:t>
      </w:r>
      <w:r>
        <w:rPr>
          <w:rFonts w:ascii="Times New Roman" w:hAnsi="Times New Roman"/>
          <w:b w:val="0"/>
          <w:sz w:val="24"/>
          <w:szCs w:val="24"/>
        </w:rPr>
        <w:t xml:space="preserve">can effectively and efficiently undertake as part of the year-end audit, </w:t>
      </w:r>
      <w:r w:rsidR="00620816">
        <w:rPr>
          <w:rFonts w:ascii="Times New Roman" w:hAnsi="Times New Roman"/>
          <w:b w:val="0"/>
          <w:sz w:val="24"/>
          <w:szCs w:val="24"/>
        </w:rPr>
        <w:t xml:space="preserve">a limited assurance review </w:t>
      </w:r>
      <w:r>
        <w:rPr>
          <w:rFonts w:ascii="Times New Roman" w:hAnsi="Times New Roman"/>
          <w:b w:val="0"/>
          <w:sz w:val="24"/>
          <w:szCs w:val="24"/>
        </w:rPr>
        <w:t>requirement adds little value</w:t>
      </w:r>
      <w:r w:rsidR="004A6B4F" w:rsidRPr="004A6B4F">
        <w:rPr>
          <w:rFonts w:ascii="Times New Roman" w:hAnsi="Times New Roman"/>
          <w:b w:val="0"/>
          <w:sz w:val="24"/>
          <w:szCs w:val="24"/>
        </w:rPr>
        <w:t xml:space="preserve">. The auditors noted that any other testing of this requirement would be considered to be an internal audit function rather than a function of the RSE </w:t>
      </w:r>
      <w:r w:rsidR="004A6B4F" w:rsidRPr="004A6B4F">
        <w:rPr>
          <w:rFonts w:ascii="Times New Roman" w:hAnsi="Times New Roman"/>
          <w:b w:val="0"/>
          <w:sz w:val="24"/>
          <w:szCs w:val="24"/>
        </w:rPr>
        <w:lastRenderedPageBreak/>
        <w:t xml:space="preserve">auditor. Auditors are already required to provide reasonable assurance on RSE licensee compliance with relevant Acts and regulations, including the requirement to maintain ORFR reserves at the required target amount, and the annual reporting forms that relate to these requirements. Auditors also provide limited assurance on the systems, procedures and internal controls designed to ensure that the </w:t>
      </w:r>
      <w:r>
        <w:rPr>
          <w:rFonts w:ascii="Times New Roman" w:hAnsi="Times New Roman"/>
          <w:b w:val="0"/>
          <w:sz w:val="24"/>
          <w:szCs w:val="24"/>
        </w:rPr>
        <w:t>RSE licensee</w:t>
      </w:r>
      <w:r w:rsidRPr="004A6B4F">
        <w:rPr>
          <w:rFonts w:ascii="Times New Roman" w:hAnsi="Times New Roman"/>
          <w:b w:val="0"/>
          <w:sz w:val="24"/>
          <w:szCs w:val="24"/>
        </w:rPr>
        <w:t xml:space="preserve"> </w:t>
      </w:r>
      <w:r w:rsidR="004A6B4F" w:rsidRPr="004A6B4F">
        <w:rPr>
          <w:rFonts w:ascii="Times New Roman" w:hAnsi="Times New Roman"/>
          <w:b w:val="0"/>
          <w:sz w:val="24"/>
          <w:szCs w:val="24"/>
        </w:rPr>
        <w:t>has complied with all applicable prudential requirements.</w:t>
      </w:r>
    </w:p>
    <w:p w14:paraId="0DD3F151" w14:textId="653990F8" w:rsidR="004A6B4F" w:rsidRDefault="00B37FF8" w:rsidP="004A6B4F">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APRA </w:t>
      </w:r>
      <w:r w:rsidR="007356CC">
        <w:rPr>
          <w:rFonts w:ascii="Times New Roman" w:hAnsi="Times New Roman"/>
          <w:b w:val="0"/>
          <w:sz w:val="24"/>
          <w:szCs w:val="24"/>
        </w:rPr>
        <w:t>has therefore decided to</w:t>
      </w:r>
      <w:r w:rsidR="00A20F47">
        <w:rPr>
          <w:rFonts w:ascii="Times New Roman" w:hAnsi="Times New Roman"/>
          <w:b w:val="0"/>
          <w:sz w:val="24"/>
          <w:szCs w:val="24"/>
        </w:rPr>
        <w:t xml:space="preserve"> remov</w:t>
      </w:r>
      <w:r w:rsidR="007356CC">
        <w:rPr>
          <w:rFonts w:ascii="Times New Roman" w:hAnsi="Times New Roman"/>
          <w:b w:val="0"/>
          <w:sz w:val="24"/>
          <w:szCs w:val="24"/>
        </w:rPr>
        <w:t>e</w:t>
      </w:r>
      <w:r w:rsidR="00A20F47">
        <w:rPr>
          <w:rFonts w:ascii="Times New Roman" w:hAnsi="Times New Roman"/>
          <w:b w:val="0"/>
          <w:sz w:val="24"/>
          <w:szCs w:val="24"/>
        </w:rPr>
        <w:t xml:space="preserve"> </w:t>
      </w:r>
      <w:r w:rsidR="007356CC">
        <w:rPr>
          <w:rFonts w:ascii="Times New Roman" w:hAnsi="Times New Roman"/>
          <w:b w:val="0"/>
          <w:sz w:val="24"/>
          <w:szCs w:val="24"/>
        </w:rPr>
        <w:t xml:space="preserve">both </w:t>
      </w:r>
      <w:r w:rsidR="004A6B4F" w:rsidRPr="004A6B4F">
        <w:rPr>
          <w:rFonts w:ascii="Times New Roman" w:hAnsi="Times New Roman"/>
          <w:b w:val="0"/>
          <w:sz w:val="24"/>
          <w:szCs w:val="24"/>
        </w:rPr>
        <w:t xml:space="preserve">the </w:t>
      </w:r>
      <w:r w:rsidR="007356CC">
        <w:rPr>
          <w:rFonts w:ascii="Times New Roman" w:hAnsi="Times New Roman"/>
          <w:b w:val="0"/>
          <w:sz w:val="24"/>
          <w:szCs w:val="24"/>
        </w:rPr>
        <w:t xml:space="preserve">limited assurance review </w:t>
      </w:r>
      <w:r w:rsidR="004A6B4F" w:rsidRPr="004A6B4F">
        <w:rPr>
          <w:rFonts w:ascii="Times New Roman" w:hAnsi="Times New Roman"/>
          <w:b w:val="0"/>
          <w:sz w:val="24"/>
          <w:szCs w:val="24"/>
        </w:rPr>
        <w:t xml:space="preserve">requirement </w:t>
      </w:r>
      <w:r w:rsidR="007356CC">
        <w:rPr>
          <w:rFonts w:ascii="Times New Roman" w:hAnsi="Times New Roman"/>
          <w:b w:val="0"/>
          <w:sz w:val="24"/>
          <w:szCs w:val="24"/>
        </w:rPr>
        <w:t xml:space="preserve">in </w:t>
      </w:r>
      <w:r w:rsidR="00A20F47">
        <w:rPr>
          <w:rFonts w:ascii="Times New Roman" w:hAnsi="Times New Roman"/>
          <w:b w:val="0"/>
          <w:sz w:val="24"/>
          <w:szCs w:val="24"/>
        </w:rPr>
        <w:t>paragraph 19(b)(iv) of</w:t>
      </w:r>
      <w:r>
        <w:rPr>
          <w:rFonts w:ascii="Times New Roman" w:hAnsi="Times New Roman"/>
          <w:b w:val="0"/>
          <w:sz w:val="24"/>
          <w:szCs w:val="24"/>
        </w:rPr>
        <w:t xml:space="preserve"> SPS 310</w:t>
      </w:r>
      <w:r w:rsidR="007356CC">
        <w:rPr>
          <w:rFonts w:ascii="Times New Roman" w:hAnsi="Times New Roman"/>
          <w:b w:val="0"/>
          <w:sz w:val="24"/>
          <w:szCs w:val="24"/>
        </w:rPr>
        <w:t xml:space="preserve"> and the equivalent provision in </w:t>
      </w:r>
      <w:r w:rsidR="004A6B4F" w:rsidRPr="004A6B4F">
        <w:rPr>
          <w:rFonts w:ascii="Times New Roman" w:hAnsi="Times New Roman"/>
          <w:b w:val="0"/>
          <w:sz w:val="24"/>
          <w:szCs w:val="24"/>
        </w:rPr>
        <w:t>the approved form of the audit report (</w:t>
      </w:r>
      <w:r w:rsidR="007356CC">
        <w:rPr>
          <w:rFonts w:ascii="Times New Roman" w:hAnsi="Times New Roman"/>
          <w:b w:val="0"/>
          <w:sz w:val="24"/>
          <w:szCs w:val="24"/>
        </w:rPr>
        <w:t xml:space="preserve">which </w:t>
      </w:r>
      <w:r w:rsidR="004A6B4F" w:rsidRPr="004A6B4F">
        <w:rPr>
          <w:rFonts w:ascii="Times New Roman" w:hAnsi="Times New Roman"/>
          <w:b w:val="0"/>
          <w:sz w:val="24"/>
          <w:szCs w:val="24"/>
        </w:rPr>
        <w:t xml:space="preserve">must comply with SPS 310). </w:t>
      </w:r>
    </w:p>
    <w:p w14:paraId="2429616A" w14:textId="41ECEEA8" w:rsidR="00FD728F" w:rsidRPr="00A67F0B" w:rsidRDefault="00B37FF8" w:rsidP="00A67F0B">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This amendment is likely to </w:t>
      </w:r>
      <w:r w:rsidRPr="00B37FF8">
        <w:rPr>
          <w:rFonts w:ascii="Times New Roman" w:hAnsi="Times New Roman"/>
          <w:b w:val="0"/>
          <w:sz w:val="24"/>
          <w:szCs w:val="24"/>
        </w:rPr>
        <w:t xml:space="preserve">reduce compliance burden for superannuation auditors without affecting the </w:t>
      </w:r>
      <w:r w:rsidR="007356CC">
        <w:rPr>
          <w:rFonts w:ascii="Times New Roman" w:hAnsi="Times New Roman"/>
          <w:b w:val="0"/>
          <w:sz w:val="24"/>
          <w:szCs w:val="24"/>
        </w:rPr>
        <w:t xml:space="preserve">prudential effectiveness of </w:t>
      </w:r>
      <w:r w:rsidRPr="00B37FF8">
        <w:rPr>
          <w:rFonts w:ascii="Times New Roman" w:hAnsi="Times New Roman"/>
          <w:b w:val="0"/>
          <w:sz w:val="24"/>
          <w:szCs w:val="24"/>
        </w:rPr>
        <w:t>ORFR strategies.</w:t>
      </w:r>
      <w:r w:rsidR="00DE087C">
        <w:rPr>
          <w:rFonts w:ascii="Times New Roman" w:hAnsi="Times New Roman"/>
          <w:b w:val="0"/>
          <w:sz w:val="24"/>
          <w:szCs w:val="24"/>
        </w:rPr>
        <w:t xml:space="preserve"> Minor consequential amendments </w:t>
      </w:r>
      <w:r w:rsidR="007356CC">
        <w:rPr>
          <w:rFonts w:ascii="Times New Roman" w:hAnsi="Times New Roman"/>
          <w:b w:val="0"/>
          <w:sz w:val="24"/>
          <w:szCs w:val="24"/>
        </w:rPr>
        <w:t>have also been made to SPS 310</w:t>
      </w:r>
      <w:r w:rsidR="00DE087C">
        <w:rPr>
          <w:rFonts w:ascii="Times New Roman" w:hAnsi="Times New Roman"/>
          <w:b w:val="0"/>
          <w:sz w:val="24"/>
          <w:szCs w:val="24"/>
        </w:rPr>
        <w:t xml:space="preserve"> </w:t>
      </w:r>
      <w:r w:rsidR="00630EEA">
        <w:rPr>
          <w:rFonts w:ascii="Times New Roman" w:hAnsi="Times New Roman"/>
          <w:b w:val="0"/>
          <w:sz w:val="24"/>
          <w:szCs w:val="24"/>
        </w:rPr>
        <w:t>as a result of this change.</w:t>
      </w:r>
    </w:p>
    <w:p w14:paraId="03BE545C" w14:textId="77777777" w:rsidR="002436BD" w:rsidRDefault="002436BD" w:rsidP="00DF7DA0">
      <w:pPr>
        <w:pStyle w:val="Heading"/>
        <w:numPr>
          <w:ilvl w:val="0"/>
          <w:numId w:val="2"/>
        </w:numPr>
        <w:spacing w:after="240"/>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t>Consultation</w:t>
      </w:r>
    </w:p>
    <w:p w14:paraId="37B6FF8D" w14:textId="471462E3" w:rsidR="002436BD" w:rsidRDefault="002436BD" w:rsidP="00DF7DA0">
      <w:pPr>
        <w:pStyle w:val="Heading"/>
        <w:tabs>
          <w:tab w:val="left" w:pos="360"/>
        </w:tabs>
        <w:spacing w:after="240"/>
        <w:rPr>
          <w:rFonts w:ascii="Times New Roman" w:hAnsi="Times New Roman"/>
          <w:b w:val="0"/>
          <w:sz w:val="24"/>
          <w:szCs w:val="24"/>
        </w:rPr>
      </w:pPr>
      <w:r>
        <w:rPr>
          <w:rFonts w:ascii="Times New Roman" w:hAnsi="Times New Roman"/>
          <w:b w:val="0"/>
          <w:sz w:val="24"/>
          <w:szCs w:val="24"/>
        </w:rPr>
        <w:t>APRA consult</w:t>
      </w:r>
      <w:r w:rsidR="00B57414">
        <w:rPr>
          <w:rFonts w:ascii="Times New Roman" w:hAnsi="Times New Roman"/>
          <w:b w:val="0"/>
          <w:sz w:val="24"/>
          <w:szCs w:val="24"/>
        </w:rPr>
        <w:t>ed</w:t>
      </w:r>
      <w:r>
        <w:rPr>
          <w:rFonts w:ascii="Times New Roman" w:hAnsi="Times New Roman"/>
          <w:b w:val="0"/>
          <w:sz w:val="24"/>
          <w:szCs w:val="24"/>
        </w:rPr>
        <w:t xml:space="preserve"> on </w:t>
      </w:r>
      <w:r w:rsidR="00B57414">
        <w:rPr>
          <w:rFonts w:ascii="Times New Roman" w:hAnsi="Times New Roman"/>
          <w:b w:val="0"/>
          <w:sz w:val="24"/>
          <w:szCs w:val="24"/>
        </w:rPr>
        <w:t xml:space="preserve">the </w:t>
      </w:r>
      <w:r>
        <w:rPr>
          <w:rFonts w:ascii="Times New Roman" w:hAnsi="Times New Roman"/>
          <w:b w:val="0"/>
          <w:sz w:val="24"/>
          <w:szCs w:val="24"/>
        </w:rPr>
        <w:t>proposed</w:t>
      </w:r>
      <w:r w:rsidR="00F51E5D">
        <w:rPr>
          <w:rFonts w:ascii="Times New Roman" w:hAnsi="Times New Roman"/>
          <w:b w:val="0"/>
          <w:sz w:val="24"/>
          <w:szCs w:val="24"/>
        </w:rPr>
        <w:t xml:space="preserve"> amendments to SPS 310</w:t>
      </w:r>
      <w:r>
        <w:rPr>
          <w:rFonts w:ascii="Times New Roman" w:hAnsi="Times New Roman"/>
          <w:b w:val="0"/>
          <w:sz w:val="24"/>
          <w:szCs w:val="24"/>
        </w:rPr>
        <w:t xml:space="preserve"> </w:t>
      </w:r>
      <w:r w:rsidR="00F51E5D">
        <w:rPr>
          <w:rFonts w:ascii="Times New Roman" w:hAnsi="Times New Roman"/>
          <w:b w:val="0"/>
          <w:sz w:val="24"/>
          <w:szCs w:val="24"/>
        </w:rPr>
        <w:t>during February 2018.</w:t>
      </w:r>
      <w:r>
        <w:rPr>
          <w:rFonts w:ascii="Times New Roman" w:hAnsi="Times New Roman"/>
          <w:b w:val="0"/>
          <w:sz w:val="24"/>
          <w:szCs w:val="24"/>
        </w:rPr>
        <w:t xml:space="preserve"> </w:t>
      </w:r>
      <w:r w:rsidR="00003FA0">
        <w:rPr>
          <w:rFonts w:ascii="Times New Roman" w:hAnsi="Times New Roman"/>
          <w:b w:val="0"/>
          <w:sz w:val="24"/>
          <w:szCs w:val="24"/>
        </w:rPr>
        <w:t>D</w:t>
      </w:r>
      <w:r w:rsidR="00504FFE">
        <w:rPr>
          <w:rFonts w:ascii="Times New Roman" w:hAnsi="Times New Roman"/>
          <w:b w:val="0"/>
          <w:sz w:val="24"/>
          <w:szCs w:val="24"/>
        </w:rPr>
        <w:t>iscussions with industry and accounting bodies supported the change</w:t>
      </w:r>
      <w:r w:rsidR="002D5579">
        <w:rPr>
          <w:rFonts w:ascii="Times New Roman" w:hAnsi="Times New Roman"/>
          <w:b w:val="0"/>
          <w:sz w:val="24"/>
          <w:szCs w:val="24"/>
        </w:rPr>
        <w:t xml:space="preserve">. APRA received </w:t>
      </w:r>
      <w:r w:rsidR="00504FFE">
        <w:rPr>
          <w:rFonts w:ascii="Times New Roman" w:hAnsi="Times New Roman"/>
          <w:b w:val="0"/>
          <w:sz w:val="24"/>
          <w:szCs w:val="24"/>
        </w:rPr>
        <w:t xml:space="preserve">three written submissions, which all </w:t>
      </w:r>
      <w:r w:rsidR="00B57414">
        <w:rPr>
          <w:rFonts w:ascii="Times New Roman" w:hAnsi="Times New Roman"/>
          <w:b w:val="0"/>
          <w:sz w:val="24"/>
          <w:szCs w:val="24"/>
        </w:rPr>
        <w:t xml:space="preserve">expressed </w:t>
      </w:r>
      <w:r w:rsidR="00504FFE">
        <w:rPr>
          <w:rFonts w:ascii="Times New Roman" w:hAnsi="Times New Roman"/>
          <w:b w:val="0"/>
          <w:sz w:val="24"/>
          <w:szCs w:val="24"/>
        </w:rPr>
        <w:t>support</w:t>
      </w:r>
      <w:r w:rsidR="00B57414">
        <w:rPr>
          <w:rFonts w:ascii="Times New Roman" w:hAnsi="Times New Roman"/>
          <w:b w:val="0"/>
          <w:sz w:val="24"/>
          <w:szCs w:val="24"/>
        </w:rPr>
        <w:t xml:space="preserve"> for</w:t>
      </w:r>
      <w:r w:rsidR="00504FFE">
        <w:rPr>
          <w:rFonts w:ascii="Times New Roman" w:hAnsi="Times New Roman"/>
          <w:b w:val="0"/>
          <w:sz w:val="24"/>
          <w:szCs w:val="24"/>
        </w:rPr>
        <w:t xml:space="preserve"> the change. </w:t>
      </w:r>
    </w:p>
    <w:p w14:paraId="7214CE46" w14:textId="77777777" w:rsidR="002436BD" w:rsidRDefault="00DF524E" w:rsidP="00DF7DA0">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16FE9823" w14:textId="77777777" w:rsidR="00885F41" w:rsidRDefault="00885F41" w:rsidP="00DF7DA0">
      <w:pPr>
        <w:pStyle w:val="Heading"/>
        <w:spacing w:after="240"/>
        <w:rPr>
          <w:rFonts w:ascii="Times New Roman" w:hAnsi="Times New Roman"/>
          <w:b w:val="0"/>
          <w:sz w:val="24"/>
          <w:szCs w:val="24"/>
        </w:rPr>
      </w:pPr>
      <w:r w:rsidRPr="00885F41">
        <w:rPr>
          <w:rFonts w:ascii="Times New Roman" w:hAnsi="Times New Roman"/>
          <w:b w:val="0"/>
          <w:sz w:val="24"/>
          <w:szCs w:val="24"/>
        </w:rPr>
        <w:lastRenderedPageBreak/>
        <w:t>The Office of Best Practice Regulation has advised that a Regulation Impact Statement is not required for this legislative instrument.</w:t>
      </w:r>
    </w:p>
    <w:p w14:paraId="401F3907" w14:textId="77777777" w:rsidR="002436BD" w:rsidRPr="00B3165F" w:rsidRDefault="00DF524E" w:rsidP="00DF7DA0">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08DB91DF" w14:textId="77777777" w:rsidR="002436BD"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6302D0A4" w14:textId="2EDE0257" w:rsidR="009542C3" w:rsidRDefault="009542C3" w:rsidP="00DF7DA0">
      <w:pPr>
        <w:pStyle w:val="Heading"/>
        <w:spacing w:after="240"/>
        <w:rPr>
          <w:rFonts w:ascii="Times New Roman" w:hAnsi="Times New Roman"/>
          <w:b w:val="0"/>
          <w:sz w:val="24"/>
          <w:szCs w:val="24"/>
        </w:rPr>
      </w:pPr>
    </w:p>
    <w:p w14:paraId="5366B2AA" w14:textId="77777777" w:rsidR="00B37FF8" w:rsidRDefault="00B37FF8">
      <w:pPr>
        <w:rPr>
          <w:rFonts w:ascii="Times New Roman" w:eastAsia="Calibri" w:hAnsi="Times New Roman"/>
          <w:b/>
          <w:bCs/>
          <w:sz w:val="24"/>
          <w:szCs w:val="24"/>
          <w:u w:val="single"/>
        </w:rPr>
      </w:pPr>
      <w:r>
        <w:rPr>
          <w:rFonts w:ascii="Times New Roman" w:eastAsia="Calibri" w:hAnsi="Times New Roman"/>
          <w:b/>
          <w:bCs/>
          <w:sz w:val="24"/>
          <w:szCs w:val="24"/>
          <w:u w:val="single"/>
        </w:rPr>
        <w:br w:type="page"/>
      </w:r>
    </w:p>
    <w:p w14:paraId="5F7DB5AA" w14:textId="35172156" w:rsidR="009542C3" w:rsidRPr="009542C3" w:rsidRDefault="009542C3" w:rsidP="009542C3">
      <w:pPr>
        <w:autoSpaceDE w:val="0"/>
        <w:autoSpaceDN w:val="0"/>
        <w:adjustRightInd w:val="0"/>
        <w:rPr>
          <w:rFonts w:ascii="Times New Roman" w:eastAsia="Calibri" w:hAnsi="Times New Roman"/>
          <w:b/>
          <w:bCs/>
          <w:sz w:val="24"/>
          <w:szCs w:val="24"/>
          <w:u w:val="single"/>
        </w:rPr>
      </w:pPr>
      <w:r w:rsidRPr="009542C3">
        <w:rPr>
          <w:rFonts w:ascii="Times New Roman" w:eastAsia="Calibri" w:hAnsi="Times New Roman"/>
          <w:b/>
          <w:bCs/>
          <w:sz w:val="24"/>
          <w:szCs w:val="24"/>
          <w:u w:val="single"/>
        </w:rPr>
        <w:lastRenderedPageBreak/>
        <w:t>ATTACHMENT A</w:t>
      </w:r>
    </w:p>
    <w:p w14:paraId="19B685F0" w14:textId="77777777" w:rsidR="009542C3" w:rsidRPr="009542C3" w:rsidRDefault="009542C3" w:rsidP="009542C3">
      <w:pPr>
        <w:autoSpaceDE w:val="0"/>
        <w:autoSpaceDN w:val="0"/>
        <w:adjustRightInd w:val="0"/>
        <w:rPr>
          <w:rFonts w:ascii="Times New Roman" w:eastAsia="Calibri" w:hAnsi="Times New Roman"/>
          <w:b/>
          <w:bCs/>
          <w:sz w:val="24"/>
          <w:szCs w:val="24"/>
        </w:rPr>
      </w:pPr>
    </w:p>
    <w:p w14:paraId="74AF139F" w14:textId="77777777" w:rsidR="009542C3" w:rsidRPr="009542C3" w:rsidRDefault="009542C3" w:rsidP="009542C3">
      <w:pPr>
        <w:autoSpaceDE w:val="0"/>
        <w:autoSpaceDN w:val="0"/>
        <w:adjustRightInd w:val="0"/>
        <w:jc w:val="center"/>
        <w:rPr>
          <w:rFonts w:ascii="Times New Roman" w:eastAsia="Calibri" w:hAnsi="Times New Roman"/>
          <w:b/>
          <w:bCs/>
          <w:sz w:val="24"/>
          <w:szCs w:val="24"/>
        </w:rPr>
      </w:pPr>
      <w:r w:rsidRPr="009542C3">
        <w:rPr>
          <w:rFonts w:ascii="Times New Roman" w:eastAsia="Calibri" w:hAnsi="Times New Roman"/>
          <w:b/>
          <w:bCs/>
          <w:sz w:val="24"/>
          <w:szCs w:val="24"/>
        </w:rPr>
        <w:t>Statement of Compatibility with Human Rights</w:t>
      </w:r>
    </w:p>
    <w:p w14:paraId="0A3CF705" w14:textId="77777777" w:rsidR="009542C3" w:rsidRPr="009542C3" w:rsidRDefault="009542C3" w:rsidP="009542C3">
      <w:pPr>
        <w:autoSpaceDE w:val="0"/>
        <w:autoSpaceDN w:val="0"/>
        <w:adjustRightInd w:val="0"/>
        <w:rPr>
          <w:rFonts w:ascii="Times New Roman" w:eastAsia="Calibri" w:hAnsi="Times New Roman"/>
          <w:bCs/>
          <w:sz w:val="24"/>
          <w:szCs w:val="24"/>
        </w:rPr>
      </w:pPr>
    </w:p>
    <w:p w14:paraId="7B90A4EF" w14:textId="77777777" w:rsidR="009542C3" w:rsidRPr="004F3791" w:rsidRDefault="009542C3" w:rsidP="009542C3">
      <w:pPr>
        <w:autoSpaceDE w:val="0"/>
        <w:autoSpaceDN w:val="0"/>
        <w:adjustRightInd w:val="0"/>
        <w:jc w:val="center"/>
        <w:rPr>
          <w:rFonts w:ascii="Times New Roman" w:eastAsia="Calibri" w:hAnsi="Times New Roman"/>
          <w:i/>
          <w:sz w:val="24"/>
          <w:szCs w:val="24"/>
        </w:rPr>
      </w:pPr>
      <w:r w:rsidRPr="009542C3">
        <w:rPr>
          <w:rFonts w:ascii="Times New Roman" w:eastAsia="Calibri" w:hAnsi="Times New Roman"/>
          <w:sz w:val="24"/>
          <w:szCs w:val="24"/>
        </w:rPr>
        <w:t xml:space="preserve">Prepared in accordance with Part 3 of the </w:t>
      </w:r>
      <w:r w:rsidRPr="004F3791">
        <w:rPr>
          <w:rFonts w:ascii="Times New Roman" w:eastAsia="Calibri" w:hAnsi="Times New Roman"/>
          <w:i/>
          <w:sz w:val="24"/>
          <w:szCs w:val="24"/>
        </w:rPr>
        <w:t>Human Rights (Parliamentary Scrutiny) Act</w:t>
      </w:r>
    </w:p>
    <w:p w14:paraId="77144D7F" w14:textId="77777777" w:rsidR="009542C3" w:rsidRPr="004F3791" w:rsidRDefault="009542C3" w:rsidP="009542C3">
      <w:pPr>
        <w:autoSpaceDE w:val="0"/>
        <w:autoSpaceDN w:val="0"/>
        <w:adjustRightInd w:val="0"/>
        <w:jc w:val="center"/>
        <w:rPr>
          <w:rFonts w:ascii="Times New Roman" w:eastAsia="Calibri" w:hAnsi="Times New Roman"/>
          <w:i/>
          <w:sz w:val="24"/>
          <w:szCs w:val="24"/>
        </w:rPr>
      </w:pPr>
      <w:r w:rsidRPr="004F3791">
        <w:rPr>
          <w:rFonts w:ascii="Times New Roman" w:eastAsia="Calibri" w:hAnsi="Times New Roman"/>
          <w:i/>
          <w:sz w:val="24"/>
          <w:szCs w:val="24"/>
        </w:rPr>
        <w:t>2011</w:t>
      </w:r>
    </w:p>
    <w:p w14:paraId="464B0221" w14:textId="77777777" w:rsidR="009542C3" w:rsidRPr="009542C3" w:rsidRDefault="009542C3" w:rsidP="009542C3">
      <w:pPr>
        <w:autoSpaceDE w:val="0"/>
        <w:autoSpaceDN w:val="0"/>
        <w:adjustRightInd w:val="0"/>
        <w:jc w:val="center"/>
        <w:rPr>
          <w:rFonts w:ascii="Times New Roman" w:eastAsia="Calibri" w:hAnsi="Times New Roman"/>
          <w:sz w:val="24"/>
          <w:szCs w:val="24"/>
        </w:rPr>
      </w:pPr>
    </w:p>
    <w:p w14:paraId="60EDF7E5" w14:textId="2D003838" w:rsidR="009542C3" w:rsidRDefault="009542C3" w:rsidP="009542C3">
      <w:pPr>
        <w:autoSpaceDE w:val="0"/>
        <w:autoSpaceDN w:val="0"/>
        <w:adjustRightInd w:val="0"/>
        <w:jc w:val="center"/>
        <w:rPr>
          <w:rFonts w:ascii="Times New Roman" w:eastAsia="Calibri" w:hAnsi="Times New Roman"/>
          <w:b/>
          <w:bCs/>
          <w:sz w:val="24"/>
          <w:szCs w:val="24"/>
        </w:rPr>
      </w:pPr>
      <w:r w:rsidRPr="009542C3">
        <w:rPr>
          <w:rFonts w:ascii="Times New Roman" w:eastAsia="Calibri" w:hAnsi="Times New Roman"/>
          <w:b/>
          <w:bCs/>
          <w:sz w:val="24"/>
          <w:szCs w:val="24"/>
        </w:rPr>
        <w:t xml:space="preserve">Superannuation (prudential standard) determination </w:t>
      </w:r>
      <w:r w:rsidRPr="00214613">
        <w:rPr>
          <w:rFonts w:ascii="Times New Roman" w:eastAsia="Calibri" w:hAnsi="Times New Roman"/>
          <w:b/>
          <w:bCs/>
          <w:sz w:val="24"/>
          <w:szCs w:val="24"/>
        </w:rPr>
        <w:t xml:space="preserve">No. </w:t>
      </w:r>
      <w:r w:rsidR="00E72068" w:rsidRPr="00214613">
        <w:rPr>
          <w:rFonts w:ascii="Times New Roman" w:eastAsia="Calibri" w:hAnsi="Times New Roman"/>
          <w:b/>
          <w:bCs/>
          <w:sz w:val="24"/>
          <w:szCs w:val="24"/>
        </w:rPr>
        <w:t>1</w:t>
      </w:r>
      <w:r w:rsidRPr="00214613">
        <w:rPr>
          <w:rFonts w:ascii="Times New Roman" w:eastAsia="Calibri" w:hAnsi="Times New Roman"/>
          <w:b/>
          <w:bCs/>
          <w:sz w:val="24"/>
          <w:szCs w:val="24"/>
        </w:rPr>
        <w:t xml:space="preserve"> of 201</w:t>
      </w:r>
      <w:r w:rsidR="00E72068" w:rsidRPr="00214613">
        <w:rPr>
          <w:rFonts w:ascii="Times New Roman" w:eastAsia="Calibri" w:hAnsi="Times New Roman"/>
          <w:b/>
          <w:bCs/>
          <w:sz w:val="24"/>
          <w:szCs w:val="24"/>
        </w:rPr>
        <w:t>8</w:t>
      </w:r>
    </w:p>
    <w:p w14:paraId="5FDD4272" w14:textId="77777777" w:rsidR="009542C3" w:rsidRPr="009542C3" w:rsidRDefault="009542C3" w:rsidP="009542C3">
      <w:pPr>
        <w:autoSpaceDE w:val="0"/>
        <w:autoSpaceDN w:val="0"/>
        <w:adjustRightInd w:val="0"/>
        <w:rPr>
          <w:rFonts w:ascii="Times New Roman" w:eastAsia="Calibri" w:hAnsi="Times New Roman"/>
          <w:b/>
          <w:bCs/>
          <w:sz w:val="24"/>
          <w:szCs w:val="24"/>
        </w:rPr>
      </w:pPr>
    </w:p>
    <w:p w14:paraId="13F496D5" w14:textId="24AB019C" w:rsidR="009542C3" w:rsidRPr="009542C3" w:rsidRDefault="009542C3" w:rsidP="00A67F0B">
      <w:pPr>
        <w:autoSpaceDE w:val="0"/>
        <w:autoSpaceDN w:val="0"/>
        <w:adjustRightInd w:val="0"/>
        <w:jc w:val="both"/>
        <w:rPr>
          <w:rFonts w:ascii="Times New Roman" w:eastAsia="Calibri" w:hAnsi="Times New Roman"/>
          <w:i/>
          <w:iCs/>
          <w:sz w:val="24"/>
          <w:szCs w:val="24"/>
        </w:rPr>
      </w:pPr>
      <w:r w:rsidRPr="009542C3">
        <w:rPr>
          <w:rFonts w:ascii="Times New Roman" w:eastAsia="Calibri" w:hAnsi="Times New Roman"/>
          <w:sz w:val="24"/>
          <w:szCs w:val="24"/>
        </w:rPr>
        <w:t>This Legislative Instrument is compatible with the human rights and freedoms</w:t>
      </w:r>
      <w:r>
        <w:rPr>
          <w:rFonts w:ascii="Times New Roman" w:eastAsia="Calibri" w:hAnsi="Times New Roman"/>
          <w:sz w:val="24"/>
          <w:szCs w:val="24"/>
        </w:rPr>
        <w:t xml:space="preserve"> </w:t>
      </w:r>
      <w:r w:rsidRPr="009542C3">
        <w:rPr>
          <w:rFonts w:ascii="Times New Roman" w:eastAsia="Calibri" w:hAnsi="Times New Roman"/>
          <w:sz w:val="24"/>
          <w:szCs w:val="24"/>
        </w:rPr>
        <w:t xml:space="preserve">recognised or declared in the international instrument listed in section 3 of the </w:t>
      </w:r>
      <w:r w:rsidRPr="009542C3">
        <w:rPr>
          <w:rFonts w:ascii="Times New Roman" w:eastAsia="Calibri" w:hAnsi="Times New Roman"/>
          <w:i/>
          <w:iCs/>
          <w:sz w:val="24"/>
          <w:szCs w:val="24"/>
        </w:rPr>
        <w:t>Human</w:t>
      </w:r>
    </w:p>
    <w:p w14:paraId="294B2AA5" w14:textId="77777777" w:rsidR="009542C3" w:rsidRDefault="009542C3" w:rsidP="00A67F0B">
      <w:pPr>
        <w:autoSpaceDE w:val="0"/>
        <w:autoSpaceDN w:val="0"/>
        <w:adjustRightInd w:val="0"/>
        <w:jc w:val="both"/>
        <w:rPr>
          <w:rFonts w:ascii="Times New Roman" w:eastAsia="Calibri" w:hAnsi="Times New Roman"/>
          <w:sz w:val="24"/>
          <w:szCs w:val="24"/>
        </w:rPr>
      </w:pPr>
      <w:r w:rsidRPr="009542C3">
        <w:rPr>
          <w:rFonts w:ascii="Times New Roman" w:eastAsia="Calibri" w:hAnsi="Times New Roman"/>
          <w:i/>
          <w:iCs/>
          <w:sz w:val="24"/>
          <w:szCs w:val="24"/>
        </w:rPr>
        <w:t xml:space="preserve">Rights (Parliamentary Scrutiny) Act 2011 </w:t>
      </w:r>
      <w:r w:rsidRPr="009542C3">
        <w:rPr>
          <w:rFonts w:ascii="Times New Roman" w:eastAsia="Calibri" w:hAnsi="Times New Roman"/>
          <w:sz w:val="24"/>
          <w:szCs w:val="24"/>
        </w:rPr>
        <w:t>(HRPS Act).</w:t>
      </w:r>
    </w:p>
    <w:p w14:paraId="4AE51142" w14:textId="77777777" w:rsidR="009542C3" w:rsidRPr="009542C3" w:rsidRDefault="009542C3" w:rsidP="00A67F0B">
      <w:pPr>
        <w:autoSpaceDE w:val="0"/>
        <w:autoSpaceDN w:val="0"/>
        <w:adjustRightInd w:val="0"/>
        <w:jc w:val="both"/>
        <w:rPr>
          <w:rFonts w:ascii="Times New Roman" w:eastAsia="Calibri" w:hAnsi="Times New Roman"/>
          <w:sz w:val="24"/>
          <w:szCs w:val="24"/>
        </w:rPr>
      </w:pPr>
    </w:p>
    <w:p w14:paraId="43AFB76F" w14:textId="77777777" w:rsidR="009542C3" w:rsidRDefault="009542C3" w:rsidP="00A67F0B">
      <w:pPr>
        <w:autoSpaceDE w:val="0"/>
        <w:autoSpaceDN w:val="0"/>
        <w:adjustRightInd w:val="0"/>
        <w:jc w:val="both"/>
        <w:rPr>
          <w:rFonts w:ascii="Times New Roman" w:eastAsia="Calibri" w:hAnsi="Times New Roman"/>
          <w:b/>
          <w:bCs/>
          <w:sz w:val="24"/>
          <w:szCs w:val="24"/>
        </w:rPr>
      </w:pPr>
      <w:r w:rsidRPr="009542C3">
        <w:rPr>
          <w:rFonts w:ascii="Times New Roman" w:eastAsia="Calibri" w:hAnsi="Times New Roman"/>
          <w:b/>
          <w:bCs/>
          <w:sz w:val="24"/>
          <w:szCs w:val="24"/>
        </w:rPr>
        <w:t>Overview of the Legislative Instrument</w:t>
      </w:r>
    </w:p>
    <w:p w14:paraId="50D3DEFA" w14:textId="77777777" w:rsidR="009542C3" w:rsidRPr="009542C3" w:rsidRDefault="009542C3" w:rsidP="00A67F0B">
      <w:pPr>
        <w:autoSpaceDE w:val="0"/>
        <w:autoSpaceDN w:val="0"/>
        <w:adjustRightInd w:val="0"/>
        <w:jc w:val="both"/>
        <w:rPr>
          <w:rFonts w:ascii="Times New Roman" w:eastAsia="Calibri" w:hAnsi="Times New Roman"/>
          <w:b/>
          <w:bCs/>
          <w:sz w:val="24"/>
          <w:szCs w:val="24"/>
        </w:rPr>
      </w:pPr>
    </w:p>
    <w:p w14:paraId="7447029A" w14:textId="31624551" w:rsidR="004F3791" w:rsidRDefault="009542C3" w:rsidP="00A67F0B">
      <w:pPr>
        <w:spacing w:after="240"/>
        <w:jc w:val="both"/>
        <w:rPr>
          <w:rFonts w:ascii="Times New Roman" w:eastAsia="Calibri" w:hAnsi="Times New Roman"/>
          <w:sz w:val="24"/>
          <w:szCs w:val="24"/>
        </w:rPr>
      </w:pPr>
      <w:r w:rsidRPr="009542C3">
        <w:rPr>
          <w:rFonts w:ascii="Times New Roman" w:eastAsia="Calibri" w:hAnsi="Times New Roman"/>
          <w:sz w:val="24"/>
          <w:szCs w:val="24"/>
        </w:rPr>
        <w:t xml:space="preserve">The purpose of making this legislative instrument is </w:t>
      </w:r>
      <w:r w:rsidR="00B57414">
        <w:rPr>
          <w:rFonts w:ascii="Times New Roman" w:eastAsia="Calibri" w:hAnsi="Times New Roman"/>
          <w:sz w:val="24"/>
          <w:szCs w:val="24"/>
        </w:rPr>
        <w:t>to amend</w:t>
      </w:r>
      <w:r w:rsidR="004F3791">
        <w:rPr>
          <w:rFonts w:ascii="Times New Roman" w:eastAsia="Calibri" w:hAnsi="Times New Roman"/>
          <w:sz w:val="24"/>
          <w:szCs w:val="24"/>
        </w:rPr>
        <w:t xml:space="preserve"> </w:t>
      </w:r>
      <w:r w:rsidRPr="009542C3">
        <w:rPr>
          <w:rFonts w:ascii="Times New Roman" w:eastAsia="Calibri" w:hAnsi="Times New Roman"/>
          <w:sz w:val="24"/>
          <w:szCs w:val="24"/>
        </w:rPr>
        <w:t>SPS 310, which sets out</w:t>
      </w:r>
      <w:r>
        <w:rPr>
          <w:rFonts w:ascii="Times New Roman" w:eastAsia="Calibri" w:hAnsi="Times New Roman"/>
          <w:sz w:val="24"/>
          <w:szCs w:val="24"/>
        </w:rPr>
        <w:t xml:space="preserve"> </w:t>
      </w:r>
      <w:r w:rsidRPr="009542C3">
        <w:rPr>
          <w:rFonts w:ascii="Times New Roman" w:eastAsia="Calibri" w:hAnsi="Times New Roman"/>
          <w:sz w:val="24"/>
          <w:szCs w:val="24"/>
        </w:rPr>
        <w:t xml:space="preserve">prudential requirements for </w:t>
      </w:r>
      <w:r w:rsidR="0032175F">
        <w:rPr>
          <w:rFonts w:ascii="Times New Roman" w:eastAsia="Calibri" w:hAnsi="Times New Roman"/>
          <w:sz w:val="24"/>
          <w:szCs w:val="24"/>
        </w:rPr>
        <w:t>the provision of</w:t>
      </w:r>
      <w:r w:rsidRPr="009542C3">
        <w:rPr>
          <w:rFonts w:ascii="Times New Roman" w:eastAsia="Calibri" w:hAnsi="Times New Roman"/>
          <w:sz w:val="24"/>
          <w:szCs w:val="24"/>
        </w:rPr>
        <w:t xml:space="preserve"> independent advice in</w:t>
      </w:r>
      <w:r>
        <w:rPr>
          <w:rFonts w:ascii="Times New Roman" w:eastAsia="Calibri" w:hAnsi="Times New Roman"/>
          <w:sz w:val="24"/>
          <w:szCs w:val="24"/>
        </w:rPr>
        <w:t xml:space="preserve"> </w:t>
      </w:r>
      <w:r w:rsidRPr="009542C3">
        <w:rPr>
          <w:rFonts w:ascii="Times New Roman" w:eastAsia="Calibri" w:hAnsi="Times New Roman"/>
          <w:sz w:val="24"/>
          <w:szCs w:val="24"/>
        </w:rPr>
        <w:t>relation to the operations, financial position and risk controls of the business</w:t>
      </w:r>
      <w:r>
        <w:rPr>
          <w:rFonts w:ascii="Times New Roman" w:eastAsia="Calibri" w:hAnsi="Times New Roman"/>
          <w:sz w:val="24"/>
          <w:szCs w:val="24"/>
        </w:rPr>
        <w:t xml:space="preserve"> </w:t>
      </w:r>
      <w:r w:rsidRPr="009542C3">
        <w:rPr>
          <w:rFonts w:ascii="Times New Roman" w:eastAsia="Calibri" w:hAnsi="Times New Roman"/>
          <w:sz w:val="24"/>
          <w:szCs w:val="24"/>
        </w:rPr>
        <w:t xml:space="preserve">operations of </w:t>
      </w:r>
      <w:r w:rsidR="0032175F">
        <w:rPr>
          <w:rFonts w:ascii="Times New Roman" w:eastAsia="Calibri" w:hAnsi="Times New Roman"/>
          <w:sz w:val="24"/>
          <w:szCs w:val="24"/>
        </w:rPr>
        <w:t>an</w:t>
      </w:r>
      <w:r w:rsidRPr="009542C3">
        <w:rPr>
          <w:rFonts w:ascii="Times New Roman" w:eastAsia="Calibri" w:hAnsi="Times New Roman"/>
          <w:sz w:val="24"/>
          <w:szCs w:val="24"/>
        </w:rPr>
        <w:t xml:space="preserve"> RSE licensee. </w:t>
      </w:r>
      <w:r w:rsidR="0032175F">
        <w:rPr>
          <w:rFonts w:ascii="Times New Roman" w:eastAsia="Calibri" w:hAnsi="Times New Roman"/>
          <w:sz w:val="24"/>
          <w:szCs w:val="24"/>
        </w:rPr>
        <w:t xml:space="preserve">SPS 310 outlines the roles and responsibilities of the RSE auditor of an RSE licensee, and it also outlines the obligations of an RSE licensee to make arrangements to enable an RSE auditor to fulfil his or her responsibilities. </w:t>
      </w:r>
      <w:r w:rsidR="004F3791">
        <w:rPr>
          <w:rFonts w:ascii="Times New Roman" w:eastAsia="Calibri" w:hAnsi="Times New Roman"/>
          <w:sz w:val="24"/>
          <w:szCs w:val="24"/>
        </w:rPr>
        <w:t xml:space="preserve">The amendments to SPS 310 </w:t>
      </w:r>
      <w:r w:rsidR="00DE087C">
        <w:rPr>
          <w:rFonts w:ascii="Times New Roman" w:eastAsia="Calibri" w:hAnsi="Times New Roman"/>
          <w:sz w:val="24"/>
          <w:szCs w:val="24"/>
        </w:rPr>
        <w:t xml:space="preserve">are minor; </w:t>
      </w:r>
      <w:r w:rsidR="0032175F">
        <w:rPr>
          <w:rFonts w:ascii="Times New Roman" w:eastAsia="Calibri" w:hAnsi="Times New Roman"/>
          <w:sz w:val="24"/>
          <w:szCs w:val="24"/>
        </w:rPr>
        <w:t>the</w:t>
      </w:r>
      <w:r w:rsidR="00DE087C">
        <w:rPr>
          <w:rFonts w:ascii="Times New Roman" w:eastAsia="Calibri" w:hAnsi="Times New Roman"/>
          <w:sz w:val="24"/>
          <w:szCs w:val="24"/>
        </w:rPr>
        <w:t xml:space="preserve">ir purpose is to remove a duplicative function by the removal of paragraph 19(b)(iv) and to include minor consequential amendments as a </w:t>
      </w:r>
      <w:r w:rsidR="00DE087C">
        <w:rPr>
          <w:rFonts w:ascii="Times New Roman" w:eastAsia="Calibri" w:hAnsi="Times New Roman"/>
          <w:sz w:val="24"/>
          <w:szCs w:val="24"/>
        </w:rPr>
        <w:lastRenderedPageBreak/>
        <w:t>result of this change. It is expected that the a</w:t>
      </w:r>
      <w:r w:rsidR="00DE087C" w:rsidRPr="00DE087C">
        <w:rPr>
          <w:rFonts w:ascii="Times New Roman" w:eastAsia="Calibri" w:hAnsi="Times New Roman"/>
          <w:sz w:val="24"/>
          <w:szCs w:val="24"/>
        </w:rPr>
        <w:t>mendment</w:t>
      </w:r>
      <w:r w:rsidR="00DE087C">
        <w:rPr>
          <w:rFonts w:ascii="Times New Roman" w:eastAsia="Calibri" w:hAnsi="Times New Roman"/>
          <w:sz w:val="24"/>
          <w:szCs w:val="24"/>
        </w:rPr>
        <w:t xml:space="preserve">s are </w:t>
      </w:r>
      <w:r w:rsidR="00DE087C" w:rsidRPr="00DE087C">
        <w:rPr>
          <w:rFonts w:ascii="Times New Roman" w:eastAsia="Calibri" w:hAnsi="Times New Roman"/>
          <w:sz w:val="24"/>
          <w:szCs w:val="24"/>
        </w:rPr>
        <w:t xml:space="preserve">likely to reduce compliance burden for superannuation auditors without affecting the </w:t>
      </w:r>
      <w:r w:rsidR="00B57414" w:rsidRPr="00A67F0B">
        <w:rPr>
          <w:rFonts w:ascii="Times New Roman" w:eastAsia="Calibri" w:hAnsi="Times New Roman"/>
          <w:sz w:val="24"/>
          <w:szCs w:val="24"/>
        </w:rPr>
        <w:t xml:space="preserve">prudential effectiveness of </w:t>
      </w:r>
      <w:r w:rsidR="00DE087C" w:rsidRPr="00DE087C">
        <w:rPr>
          <w:rFonts w:ascii="Times New Roman" w:eastAsia="Calibri" w:hAnsi="Times New Roman"/>
          <w:sz w:val="24"/>
          <w:szCs w:val="24"/>
        </w:rPr>
        <w:t>RSE licensee ORFR strategies</w:t>
      </w:r>
      <w:r w:rsidR="00630EEA">
        <w:rPr>
          <w:rFonts w:ascii="Times New Roman" w:eastAsia="Calibri" w:hAnsi="Times New Roman"/>
          <w:sz w:val="24"/>
          <w:szCs w:val="24"/>
        </w:rPr>
        <w:t>.</w:t>
      </w:r>
    </w:p>
    <w:p w14:paraId="19945489" w14:textId="77777777" w:rsidR="003C32B3" w:rsidRPr="003C32B3" w:rsidRDefault="003C32B3" w:rsidP="00A67F0B">
      <w:pPr>
        <w:spacing w:after="240"/>
        <w:jc w:val="both"/>
        <w:rPr>
          <w:rFonts w:ascii="Times New Roman" w:eastAsia="Calibri" w:hAnsi="Times New Roman"/>
          <w:b/>
          <w:sz w:val="24"/>
          <w:szCs w:val="24"/>
        </w:rPr>
      </w:pPr>
      <w:r w:rsidRPr="003C32B3">
        <w:rPr>
          <w:rFonts w:ascii="Times New Roman" w:eastAsia="Calibri" w:hAnsi="Times New Roman"/>
          <w:b/>
          <w:sz w:val="24"/>
          <w:szCs w:val="24"/>
        </w:rPr>
        <w:t>Human rights implications</w:t>
      </w:r>
    </w:p>
    <w:p w14:paraId="0FECB044" w14:textId="62D020EB" w:rsidR="003C32B3" w:rsidRDefault="003C32B3" w:rsidP="00A67F0B">
      <w:pPr>
        <w:spacing w:after="240"/>
        <w:jc w:val="both"/>
        <w:rPr>
          <w:rFonts w:ascii="Times New Roman" w:eastAsia="Calibri" w:hAnsi="Times New Roman"/>
          <w:sz w:val="24"/>
          <w:szCs w:val="24"/>
        </w:rPr>
      </w:pPr>
      <w:r w:rsidRPr="003C32B3">
        <w:rPr>
          <w:rFonts w:ascii="Times New Roman" w:eastAsia="Calibri" w:hAnsi="Times New Roman"/>
          <w:sz w:val="24"/>
          <w:szCs w:val="24"/>
        </w:rPr>
        <w:t>APRA has assessed the instrument against the international instruments listed in</w:t>
      </w:r>
      <w:r w:rsidR="00F057C6">
        <w:rPr>
          <w:rFonts w:ascii="Times New Roman" w:eastAsia="Calibri" w:hAnsi="Times New Roman"/>
          <w:sz w:val="24"/>
          <w:szCs w:val="24"/>
        </w:rPr>
        <w:t xml:space="preserve"> </w:t>
      </w:r>
      <w:r w:rsidRPr="003C32B3">
        <w:rPr>
          <w:rFonts w:ascii="Times New Roman" w:eastAsia="Calibri" w:hAnsi="Times New Roman"/>
          <w:sz w:val="24"/>
          <w:szCs w:val="24"/>
        </w:rPr>
        <w:t>section 3 of the HRPS Act and determined that it does not engage any of the</w:t>
      </w:r>
      <w:r>
        <w:rPr>
          <w:rFonts w:ascii="Times New Roman" w:eastAsia="Calibri" w:hAnsi="Times New Roman"/>
          <w:sz w:val="24"/>
          <w:szCs w:val="24"/>
        </w:rPr>
        <w:t xml:space="preserve"> </w:t>
      </w:r>
      <w:r w:rsidRPr="003C32B3">
        <w:rPr>
          <w:rFonts w:ascii="Times New Roman" w:eastAsia="Calibri" w:hAnsi="Times New Roman"/>
          <w:sz w:val="24"/>
          <w:szCs w:val="24"/>
        </w:rPr>
        <w:t>applicable rights or freedoms.</w:t>
      </w:r>
      <w:r>
        <w:rPr>
          <w:rFonts w:ascii="Times New Roman" w:eastAsia="Calibri" w:hAnsi="Times New Roman"/>
          <w:sz w:val="24"/>
          <w:szCs w:val="24"/>
        </w:rPr>
        <w:t xml:space="preserve"> </w:t>
      </w:r>
    </w:p>
    <w:p w14:paraId="658D0B31" w14:textId="77777777" w:rsidR="003C32B3" w:rsidRPr="003C32B3" w:rsidRDefault="003C32B3" w:rsidP="00A67F0B">
      <w:pPr>
        <w:spacing w:after="240"/>
        <w:jc w:val="both"/>
        <w:rPr>
          <w:rFonts w:ascii="Times New Roman" w:eastAsia="Calibri" w:hAnsi="Times New Roman"/>
          <w:b/>
          <w:sz w:val="24"/>
          <w:szCs w:val="24"/>
        </w:rPr>
      </w:pPr>
      <w:r w:rsidRPr="003C32B3">
        <w:rPr>
          <w:rFonts w:ascii="Times New Roman" w:eastAsia="Calibri" w:hAnsi="Times New Roman"/>
          <w:b/>
          <w:sz w:val="24"/>
          <w:szCs w:val="24"/>
        </w:rPr>
        <w:t xml:space="preserve">Conclusion </w:t>
      </w:r>
    </w:p>
    <w:p w14:paraId="702A60C1" w14:textId="6EF35534" w:rsidR="003C32B3" w:rsidRDefault="003C32B3" w:rsidP="00A67F0B">
      <w:pPr>
        <w:spacing w:after="240"/>
        <w:jc w:val="both"/>
        <w:rPr>
          <w:rFonts w:ascii="Times New Roman" w:eastAsia="Calibri" w:hAnsi="Times New Roman"/>
          <w:sz w:val="24"/>
          <w:szCs w:val="24"/>
        </w:rPr>
      </w:pPr>
      <w:r w:rsidRPr="003C32B3">
        <w:rPr>
          <w:rFonts w:ascii="Times New Roman" w:eastAsia="Calibri" w:hAnsi="Times New Roman"/>
          <w:sz w:val="24"/>
          <w:szCs w:val="24"/>
        </w:rPr>
        <w:t>This Legislative Instrument is compatible with human rights as it does not raise any</w:t>
      </w:r>
      <w:r>
        <w:rPr>
          <w:rFonts w:ascii="Times New Roman" w:eastAsia="Calibri" w:hAnsi="Times New Roman"/>
          <w:sz w:val="24"/>
          <w:szCs w:val="24"/>
        </w:rPr>
        <w:t xml:space="preserve"> </w:t>
      </w:r>
      <w:r w:rsidRPr="003C32B3">
        <w:rPr>
          <w:rFonts w:ascii="Times New Roman" w:eastAsia="Calibri" w:hAnsi="Times New Roman"/>
          <w:sz w:val="24"/>
          <w:szCs w:val="24"/>
        </w:rPr>
        <w:t>human rights issues.</w:t>
      </w:r>
    </w:p>
    <w:p w14:paraId="6A77C0B2" w14:textId="668DFCDC" w:rsidR="00B04B20" w:rsidRPr="009542C3" w:rsidRDefault="003C32B3" w:rsidP="00DF7DA0">
      <w:pPr>
        <w:spacing w:after="240"/>
        <w:rPr>
          <w:rFonts w:ascii="Times New Roman" w:hAnsi="Times New Roman"/>
          <w:sz w:val="24"/>
          <w:szCs w:val="24"/>
        </w:rPr>
      </w:pPr>
      <w:r>
        <w:rPr>
          <w:rFonts w:ascii="Times New Roman" w:eastAsia="Calibri" w:hAnsi="Times New Roman"/>
          <w:sz w:val="24"/>
          <w:szCs w:val="24"/>
        </w:rPr>
        <w:t xml:space="preserve"> </w:t>
      </w:r>
      <w:r w:rsidR="009542C3">
        <w:rPr>
          <w:rFonts w:ascii="Times New Roman" w:hAnsi="Times New Roman"/>
          <w:b/>
          <w:sz w:val="24"/>
          <w:szCs w:val="24"/>
        </w:rPr>
        <w:t xml:space="preserve"> </w:t>
      </w:r>
    </w:p>
    <w:sectPr w:rsidR="00B04B20" w:rsidRPr="009542C3" w:rsidSect="003D5032">
      <w:footerReference w:type="default" r:id="rId13"/>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376DE" w14:textId="77777777" w:rsidR="00B8684C" w:rsidRDefault="00B8684C" w:rsidP="00DF7DA0">
      <w:r>
        <w:separator/>
      </w:r>
    </w:p>
  </w:endnote>
  <w:endnote w:type="continuationSeparator" w:id="0">
    <w:p w14:paraId="3B201924" w14:textId="77777777" w:rsidR="00B8684C" w:rsidRDefault="00B8684C" w:rsidP="00DF7DA0">
      <w:r>
        <w:continuationSeparator/>
      </w:r>
    </w:p>
  </w:endnote>
  <w:endnote w:type="continuationNotice" w:id="1">
    <w:p w14:paraId="01CE828F" w14:textId="77777777" w:rsidR="00057DDB" w:rsidRDefault="00057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B8684C" w:rsidRPr="00DF7DA0" w:rsidRDefault="00B8684C"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335A45">
          <w:rPr>
            <w:rFonts w:ascii="Times New Roman" w:hAnsi="Times New Roman"/>
            <w:bCs/>
            <w:noProof/>
            <w:sz w:val="24"/>
            <w:szCs w:val="24"/>
          </w:rPr>
          <w:t>1</w:t>
        </w:r>
        <w:r w:rsidRPr="00DF7DA0">
          <w:rPr>
            <w:rFonts w:ascii="Times New Roman" w:hAnsi="Times New Roman"/>
            <w:bCs/>
            <w:sz w:val="24"/>
            <w:szCs w:val="24"/>
          </w:rPr>
          <w:fldChar w:fldCharType="end"/>
        </w:r>
      </w:p>
    </w:sdtContent>
  </w:sdt>
  <w:p w14:paraId="63A27E33" w14:textId="77777777" w:rsidR="00B8684C" w:rsidRDefault="00B86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E26CC" w14:textId="77777777" w:rsidR="00B8684C" w:rsidRDefault="00B8684C" w:rsidP="00DF7DA0">
      <w:r>
        <w:separator/>
      </w:r>
    </w:p>
  </w:footnote>
  <w:footnote w:type="continuationSeparator" w:id="0">
    <w:p w14:paraId="1532E4BA" w14:textId="77777777" w:rsidR="00B8684C" w:rsidRDefault="00B8684C" w:rsidP="00DF7DA0">
      <w:r>
        <w:continuationSeparator/>
      </w:r>
    </w:p>
  </w:footnote>
  <w:footnote w:type="continuationNotice" w:id="1">
    <w:p w14:paraId="2F94ED71" w14:textId="77777777" w:rsidR="00057DDB" w:rsidRDefault="00057DDB"/>
  </w:footnote>
  <w:footnote w:id="2">
    <w:p w14:paraId="4A2E224C" w14:textId="0663191D" w:rsidR="00B8684C" w:rsidRPr="00F47C06" w:rsidRDefault="00B8684C">
      <w:pPr>
        <w:pStyle w:val="FootnoteText"/>
        <w:rPr>
          <w:rFonts w:ascii="Times New Roman" w:hAnsi="Times New Roman"/>
        </w:rPr>
      </w:pPr>
      <w:r w:rsidRPr="00F47C06">
        <w:rPr>
          <w:rStyle w:val="FootnoteReference"/>
          <w:rFonts w:ascii="Times New Roman" w:hAnsi="Times New Roman"/>
        </w:rPr>
        <w:footnoteRef/>
      </w:r>
      <w:r w:rsidRPr="00F47C06">
        <w:rPr>
          <w:rFonts w:ascii="Times New Roman" w:hAnsi="Times New Roman"/>
        </w:rPr>
        <w:t xml:space="preserve"> Refer to </w:t>
      </w:r>
      <w:r w:rsidRPr="00F47C06">
        <w:rPr>
          <w:rFonts w:ascii="Times New Roman" w:hAnsi="Times New Roman"/>
          <w:i/>
        </w:rPr>
        <w:t>Prudential Standard SPS 114 Operational Risk Financial Requirement</w:t>
      </w:r>
      <w:r w:rsidRPr="00F47C06">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DA3D61"/>
    <w:multiLevelType w:val="hybridMultilevel"/>
    <w:tmpl w:val="16F87DAA"/>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7A"/>
    <w:rsid w:val="00003D3A"/>
    <w:rsid w:val="00003FA0"/>
    <w:rsid w:val="000172BB"/>
    <w:rsid w:val="0002390A"/>
    <w:rsid w:val="00027797"/>
    <w:rsid w:val="000401FC"/>
    <w:rsid w:val="00057DDB"/>
    <w:rsid w:val="000B6A84"/>
    <w:rsid w:val="000C0567"/>
    <w:rsid w:val="000E369C"/>
    <w:rsid w:val="00152253"/>
    <w:rsid w:val="00155C61"/>
    <w:rsid w:val="0016350D"/>
    <w:rsid w:val="00182FA1"/>
    <w:rsid w:val="00195547"/>
    <w:rsid w:val="001E01E0"/>
    <w:rsid w:val="001F0F65"/>
    <w:rsid w:val="001F4864"/>
    <w:rsid w:val="0020135B"/>
    <w:rsid w:val="00214613"/>
    <w:rsid w:val="002436BD"/>
    <w:rsid w:val="00246723"/>
    <w:rsid w:val="002624C9"/>
    <w:rsid w:val="0028210B"/>
    <w:rsid w:val="00284B69"/>
    <w:rsid w:val="002935C1"/>
    <w:rsid w:val="002A73BD"/>
    <w:rsid w:val="002D5579"/>
    <w:rsid w:val="002E2D85"/>
    <w:rsid w:val="0030368E"/>
    <w:rsid w:val="0030506B"/>
    <w:rsid w:val="003177FB"/>
    <w:rsid w:val="0032175F"/>
    <w:rsid w:val="00335A45"/>
    <w:rsid w:val="00350182"/>
    <w:rsid w:val="00354CB8"/>
    <w:rsid w:val="003744B5"/>
    <w:rsid w:val="003866AD"/>
    <w:rsid w:val="003C32B3"/>
    <w:rsid w:val="003D5032"/>
    <w:rsid w:val="0040175E"/>
    <w:rsid w:val="00422164"/>
    <w:rsid w:val="00443A02"/>
    <w:rsid w:val="00457C57"/>
    <w:rsid w:val="00462C7E"/>
    <w:rsid w:val="00470375"/>
    <w:rsid w:val="0049269A"/>
    <w:rsid w:val="004A6B4F"/>
    <w:rsid w:val="004C3D07"/>
    <w:rsid w:val="004D55F9"/>
    <w:rsid w:val="004E2008"/>
    <w:rsid w:val="004F3791"/>
    <w:rsid w:val="00504FFE"/>
    <w:rsid w:val="0056141D"/>
    <w:rsid w:val="005D21D7"/>
    <w:rsid w:val="005E5910"/>
    <w:rsid w:val="00613CBF"/>
    <w:rsid w:val="00616A26"/>
    <w:rsid w:val="00620816"/>
    <w:rsid w:val="00622480"/>
    <w:rsid w:val="00630EEA"/>
    <w:rsid w:val="00647D58"/>
    <w:rsid w:val="00657678"/>
    <w:rsid w:val="00682865"/>
    <w:rsid w:val="00684F73"/>
    <w:rsid w:val="00687885"/>
    <w:rsid w:val="00694691"/>
    <w:rsid w:val="006B093F"/>
    <w:rsid w:val="006B7902"/>
    <w:rsid w:val="006E255B"/>
    <w:rsid w:val="007031F4"/>
    <w:rsid w:val="007049CF"/>
    <w:rsid w:val="007356CC"/>
    <w:rsid w:val="007368AD"/>
    <w:rsid w:val="007428D4"/>
    <w:rsid w:val="00747AFF"/>
    <w:rsid w:val="00750855"/>
    <w:rsid w:val="007548D7"/>
    <w:rsid w:val="00785CDC"/>
    <w:rsid w:val="007E1511"/>
    <w:rsid w:val="007E2547"/>
    <w:rsid w:val="007E4B2A"/>
    <w:rsid w:val="00814D23"/>
    <w:rsid w:val="00817A7D"/>
    <w:rsid w:val="00830259"/>
    <w:rsid w:val="00830F66"/>
    <w:rsid w:val="00857865"/>
    <w:rsid w:val="008614DC"/>
    <w:rsid w:val="00870B21"/>
    <w:rsid w:val="00885F41"/>
    <w:rsid w:val="008942DA"/>
    <w:rsid w:val="00896147"/>
    <w:rsid w:val="008C0C2E"/>
    <w:rsid w:val="008C525D"/>
    <w:rsid w:val="008C7C92"/>
    <w:rsid w:val="008D0408"/>
    <w:rsid w:val="009177FD"/>
    <w:rsid w:val="00932EFA"/>
    <w:rsid w:val="00945087"/>
    <w:rsid w:val="009542C3"/>
    <w:rsid w:val="00961A4F"/>
    <w:rsid w:val="009669EA"/>
    <w:rsid w:val="00967D16"/>
    <w:rsid w:val="009927BF"/>
    <w:rsid w:val="00995B88"/>
    <w:rsid w:val="009A2C39"/>
    <w:rsid w:val="009C1DC7"/>
    <w:rsid w:val="009C5368"/>
    <w:rsid w:val="00A0741E"/>
    <w:rsid w:val="00A20F47"/>
    <w:rsid w:val="00A23ED6"/>
    <w:rsid w:val="00A279AF"/>
    <w:rsid w:val="00A4133B"/>
    <w:rsid w:val="00A573C7"/>
    <w:rsid w:val="00A6325C"/>
    <w:rsid w:val="00A63A2B"/>
    <w:rsid w:val="00A67F0B"/>
    <w:rsid w:val="00A748A1"/>
    <w:rsid w:val="00A8305F"/>
    <w:rsid w:val="00A94110"/>
    <w:rsid w:val="00AC2517"/>
    <w:rsid w:val="00AC61D6"/>
    <w:rsid w:val="00AC7A56"/>
    <w:rsid w:val="00AE31F7"/>
    <w:rsid w:val="00B04B20"/>
    <w:rsid w:val="00B25800"/>
    <w:rsid w:val="00B35BCC"/>
    <w:rsid w:val="00B37FF8"/>
    <w:rsid w:val="00B52D45"/>
    <w:rsid w:val="00B57414"/>
    <w:rsid w:val="00B64B2E"/>
    <w:rsid w:val="00B85B6E"/>
    <w:rsid w:val="00B8684C"/>
    <w:rsid w:val="00B96416"/>
    <w:rsid w:val="00BB1678"/>
    <w:rsid w:val="00BF2953"/>
    <w:rsid w:val="00BF5C8D"/>
    <w:rsid w:val="00C011ED"/>
    <w:rsid w:val="00C302FA"/>
    <w:rsid w:val="00C423CD"/>
    <w:rsid w:val="00C948AA"/>
    <w:rsid w:val="00CA6CB3"/>
    <w:rsid w:val="00CB384A"/>
    <w:rsid w:val="00CD1947"/>
    <w:rsid w:val="00CE1BB4"/>
    <w:rsid w:val="00D17ABC"/>
    <w:rsid w:val="00D40B2B"/>
    <w:rsid w:val="00D64906"/>
    <w:rsid w:val="00D75414"/>
    <w:rsid w:val="00D81CC2"/>
    <w:rsid w:val="00D87E36"/>
    <w:rsid w:val="00DD5C02"/>
    <w:rsid w:val="00DE087C"/>
    <w:rsid w:val="00DF524E"/>
    <w:rsid w:val="00DF7DA0"/>
    <w:rsid w:val="00E13D57"/>
    <w:rsid w:val="00E15497"/>
    <w:rsid w:val="00E16789"/>
    <w:rsid w:val="00E201A8"/>
    <w:rsid w:val="00E52DFE"/>
    <w:rsid w:val="00E72068"/>
    <w:rsid w:val="00E758B5"/>
    <w:rsid w:val="00E90C89"/>
    <w:rsid w:val="00EB5A73"/>
    <w:rsid w:val="00EC54F1"/>
    <w:rsid w:val="00EC5653"/>
    <w:rsid w:val="00EF1CBC"/>
    <w:rsid w:val="00F044A6"/>
    <w:rsid w:val="00F057C6"/>
    <w:rsid w:val="00F26AF5"/>
    <w:rsid w:val="00F30C81"/>
    <w:rsid w:val="00F31EDE"/>
    <w:rsid w:val="00F436BC"/>
    <w:rsid w:val="00F47C06"/>
    <w:rsid w:val="00F51E5D"/>
    <w:rsid w:val="00F53C6D"/>
    <w:rsid w:val="00F5607A"/>
    <w:rsid w:val="00F7706D"/>
    <w:rsid w:val="00F94C28"/>
    <w:rsid w:val="00FA5345"/>
    <w:rsid w:val="00FD5004"/>
    <w:rsid w:val="00FD7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2A69A6A"/>
  <w15:docId w15:val="{639DA553-8A30-4A57-B94F-F536F2A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basedOn w:val="Normal"/>
    <w:link w:val="FootnoteTextChar"/>
    <w:uiPriority w:val="99"/>
    <w:semiHidden/>
    <w:unhideWhenUsed/>
    <w:rsid w:val="000B6A84"/>
    <w:rPr>
      <w:sz w:val="20"/>
    </w:rPr>
  </w:style>
  <w:style w:type="character" w:customStyle="1" w:styleId="FootnoteTextChar">
    <w:name w:val="Footnote Text Char"/>
    <w:basedOn w:val="DefaultParagraphFont"/>
    <w:link w:val="FootnoteText"/>
    <w:uiPriority w:val="99"/>
    <w:semiHidden/>
    <w:rsid w:val="000B6A84"/>
    <w:rPr>
      <w:rFonts w:ascii="Trebuchet MS" w:eastAsia="Times New Roman" w:hAnsi="Trebuchet MS"/>
    </w:rPr>
  </w:style>
  <w:style w:type="character" w:styleId="FootnoteReference">
    <w:name w:val="footnote reference"/>
    <w:basedOn w:val="DefaultParagraphFont"/>
    <w:uiPriority w:val="99"/>
    <w:semiHidden/>
    <w:unhideWhenUsed/>
    <w:rsid w:val="000B6A84"/>
    <w:rPr>
      <w:vertAlign w:val="superscript"/>
    </w:rPr>
  </w:style>
  <w:style w:type="character" w:styleId="FollowedHyperlink">
    <w:name w:val="FollowedHyperlink"/>
    <w:basedOn w:val="DefaultParagraphFont"/>
    <w:uiPriority w:val="99"/>
    <w:semiHidden/>
    <w:unhideWhenUsed/>
    <w:rsid w:val="00F51E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Explanatory statement</TermName>
          <TermId>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prudential standard; precedent;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2018-04-17T14:00:00+00:00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Superannuation (prudential standard) determination No. 1 of 2018</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2018</TermName>
          <TermId>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5JENXJJSCC7A-445999044-8058</_dlc_DocId>
    <_dlc_DocIdUrl xmlns="814d62cb-2db6-4c25-ab62-b9075facbc11">
      <Url>https://im/teams/LEGAL/_layouts/15/DocIdRedir.aspx?ID=5JENXJJSCC7A-445999044-8058</Url>
      <Description>5JENXJJSCC7A-445999044-8058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2FB3-745E-4AE1-8F1C-9D29C17E2A97}">
  <ds:schemaRefs>
    <ds:schemaRef ds:uri="Microsoft.SharePoint.Taxonomy.ContentTypeSync"/>
  </ds:schemaRefs>
</ds:datastoreItem>
</file>

<file path=customXml/itemProps2.xml><?xml version="1.0" encoding="utf-8"?>
<ds:datastoreItem xmlns:ds="http://schemas.openxmlformats.org/officeDocument/2006/customXml" ds:itemID="{6AD1B70D-A6A8-4556-B7C1-F94206C4A61B}">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814d62cb-2db6-4c25-ab62-b9075facbc11"/>
    <ds:schemaRef ds:uri="http://purl.org/dc/dcmitype/"/>
  </ds:schemaRefs>
</ds:datastoreItem>
</file>

<file path=customXml/itemProps3.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4.xml><?xml version="1.0" encoding="utf-8"?>
<ds:datastoreItem xmlns:ds="http://schemas.openxmlformats.org/officeDocument/2006/customXml" ds:itemID="{B76EAF7C-C054-456D-BB6F-9A71CE16A5D9}">
  <ds:schemaRefs>
    <ds:schemaRef ds:uri="http://schemas.microsoft.com/sharepoint/events"/>
  </ds:schemaRefs>
</ds:datastoreItem>
</file>

<file path=customXml/itemProps5.xml><?xml version="1.0" encoding="utf-8"?>
<ds:datastoreItem xmlns:ds="http://schemas.openxmlformats.org/officeDocument/2006/customXml" ds:itemID="{A25F4A33-EDD2-4269-9286-2C7D82B62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9FBDF0-6CD3-42B9-A7C2-8CEB1738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0</TotalTime>
  <Pages>3</Pages>
  <Words>893</Words>
  <Characters>5023</Characters>
  <Application>Microsoft Office Word</Application>
  <DocSecurity>0</DocSecurity>
  <Lines>96</Lines>
  <Paragraphs>41</Paragraphs>
  <ScaleCrop>false</ScaleCrop>
  <HeadingPairs>
    <vt:vector size="2" baseType="variant">
      <vt:variant>
        <vt:lpstr>Title</vt:lpstr>
      </vt:variant>
      <vt:variant>
        <vt:i4>1</vt:i4>
      </vt:variant>
    </vt:vector>
  </HeadingPairs>
  <TitlesOfParts>
    <vt:vector size="1" baseType="lpstr">
      <vt:lpstr>Explanatory statement revoke and replace prudential standard</vt:lpstr>
    </vt:vector>
  </TitlesOfParts>
  <Company>APRA</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revoke and replace prudential standard</dc:title>
  <dc:creator>Sullivan, David</dc:creator>
  <cp:keywords>[SEC=UNCLASSIFIED]</cp:keywords>
  <cp:lastModifiedBy>Toni Michalis</cp:lastModifiedBy>
  <cp:revision>2</cp:revision>
  <cp:lastPrinted>2018-04-18T00:57:00Z</cp:lastPrinted>
  <dcterms:created xsi:type="dcterms:W3CDTF">2018-04-18T03:20:00Z</dcterms:created>
  <dcterms:modified xsi:type="dcterms:W3CDTF">2018-04-18T03:20:00Z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980739D7151A20B706D28749D697BE1CA551D134</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76DF2AD9D6486BE3FC08A9DAB260FA26C158E7BF</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21ED1FDBCD7D4344A20D6AFD8053454A</vt:lpwstr>
  </property>
  <property fmtid="{D5CDD505-2E9C-101B-9397-08002B2CF9AE}" pid="16" name="PM_OriginationTimeStamp">
    <vt:lpwstr>2018-03-05T06:59:09Z</vt:lpwstr>
  </property>
  <property fmtid="{D5CDD505-2E9C-101B-9397-08002B2CF9AE}" pid="17" name="PM_Hash_Version">
    <vt:lpwstr>2016.1</vt:lpwstr>
  </property>
  <property fmtid="{D5CDD505-2E9C-101B-9397-08002B2CF9AE}" pid="18" name="PM_Hash_Salt_Prev">
    <vt:lpwstr>B6BD844BB9A0D2D82B7E176B2F5EC439</vt:lpwstr>
  </property>
  <property fmtid="{D5CDD505-2E9C-101B-9397-08002B2CF9AE}" pid="19" name="PM_Hash_Salt">
    <vt:lpwstr>6AD52BCB104F8AB9A182B2B7ABA021FC</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4" name="APRAYear">
    <vt:lpwstr>171;#2018|337d548e-be9a-4363-bbb3-ec2b7c3daa90</vt:lpwstr>
  </property>
  <property fmtid="{D5CDD505-2E9C-101B-9397-08002B2CF9AE}" pid="25" name="APRAIndustry">
    <vt:lpwstr/>
  </property>
  <property fmtid="{D5CDD505-2E9C-101B-9397-08002B2CF9AE}" pid="26" name="APRAPRSG">
    <vt:lpwstr/>
  </property>
  <property fmtid="{D5CDD505-2E9C-101B-9397-08002B2CF9AE}" pid="27" name="_dlc_DocIdItemGuid">
    <vt:lpwstr>c80221b5-0843-4401-a59c-09f526fc5faa</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{c80221b5-0843-4401-a59c-09f526fc5faa}</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PM_SecurityClassification_Prev">
    <vt:lpwstr>UNCLASSIFIED</vt:lpwstr>
  </property>
  <property fmtid="{D5CDD505-2E9C-101B-9397-08002B2CF9AE}" pid="46" name="PM_Qualifier_Prev">
    <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