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B41C5" w14:textId="77777777" w:rsidR="00395D54" w:rsidRPr="000C58E5" w:rsidRDefault="00395D54" w:rsidP="00267AC9">
      <w:pPr>
        <w:pStyle w:val="Title"/>
        <w:rPr>
          <w:b/>
          <w:sz w:val="22"/>
          <w:szCs w:val="22"/>
        </w:rPr>
      </w:pPr>
      <w:bookmarkStart w:id="0" w:name="_GoBack"/>
      <w:bookmarkEnd w:id="0"/>
      <w:r w:rsidRPr="000C58E5">
        <w:rPr>
          <w:b/>
          <w:sz w:val="22"/>
          <w:szCs w:val="22"/>
        </w:rPr>
        <w:t>EXPLANATORY STATEMENT</w:t>
      </w:r>
    </w:p>
    <w:p w14:paraId="2A06DAB0" w14:textId="77777777" w:rsidR="00267AC9" w:rsidRDefault="00267AC9" w:rsidP="00267AC9">
      <w:pPr>
        <w:pStyle w:val="Title"/>
        <w:rPr>
          <w:b/>
          <w:sz w:val="22"/>
          <w:szCs w:val="22"/>
          <w:u w:val="none"/>
        </w:rPr>
      </w:pPr>
    </w:p>
    <w:p w14:paraId="64006DA6" w14:textId="77777777" w:rsidR="00267AC9" w:rsidRPr="00A73AF2" w:rsidRDefault="00267AC9" w:rsidP="00267AC9">
      <w:pPr>
        <w:pStyle w:val="Title"/>
        <w:rPr>
          <w:b/>
          <w:sz w:val="22"/>
          <w:szCs w:val="22"/>
          <w:u w:val="none"/>
        </w:rPr>
      </w:pPr>
      <w:r>
        <w:rPr>
          <w:b/>
          <w:sz w:val="22"/>
          <w:szCs w:val="22"/>
          <w:u w:val="none"/>
        </w:rPr>
        <w:t xml:space="preserve">Issued by the </w:t>
      </w:r>
      <w:r w:rsidRPr="00A73AF2">
        <w:rPr>
          <w:b/>
          <w:sz w:val="22"/>
          <w:szCs w:val="22"/>
          <w:u w:val="none"/>
        </w:rPr>
        <w:t>Australian Fisheries Management Authority</w:t>
      </w:r>
    </w:p>
    <w:p w14:paraId="7F7B5FBA" w14:textId="77777777" w:rsidR="00267AC9" w:rsidRPr="00C027EE" w:rsidRDefault="00267AC9" w:rsidP="00267AC9">
      <w:pPr>
        <w:pStyle w:val="Heading1"/>
        <w:spacing w:before="180"/>
        <w:rPr>
          <w:sz w:val="22"/>
          <w:szCs w:val="22"/>
        </w:rPr>
      </w:pPr>
      <w:r w:rsidRPr="00C027EE">
        <w:rPr>
          <w:sz w:val="22"/>
          <w:szCs w:val="22"/>
        </w:rPr>
        <w:t>Fisheries Management Act 1991</w:t>
      </w:r>
    </w:p>
    <w:p w14:paraId="3B146E63" w14:textId="77777777" w:rsidR="003D6AC1" w:rsidRPr="00267AC9" w:rsidRDefault="00A17E8B" w:rsidP="00267AC9">
      <w:pPr>
        <w:pStyle w:val="Title"/>
        <w:spacing w:before="240"/>
        <w:rPr>
          <w:b/>
          <w:sz w:val="22"/>
          <w:szCs w:val="22"/>
          <w:u w:val="none"/>
          <w:lang w:val="en-US"/>
        </w:rPr>
      </w:pPr>
      <w:r w:rsidRPr="00A17E8B">
        <w:rPr>
          <w:b/>
          <w:sz w:val="22"/>
          <w:szCs w:val="22"/>
          <w:u w:val="none"/>
          <w:lang w:val="en-US"/>
        </w:rPr>
        <w:t>LOGBOOKS FOR FISHERIES AMENDMENT DETERMINATION 2018 (NO. 1)</w:t>
      </w:r>
    </w:p>
    <w:p w14:paraId="19DBA3B5" w14:textId="77777777" w:rsidR="0074246E" w:rsidRPr="002E7788" w:rsidRDefault="003F777E">
      <w:pPr>
        <w:spacing w:before="120"/>
        <w:jc w:val="both"/>
        <w:rPr>
          <w:sz w:val="22"/>
          <w:szCs w:val="22"/>
        </w:rPr>
      </w:pPr>
      <w:r w:rsidRPr="002E7788">
        <w:rPr>
          <w:sz w:val="22"/>
          <w:szCs w:val="22"/>
        </w:rPr>
        <w:t>The d</w:t>
      </w:r>
      <w:r w:rsidR="0074246E" w:rsidRPr="002E7788">
        <w:rPr>
          <w:sz w:val="22"/>
          <w:szCs w:val="22"/>
        </w:rPr>
        <w:t xml:space="preserve">etermination is a legislative instrument for the purposes of the </w:t>
      </w:r>
      <w:r w:rsidR="00381CB6">
        <w:rPr>
          <w:i/>
          <w:sz w:val="22"/>
          <w:szCs w:val="22"/>
        </w:rPr>
        <w:t>Legislation</w:t>
      </w:r>
      <w:r w:rsidR="0074246E" w:rsidRPr="002E7788">
        <w:rPr>
          <w:i/>
          <w:sz w:val="22"/>
          <w:szCs w:val="22"/>
        </w:rPr>
        <w:t xml:space="preserve"> Act 2003</w:t>
      </w:r>
      <w:r w:rsidR="0074246E" w:rsidRPr="002E7788">
        <w:rPr>
          <w:sz w:val="22"/>
          <w:szCs w:val="22"/>
        </w:rPr>
        <w:t>.</w:t>
      </w:r>
    </w:p>
    <w:p w14:paraId="1A242522" w14:textId="77777777" w:rsidR="00395D54" w:rsidRPr="002E7788" w:rsidRDefault="00395D54" w:rsidP="00F0525A">
      <w:pPr>
        <w:spacing w:before="120"/>
        <w:rPr>
          <w:sz w:val="22"/>
          <w:szCs w:val="22"/>
        </w:rPr>
      </w:pPr>
      <w:r w:rsidRPr="002E7788">
        <w:rPr>
          <w:sz w:val="22"/>
          <w:szCs w:val="22"/>
        </w:rPr>
        <w:t xml:space="preserve">Subsection 42(1) of the </w:t>
      </w:r>
      <w:r w:rsidRPr="002E7788">
        <w:rPr>
          <w:i/>
          <w:sz w:val="22"/>
          <w:szCs w:val="22"/>
        </w:rPr>
        <w:t>Fisheries Management Act 1991</w:t>
      </w:r>
      <w:r w:rsidRPr="002E7788">
        <w:rPr>
          <w:sz w:val="22"/>
          <w:szCs w:val="22"/>
        </w:rPr>
        <w:t xml:space="preserve"> (the Act) </w:t>
      </w:r>
      <w:r w:rsidR="0074246E" w:rsidRPr="002E7788">
        <w:rPr>
          <w:sz w:val="22"/>
          <w:szCs w:val="22"/>
        </w:rPr>
        <w:t>provides</w:t>
      </w:r>
      <w:r w:rsidRPr="002E7788">
        <w:rPr>
          <w:sz w:val="22"/>
          <w:szCs w:val="22"/>
        </w:rPr>
        <w:t xml:space="preserve"> that:</w:t>
      </w:r>
    </w:p>
    <w:p w14:paraId="77B13CAD" w14:textId="77777777" w:rsidR="00395D54" w:rsidRPr="002E7788" w:rsidRDefault="007C57E5" w:rsidP="00F0525A">
      <w:pPr>
        <w:rPr>
          <w:sz w:val="22"/>
          <w:szCs w:val="22"/>
        </w:rPr>
      </w:pPr>
      <w:r w:rsidRPr="002E7788">
        <w:rPr>
          <w:sz w:val="22"/>
          <w:szCs w:val="22"/>
        </w:rPr>
        <w:t xml:space="preserve">“AFMA </w:t>
      </w:r>
      <w:r w:rsidR="00395D54" w:rsidRPr="002E7788">
        <w:rPr>
          <w:sz w:val="22"/>
          <w:szCs w:val="22"/>
        </w:rPr>
        <w:t xml:space="preserve">may, by </w:t>
      </w:r>
      <w:r w:rsidR="00EA3997" w:rsidRPr="002E7788">
        <w:rPr>
          <w:sz w:val="22"/>
          <w:szCs w:val="22"/>
        </w:rPr>
        <w:t xml:space="preserve">a </w:t>
      </w:r>
      <w:r w:rsidR="00395D54" w:rsidRPr="002E7788">
        <w:rPr>
          <w:sz w:val="22"/>
          <w:szCs w:val="22"/>
        </w:rPr>
        <w:t xml:space="preserve">written </w:t>
      </w:r>
      <w:r w:rsidR="00EA3997" w:rsidRPr="002E7788">
        <w:rPr>
          <w:sz w:val="22"/>
          <w:szCs w:val="22"/>
        </w:rPr>
        <w:t>d</w:t>
      </w:r>
      <w:r w:rsidR="00395D54" w:rsidRPr="002E7788">
        <w:rPr>
          <w:sz w:val="22"/>
          <w:szCs w:val="22"/>
        </w:rPr>
        <w:t xml:space="preserve">etermination, in relation to a particular fishery, provide for holders of fishing concessions in respect of that fishery to keep and maintain </w:t>
      </w:r>
      <w:r w:rsidR="00D43634" w:rsidRPr="002E7788">
        <w:rPr>
          <w:sz w:val="22"/>
          <w:szCs w:val="22"/>
        </w:rPr>
        <w:t>logbook</w:t>
      </w:r>
      <w:r w:rsidR="00395D54" w:rsidRPr="002E7788">
        <w:rPr>
          <w:sz w:val="22"/>
          <w:szCs w:val="22"/>
        </w:rPr>
        <w:t>s containing information in respect of their activities in that fishery.</w:t>
      </w:r>
      <w:r w:rsidRPr="002E7788">
        <w:rPr>
          <w:sz w:val="22"/>
          <w:szCs w:val="22"/>
        </w:rPr>
        <w:t>”</w:t>
      </w:r>
    </w:p>
    <w:p w14:paraId="6571A2F2" w14:textId="77777777" w:rsidR="00395D54" w:rsidRPr="002E7788" w:rsidRDefault="00395D54" w:rsidP="00F0525A">
      <w:pPr>
        <w:rPr>
          <w:sz w:val="22"/>
          <w:szCs w:val="22"/>
        </w:rPr>
      </w:pPr>
    </w:p>
    <w:p w14:paraId="5384FF8B" w14:textId="77777777" w:rsidR="00D27329" w:rsidRPr="002E7788" w:rsidRDefault="00D27329" w:rsidP="00F0525A">
      <w:pPr>
        <w:rPr>
          <w:sz w:val="22"/>
          <w:szCs w:val="22"/>
        </w:rPr>
      </w:pPr>
      <w:r w:rsidRPr="002E7788">
        <w:rPr>
          <w:sz w:val="22"/>
          <w:szCs w:val="22"/>
        </w:rPr>
        <w:t>Subsection 42(1A) of the Act provides that:</w:t>
      </w:r>
    </w:p>
    <w:p w14:paraId="304C6B56" w14:textId="77777777" w:rsidR="007C57E5" w:rsidRPr="002E7788" w:rsidRDefault="007C57E5" w:rsidP="00F0525A">
      <w:pPr>
        <w:rPr>
          <w:sz w:val="22"/>
          <w:szCs w:val="22"/>
        </w:rPr>
      </w:pPr>
      <w:r w:rsidRPr="002E7788">
        <w:rPr>
          <w:sz w:val="22"/>
          <w:szCs w:val="22"/>
        </w:rPr>
        <w:t>“W</w:t>
      </w:r>
      <w:r w:rsidR="00D27329" w:rsidRPr="002E7788">
        <w:rPr>
          <w:sz w:val="22"/>
          <w:szCs w:val="22"/>
        </w:rPr>
        <w:t>ithout limiting the generality of subsection (1), a determination by AFMA in respect of a particular fishery may cover matters including</w:t>
      </w:r>
      <w:r w:rsidRPr="002E7788">
        <w:rPr>
          <w:sz w:val="22"/>
          <w:szCs w:val="22"/>
        </w:rPr>
        <w:t>:</w:t>
      </w:r>
    </w:p>
    <w:p w14:paraId="7EBE9509" w14:textId="77777777" w:rsidR="00D27329" w:rsidRPr="002E7788" w:rsidRDefault="007C57E5" w:rsidP="00F0525A">
      <w:pPr>
        <w:ind w:left="709" w:hanging="709"/>
        <w:rPr>
          <w:sz w:val="22"/>
          <w:szCs w:val="22"/>
        </w:rPr>
      </w:pPr>
      <w:r w:rsidRPr="002E7788">
        <w:rPr>
          <w:sz w:val="22"/>
          <w:szCs w:val="22"/>
        </w:rPr>
        <w:t>(a)</w:t>
      </w:r>
      <w:r w:rsidRPr="002E7788">
        <w:rPr>
          <w:sz w:val="22"/>
          <w:szCs w:val="22"/>
        </w:rPr>
        <w:tab/>
      </w:r>
      <w:r w:rsidR="00D27329" w:rsidRPr="002E7788">
        <w:rPr>
          <w:sz w:val="22"/>
          <w:szCs w:val="22"/>
        </w:rPr>
        <w:t xml:space="preserve">the form and content of </w:t>
      </w:r>
      <w:r w:rsidR="00D43634" w:rsidRPr="002E7788">
        <w:rPr>
          <w:sz w:val="22"/>
          <w:szCs w:val="22"/>
        </w:rPr>
        <w:t>logbook</w:t>
      </w:r>
      <w:r w:rsidR="00D27329" w:rsidRPr="002E7788">
        <w:rPr>
          <w:sz w:val="22"/>
          <w:szCs w:val="22"/>
        </w:rPr>
        <w:t>s for that fishery to be kept by the concession holder</w:t>
      </w:r>
      <w:r w:rsidRPr="002E7788">
        <w:rPr>
          <w:sz w:val="22"/>
          <w:szCs w:val="22"/>
        </w:rPr>
        <w:t>; and…”</w:t>
      </w:r>
      <w:r w:rsidR="008365FF" w:rsidRPr="002E7788">
        <w:rPr>
          <w:sz w:val="22"/>
          <w:szCs w:val="22"/>
        </w:rPr>
        <w:t>.</w:t>
      </w:r>
    </w:p>
    <w:p w14:paraId="70686F74" w14:textId="77777777" w:rsidR="00D27329" w:rsidRPr="002E7788" w:rsidRDefault="00D27329" w:rsidP="00F0525A">
      <w:pPr>
        <w:rPr>
          <w:sz w:val="22"/>
          <w:szCs w:val="22"/>
        </w:rPr>
      </w:pPr>
    </w:p>
    <w:p w14:paraId="7188B8A3" w14:textId="77777777" w:rsidR="00395D54" w:rsidRPr="002E7788" w:rsidRDefault="00395D54" w:rsidP="00F0525A">
      <w:pPr>
        <w:rPr>
          <w:sz w:val="22"/>
          <w:szCs w:val="22"/>
        </w:rPr>
      </w:pPr>
      <w:r w:rsidRPr="002E7788">
        <w:rPr>
          <w:sz w:val="22"/>
          <w:szCs w:val="22"/>
        </w:rPr>
        <w:t xml:space="preserve">Subsection 42(1B) of the Act </w:t>
      </w:r>
      <w:r w:rsidR="0074246E" w:rsidRPr="002E7788">
        <w:rPr>
          <w:sz w:val="22"/>
          <w:szCs w:val="22"/>
        </w:rPr>
        <w:t>provides</w:t>
      </w:r>
      <w:r w:rsidRPr="002E7788">
        <w:rPr>
          <w:sz w:val="22"/>
          <w:szCs w:val="22"/>
        </w:rPr>
        <w:t xml:space="preserve"> that:</w:t>
      </w:r>
    </w:p>
    <w:p w14:paraId="25203D07" w14:textId="77777777" w:rsidR="00395D54" w:rsidRPr="002E7788" w:rsidRDefault="007C57E5" w:rsidP="00F0525A">
      <w:pPr>
        <w:rPr>
          <w:sz w:val="22"/>
          <w:szCs w:val="22"/>
        </w:rPr>
      </w:pPr>
      <w:r w:rsidRPr="002E7788">
        <w:rPr>
          <w:sz w:val="22"/>
          <w:szCs w:val="22"/>
        </w:rPr>
        <w:t>“</w:t>
      </w:r>
      <w:r w:rsidR="003F777E" w:rsidRPr="002E7788">
        <w:rPr>
          <w:sz w:val="22"/>
          <w:szCs w:val="22"/>
        </w:rPr>
        <w:t xml:space="preserve">The content of the logbook kept </w:t>
      </w:r>
      <w:r w:rsidR="00716AD2" w:rsidRPr="002E7788">
        <w:rPr>
          <w:sz w:val="22"/>
          <w:szCs w:val="22"/>
        </w:rPr>
        <w:t>b</w:t>
      </w:r>
      <w:r w:rsidR="00716AD2">
        <w:rPr>
          <w:sz w:val="22"/>
          <w:szCs w:val="22"/>
        </w:rPr>
        <w:t>y</w:t>
      </w:r>
      <w:r w:rsidR="00716AD2" w:rsidRPr="002E7788">
        <w:rPr>
          <w:sz w:val="22"/>
          <w:szCs w:val="22"/>
        </w:rPr>
        <w:t xml:space="preserve"> </w:t>
      </w:r>
      <w:r w:rsidR="003F777E" w:rsidRPr="002E7788">
        <w:rPr>
          <w:sz w:val="22"/>
          <w:szCs w:val="22"/>
        </w:rPr>
        <w:t xml:space="preserve">the holder of a fishing concession in respect of a particular fishery, and of any return of information from such logbook, may extend to information in relation to: </w:t>
      </w:r>
    </w:p>
    <w:p w14:paraId="60D1FA1A" w14:textId="77777777" w:rsidR="003F777E" w:rsidRPr="002E7788" w:rsidRDefault="003F777E" w:rsidP="00F0525A">
      <w:pPr>
        <w:numPr>
          <w:ilvl w:val="0"/>
          <w:numId w:val="2"/>
        </w:numPr>
        <w:rPr>
          <w:sz w:val="22"/>
          <w:szCs w:val="22"/>
        </w:rPr>
      </w:pPr>
      <w:r w:rsidRPr="002E7788">
        <w:rPr>
          <w:sz w:val="22"/>
          <w:szCs w:val="22"/>
        </w:rPr>
        <w:t>the taking of fish under that concession and the sale or disposal of such fish; or</w:t>
      </w:r>
    </w:p>
    <w:p w14:paraId="72749900" w14:textId="77777777" w:rsidR="003F777E" w:rsidRPr="002E7788" w:rsidRDefault="003F777E" w:rsidP="00F0525A">
      <w:pPr>
        <w:numPr>
          <w:ilvl w:val="0"/>
          <w:numId w:val="2"/>
        </w:numPr>
        <w:rPr>
          <w:sz w:val="22"/>
          <w:szCs w:val="22"/>
        </w:rPr>
      </w:pPr>
      <w:r w:rsidRPr="002E7788">
        <w:rPr>
          <w:sz w:val="22"/>
          <w:szCs w:val="22"/>
        </w:rPr>
        <w:t>the carrying, landing, transhipping or transporting of fish taken under that fishing concession; or</w:t>
      </w:r>
    </w:p>
    <w:p w14:paraId="7E1E81DE" w14:textId="77777777" w:rsidR="003F777E" w:rsidRPr="002E7788" w:rsidRDefault="003F777E" w:rsidP="00F0525A">
      <w:pPr>
        <w:numPr>
          <w:ilvl w:val="0"/>
          <w:numId w:val="2"/>
        </w:numPr>
        <w:rPr>
          <w:sz w:val="22"/>
          <w:szCs w:val="22"/>
        </w:rPr>
      </w:pPr>
      <w:r w:rsidRPr="002E7788">
        <w:rPr>
          <w:sz w:val="22"/>
          <w:szCs w:val="22"/>
        </w:rPr>
        <w:t>the receipt or processing of fish taken under that fishing concession and the sale or disposal of fish so received or processed; or</w:t>
      </w:r>
    </w:p>
    <w:p w14:paraId="73691F00" w14:textId="77777777" w:rsidR="003F777E" w:rsidRPr="002E7788" w:rsidRDefault="003F777E" w:rsidP="00F0525A">
      <w:pPr>
        <w:numPr>
          <w:ilvl w:val="0"/>
          <w:numId w:val="2"/>
        </w:numPr>
        <w:rPr>
          <w:sz w:val="22"/>
          <w:szCs w:val="22"/>
        </w:rPr>
      </w:pPr>
      <w:r w:rsidRPr="002E7788">
        <w:rPr>
          <w:sz w:val="22"/>
          <w:szCs w:val="22"/>
        </w:rPr>
        <w:t>the course, or position at regular intervals, inside or outside the outer limits of the AFZ, of boats to which the fishing concession relates; or</w:t>
      </w:r>
    </w:p>
    <w:p w14:paraId="22D73EDC" w14:textId="77777777" w:rsidR="003F777E" w:rsidRPr="002E7788" w:rsidRDefault="003F777E" w:rsidP="00F0525A">
      <w:pPr>
        <w:numPr>
          <w:ilvl w:val="0"/>
          <w:numId w:val="2"/>
        </w:numPr>
        <w:rPr>
          <w:sz w:val="22"/>
          <w:szCs w:val="22"/>
        </w:rPr>
      </w:pPr>
      <w:r w:rsidRPr="002E7788">
        <w:rPr>
          <w:sz w:val="22"/>
          <w:szCs w:val="22"/>
        </w:rPr>
        <w:t>any other matter relevant to the fishing concession in that fishery that is specified in the determination.</w:t>
      </w:r>
      <w:r w:rsidR="007C57E5" w:rsidRPr="002E7788">
        <w:rPr>
          <w:sz w:val="22"/>
          <w:szCs w:val="22"/>
        </w:rPr>
        <w:t>”</w:t>
      </w:r>
    </w:p>
    <w:p w14:paraId="36933B24" w14:textId="77777777" w:rsidR="00395D54" w:rsidRDefault="00395D54" w:rsidP="00F0525A">
      <w:pPr>
        <w:rPr>
          <w:sz w:val="22"/>
          <w:szCs w:val="22"/>
        </w:rPr>
      </w:pPr>
    </w:p>
    <w:p w14:paraId="627B6374" w14:textId="6191C0C8" w:rsidR="00AA0EE4" w:rsidRPr="00150264" w:rsidRDefault="00AA0EE4" w:rsidP="00AA0EE4">
      <w:pPr>
        <w:rPr>
          <w:sz w:val="22"/>
          <w:szCs w:val="22"/>
        </w:rPr>
      </w:pPr>
      <w:r w:rsidRPr="002E7788">
        <w:rPr>
          <w:sz w:val="22"/>
          <w:szCs w:val="22"/>
        </w:rPr>
        <w:t>The Act does not specify any condition as needing to be met before the power to make the determination may be exercised.</w:t>
      </w:r>
      <w:r>
        <w:rPr>
          <w:sz w:val="22"/>
          <w:szCs w:val="22"/>
        </w:rPr>
        <w:t xml:space="preserve">  Although the Act does not provide a specific power to amend or otherwise vary a determination made under subsection 42(1), this amending determination can be made under subsection 42(1) of the Act through application of subsection 33(3) of the </w:t>
      </w:r>
      <w:r>
        <w:rPr>
          <w:i/>
          <w:sz w:val="22"/>
          <w:szCs w:val="22"/>
        </w:rPr>
        <w:t>Acts Interpretation Act 1901</w:t>
      </w:r>
      <w:r>
        <w:rPr>
          <w:sz w:val="22"/>
          <w:szCs w:val="22"/>
        </w:rPr>
        <w:t xml:space="preserve">.  </w:t>
      </w:r>
    </w:p>
    <w:p w14:paraId="32A335AE" w14:textId="77777777" w:rsidR="00AA0EE4" w:rsidRDefault="00AA0EE4" w:rsidP="00AA0EE4">
      <w:pPr>
        <w:rPr>
          <w:sz w:val="22"/>
          <w:szCs w:val="22"/>
        </w:rPr>
      </w:pPr>
    </w:p>
    <w:p w14:paraId="692AC341" w14:textId="2F9DA2C2" w:rsidR="00AA0EE4" w:rsidRDefault="00AA0EE4" w:rsidP="00F0525A">
      <w:pPr>
        <w:rPr>
          <w:sz w:val="22"/>
          <w:szCs w:val="22"/>
        </w:rPr>
      </w:pPr>
      <w:r>
        <w:rPr>
          <w:sz w:val="22"/>
          <w:szCs w:val="22"/>
        </w:rPr>
        <w:t xml:space="preserve">This instrument amends </w:t>
      </w:r>
      <w:r w:rsidRPr="002E7788">
        <w:rPr>
          <w:sz w:val="22"/>
          <w:szCs w:val="22"/>
        </w:rPr>
        <w:t xml:space="preserve">the form and content of the logbook to be kept and maintained for concession holders in </w:t>
      </w:r>
      <w:r>
        <w:rPr>
          <w:sz w:val="22"/>
          <w:szCs w:val="22"/>
        </w:rPr>
        <w:t xml:space="preserve">the Small Pelagic Fishery (SPF), the Bass Strait Central Zone Scallop Fishery (BSCZSF) and Western Deepwater Trawl Fishery (WDTF), updating the logbooks to the most recent version for the BSCZSF and WDTF and specifying the logbooks to be completed for the recently determined new fishing methods in the SPF.  Other minor technical amendments are also being made.  </w:t>
      </w:r>
    </w:p>
    <w:p w14:paraId="28918FB9" w14:textId="77777777" w:rsidR="00AA0EE4" w:rsidRPr="002E7788" w:rsidRDefault="00AA0EE4" w:rsidP="00F0525A">
      <w:pPr>
        <w:rPr>
          <w:sz w:val="22"/>
          <w:szCs w:val="22"/>
        </w:rPr>
      </w:pPr>
    </w:p>
    <w:p w14:paraId="495096EA" w14:textId="77777777" w:rsidR="00B72ACF" w:rsidRPr="002E7788" w:rsidRDefault="00B72ACF" w:rsidP="00F0525A">
      <w:pPr>
        <w:rPr>
          <w:b/>
          <w:sz w:val="22"/>
          <w:szCs w:val="22"/>
        </w:rPr>
      </w:pPr>
      <w:r w:rsidRPr="002E7788">
        <w:rPr>
          <w:b/>
          <w:sz w:val="22"/>
          <w:szCs w:val="22"/>
        </w:rPr>
        <w:t>Background</w:t>
      </w:r>
    </w:p>
    <w:p w14:paraId="33BA69BF" w14:textId="77777777" w:rsidR="002E03F1" w:rsidRPr="002E7788" w:rsidRDefault="002E03F1" w:rsidP="00F0525A">
      <w:pPr>
        <w:spacing w:before="240"/>
        <w:rPr>
          <w:sz w:val="22"/>
          <w:szCs w:val="22"/>
        </w:rPr>
      </w:pPr>
      <w:r w:rsidRPr="002E7788">
        <w:rPr>
          <w:sz w:val="22"/>
          <w:szCs w:val="22"/>
        </w:rPr>
        <w:t xml:space="preserve">The completion of a </w:t>
      </w:r>
      <w:r w:rsidR="00D43634" w:rsidRPr="002E7788">
        <w:rPr>
          <w:sz w:val="22"/>
          <w:szCs w:val="22"/>
        </w:rPr>
        <w:t>logbook</w:t>
      </w:r>
      <w:r w:rsidRPr="002E7788">
        <w:rPr>
          <w:sz w:val="22"/>
          <w:szCs w:val="22"/>
        </w:rPr>
        <w:t xml:space="preserve"> is a requirement for fishers operating in </w:t>
      </w:r>
      <w:r w:rsidR="00E177F3" w:rsidRPr="002E7788">
        <w:rPr>
          <w:sz w:val="22"/>
          <w:szCs w:val="22"/>
        </w:rPr>
        <w:t xml:space="preserve">fisheries managed by the </w:t>
      </w:r>
      <w:r w:rsidRPr="002E7788">
        <w:rPr>
          <w:sz w:val="22"/>
          <w:szCs w:val="22"/>
        </w:rPr>
        <w:t>A</w:t>
      </w:r>
      <w:r w:rsidR="00E177F3" w:rsidRPr="002E7788">
        <w:rPr>
          <w:sz w:val="22"/>
          <w:szCs w:val="22"/>
        </w:rPr>
        <w:t xml:space="preserve">ustralian </w:t>
      </w:r>
      <w:r w:rsidRPr="002E7788">
        <w:rPr>
          <w:sz w:val="22"/>
          <w:szCs w:val="22"/>
        </w:rPr>
        <w:t>F</w:t>
      </w:r>
      <w:r w:rsidR="00E177F3" w:rsidRPr="002E7788">
        <w:rPr>
          <w:sz w:val="22"/>
          <w:szCs w:val="22"/>
        </w:rPr>
        <w:t xml:space="preserve">isheries </w:t>
      </w:r>
      <w:r w:rsidRPr="002E7788">
        <w:rPr>
          <w:sz w:val="22"/>
          <w:szCs w:val="22"/>
        </w:rPr>
        <w:t>M</w:t>
      </w:r>
      <w:r w:rsidR="00E177F3" w:rsidRPr="002E7788">
        <w:rPr>
          <w:sz w:val="22"/>
          <w:szCs w:val="22"/>
        </w:rPr>
        <w:t xml:space="preserve">anagement </w:t>
      </w:r>
      <w:r w:rsidRPr="002E7788">
        <w:rPr>
          <w:sz w:val="22"/>
          <w:szCs w:val="22"/>
        </w:rPr>
        <w:t>A</w:t>
      </w:r>
      <w:r w:rsidR="00E177F3" w:rsidRPr="002E7788">
        <w:rPr>
          <w:sz w:val="22"/>
          <w:szCs w:val="22"/>
        </w:rPr>
        <w:t xml:space="preserve">uthority (AFMA).  </w:t>
      </w:r>
      <w:r w:rsidR="00D43634" w:rsidRPr="002E7788">
        <w:rPr>
          <w:sz w:val="22"/>
          <w:szCs w:val="22"/>
        </w:rPr>
        <w:t>Logbook</w:t>
      </w:r>
      <w:r w:rsidRPr="002E7788">
        <w:rPr>
          <w:sz w:val="22"/>
          <w:szCs w:val="22"/>
        </w:rPr>
        <w:t xml:space="preserve">s are the primary source of data on fishing activity. They provide essential data for the management of fisheries and are the primary source of data on fishing effort and fish catches for stock assessments. </w:t>
      </w:r>
    </w:p>
    <w:p w14:paraId="11779CF5" w14:textId="77777777" w:rsidR="00C81CBF" w:rsidRPr="002E7788" w:rsidRDefault="002E03F1" w:rsidP="00F0525A">
      <w:pPr>
        <w:spacing w:before="240"/>
        <w:rPr>
          <w:sz w:val="22"/>
          <w:szCs w:val="22"/>
        </w:rPr>
      </w:pPr>
      <w:r w:rsidRPr="002E7788">
        <w:rPr>
          <w:sz w:val="22"/>
          <w:szCs w:val="22"/>
        </w:rPr>
        <w:t xml:space="preserve">Section 42 of the </w:t>
      </w:r>
      <w:r w:rsidR="009446BF" w:rsidRPr="002E7788">
        <w:rPr>
          <w:sz w:val="22"/>
          <w:szCs w:val="22"/>
        </w:rPr>
        <w:t>Act</w:t>
      </w:r>
      <w:r w:rsidRPr="002E7788">
        <w:rPr>
          <w:sz w:val="22"/>
          <w:szCs w:val="22"/>
        </w:rPr>
        <w:t xml:space="preserve"> requires that all </w:t>
      </w:r>
      <w:r w:rsidR="00D43634" w:rsidRPr="002E7788">
        <w:rPr>
          <w:sz w:val="22"/>
          <w:szCs w:val="22"/>
        </w:rPr>
        <w:t>logbook</w:t>
      </w:r>
      <w:r w:rsidRPr="002E7788">
        <w:rPr>
          <w:sz w:val="22"/>
          <w:szCs w:val="22"/>
        </w:rPr>
        <w:t xml:space="preserve">s are determined under subsection 42(1) of the Act. </w:t>
      </w:r>
    </w:p>
    <w:p w14:paraId="34CD0AF1" w14:textId="77777777" w:rsidR="00F0525A" w:rsidRDefault="00E177F3" w:rsidP="00F0525A">
      <w:pPr>
        <w:spacing w:before="240"/>
        <w:rPr>
          <w:sz w:val="22"/>
          <w:szCs w:val="22"/>
        </w:rPr>
      </w:pPr>
      <w:r w:rsidRPr="002E7788">
        <w:rPr>
          <w:sz w:val="22"/>
          <w:szCs w:val="22"/>
        </w:rPr>
        <w:t>Paper based logbooks have previously been determined for</w:t>
      </w:r>
      <w:r w:rsidR="0077454A">
        <w:rPr>
          <w:sz w:val="22"/>
          <w:szCs w:val="22"/>
        </w:rPr>
        <w:t xml:space="preserve"> all</w:t>
      </w:r>
      <w:r w:rsidRPr="002E7788">
        <w:rPr>
          <w:sz w:val="22"/>
          <w:szCs w:val="22"/>
        </w:rPr>
        <w:t xml:space="preserve"> </w:t>
      </w:r>
      <w:r w:rsidR="0077454A">
        <w:rPr>
          <w:sz w:val="22"/>
          <w:szCs w:val="22"/>
        </w:rPr>
        <w:t>fisheries</w:t>
      </w:r>
      <w:r w:rsidRPr="002E7788">
        <w:rPr>
          <w:sz w:val="22"/>
          <w:szCs w:val="22"/>
        </w:rPr>
        <w:t>.</w:t>
      </w:r>
    </w:p>
    <w:p w14:paraId="39299246" w14:textId="77777777" w:rsidR="0074246E" w:rsidRPr="002E7788" w:rsidRDefault="0074246E" w:rsidP="00F0525A">
      <w:pPr>
        <w:rPr>
          <w:sz w:val="22"/>
          <w:szCs w:val="22"/>
        </w:rPr>
      </w:pPr>
    </w:p>
    <w:p w14:paraId="0ADD4F4A" w14:textId="77777777" w:rsidR="00EE6360" w:rsidRPr="002E7788" w:rsidRDefault="00EE6360" w:rsidP="00F0525A">
      <w:pPr>
        <w:rPr>
          <w:b/>
          <w:sz w:val="22"/>
          <w:szCs w:val="22"/>
        </w:rPr>
      </w:pPr>
      <w:r w:rsidRPr="002E7788">
        <w:rPr>
          <w:b/>
          <w:sz w:val="22"/>
          <w:szCs w:val="22"/>
        </w:rPr>
        <w:t>Objectives</w:t>
      </w:r>
    </w:p>
    <w:p w14:paraId="673784C6" w14:textId="77777777" w:rsidR="00395D54" w:rsidRPr="002E7788" w:rsidRDefault="00395D54" w:rsidP="00F0525A">
      <w:pPr>
        <w:rPr>
          <w:sz w:val="22"/>
          <w:szCs w:val="22"/>
        </w:rPr>
      </w:pPr>
    </w:p>
    <w:p w14:paraId="57ED974A" w14:textId="542155D9" w:rsidR="0077454A" w:rsidRPr="002E7788" w:rsidRDefault="0077454A" w:rsidP="00F0525A">
      <w:pPr>
        <w:rPr>
          <w:sz w:val="22"/>
          <w:szCs w:val="22"/>
        </w:rPr>
      </w:pPr>
      <w:r w:rsidRPr="002E7788">
        <w:rPr>
          <w:sz w:val="22"/>
          <w:szCs w:val="22"/>
        </w:rPr>
        <w:lastRenderedPageBreak/>
        <w:t xml:space="preserve">The instrument </w:t>
      </w:r>
      <w:r w:rsidR="002646E6">
        <w:rPr>
          <w:sz w:val="22"/>
          <w:szCs w:val="22"/>
        </w:rPr>
        <w:t xml:space="preserve">amends </w:t>
      </w:r>
      <w:r w:rsidRPr="002E7788">
        <w:rPr>
          <w:sz w:val="22"/>
          <w:szCs w:val="22"/>
        </w:rPr>
        <w:t xml:space="preserve">the form and content of the logbook to be kept and maintained for concession holders in </w:t>
      </w:r>
      <w:r w:rsidR="002646E6">
        <w:rPr>
          <w:sz w:val="22"/>
          <w:szCs w:val="22"/>
        </w:rPr>
        <w:t xml:space="preserve">the Small Pelagic Fishery (SPF), providing for the logbooks to be used by operators using minor line methods. Minor line methods were recently determined as permitted methods under the </w:t>
      </w:r>
      <w:r w:rsidR="002646E6" w:rsidRPr="002646E6">
        <w:rPr>
          <w:i/>
          <w:sz w:val="22"/>
          <w:szCs w:val="22"/>
        </w:rPr>
        <w:t>Small Pelagic Fishery Management Plan 2009</w:t>
      </w:r>
      <w:r w:rsidR="002646E6">
        <w:rPr>
          <w:sz w:val="22"/>
          <w:szCs w:val="22"/>
        </w:rPr>
        <w:t>.</w:t>
      </w:r>
      <w:r w:rsidRPr="002E7788">
        <w:rPr>
          <w:sz w:val="22"/>
          <w:szCs w:val="22"/>
        </w:rPr>
        <w:t xml:space="preserve"> </w:t>
      </w:r>
      <w:r w:rsidR="00150264">
        <w:rPr>
          <w:sz w:val="22"/>
          <w:szCs w:val="22"/>
        </w:rPr>
        <w:t xml:space="preserve">Other minor technical amendments are also being made.  </w:t>
      </w:r>
    </w:p>
    <w:p w14:paraId="49868B4C" w14:textId="77777777" w:rsidR="003A6E09" w:rsidRDefault="003A6E09" w:rsidP="00F0525A">
      <w:pPr>
        <w:rPr>
          <w:b/>
          <w:sz w:val="22"/>
          <w:szCs w:val="22"/>
        </w:rPr>
      </w:pPr>
    </w:p>
    <w:p w14:paraId="50D1D948" w14:textId="77777777" w:rsidR="00B72ACF" w:rsidRPr="002E7788" w:rsidRDefault="00B72ACF" w:rsidP="00F0525A">
      <w:pPr>
        <w:rPr>
          <w:b/>
          <w:sz w:val="22"/>
          <w:szCs w:val="22"/>
        </w:rPr>
      </w:pPr>
      <w:r w:rsidRPr="002E7788">
        <w:rPr>
          <w:b/>
          <w:sz w:val="22"/>
          <w:szCs w:val="22"/>
        </w:rPr>
        <w:t>Consultation</w:t>
      </w:r>
      <w:r w:rsidR="003C1B38">
        <w:rPr>
          <w:b/>
          <w:sz w:val="22"/>
          <w:szCs w:val="22"/>
        </w:rPr>
        <w:t xml:space="preserve"> with stakeholders</w:t>
      </w:r>
    </w:p>
    <w:p w14:paraId="1D899279" w14:textId="77777777" w:rsidR="00B72ACF" w:rsidRPr="002E7788" w:rsidRDefault="00B72ACF" w:rsidP="00F0525A">
      <w:pPr>
        <w:rPr>
          <w:sz w:val="22"/>
          <w:szCs w:val="22"/>
        </w:rPr>
      </w:pPr>
    </w:p>
    <w:p w14:paraId="41C4F457" w14:textId="1B609B81" w:rsidR="0074246E" w:rsidRPr="001D7C41" w:rsidRDefault="002E7788" w:rsidP="00F0525A">
      <w:pPr>
        <w:pStyle w:val="AFMANormal"/>
        <w:spacing w:before="0" w:after="220"/>
        <w:jc w:val="left"/>
        <w:rPr>
          <w:sz w:val="22"/>
          <w:szCs w:val="22"/>
        </w:rPr>
      </w:pPr>
      <w:r w:rsidRPr="00B92D88">
        <w:rPr>
          <w:sz w:val="22"/>
          <w:szCs w:val="22"/>
        </w:rPr>
        <w:t xml:space="preserve">The Office of Best Practice Regulation advised that a Regulation Impact Statement was not required for this Determination consistent with </w:t>
      </w:r>
      <w:r w:rsidR="005B327B" w:rsidRPr="00B92D88">
        <w:rPr>
          <w:sz w:val="22"/>
          <w:szCs w:val="22"/>
        </w:rPr>
        <w:t>providing exemptions for routine administrative, minor or machinery changes</w:t>
      </w:r>
      <w:r w:rsidR="005B327B" w:rsidRPr="00B92D88">
        <w:t xml:space="preserve"> </w:t>
      </w:r>
      <w:r w:rsidR="001D7C41" w:rsidRPr="00B92D88">
        <w:rPr>
          <w:sz w:val="22"/>
          <w:szCs w:val="22"/>
        </w:rPr>
        <w:t xml:space="preserve">(OBPR ID </w:t>
      </w:r>
      <w:r w:rsidR="00B92D88" w:rsidRPr="00B92D88">
        <w:rPr>
          <w:sz w:val="22"/>
          <w:szCs w:val="22"/>
        </w:rPr>
        <w:t>22663</w:t>
      </w:r>
      <w:r w:rsidR="001D7C41" w:rsidRPr="00B92D88">
        <w:rPr>
          <w:sz w:val="22"/>
          <w:szCs w:val="22"/>
        </w:rPr>
        <w:t>)</w:t>
      </w:r>
      <w:r w:rsidR="005B327B" w:rsidRPr="00B92D88">
        <w:rPr>
          <w:sz w:val="22"/>
          <w:szCs w:val="22"/>
        </w:rPr>
        <w:t>.</w:t>
      </w:r>
    </w:p>
    <w:p w14:paraId="48993DAA" w14:textId="381FC8BC" w:rsidR="003938ED" w:rsidRDefault="00A75C45" w:rsidP="00F0525A">
      <w:pPr>
        <w:rPr>
          <w:sz w:val="22"/>
          <w:szCs w:val="22"/>
        </w:rPr>
      </w:pPr>
      <w:r>
        <w:rPr>
          <w:sz w:val="22"/>
          <w:szCs w:val="22"/>
        </w:rPr>
        <w:t>Regarding the SPF, c</w:t>
      </w:r>
      <w:r w:rsidR="003938ED">
        <w:rPr>
          <w:sz w:val="22"/>
          <w:szCs w:val="22"/>
        </w:rPr>
        <w:t>onsultation with t</w:t>
      </w:r>
      <w:r w:rsidR="003C1B38">
        <w:rPr>
          <w:sz w:val="22"/>
          <w:szCs w:val="22"/>
        </w:rPr>
        <w:t xml:space="preserve">he fishing industry </w:t>
      </w:r>
      <w:r w:rsidR="003938ED">
        <w:rPr>
          <w:sz w:val="22"/>
          <w:szCs w:val="22"/>
        </w:rPr>
        <w:t xml:space="preserve">and other relevant stakeholders on </w:t>
      </w:r>
      <w:r w:rsidR="00A720C6">
        <w:rPr>
          <w:sz w:val="22"/>
          <w:szCs w:val="22"/>
        </w:rPr>
        <w:t>the determination</w:t>
      </w:r>
      <w:r w:rsidR="003938ED">
        <w:rPr>
          <w:sz w:val="22"/>
          <w:szCs w:val="22"/>
        </w:rPr>
        <w:t xml:space="preserve"> of these fishing methods was undertaken between November 2017 and February 2018 through the SPF Scientific Panel, SPF Stakeholder Forum and South East Management Advisory Committee. </w:t>
      </w:r>
      <w:r w:rsidR="00696A36">
        <w:rPr>
          <w:sz w:val="22"/>
          <w:szCs w:val="22"/>
        </w:rPr>
        <w:t xml:space="preserve">No specific consultation was undertaken on </w:t>
      </w:r>
      <w:r w:rsidR="00AE1917">
        <w:rPr>
          <w:sz w:val="22"/>
          <w:szCs w:val="22"/>
        </w:rPr>
        <w:t xml:space="preserve">regarding the logbooks to be completed for the new fishing methods in the SPF, as these are the same logbooks used in other Commonwealth fisheries </w:t>
      </w:r>
      <w:r w:rsidR="00194F30">
        <w:rPr>
          <w:sz w:val="22"/>
          <w:szCs w:val="22"/>
        </w:rPr>
        <w:t xml:space="preserve">using </w:t>
      </w:r>
      <w:r w:rsidR="00AE1917">
        <w:rPr>
          <w:sz w:val="22"/>
          <w:szCs w:val="22"/>
        </w:rPr>
        <w:t xml:space="preserve">the same methods </w:t>
      </w:r>
      <w:r w:rsidR="004C375D">
        <w:rPr>
          <w:sz w:val="22"/>
          <w:szCs w:val="22"/>
        </w:rPr>
        <w:t xml:space="preserve">therefore the </w:t>
      </w:r>
      <w:r w:rsidR="00AE1917">
        <w:rPr>
          <w:sz w:val="22"/>
          <w:szCs w:val="22"/>
        </w:rPr>
        <w:t xml:space="preserve">changes are </w:t>
      </w:r>
      <w:r w:rsidR="00696A36">
        <w:rPr>
          <w:sz w:val="22"/>
          <w:szCs w:val="22"/>
        </w:rPr>
        <w:t>minor and mechanical in nature.</w:t>
      </w:r>
    </w:p>
    <w:p w14:paraId="458FE492" w14:textId="77777777" w:rsidR="00A720C6" w:rsidRDefault="00A720C6" w:rsidP="00F0525A">
      <w:pPr>
        <w:rPr>
          <w:sz w:val="22"/>
          <w:szCs w:val="22"/>
        </w:rPr>
      </w:pPr>
    </w:p>
    <w:p w14:paraId="22C8339B" w14:textId="0209D6A1" w:rsidR="00A720C6" w:rsidRDefault="00A720C6" w:rsidP="00F0525A">
      <w:pPr>
        <w:rPr>
          <w:sz w:val="22"/>
          <w:szCs w:val="22"/>
        </w:rPr>
      </w:pPr>
      <w:r>
        <w:rPr>
          <w:sz w:val="22"/>
          <w:szCs w:val="22"/>
        </w:rPr>
        <w:t xml:space="preserve">Regarding the WDTF, no specific consultation was undertaken as the amendment </w:t>
      </w:r>
      <w:r w:rsidR="009B19A2">
        <w:rPr>
          <w:sz w:val="22"/>
          <w:szCs w:val="22"/>
        </w:rPr>
        <w:t>is minor and mechanical in nature, updating the logbook for this fishery to the current version, gazetted on 1 April 2016.</w:t>
      </w:r>
    </w:p>
    <w:p w14:paraId="3D7F33FF" w14:textId="77777777" w:rsidR="00AE1917" w:rsidRDefault="00AE1917" w:rsidP="00F0525A">
      <w:pPr>
        <w:rPr>
          <w:sz w:val="22"/>
          <w:szCs w:val="22"/>
        </w:rPr>
      </w:pPr>
    </w:p>
    <w:p w14:paraId="2C0A99D8" w14:textId="3664AE83" w:rsidR="00AE1917" w:rsidRDefault="00A75C45" w:rsidP="00F0525A">
      <w:pPr>
        <w:rPr>
          <w:sz w:val="22"/>
          <w:szCs w:val="22"/>
        </w:rPr>
      </w:pPr>
      <w:r>
        <w:rPr>
          <w:sz w:val="22"/>
          <w:szCs w:val="22"/>
        </w:rPr>
        <w:t>Regarding the BSCZSF, t</w:t>
      </w:r>
      <w:r w:rsidR="00AE1917">
        <w:rPr>
          <w:sz w:val="22"/>
          <w:szCs w:val="22"/>
        </w:rPr>
        <w:t xml:space="preserve">he fishing industry </w:t>
      </w:r>
      <w:r w:rsidR="00AE1917" w:rsidRPr="002E7788">
        <w:rPr>
          <w:sz w:val="22"/>
          <w:szCs w:val="22"/>
        </w:rPr>
        <w:t xml:space="preserve">was </w:t>
      </w:r>
      <w:r w:rsidR="00AE1917">
        <w:rPr>
          <w:sz w:val="22"/>
          <w:szCs w:val="22"/>
        </w:rPr>
        <w:t>advised of the changes at the Resource Assessment Group meeting and Management Advisory Committee meetings on the 14 -15 June 2017. This Determination has changed; the scale of spatial data required; when the spatial data is required to be logged; and the inclusion of reporting any interactions with wildlife and other protected species form.</w:t>
      </w:r>
    </w:p>
    <w:p w14:paraId="5B286A35" w14:textId="77777777" w:rsidR="00150264" w:rsidRDefault="00150264" w:rsidP="00F0525A">
      <w:pPr>
        <w:rPr>
          <w:sz w:val="22"/>
          <w:szCs w:val="22"/>
        </w:rPr>
      </w:pPr>
    </w:p>
    <w:p w14:paraId="63CF6977" w14:textId="1DE738EE" w:rsidR="00150264" w:rsidRDefault="00150264" w:rsidP="00F0525A">
      <w:pPr>
        <w:rPr>
          <w:sz w:val="22"/>
          <w:szCs w:val="22"/>
        </w:rPr>
      </w:pPr>
      <w:r>
        <w:rPr>
          <w:sz w:val="22"/>
          <w:szCs w:val="22"/>
        </w:rPr>
        <w:t xml:space="preserve">No consultation was undertaken in relation to the other minor technical amendments.  </w:t>
      </w:r>
    </w:p>
    <w:p w14:paraId="39DF752E" w14:textId="77777777" w:rsidR="003938ED" w:rsidRDefault="003938ED" w:rsidP="00F0525A">
      <w:pPr>
        <w:rPr>
          <w:sz w:val="22"/>
          <w:szCs w:val="22"/>
        </w:rPr>
      </w:pPr>
    </w:p>
    <w:p w14:paraId="4C9F380F" w14:textId="1676F479" w:rsidR="00C81CBF" w:rsidRPr="003C1B38" w:rsidRDefault="003C1B38" w:rsidP="00F0525A">
      <w:pPr>
        <w:rPr>
          <w:sz w:val="22"/>
          <w:szCs w:val="22"/>
        </w:rPr>
      </w:pPr>
      <w:r w:rsidRPr="003C1B38">
        <w:rPr>
          <w:sz w:val="22"/>
          <w:szCs w:val="22"/>
        </w:rPr>
        <w:t xml:space="preserve">The </w:t>
      </w:r>
      <w:r w:rsidR="00150264">
        <w:rPr>
          <w:sz w:val="22"/>
          <w:szCs w:val="22"/>
        </w:rPr>
        <w:t>instrument</w:t>
      </w:r>
      <w:r w:rsidR="00150264" w:rsidRPr="003C1B38">
        <w:rPr>
          <w:sz w:val="22"/>
          <w:szCs w:val="22"/>
        </w:rPr>
        <w:t xml:space="preserve"> </w:t>
      </w:r>
      <w:r w:rsidRPr="003C1B38">
        <w:rPr>
          <w:sz w:val="22"/>
          <w:szCs w:val="22"/>
        </w:rPr>
        <w:t xml:space="preserve">is compatible with the human rights and freedoms recognised or declared under section 3 of the </w:t>
      </w:r>
      <w:r w:rsidRPr="00150264">
        <w:rPr>
          <w:i/>
          <w:sz w:val="22"/>
          <w:szCs w:val="22"/>
        </w:rPr>
        <w:t>Human Rights (Parliamentary Scrutiny) Act 2011</w:t>
      </w:r>
      <w:r w:rsidRPr="003C1B38">
        <w:rPr>
          <w:sz w:val="22"/>
          <w:szCs w:val="22"/>
        </w:rPr>
        <w:t>. A full statement of compatib</w:t>
      </w:r>
      <w:r w:rsidR="00BF5744">
        <w:rPr>
          <w:sz w:val="22"/>
          <w:szCs w:val="22"/>
        </w:rPr>
        <w:t>ility is set out in Attachment A</w:t>
      </w:r>
      <w:r w:rsidRPr="003C1B38">
        <w:rPr>
          <w:sz w:val="22"/>
          <w:szCs w:val="22"/>
        </w:rPr>
        <w:t>.</w:t>
      </w:r>
    </w:p>
    <w:p w14:paraId="133662D5" w14:textId="77777777" w:rsidR="003C1B38" w:rsidRPr="002E7788" w:rsidRDefault="003C1B38" w:rsidP="00F0525A">
      <w:pPr>
        <w:rPr>
          <w:b/>
          <w:sz w:val="22"/>
          <w:szCs w:val="22"/>
        </w:rPr>
      </w:pPr>
    </w:p>
    <w:p w14:paraId="287A2E84" w14:textId="77777777" w:rsidR="00D230FF" w:rsidRPr="002E7788" w:rsidRDefault="00D230FF" w:rsidP="00F0525A">
      <w:pPr>
        <w:rPr>
          <w:b/>
          <w:sz w:val="22"/>
          <w:szCs w:val="22"/>
        </w:rPr>
      </w:pPr>
      <w:r w:rsidRPr="002E7788">
        <w:rPr>
          <w:b/>
          <w:sz w:val="22"/>
          <w:szCs w:val="22"/>
        </w:rPr>
        <w:t>Determination</w:t>
      </w:r>
    </w:p>
    <w:p w14:paraId="72574D13" w14:textId="77777777" w:rsidR="003723D1" w:rsidRPr="002E7788" w:rsidRDefault="003723D1" w:rsidP="00F0525A">
      <w:pPr>
        <w:rPr>
          <w:b/>
          <w:sz w:val="22"/>
          <w:szCs w:val="22"/>
        </w:rPr>
      </w:pPr>
    </w:p>
    <w:p w14:paraId="1A34CAEA" w14:textId="0680F879" w:rsidR="00810FC5" w:rsidRPr="002E7788" w:rsidRDefault="00A64FC0" w:rsidP="00F0525A">
      <w:pPr>
        <w:rPr>
          <w:sz w:val="22"/>
          <w:szCs w:val="22"/>
        </w:rPr>
      </w:pPr>
      <w:r w:rsidRPr="002E7788">
        <w:rPr>
          <w:sz w:val="22"/>
          <w:szCs w:val="22"/>
        </w:rPr>
        <w:t xml:space="preserve">The details of this </w:t>
      </w:r>
      <w:r w:rsidR="00AA0EE4">
        <w:rPr>
          <w:sz w:val="22"/>
          <w:szCs w:val="22"/>
        </w:rPr>
        <w:t>amendment</w:t>
      </w:r>
      <w:r w:rsidR="00150264">
        <w:rPr>
          <w:sz w:val="22"/>
          <w:szCs w:val="22"/>
        </w:rPr>
        <w:t xml:space="preserve"> </w:t>
      </w:r>
      <w:r w:rsidR="0070375C" w:rsidRPr="002E7788">
        <w:rPr>
          <w:sz w:val="22"/>
          <w:szCs w:val="22"/>
        </w:rPr>
        <w:t>d</w:t>
      </w:r>
      <w:r w:rsidRPr="002E7788">
        <w:rPr>
          <w:sz w:val="22"/>
          <w:szCs w:val="22"/>
        </w:rPr>
        <w:t>etermination</w:t>
      </w:r>
      <w:r w:rsidR="00BA280F" w:rsidRPr="002E7788">
        <w:rPr>
          <w:sz w:val="22"/>
          <w:szCs w:val="22"/>
        </w:rPr>
        <w:t xml:space="preserve"> are set out below:</w:t>
      </w:r>
    </w:p>
    <w:p w14:paraId="765933F8" w14:textId="77777777" w:rsidR="00810FC5" w:rsidRPr="002E7788" w:rsidRDefault="00810FC5" w:rsidP="00F0525A">
      <w:pPr>
        <w:outlineLvl w:val="0"/>
        <w:rPr>
          <w:i/>
          <w:sz w:val="22"/>
          <w:szCs w:val="22"/>
        </w:rPr>
      </w:pPr>
    </w:p>
    <w:p w14:paraId="572B9D70" w14:textId="77777777" w:rsidR="0074246E" w:rsidRPr="002E7788" w:rsidRDefault="00B358AD" w:rsidP="00B1470B">
      <w:pPr>
        <w:spacing w:after="120" w:line="360" w:lineRule="auto"/>
        <w:ind w:left="1440" w:hanging="1440"/>
        <w:outlineLvl w:val="0"/>
        <w:rPr>
          <w:i/>
          <w:sz w:val="22"/>
          <w:szCs w:val="22"/>
        </w:rPr>
      </w:pPr>
      <w:r w:rsidRPr="002E7788">
        <w:rPr>
          <w:b/>
          <w:i/>
          <w:sz w:val="22"/>
          <w:szCs w:val="22"/>
        </w:rPr>
        <w:t>Clause</w:t>
      </w:r>
      <w:r w:rsidR="0074246E" w:rsidRPr="002E7788">
        <w:rPr>
          <w:b/>
          <w:i/>
          <w:sz w:val="22"/>
          <w:szCs w:val="22"/>
        </w:rPr>
        <w:t xml:space="preserve"> 1</w:t>
      </w:r>
      <w:r w:rsidRPr="002E7788">
        <w:rPr>
          <w:i/>
          <w:sz w:val="22"/>
          <w:szCs w:val="22"/>
        </w:rPr>
        <w:t xml:space="preserve"> </w:t>
      </w:r>
      <w:r w:rsidR="00AD5603" w:rsidRPr="002E7788">
        <w:rPr>
          <w:i/>
          <w:sz w:val="22"/>
          <w:szCs w:val="22"/>
        </w:rPr>
        <w:tab/>
      </w:r>
      <w:r w:rsidRPr="002E7788">
        <w:rPr>
          <w:sz w:val="22"/>
          <w:szCs w:val="22"/>
        </w:rPr>
        <w:t xml:space="preserve">provides that the </w:t>
      </w:r>
      <w:r w:rsidR="00646B32">
        <w:rPr>
          <w:sz w:val="22"/>
          <w:szCs w:val="22"/>
        </w:rPr>
        <w:t xml:space="preserve">instrument </w:t>
      </w:r>
      <w:r w:rsidRPr="002E7788">
        <w:rPr>
          <w:sz w:val="22"/>
          <w:szCs w:val="22"/>
        </w:rPr>
        <w:t xml:space="preserve">may be cited as </w:t>
      </w:r>
      <w:r w:rsidR="002E7788">
        <w:rPr>
          <w:sz w:val="22"/>
          <w:szCs w:val="22"/>
        </w:rPr>
        <w:t xml:space="preserve">the </w:t>
      </w:r>
      <w:r w:rsidR="00A17E8B" w:rsidRPr="00A17E8B">
        <w:rPr>
          <w:i/>
          <w:sz w:val="22"/>
          <w:szCs w:val="22"/>
        </w:rPr>
        <w:t>Logbooks for Fisheries Amendment Determination 2018 (No. 1)</w:t>
      </w:r>
      <w:r w:rsidR="002E7788">
        <w:rPr>
          <w:iCs/>
          <w:sz w:val="22"/>
          <w:szCs w:val="22"/>
        </w:rPr>
        <w:t>.</w:t>
      </w:r>
    </w:p>
    <w:p w14:paraId="3F43C4B4" w14:textId="77777777" w:rsidR="00B358AD" w:rsidRPr="002E7788" w:rsidRDefault="00B358AD" w:rsidP="00B1470B">
      <w:pPr>
        <w:spacing w:after="120" w:line="360" w:lineRule="auto"/>
        <w:ind w:left="1440" w:hanging="1440"/>
        <w:outlineLvl w:val="0"/>
        <w:rPr>
          <w:sz w:val="22"/>
          <w:szCs w:val="22"/>
        </w:rPr>
      </w:pPr>
      <w:r w:rsidRPr="002E7788">
        <w:rPr>
          <w:b/>
          <w:i/>
          <w:sz w:val="22"/>
          <w:szCs w:val="22"/>
        </w:rPr>
        <w:t>Clause</w:t>
      </w:r>
      <w:r w:rsidR="0074246E" w:rsidRPr="002E7788">
        <w:rPr>
          <w:b/>
          <w:i/>
          <w:sz w:val="22"/>
          <w:szCs w:val="22"/>
        </w:rPr>
        <w:t xml:space="preserve"> 2</w:t>
      </w:r>
      <w:r w:rsidRPr="002E7788">
        <w:rPr>
          <w:sz w:val="22"/>
          <w:szCs w:val="22"/>
        </w:rPr>
        <w:t xml:space="preserve"> </w:t>
      </w:r>
      <w:r w:rsidR="00AD5603" w:rsidRPr="002E7788">
        <w:rPr>
          <w:sz w:val="22"/>
          <w:szCs w:val="22"/>
        </w:rPr>
        <w:tab/>
      </w:r>
      <w:r w:rsidR="00016A93" w:rsidRPr="002E7788">
        <w:rPr>
          <w:sz w:val="22"/>
          <w:szCs w:val="22"/>
        </w:rPr>
        <w:t xml:space="preserve">provides that the </w:t>
      </w:r>
      <w:r w:rsidR="00646B32">
        <w:rPr>
          <w:sz w:val="22"/>
          <w:szCs w:val="22"/>
        </w:rPr>
        <w:t xml:space="preserve">instrument </w:t>
      </w:r>
      <w:r w:rsidR="0074246E" w:rsidRPr="002E7788">
        <w:rPr>
          <w:sz w:val="22"/>
          <w:szCs w:val="22"/>
        </w:rPr>
        <w:t>commences on the</w:t>
      </w:r>
      <w:r w:rsidR="00576CB0">
        <w:rPr>
          <w:sz w:val="22"/>
          <w:szCs w:val="22"/>
        </w:rPr>
        <w:t xml:space="preserve"> 28th</w:t>
      </w:r>
      <w:r w:rsidR="0074246E" w:rsidRPr="002E7788">
        <w:rPr>
          <w:sz w:val="22"/>
          <w:szCs w:val="22"/>
        </w:rPr>
        <w:t xml:space="preserve"> day after it is registered on the Federal Register of Legislative Instruments.</w:t>
      </w:r>
    </w:p>
    <w:p w14:paraId="25DE0043" w14:textId="77777777" w:rsidR="00B358AD" w:rsidRPr="002E7788" w:rsidRDefault="00B358AD" w:rsidP="00B1470B">
      <w:pPr>
        <w:spacing w:after="120" w:line="360" w:lineRule="auto"/>
        <w:ind w:left="1440" w:hanging="1440"/>
        <w:outlineLvl w:val="0"/>
        <w:rPr>
          <w:i/>
          <w:sz w:val="22"/>
          <w:szCs w:val="22"/>
        </w:rPr>
      </w:pPr>
      <w:r w:rsidRPr="002E7788">
        <w:rPr>
          <w:b/>
          <w:i/>
          <w:sz w:val="22"/>
          <w:szCs w:val="22"/>
        </w:rPr>
        <w:t xml:space="preserve">Clause </w:t>
      </w:r>
      <w:r w:rsidR="00A17E8B">
        <w:rPr>
          <w:b/>
          <w:i/>
          <w:sz w:val="22"/>
          <w:szCs w:val="22"/>
        </w:rPr>
        <w:t>3</w:t>
      </w:r>
      <w:r w:rsidRPr="002E7788">
        <w:rPr>
          <w:i/>
          <w:sz w:val="22"/>
          <w:szCs w:val="22"/>
        </w:rPr>
        <w:t xml:space="preserve"> </w:t>
      </w:r>
      <w:r w:rsidR="00AD5603" w:rsidRPr="002E7788">
        <w:rPr>
          <w:i/>
          <w:sz w:val="22"/>
          <w:szCs w:val="22"/>
        </w:rPr>
        <w:tab/>
      </w:r>
      <w:r w:rsidR="00D41B9F">
        <w:rPr>
          <w:color w:val="000000"/>
          <w:sz w:val="22"/>
          <w:szCs w:val="22"/>
        </w:rPr>
        <w:t>p</w:t>
      </w:r>
      <w:r w:rsidR="00D41B9F" w:rsidRPr="009057F6">
        <w:rPr>
          <w:color w:val="000000"/>
          <w:sz w:val="22"/>
          <w:szCs w:val="22"/>
        </w:rPr>
        <w:t xml:space="preserve">rovides </w:t>
      </w:r>
      <w:r w:rsidR="00D41B9F">
        <w:rPr>
          <w:color w:val="000000"/>
          <w:sz w:val="22"/>
          <w:szCs w:val="22"/>
        </w:rPr>
        <w:t xml:space="preserve">the authority under which </w:t>
      </w:r>
      <w:r w:rsidR="00D41B9F" w:rsidRPr="009057F6">
        <w:rPr>
          <w:color w:val="000000"/>
          <w:sz w:val="22"/>
          <w:szCs w:val="22"/>
        </w:rPr>
        <w:t>the Deter</w:t>
      </w:r>
      <w:r w:rsidR="00D41B9F">
        <w:rPr>
          <w:color w:val="000000"/>
          <w:sz w:val="22"/>
          <w:szCs w:val="22"/>
        </w:rPr>
        <w:t>mination is made</w:t>
      </w:r>
      <w:r w:rsidR="00D41B9F" w:rsidRPr="009057F6">
        <w:rPr>
          <w:color w:val="000000"/>
          <w:sz w:val="22"/>
          <w:szCs w:val="22"/>
        </w:rPr>
        <w:t>.</w:t>
      </w:r>
    </w:p>
    <w:p w14:paraId="50BCE022" w14:textId="77777777" w:rsidR="002E7788" w:rsidRDefault="00B1470B" w:rsidP="00A17E8B">
      <w:pPr>
        <w:spacing w:after="120" w:line="360" w:lineRule="auto"/>
        <w:ind w:left="1440" w:hanging="1440"/>
        <w:outlineLvl w:val="0"/>
        <w:rPr>
          <w:i/>
          <w:sz w:val="22"/>
          <w:szCs w:val="22"/>
        </w:rPr>
      </w:pPr>
      <w:r>
        <w:rPr>
          <w:b/>
          <w:i/>
          <w:sz w:val="22"/>
          <w:szCs w:val="22"/>
        </w:rPr>
        <w:t xml:space="preserve">Clause </w:t>
      </w:r>
      <w:r w:rsidR="00A17E8B">
        <w:rPr>
          <w:b/>
          <w:i/>
          <w:sz w:val="22"/>
          <w:szCs w:val="22"/>
        </w:rPr>
        <w:t>4</w:t>
      </w:r>
      <w:r>
        <w:rPr>
          <w:b/>
          <w:i/>
          <w:sz w:val="22"/>
          <w:szCs w:val="22"/>
        </w:rPr>
        <w:tab/>
      </w:r>
      <w:r w:rsidR="002E7788" w:rsidRPr="002E7788">
        <w:rPr>
          <w:sz w:val="22"/>
          <w:szCs w:val="22"/>
        </w:rPr>
        <w:t xml:space="preserve">provides </w:t>
      </w:r>
      <w:r w:rsidR="00A17E8B">
        <w:rPr>
          <w:sz w:val="22"/>
          <w:szCs w:val="22"/>
        </w:rPr>
        <w:t xml:space="preserve">that each </w:t>
      </w:r>
      <w:r w:rsidR="00A17E8B" w:rsidRPr="00A17E8B">
        <w:rPr>
          <w:sz w:val="22"/>
          <w:szCs w:val="22"/>
        </w:rPr>
        <w:t xml:space="preserve">instrument </w:t>
      </w:r>
      <w:r w:rsidR="00A17E8B">
        <w:rPr>
          <w:sz w:val="22"/>
          <w:szCs w:val="22"/>
        </w:rPr>
        <w:t xml:space="preserve">specified in the Schedule </w:t>
      </w:r>
      <w:r w:rsidR="00A17E8B" w:rsidRPr="00A17E8B">
        <w:rPr>
          <w:sz w:val="22"/>
          <w:szCs w:val="22"/>
        </w:rPr>
        <w:t>is amended or repealed as set out in the applicable items in the Schedule</w:t>
      </w:r>
      <w:r w:rsidR="000878D2">
        <w:rPr>
          <w:i/>
          <w:sz w:val="22"/>
          <w:szCs w:val="22"/>
        </w:rPr>
        <w:t>.</w:t>
      </w:r>
    </w:p>
    <w:p w14:paraId="4D79A7BF" w14:textId="5D114C14" w:rsidR="00AA0EE4" w:rsidRPr="00AA0EE4" w:rsidRDefault="00AA0EE4" w:rsidP="00A17E8B">
      <w:pPr>
        <w:spacing w:after="120" w:line="360" w:lineRule="auto"/>
        <w:ind w:left="1440" w:hanging="1440"/>
        <w:outlineLvl w:val="0"/>
        <w:rPr>
          <w:b/>
          <w:sz w:val="22"/>
          <w:szCs w:val="22"/>
        </w:rPr>
      </w:pPr>
      <w:r w:rsidRPr="00AA0EE4">
        <w:rPr>
          <w:b/>
          <w:sz w:val="22"/>
          <w:szCs w:val="22"/>
        </w:rPr>
        <w:t>Schedule 1</w:t>
      </w:r>
    </w:p>
    <w:p w14:paraId="4F2517DD" w14:textId="2CA7471F" w:rsidR="00AA0EE4" w:rsidRPr="00AA0EE4" w:rsidRDefault="00AA0EE4" w:rsidP="00A17E8B">
      <w:pPr>
        <w:spacing w:after="120" w:line="360" w:lineRule="auto"/>
        <w:ind w:left="1440" w:hanging="1440"/>
        <w:outlineLvl w:val="0"/>
        <w:rPr>
          <w:sz w:val="22"/>
          <w:szCs w:val="22"/>
        </w:rPr>
      </w:pPr>
      <w:r>
        <w:rPr>
          <w:b/>
          <w:i/>
          <w:sz w:val="22"/>
          <w:szCs w:val="22"/>
        </w:rPr>
        <w:t>Item 1</w:t>
      </w:r>
      <w:r>
        <w:rPr>
          <w:b/>
          <w:i/>
          <w:sz w:val="22"/>
          <w:szCs w:val="22"/>
        </w:rPr>
        <w:tab/>
      </w:r>
      <w:r>
        <w:rPr>
          <w:sz w:val="22"/>
          <w:szCs w:val="22"/>
        </w:rPr>
        <w:t xml:space="preserve">updates the reference to the </w:t>
      </w:r>
      <w:r>
        <w:rPr>
          <w:i/>
          <w:sz w:val="22"/>
          <w:szCs w:val="22"/>
        </w:rPr>
        <w:t>Legislation Act 2003</w:t>
      </w:r>
      <w:r>
        <w:rPr>
          <w:sz w:val="22"/>
          <w:szCs w:val="22"/>
        </w:rPr>
        <w:t xml:space="preserve">.  </w:t>
      </w:r>
    </w:p>
    <w:p w14:paraId="7DCF683D" w14:textId="0FB46862" w:rsidR="00AA0EE4" w:rsidRDefault="00AA0EE4" w:rsidP="00A17E8B">
      <w:pPr>
        <w:spacing w:after="120" w:line="360" w:lineRule="auto"/>
        <w:ind w:left="1440" w:hanging="1440"/>
        <w:outlineLvl w:val="0"/>
        <w:rPr>
          <w:sz w:val="22"/>
          <w:szCs w:val="22"/>
        </w:rPr>
      </w:pPr>
      <w:r>
        <w:rPr>
          <w:b/>
          <w:i/>
          <w:sz w:val="22"/>
          <w:szCs w:val="22"/>
        </w:rPr>
        <w:t>Item 2</w:t>
      </w:r>
      <w:r>
        <w:rPr>
          <w:b/>
          <w:i/>
          <w:sz w:val="22"/>
          <w:szCs w:val="22"/>
        </w:rPr>
        <w:tab/>
      </w:r>
      <w:r>
        <w:rPr>
          <w:sz w:val="22"/>
          <w:szCs w:val="22"/>
        </w:rPr>
        <w:t>removes an unnecessary abbreviation.</w:t>
      </w:r>
    </w:p>
    <w:p w14:paraId="28604143" w14:textId="2ACD6B92" w:rsidR="00AA0EE4" w:rsidRDefault="00AA0EE4" w:rsidP="00A17E8B">
      <w:pPr>
        <w:spacing w:after="120" w:line="360" w:lineRule="auto"/>
        <w:ind w:left="1440" w:hanging="1440"/>
        <w:outlineLvl w:val="0"/>
        <w:rPr>
          <w:sz w:val="22"/>
          <w:szCs w:val="22"/>
        </w:rPr>
      </w:pPr>
      <w:r>
        <w:rPr>
          <w:b/>
          <w:i/>
          <w:sz w:val="22"/>
          <w:szCs w:val="22"/>
        </w:rPr>
        <w:lastRenderedPageBreak/>
        <w:t>Item 3</w:t>
      </w:r>
      <w:r>
        <w:rPr>
          <w:sz w:val="22"/>
          <w:szCs w:val="22"/>
        </w:rPr>
        <w:tab/>
      </w:r>
      <w:r w:rsidR="0039743C">
        <w:rPr>
          <w:sz w:val="22"/>
          <w:szCs w:val="22"/>
        </w:rPr>
        <w:t xml:space="preserve">corrects the logbook reference for the WSDTF.  </w:t>
      </w:r>
    </w:p>
    <w:p w14:paraId="019F1F1A" w14:textId="25A47A8F" w:rsidR="0039743C" w:rsidRPr="0039743C" w:rsidRDefault="0039743C" w:rsidP="00A17E8B">
      <w:pPr>
        <w:spacing w:after="120" w:line="360" w:lineRule="auto"/>
        <w:ind w:left="1440" w:hanging="1440"/>
        <w:outlineLvl w:val="0"/>
        <w:rPr>
          <w:sz w:val="22"/>
          <w:szCs w:val="22"/>
        </w:rPr>
      </w:pPr>
      <w:r>
        <w:rPr>
          <w:b/>
          <w:i/>
          <w:sz w:val="22"/>
          <w:szCs w:val="22"/>
        </w:rPr>
        <w:t>Item 4</w:t>
      </w:r>
      <w:r>
        <w:rPr>
          <w:sz w:val="22"/>
          <w:szCs w:val="22"/>
        </w:rPr>
        <w:tab/>
        <w:t xml:space="preserve">corrects the logbook reference for fishing by trawl methods in the SPF.  </w:t>
      </w:r>
    </w:p>
    <w:p w14:paraId="21E6D228" w14:textId="6CE86D85" w:rsidR="0039743C" w:rsidRPr="0039743C" w:rsidRDefault="0039743C" w:rsidP="00A17E8B">
      <w:pPr>
        <w:spacing w:after="120" w:line="360" w:lineRule="auto"/>
        <w:ind w:left="1440" w:hanging="1440"/>
        <w:outlineLvl w:val="0"/>
        <w:rPr>
          <w:sz w:val="22"/>
          <w:szCs w:val="22"/>
        </w:rPr>
      </w:pPr>
      <w:r>
        <w:rPr>
          <w:b/>
          <w:i/>
          <w:sz w:val="22"/>
          <w:szCs w:val="22"/>
        </w:rPr>
        <w:t>Item 5</w:t>
      </w:r>
      <w:r>
        <w:rPr>
          <w:sz w:val="22"/>
          <w:szCs w:val="22"/>
        </w:rPr>
        <w:tab/>
      </w:r>
      <w:r w:rsidR="00D472EE">
        <w:rPr>
          <w:sz w:val="22"/>
          <w:szCs w:val="22"/>
        </w:rPr>
        <w:t xml:space="preserve">determines the logbooks for fishing by minor line methods in the SPF.  </w:t>
      </w:r>
    </w:p>
    <w:p w14:paraId="716DF202" w14:textId="0E92953D" w:rsidR="0039743C" w:rsidRPr="0039743C" w:rsidRDefault="0039743C" w:rsidP="00A17E8B">
      <w:pPr>
        <w:spacing w:after="120" w:line="360" w:lineRule="auto"/>
        <w:ind w:left="1440" w:hanging="1440"/>
        <w:outlineLvl w:val="0"/>
        <w:rPr>
          <w:sz w:val="22"/>
          <w:szCs w:val="22"/>
        </w:rPr>
      </w:pPr>
      <w:r>
        <w:rPr>
          <w:b/>
          <w:i/>
          <w:sz w:val="22"/>
          <w:szCs w:val="22"/>
        </w:rPr>
        <w:t>Item 6</w:t>
      </w:r>
      <w:r>
        <w:rPr>
          <w:sz w:val="22"/>
          <w:szCs w:val="22"/>
        </w:rPr>
        <w:tab/>
        <w:t xml:space="preserve">updates the reference to the current logbook for the BSCZSF.  </w:t>
      </w:r>
    </w:p>
    <w:p w14:paraId="322A501F" w14:textId="60BD6D40" w:rsidR="0039743C" w:rsidRPr="0039743C" w:rsidRDefault="0039743C" w:rsidP="00A17E8B">
      <w:pPr>
        <w:spacing w:after="120" w:line="360" w:lineRule="auto"/>
        <w:ind w:left="1440" w:hanging="1440"/>
        <w:outlineLvl w:val="0"/>
        <w:rPr>
          <w:i/>
          <w:sz w:val="22"/>
          <w:szCs w:val="22"/>
        </w:rPr>
      </w:pPr>
      <w:r>
        <w:rPr>
          <w:b/>
          <w:i/>
          <w:sz w:val="22"/>
          <w:szCs w:val="22"/>
        </w:rPr>
        <w:t>Item 7</w:t>
      </w:r>
      <w:r>
        <w:rPr>
          <w:sz w:val="22"/>
          <w:szCs w:val="22"/>
        </w:rPr>
        <w:tab/>
        <w:t xml:space="preserve">makes technical amendments to </w:t>
      </w:r>
      <w:r w:rsidR="00D472EE">
        <w:rPr>
          <w:sz w:val="22"/>
          <w:szCs w:val="22"/>
        </w:rPr>
        <w:t>clarify</w:t>
      </w:r>
      <w:r>
        <w:rPr>
          <w:sz w:val="22"/>
          <w:szCs w:val="22"/>
        </w:rPr>
        <w:t xml:space="preserve"> the relationship between the Determination and declarations made under subsection 91(1) of the Act.  </w:t>
      </w:r>
    </w:p>
    <w:p w14:paraId="39B2D7FD" w14:textId="15D51683" w:rsidR="0039743C" w:rsidRPr="0039743C" w:rsidRDefault="0039743C" w:rsidP="00A17E8B">
      <w:pPr>
        <w:spacing w:after="120" w:line="360" w:lineRule="auto"/>
        <w:ind w:left="1440" w:hanging="1440"/>
        <w:outlineLvl w:val="0"/>
        <w:rPr>
          <w:sz w:val="22"/>
          <w:szCs w:val="22"/>
        </w:rPr>
      </w:pPr>
      <w:r>
        <w:rPr>
          <w:b/>
          <w:i/>
          <w:sz w:val="22"/>
          <w:szCs w:val="22"/>
        </w:rPr>
        <w:t>Item 8</w:t>
      </w:r>
      <w:r>
        <w:rPr>
          <w:sz w:val="22"/>
          <w:szCs w:val="22"/>
        </w:rPr>
        <w:tab/>
        <w:t xml:space="preserve">provides the reference to the gazetted logbook for the BSCZSF.  </w:t>
      </w:r>
    </w:p>
    <w:p w14:paraId="78EF515D" w14:textId="77777777" w:rsidR="00A17E8B" w:rsidRPr="00A17E8B" w:rsidRDefault="00A17E8B" w:rsidP="00A17E8B">
      <w:pPr>
        <w:spacing w:after="120" w:line="360" w:lineRule="auto"/>
        <w:ind w:left="1440" w:hanging="1440"/>
        <w:outlineLvl w:val="0"/>
        <w:rPr>
          <w:sz w:val="22"/>
          <w:szCs w:val="22"/>
        </w:rPr>
      </w:pPr>
    </w:p>
    <w:p w14:paraId="03F2B5A1" w14:textId="5078C7B1" w:rsidR="0039743C" w:rsidRDefault="0039743C">
      <w:pPr>
        <w:rPr>
          <w:sz w:val="22"/>
          <w:szCs w:val="22"/>
        </w:rPr>
      </w:pPr>
      <w:r>
        <w:rPr>
          <w:sz w:val="22"/>
          <w:szCs w:val="22"/>
        </w:rPr>
        <w:br w:type="page"/>
      </w:r>
    </w:p>
    <w:p w14:paraId="4491A153" w14:textId="77777777" w:rsidR="00207EEF" w:rsidRDefault="00207EEF">
      <w:pPr>
        <w:rPr>
          <w:sz w:val="22"/>
          <w:szCs w:val="22"/>
        </w:rPr>
      </w:pPr>
    </w:p>
    <w:p w14:paraId="112E8C33" w14:textId="77777777" w:rsidR="00207EEF" w:rsidRDefault="00207EEF" w:rsidP="00F0525A">
      <w:pPr>
        <w:outlineLvl w:val="0"/>
        <w:rPr>
          <w:sz w:val="22"/>
          <w:szCs w:val="22"/>
        </w:rPr>
      </w:pPr>
      <w:r w:rsidRPr="00405ACD">
        <w:rPr>
          <w:rFonts w:ascii="Calibri" w:eastAsia="Calibri" w:hAnsi="Calibri"/>
          <w:noProof/>
          <w:sz w:val="22"/>
          <w:szCs w:val="22"/>
          <w:lang w:eastAsia="en-AU"/>
        </w:rPr>
        <mc:AlternateContent>
          <mc:Choice Requires="wps">
            <w:drawing>
              <wp:anchor distT="0" distB="0" distL="114300" distR="114300" simplePos="0" relativeHeight="251659264" behindDoc="0" locked="0" layoutInCell="1" allowOverlap="1" wp14:anchorId="41C54889" wp14:editId="2BBE72FD">
                <wp:simplePos x="0" y="0"/>
                <wp:positionH relativeFrom="column">
                  <wp:posOffset>-247650</wp:posOffset>
                </wp:positionH>
                <wp:positionV relativeFrom="paragraph">
                  <wp:posOffset>38100</wp:posOffset>
                </wp:positionV>
                <wp:extent cx="6118860" cy="605790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057900"/>
                        </a:xfrm>
                        <a:prstGeom prst="rect">
                          <a:avLst/>
                        </a:prstGeom>
                        <a:solidFill>
                          <a:srgbClr val="FFFFFF"/>
                        </a:solidFill>
                        <a:ln w="76200" cmpd="tri">
                          <a:solidFill>
                            <a:srgbClr val="000000"/>
                          </a:solidFill>
                          <a:miter lim="800000"/>
                          <a:headEnd/>
                          <a:tailEnd/>
                        </a:ln>
                      </wps:spPr>
                      <wps:txbx>
                        <w:txbxContent>
                          <w:p w14:paraId="2A3F724C" w14:textId="77777777" w:rsidR="00207EEF" w:rsidRPr="00E4135E" w:rsidRDefault="00207EEF" w:rsidP="00207EEF">
                            <w:pPr>
                              <w:spacing w:before="360" w:after="120"/>
                              <w:jc w:val="center"/>
                              <w:rPr>
                                <w:b/>
                                <w:sz w:val="28"/>
                                <w:szCs w:val="28"/>
                              </w:rPr>
                            </w:pPr>
                            <w:r w:rsidRPr="00E4135E">
                              <w:rPr>
                                <w:b/>
                                <w:sz w:val="28"/>
                                <w:szCs w:val="28"/>
                              </w:rPr>
                              <w:t>Statement of Compatibility with Human Rights</w:t>
                            </w:r>
                          </w:p>
                          <w:p w14:paraId="5F1096AA" w14:textId="77777777" w:rsidR="00207EEF" w:rsidRPr="00E4135E" w:rsidRDefault="00207EEF" w:rsidP="00207EEF">
                            <w:pPr>
                              <w:spacing w:before="120" w:after="120"/>
                              <w:jc w:val="center"/>
                            </w:pPr>
                            <w:r w:rsidRPr="00E4135E">
                              <w:rPr>
                                <w:i/>
                              </w:rPr>
                              <w:t>Prepared in accordance with Part 3 of the Human Rights (Parliamentary Scrutiny) Act 2011</w:t>
                            </w:r>
                          </w:p>
                          <w:p w14:paraId="1A70D56C" w14:textId="77777777" w:rsidR="00207EEF" w:rsidRPr="00E4135E" w:rsidRDefault="00207EEF" w:rsidP="00207EEF">
                            <w:pPr>
                              <w:spacing w:before="120" w:after="120"/>
                              <w:jc w:val="center"/>
                            </w:pPr>
                          </w:p>
                          <w:p w14:paraId="75B845A8" w14:textId="77777777" w:rsidR="00207EEF" w:rsidRPr="00A731DC" w:rsidRDefault="005C76F8" w:rsidP="00207EEF">
                            <w:pPr>
                              <w:spacing w:before="120" w:after="120"/>
                              <w:jc w:val="center"/>
                              <w:rPr>
                                <w:b/>
                              </w:rPr>
                            </w:pPr>
                            <w:r w:rsidRPr="005C76F8">
                              <w:rPr>
                                <w:b/>
                              </w:rPr>
                              <w:t>Logbooks for Fisheries Amendment Determination 2018 (No. 1)</w:t>
                            </w:r>
                          </w:p>
                          <w:p w14:paraId="39552B6D" w14:textId="77777777" w:rsidR="00207EEF" w:rsidRPr="00E4135E" w:rsidRDefault="00207EEF" w:rsidP="00207EE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136FD5EF" w14:textId="77777777" w:rsidR="00207EEF" w:rsidRPr="00E4135E" w:rsidRDefault="00207EEF" w:rsidP="00207EEF">
                            <w:pPr>
                              <w:spacing w:before="120" w:after="120"/>
                              <w:jc w:val="both"/>
                              <w:rPr>
                                <w:b/>
                              </w:rPr>
                            </w:pPr>
                            <w:r w:rsidRPr="00E4135E">
                              <w:rPr>
                                <w:b/>
                              </w:rPr>
                              <w:t>Overview of the Legislative Instrument</w:t>
                            </w:r>
                          </w:p>
                          <w:p w14:paraId="446EE36D" w14:textId="77777777" w:rsidR="00207EEF" w:rsidRDefault="00207EEF" w:rsidP="00207EEF">
                            <w:pPr>
                              <w:autoSpaceDE w:val="0"/>
                              <w:autoSpaceDN w:val="0"/>
                              <w:adjustRightInd w:val="0"/>
                              <w:jc w:val="both"/>
                              <w:rPr>
                                <w:color w:val="000000"/>
                              </w:rPr>
                            </w:pPr>
                            <w:r w:rsidRPr="00207EEF">
                              <w:rPr>
                                <w:color w:val="000000"/>
                              </w:rPr>
                              <w:t>The instrument determines the form and content of the logbook to be kept and maintained for concession holders in Commonwealth managed fisheries.  The determination provides for the submission of logbooks or the production of a receipt provided by AFMA evidencing the submission of the information contained in the logbook in an electronic format.</w:t>
                            </w:r>
                          </w:p>
                          <w:p w14:paraId="6D17AFE0" w14:textId="77777777" w:rsidR="00207EEF" w:rsidRDefault="00207EEF" w:rsidP="00207EEF">
                            <w:pPr>
                              <w:autoSpaceDE w:val="0"/>
                              <w:autoSpaceDN w:val="0"/>
                              <w:adjustRightInd w:val="0"/>
                              <w:jc w:val="both"/>
                              <w:rPr>
                                <w:color w:val="000000"/>
                              </w:rPr>
                            </w:pPr>
                          </w:p>
                          <w:p w14:paraId="40C31811" w14:textId="77777777" w:rsidR="00207EEF" w:rsidRPr="00E4135E" w:rsidRDefault="00207EEF" w:rsidP="00207EEF">
                            <w:pPr>
                              <w:spacing w:before="120" w:after="120"/>
                              <w:jc w:val="both"/>
                              <w:rPr>
                                <w:b/>
                              </w:rPr>
                            </w:pPr>
                            <w:r w:rsidRPr="00E4135E">
                              <w:rPr>
                                <w:b/>
                              </w:rPr>
                              <w:t>Human rights implications</w:t>
                            </w:r>
                          </w:p>
                          <w:p w14:paraId="177F090A" w14:textId="77777777" w:rsidR="00207EEF" w:rsidRPr="00E4135E" w:rsidRDefault="00207EEF" w:rsidP="00207EEF">
                            <w:pPr>
                              <w:spacing w:before="120" w:after="120"/>
                              <w:jc w:val="both"/>
                            </w:pPr>
                            <w:r w:rsidRPr="00E4135E">
                              <w:t>This Legislative Instrument does not engage any of the applicable rights or freedoms.</w:t>
                            </w:r>
                          </w:p>
                          <w:p w14:paraId="7F8A7555" w14:textId="77777777" w:rsidR="00207EEF" w:rsidRDefault="00207EEF" w:rsidP="00207EEF">
                            <w:pPr>
                              <w:spacing w:before="120" w:after="120"/>
                              <w:jc w:val="both"/>
                              <w:rPr>
                                <w:b/>
                              </w:rPr>
                            </w:pPr>
                            <w:r w:rsidRPr="00E4135E">
                              <w:rPr>
                                <w:b/>
                              </w:rPr>
                              <w:t>Conclusion</w:t>
                            </w:r>
                          </w:p>
                          <w:p w14:paraId="7DC440A0" w14:textId="77777777" w:rsidR="00207EEF" w:rsidRPr="00E4135E" w:rsidRDefault="00207EEF" w:rsidP="00207EEF">
                            <w:pPr>
                              <w:spacing w:before="120" w:after="120"/>
                              <w:jc w:val="both"/>
                            </w:pPr>
                            <w:r w:rsidRPr="00207EEF">
                              <w:t>This Legislative Instrument is compatible with human rights as it does not raise any human rights issues.</w:t>
                            </w:r>
                            <w:r w:rsidRPr="0062432B">
                              <w:t xml:space="preserve">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4889" id="Rectangle 1" o:spid="_x0000_s1026" style="position:absolute;margin-left:-19.5pt;margin-top:3pt;width:481.8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" strokeweight="6pt">
                <v:stroke linestyle="thickBetweenThin"/>
                <v:textbox inset="5mm,,5mm">
                  <w:txbxContent>
                    <w:p w14:paraId="2A3F724C" w14:textId="77777777" w:rsidR="00207EEF" w:rsidRPr="00E4135E" w:rsidRDefault="00207EEF" w:rsidP="00207EEF">
                      <w:pPr>
                        <w:spacing w:before="360" w:after="120"/>
                        <w:jc w:val="center"/>
                        <w:rPr>
                          <w:b/>
                          <w:sz w:val="28"/>
                          <w:szCs w:val="28"/>
                        </w:rPr>
                      </w:pPr>
                      <w:r w:rsidRPr="00E4135E">
                        <w:rPr>
                          <w:b/>
                          <w:sz w:val="28"/>
                          <w:szCs w:val="28"/>
                        </w:rPr>
                        <w:t>Statement of Compatibility with Human Rights</w:t>
                      </w:r>
                    </w:p>
                    <w:p w14:paraId="5F1096AA" w14:textId="77777777" w:rsidR="00207EEF" w:rsidRPr="00E4135E" w:rsidRDefault="00207EEF" w:rsidP="00207EEF">
                      <w:pPr>
                        <w:spacing w:before="120" w:after="120"/>
                        <w:jc w:val="center"/>
                      </w:pPr>
                      <w:r w:rsidRPr="00E4135E">
                        <w:rPr>
                          <w:i/>
                        </w:rPr>
                        <w:t>Prepared in accordance with Part 3 of the Human Rights (Parliamentary Scrutiny) Act 2011</w:t>
                      </w:r>
                    </w:p>
                    <w:p w14:paraId="1A70D56C" w14:textId="77777777" w:rsidR="00207EEF" w:rsidRPr="00E4135E" w:rsidRDefault="00207EEF" w:rsidP="00207EEF">
                      <w:pPr>
                        <w:spacing w:before="120" w:after="120"/>
                        <w:jc w:val="center"/>
                      </w:pPr>
                    </w:p>
                    <w:p w14:paraId="75B845A8" w14:textId="77777777" w:rsidR="00207EEF" w:rsidRPr="00A731DC" w:rsidRDefault="005C76F8" w:rsidP="00207EEF">
                      <w:pPr>
                        <w:spacing w:before="120" w:after="120"/>
                        <w:jc w:val="center"/>
                        <w:rPr>
                          <w:b/>
                        </w:rPr>
                      </w:pPr>
                      <w:r w:rsidRPr="005C76F8">
                        <w:rPr>
                          <w:b/>
                        </w:rPr>
                        <w:t>Logbooks for Fisheries Amendment Determination 2018 (No. 1)</w:t>
                      </w:r>
                    </w:p>
                    <w:p w14:paraId="39552B6D" w14:textId="77777777" w:rsidR="00207EEF" w:rsidRPr="00E4135E" w:rsidRDefault="00207EEF" w:rsidP="00207EE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136FD5EF" w14:textId="77777777" w:rsidR="00207EEF" w:rsidRPr="00E4135E" w:rsidRDefault="00207EEF" w:rsidP="00207EEF">
                      <w:pPr>
                        <w:spacing w:before="120" w:after="120"/>
                        <w:jc w:val="both"/>
                        <w:rPr>
                          <w:b/>
                        </w:rPr>
                      </w:pPr>
                      <w:r w:rsidRPr="00E4135E">
                        <w:rPr>
                          <w:b/>
                        </w:rPr>
                        <w:t>Overview of the Legislative Instrument</w:t>
                      </w:r>
                    </w:p>
                    <w:p w14:paraId="446EE36D" w14:textId="77777777" w:rsidR="00207EEF" w:rsidRDefault="00207EEF" w:rsidP="00207EEF">
                      <w:pPr>
                        <w:autoSpaceDE w:val="0"/>
                        <w:autoSpaceDN w:val="0"/>
                        <w:adjustRightInd w:val="0"/>
                        <w:jc w:val="both"/>
                        <w:rPr>
                          <w:color w:val="000000"/>
                        </w:rPr>
                      </w:pPr>
                      <w:r w:rsidRPr="00207EEF">
                        <w:rPr>
                          <w:color w:val="000000"/>
                        </w:rPr>
                        <w:t>The instrument determines the form and content of the logbook to be kept and maintained for concession holders in Commonwealth managed fisheries.  The determination provides for the submission of logbooks or the production of a receipt provided by AFMA evidencing the submission of the information contained in the logbook in an electronic format.</w:t>
                      </w:r>
                    </w:p>
                    <w:p w14:paraId="6D17AFE0" w14:textId="77777777" w:rsidR="00207EEF" w:rsidRDefault="00207EEF" w:rsidP="00207EEF">
                      <w:pPr>
                        <w:autoSpaceDE w:val="0"/>
                        <w:autoSpaceDN w:val="0"/>
                        <w:adjustRightInd w:val="0"/>
                        <w:jc w:val="both"/>
                        <w:rPr>
                          <w:color w:val="000000"/>
                        </w:rPr>
                      </w:pPr>
                    </w:p>
                    <w:p w14:paraId="40C31811" w14:textId="77777777" w:rsidR="00207EEF" w:rsidRPr="00E4135E" w:rsidRDefault="00207EEF" w:rsidP="00207EEF">
                      <w:pPr>
                        <w:spacing w:before="120" w:after="120"/>
                        <w:jc w:val="both"/>
                        <w:rPr>
                          <w:b/>
                        </w:rPr>
                      </w:pPr>
                      <w:r w:rsidRPr="00E4135E">
                        <w:rPr>
                          <w:b/>
                        </w:rPr>
                        <w:t>Human rights implications</w:t>
                      </w:r>
                    </w:p>
                    <w:p w14:paraId="177F090A" w14:textId="77777777" w:rsidR="00207EEF" w:rsidRPr="00E4135E" w:rsidRDefault="00207EEF" w:rsidP="00207EEF">
                      <w:pPr>
                        <w:spacing w:before="120" w:after="120"/>
                        <w:jc w:val="both"/>
                      </w:pPr>
                      <w:r w:rsidRPr="00E4135E">
                        <w:t>This Legislative Instrument does not engage any of the applicable rights or freedoms.</w:t>
                      </w:r>
                    </w:p>
                    <w:p w14:paraId="7F8A7555" w14:textId="77777777" w:rsidR="00207EEF" w:rsidRDefault="00207EEF" w:rsidP="00207EEF">
                      <w:pPr>
                        <w:spacing w:before="120" w:after="120"/>
                        <w:jc w:val="both"/>
                        <w:rPr>
                          <w:b/>
                        </w:rPr>
                      </w:pPr>
                      <w:r w:rsidRPr="00E4135E">
                        <w:rPr>
                          <w:b/>
                        </w:rPr>
                        <w:t>Conclusion</w:t>
                      </w:r>
                    </w:p>
                    <w:p w14:paraId="7DC440A0" w14:textId="77777777" w:rsidR="00207EEF" w:rsidRPr="00E4135E" w:rsidRDefault="00207EEF" w:rsidP="00207EEF">
                      <w:pPr>
                        <w:spacing w:before="120" w:after="120"/>
                        <w:jc w:val="both"/>
                      </w:pPr>
                      <w:r w:rsidRPr="00207EEF">
                        <w:t>This Legislative Instrument is compatible with human rights as it does not raise any human rights issues.</w:t>
                      </w:r>
                      <w:r w:rsidRPr="0062432B">
                        <w:t xml:space="preserve">  </w:t>
                      </w:r>
                    </w:p>
                  </w:txbxContent>
                </v:textbox>
              </v:rect>
            </w:pict>
          </mc:Fallback>
        </mc:AlternateContent>
      </w:r>
    </w:p>
    <w:sectPr w:rsidR="00207EEF" w:rsidSect="003A6E09">
      <w:pgSz w:w="12240" w:h="15840"/>
      <w:pgMar w:top="1440" w:right="1800"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44C3E" w14:textId="77777777" w:rsidR="00D472EE" w:rsidRDefault="00D472EE" w:rsidP="00D472EE">
      <w:r>
        <w:separator/>
      </w:r>
    </w:p>
  </w:endnote>
  <w:endnote w:type="continuationSeparator" w:id="0">
    <w:p w14:paraId="3C3AB1A4" w14:textId="77777777" w:rsidR="00D472EE" w:rsidRDefault="00D472EE" w:rsidP="00D4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0844D" w14:textId="77777777" w:rsidR="00D472EE" w:rsidRDefault="00D472EE" w:rsidP="00D472EE">
      <w:r>
        <w:separator/>
      </w:r>
    </w:p>
  </w:footnote>
  <w:footnote w:type="continuationSeparator" w:id="0">
    <w:p w14:paraId="436DA20A" w14:textId="77777777" w:rsidR="00D472EE" w:rsidRDefault="00D472EE" w:rsidP="00D47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9161F"/>
    <w:multiLevelType w:val="hybridMultilevel"/>
    <w:tmpl w:val="916A3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E0555C"/>
    <w:multiLevelType w:val="hybridMultilevel"/>
    <w:tmpl w:val="4B3CB2D0"/>
    <w:lvl w:ilvl="0" w:tplc="62083E9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96"/>
    <w:rsid w:val="00016A93"/>
    <w:rsid w:val="00047041"/>
    <w:rsid w:val="00061722"/>
    <w:rsid w:val="000878D2"/>
    <w:rsid w:val="000949DB"/>
    <w:rsid w:val="000964C2"/>
    <w:rsid w:val="000C58E5"/>
    <w:rsid w:val="000D0F97"/>
    <w:rsid w:val="000D35F9"/>
    <w:rsid w:val="000E07DD"/>
    <w:rsid w:val="000F0A95"/>
    <w:rsid w:val="0012469E"/>
    <w:rsid w:val="001329CD"/>
    <w:rsid w:val="00140E96"/>
    <w:rsid w:val="00150264"/>
    <w:rsid w:val="00151068"/>
    <w:rsid w:val="00162253"/>
    <w:rsid w:val="00194F30"/>
    <w:rsid w:val="001A10A6"/>
    <w:rsid w:val="001A5FA5"/>
    <w:rsid w:val="001D627C"/>
    <w:rsid w:val="001D7C41"/>
    <w:rsid w:val="00207EEF"/>
    <w:rsid w:val="00250F88"/>
    <w:rsid w:val="002553B1"/>
    <w:rsid w:val="002646E6"/>
    <w:rsid w:val="002651C9"/>
    <w:rsid w:val="00267AC9"/>
    <w:rsid w:val="002A203B"/>
    <w:rsid w:val="002C2983"/>
    <w:rsid w:val="002C3400"/>
    <w:rsid w:val="002D0A68"/>
    <w:rsid w:val="002D23BD"/>
    <w:rsid w:val="002D251A"/>
    <w:rsid w:val="002D5DF1"/>
    <w:rsid w:val="002E03F1"/>
    <w:rsid w:val="002E23FA"/>
    <w:rsid w:val="002E375E"/>
    <w:rsid w:val="002E7788"/>
    <w:rsid w:val="00303E00"/>
    <w:rsid w:val="0030552D"/>
    <w:rsid w:val="00352709"/>
    <w:rsid w:val="00361A00"/>
    <w:rsid w:val="003723D1"/>
    <w:rsid w:val="00381CB6"/>
    <w:rsid w:val="003938ED"/>
    <w:rsid w:val="00395D54"/>
    <w:rsid w:val="0039743C"/>
    <w:rsid w:val="003A6E09"/>
    <w:rsid w:val="003C1B38"/>
    <w:rsid w:val="003C5B75"/>
    <w:rsid w:val="003D6AC1"/>
    <w:rsid w:val="003E120C"/>
    <w:rsid w:val="003F0D46"/>
    <w:rsid w:val="003F6724"/>
    <w:rsid w:val="003F777E"/>
    <w:rsid w:val="00400135"/>
    <w:rsid w:val="00404E9A"/>
    <w:rsid w:val="00440CF5"/>
    <w:rsid w:val="00444269"/>
    <w:rsid w:val="0045440F"/>
    <w:rsid w:val="00455299"/>
    <w:rsid w:val="00462064"/>
    <w:rsid w:val="0047168C"/>
    <w:rsid w:val="00494228"/>
    <w:rsid w:val="00495DF8"/>
    <w:rsid w:val="004B59E4"/>
    <w:rsid w:val="004C375D"/>
    <w:rsid w:val="004C47EA"/>
    <w:rsid w:val="00502198"/>
    <w:rsid w:val="005118E2"/>
    <w:rsid w:val="00512556"/>
    <w:rsid w:val="00514508"/>
    <w:rsid w:val="00514C44"/>
    <w:rsid w:val="0053606B"/>
    <w:rsid w:val="00542022"/>
    <w:rsid w:val="00564148"/>
    <w:rsid w:val="00576CB0"/>
    <w:rsid w:val="00580AE5"/>
    <w:rsid w:val="00583901"/>
    <w:rsid w:val="0058496C"/>
    <w:rsid w:val="00586D2B"/>
    <w:rsid w:val="00595CBA"/>
    <w:rsid w:val="005B327B"/>
    <w:rsid w:val="005C76F8"/>
    <w:rsid w:val="005E3702"/>
    <w:rsid w:val="005F659E"/>
    <w:rsid w:val="00621586"/>
    <w:rsid w:val="00646B32"/>
    <w:rsid w:val="006567A9"/>
    <w:rsid w:val="00660989"/>
    <w:rsid w:val="00682CC8"/>
    <w:rsid w:val="00696A36"/>
    <w:rsid w:val="006A7A15"/>
    <w:rsid w:val="00702C16"/>
    <w:rsid w:val="0070375C"/>
    <w:rsid w:val="00716AD2"/>
    <w:rsid w:val="0073089D"/>
    <w:rsid w:val="0074246E"/>
    <w:rsid w:val="00765A44"/>
    <w:rsid w:val="0077454A"/>
    <w:rsid w:val="0079005B"/>
    <w:rsid w:val="007B3770"/>
    <w:rsid w:val="007C57E5"/>
    <w:rsid w:val="007D3DB2"/>
    <w:rsid w:val="007D5646"/>
    <w:rsid w:val="00810FC5"/>
    <w:rsid w:val="008316A7"/>
    <w:rsid w:val="008365FF"/>
    <w:rsid w:val="008706F5"/>
    <w:rsid w:val="008777EE"/>
    <w:rsid w:val="008C74D5"/>
    <w:rsid w:val="008F43D8"/>
    <w:rsid w:val="008F5A55"/>
    <w:rsid w:val="009321D4"/>
    <w:rsid w:val="00942B2B"/>
    <w:rsid w:val="009446BF"/>
    <w:rsid w:val="00964DAD"/>
    <w:rsid w:val="00982382"/>
    <w:rsid w:val="00987E96"/>
    <w:rsid w:val="00995790"/>
    <w:rsid w:val="009A4712"/>
    <w:rsid w:val="009B19A2"/>
    <w:rsid w:val="009D0833"/>
    <w:rsid w:val="009D6C39"/>
    <w:rsid w:val="009D7E46"/>
    <w:rsid w:val="009E0495"/>
    <w:rsid w:val="00A011B8"/>
    <w:rsid w:val="00A17E8B"/>
    <w:rsid w:val="00A22436"/>
    <w:rsid w:val="00A36A0C"/>
    <w:rsid w:val="00A36DB0"/>
    <w:rsid w:val="00A417E9"/>
    <w:rsid w:val="00A5635A"/>
    <w:rsid w:val="00A64FC0"/>
    <w:rsid w:val="00A67E55"/>
    <w:rsid w:val="00A70166"/>
    <w:rsid w:val="00A720C6"/>
    <w:rsid w:val="00A75C45"/>
    <w:rsid w:val="00A7750B"/>
    <w:rsid w:val="00AA0EE4"/>
    <w:rsid w:val="00AA781B"/>
    <w:rsid w:val="00AD5603"/>
    <w:rsid w:val="00AE1917"/>
    <w:rsid w:val="00AF3175"/>
    <w:rsid w:val="00B05006"/>
    <w:rsid w:val="00B0751A"/>
    <w:rsid w:val="00B11CFF"/>
    <w:rsid w:val="00B1470B"/>
    <w:rsid w:val="00B3518B"/>
    <w:rsid w:val="00B358AD"/>
    <w:rsid w:val="00B37C27"/>
    <w:rsid w:val="00B72ACF"/>
    <w:rsid w:val="00B74CF7"/>
    <w:rsid w:val="00B92D88"/>
    <w:rsid w:val="00BA280F"/>
    <w:rsid w:val="00BB3122"/>
    <w:rsid w:val="00BB5A63"/>
    <w:rsid w:val="00BF3D91"/>
    <w:rsid w:val="00BF5744"/>
    <w:rsid w:val="00BF704F"/>
    <w:rsid w:val="00C05336"/>
    <w:rsid w:val="00C0729E"/>
    <w:rsid w:val="00C13DDE"/>
    <w:rsid w:val="00C768A1"/>
    <w:rsid w:val="00C80539"/>
    <w:rsid w:val="00C81CBF"/>
    <w:rsid w:val="00C855B4"/>
    <w:rsid w:val="00CA037C"/>
    <w:rsid w:val="00CD3C96"/>
    <w:rsid w:val="00CE1FEA"/>
    <w:rsid w:val="00CE58EB"/>
    <w:rsid w:val="00CF32B5"/>
    <w:rsid w:val="00D230FF"/>
    <w:rsid w:val="00D27329"/>
    <w:rsid w:val="00D32544"/>
    <w:rsid w:val="00D40858"/>
    <w:rsid w:val="00D41B9F"/>
    <w:rsid w:val="00D43634"/>
    <w:rsid w:val="00D472EE"/>
    <w:rsid w:val="00D81144"/>
    <w:rsid w:val="00D84512"/>
    <w:rsid w:val="00D84AEF"/>
    <w:rsid w:val="00D92753"/>
    <w:rsid w:val="00DA52EE"/>
    <w:rsid w:val="00DB133E"/>
    <w:rsid w:val="00DB22E8"/>
    <w:rsid w:val="00DB6DFB"/>
    <w:rsid w:val="00DC3C5E"/>
    <w:rsid w:val="00E15C95"/>
    <w:rsid w:val="00E15E53"/>
    <w:rsid w:val="00E177F3"/>
    <w:rsid w:val="00E24914"/>
    <w:rsid w:val="00E36E82"/>
    <w:rsid w:val="00E41EFF"/>
    <w:rsid w:val="00E773C3"/>
    <w:rsid w:val="00E847FE"/>
    <w:rsid w:val="00EA3997"/>
    <w:rsid w:val="00ED6F64"/>
    <w:rsid w:val="00EE6360"/>
    <w:rsid w:val="00EF3CE1"/>
    <w:rsid w:val="00EF445F"/>
    <w:rsid w:val="00F00C86"/>
    <w:rsid w:val="00F0525A"/>
    <w:rsid w:val="00F05D50"/>
    <w:rsid w:val="00F40E97"/>
    <w:rsid w:val="00F526CD"/>
    <w:rsid w:val="00F77FA8"/>
    <w:rsid w:val="00FA2D16"/>
    <w:rsid w:val="00FB4096"/>
    <w:rsid w:val="00FB7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97A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rsid w:val="00267AC9"/>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Normal"/>
    <w:pPr>
      <w:ind w:left="360"/>
    </w:pPr>
    <w:rPr>
      <w:snapToGrid w:val="0"/>
    </w:rPr>
  </w:style>
  <w:style w:type="paragraph" w:styleId="BalloonText">
    <w:name w:val="Balloon Text"/>
    <w:basedOn w:val="Normal"/>
    <w:semiHidden/>
    <w:rsid w:val="00016A93"/>
    <w:rPr>
      <w:rFonts w:ascii="Tahoma" w:hAnsi="Tahoma" w:cs="Tahoma"/>
      <w:sz w:val="16"/>
      <w:szCs w:val="16"/>
    </w:rPr>
  </w:style>
  <w:style w:type="character" w:customStyle="1" w:styleId="CharSectno">
    <w:name w:val="CharSectno"/>
    <w:basedOn w:val="DefaultParagraphFont"/>
    <w:rsid w:val="00660989"/>
  </w:style>
  <w:style w:type="paragraph" w:customStyle="1" w:styleId="heading0">
    <w:name w:val="heading0"/>
    <w:basedOn w:val="Normal"/>
    <w:rsid w:val="00E177F3"/>
    <w:pPr>
      <w:spacing w:before="100" w:beforeAutospacing="1" w:after="100" w:afterAutospacing="1"/>
    </w:pPr>
    <w:rPr>
      <w:szCs w:val="24"/>
      <w:lang w:eastAsia="en-AU"/>
    </w:rPr>
  </w:style>
  <w:style w:type="paragraph" w:customStyle="1" w:styleId="AFMANormal">
    <w:name w:val="AFMA Normal"/>
    <w:rsid w:val="002E7788"/>
    <w:pPr>
      <w:spacing w:before="240"/>
      <w:jc w:val="both"/>
    </w:pPr>
    <w:rPr>
      <w:snapToGrid w:val="0"/>
      <w:kern w:val="20"/>
      <w:sz w:val="24"/>
      <w:lang w:eastAsia="en-US"/>
    </w:rPr>
  </w:style>
  <w:style w:type="paragraph" w:customStyle="1" w:styleId="afmanormal0">
    <w:name w:val="afmanormal"/>
    <w:basedOn w:val="Normal"/>
    <w:rsid w:val="00512556"/>
    <w:pPr>
      <w:spacing w:before="100" w:beforeAutospacing="1" w:after="100" w:afterAutospacing="1"/>
    </w:pPr>
    <w:rPr>
      <w:szCs w:val="24"/>
      <w:lang w:eastAsia="en-AU"/>
    </w:rPr>
  </w:style>
  <w:style w:type="paragraph" w:styleId="Title">
    <w:name w:val="Title"/>
    <w:basedOn w:val="Normal"/>
    <w:link w:val="TitleChar"/>
    <w:qFormat/>
    <w:rsid w:val="00267AC9"/>
    <w:pPr>
      <w:jc w:val="center"/>
    </w:pPr>
    <w:rPr>
      <w:u w:val="single"/>
    </w:rPr>
  </w:style>
  <w:style w:type="character" w:customStyle="1" w:styleId="TitleChar">
    <w:name w:val="Title Char"/>
    <w:basedOn w:val="DefaultParagraphFont"/>
    <w:link w:val="Title"/>
    <w:rsid w:val="00267AC9"/>
    <w:rPr>
      <w:sz w:val="24"/>
      <w:u w:val="single"/>
      <w:lang w:eastAsia="en-US"/>
    </w:rPr>
  </w:style>
  <w:style w:type="character" w:customStyle="1" w:styleId="Heading1Char">
    <w:name w:val="Heading 1 Char"/>
    <w:basedOn w:val="DefaultParagraphFont"/>
    <w:link w:val="Heading1"/>
    <w:rsid w:val="00267AC9"/>
    <w:rPr>
      <w:i/>
      <w:sz w:val="24"/>
      <w:lang w:eastAsia="en-US"/>
    </w:rPr>
  </w:style>
  <w:style w:type="character" w:styleId="CommentReference">
    <w:name w:val="annotation reference"/>
    <w:basedOn w:val="DefaultParagraphFont"/>
    <w:rsid w:val="00C768A1"/>
    <w:rPr>
      <w:sz w:val="16"/>
      <w:szCs w:val="16"/>
    </w:rPr>
  </w:style>
  <w:style w:type="paragraph" w:styleId="CommentText">
    <w:name w:val="annotation text"/>
    <w:basedOn w:val="Normal"/>
    <w:link w:val="CommentTextChar"/>
    <w:rsid w:val="00C768A1"/>
    <w:rPr>
      <w:sz w:val="20"/>
    </w:rPr>
  </w:style>
  <w:style w:type="character" w:customStyle="1" w:styleId="CommentTextChar">
    <w:name w:val="Comment Text Char"/>
    <w:basedOn w:val="DefaultParagraphFont"/>
    <w:link w:val="CommentText"/>
    <w:rsid w:val="00C768A1"/>
    <w:rPr>
      <w:lang w:eastAsia="en-US"/>
    </w:rPr>
  </w:style>
  <w:style w:type="paragraph" w:styleId="CommentSubject">
    <w:name w:val="annotation subject"/>
    <w:basedOn w:val="CommentText"/>
    <w:next w:val="CommentText"/>
    <w:link w:val="CommentSubjectChar"/>
    <w:rsid w:val="00C768A1"/>
    <w:rPr>
      <w:b/>
      <w:bCs/>
    </w:rPr>
  </w:style>
  <w:style w:type="character" w:customStyle="1" w:styleId="CommentSubjectChar">
    <w:name w:val="Comment Subject Char"/>
    <w:basedOn w:val="CommentTextChar"/>
    <w:link w:val="CommentSubject"/>
    <w:rsid w:val="00C768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180396">
      <w:bodyDiv w:val="1"/>
      <w:marLeft w:val="0"/>
      <w:marRight w:val="0"/>
      <w:marTop w:val="0"/>
      <w:marBottom w:val="0"/>
      <w:divBdr>
        <w:top w:val="none" w:sz="0" w:space="0" w:color="auto"/>
        <w:left w:val="none" w:sz="0" w:space="0" w:color="auto"/>
        <w:bottom w:val="none" w:sz="0" w:space="0" w:color="auto"/>
        <w:right w:val="none" w:sz="0" w:space="0" w:color="auto"/>
      </w:divBdr>
      <w:divsChild>
        <w:div w:id="450707239">
          <w:marLeft w:val="0"/>
          <w:marRight w:val="0"/>
          <w:marTop w:val="0"/>
          <w:marBottom w:val="0"/>
          <w:divBdr>
            <w:top w:val="none" w:sz="0" w:space="0" w:color="auto"/>
            <w:left w:val="none" w:sz="0" w:space="0" w:color="auto"/>
            <w:bottom w:val="none" w:sz="0" w:space="0" w:color="auto"/>
            <w:right w:val="none" w:sz="0" w:space="0" w:color="auto"/>
          </w:divBdr>
          <w:divsChild>
            <w:div w:id="214971606">
              <w:marLeft w:val="0"/>
              <w:marRight w:val="0"/>
              <w:marTop w:val="0"/>
              <w:marBottom w:val="0"/>
              <w:divBdr>
                <w:top w:val="none" w:sz="0" w:space="0" w:color="auto"/>
                <w:left w:val="none" w:sz="0" w:space="0" w:color="auto"/>
                <w:bottom w:val="none" w:sz="0" w:space="0" w:color="auto"/>
                <w:right w:val="none" w:sz="0" w:space="0" w:color="auto"/>
              </w:divBdr>
              <w:divsChild>
                <w:div w:id="1022633276">
                  <w:marLeft w:val="0"/>
                  <w:marRight w:val="0"/>
                  <w:marTop w:val="0"/>
                  <w:marBottom w:val="0"/>
                  <w:divBdr>
                    <w:top w:val="none" w:sz="0" w:space="0" w:color="auto"/>
                    <w:left w:val="none" w:sz="0" w:space="0" w:color="auto"/>
                    <w:bottom w:val="none" w:sz="0" w:space="0" w:color="auto"/>
                    <w:right w:val="none" w:sz="0" w:space="0" w:color="auto"/>
                  </w:divBdr>
                  <w:divsChild>
                    <w:div w:id="1475677497">
                      <w:marLeft w:val="0"/>
                      <w:marRight w:val="0"/>
                      <w:marTop w:val="0"/>
                      <w:marBottom w:val="0"/>
                      <w:divBdr>
                        <w:top w:val="none" w:sz="0" w:space="0" w:color="auto"/>
                        <w:left w:val="none" w:sz="0" w:space="0" w:color="auto"/>
                        <w:bottom w:val="none" w:sz="0" w:space="0" w:color="auto"/>
                        <w:right w:val="none" w:sz="0" w:space="0" w:color="auto"/>
                      </w:divBdr>
                      <w:divsChild>
                        <w:div w:id="1419987432">
                          <w:marLeft w:val="0"/>
                          <w:marRight w:val="0"/>
                          <w:marTop w:val="0"/>
                          <w:marBottom w:val="0"/>
                          <w:divBdr>
                            <w:top w:val="single" w:sz="6" w:space="0" w:color="828282"/>
                            <w:left w:val="single" w:sz="6" w:space="0" w:color="828282"/>
                            <w:bottom w:val="single" w:sz="6" w:space="0" w:color="828282"/>
                            <w:right w:val="single" w:sz="6" w:space="0" w:color="828282"/>
                          </w:divBdr>
                          <w:divsChild>
                            <w:div w:id="1623612118">
                              <w:marLeft w:val="0"/>
                              <w:marRight w:val="0"/>
                              <w:marTop w:val="0"/>
                              <w:marBottom w:val="0"/>
                              <w:divBdr>
                                <w:top w:val="none" w:sz="0" w:space="0" w:color="auto"/>
                                <w:left w:val="none" w:sz="0" w:space="0" w:color="auto"/>
                                <w:bottom w:val="none" w:sz="0" w:space="0" w:color="auto"/>
                                <w:right w:val="none" w:sz="0" w:space="0" w:color="auto"/>
                              </w:divBdr>
                              <w:divsChild>
                                <w:div w:id="1815755436">
                                  <w:marLeft w:val="0"/>
                                  <w:marRight w:val="0"/>
                                  <w:marTop w:val="0"/>
                                  <w:marBottom w:val="0"/>
                                  <w:divBdr>
                                    <w:top w:val="none" w:sz="0" w:space="0" w:color="auto"/>
                                    <w:left w:val="none" w:sz="0" w:space="0" w:color="auto"/>
                                    <w:bottom w:val="none" w:sz="0" w:space="0" w:color="auto"/>
                                    <w:right w:val="none" w:sz="0" w:space="0" w:color="auto"/>
                                  </w:divBdr>
                                  <w:divsChild>
                                    <w:div w:id="223879673">
                                      <w:marLeft w:val="0"/>
                                      <w:marRight w:val="0"/>
                                      <w:marTop w:val="0"/>
                                      <w:marBottom w:val="0"/>
                                      <w:divBdr>
                                        <w:top w:val="none" w:sz="0" w:space="0" w:color="auto"/>
                                        <w:left w:val="none" w:sz="0" w:space="0" w:color="auto"/>
                                        <w:bottom w:val="none" w:sz="0" w:space="0" w:color="auto"/>
                                        <w:right w:val="none" w:sz="0" w:space="0" w:color="auto"/>
                                      </w:divBdr>
                                      <w:divsChild>
                                        <w:div w:id="581448297">
                                          <w:marLeft w:val="0"/>
                                          <w:marRight w:val="0"/>
                                          <w:marTop w:val="0"/>
                                          <w:marBottom w:val="0"/>
                                          <w:divBdr>
                                            <w:top w:val="none" w:sz="0" w:space="0" w:color="auto"/>
                                            <w:left w:val="none" w:sz="0" w:space="0" w:color="auto"/>
                                            <w:bottom w:val="none" w:sz="0" w:space="0" w:color="auto"/>
                                            <w:right w:val="none" w:sz="0" w:space="0" w:color="auto"/>
                                          </w:divBdr>
                                          <w:divsChild>
                                            <w:div w:id="2136213065">
                                              <w:marLeft w:val="0"/>
                                              <w:marRight w:val="0"/>
                                              <w:marTop w:val="0"/>
                                              <w:marBottom w:val="0"/>
                                              <w:divBdr>
                                                <w:top w:val="none" w:sz="0" w:space="0" w:color="auto"/>
                                                <w:left w:val="none" w:sz="0" w:space="0" w:color="auto"/>
                                                <w:bottom w:val="none" w:sz="0" w:space="0" w:color="auto"/>
                                                <w:right w:val="none" w:sz="0" w:space="0" w:color="auto"/>
                                              </w:divBdr>
                                              <w:divsChild>
                                                <w:div w:id="6941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5415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cp:lastModifiedBy/>
  <cp:revision>1</cp:revision>
  <cp:lastPrinted>2009-10-12T04:16:00Z</cp:lastPrinted>
  <dcterms:created xsi:type="dcterms:W3CDTF">2018-04-18T23:23:00Z</dcterms:created>
  <dcterms:modified xsi:type="dcterms:W3CDTF">2018-04-18T23:23:00Z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03b79e53-84e8-4712-b8fb-584b693c9526</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