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52BBB" w14:textId="7185D32C" w:rsidR="00234207" w:rsidRDefault="002436BD" w:rsidP="0086608F">
      <w:pPr>
        <w:pStyle w:val="Heading"/>
        <w:spacing w:after="240"/>
        <w:jc w:val="center"/>
        <w:rPr>
          <w:rFonts w:ascii="Times New Roman" w:hAnsi="Times New Roman"/>
          <w:sz w:val="24"/>
          <w:szCs w:val="24"/>
        </w:rPr>
      </w:pPr>
      <w:r w:rsidRPr="002C6D26">
        <w:rPr>
          <w:rFonts w:ascii="Times New Roman" w:hAnsi="Times New Roman"/>
          <w:sz w:val="24"/>
          <w:szCs w:val="24"/>
        </w:rPr>
        <w:t xml:space="preserve">Banking (prudential standard) determination </w:t>
      </w:r>
      <w:r w:rsidRPr="00317C31">
        <w:rPr>
          <w:rFonts w:ascii="Times New Roman" w:hAnsi="Times New Roman"/>
          <w:sz w:val="24"/>
          <w:szCs w:val="24"/>
        </w:rPr>
        <w:t xml:space="preserve">No. </w:t>
      </w:r>
      <w:r w:rsidR="0086608F">
        <w:rPr>
          <w:rFonts w:ascii="Times New Roman" w:hAnsi="Times New Roman"/>
          <w:sz w:val="24"/>
          <w:szCs w:val="24"/>
        </w:rPr>
        <w:t xml:space="preserve">3 </w:t>
      </w:r>
      <w:r w:rsidR="00940F92" w:rsidRPr="00317C31">
        <w:rPr>
          <w:rFonts w:ascii="Times New Roman" w:hAnsi="Times New Roman"/>
          <w:sz w:val="24"/>
          <w:szCs w:val="24"/>
        </w:rPr>
        <w:t>of 201</w:t>
      </w:r>
      <w:r w:rsidR="00011E66" w:rsidRPr="00317C31">
        <w:rPr>
          <w:rFonts w:ascii="Times New Roman" w:hAnsi="Times New Roman"/>
          <w:sz w:val="24"/>
          <w:szCs w:val="24"/>
        </w:rPr>
        <w:t>8</w:t>
      </w:r>
    </w:p>
    <w:p w14:paraId="55E52BBC" w14:textId="77777777" w:rsidR="00234207" w:rsidRDefault="002436BD" w:rsidP="0086608F">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55E52BBD" w14:textId="77777777" w:rsidR="00234207" w:rsidRPr="003615B4" w:rsidRDefault="002436BD" w:rsidP="0086608F">
      <w:pPr>
        <w:pStyle w:val="Heading"/>
        <w:spacing w:after="240"/>
        <w:jc w:val="center"/>
        <w:rPr>
          <w:rFonts w:ascii="Times New Roman" w:hAnsi="Times New Roman"/>
          <w:sz w:val="24"/>
          <w:szCs w:val="24"/>
        </w:rPr>
      </w:pPr>
      <w:r w:rsidRPr="003615B4">
        <w:rPr>
          <w:rFonts w:ascii="Times New Roman" w:hAnsi="Times New Roman"/>
          <w:sz w:val="24"/>
          <w:szCs w:val="24"/>
        </w:rPr>
        <w:t>Prepared by the Australian Prudential Regulation Authority (APRA)</w:t>
      </w:r>
    </w:p>
    <w:p w14:paraId="55E52BBF" w14:textId="4D2BF755" w:rsidR="002436BD" w:rsidRPr="003615B4" w:rsidRDefault="002436BD" w:rsidP="0086608F">
      <w:pPr>
        <w:pStyle w:val="Heading"/>
        <w:tabs>
          <w:tab w:val="left" w:pos="360"/>
        </w:tabs>
        <w:spacing w:after="240"/>
        <w:jc w:val="center"/>
        <w:rPr>
          <w:rFonts w:ascii="Times New Roman" w:hAnsi="Times New Roman"/>
          <w:b w:val="0"/>
          <w:color w:val="000000"/>
          <w:sz w:val="24"/>
          <w:szCs w:val="24"/>
        </w:rPr>
      </w:pPr>
      <w:r w:rsidRPr="003615B4">
        <w:rPr>
          <w:rFonts w:ascii="Times New Roman" w:hAnsi="Times New Roman"/>
          <w:b w:val="0"/>
          <w:i/>
          <w:sz w:val="24"/>
          <w:szCs w:val="24"/>
        </w:rPr>
        <w:t>Banking Act 1959</w:t>
      </w:r>
      <w:r w:rsidRPr="003615B4">
        <w:rPr>
          <w:rFonts w:ascii="Times New Roman" w:hAnsi="Times New Roman"/>
          <w:b w:val="0"/>
          <w:sz w:val="24"/>
          <w:szCs w:val="24"/>
        </w:rPr>
        <w:t xml:space="preserve">, </w:t>
      </w:r>
      <w:r w:rsidRPr="003615B4">
        <w:rPr>
          <w:rFonts w:ascii="Times New Roman" w:hAnsi="Times New Roman"/>
          <w:b w:val="0"/>
          <w:color w:val="000000"/>
          <w:sz w:val="24"/>
          <w:szCs w:val="24"/>
        </w:rPr>
        <w:t>section 11AF</w:t>
      </w:r>
    </w:p>
    <w:p w14:paraId="55E52BC1" w14:textId="77E434AD" w:rsidR="001A4EFF" w:rsidRPr="003615B4" w:rsidRDefault="00D12D91" w:rsidP="0086608F">
      <w:pPr>
        <w:widowControl w:val="0"/>
        <w:spacing w:before="120" w:after="240"/>
        <w:jc w:val="both"/>
        <w:rPr>
          <w:rFonts w:ascii="Times New Roman" w:hAnsi="Times New Roman"/>
          <w:sz w:val="24"/>
          <w:szCs w:val="24"/>
        </w:rPr>
      </w:pPr>
      <w:bookmarkStart w:id="1" w:name="bkAct"/>
      <w:bookmarkStart w:id="2" w:name="bkExplanatory"/>
      <w:bookmarkEnd w:id="1"/>
      <w:bookmarkEnd w:id="2"/>
      <w:r w:rsidRPr="003615B4">
        <w:rPr>
          <w:rFonts w:ascii="Times New Roman" w:hAnsi="Times New Roman"/>
          <w:sz w:val="24"/>
          <w:szCs w:val="24"/>
        </w:rPr>
        <w:t xml:space="preserve">Under subsection 11AF(1) of the </w:t>
      </w:r>
      <w:r w:rsidRPr="003615B4">
        <w:rPr>
          <w:rFonts w:ascii="Times New Roman" w:hAnsi="Times New Roman"/>
          <w:i/>
          <w:sz w:val="24"/>
          <w:szCs w:val="24"/>
        </w:rPr>
        <w:t>Banking Act 1959</w:t>
      </w:r>
      <w:r w:rsidRPr="003615B4">
        <w:rPr>
          <w:rFonts w:ascii="Times New Roman" w:hAnsi="Times New Roman"/>
          <w:sz w:val="24"/>
          <w:szCs w:val="24"/>
        </w:rPr>
        <w:t xml:space="preserve"> (the</w:t>
      </w:r>
      <w:r w:rsidRPr="003615B4">
        <w:rPr>
          <w:rFonts w:ascii="Times New Roman" w:hAnsi="Times New Roman"/>
          <w:b/>
          <w:i/>
          <w:sz w:val="24"/>
          <w:szCs w:val="24"/>
        </w:rPr>
        <w:t xml:space="preserve"> </w:t>
      </w:r>
      <w:r w:rsidRPr="0086608F">
        <w:rPr>
          <w:rFonts w:ascii="Times New Roman" w:hAnsi="Times New Roman"/>
          <w:sz w:val="24"/>
          <w:szCs w:val="24"/>
        </w:rPr>
        <w:t>Act</w:t>
      </w:r>
      <w:r w:rsidRPr="003615B4">
        <w:rPr>
          <w:rFonts w:ascii="Times New Roman" w:hAnsi="Times New Roman"/>
          <w:sz w:val="24"/>
          <w:szCs w:val="24"/>
        </w:rPr>
        <w:t>), APRA has the power to determine standards (</w:t>
      </w:r>
      <w:r w:rsidRPr="0086608F">
        <w:rPr>
          <w:rFonts w:ascii="Times New Roman" w:hAnsi="Times New Roman"/>
          <w:sz w:val="24"/>
          <w:szCs w:val="24"/>
        </w:rPr>
        <w:t>prudential standards</w:t>
      </w:r>
      <w:r w:rsidRPr="003615B4">
        <w:rPr>
          <w:rFonts w:ascii="Times New Roman" w:hAnsi="Times New Roman"/>
          <w:sz w:val="24"/>
          <w:szCs w:val="24"/>
        </w:rPr>
        <w:t>), in writing, in relation to prudential matters to be complied with by authorised deposit-taking institutions (</w:t>
      </w:r>
      <w:r w:rsidRPr="0086608F">
        <w:rPr>
          <w:rFonts w:ascii="Times New Roman" w:hAnsi="Times New Roman"/>
          <w:sz w:val="24"/>
          <w:szCs w:val="24"/>
        </w:rPr>
        <w:t>ADIs</w:t>
      </w:r>
      <w:r w:rsidRPr="003615B4">
        <w:rPr>
          <w:rFonts w:ascii="Times New Roman" w:hAnsi="Times New Roman"/>
          <w:sz w:val="24"/>
          <w:szCs w:val="24"/>
        </w:rPr>
        <w:t>) and authorised non-operating holding companies (</w:t>
      </w:r>
      <w:r w:rsidRPr="0086608F">
        <w:rPr>
          <w:rFonts w:ascii="Times New Roman" w:hAnsi="Times New Roman"/>
          <w:sz w:val="24"/>
          <w:szCs w:val="24"/>
        </w:rPr>
        <w:t>authorised NOHCs</w:t>
      </w:r>
      <w:r w:rsidRPr="003615B4">
        <w:rPr>
          <w:rFonts w:ascii="Times New Roman" w:hAnsi="Times New Roman"/>
          <w:sz w:val="24"/>
          <w:szCs w:val="24"/>
        </w:rPr>
        <w:t>). Under subsection 11AF(3) of the Act, APRA may, in writing, vary or revoke a prudential standard.</w:t>
      </w:r>
    </w:p>
    <w:p w14:paraId="55E52BC3" w14:textId="2DD973B4" w:rsidR="00AC7A56" w:rsidRPr="003615B4" w:rsidRDefault="00246723" w:rsidP="0086608F">
      <w:pPr>
        <w:spacing w:after="240"/>
        <w:jc w:val="both"/>
        <w:rPr>
          <w:rFonts w:ascii="Times New Roman" w:hAnsi="Times New Roman"/>
          <w:sz w:val="24"/>
          <w:szCs w:val="24"/>
        </w:rPr>
      </w:pPr>
      <w:r w:rsidRPr="003615B4">
        <w:rPr>
          <w:rFonts w:ascii="Times New Roman" w:hAnsi="Times New Roman"/>
          <w:sz w:val="24"/>
          <w:szCs w:val="24"/>
        </w:rPr>
        <w:t>On</w:t>
      </w:r>
      <w:r w:rsidR="000949BC">
        <w:rPr>
          <w:rFonts w:ascii="Times New Roman" w:hAnsi="Times New Roman"/>
          <w:sz w:val="24"/>
          <w:szCs w:val="24"/>
        </w:rPr>
        <w:t xml:space="preserve"> 18 </w:t>
      </w:r>
      <w:r w:rsidR="00AF4DCC">
        <w:rPr>
          <w:rFonts w:ascii="Times New Roman" w:hAnsi="Times New Roman"/>
          <w:sz w:val="24"/>
          <w:szCs w:val="24"/>
        </w:rPr>
        <w:t>April</w:t>
      </w:r>
      <w:r w:rsidR="000C5F38" w:rsidRPr="003615B4">
        <w:rPr>
          <w:rFonts w:ascii="Times New Roman" w:hAnsi="Times New Roman"/>
          <w:sz w:val="24"/>
          <w:szCs w:val="24"/>
        </w:rPr>
        <w:t xml:space="preserve"> </w:t>
      </w:r>
      <w:r w:rsidR="005D1E2B" w:rsidRPr="003615B4">
        <w:rPr>
          <w:rFonts w:ascii="Times New Roman" w:hAnsi="Times New Roman"/>
          <w:sz w:val="24"/>
          <w:szCs w:val="24"/>
        </w:rPr>
        <w:t xml:space="preserve">2018, </w:t>
      </w:r>
      <w:r w:rsidRPr="003615B4">
        <w:rPr>
          <w:rFonts w:ascii="Times New Roman" w:hAnsi="Times New Roman"/>
          <w:sz w:val="24"/>
          <w:szCs w:val="24"/>
        </w:rPr>
        <w:t xml:space="preserve">APRA made </w:t>
      </w:r>
      <w:r w:rsidR="00D12D91" w:rsidRPr="003615B4">
        <w:rPr>
          <w:rFonts w:ascii="Times New Roman" w:hAnsi="Times New Roman"/>
          <w:sz w:val="24"/>
          <w:szCs w:val="24"/>
        </w:rPr>
        <w:t>Banking (prudenti</w:t>
      </w:r>
      <w:r w:rsidR="00BB1F58" w:rsidRPr="003615B4">
        <w:rPr>
          <w:rFonts w:ascii="Times New Roman" w:hAnsi="Times New Roman"/>
          <w:sz w:val="24"/>
          <w:szCs w:val="24"/>
        </w:rPr>
        <w:t xml:space="preserve">al standard) determination No. </w:t>
      </w:r>
      <w:r w:rsidR="00AF4DCC">
        <w:rPr>
          <w:rFonts w:ascii="Times New Roman" w:hAnsi="Times New Roman"/>
          <w:sz w:val="24"/>
          <w:szCs w:val="24"/>
        </w:rPr>
        <w:t>3</w:t>
      </w:r>
      <w:r w:rsidR="00BB1F58" w:rsidRPr="003615B4">
        <w:rPr>
          <w:rFonts w:ascii="Times New Roman" w:hAnsi="Times New Roman"/>
          <w:sz w:val="24"/>
          <w:szCs w:val="24"/>
        </w:rPr>
        <w:t xml:space="preserve"> of </w:t>
      </w:r>
      <w:r w:rsidR="00C83827" w:rsidRPr="0086608F">
        <w:rPr>
          <w:rFonts w:ascii="Times New Roman" w:hAnsi="Times New Roman"/>
          <w:sz w:val="24"/>
          <w:szCs w:val="24"/>
        </w:rPr>
        <w:t>2018</w:t>
      </w:r>
      <w:r w:rsidR="00C83827">
        <w:rPr>
          <w:rFonts w:ascii="Times New Roman" w:hAnsi="Times New Roman"/>
          <w:sz w:val="24"/>
          <w:szCs w:val="24"/>
        </w:rPr>
        <w:t xml:space="preserve"> (the instrument)</w:t>
      </w:r>
      <w:r w:rsidR="00A47E64" w:rsidRPr="00C83827">
        <w:rPr>
          <w:rFonts w:ascii="Times New Roman" w:hAnsi="Times New Roman"/>
          <w:sz w:val="24"/>
          <w:szCs w:val="24"/>
        </w:rPr>
        <w:t>,</w:t>
      </w:r>
      <w:r w:rsidR="00D12D91" w:rsidRPr="003615B4">
        <w:rPr>
          <w:rFonts w:ascii="Times New Roman" w:hAnsi="Times New Roman"/>
          <w:sz w:val="24"/>
          <w:szCs w:val="24"/>
        </w:rPr>
        <w:t xml:space="preserve"> which </w:t>
      </w:r>
      <w:r w:rsidR="008B4518" w:rsidRPr="003615B4">
        <w:rPr>
          <w:rFonts w:ascii="Times New Roman" w:hAnsi="Times New Roman"/>
          <w:sz w:val="24"/>
          <w:szCs w:val="24"/>
        </w:rPr>
        <w:t xml:space="preserve">revokes </w:t>
      </w:r>
      <w:r w:rsidR="008B4518" w:rsidRPr="003615B4">
        <w:rPr>
          <w:rFonts w:ascii="Times New Roman" w:hAnsi="Times New Roman"/>
          <w:i/>
          <w:sz w:val="24"/>
          <w:szCs w:val="24"/>
        </w:rPr>
        <w:t xml:space="preserve">Prudential Standard APS </w:t>
      </w:r>
      <w:r w:rsidR="00011E66" w:rsidRPr="003615B4">
        <w:rPr>
          <w:rFonts w:ascii="Times New Roman" w:hAnsi="Times New Roman"/>
          <w:i/>
          <w:sz w:val="24"/>
          <w:szCs w:val="24"/>
        </w:rPr>
        <w:t>33</w:t>
      </w:r>
      <w:r w:rsidR="008B4518" w:rsidRPr="003615B4">
        <w:rPr>
          <w:rFonts w:ascii="Times New Roman" w:hAnsi="Times New Roman"/>
          <w:i/>
          <w:sz w:val="24"/>
          <w:szCs w:val="24"/>
        </w:rPr>
        <w:t>0</w:t>
      </w:r>
      <w:r w:rsidR="00011E66" w:rsidRPr="003615B4">
        <w:rPr>
          <w:rFonts w:ascii="Times New Roman" w:hAnsi="Times New Roman"/>
          <w:i/>
          <w:sz w:val="24"/>
          <w:szCs w:val="24"/>
        </w:rPr>
        <w:t xml:space="preserve"> Public Disclosure</w:t>
      </w:r>
      <w:r w:rsidR="008B4518" w:rsidRPr="003615B4">
        <w:rPr>
          <w:rFonts w:ascii="Times New Roman" w:hAnsi="Times New Roman"/>
          <w:i/>
          <w:sz w:val="24"/>
          <w:szCs w:val="24"/>
        </w:rPr>
        <w:t xml:space="preserve"> </w:t>
      </w:r>
      <w:r w:rsidR="008B4518" w:rsidRPr="003615B4">
        <w:rPr>
          <w:rFonts w:ascii="Times New Roman" w:hAnsi="Times New Roman"/>
          <w:sz w:val="24"/>
          <w:szCs w:val="24"/>
        </w:rPr>
        <w:t>made under Banking (prudential standard) determination No.</w:t>
      </w:r>
      <w:r w:rsidR="00E96D2F" w:rsidRPr="003615B4">
        <w:rPr>
          <w:rFonts w:ascii="Times New Roman" w:hAnsi="Times New Roman"/>
          <w:sz w:val="24"/>
          <w:szCs w:val="24"/>
        </w:rPr>
        <w:t xml:space="preserve"> 3</w:t>
      </w:r>
      <w:r w:rsidR="008B4518" w:rsidRPr="003615B4">
        <w:rPr>
          <w:rFonts w:ascii="Times New Roman" w:hAnsi="Times New Roman"/>
          <w:sz w:val="24"/>
          <w:szCs w:val="24"/>
        </w:rPr>
        <w:t xml:space="preserve"> of </w:t>
      </w:r>
      <w:r w:rsidR="00E96D2F" w:rsidRPr="003615B4">
        <w:rPr>
          <w:rFonts w:ascii="Times New Roman" w:hAnsi="Times New Roman"/>
          <w:sz w:val="24"/>
          <w:szCs w:val="24"/>
        </w:rPr>
        <w:t>2015</w:t>
      </w:r>
      <w:r w:rsidR="005D1E2B" w:rsidRPr="003615B4">
        <w:rPr>
          <w:rFonts w:ascii="Times New Roman" w:hAnsi="Times New Roman"/>
          <w:sz w:val="24"/>
          <w:szCs w:val="24"/>
        </w:rPr>
        <w:t xml:space="preserve"> </w:t>
      </w:r>
      <w:r w:rsidR="000C5F38" w:rsidRPr="003615B4">
        <w:rPr>
          <w:rFonts w:ascii="Times New Roman" w:hAnsi="Times New Roman"/>
          <w:sz w:val="24"/>
          <w:szCs w:val="24"/>
        </w:rPr>
        <w:t xml:space="preserve">and </w:t>
      </w:r>
      <w:r w:rsidR="00D12D91" w:rsidRPr="003615B4">
        <w:rPr>
          <w:rFonts w:ascii="Times New Roman" w:hAnsi="Times New Roman"/>
          <w:sz w:val="24"/>
          <w:szCs w:val="24"/>
        </w:rPr>
        <w:t xml:space="preserve">determines a new </w:t>
      </w:r>
      <w:r w:rsidR="00D12D91" w:rsidRPr="003615B4">
        <w:rPr>
          <w:rFonts w:ascii="Times New Roman" w:hAnsi="Times New Roman"/>
          <w:i/>
          <w:sz w:val="24"/>
          <w:szCs w:val="24"/>
        </w:rPr>
        <w:t xml:space="preserve">Prudential Standard APS </w:t>
      </w:r>
      <w:r w:rsidR="00011E66" w:rsidRPr="003615B4">
        <w:rPr>
          <w:rFonts w:ascii="Times New Roman" w:hAnsi="Times New Roman"/>
          <w:i/>
          <w:sz w:val="24"/>
          <w:szCs w:val="24"/>
        </w:rPr>
        <w:t>330</w:t>
      </w:r>
      <w:r w:rsidR="00BB1F58" w:rsidRPr="003615B4">
        <w:rPr>
          <w:rFonts w:ascii="Times New Roman" w:hAnsi="Times New Roman"/>
          <w:i/>
          <w:sz w:val="24"/>
          <w:szCs w:val="24"/>
        </w:rPr>
        <w:t xml:space="preserve"> </w:t>
      </w:r>
      <w:r w:rsidR="00011E66" w:rsidRPr="003615B4">
        <w:rPr>
          <w:rFonts w:ascii="Times New Roman" w:hAnsi="Times New Roman"/>
          <w:i/>
          <w:sz w:val="24"/>
          <w:szCs w:val="24"/>
        </w:rPr>
        <w:t>Public Disclosure</w:t>
      </w:r>
      <w:r w:rsidR="00335F1F">
        <w:rPr>
          <w:rFonts w:ascii="Times New Roman" w:hAnsi="Times New Roman"/>
          <w:i/>
          <w:sz w:val="24"/>
          <w:szCs w:val="24"/>
        </w:rPr>
        <w:t xml:space="preserve"> </w:t>
      </w:r>
      <w:r w:rsidR="00335F1F">
        <w:rPr>
          <w:rFonts w:ascii="Times New Roman" w:hAnsi="Times New Roman"/>
          <w:sz w:val="24"/>
          <w:szCs w:val="24"/>
        </w:rPr>
        <w:t>(APS 330)</w:t>
      </w:r>
      <w:r w:rsidR="00733297">
        <w:rPr>
          <w:rFonts w:ascii="Times New Roman" w:hAnsi="Times New Roman"/>
          <w:sz w:val="24"/>
          <w:szCs w:val="24"/>
        </w:rPr>
        <w:t>.</w:t>
      </w:r>
    </w:p>
    <w:p w14:paraId="1AA0523A" w14:textId="7BBD894F" w:rsidR="00F57FAF" w:rsidRPr="003615B4" w:rsidRDefault="00AC7A56" w:rsidP="0086608F">
      <w:pPr>
        <w:widowControl w:val="0"/>
        <w:spacing w:before="120" w:after="240"/>
        <w:jc w:val="both"/>
        <w:rPr>
          <w:rFonts w:ascii="Times New Roman" w:hAnsi="Times New Roman"/>
          <w:sz w:val="24"/>
          <w:szCs w:val="24"/>
        </w:rPr>
      </w:pPr>
      <w:r w:rsidRPr="003615B4">
        <w:rPr>
          <w:rFonts w:ascii="Times New Roman" w:hAnsi="Times New Roman"/>
          <w:sz w:val="24"/>
          <w:szCs w:val="24"/>
        </w:rPr>
        <w:t>The instrument commence</w:t>
      </w:r>
      <w:r w:rsidR="00011E66" w:rsidRPr="003615B4">
        <w:rPr>
          <w:rFonts w:ascii="Times New Roman" w:hAnsi="Times New Roman"/>
          <w:sz w:val="24"/>
          <w:szCs w:val="24"/>
        </w:rPr>
        <w:t>s</w:t>
      </w:r>
      <w:r w:rsidRPr="003615B4">
        <w:rPr>
          <w:rFonts w:ascii="Times New Roman" w:hAnsi="Times New Roman"/>
          <w:sz w:val="24"/>
          <w:szCs w:val="24"/>
        </w:rPr>
        <w:t xml:space="preserve"> on </w:t>
      </w:r>
      <w:r w:rsidR="00011E66" w:rsidRPr="003615B4">
        <w:rPr>
          <w:rFonts w:ascii="Times New Roman" w:hAnsi="Times New Roman"/>
          <w:sz w:val="24"/>
          <w:szCs w:val="24"/>
        </w:rPr>
        <w:t>1 July 2018</w:t>
      </w:r>
      <w:r w:rsidRPr="003615B4">
        <w:rPr>
          <w:rFonts w:ascii="Times New Roman" w:hAnsi="Times New Roman"/>
          <w:sz w:val="24"/>
          <w:szCs w:val="24"/>
        </w:rPr>
        <w:t>.</w:t>
      </w:r>
    </w:p>
    <w:p w14:paraId="55E52BC7" w14:textId="77777777" w:rsidR="00596539" w:rsidRPr="003615B4" w:rsidRDefault="00596539" w:rsidP="00596539">
      <w:pPr>
        <w:pStyle w:val="Heading"/>
        <w:keepNext/>
        <w:numPr>
          <w:ilvl w:val="0"/>
          <w:numId w:val="2"/>
        </w:numPr>
        <w:spacing w:after="240"/>
        <w:ind w:left="0" w:firstLine="0"/>
        <w:outlineLvl w:val="0"/>
        <w:rPr>
          <w:rFonts w:ascii="Times New Roman" w:hAnsi="Times New Roman"/>
          <w:sz w:val="24"/>
          <w:szCs w:val="24"/>
        </w:rPr>
      </w:pPr>
      <w:r w:rsidRPr="003615B4">
        <w:rPr>
          <w:rFonts w:ascii="Times New Roman" w:hAnsi="Times New Roman"/>
          <w:sz w:val="24"/>
          <w:szCs w:val="24"/>
        </w:rPr>
        <w:t>Background</w:t>
      </w:r>
    </w:p>
    <w:p w14:paraId="55E52BC8" w14:textId="77777777" w:rsidR="00596539" w:rsidRPr="003615B4" w:rsidRDefault="00596539" w:rsidP="00EA64A3">
      <w:pPr>
        <w:widowControl w:val="0"/>
        <w:spacing w:before="240" w:after="240"/>
        <w:jc w:val="both"/>
        <w:rPr>
          <w:rFonts w:ascii="Times New Roman" w:hAnsi="Times New Roman"/>
          <w:sz w:val="24"/>
          <w:szCs w:val="24"/>
        </w:rPr>
      </w:pPr>
      <w:r w:rsidRPr="003615B4">
        <w:rPr>
          <w:rFonts w:ascii="Times New Roman" w:hAnsi="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bookmarkStart w:id="3" w:name="_GoBack"/>
      <w:bookmarkEnd w:id="3"/>
    </w:p>
    <w:p w14:paraId="55E52BC9" w14:textId="7E0012CD" w:rsidR="00596539" w:rsidRPr="003615B4" w:rsidRDefault="00596539" w:rsidP="0086608F">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carries out this mandate through a multi-layered prudential framework that encompasses licensing and supervision of institutions. In the case of the banking industry, APRA is empowered under the Banking Act to issue legally binding prudential standards that set out specific prudential requirements with which ADIs must comply. </w:t>
      </w:r>
    </w:p>
    <w:p w14:paraId="55E52BCA" w14:textId="77777777" w:rsidR="00596539" w:rsidRPr="003615B4" w:rsidRDefault="00596539" w:rsidP="0086608F">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APRA regularly reviews its regulatory regime and amends its prudential requirements as a result of a number of factors including:</w:t>
      </w:r>
    </w:p>
    <w:p w14:paraId="580AC262" w14:textId="77777777" w:rsidR="001B1EE6" w:rsidRDefault="00596539" w:rsidP="0086608F">
      <w:pPr>
        <w:numPr>
          <w:ilvl w:val="0"/>
          <w:numId w:val="15"/>
        </w:numPr>
        <w:spacing w:before="120" w:after="60"/>
        <w:ind w:left="567" w:hanging="567"/>
        <w:jc w:val="both"/>
        <w:rPr>
          <w:rFonts w:ascii="Times New Roman" w:eastAsia="Trebuchet MS" w:hAnsi="Times New Roman"/>
          <w:spacing w:val="-5"/>
          <w:sz w:val="24"/>
          <w:szCs w:val="24"/>
          <w:lang w:eastAsia="en-US"/>
        </w:rPr>
      </w:pPr>
      <w:r w:rsidRPr="003615B4">
        <w:rPr>
          <w:rFonts w:ascii="Times New Roman" w:eastAsia="Trebuchet MS" w:hAnsi="Times New Roman"/>
          <w:spacing w:val="-5"/>
          <w:sz w:val="24"/>
          <w:szCs w:val="24"/>
          <w:lang w:eastAsia="en-US"/>
        </w:rPr>
        <w:t>international developments;</w:t>
      </w:r>
    </w:p>
    <w:p w14:paraId="069732F1" w14:textId="77777777" w:rsidR="001B1EE6" w:rsidRDefault="00596539" w:rsidP="0086608F">
      <w:pPr>
        <w:numPr>
          <w:ilvl w:val="0"/>
          <w:numId w:val="15"/>
        </w:numPr>
        <w:spacing w:before="120" w:after="6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changes in financial market conditions or changes in risk management practices, in response to identified weaknesses in the prudential framework; and</w:t>
      </w:r>
    </w:p>
    <w:p w14:paraId="55E52BCD" w14:textId="718A0C8F" w:rsidR="00596539" w:rsidRPr="001B1EE6" w:rsidRDefault="00596539" w:rsidP="0086608F">
      <w:pPr>
        <w:numPr>
          <w:ilvl w:val="0"/>
          <w:numId w:val="15"/>
        </w:numPr>
        <w:spacing w:before="120" w:after="24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to reduce potential negative impacts of emerging industry issues.</w:t>
      </w:r>
    </w:p>
    <w:p w14:paraId="55E52BD3" w14:textId="55140AF9" w:rsidR="00596539" w:rsidRPr="003615B4" w:rsidRDefault="00886AC9" w:rsidP="0086608F">
      <w:pPr>
        <w:spacing w:before="240" w:after="240"/>
        <w:jc w:val="both"/>
        <w:rPr>
          <w:rFonts w:ascii="Times New Roman" w:hAnsi="Times New Roman"/>
          <w:sz w:val="24"/>
          <w:szCs w:val="24"/>
        </w:rPr>
      </w:pPr>
      <w:r w:rsidRPr="003615B4">
        <w:rPr>
          <w:rFonts w:ascii="Times New Roman" w:hAnsi="Times New Roman"/>
          <w:sz w:val="24"/>
          <w:szCs w:val="24"/>
        </w:rPr>
        <w:t>APRA’s prudential framework for ADIs is based on the framework agreed by the Basel Committee on Banking Supervision (Basel Committee).</w:t>
      </w:r>
      <w:r w:rsidR="002C2242">
        <w:rPr>
          <w:rStyle w:val="FootnoteReference"/>
          <w:rFonts w:ascii="Times New Roman" w:hAnsi="Times New Roman"/>
          <w:sz w:val="24"/>
          <w:szCs w:val="24"/>
        </w:rPr>
        <w:footnoteReference w:id="2"/>
      </w:r>
    </w:p>
    <w:p w14:paraId="4AECDEAD" w14:textId="45D79E3F" w:rsidR="00883E2A" w:rsidRDefault="00EC257D" w:rsidP="0086608F">
      <w:pPr>
        <w:spacing w:before="240" w:after="240"/>
        <w:jc w:val="both"/>
        <w:rPr>
          <w:rFonts w:ascii="Times New Roman" w:eastAsiaTheme="minorEastAsia" w:hAnsi="Times New Roman"/>
          <w:sz w:val="24"/>
          <w:szCs w:val="24"/>
        </w:rPr>
      </w:pPr>
      <w:r w:rsidRPr="003615B4">
        <w:rPr>
          <w:rFonts w:ascii="Times New Roman" w:eastAsiaTheme="minorEastAsia" w:hAnsi="Times New Roman"/>
          <w:sz w:val="24"/>
          <w:szCs w:val="24"/>
        </w:rPr>
        <w:lastRenderedPageBreak/>
        <w:t xml:space="preserve">The Basel Committee’s disclosure requirements, known as Pillar 3, were introduced in Australia from January 2008 through APS 330. The Pillar 3 framework facilitates market discipline by providing a set of common disclosure requirements to allow market participants to assess banks’ capital adequacy, remuneration and other indicators of financial health. The Basel Committee has </w:t>
      </w:r>
      <w:r w:rsidR="00883E2A">
        <w:rPr>
          <w:rFonts w:ascii="Times New Roman" w:eastAsiaTheme="minorEastAsia" w:hAnsi="Times New Roman"/>
          <w:sz w:val="24"/>
          <w:szCs w:val="24"/>
        </w:rPr>
        <w:t xml:space="preserve">recently </w:t>
      </w:r>
      <w:r w:rsidRPr="003615B4">
        <w:rPr>
          <w:rFonts w:ascii="Times New Roman" w:eastAsiaTheme="minorEastAsia" w:hAnsi="Times New Roman"/>
          <w:sz w:val="24"/>
          <w:szCs w:val="24"/>
        </w:rPr>
        <w:t>updated its Pillar 3 framework</w:t>
      </w:r>
      <w:r w:rsidR="006953D0">
        <w:rPr>
          <w:rFonts w:ascii="Times New Roman" w:eastAsiaTheme="minorEastAsia" w:hAnsi="Times New Roman"/>
          <w:sz w:val="24"/>
          <w:szCs w:val="24"/>
        </w:rPr>
        <w:t>, which include</w:t>
      </w:r>
      <w:r w:rsidR="004B5C60">
        <w:rPr>
          <w:rFonts w:ascii="Times New Roman" w:eastAsiaTheme="minorEastAsia" w:hAnsi="Times New Roman"/>
          <w:sz w:val="24"/>
          <w:szCs w:val="24"/>
        </w:rPr>
        <w:t>s</w:t>
      </w:r>
      <w:r w:rsidR="006953D0" w:rsidRPr="006953D0">
        <w:rPr>
          <w:rFonts w:ascii="Times New Roman" w:eastAsiaTheme="minorEastAsia" w:hAnsi="Times New Roman"/>
          <w:sz w:val="24"/>
          <w:szCs w:val="24"/>
        </w:rPr>
        <w:t xml:space="preserve"> additional liquidity disclosures among other changes</w:t>
      </w:r>
      <w:r w:rsidR="004B5C60">
        <w:rPr>
          <w:rFonts w:ascii="Times New Roman" w:eastAsiaTheme="minorEastAsia" w:hAnsi="Times New Roman"/>
          <w:sz w:val="24"/>
          <w:szCs w:val="24"/>
        </w:rPr>
        <w:t>.</w:t>
      </w:r>
      <w:r w:rsidR="007431C2" w:rsidRPr="003615B4">
        <w:rPr>
          <w:rStyle w:val="FootnoteReference"/>
          <w:rFonts w:ascii="Times New Roman" w:eastAsiaTheme="minorEastAsia" w:hAnsi="Times New Roman"/>
          <w:sz w:val="24"/>
          <w:szCs w:val="24"/>
        </w:rPr>
        <w:footnoteReference w:id="3"/>
      </w:r>
      <w:r w:rsidR="006953D0">
        <w:rPr>
          <w:rFonts w:ascii="Times New Roman" w:eastAsiaTheme="minorEastAsia" w:hAnsi="Times New Roman"/>
          <w:sz w:val="24"/>
          <w:szCs w:val="24"/>
        </w:rPr>
        <w:t xml:space="preserve"> </w:t>
      </w:r>
    </w:p>
    <w:p w14:paraId="2F387ED5" w14:textId="7DE61FEF" w:rsidR="00D80C61" w:rsidRDefault="00EC257D" w:rsidP="0086608F">
      <w:pPr>
        <w:spacing w:before="240" w:after="240"/>
        <w:jc w:val="both"/>
        <w:rPr>
          <w:rFonts w:ascii="Times New Roman" w:eastAsiaTheme="minorEastAsia" w:hAnsi="Times New Roman"/>
          <w:sz w:val="24"/>
          <w:szCs w:val="24"/>
        </w:rPr>
      </w:pPr>
      <w:r w:rsidRPr="003615B4">
        <w:rPr>
          <w:rFonts w:ascii="Times New Roman" w:eastAsiaTheme="minorEastAsia" w:hAnsi="Times New Roman"/>
          <w:sz w:val="24"/>
          <w:szCs w:val="24"/>
        </w:rPr>
        <w:t xml:space="preserve">The additional </w:t>
      </w:r>
      <w:r w:rsidR="00583AEE" w:rsidRPr="003615B4">
        <w:rPr>
          <w:rFonts w:ascii="Times New Roman" w:eastAsiaTheme="minorEastAsia" w:hAnsi="Times New Roman"/>
          <w:sz w:val="24"/>
          <w:szCs w:val="24"/>
        </w:rPr>
        <w:t xml:space="preserve">liquidity </w:t>
      </w:r>
      <w:r w:rsidRPr="003615B4">
        <w:rPr>
          <w:rFonts w:ascii="Times New Roman" w:eastAsiaTheme="minorEastAsia" w:hAnsi="Times New Roman"/>
          <w:sz w:val="24"/>
          <w:szCs w:val="24"/>
        </w:rPr>
        <w:t xml:space="preserve">disclosure requirements include a common template that </w:t>
      </w:r>
      <w:r w:rsidR="00402018">
        <w:rPr>
          <w:rFonts w:ascii="Times New Roman" w:eastAsiaTheme="minorEastAsia" w:hAnsi="Times New Roman"/>
          <w:sz w:val="24"/>
          <w:szCs w:val="24"/>
        </w:rPr>
        <w:t>banks</w:t>
      </w:r>
      <w:r w:rsidRPr="003615B4">
        <w:rPr>
          <w:rFonts w:ascii="Times New Roman" w:eastAsiaTheme="minorEastAsia" w:hAnsi="Times New Roman"/>
          <w:sz w:val="24"/>
          <w:szCs w:val="24"/>
        </w:rPr>
        <w:t xml:space="preserve"> must use to report their Net Stable Funding Ratio (NSFR) results and selected details of the NSFR components.</w:t>
      </w:r>
      <w:r w:rsidR="00D80C61">
        <w:rPr>
          <w:rStyle w:val="FootnoteReference"/>
          <w:rFonts w:ascii="Times New Roman" w:eastAsiaTheme="minorEastAsia" w:hAnsi="Times New Roman"/>
          <w:sz w:val="24"/>
          <w:szCs w:val="24"/>
        </w:rPr>
        <w:footnoteReference w:id="4"/>
      </w:r>
    </w:p>
    <w:p w14:paraId="55E52BD7" w14:textId="1AD92E5B" w:rsidR="00596539" w:rsidRPr="003615B4" w:rsidRDefault="00596539" w:rsidP="0086608F">
      <w:pPr>
        <w:pStyle w:val="Heading"/>
        <w:keepNext/>
        <w:numPr>
          <w:ilvl w:val="0"/>
          <w:numId w:val="2"/>
        </w:numPr>
        <w:spacing w:after="240"/>
        <w:ind w:left="0" w:firstLine="0"/>
        <w:outlineLvl w:val="0"/>
        <w:rPr>
          <w:rFonts w:ascii="Times New Roman" w:hAnsi="Times New Roman"/>
          <w:b w:val="0"/>
          <w:sz w:val="24"/>
          <w:szCs w:val="24"/>
        </w:rPr>
      </w:pPr>
      <w:r w:rsidRPr="003615B4">
        <w:rPr>
          <w:rFonts w:ascii="Times New Roman" w:hAnsi="Times New Roman"/>
          <w:sz w:val="24"/>
          <w:szCs w:val="24"/>
        </w:rPr>
        <w:t>Purpose and operation of the instrument</w:t>
      </w:r>
    </w:p>
    <w:p w14:paraId="4319976B" w14:textId="38D5FEE1" w:rsidR="00583AEE" w:rsidRDefault="00596539" w:rsidP="0086608F">
      <w:pPr>
        <w:pStyle w:val="Heading"/>
        <w:spacing w:after="240"/>
        <w:rPr>
          <w:rFonts w:ascii="Times New Roman" w:hAnsi="Times New Roman"/>
          <w:b w:val="0"/>
          <w:sz w:val="24"/>
          <w:szCs w:val="24"/>
        </w:rPr>
      </w:pPr>
      <w:r w:rsidRPr="003615B4">
        <w:rPr>
          <w:rFonts w:ascii="Times New Roman" w:hAnsi="Times New Roman"/>
          <w:b w:val="0"/>
          <w:sz w:val="24"/>
          <w:szCs w:val="24"/>
        </w:rPr>
        <w:t xml:space="preserve">The purpose of the instrument is to revoke APS </w:t>
      </w:r>
      <w:r w:rsidR="00011E66" w:rsidRPr="003615B4">
        <w:rPr>
          <w:rFonts w:ascii="Times New Roman" w:hAnsi="Times New Roman"/>
          <w:b w:val="0"/>
          <w:sz w:val="24"/>
          <w:szCs w:val="24"/>
        </w:rPr>
        <w:t>330</w:t>
      </w:r>
      <w:r w:rsidRPr="003615B4">
        <w:rPr>
          <w:rFonts w:ascii="Times New Roman" w:hAnsi="Times New Roman"/>
          <w:b w:val="0"/>
          <w:sz w:val="24"/>
          <w:szCs w:val="24"/>
        </w:rPr>
        <w:t xml:space="preserve"> and to replace it with a new version of APS </w:t>
      </w:r>
      <w:r w:rsidR="00011E66" w:rsidRPr="003615B4">
        <w:rPr>
          <w:rFonts w:ascii="Times New Roman" w:hAnsi="Times New Roman"/>
          <w:b w:val="0"/>
          <w:sz w:val="24"/>
          <w:szCs w:val="24"/>
        </w:rPr>
        <w:t>330</w:t>
      </w:r>
      <w:r w:rsidRPr="003615B4">
        <w:rPr>
          <w:rFonts w:ascii="Times New Roman" w:hAnsi="Times New Roman"/>
          <w:b w:val="0"/>
          <w:sz w:val="24"/>
          <w:szCs w:val="24"/>
        </w:rPr>
        <w:t>.</w:t>
      </w:r>
    </w:p>
    <w:p w14:paraId="6F367911" w14:textId="484A34CE" w:rsidR="006169B7" w:rsidRPr="00402018" w:rsidRDefault="00CD2F94" w:rsidP="0086608F">
      <w:pPr>
        <w:pStyle w:val="Heading"/>
        <w:spacing w:after="240"/>
        <w:rPr>
          <w:rFonts w:ascii="Times New Roman" w:eastAsiaTheme="minorEastAsia" w:hAnsi="Times New Roman"/>
          <w:b w:val="0"/>
          <w:sz w:val="24"/>
          <w:szCs w:val="24"/>
        </w:rPr>
      </w:pPr>
      <w:r>
        <w:rPr>
          <w:rFonts w:ascii="Times New Roman" w:eastAsiaTheme="minorEastAsia" w:hAnsi="Times New Roman"/>
          <w:b w:val="0"/>
          <w:sz w:val="24"/>
          <w:szCs w:val="24"/>
        </w:rPr>
        <w:t xml:space="preserve">APS 330 has been updated to include additional liquidity </w:t>
      </w:r>
      <w:r w:rsidR="00402018" w:rsidRPr="00402018">
        <w:rPr>
          <w:rFonts w:ascii="Times New Roman" w:eastAsiaTheme="minorEastAsia" w:hAnsi="Times New Roman"/>
          <w:b w:val="0"/>
          <w:sz w:val="24"/>
          <w:szCs w:val="24"/>
        </w:rPr>
        <w:t>disclosure requirements</w:t>
      </w:r>
      <w:r>
        <w:rPr>
          <w:rFonts w:ascii="Times New Roman" w:eastAsiaTheme="minorEastAsia" w:hAnsi="Times New Roman"/>
          <w:b w:val="0"/>
          <w:sz w:val="24"/>
          <w:szCs w:val="24"/>
        </w:rPr>
        <w:t>.</w:t>
      </w:r>
      <w:r w:rsidR="0070223F">
        <w:rPr>
          <w:rStyle w:val="FootnoteReference"/>
          <w:rFonts w:ascii="Times New Roman" w:eastAsiaTheme="minorEastAsia" w:hAnsi="Times New Roman"/>
          <w:b w:val="0"/>
          <w:sz w:val="24"/>
          <w:szCs w:val="24"/>
        </w:rPr>
        <w:footnoteReference w:id="5"/>
      </w:r>
      <w:r>
        <w:rPr>
          <w:rFonts w:ascii="Times New Roman" w:eastAsiaTheme="minorEastAsia" w:hAnsi="Times New Roman"/>
          <w:b w:val="0"/>
          <w:sz w:val="24"/>
          <w:szCs w:val="24"/>
        </w:rPr>
        <w:t xml:space="preserve"> These</w:t>
      </w:r>
      <w:r w:rsidR="00402018" w:rsidRPr="00402018">
        <w:rPr>
          <w:rFonts w:ascii="Times New Roman" w:eastAsiaTheme="minorEastAsia" w:hAnsi="Times New Roman"/>
          <w:b w:val="0"/>
          <w:sz w:val="24"/>
          <w:szCs w:val="24"/>
        </w:rPr>
        <w:t xml:space="preserve"> </w:t>
      </w:r>
      <w:r w:rsidR="00733297">
        <w:rPr>
          <w:rFonts w:ascii="Times New Roman" w:eastAsiaTheme="minorEastAsia" w:hAnsi="Times New Roman"/>
          <w:b w:val="0"/>
          <w:sz w:val="24"/>
          <w:szCs w:val="24"/>
        </w:rPr>
        <w:t xml:space="preserve">are </w:t>
      </w:r>
      <w:r w:rsidR="00402018" w:rsidRPr="00402018">
        <w:rPr>
          <w:rFonts w:ascii="Times New Roman" w:eastAsiaTheme="minorEastAsia" w:hAnsi="Times New Roman"/>
          <w:b w:val="0"/>
          <w:sz w:val="24"/>
          <w:szCs w:val="24"/>
        </w:rPr>
        <w:t xml:space="preserve">expected to improve the transparency of regulatory funding requirements, reinforce the principles for sound liquidity risk management and supervision, strengthen market discipline, and reduce uncertainty in markets as </w:t>
      </w:r>
      <w:r w:rsidR="00AF4DCC">
        <w:rPr>
          <w:rFonts w:ascii="Times New Roman" w:eastAsiaTheme="minorEastAsia" w:hAnsi="Times New Roman"/>
          <w:b w:val="0"/>
          <w:sz w:val="24"/>
          <w:szCs w:val="24"/>
        </w:rPr>
        <w:t xml:space="preserve">the </w:t>
      </w:r>
      <w:r w:rsidR="00402018" w:rsidRPr="00402018">
        <w:rPr>
          <w:rFonts w:ascii="Times New Roman" w:eastAsiaTheme="minorEastAsia" w:hAnsi="Times New Roman"/>
          <w:b w:val="0"/>
          <w:sz w:val="24"/>
          <w:szCs w:val="24"/>
        </w:rPr>
        <w:t>NSFR standard</w:t>
      </w:r>
      <w:r w:rsidR="00A218F4">
        <w:rPr>
          <w:rFonts w:ascii="Times New Roman" w:eastAsiaTheme="minorEastAsia" w:hAnsi="Times New Roman"/>
          <w:b w:val="0"/>
          <w:sz w:val="24"/>
          <w:szCs w:val="24"/>
        </w:rPr>
        <w:t xml:space="preserve"> </w:t>
      </w:r>
      <w:r w:rsidR="00402018" w:rsidRPr="00402018">
        <w:rPr>
          <w:rFonts w:ascii="Times New Roman" w:eastAsiaTheme="minorEastAsia" w:hAnsi="Times New Roman"/>
          <w:b w:val="0"/>
          <w:sz w:val="24"/>
          <w:szCs w:val="24"/>
        </w:rPr>
        <w:t>is implemented.</w:t>
      </w:r>
      <w:r w:rsidR="006169B7">
        <w:rPr>
          <w:rStyle w:val="FootnoteReference"/>
          <w:rFonts w:ascii="Times New Roman" w:eastAsiaTheme="minorEastAsia" w:hAnsi="Times New Roman"/>
          <w:b w:val="0"/>
          <w:sz w:val="24"/>
          <w:szCs w:val="24"/>
        </w:rPr>
        <w:footnoteReference w:id="6"/>
      </w:r>
    </w:p>
    <w:p w14:paraId="7EFAF355" w14:textId="70F70B00" w:rsidR="00405C49" w:rsidRDefault="00583AEE" w:rsidP="0086608F">
      <w:pPr>
        <w:pStyle w:val="Heading"/>
        <w:spacing w:after="240"/>
        <w:rPr>
          <w:rFonts w:ascii="Times New Roman" w:eastAsiaTheme="minorEastAsia" w:hAnsi="Times New Roman"/>
          <w:b w:val="0"/>
          <w:sz w:val="24"/>
          <w:szCs w:val="24"/>
        </w:rPr>
      </w:pPr>
      <w:r w:rsidRPr="003615B4">
        <w:rPr>
          <w:rFonts w:ascii="Times New Roman" w:eastAsiaTheme="minorEastAsia" w:hAnsi="Times New Roman"/>
          <w:b w:val="0"/>
          <w:sz w:val="24"/>
          <w:szCs w:val="24"/>
        </w:rPr>
        <w:t>Further, APS 330 has been updated to align the frequency of the NSFR disclosures and the existing Liquidity Coverage Ratio (LCR) disclosures to the Basel Committee’s Pillar 3 requirements, which are semi-annual and quarterly, respectively.</w:t>
      </w:r>
      <w:r w:rsidR="00DF637F">
        <w:rPr>
          <w:rStyle w:val="FootnoteReference"/>
          <w:rFonts w:ascii="Times New Roman" w:eastAsiaTheme="minorEastAsia" w:hAnsi="Times New Roman"/>
          <w:b w:val="0"/>
          <w:sz w:val="24"/>
          <w:szCs w:val="24"/>
        </w:rPr>
        <w:footnoteReference w:id="7"/>
      </w:r>
      <w:r w:rsidRPr="003615B4">
        <w:rPr>
          <w:rFonts w:ascii="Times New Roman" w:eastAsiaTheme="minorEastAsia" w:hAnsi="Times New Roman"/>
          <w:b w:val="0"/>
          <w:sz w:val="24"/>
          <w:szCs w:val="24"/>
        </w:rPr>
        <w:t xml:space="preserve"> The LCR disclosures w</w:t>
      </w:r>
      <w:r w:rsidR="0004088F">
        <w:rPr>
          <w:rFonts w:ascii="Times New Roman" w:eastAsiaTheme="minorEastAsia" w:hAnsi="Times New Roman"/>
          <w:b w:val="0"/>
          <w:sz w:val="24"/>
          <w:szCs w:val="24"/>
        </w:rPr>
        <w:t>ere</w:t>
      </w:r>
      <w:r w:rsidRPr="003615B4">
        <w:rPr>
          <w:rFonts w:ascii="Times New Roman" w:eastAsiaTheme="minorEastAsia" w:hAnsi="Times New Roman"/>
          <w:b w:val="0"/>
          <w:sz w:val="24"/>
          <w:szCs w:val="24"/>
        </w:rPr>
        <w:t xml:space="preserve"> previously disclosed on the same frequency of an ADI’s publication of financial reports</w:t>
      </w:r>
      <w:r w:rsidR="00D83AE4">
        <w:rPr>
          <w:rFonts w:ascii="Times New Roman" w:eastAsiaTheme="minorEastAsia" w:hAnsi="Times New Roman"/>
          <w:b w:val="0"/>
          <w:sz w:val="24"/>
          <w:szCs w:val="24"/>
        </w:rPr>
        <w:t>,</w:t>
      </w:r>
      <w:r w:rsidRPr="003615B4">
        <w:rPr>
          <w:rFonts w:ascii="Times New Roman" w:eastAsiaTheme="minorEastAsia" w:hAnsi="Times New Roman"/>
          <w:b w:val="0"/>
          <w:sz w:val="24"/>
          <w:szCs w:val="24"/>
        </w:rPr>
        <w:t xml:space="preserve"> </w:t>
      </w:r>
      <w:r w:rsidR="00756856">
        <w:rPr>
          <w:rFonts w:ascii="Times New Roman" w:eastAsiaTheme="minorEastAsia" w:hAnsi="Times New Roman"/>
          <w:b w:val="0"/>
          <w:sz w:val="24"/>
          <w:szCs w:val="24"/>
        </w:rPr>
        <w:t xml:space="preserve">typically </w:t>
      </w:r>
      <w:r w:rsidRPr="003615B4">
        <w:rPr>
          <w:rFonts w:ascii="Times New Roman" w:eastAsiaTheme="minorEastAsia" w:hAnsi="Times New Roman"/>
          <w:b w:val="0"/>
          <w:sz w:val="24"/>
          <w:szCs w:val="24"/>
        </w:rPr>
        <w:t>semi-annual</w:t>
      </w:r>
      <w:r w:rsidR="00D83AE4">
        <w:rPr>
          <w:rFonts w:ascii="Times New Roman" w:eastAsiaTheme="minorEastAsia" w:hAnsi="Times New Roman"/>
          <w:b w:val="0"/>
          <w:sz w:val="24"/>
          <w:szCs w:val="24"/>
        </w:rPr>
        <w:t>ly</w:t>
      </w:r>
      <w:r w:rsidRPr="003615B4">
        <w:rPr>
          <w:rFonts w:ascii="Times New Roman" w:eastAsiaTheme="minorEastAsia" w:hAnsi="Times New Roman"/>
          <w:b w:val="0"/>
          <w:sz w:val="24"/>
          <w:szCs w:val="24"/>
        </w:rPr>
        <w:t>.</w:t>
      </w:r>
    </w:p>
    <w:p w14:paraId="629FC382" w14:textId="3D0819C4" w:rsidR="005A3D81" w:rsidRDefault="006F6DEB" w:rsidP="0086608F">
      <w:pPr>
        <w:pStyle w:val="Heading"/>
        <w:rPr>
          <w:rFonts w:ascii="Times New Roman" w:hAnsi="Times New Roman"/>
          <w:sz w:val="24"/>
          <w:szCs w:val="24"/>
        </w:rPr>
      </w:pPr>
      <w:r w:rsidRPr="00405C49">
        <w:rPr>
          <w:rFonts w:ascii="Times New Roman" w:hAnsi="Times New Roman"/>
          <w:b w:val="0"/>
          <w:sz w:val="24"/>
          <w:szCs w:val="24"/>
        </w:rPr>
        <w:t xml:space="preserve">APS </w:t>
      </w:r>
      <w:r w:rsidR="00011E66" w:rsidRPr="00405C49">
        <w:rPr>
          <w:rFonts w:ascii="Times New Roman" w:hAnsi="Times New Roman"/>
          <w:b w:val="0"/>
          <w:sz w:val="24"/>
          <w:szCs w:val="24"/>
        </w:rPr>
        <w:t>330</w:t>
      </w:r>
      <w:r w:rsidRPr="00405C49">
        <w:rPr>
          <w:rFonts w:ascii="Times New Roman" w:hAnsi="Times New Roman"/>
          <w:b w:val="0"/>
          <w:sz w:val="24"/>
          <w:szCs w:val="24"/>
        </w:rPr>
        <w:t xml:space="preserve"> </w:t>
      </w:r>
      <w:r w:rsidR="00A91D2B" w:rsidRPr="00405C49">
        <w:rPr>
          <w:rFonts w:ascii="Times New Roman" w:hAnsi="Times New Roman"/>
          <w:b w:val="0"/>
          <w:sz w:val="24"/>
          <w:szCs w:val="24"/>
        </w:rPr>
        <w:t>incorporates by reference</w:t>
      </w:r>
      <w:r w:rsidR="005A3D81">
        <w:rPr>
          <w:rFonts w:ascii="Times New Roman" w:hAnsi="Times New Roman"/>
          <w:b w:val="0"/>
          <w:sz w:val="24"/>
          <w:szCs w:val="24"/>
        </w:rPr>
        <w:t xml:space="preserve"> </w:t>
      </w:r>
      <w:r w:rsidR="00A91D2B" w:rsidRPr="00405C49">
        <w:rPr>
          <w:rFonts w:ascii="Times New Roman" w:hAnsi="Times New Roman"/>
          <w:b w:val="0"/>
          <w:sz w:val="24"/>
          <w:szCs w:val="24"/>
        </w:rPr>
        <w:t>certain Acts</w:t>
      </w:r>
      <w:r w:rsidR="00902CCE">
        <w:rPr>
          <w:rFonts w:ascii="Times New Roman" w:hAnsi="Times New Roman"/>
          <w:b w:val="0"/>
          <w:sz w:val="24"/>
          <w:szCs w:val="24"/>
        </w:rPr>
        <w:t>,</w:t>
      </w:r>
      <w:r w:rsidR="00A91D2B" w:rsidRPr="00405C49">
        <w:rPr>
          <w:rFonts w:ascii="Times New Roman" w:hAnsi="Times New Roman"/>
          <w:b w:val="0"/>
          <w:sz w:val="24"/>
          <w:szCs w:val="24"/>
        </w:rPr>
        <w:t xml:space="preserve"> Prudential</w:t>
      </w:r>
      <w:r w:rsidR="00902CCE">
        <w:rPr>
          <w:rFonts w:ascii="Times New Roman" w:hAnsi="Times New Roman"/>
          <w:b w:val="0"/>
          <w:sz w:val="24"/>
          <w:szCs w:val="24"/>
        </w:rPr>
        <w:t xml:space="preserve"> </w:t>
      </w:r>
      <w:r w:rsidR="00A91D2B" w:rsidRPr="00405C49">
        <w:rPr>
          <w:rFonts w:ascii="Times New Roman" w:hAnsi="Times New Roman"/>
          <w:b w:val="0"/>
          <w:sz w:val="24"/>
          <w:szCs w:val="24"/>
        </w:rPr>
        <w:t>Standards</w:t>
      </w:r>
      <w:r w:rsidR="001D4AD9">
        <w:rPr>
          <w:rFonts w:ascii="Times New Roman" w:hAnsi="Times New Roman"/>
          <w:b w:val="0"/>
          <w:sz w:val="24"/>
          <w:szCs w:val="24"/>
        </w:rPr>
        <w:t>, Prudential Practice Guides</w:t>
      </w:r>
      <w:r w:rsidR="00902CCE">
        <w:rPr>
          <w:rFonts w:ascii="Times New Roman" w:hAnsi="Times New Roman"/>
          <w:b w:val="0"/>
          <w:sz w:val="24"/>
          <w:szCs w:val="24"/>
        </w:rPr>
        <w:t xml:space="preserve"> and Australian Accounting Standards</w:t>
      </w:r>
      <w:r w:rsidR="00A91D2B" w:rsidRPr="00405C49">
        <w:rPr>
          <w:rFonts w:ascii="Times New Roman" w:hAnsi="Times New Roman"/>
          <w:b w:val="0"/>
          <w:sz w:val="24"/>
          <w:szCs w:val="24"/>
        </w:rPr>
        <w:t xml:space="preserve">.  All of these references are references to the </w:t>
      </w:r>
      <w:r w:rsidR="00762A78">
        <w:rPr>
          <w:rFonts w:ascii="Times New Roman" w:hAnsi="Times New Roman"/>
          <w:b w:val="0"/>
          <w:sz w:val="24"/>
          <w:szCs w:val="24"/>
        </w:rPr>
        <w:t>Acts, Prudential Standards</w:t>
      </w:r>
      <w:r w:rsidR="001D4AD9">
        <w:rPr>
          <w:rFonts w:ascii="Times New Roman" w:hAnsi="Times New Roman"/>
          <w:b w:val="0"/>
          <w:sz w:val="24"/>
          <w:szCs w:val="24"/>
        </w:rPr>
        <w:t>, Prudential Practice Guides</w:t>
      </w:r>
      <w:r w:rsidR="00762A78">
        <w:rPr>
          <w:rFonts w:ascii="Times New Roman" w:hAnsi="Times New Roman"/>
          <w:b w:val="0"/>
          <w:sz w:val="24"/>
          <w:szCs w:val="24"/>
        </w:rPr>
        <w:t xml:space="preserve"> and Australian Accounting Standards </w:t>
      </w:r>
      <w:r w:rsidR="00A91D2B" w:rsidRPr="00405C49">
        <w:rPr>
          <w:rFonts w:ascii="Times New Roman" w:hAnsi="Times New Roman"/>
          <w:b w:val="0"/>
          <w:sz w:val="24"/>
          <w:szCs w:val="24"/>
        </w:rPr>
        <w:t xml:space="preserve">as in force from time to time, and are available on the Federal Register of Legislation at </w:t>
      </w:r>
      <w:hyperlink r:id="rId13" w:history="1">
        <w:r w:rsidR="00A91D2B" w:rsidRPr="00405C49">
          <w:rPr>
            <w:rFonts w:ascii="Times New Roman" w:hAnsi="Times New Roman"/>
            <w:b w:val="0"/>
            <w:color w:val="0000FF"/>
            <w:sz w:val="24"/>
            <w:szCs w:val="24"/>
            <w:u w:val="single"/>
          </w:rPr>
          <w:t>www.legislation.gov.au</w:t>
        </w:r>
      </w:hyperlink>
      <w:r w:rsidR="001D4AD9" w:rsidRPr="0086608F">
        <w:rPr>
          <w:rFonts w:ascii="Times New Roman" w:hAnsi="Times New Roman"/>
          <w:b w:val="0"/>
          <w:sz w:val="24"/>
          <w:szCs w:val="24"/>
        </w:rPr>
        <w:t>, or, in the case of the Prudential Practice Guides</w:t>
      </w:r>
      <w:r w:rsidR="001D4AD9">
        <w:rPr>
          <w:rFonts w:ascii="Times New Roman" w:hAnsi="Times New Roman"/>
          <w:b w:val="0"/>
          <w:sz w:val="24"/>
          <w:szCs w:val="24"/>
        </w:rPr>
        <w:t>,</w:t>
      </w:r>
      <w:r w:rsidR="001D4AD9" w:rsidRPr="0086608F">
        <w:rPr>
          <w:rFonts w:ascii="Times New Roman" w:hAnsi="Times New Roman"/>
          <w:b w:val="0"/>
          <w:sz w:val="24"/>
          <w:szCs w:val="24"/>
        </w:rPr>
        <w:t xml:space="preserve"> are available at </w:t>
      </w:r>
      <w:r w:rsidR="001D4AD9">
        <w:rPr>
          <w:rFonts w:ascii="Times New Roman" w:hAnsi="Times New Roman"/>
          <w:b w:val="0"/>
          <w:color w:val="0000FF"/>
          <w:sz w:val="24"/>
          <w:szCs w:val="24"/>
          <w:u w:val="single"/>
        </w:rPr>
        <w:t>www.apra.gov.au</w:t>
      </w:r>
      <w:r w:rsidR="001D4AD9">
        <w:rPr>
          <w:rFonts w:ascii="Times New Roman" w:hAnsi="Times New Roman"/>
          <w:b w:val="0"/>
          <w:sz w:val="24"/>
          <w:szCs w:val="24"/>
        </w:rPr>
        <w:t>.</w:t>
      </w:r>
    </w:p>
    <w:p w14:paraId="31EF4939" w14:textId="77777777" w:rsidR="005A3D81" w:rsidRDefault="005A3D81" w:rsidP="005A3D81">
      <w:pPr>
        <w:pStyle w:val="Heading"/>
        <w:rPr>
          <w:rFonts w:ascii="Times New Roman" w:hAnsi="Times New Roman"/>
          <w:b w:val="0"/>
          <w:i/>
          <w:sz w:val="24"/>
          <w:szCs w:val="24"/>
        </w:rPr>
      </w:pPr>
    </w:p>
    <w:p w14:paraId="0A7F1959" w14:textId="7AD142A6" w:rsidR="005A3D81" w:rsidRDefault="005A3D81" w:rsidP="0086608F">
      <w:pPr>
        <w:pStyle w:val="Heading"/>
        <w:rPr>
          <w:rFonts w:ascii="Times New Roman" w:hAnsi="Times New Roman"/>
          <w:sz w:val="24"/>
          <w:szCs w:val="24"/>
        </w:rPr>
      </w:pPr>
      <w:r>
        <w:rPr>
          <w:rFonts w:ascii="Times New Roman" w:hAnsi="Times New Roman"/>
          <w:b w:val="0"/>
          <w:sz w:val="24"/>
          <w:szCs w:val="24"/>
        </w:rPr>
        <w:t xml:space="preserve">APS 330 also incorporates by reference the documents </w:t>
      </w:r>
      <w:r w:rsidR="009D151A" w:rsidRPr="0086608F">
        <w:rPr>
          <w:rFonts w:ascii="Times New Roman" w:hAnsi="Times New Roman"/>
          <w:b w:val="0"/>
          <w:i/>
          <w:sz w:val="24"/>
          <w:szCs w:val="24"/>
        </w:rPr>
        <w:t xml:space="preserve">International Convergence of Capital measurement and Capital Standards: A revised Framework, </w:t>
      </w:r>
      <w:r w:rsidR="009D151A" w:rsidRPr="0086608F">
        <w:rPr>
          <w:rFonts w:ascii="Times New Roman" w:hAnsi="Times New Roman"/>
          <w:b w:val="0"/>
          <w:sz w:val="24"/>
          <w:szCs w:val="24"/>
        </w:rPr>
        <w:t>Comprehensive Version</w:t>
      </w:r>
      <w:r w:rsidR="00655BD4">
        <w:rPr>
          <w:rFonts w:ascii="Times New Roman" w:hAnsi="Times New Roman"/>
          <w:b w:val="0"/>
          <w:sz w:val="24"/>
          <w:szCs w:val="24"/>
        </w:rPr>
        <w:t>,</w:t>
      </w:r>
      <w:r w:rsidR="00197764" w:rsidRPr="0086608F">
        <w:rPr>
          <w:rFonts w:ascii="Times New Roman" w:hAnsi="Times New Roman"/>
          <w:b w:val="0"/>
          <w:sz w:val="24"/>
          <w:szCs w:val="24"/>
        </w:rPr>
        <w:t xml:space="preserve"> as it exists at June 2006</w:t>
      </w:r>
      <w:r w:rsidR="009D151A" w:rsidRPr="0086608F">
        <w:rPr>
          <w:rFonts w:ascii="Times New Roman" w:hAnsi="Times New Roman"/>
          <w:b w:val="0"/>
          <w:sz w:val="24"/>
          <w:szCs w:val="24"/>
        </w:rPr>
        <w:t xml:space="preserve">, </w:t>
      </w:r>
      <w:r w:rsidR="00197764" w:rsidRPr="005A3D81">
        <w:rPr>
          <w:rFonts w:ascii="Times New Roman" w:hAnsi="Times New Roman"/>
          <w:b w:val="0"/>
          <w:sz w:val="24"/>
          <w:szCs w:val="24"/>
        </w:rPr>
        <w:t xml:space="preserve">available at </w:t>
      </w:r>
      <w:hyperlink r:id="rId14" w:history="1">
        <w:r w:rsidR="001C3E14" w:rsidRPr="005A3D81">
          <w:rPr>
            <w:rStyle w:val="Hyperlink"/>
            <w:rFonts w:ascii="Times New Roman" w:hAnsi="Times New Roman"/>
            <w:b w:val="0"/>
            <w:sz w:val="24"/>
            <w:szCs w:val="24"/>
          </w:rPr>
          <w:t>https://www.bis.org/publ/bcbs128.htm</w:t>
        </w:r>
      </w:hyperlink>
      <w:r w:rsidR="00F07222" w:rsidRPr="00F07222">
        <w:rPr>
          <w:rFonts w:ascii="Times New Roman" w:hAnsi="Times New Roman"/>
          <w:b w:val="0"/>
          <w:sz w:val="24"/>
          <w:szCs w:val="24"/>
        </w:rPr>
        <w:t xml:space="preserve">, and </w:t>
      </w:r>
      <w:r w:rsidR="009D151A" w:rsidRPr="0086608F">
        <w:rPr>
          <w:rFonts w:ascii="Times New Roman" w:hAnsi="Times New Roman"/>
          <w:b w:val="0"/>
          <w:i/>
          <w:sz w:val="24"/>
          <w:szCs w:val="24"/>
        </w:rPr>
        <w:t>Basel III: A global regulatory framework for more resili</w:t>
      </w:r>
      <w:r w:rsidR="009F4323" w:rsidRPr="005A3D81">
        <w:rPr>
          <w:rFonts w:ascii="Times New Roman" w:hAnsi="Times New Roman"/>
          <w:b w:val="0"/>
          <w:i/>
          <w:sz w:val="24"/>
          <w:szCs w:val="24"/>
        </w:rPr>
        <w:t>ent banks an</w:t>
      </w:r>
      <w:r w:rsidR="009D151A" w:rsidRPr="005A3D81">
        <w:rPr>
          <w:rFonts w:ascii="Times New Roman" w:hAnsi="Times New Roman"/>
          <w:b w:val="0"/>
          <w:i/>
          <w:sz w:val="24"/>
          <w:szCs w:val="24"/>
        </w:rPr>
        <w:t>d banking systems</w:t>
      </w:r>
      <w:r w:rsidR="00197764" w:rsidRPr="005A3D81">
        <w:rPr>
          <w:rFonts w:ascii="Times New Roman" w:hAnsi="Times New Roman"/>
          <w:b w:val="0"/>
          <w:sz w:val="24"/>
          <w:szCs w:val="24"/>
        </w:rPr>
        <w:t>, revised version, as it exists at June 2011</w:t>
      </w:r>
      <w:r w:rsidR="00197764" w:rsidRPr="0086608F">
        <w:rPr>
          <w:rFonts w:ascii="Times New Roman" w:hAnsi="Times New Roman"/>
          <w:b w:val="0"/>
          <w:sz w:val="24"/>
          <w:szCs w:val="24"/>
        </w:rPr>
        <w:t xml:space="preserve">, available at </w:t>
      </w:r>
      <w:hyperlink r:id="rId15" w:history="1">
        <w:r w:rsidR="001C3E14" w:rsidRPr="005A3D81">
          <w:rPr>
            <w:rStyle w:val="Hyperlink"/>
            <w:rFonts w:ascii="Times New Roman" w:hAnsi="Times New Roman"/>
            <w:b w:val="0"/>
            <w:sz w:val="24"/>
            <w:szCs w:val="24"/>
          </w:rPr>
          <w:t>https://www.bis.org/publ/bcbs189.htm</w:t>
        </w:r>
      </w:hyperlink>
      <w:r w:rsidR="00655BD4">
        <w:rPr>
          <w:rFonts w:ascii="Times New Roman" w:hAnsi="Times New Roman"/>
          <w:b w:val="0"/>
          <w:sz w:val="24"/>
          <w:szCs w:val="24"/>
        </w:rPr>
        <w:t>.</w:t>
      </w:r>
      <w:r w:rsidRPr="005A3D81">
        <w:rPr>
          <w:rFonts w:ascii="Times New Roman" w:hAnsi="Times New Roman"/>
          <w:sz w:val="24"/>
          <w:szCs w:val="24"/>
        </w:rPr>
        <w:t xml:space="preserve"> </w:t>
      </w:r>
    </w:p>
    <w:p w14:paraId="6A4206D4" w14:textId="77777777" w:rsidR="00855A38" w:rsidRDefault="00855A38" w:rsidP="005A3D81">
      <w:pPr>
        <w:pStyle w:val="Heading"/>
      </w:pPr>
    </w:p>
    <w:p w14:paraId="704287D8" w14:textId="23037ABD" w:rsidR="005A3D81" w:rsidRPr="0086608F" w:rsidRDefault="005A3D81" w:rsidP="0086608F">
      <w:pPr>
        <w:pStyle w:val="Heading"/>
      </w:pPr>
      <w:r>
        <w:rPr>
          <w:rFonts w:ascii="Times New Roman" w:hAnsi="Times New Roman"/>
          <w:b w:val="0"/>
          <w:sz w:val="24"/>
          <w:szCs w:val="24"/>
        </w:rPr>
        <w:lastRenderedPageBreak/>
        <w:t xml:space="preserve">Finally, APS 330 incorporates by reference </w:t>
      </w:r>
      <w:r w:rsidRPr="005A3D81">
        <w:rPr>
          <w:rFonts w:ascii="Times New Roman" w:hAnsi="Times New Roman"/>
          <w:b w:val="0"/>
          <w:i/>
          <w:sz w:val="24"/>
          <w:szCs w:val="24"/>
        </w:rPr>
        <w:t xml:space="preserve">Liquidity Policy – Annex: Liquid Assets – Prudential Supervision Department Document BS13A, </w:t>
      </w:r>
      <w:r w:rsidRPr="005A3D81">
        <w:rPr>
          <w:rFonts w:ascii="Times New Roman" w:hAnsi="Times New Roman"/>
          <w:b w:val="0"/>
          <w:sz w:val="24"/>
          <w:szCs w:val="24"/>
        </w:rPr>
        <w:t>published by the Reserve Bank of New Zealand (RBNZ),</w:t>
      </w:r>
      <w:r w:rsidRPr="005A3D81">
        <w:rPr>
          <w:rFonts w:ascii="Times New Roman" w:hAnsi="Times New Roman"/>
          <w:b w:val="0"/>
          <w:i/>
          <w:sz w:val="24"/>
          <w:szCs w:val="24"/>
        </w:rPr>
        <w:t xml:space="preserve"> </w:t>
      </w:r>
      <w:r w:rsidRPr="005A3D81">
        <w:rPr>
          <w:rFonts w:ascii="Times New Roman" w:hAnsi="Times New Roman"/>
          <w:b w:val="0"/>
          <w:sz w:val="24"/>
          <w:szCs w:val="24"/>
        </w:rPr>
        <w:t>as existing from time to time, available at</w:t>
      </w:r>
      <w:r w:rsidRPr="005A3D81">
        <w:rPr>
          <w:rFonts w:ascii="Times New Roman" w:hAnsi="Times New Roman"/>
          <w:sz w:val="24"/>
          <w:szCs w:val="24"/>
        </w:rPr>
        <w:t xml:space="preserve"> </w:t>
      </w:r>
      <w:hyperlink r:id="rId16" w:history="1">
        <w:r w:rsidRPr="0086608F">
          <w:rPr>
            <w:rStyle w:val="Hyperlink"/>
            <w:rFonts w:ascii="Times New Roman" w:hAnsi="Times New Roman"/>
            <w:b w:val="0"/>
            <w:sz w:val="24"/>
            <w:szCs w:val="24"/>
          </w:rPr>
          <w:t>https://www.rbnz.govt.nz/regulation-and-supervision/banks/prudential-requirements/liquidity-policy</w:t>
        </w:r>
      </w:hyperlink>
      <w:r w:rsidR="00273E94" w:rsidRPr="00593C18">
        <w:rPr>
          <w:rFonts w:ascii="Times New Roman" w:hAnsi="Times New Roman"/>
          <w:sz w:val="24"/>
          <w:szCs w:val="24"/>
        </w:rPr>
        <w:t>.</w:t>
      </w:r>
    </w:p>
    <w:p w14:paraId="1695D1A2" w14:textId="77777777" w:rsidR="005A3D81" w:rsidRDefault="005A3D81" w:rsidP="0086608F"/>
    <w:p w14:paraId="55E52BEA" w14:textId="308961B9" w:rsidR="00596539" w:rsidRPr="005A3D81" w:rsidRDefault="00596539" w:rsidP="005A3D81">
      <w:pPr>
        <w:pStyle w:val="ListParagraph"/>
        <w:numPr>
          <w:ilvl w:val="0"/>
          <w:numId w:val="2"/>
        </w:numPr>
        <w:rPr>
          <w:rFonts w:ascii="Times New Roman" w:hAnsi="Times New Roman"/>
          <w:b/>
          <w:sz w:val="24"/>
          <w:szCs w:val="24"/>
        </w:rPr>
      </w:pPr>
      <w:r w:rsidRPr="005A3D81">
        <w:rPr>
          <w:rFonts w:ascii="Times New Roman" w:hAnsi="Times New Roman"/>
          <w:b/>
          <w:sz w:val="24"/>
          <w:szCs w:val="24"/>
        </w:rPr>
        <w:t>Consultation</w:t>
      </w:r>
    </w:p>
    <w:p w14:paraId="3CC90428" w14:textId="77777777" w:rsidR="009E4B65" w:rsidRDefault="009E4B65" w:rsidP="009E4B65"/>
    <w:p w14:paraId="1A16EE7F" w14:textId="2C859533" w:rsidR="0001578B" w:rsidRDefault="00DC72E3" w:rsidP="00DC72E3">
      <w:pPr>
        <w:pStyle w:val="Heading"/>
        <w:spacing w:after="240"/>
        <w:rPr>
          <w:rFonts w:ascii="Times New Roman" w:hAnsi="Times New Roman"/>
          <w:b w:val="0"/>
          <w:sz w:val="24"/>
          <w:szCs w:val="24"/>
        </w:rPr>
      </w:pPr>
      <w:r w:rsidRPr="00DC72E3">
        <w:rPr>
          <w:rFonts w:ascii="Times New Roman" w:hAnsi="Times New Roman"/>
          <w:b w:val="0"/>
          <w:sz w:val="24"/>
          <w:szCs w:val="24"/>
        </w:rPr>
        <w:t xml:space="preserve">APRA undertook a public consultation on the </w:t>
      </w:r>
      <w:r w:rsidR="00DB224F">
        <w:rPr>
          <w:rFonts w:ascii="Times New Roman" w:hAnsi="Times New Roman"/>
          <w:b w:val="0"/>
          <w:sz w:val="24"/>
          <w:szCs w:val="24"/>
        </w:rPr>
        <w:t>changes</w:t>
      </w:r>
      <w:r w:rsidRPr="00DC72E3">
        <w:rPr>
          <w:rFonts w:ascii="Times New Roman" w:hAnsi="Times New Roman"/>
          <w:b w:val="0"/>
          <w:sz w:val="24"/>
          <w:szCs w:val="24"/>
        </w:rPr>
        <w:t xml:space="preserve"> to APS 330</w:t>
      </w:r>
      <w:r w:rsidR="0001578B">
        <w:rPr>
          <w:rFonts w:ascii="Times New Roman" w:hAnsi="Times New Roman"/>
          <w:b w:val="0"/>
          <w:sz w:val="24"/>
          <w:szCs w:val="24"/>
        </w:rPr>
        <w:t xml:space="preserve"> from</w:t>
      </w:r>
      <w:r w:rsidR="00AD27F2">
        <w:rPr>
          <w:rFonts w:ascii="Times New Roman" w:hAnsi="Times New Roman"/>
          <w:b w:val="0"/>
          <w:sz w:val="24"/>
          <w:szCs w:val="24"/>
        </w:rPr>
        <w:t xml:space="preserve"> November 2017 to December 2017</w:t>
      </w:r>
      <w:r w:rsidRPr="00DC72E3">
        <w:rPr>
          <w:rFonts w:ascii="Times New Roman" w:hAnsi="Times New Roman"/>
          <w:b w:val="0"/>
          <w:sz w:val="24"/>
          <w:szCs w:val="24"/>
        </w:rPr>
        <w:t>.</w:t>
      </w:r>
      <w:r w:rsidR="006169B7">
        <w:rPr>
          <w:rStyle w:val="FootnoteReference"/>
          <w:rFonts w:ascii="Times New Roman" w:hAnsi="Times New Roman"/>
          <w:b w:val="0"/>
          <w:sz w:val="24"/>
          <w:szCs w:val="24"/>
        </w:rPr>
        <w:footnoteReference w:id="8"/>
      </w:r>
      <w:r w:rsidR="006169B7">
        <w:rPr>
          <w:rFonts w:ascii="Times New Roman" w:hAnsi="Times New Roman"/>
          <w:b w:val="0"/>
          <w:sz w:val="24"/>
          <w:szCs w:val="24"/>
        </w:rPr>
        <w:t xml:space="preserve"> </w:t>
      </w:r>
      <w:r w:rsidR="00733297">
        <w:rPr>
          <w:rFonts w:ascii="Times New Roman" w:hAnsi="Times New Roman"/>
          <w:b w:val="0"/>
          <w:sz w:val="24"/>
          <w:szCs w:val="24"/>
        </w:rPr>
        <w:t xml:space="preserve">APRA released a response to submissions on </w:t>
      </w:r>
      <w:r w:rsidR="00F774EB">
        <w:rPr>
          <w:rFonts w:ascii="Times New Roman" w:hAnsi="Times New Roman"/>
          <w:b w:val="0"/>
          <w:sz w:val="24"/>
          <w:szCs w:val="24"/>
        </w:rPr>
        <w:t>19 March 2018</w:t>
      </w:r>
      <w:r w:rsidR="00733297">
        <w:rPr>
          <w:rFonts w:ascii="Times New Roman" w:hAnsi="Times New Roman"/>
          <w:b w:val="0"/>
          <w:sz w:val="24"/>
          <w:szCs w:val="24"/>
        </w:rPr>
        <w:t>.</w:t>
      </w:r>
      <w:r w:rsidR="008D2133">
        <w:rPr>
          <w:rStyle w:val="FootnoteReference"/>
          <w:rFonts w:ascii="Times New Roman" w:hAnsi="Times New Roman"/>
          <w:b w:val="0"/>
          <w:sz w:val="24"/>
          <w:szCs w:val="24"/>
        </w:rPr>
        <w:footnoteReference w:id="9"/>
      </w:r>
    </w:p>
    <w:p w14:paraId="6D514D63" w14:textId="2D66A2B3" w:rsidR="0001578B" w:rsidRDefault="0001578B" w:rsidP="00DC72E3">
      <w:pPr>
        <w:pStyle w:val="Heading"/>
        <w:spacing w:after="240"/>
        <w:rPr>
          <w:rFonts w:ascii="Times New Roman" w:hAnsi="Times New Roman"/>
          <w:b w:val="0"/>
          <w:sz w:val="24"/>
          <w:szCs w:val="24"/>
        </w:rPr>
      </w:pPr>
      <w:r>
        <w:rPr>
          <w:rFonts w:ascii="Times New Roman" w:hAnsi="Times New Roman"/>
          <w:b w:val="0"/>
          <w:sz w:val="24"/>
          <w:szCs w:val="24"/>
        </w:rPr>
        <w:t>A total of two submissions were received in response to APRA’s public consultation. One submission sought clarification on the disclosure of certain items in the NSFR disclosure template and the frequency of liquidity disclosures. APRA has provided additional guidance on these matters in the final prudential standard</w:t>
      </w:r>
      <w:r w:rsidR="0009763C">
        <w:rPr>
          <w:rFonts w:ascii="Times New Roman" w:hAnsi="Times New Roman"/>
          <w:b w:val="0"/>
          <w:sz w:val="24"/>
          <w:szCs w:val="24"/>
        </w:rPr>
        <w:t xml:space="preserve"> and response to submissions.</w:t>
      </w:r>
    </w:p>
    <w:p w14:paraId="1F18597E" w14:textId="4F6814D6" w:rsidR="00E6618D" w:rsidRDefault="0009763C" w:rsidP="00DC72E3">
      <w:pPr>
        <w:pStyle w:val="Heading"/>
        <w:spacing w:after="240"/>
        <w:rPr>
          <w:rFonts w:ascii="Times New Roman" w:hAnsi="Times New Roman"/>
          <w:b w:val="0"/>
          <w:sz w:val="24"/>
          <w:szCs w:val="24"/>
        </w:rPr>
      </w:pPr>
      <w:r>
        <w:rPr>
          <w:rFonts w:ascii="Times New Roman" w:hAnsi="Times New Roman"/>
          <w:b w:val="0"/>
          <w:sz w:val="24"/>
          <w:szCs w:val="24"/>
        </w:rPr>
        <w:t>The other submission made suggestions, unrelated to the NSFR disclosures, on how APS 330 could be improved more generally. The Basel Co</w:t>
      </w:r>
      <w:r w:rsidR="00655BD4">
        <w:rPr>
          <w:rFonts w:ascii="Times New Roman" w:hAnsi="Times New Roman"/>
          <w:b w:val="0"/>
          <w:sz w:val="24"/>
          <w:szCs w:val="24"/>
        </w:rPr>
        <w:t>mmittee’s Pillar 3 framework is</w:t>
      </w:r>
      <w:r>
        <w:rPr>
          <w:rFonts w:ascii="Times New Roman" w:hAnsi="Times New Roman"/>
          <w:b w:val="0"/>
          <w:sz w:val="24"/>
          <w:szCs w:val="24"/>
        </w:rPr>
        <w:t xml:space="preserve"> likely to be further revised following the finalisation of the Basel III reforms. APRA intends to consult on further changes to APS 330, and the Pillar 3 framework more generally, when the next phase of the Basel Committee’s review is finalised.</w:t>
      </w:r>
    </w:p>
    <w:p w14:paraId="55E52BF3" w14:textId="77777777" w:rsidR="00596539" w:rsidRPr="003615B4" w:rsidRDefault="00596539" w:rsidP="00596539">
      <w:pPr>
        <w:pStyle w:val="Heading"/>
        <w:tabs>
          <w:tab w:val="left" w:pos="360"/>
        </w:tabs>
        <w:spacing w:after="240"/>
        <w:rPr>
          <w:rFonts w:ascii="Times New Roman" w:hAnsi="Times New Roman"/>
          <w:sz w:val="24"/>
          <w:szCs w:val="24"/>
        </w:rPr>
      </w:pPr>
      <w:r w:rsidRPr="003615B4">
        <w:rPr>
          <w:rFonts w:ascii="Times New Roman" w:hAnsi="Times New Roman"/>
          <w:sz w:val="24"/>
          <w:szCs w:val="24"/>
        </w:rPr>
        <w:t xml:space="preserve">4. </w:t>
      </w:r>
      <w:r w:rsidRPr="003615B4">
        <w:rPr>
          <w:rFonts w:ascii="Times New Roman" w:hAnsi="Times New Roman"/>
          <w:sz w:val="24"/>
          <w:szCs w:val="24"/>
        </w:rPr>
        <w:tab/>
        <w:t>Regulation Impact Statement</w:t>
      </w:r>
    </w:p>
    <w:p w14:paraId="577A0451" w14:textId="31629D81" w:rsidR="00D82121" w:rsidRDefault="000F4530" w:rsidP="0086608F">
      <w:pPr>
        <w:jc w:val="both"/>
        <w:rPr>
          <w:rFonts w:ascii="Times New Roman" w:hAnsi="Times New Roman"/>
          <w:sz w:val="24"/>
          <w:szCs w:val="24"/>
        </w:rPr>
      </w:pPr>
      <w:r w:rsidRPr="000F4530">
        <w:rPr>
          <w:rFonts w:ascii="Times New Roman" w:hAnsi="Times New Roman"/>
          <w:sz w:val="24"/>
          <w:szCs w:val="24"/>
        </w:rPr>
        <w:t xml:space="preserve">The changes to APS 330 are expected to have an immaterial impact on the relevant ADIs (16 larger ADIs). </w:t>
      </w:r>
      <w:r w:rsidR="00D54313">
        <w:rPr>
          <w:rFonts w:ascii="Times New Roman" w:hAnsi="Times New Roman"/>
          <w:sz w:val="24"/>
          <w:szCs w:val="24"/>
        </w:rPr>
        <w:t xml:space="preserve">ADIs’ internal reporting structures already accommodate the NSFR standard and LCR standard. </w:t>
      </w:r>
      <w:r w:rsidR="0070528D">
        <w:rPr>
          <w:rFonts w:ascii="Times New Roman" w:hAnsi="Times New Roman"/>
          <w:sz w:val="24"/>
          <w:szCs w:val="24"/>
        </w:rPr>
        <w:t xml:space="preserve">These ADIs are also already required </w:t>
      </w:r>
      <w:r w:rsidRPr="000F4530">
        <w:rPr>
          <w:rFonts w:ascii="Times New Roman" w:hAnsi="Times New Roman"/>
          <w:sz w:val="24"/>
          <w:szCs w:val="24"/>
        </w:rPr>
        <w:t xml:space="preserve">to make </w:t>
      </w:r>
      <w:r>
        <w:rPr>
          <w:rFonts w:ascii="Times New Roman" w:hAnsi="Times New Roman"/>
          <w:sz w:val="24"/>
          <w:szCs w:val="24"/>
        </w:rPr>
        <w:t xml:space="preserve">the </w:t>
      </w:r>
      <w:r w:rsidRPr="000F4530">
        <w:rPr>
          <w:rFonts w:ascii="Times New Roman" w:hAnsi="Times New Roman"/>
          <w:sz w:val="24"/>
          <w:szCs w:val="24"/>
        </w:rPr>
        <w:t>LCR disclosures under APS 330. Consequently the update to APS</w:t>
      </w:r>
      <w:r w:rsidR="0070528D">
        <w:rPr>
          <w:rFonts w:ascii="Times New Roman" w:hAnsi="Times New Roman"/>
          <w:sz w:val="24"/>
          <w:szCs w:val="24"/>
        </w:rPr>
        <w:t> </w:t>
      </w:r>
      <w:r w:rsidRPr="000F4530">
        <w:rPr>
          <w:rFonts w:ascii="Times New Roman" w:hAnsi="Times New Roman"/>
          <w:sz w:val="24"/>
          <w:szCs w:val="24"/>
        </w:rPr>
        <w:t>330 is considered relatively minor.</w:t>
      </w:r>
    </w:p>
    <w:p w14:paraId="6BC03F20" w14:textId="77777777" w:rsidR="000F4530" w:rsidRDefault="000F4530" w:rsidP="0086608F">
      <w:pPr>
        <w:jc w:val="both"/>
        <w:rPr>
          <w:rFonts w:ascii="Times New Roman" w:hAnsi="Times New Roman"/>
          <w:sz w:val="24"/>
          <w:szCs w:val="24"/>
        </w:rPr>
      </w:pPr>
    </w:p>
    <w:p w14:paraId="0B6EC713" w14:textId="6FC97645" w:rsidR="00D54313" w:rsidRDefault="00E96D2F" w:rsidP="0086608F">
      <w:pPr>
        <w:spacing w:after="240"/>
        <w:jc w:val="both"/>
      </w:pPr>
      <w:r w:rsidRPr="003615B4">
        <w:rPr>
          <w:rFonts w:ascii="Times New Roman" w:hAnsi="Times New Roman"/>
          <w:sz w:val="24"/>
          <w:szCs w:val="24"/>
        </w:rPr>
        <w:t>The Office of Best Practice Regulation has confirmed that a Regulation Impact Statement is not required.</w:t>
      </w:r>
      <w:r w:rsidR="002622E9" w:rsidRPr="002622E9">
        <w:t xml:space="preserve"> </w:t>
      </w:r>
    </w:p>
    <w:p w14:paraId="55E52BF7" w14:textId="77777777" w:rsidR="00596539" w:rsidRPr="003615B4" w:rsidRDefault="00596539" w:rsidP="00596539">
      <w:pPr>
        <w:pStyle w:val="Heading"/>
        <w:tabs>
          <w:tab w:val="left" w:pos="360"/>
        </w:tabs>
        <w:spacing w:after="240"/>
        <w:rPr>
          <w:rFonts w:ascii="Times New Roman" w:hAnsi="Times New Roman"/>
          <w:sz w:val="24"/>
          <w:szCs w:val="24"/>
        </w:rPr>
      </w:pPr>
      <w:r w:rsidRPr="003615B4">
        <w:rPr>
          <w:rFonts w:ascii="Times New Roman" w:hAnsi="Times New Roman"/>
          <w:sz w:val="24"/>
          <w:szCs w:val="24"/>
        </w:rPr>
        <w:t>5.</w:t>
      </w:r>
      <w:r w:rsidRPr="003615B4">
        <w:rPr>
          <w:rFonts w:ascii="Times New Roman" w:hAnsi="Times New Roman"/>
          <w:sz w:val="24"/>
          <w:szCs w:val="24"/>
        </w:rPr>
        <w:tab/>
        <w:t>Statement of compatibility prepared in accordance with Part 3 of the Human Rights (Parliamentary Scrutiny) Act 2011</w:t>
      </w:r>
    </w:p>
    <w:p w14:paraId="55E52BF8" w14:textId="77777777" w:rsidR="00E644F0" w:rsidRPr="003615B4" w:rsidRDefault="00596539" w:rsidP="00710352">
      <w:pPr>
        <w:pStyle w:val="Heading"/>
        <w:spacing w:after="240"/>
        <w:rPr>
          <w:rFonts w:ascii="Times New Roman" w:hAnsi="Times New Roman"/>
          <w:b w:val="0"/>
          <w:sz w:val="24"/>
          <w:szCs w:val="24"/>
        </w:rPr>
      </w:pPr>
      <w:r w:rsidRPr="003615B4">
        <w:rPr>
          <w:rFonts w:ascii="Times New Roman" w:hAnsi="Times New Roman"/>
          <w:b w:val="0"/>
          <w:sz w:val="24"/>
          <w:szCs w:val="24"/>
        </w:rPr>
        <w:t xml:space="preserve">A Statement of compatibility prepared in accordance with Part 3 of the </w:t>
      </w:r>
      <w:r w:rsidRPr="003615B4">
        <w:rPr>
          <w:rFonts w:ascii="Times New Roman" w:hAnsi="Times New Roman"/>
          <w:b w:val="0"/>
          <w:i/>
          <w:sz w:val="24"/>
          <w:szCs w:val="24"/>
        </w:rPr>
        <w:t>Human Rights (Parliamentary Scrutiny) Act 2011</w:t>
      </w:r>
      <w:r w:rsidRPr="003615B4">
        <w:rPr>
          <w:rFonts w:ascii="Times New Roman" w:hAnsi="Times New Roman"/>
          <w:b w:val="0"/>
          <w:sz w:val="24"/>
          <w:szCs w:val="24"/>
        </w:rPr>
        <w:t xml:space="preserve"> is provided at Attachment A to this Explanatory Statement.</w:t>
      </w:r>
    </w:p>
    <w:p w14:paraId="55E52BF9" w14:textId="77777777" w:rsidR="002E6E5D" w:rsidRPr="003615B4" w:rsidRDefault="002E6E5D">
      <w:pPr>
        <w:rPr>
          <w:rFonts w:ascii="Times New Roman" w:hAnsi="Times New Roman"/>
          <w:sz w:val="24"/>
          <w:szCs w:val="24"/>
        </w:rPr>
        <w:sectPr w:rsidR="002E6E5D" w:rsidRPr="003615B4" w:rsidSect="003D5032">
          <w:pgSz w:w="11906" w:h="16838" w:code="9"/>
          <w:pgMar w:top="1440" w:right="1800" w:bottom="1440" w:left="1800" w:header="709" w:footer="709" w:gutter="0"/>
          <w:cols w:space="708"/>
          <w:docGrid w:linePitch="360"/>
        </w:sectPr>
      </w:pPr>
      <w:bookmarkStart w:id="4" w:name="bkConsultation"/>
      <w:bookmarkStart w:id="5" w:name="bkRISNO"/>
      <w:bookmarkEnd w:id="4"/>
      <w:bookmarkEnd w:id="5"/>
    </w:p>
    <w:p w14:paraId="55E52BFA" w14:textId="4EB92F72" w:rsidR="002E6E5D" w:rsidRPr="003615B4" w:rsidRDefault="002E6E5D" w:rsidP="002E6E5D">
      <w:pPr>
        <w:pStyle w:val="Heading"/>
        <w:spacing w:after="240"/>
        <w:rPr>
          <w:rFonts w:ascii="Times New Roman" w:hAnsi="Times New Roman"/>
          <w:sz w:val="24"/>
          <w:szCs w:val="24"/>
        </w:rPr>
      </w:pPr>
      <w:r w:rsidRPr="003615B4">
        <w:rPr>
          <w:rFonts w:ascii="Times New Roman" w:hAnsi="Times New Roman"/>
          <w:sz w:val="24"/>
          <w:szCs w:val="24"/>
        </w:rPr>
        <w:lastRenderedPageBreak/>
        <w:t>Attachment</w:t>
      </w:r>
      <w:r w:rsidR="008D509C">
        <w:rPr>
          <w:rFonts w:ascii="Times New Roman" w:hAnsi="Times New Roman"/>
          <w:sz w:val="24"/>
          <w:szCs w:val="24"/>
        </w:rPr>
        <w:t xml:space="preserve"> A</w:t>
      </w:r>
    </w:p>
    <w:p w14:paraId="55E52BFB" w14:textId="77777777" w:rsidR="002E6E5D" w:rsidRPr="003615B4" w:rsidRDefault="002E6E5D" w:rsidP="002E6E5D">
      <w:pPr>
        <w:shd w:val="clear" w:color="auto" w:fill="FFFFFF"/>
        <w:spacing w:before="100" w:beforeAutospacing="1" w:after="240"/>
        <w:jc w:val="center"/>
        <w:rPr>
          <w:rFonts w:ascii="Times New Roman" w:hAnsi="Times New Roman"/>
          <w:b/>
          <w:sz w:val="24"/>
          <w:szCs w:val="24"/>
          <w:lang w:val="en-US"/>
        </w:rPr>
      </w:pPr>
      <w:r w:rsidRPr="003615B4">
        <w:rPr>
          <w:rFonts w:ascii="Times New Roman" w:hAnsi="Times New Roman"/>
          <w:b/>
          <w:sz w:val="24"/>
          <w:szCs w:val="24"/>
        </w:rPr>
        <w:t>Statement of Compatibility with Human Rights</w:t>
      </w:r>
    </w:p>
    <w:p w14:paraId="55E52BFC" w14:textId="77777777" w:rsidR="002E6E5D" w:rsidRPr="003615B4" w:rsidRDefault="002E6E5D" w:rsidP="002E6E5D">
      <w:pPr>
        <w:shd w:val="clear" w:color="auto" w:fill="FFFFFF"/>
        <w:spacing w:after="240"/>
        <w:jc w:val="center"/>
        <w:outlineLvl w:val="0"/>
        <w:rPr>
          <w:rFonts w:ascii="Times New Roman" w:hAnsi="Times New Roman"/>
          <w:bCs/>
          <w:kern w:val="36"/>
          <w:sz w:val="24"/>
          <w:szCs w:val="24"/>
          <w:lang w:val="en-US"/>
        </w:rPr>
      </w:pPr>
      <w:r w:rsidRPr="003615B4">
        <w:rPr>
          <w:rFonts w:ascii="Times New Roman" w:hAnsi="Times New Roman"/>
          <w:kern w:val="36"/>
          <w:sz w:val="24"/>
          <w:szCs w:val="24"/>
        </w:rPr>
        <w:t xml:space="preserve">Prepared in accordance with Part 3 of the </w:t>
      </w:r>
      <w:r w:rsidRPr="003615B4">
        <w:rPr>
          <w:rFonts w:ascii="Times New Roman" w:hAnsi="Times New Roman"/>
          <w:i/>
          <w:iCs/>
          <w:kern w:val="36"/>
          <w:sz w:val="24"/>
          <w:szCs w:val="24"/>
        </w:rPr>
        <w:t>Human Rights (Parliamentary Scrutiny) Act 2011</w:t>
      </w:r>
    </w:p>
    <w:p w14:paraId="55E52BFD" w14:textId="1CE9D30C" w:rsidR="002E6E5D" w:rsidRPr="003615B4" w:rsidRDefault="002E6E5D" w:rsidP="002E6E5D">
      <w:pPr>
        <w:shd w:val="clear" w:color="auto" w:fill="FFFFFF"/>
        <w:spacing w:before="100" w:beforeAutospacing="1" w:after="240"/>
        <w:jc w:val="both"/>
        <w:rPr>
          <w:rFonts w:ascii="Times New Roman" w:hAnsi="Times New Roman"/>
          <w:b/>
          <w:sz w:val="24"/>
          <w:szCs w:val="24"/>
        </w:rPr>
      </w:pPr>
      <w:r w:rsidRPr="003615B4">
        <w:rPr>
          <w:rFonts w:ascii="Times New Roman" w:hAnsi="Times New Roman"/>
          <w:b/>
          <w:sz w:val="24"/>
          <w:szCs w:val="24"/>
        </w:rPr>
        <w:t xml:space="preserve">Banking (prudential standard) determination No. </w:t>
      </w:r>
      <w:r w:rsidR="00A706D7">
        <w:rPr>
          <w:rFonts w:ascii="Times New Roman" w:hAnsi="Times New Roman"/>
          <w:b/>
          <w:sz w:val="24"/>
          <w:szCs w:val="24"/>
        </w:rPr>
        <w:t>3</w:t>
      </w:r>
      <w:r w:rsidRPr="003615B4">
        <w:rPr>
          <w:rFonts w:ascii="Times New Roman" w:hAnsi="Times New Roman"/>
          <w:b/>
          <w:sz w:val="24"/>
          <w:szCs w:val="24"/>
        </w:rPr>
        <w:t xml:space="preserve"> of 201</w:t>
      </w:r>
      <w:r w:rsidR="005D1E2B" w:rsidRPr="003615B4">
        <w:rPr>
          <w:rFonts w:ascii="Times New Roman" w:hAnsi="Times New Roman"/>
          <w:b/>
          <w:sz w:val="24"/>
          <w:szCs w:val="24"/>
        </w:rPr>
        <w:t>8</w:t>
      </w:r>
    </w:p>
    <w:p w14:paraId="55E52BFE" w14:textId="53468D08"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sz w:val="24"/>
          <w:szCs w:val="24"/>
        </w:rPr>
        <w:t xml:space="preserve">This Legislative Instrument </w:t>
      </w:r>
      <w:r w:rsidR="00C477A9">
        <w:rPr>
          <w:rFonts w:ascii="Times New Roman" w:hAnsi="Times New Roman"/>
          <w:sz w:val="24"/>
          <w:szCs w:val="24"/>
        </w:rPr>
        <w:t>is</w:t>
      </w:r>
      <w:r w:rsidRPr="003615B4">
        <w:rPr>
          <w:rFonts w:ascii="Times New Roman" w:hAnsi="Times New Roman"/>
          <w:sz w:val="24"/>
          <w:szCs w:val="24"/>
        </w:rPr>
        <w:t xml:space="preserve"> compatible with the human rights and freedoms recognised or declared in the international instrument listed in section 3 of the </w:t>
      </w:r>
      <w:r w:rsidRPr="003615B4">
        <w:rPr>
          <w:rFonts w:ascii="Times New Roman" w:hAnsi="Times New Roman"/>
          <w:i/>
          <w:iCs/>
          <w:sz w:val="24"/>
          <w:szCs w:val="24"/>
        </w:rPr>
        <w:t>Human Rights (Parliamentary Scrutiny) Act 2011</w:t>
      </w:r>
      <w:r w:rsidRPr="003615B4">
        <w:rPr>
          <w:rFonts w:ascii="Times New Roman" w:hAnsi="Times New Roman"/>
          <w:sz w:val="24"/>
          <w:szCs w:val="24"/>
        </w:rPr>
        <w:t xml:space="preserve"> (HRPS Act)</w:t>
      </w:r>
      <w:r w:rsidR="00072BCA">
        <w:rPr>
          <w:rFonts w:ascii="Times New Roman" w:hAnsi="Times New Roman"/>
          <w:sz w:val="24"/>
          <w:szCs w:val="24"/>
        </w:rPr>
        <w:t>.</w:t>
      </w:r>
    </w:p>
    <w:p w14:paraId="55E52BFF" w14:textId="7FE522FA"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Overview of the Legislative Instrument</w:t>
      </w:r>
    </w:p>
    <w:p w14:paraId="55E52C01" w14:textId="19B5D8DE" w:rsidR="005D1E2B" w:rsidRPr="003615B4" w:rsidRDefault="002E6E5D" w:rsidP="0086608F">
      <w:pPr>
        <w:shd w:val="clear" w:color="auto" w:fill="FFFFFF"/>
        <w:spacing w:before="100" w:beforeAutospacing="1" w:after="240"/>
        <w:jc w:val="both"/>
        <w:rPr>
          <w:rFonts w:ascii="Times New Roman" w:hAnsi="Times New Roman"/>
          <w:sz w:val="24"/>
          <w:szCs w:val="24"/>
        </w:rPr>
      </w:pPr>
      <w:r w:rsidRPr="003615B4">
        <w:rPr>
          <w:rFonts w:ascii="Times New Roman" w:hAnsi="Times New Roman"/>
          <w:bCs/>
          <w:sz w:val="24"/>
          <w:szCs w:val="24"/>
        </w:rPr>
        <w:t>The purpose of the instrument is to revoke</w:t>
      </w:r>
      <w:r w:rsidR="009E144B">
        <w:rPr>
          <w:rFonts w:ascii="Times New Roman" w:hAnsi="Times New Roman"/>
          <w:sz w:val="24"/>
          <w:szCs w:val="24"/>
        </w:rPr>
        <w:t xml:space="preserve"> </w:t>
      </w:r>
      <w:r w:rsidR="00E256DF" w:rsidRPr="003615B4">
        <w:rPr>
          <w:rFonts w:ascii="Times New Roman" w:hAnsi="Times New Roman"/>
          <w:i/>
          <w:sz w:val="24"/>
          <w:szCs w:val="24"/>
        </w:rPr>
        <w:t xml:space="preserve">Prudential Standard APS </w:t>
      </w:r>
      <w:r w:rsidR="005D1E2B" w:rsidRPr="003615B4">
        <w:rPr>
          <w:rFonts w:ascii="Times New Roman" w:hAnsi="Times New Roman"/>
          <w:i/>
          <w:sz w:val="24"/>
          <w:szCs w:val="24"/>
        </w:rPr>
        <w:t>330</w:t>
      </w:r>
      <w:r w:rsidR="00E256DF" w:rsidRPr="003615B4">
        <w:rPr>
          <w:rFonts w:ascii="Times New Roman" w:hAnsi="Times New Roman"/>
          <w:i/>
          <w:sz w:val="24"/>
          <w:szCs w:val="24"/>
        </w:rPr>
        <w:t xml:space="preserve"> </w:t>
      </w:r>
      <w:r w:rsidR="005D1E2B" w:rsidRPr="003615B4">
        <w:rPr>
          <w:rFonts w:ascii="Times New Roman" w:hAnsi="Times New Roman"/>
          <w:i/>
          <w:sz w:val="24"/>
          <w:szCs w:val="24"/>
        </w:rPr>
        <w:t>Public Disclosure</w:t>
      </w:r>
      <w:r w:rsidR="00E256DF" w:rsidRPr="003615B4">
        <w:rPr>
          <w:rFonts w:ascii="Times New Roman" w:hAnsi="Times New Roman"/>
          <w:sz w:val="24"/>
          <w:szCs w:val="24"/>
        </w:rPr>
        <w:t xml:space="preserve">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determined by APRA in </w:t>
      </w:r>
      <w:r w:rsidR="00866FF1" w:rsidRPr="003615B4">
        <w:rPr>
          <w:rFonts w:ascii="Times New Roman" w:hAnsi="Times New Roman"/>
          <w:sz w:val="24"/>
          <w:szCs w:val="24"/>
        </w:rPr>
        <w:t>2015</w:t>
      </w:r>
      <w:r w:rsidR="00E256DF" w:rsidRPr="003615B4">
        <w:rPr>
          <w:rFonts w:ascii="Times New Roman" w:hAnsi="Times New Roman"/>
          <w:sz w:val="24"/>
          <w:szCs w:val="24"/>
        </w:rPr>
        <w:t xml:space="preserve"> and replace it with a new </w:t>
      </w:r>
      <w:r w:rsidR="00E256DF" w:rsidRPr="003615B4">
        <w:rPr>
          <w:rFonts w:ascii="Times New Roman" w:hAnsi="Times New Roman"/>
          <w:i/>
          <w:sz w:val="24"/>
          <w:szCs w:val="24"/>
        </w:rPr>
        <w:t xml:space="preserve">Prudential Standard APS </w:t>
      </w:r>
      <w:r w:rsidR="005D1E2B" w:rsidRPr="003615B4">
        <w:rPr>
          <w:rFonts w:ascii="Times New Roman" w:hAnsi="Times New Roman"/>
          <w:i/>
          <w:sz w:val="24"/>
          <w:szCs w:val="24"/>
        </w:rPr>
        <w:t>330 Public Disclosure</w:t>
      </w:r>
      <w:r w:rsidR="005D1E2B" w:rsidRPr="003615B4">
        <w:rPr>
          <w:rFonts w:ascii="Times New Roman" w:hAnsi="Times New Roman"/>
          <w:sz w:val="24"/>
          <w:szCs w:val="24"/>
        </w:rPr>
        <w:t xml:space="preserve"> (</w:t>
      </w:r>
      <w:r w:rsidR="00E256DF" w:rsidRPr="003615B4">
        <w:rPr>
          <w:rFonts w:ascii="Times New Roman" w:hAnsi="Times New Roman"/>
          <w:sz w:val="24"/>
          <w:szCs w:val="24"/>
        </w:rPr>
        <w:t xml:space="preserve">new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New APS </w:t>
      </w:r>
      <w:r w:rsidR="005D1E2B" w:rsidRPr="003615B4">
        <w:rPr>
          <w:rFonts w:ascii="Times New Roman" w:hAnsi="Times New Roman"/>
          <w:sz w:val="24"/>
          <w:szCs w:val="24"/>
        </w:rPr>
        <w:t>330</w:t>
      </w:r>
      <w:r w:rsidR="00E256DF" w:rsidRPr="003615B4">
        <w:rPr>
          <w:rFonts w:ascii="Times New Roman" w:hAnsi="Times New Roman"/>
          <w:sz w:val="24"/>
          <w:szCs w:val="24"/>
        </w:rPr>
        <w:t xml:space="preserve"> reflects</w:t>
      </w:r>
      <w:r w:rsidR="00025A0E" w:rsidRPr="003615B4">
        <w:rPr>
          <w:rFonts w:ascii="Times New Roman" w:hAnsi="Times New Roman"/>
          <w:sz w:val="24"/>
          <w:szCs w:val="24"/>
        </w:rPr>
        <w:t xml:space="preserve"> </w:t>
      </w:r>
      <w:r w:rsidR="007137FC">
        <w:rPr>
          <w:rFonts w:ascii="Times New Roman" w:hAnsi="Times New Roman"/>
          <w:sz w:val="24"/>
          <w:szCs w:val="24"/>
        </w:rPr>
        <w:t>a</w:t>
      </w:r>
      <w:r w:rsidR="007137FC" w:rsidRPr="007137FC">
        <w:rPr>
          <w:rFonts w:ascii="Times New Roman" w:hAnsi="Times New Roman"/>
          <w:sz w:val="24"/>
          <w:szCs w:val="24"/>
        </w:rPr>
        <w:t>dditional liquidity disclosure requirements includ</w:t>
      </w:r>
      <w:r w:rsidR="007137FC">
        <w:rPr>
          <w:rFonts w:ascii="Times New Roman" w:hAnsi="Times New Roman"/>
          <w:sz w:val="24"/>
          <w:szCs w:val="24"/>
        </w:rPr>
        <w:t>ing</w:t>
      </w:r>
      <w:r w:rsidR="007137FC" w:rsidRPr="007137FC">
        <w:rPr>
          <w:rFonts w:ascii="Times New Roman" w:hAnsi="Times New Roman"/>
          <w:sz w:val="24"/>
          <w:szCs w:val="24"/>
        </w:rPr>
        <w:t xml:space="preserve"> a common template that </w:t>
      </w:r>
      <w:r w:rsidR="007137FC">
        <w:rPr>
          <w:rFonts w:ascii="Times New Roman" w:hAnsi="Times New Roman"/>
          <w:sz w:val="24"/>
          <w:szCs w:val="24"/>
        </w:rPr>
        <w:t>ADIs</w:t>
      </w:r>
      <w:r w:rsidR="007137FC" w:rsidRPr="007137FC">
        <w:rPr>
          <w:rFonts w:ascii="Times New Roman" w:hAnsi="Times New Roman"/>
          <w:sz w:val="24"/>
          <w:szCs w:val="24"/>
        </w:rPr>
        <w:t xml:space="preserve"> must use to report their </w:t>
      </w:r>
      <w:r w:rsidR="00AB3AEC">
        <w:rPr>
          <w:rFonts w:ascii="Times New Roman" w:hAnsi="Times New Roman"/>
          <w:sz w:val="24"/>
          <w:szCs w:val="24"/>
        </w:rPr>
        <w:t>Net Stable Funding Ratio (</w:t>
      </w:r>
      <w:r w:rsidR="007137FC" w:rsidRPr="007137FC">
        <w:rPr>
          <w:rFonts w:ascii="Times New Roman" w:hAnsi="Times New Roman"/>
          <w:sz w:val="24"/>
          <w:szCs w:val="24"/>
        </w:rPr>
        <w:t>NSFR</w:t>
      </w:r>
      <w:r w:rsidR="00AB3AEC">
        <w:rPr>
          <w:rFonts w:ascii="Times New Roman" w:hAnsi="Times New Roman"/>
          <w:sz w:val="24"/>
          <w:szCs w:val="24"/>
        </w:rPr>
        <w:t>)</w:t>
      </w:r>
      <w:r w:rsidR="007137FC" w:rsidRPr="007137FC">
        <w:rPr>
          <w:rFonts w:ascii="Times New Roman" w:hAnsi="Times New Roman"/>
          <w:sz w:val="24"/>
          <w:szCs w:val="24"/>
        </w:rPr>
        <w:t xml:space="preserve"> results and selected details of the NSFR components</w:t>
      </w:r>
      <w:r w:rsidR="007137FC">
        <w:rPr>
          <w:rFonts w:ascii="Times New Roman" w:hAnsi="Times New Roman"/>
          <w:sz w:val="24"/>
          <w:szCs w:val="24"/>
        </w:rPr>
        <w:t xml:space="preserve"> and provides for</w:t>
      </w:r>
      <w:r w:rsidR="007137FC" w:rsidRPr="007137FC">
        <w:rPr>
          <w:rFonts w:ascii="Times New Roman" w:hAnsi="Times New Roman"/>
          <w:sz w:val="24"/>
          <w:szCs w:val="24"/>
        </w:rPr>
        <w:t xml:space="preserve"> </w:t>
      </w:r>
      <w:r w:rsidR="00B55DFC">
        <w:rPr>
          <w:rFonts w:ascii="Times New Roman" w:hAnsi="Times New Roman"/>
          <w:sz w:val="24"/>
          <w:szCs w:val="24"/>
        </w:rPr>
        <w:t xml:space="preserve">the </w:t>
      </w:r>
      <w:r w:rsidR="007137FC" w:rsidRPr="007137FC">
        <w:rPr>
          <w:rFonts w:ascii="Times New Roman" w:hAnsi="Times New Roman"/>
          <w:sz w:val="24"/>
          <w:szCs w:val="24"/>
        </w:rPr>
        <w:t xml:space="preserve">NSFR disclosures and the existing </w:t>
      </w:r>
      <w:r w:rsidR="00AB3AEC">
        <w:rPr>
          <w:rFonts w:ascii="Times New Roman" w:hAnsi="Times New Roman"/>
          <w:sz w:val="24"/>
          <w:szCs w:val="24"/>
        </w:rPr>
        <w:t>Liquidity Coverage Ratio (</w:t>
      </w:r>
      <w:r w:rsidR="007137FC" w:rsidRPr="007137FC">
        <w:rPr>
          <w:rFonts w:ascii="Times New Roman" w:hAnsi="Times New Roman"/>
          <w:sz w:val="24"/>
          <w:szCs w:val="24"/>
        </w:rPr>
        <w:t>L</w:t>
      </w:r>
      <w:r w:rsidR="007137FC">
        <w:rPr>
          <w:rFonts w:ascii="Times New Roman" w:hAnsi="Times New Roman"/>
          <w:sz w:val="24"/>
          <w:szCs w:val="24"/>
        </w:rPr>
        <w:t>CR</w:t>
      </w:r>
      <w:r w:rsidR="00AB3AEC">
        <w:rPr>
          <w:rFonts w:ascii="Times New Roman" w:hAnsi="Times New Roman"/>
          <w:sz w:val="24"/>
          <w:szCs w:val="24"/>
        </w:rPr>
        <w:t>)</w:t>
      </w:r>
      <w:r w:rsidR="007137FC" w:rsidRPr="007137FC">
        <w:rPr>
          <w:rFonts w:ascii="Times New Roman" w:hAnsi="Times New Roman"/>
          <w:sz w:val="24"/>
          <w:szCs w:val="24"/>
        </w:rPr>
        <w:t xml:space="preserve"> disclosures </w:t>
      </w:r>
      <w:r w:rsidR="007137FC">
        <w:rPr>
          <w:rFonts w:ascii="Times New Roman" w:hAnsi="Times New Roman"/>
          <w:sz w:val="24"/>
          <w:szCs w:val="24"/>
        </w:rPr>
        <w:t xml:space="preserve">to be disclosed on a </w:t>
      </w:r>
      <w:r w:rsidR="007137FC" w:rsidRPr="007137FC">
        <w:rPr>
          <w:rFonts w:ascii="Times New Roman" w:hAnsi="Times New Roman"/>
          <w:sz w:val="24"/>
          <w:szCs w:val="24"/>
        </w:rPr>
        <w:t>semi-annual and quarterly</w:t>
      </w:r>
      <w:r w:rsidR="007137FC">
        <w:rPr>
          <w:rFonts w:ascii="Times New Roman" w:hAnsi="Times New Roman"/>
          <w:sz w:val="24"/>
          <w:szCs w:val="24"/>
        </w:rPr>
        <w:t xml:space="preserve"> basis</w:t>
      </w:r>
      <w:r w:rsidR="007137FC" w:rsidRPr="007137FC">
        <w:rPr>
          <w:rFonts w:ascii="Times New Roman" w:hAnsi="Times New Roman"/>
          <w:sz w:val="24"/>
          <w:szCs w:val="24"/>
        </w:rPr>
        <w:t>, respectively.</w:t>
      </w:r>
      <w:r w:rsidR="007137FC">
        <w:rPr>
          <w:rFonts w:ascii="Times New Roman" w:hAnsi="Times New Roman"/>
          <w:sz w:val="24"/>
          <w:szCs w:val="24"/>
        </w:rPr>
        <w:t xml:space="preserve"> </w:t>
      </w:r>
    </w:p>
    <w:p w14:paraId="55E52C03" w14:textId="77777777" w:rsidR="002E6E5D" w:rsidRPr="003615B4" w:rsidRDefault="002E6E5D" w:rsidP="007968BD">
      <w:pPr>
        <w:keepNext/>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Human rights implications</w:t>
      </w:r>
    </w:p>
    <w:p w14:paraId="55E52C04" w14:textId="314E7A5B" w:rsidR="002E6E5D" w:rsidRPr="001739F9" w:rsidRDefault="002E6E5D" w:rsidP="0086608F">
      <w:pPr>
        <w:jc w:val="both"/>
        <w:rPr>
          <w:rFonts w:ascii="Times New Roman" w:hAnsi="Times New Roman"/>
          <w:sz w:val="24"/>
          <w:szCs w:val="24"/>
          <w:lang w:val="en-US"/>
        </w:rPr>
      </w:pPr>
      <w:r w:rsidRPr="001739F9">
        <w:rPr>
          <w:rFonts w:ascii="Times New Roman" w:hAnsi="Times New Roman"/>
          <w:sz w:val="24"/>
          <w:szCs w:val="24"/>
        </w:rPr>
        <w:t xml:space="preserve">APRA has assessed the instrument and is of the view that </w:t>
      </w:r>
      <w:r w:rsidR="00C477A9">
        <w:rPr>
          <w:rFonts w:ascii="Times New Roman" w:hAnsi="Times New Roman"/>
          <w:sz w:val="24"/>
          <w:szCs w:val="24"/>
        </w:rPr>
        <w:t xml:space="preserve">it </w:t>
      </w:r>
      <w:r w:rsidRPr="001739F9">
        <w:rPr>
          <w:rFonts w:ascii="Times New Roman" w:hAnsi="Times New Roman"/>
          <w:sz w:val="24"/>
          <w:szCs w:val="24"/>
        </w:rPr>
        <w:t>do</w:t>
      </w:r>
      <w:r w:rsidR="00C477A9">
        <w:rPr>
          <w:rFonts w:ascii="Times New Roman" w:hAnsi="Times New Roman"/>
          <w:sz w:val="24"/>
          <w:szCs w:val="24"/>
        </w:rPr>
        <w:t>es</w:t>
      </w:r>
      <w:r w:rsidRPr="001739F9">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 </w:t>
      </w:r>
      <w:r w:rsidR="00C477A9">
        <w:rPr>
          <w:rFonts w:ascii="Times New Roman" w:hAnsi="Times New Roman"/>
          <w:sz w:val="24"/>
          <w:szCs w:val="24"/>
        </w:rPr>
        <w:t>is</w:t>
      </w:r>
      <w:r w:rsidRPr="001739F9">
        <w:rPr>
          <w:rFonts w:ascii="Times New Roman" w:hAnsi="Times New Roman"/>
          <w:sz w:val="24"/>
          <w:szCs w:val="24"/>
        </w:rPr>
        <w:t xml:space="preserve"> compatible with human rights.</w:t>
      </w:r>
    </w:p>
    <w:p w14:paraId="55E52C05" w14:textId="77777777" w:rsidR="002E6E5D" w:rsidRPr="003615B4" w:rsidRDefault="002E6E5D" w:rsidP="002E6E5D">
      <w:pPr>
        <w:shd w:val="clear" w:color="auto" w:fill="FFFFFF"/>
        <w:spacing w:before="100" w:beforeAutospacing="1" w:after="240"/>
        <w:jc w:val="both"/>
        <w:rPr>
          <w:rFonts w:ascii="Times New Roman" w:hAnsi="Times New Roman"/>
          <w:sz w:val="24"/>
          <w:szCs w:val="24"/>
          <w:lang w:val="en-US"/>
        </w:rPr>
      </w:pPr>
      <w:r w:rsidRPr="003615B4">
        <w:rPr>
          <w:rFonts w:ascii="Times New Roman" w:hAnsi="Times New Roman"/>
          <w:b/>
          <w:bCs/>
          <w:sz w:val="24"/>
          <w:szCs w:val="24"/>
        </w:rPr>
        <w:t>Conclusion</w:t>
      </w:r>
    </w:p>
    <w:p w14:paraId="55E52C06" w14:textId="20E495AD" w:rsidR="002E6E5D" w:rsidRPr="003615B4" w:rsidRDefault="002E6E5D" w:rsidP="002E6E5D">
      <w:pPr>
        <w:pStyle w:val="Heading"/>
        <w:spacing w:after="240"/>
        <w:rPr>
          <w:rFonts w:ascii="Times New Roman" w:hAnsi="Times New Roman"/>
          <w:b w:val="0"/>
          <w:sz w:val="24"/>
          <w:szCs w:val="24"/>
        </w:rPr>
      </w:pPr>
      <w:r w:rsidRPr="003615B4">
        <w:rPr>
          <w:rFonts w:ascii="Times New Roman" w:hAnsi="Times New Roman"/>
          <w:b w:val="0"/>
          <w:sz w:val="24"/>
          <w:szCs w:val="24"/>
        </w:rPr>
        <w:t>Th</w:t>
      </w:r>
      <w:r w:rsidR="00470D51">
        <w:rPr>
          <w:rFonts w:ascii="Times New Roman" w:hAnsi="Times New Roman"/>
          <w:b w:val="0"/>
          <w:sz w:val="24"/>
          <w:szCs w:val="24"/>
        </w:rPr>
        <w:t>is</w:t>
      </w:r>
      <w:r w:rsidR="00F97528" w:rsidRPr="003615B4">
        <w:rPr>
          <w:rFonts w:ascii="Times New Roman" w:hAnsi="Times New Roman"/>
          <w:b w:val="0"/>
          <w:sz w:val="24"/>
          <w:szCs w:val="24"/>
        </w:rPr>
        <w:t xml:space="preserve"> legislative</w:t>
      </w:r>
      <w:r w:rsidRPr="003615B4">
        <w:rPr>
          <w:rFonts w:ascii="Times New Roman" w:hAnsi="Times New Roman"/>
          <w:b w:val="0"/>
          <w:sz w:val="24"/>
          <w:szCs w:val="24"/>
        </w:rPr>
        <w:t xml:space="preserve"> instrument </w:t>
      </w:r>
      <w:r w:rsidR="00C477A9">
        <w:rPr>
          <w:rFonts w:ascii="Times New Roman" w:hAnsi="Times New Roman"/>
          <w:b w:val="0"/>
          <w:sz w:val="24"/>
          <w:szCs w:val="24"/>
        </w:rPr>
        <w:t>is</w:t>
      </w:r>
      <w:r w:rsidRPr="003615B4">
        <w:rPr>
          <w:rFonts w:ascii="Times New Roman" w:hAnsi="Times New Roman"/>
          <w:b w:val="0"/>
          <w:sz w:val="24"/>
          <w:szCs w:val="24"/>
        </w:rPr>
        <w:t xml:space="preserve"> compatible with human rights as </w:t>
      </w:r>
      <w:r w:rsidR="00C477A9">
        <w:rPr>
          <w:rFonts w:ascii="Times New Roman" w:hAnsi="Times New Roman"/>
          <w:b w:val="0"/>
          <w:sz w:val="24"/>
          <w:szCs w:val="24"/>
        </w:rPr>
        <w:t>it does</w:t>
      </w:r>
      <w:r w:rsidRPr="003615B4">
        <w:rPr>
          <w:rFonts w:ascii="Times New Roman" w:hAnsi="Times New Roman"/>
          <w:b w:val="0"/>
          <w:sz w:val="24"/>
          <w:szCs w:val="24"/>
        </w:rPr>
        <w:t xml:space="preserve"> do not raise any human rights issues.</w:t>
      </w:r>
    </w:p>
    <w:p w14:paraId="55E52C07" w14:textId="77777777" w:rsidR="00E617B2" w:rsidRDefault="00E617B2"/>
    <w:sectPr w:rsidR="00E617B2" w:rsidSect="003D503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F49D4" w14:textId="77777777" w:rsidR="00E87726" w:rsidRDefault="00E87726" w:rsidP="00E617B2">
      <w:r>
        <w:separator/>
      </w:r>
    </w:p>
  </w:endnote>
  <w:endnote w:type="continuationSeparator" w:id="0">
    <w:p w14:paraId="44C8C63E" w14:textId="77777777" w:rsidR="00E87726" w:rsidRDefault="00E87726" w:rsidP="00E617B2">
      <w:r>
        <w:continuationSeparator/>
      </w:r>
    </w:p>
  </w:endnote>
  <w:endnote w:type="continuationNotice" w:id="1">
    <w:p w14:paraId="334C1491" w14:textId="77777777" w:rsidR="00E87726" w:rsidRDefault="00E8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D143C" w14:textId="77777777" w:rsidR="00E87726" w:rsidRDefault="00E87726" w:rsidP="00E617B2">
      <w:r>
        <w:separator/>
      </w:r>
    </w:p>
  </w:footnote>
  <w:footnote w:type="continuationSeparator" w:id="0">
    <w:p w14:paraId="03896B3B" w14:textId="77777777" w:rsidR="00E87726" w:rsidRDefault="00E87726" w:rsidP="00E617B2">
      <w:r>
        <w:continuationSeparator/>
      </w:r>
    </w:p>
  </w:footnote>
  <w:footnote w:type="continuationNotice" w:id="1">
    <w:p w14:paraId="35881420" w14:textId="77777777" w:rsidR="00E87726" w:rsidRDefault="00E87726"/>
  </w:footnote>
  <w:footnote w:id="2">
    <w:p w14:paraId="7CF5DE20" w14:textId="1C0BAC64" w:rsidR="00E87726" w:rsidRDefault="00E87726">
      <w:pPr>
        <w:pStyle w:val="FootnoteText"/>
      </w:pPr>
      <w:r>
        <w:rPr>
          <w:rStyle w:val="FootnoteReference"/>
        </w:rPr>
        <w:footnoteRef/>
      </w:r>
      <w:r>
        <w:t xml:space="preserve"> The Basel Committee, of which Australia is a member, is the primary global standard-setter for the prudential regulation of banks and provides a forum for cooperation on banking supervisory matters. Its mandate is to strengthen the regulation, supervision and practices of banks worldwide with the purpose of enhancing financial stability.  </w:t>
      </w:r>
    </w:p>
  </w:footnote>
  <w:footnote w:id="3">
    <w:p w14:paraId="21E6190A" w14:textId="62E4B079" w:rsidR="00E87726" w:rsidRDefault="00E87726" w:rsidP="000168CB">
      <w:pPr>
        <w:pStyle w:val="Default"/>
      </w:pPr>
      <w:r w:rsidRPr="000168CB">
        <w:rPr>
          <w:rStyle w:val="FootnoteReference"/>
          <w:rFonts w:ascii="Times New Roman" w:hAnsi="Times New Roman"/>
          <w:sz w:val="20"/>
          <w:szCs w:val="20"/>
        </w:rPr>
        <w:footnoteRef/>
      </w:r>
      <w:r w:rsidRPr="000168CB">
        <w:rPr>
          <w:rFonts w:ascii="Times New Roman" w:hAnsi="Times New Roman" w:cs="Times New Roman"/>
          <w:sz w:val="20"/>
          <w:szCs w:val="20"/>
        </w:rPr>
        <w:t xml:space="preserve"> </w:t>
      </w:r>
      <w:r w:rsidRPr="000168CB">
        <w:rPr>
          <w:rFonts w:ascii="Times New Roman" w:hAnsi="Times New Roman" w:cs="Times New Roman"/>
          <w:i/>
          <w:iCs/>
          <w:sz w:val="20"/>
          <w:szCs w:val="20"/>
        </w:rPr>
        <w:t>Basel Committee Standards Pillar 3 disclosure requirements – consolidated and enhanced framework, March 2017</w:t>
      </w:r>
      <w:r w:rsidRPr="000168CB">
        <w:rPr>
          <w:rFonts w:ascii="Times New Roman" w:hAnsi="Times New Roman" w:cs="Times New Roman"/>
          <w:sz w:val="20"/>
          <w:szCs w:val="20"/>
        </w:rPr>
        <w:t xml:space="preserve">, available at: </w:t>
      </w:r>
      <w:hyperlink r:id="rId1" w:history="1">
        <w:r w:rsidRPr="000168CB">
          <w:rPr>
            <w:rStyle w:val="Hyperlink"/>
            <w:rFonts w:ascii="Times New Roman" w:hAnsi="Times New Roman" w:cs="Times New Roman"/>
            <w:sz w:val="20"/>
            <w:szCs w:val="20"/>
          </w:rPr>
          <w:t>http://www.bis.org/bcbs/publ/d400.htm</w:t>
        </w:r>
      </w:hyperlink>
    </w:p>
  </w:footnote>
  <w:footnote w:id="4">
    <w:p w14:paraId="2CFCAA67" w14:textId="7F9D8EFB" w:rsidR="00E87726" w:rsidRDefault="00E87726">
      <w:pPr>
        <w:pStyle w:val="FootnoteText"/>
      </w:pPr>
      <w:r>
        <w:rPr>
          <w:rStyle w:val="FootnoteReference"/>
        </w:rPr>
        <w:footnoteRef/>
      </w:r>
      <w:r>
        <w:t xml:space="preserve"> </w:t>
      </w:r>
      <w:r w:rsidRPr="00D80C61">
        <w:t xml:space="preserve">The NSFR </w:t>
      </w:r>
      <w:r>
        <w:t xml:space="preserve">is a liquidity </w:t>
      </w:r>
      <w:r w:rsidRPr="00D80C61">
        <w:t xml:space="preserve">standard </w:t>
      </w:r>
      <w:r>
        <w:t xml:space="preserve">that </w:t>
      </w:r>
      <w:r w:rsidRPr="00D80C61">
        <w:t xml:space="preserve">seeks to promote more stable funding of banks' balance sheets. </w:t>
      </w:r>
    </w:p>
  </w:footnote>
  <w:footnote w:id="5">
    <w:p w14:paraId="6BFF1A4C" w14:textId="42565025" w:rsidR="00E87726" w:rsidRDefault="00E87726">
      <w:pPr>
        <w:pStyle w:val="FootnoteText"/>
      </w:pPr>
      <w:r>
        <w:rPr>
          <w:rStyle w:val="FootnoteReference"/>
        </w:rPr>
        <w:footnoteRef/>
      </w:r>
      <w:r>
        <w:t xml:space="preserve"> APS 330 has not been updated to include the o</w:t>
      </w:r>
      <w:r w:rsidRPr="0070223F">
        <w:t xml:space="preserve">ther changes to the Basel Committee’s Pillar 3 framework </w:t>
      </w:r>
      <w:r>
        <w:t xml:space="preserve">as outlined </w:t>
      </w:r>
      <w:r w:rsidRPr="0070223F">
        <w:t xml:space="preserve">in </w:t>
      </w:r>
      <w:r>
        <w:t>its</w:t>
      </w:r>
      <w:r w:rsidRPr="0070223F">
        <w:t xml:space="preserve"> March 2017 document</w:t>
      </w:r>
      <w:r w:rsidR="00A178E5">
        <w:t>,</w:t>
      </w:r>
      <w:r w:rsidR="00E23E57">
        <w:t xml:space="preserve"> referred to in footnote 2</w:t>
      </w:r>
      <w:r w:rsidRPr="0070223F">
        <w:t>.</w:t>
      </w:r>
    </w:p>
  </w:footnote>
  <w:footnote w:id="6">
    <w:p w14:paraId="736EB021" w14:textId="7A5D8647" w:rsidR="00E87726" w:rsidRDefault="00E87726">
      <w:pPr>
        <w:pStyle w:val="FootnoteText"/>
      </w:pPr>
      <w:r>
        <w:rPr>
          <w:rStyle w:val="FootnoteReference"/>
        </w:rPr>
        <w:footnoteRef/>
      </w:r>
      <w:r>
        <w:t xml:space="preserve"> </w:t>
      </w:r>
      <w:r w:rsidRPr="006169B7">
        <w:t xml:space="preserve">In Australia, the NSFR standard has been incorporated into </w:t>
      </w:r>
      <w:r w:rsidRPr="006169B7">
        <w:rPr>
          <w:i/>
        </w:rPr>
        <w:t>Prudential Standard APS 210 Liquidity</w:t>
      </w:r>
      <w:r w:rsidRPr="006169B7">
        <w:t xml:space="preserve"> (APS 210) and applies from 1 January 2018.</w:t>
      </w:r>
    </w:p>
  </w:footnote>
  <w:footnote w:id="7">
    <w:p w14:paraId="4BC07253" w14:textId="147DE50E" w:rsidR="00E87726" w:rsidRDefault="00E87726" w:rsidP="008356C1">
      <w:pPr>
        <w:pStyle w:val="FootnoteText"/>
      </w:pPr>
      <w:r>
        <w:rPr>
          <w:rStyle w:val="FootnoteReference"/>
        </w:rPr>
        <w:footnoteRef/>
      </w:r>
      <w:r>
        <w:t xml:space="preserve"> </w:t>
      </w:r>
      <w:r w:rsidRPr="00B167EB">
        <w:t xml:space="preserve">The </w:t>
      </w:r>
      <w:r w:rsidR="001F7FBA">
        <w:t xml:space="preserve">LCR </w:t>
      </w:r>
      <w:r w:rsidRPr="00B167EB">
        <w:t xml:space="preserve">is a liquidity standard that requires an ADI to have an adequate level of unencumbered high-quality liquid assets to meet their liquidity needs for a 30 calendar day period under a stress scenario. </w:t>
      </w:r>
      <w:r w:rsidR="008356C1" w:rsidRPr="00B167EB">
        <w:t xml:space="preserve">In Australia, the LCR </w:t>
      </w:r>
      <w:r w:rsidR="00240A98">
        <w:t>s</w:t>
      </w:r>
      <w:r w:rsidR="008356C1" w:rsidRPr="00B167EB">
        <w:t xml:space="preserve">tandard </w:t>
      </w:r>
      <w:r w:rsidR="00A178E5">
        <w:t>h</w:t>
      </w:r>
      <w:r w:rsidR="00483B10">
        <w:t xml:space="preserve">as been </w:t>
      </w:r>
      <w:r w:rsidR="00A178E5">
        <w:t>in</w:t>
      </w:r>
      <w:r w:rsidR="00976EFB">
        <w:t>co</w:t>
      </w:r>
      <w:r w:rsidR="00A178E5">
        <w:t xml:space="preserve">rporated into APS 210 and applies from </w:t>
      </w:r>
      <w:r w:rsidR="008356C1" w:rsidRPr="00B167EB">
        <w:t>1 January 2015.</w:t>
      </w:r>
    </w:p>
  </w:footnote>
  <w:footnote w:id="8">
    <w:p w14:paraId="795237D2" w14:textId="76D804AC" w:rsidR="00E87726" w:rsidRDefault="00E87726">
      <w:pPr>
        <w:pStyle w:val="FootnoteText"/>
      </w:pPr>
      <w:r>
        <w:rPr>
          <w:rStyle w:val="FootnoteReference"/>
        </w:rPr>
        <w:footnoteRef/>
      </w:r>
      <w:r>
        <w:t xml:space="preserve"> </w:t>
      </w:r>
      <w:hyperlink r:id="rId2" w:history="1">
        <w:r w:rsidRPr="000D5D6A">
          <w:rPr>
            <w:rStyle w:val="Hyperlink"/>
          </w:rPr>
          <w:t>http://www.apra.gov.au/adi/PrudentialFramework/Pages/Proposed-revisions-to-Prudential-Standard-APS-330-Public-Disclosure.aspx</w:t>
        </w:r>
      </w:hyperlink>
      <w:r>
        <w:t xml:space="preserve"> </w:t>
      </w:r>
    </w:p>
  </w:footnote>
  <w:footnote w:id="9">
    <w:p w14:paraId="1BB9A0B8" w14:textId="09CB41BC" w:rsidR="008D2133" w:rsidRDefault="008D2133">
      <w:pPr>
        <w:pStyle w:val="FootnoteText"/>
      </w:pPr>
      <w:r>
        <w:rPr>
          <w:rStyle w:val="FootnoteReference"/>
        </w:rPr>
        <w:footnoteRef/>
      </w:r>
      <w:r>
        <w:t xml:space="preserve"> </w:t>
      </w:r>
      <w:hyperlink r:id="rId3" w:history="1">
        <w:r w:rsidRPr="00FF4EFB">
          <w:rPr>
            <w:rStyle w:val="Hyperlink"/>
          </w:rPr>
          <w:t>http://www.apra.gov.au/adi/PrudentialFramework/Pages/Proposed-revisions-APS-330-Public-Disclosure-response.aspx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A81249"/>
    <w:multiLevelType w:val="hybridMultilevel"/>
    <w:tmpl w:val="43043D8E"/>
    <w:lvl w:ilvl="0" w:tplc="DD5EE5FE">
      <w:start w:val="1"/>
      <w:numFmt w:val="decimal"/>
      <w:lvlText w:val="%1."/>
      <w:lvlJc w:val="left"/>
      <w:pPr>
        <w:tabs>
          <w:tab w:val="num" w:pos="360"/>
        </w:tabs>
        <w:ind w:left="36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8B10441"/>
    <w:multiLevelType w:val="hybridMultilevel"/>
    <w:tmpl w:val="C1D4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4866A4A"/>
    <w:multiLevelType w:val="hybridMultilevel"/>
    <w:tmpl w:val="DA1C0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0153F0"/>
    <w:multiLevelType w:val="hybridMultilevel"/>
    <w:tmpl w:val="DE2E2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7C5B38"/>
    <w:multiLevelType w:val="hybridMultilevel"/>
    <w:tmpl w:val="901E6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EB3063"/>
    <w:multiLevelType w:val="hybridMultilevel"/>
    <w:tmpl w:val="1890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373875"/>
    <w:multiLevelType w:val="hybridMultilevel"/>
    <w:tmpl w:val="5ED2F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A804A8"/>
    <w:multiLevelType w:val="hybridMultilevel"/>
    <w:tmpl w:val="10A6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642D88"/>
    <w:multiLevelType w:val="hybridMultilevel"/>
    <w:tmpl w:val="F376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653BC0"/>
    <w:multiLevelType w:val="hybridMultilevel"/>
    <w:tmpl w:val="EDA0B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1"/>
  </w:num>
  <w:num w:numId="5">
    <w:abstractNumId w:val="14"/>
  </w:num>
  <w:num w:numId="6">
    <w:abstractNumId w:val="5"/>
  </w:num>
  <w:num w:numId="7">
    <w:abstractNumId w:val="9"/>
  </w:num>
  <w:num w:numId="8">
    <w:abstractNumId w:val="21"/>
  </w:num>
  <w:num w:numId="9">
    <w:abstractNumId w:val="13"/>
  </w:num>
  <w:num w:numId="10">
    <w:abstractNumId w:val="10"/>
  </w:num>
  <w:num w:numId="11">
    <w:abstractNumId w:val="0"/>
  </w:num>
  <w:num w:numId="12">
    <w:abstractNumId w:val="17"/>
  </w:num>
  <w:num w:numId="13">
    <w:abstractNumId w:val="4"/>
  </w:num>
  <w:num w:numId="14">
    <w:abstractNumId w:val="3"/>
  </w:num>
  <w:num w:numId="15">
    <w:abstractNumId w:val="11"/>
  </w:num>
  <w:num w:numId="16">
    <w:abstractNumId w:val="12"/>
  </w:num>
  <w:num w:numId="17">
    <w:abstractNumId w:val="7"/>
  </w:num>
  <w:num w:numId="18">
    <w:abstractNumId w:val="6"/>
  </w:num>
  <w:num w:numId="19">
    <w:abstractNumId w:val="22"/>
  </w:num>
  <w:num w:numId="20">
    <w:abstractNumId w:val="16"/>
  </w:num>
  <w:num w:numId="21">
    <w:abstractNumId w:val="8"/>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BD"/>
    <w:rsid w:val="00003A03"/>
    <w:rsid w:val="00011E66"/>
    <w:rsid w:val="0001578B"/>
    <w:rsid w:val="000168CB"/>
    <w:rsid w:val="00025A0E"/>
    <w:rsid w:val="00026087"/>
    <w:rsid w:val="0002667E"/>
    <w:rsid w:val="0004088F"/>
    <w:rsid w:val="00072BCA"/>
    <w:rsid w:val="00087994"/>
    <w:rsid w:val="0009158D"/>
    <w:rsid w:val="000949BC"/>
    <w:rsid w:val="0009763C"/>
    <w:rsid w:val="000A007A"/>
    <w:rsid w:val="000B2DE5"/>
    <w:rsid w:val="000B5579"/>
    <w:rsid w:val="000C550E"/>
    <w:rsid w:val="000C5F38"/>
    <w:rsid w:val="000E3026"/>
    <w:rsid w:val="000E369C"/>
    <w:rsid w:val="000F4530"/>
    <w:rsid w:val="000F5C4B"/>
    <w:rsid w:val="001133B2"/>
    <w:rsid w:val="001141C7"/>
    <w:rsid w:val="00127649"/>
    <w:rsid w:val="00127BFB"/>
    <w:rsid w:val="00133431"/>
    <w:rsid w:val="00134D1D"/>
    <w:rsid w:val="001504C8"/>
    <w:rsid w:val="001516C2"/>
    <w:rsid w:val="00153261"/>
    <w:rsid w:val="00160DDD"/>
    <w:rsid w:val="001707BD"/>
    <w:rsid w:val="001739F9"/>
    <w:rsid w:val="001740BC"/>
    <w:rsid w:val="00182FA1"/>
    <w:rsid w:val="00197764"/>
    <w:rsid w:val="001A4EFF"/>
    <w:rsid w:val="001B1867"/>
    <w:rsid w:val="001B1EE6"/>
    <w:rsid w:val="001C1F9C"/>
    <w:rsid w:val="001C3E14"/>
    <w:rsid w:val="001D46C4"/>
    <w:rsid w:val="001D4AD9"/>
    <w:rsid w:val="001D7368"/>
    <w:rsid w:val="001E750E"/>
    <w:rsid w:val="001F543B"/>
    <w:rsid w:val="001F7FBA"/>
    <w:rsid w:val="0020412E"/>
    <w:rsid w:val="00207E12"/>
    <w:rsid w:val="00210393"/>
    <w:rsid w:val="002132E1"/>
    <w:rsid w:val="002323C1"/>
    <w:rsid w:val="00234207"/>
    <w:rsid w:val="00240A98"/>
    <w:rsid w:val="002436BD"/>
    <w:rsid w:val="00244439"/>
    <w:rsid w:val="00246723"/>
    <w:rsid w:val="00247977"/>
    <w:rsid w:val="002545D3"/>
    <w:rsid w:val="002622E9"/>
    <w:rsid w:val="00273E94"/>
    <w:rsid w:val="00280704"/>
    <w:rsid w:val="00291A7F"/>
    <w:rsid w:val="00294D26"/>
    <w:rsid w:val="00295B83"/>
    <w:rsid w:val="00296330"/>
    <w:rsid w:val="00296D2B"/>
    <w:rsid w:val="002A73BD"/>
    <w:rsid w:val="002B7080"/>
    <w:rsid w:val="002C1A53"/>
    <w:rsid w:val="002C2242"/>
    <w:rsid w:val="002D193E"/>
    <w:rsid w:val="002E6E5D"/>
    <w:rsid w:val="002F1AC7"/>
    <w:rsid w:val="002F5BD7"/>
    <w:rsid w:val="0030452F"/>
    <w:rsid w:val="00304C08"/>
    <w:rsid w:val="00317C31"/>
    <w:rsid w:val="00322EBC"/>
    <w:rsid w:val="00326A8F"/>
    <w:rsid w:val="00335F1F"/>
    <w:rsid w:val="003465FD"/>
    <w:rsid w:val="00351C82"/>
    <w:rsid w:val="00352982"/>
    <w:rsid w:val="0035528F"/>
    <w:rsid w:val="003615B4"/>
    <w:rsid w:val="00370575"/>
    <w:rsid w:val="003771F3"/>
    <w:rsid w:val="003838D6"/>
    <w:rsid w:val="003B7DB5"/>
    <w:rsid w:val="003C6A08"/>
    <w:rsid w:val="003D0914"/>
    <w:rsid w:val="003D5032"/>
    <w:rsid w:val="003F246A"/>
    <w:rsid w:val="00402018"/>
    <w:rsid w:val="00403AAC"/>
    <w:rsid w:val="00405C49"/>
    <w:rsid w:val="00421AE5"/>
    <w:rsid w:val="00435ED5"/>
    <w:rsid w:val="00443A02"/>
    <w:rsid w:val="00445AC2"/>
    <w:rsid w:val="00450850"/>
    <w:rsid w:val="00457B08"/>
    <w:rsid w:val="00470D51"/>
    <w:rsid w:val="00483B10"/>
    <w:rsid w:val="00491DB2"/>
    <w:rsid w:val="004A3F02"/>
    <w:rsid w:val="004B5C60"/>
    <w:rsid w:val="004C29B9"/>
    <w:rsid w:val="004C3D07"/>
    <w:rsid w:val="004E6D61"/>
    <w:rsid w:val="004F09DF"/>
    <w:rsid w:val="004F0E1F"/>
    <w:rsid w:val="0050616C"/>
    <w:rsid w:val="00511766"/>
    <w:rsid w:val="005141AA"/>
    <w:rsid w:val="0051565F"/>
    <w:rsid w:val="00535449"/>
    <w:rsid w:val="0054194E"/>
    <w:rsid w:val="00544BCB"/>
    <w:rsid w:val="00547778"/>
    <w:rsid w:val="0056141D"/>
    <w:rsid w:val="00563E22"/>
    <w:rsid w:val="00567401"/>
    <w:rsid w:val="00570116"/>
    <w:rsid w:val="0057359D"/>
    <w:rsid w:val="00583AEE"/>
    <w:rsid w:val="00593C18"/>
    <w:rsid w:val="0059635F"/>
    <w:rsid w:val="00596539"/>
    <w:rsid w:val="005A05A3"/>
    <w:rsid w:val="005A3D81"/>
    <w:rsid w:val="005A756C"/>
    <w:rsid w:val="005B0A95"/>
    <w:rsid w:val="005D1E2B"/>
    <w:rsid w:val="005D2AB6"/>
    <w:rsid w:val="005E5910"/>
    <w:rsid w:val="005E5A26"/>
    <w:rsid w:val="005E5F0C"/>
    <w:rsid w:val="005F3DDB"/>
    <w:rsid w:val="006013A2"/>
    <w:rsid w:val="00601C9E"/>
    <w:rsid w:val="006021F2"/>
    <w:rsid w:val="00607C17"/>
    <w:rsid w:val="00610A76"/>
    <w:rsid w:val="006169B7"/>
    <w:rsid w:val="00622480"/>
    <w:rsid w:val="00647D58"/>
    <w:rsid w:val="00655BD4"/>
    <w:rsid w:val="006564F7"/>
    <w:rsid w:val="00657678"/>
    <w:rsid w:val="00662A69"/>
    <w:rsid w:val="00665533"/>
    <w:rsid w:val="00684F73"/>
    <w:rsid w:val="00685B5F"/>
    <w:rsid w:val="0068695E"/>
    <w:rsid w:val="006953D0"/>
    <w:rsid w:val="006A29AF"/>
    <w:rsid w:val="006B3A76"/>
    <w:rsid w:val="006C044E"/>
    <w:rsid w:val="006C13F7"/>
    <w:rsid w:val="006D44A1"/>
    <w:rsid w:val="006D6704"/>
    <w:rsid w:val="006F6DEB"/>
    <w:rsid w:val="006F6FEF"/>
    <w:rsid w:val="0070223F"/>
    <w:rsid w:val="007031F4"/>
    <w:rsid w:val="00703E44"/>
    <w:rsid w:val="0070528D"/>
    <w:rsid w:val="00710352"/>
    <w:rsid w:val="007137FC"/>
    <w:rsid w:val="00714B71"/>
    <w:rsid w:val="00716212"/>
    <w:rsid w:val="00720FA6"/>
    <w:rsid w:val="00732881"/>
    <w:rsid w:val="00733297"/>
    <w:rsid w:val="007368AD"/>
    <w:rsid w:val="007431C2"/>
    <w:rsid w:val="00747AFF"/>
    <w:rsid w:val="00751EA5"/>
    <w:rsid w:val="00755653"/>
    <w:rsid w:val="00756856"/>
    <w:rsid w:val="00756930"/>
    <w:rsid w:val="00762A78"/>
    <w:rsid w:val="00785CDC"/>
    <w:rsid w:val="007968BD"/>
    <w:rsid w:val="007A30FE"/>
    <w:rsid w:val="007A4E35"/>
    <w:rsid w:val="007B2731"/>
    <w:rsid w:val="007B29CA"/>
    <w:rsid w:val="007B5626"/>
    <w:rsid w:val="007D12A0"/>
    <w:rsid w:val="007D39FA"/>
    <w:rsid w:val="007E29DC"/>
    <w:rsid w:val="007E4B2A"/>
    <w:rsid w:val="007F08B8"/>
    <w:rsid w:val="007F4406"/>
    <w:rsid w:val="00816C5B"/>
    <w:rsid w:val="00822AE4"/>
    <w:rsid w:val="00830245"/>
    <w:rsid w:val="0083328A"/>
    <w:rsid w:val="00835444"/>
    <w:rsid w:val="008356C1"/>
    <w:rsid w:val="008431B3"/>
    <w:rsid w:val="008503C1"/>
    <w:rsid w:val="008528E0"/>
    <w:rsid w:val="00855A38"/>
    <w:rsid w:val="0086608F"/>
    <w:rsid w:val="00866FF1"/>
    <w:rsid w:val="00883E2A"/>
    <w:rsid w:val="00886AC9"/>
    <w:rsid w:val="008A226F"/>
    <w:rsid w:val="008A5602"/>
    <w:rsid w:val="008B4518"/>
    <w:rsid w:val="008B7F35"/>
    <w:rsid w:val="008D2133"/>
    <w:rsid w:val="008D509C"/>
    <w:rsid w:val="008F1303"/>
    <w:rsid w:val="008F41FF"/>
    <w:rsid w:val="008F49B7"/>
    <w:rsid w:val="00902CCE"/>
    <w:rsid w:val="009041F8"/>
    <w:rsid w:val="00905709"/>
    <w:rsid w:val="00924352"/>
    <w:rsid w:val="00925D27"/>
    <w:rsid w:val="00932EFA"/>
    <w:rsid w:val="00940F92"/>
    <w:rsid w:val="00944AAF"/>
    <w:rsid w:val="00945956"/>
    <w:rsid w:val="009509A3"/>
    <w:rsid w:val="009531DE"/>
    <w:rsid w:val="0096030E"/>
    <w:rsid w:val="00961084"/>
    <w:rsid w:val="009725C5"/>
    <w:rsid w:val="00976EFB"/>
    <w:rsid w:val="00984DAA"/>
    <w:rsid w:val="00991937"/>
    <w:rsid w:val="00995A0C"/>
    <w:rsid w:val="009B6DFC"/>
    <w:rsid w:val="009C1F5F"/>
    <w:rsid w:val="009C332B"/>
    <w:rsid w:val="009C4A6E"/>
    <w:rsid w:val="009C5368"/>
    <w:rsid w:val="009C7E97"/>
    <w:rsid w:val="009D151A"/>
    <w:rsid w:val="009E144B"/>
    <w:rsid w:val="009E2BD3"/>
    <w:rsid w:val="009E4B65"/>
    <w:rsid w:val="009F4323"/>
    <w:rsid w:val="009F4E29"/>
    <w:rsid w:val="00A01981"/>
    <w:rsid w:val="00A10778"/>
    <w:rsid w:val="00A113D2"/>
    <w:rsid w:val="00A13AA1"/>
    <w:rsid w:val="00A178E5"/>
    <w:rsid w:val="00A218F4"/>
    <w:rsid w:val="00A30170"/>
    <w:rsid w:val="00A4133B"/>
    <w:rsid w:val="00A47E64"/>
    <w:rsid w:val="00A63A2B"/>
    <w:rsid w:val="00A64F43"/>
    <w:rsid w:val="00A706D7"/>
    <w:rsid w:val="00A91D2B"/>
    <w:rsid w:val="00A92332"/>
    <w:rsid w:val="00A93DF9"/>
    <w:rsid w:val="00AA6C38"/>
    <w:rsid w:val="00AB3AEC"/>
    <w:rsid w:val="00AC1F0F"/>
    <w:rsid w:val="00AC2517"/>
    <w:rsid w:val="00AC7A56"/>
    <w:rsid w:val="00AD27F2"/>
    <w:rsid w:val="00AD3856"/>
    <w:rsid w:val="00AD3C8D"/>
    <w:rsid w:val="00AE098B"/>
    <w:rsid w:val="00AE2099"/>
    <w:rsid w:val="00AE799B"/>
    <w:rsid w:val="00AF15CC"/>
    <w:rsid w:val="00AF3F9A"/>
    <w:rsid w:val="00AF4DCC"/>
    <w:rsid w:val="00B01868"/>
    <w:rsid w:val="00B04B20"/>
    <w:rsid w:val="00B059F3"/>
    <w:rsid w:val="00B167EB"/>
    <w:rsid w:val="00B17453"/>
    <w:rsid w:val="00B246D7"/>
    <w:rsid w:val="00B33182"/>
    <w:rsid w:val="00B34EC3"/>
    <w:rsid w:val="00B55DFC"/>
    <w:rsid w:val="00B57D0C"/>
    <w:rsid w:val="00B6400E"/>
    <w:rsid w:val="00B64B2E"/>
    <w:rsid w:val="00B73BA0"/>
    <w:rsid w:val="00B74EBE"/>
    <w:rsid w:val="00B935E1"/>
    <w:rsid w:val="00BA0722"/>
    <w:rsid w:val="00BA1922"/>
    <w:rsid w:val="00BA3C4F"/>
    <w:rsid w:val="00BB05A5"/>
    <w:rsid w:val="00BB1678"/>
    <w:rsid w:val="00BB17AE"/>
    <w:rsid w:val="00BB1F58"/>
    <w:rsid w:val="00BB758D"/>
    <w:rsid w:val="00BE4BDB"/>
    <w:rsid w:val="00C23041"/>
    <w:rsid w:val="00C302FA"/>
    <w:rsid w:val="00C3432A"/>
    <w:rsid w:val="00C37326"/>
    <w:rsid w:val="00C41819"/>
    <w:rsid w:val="00C42493"/>
    <w:rsid w:val="00C43141"/>
    <w:rsid w:val="00C460A4"/>
    <w:rsid w:val="00C477A9"/>
    <w:rsid w:val="00C64B64"/>
    <w:rsid w:val="00C67286"/>
    <w:rsid w:val="00C67B4B"/>
    <w:rsid w:val="00C71926"/>
    <w:rsid w:val="00C83827"/>
    <w:rsid w:val="00C83F4B"/>
    <w:rsid w:val="00C86E3E"/>
    <w:rsid w:val="00C948AA"/>
    <w:rsid w:val="00C94C2C"/>
    <w:rsid w:val="00CA3FED"/>
    <w:rsid w:val="00CA6CB3"/>
    <w:rsid w:val="00CB08BD"/>
    <w:rsid w:val="00CC4809"/>
    <w:rsid w:val="00CC6FD6"/>
    <w:rsid w:val="00CD1947"/>
    <w:rsid w:val="00CD2F94"/>
    <w:rsid w:val="00CD74CC"/>
    <w:rsid w:val="00CE3D87"/>
    <w:rsid w:val="00CE79F0"/>
    <w:rsid w:val="00CF12DF"/>
    <w:rsid w:val="00CF1ACF"/>
    <w:rsid w:val="00CF5B83"/>
    <w:rsid w:val="00D12D91"/>
    <w:rsid w:val="00D13A66"/>
    <w:rsid w:val="00D17CC7"/>
    <w:rsid w:val="00D23955"/>
    <w:rsid w:val="00D34991"/>
    <w:rsid w:val="00D443F3"/>
    <w:rsid w:val="00D47A27"/>
    <w:rsid w:val="00D54313"/>
    <w:rsid w:val="00D61CEB"/>
    <w:rsid w:val="00D626A9"/>
    <w:rsid w:val="00D64906"/>
    <w:rsid w:val="00D64A92"/>
    <w:rsid w:val="00D64B26"/>
    <w:rsid w:val="00D80C61"/>
    <w:rsid w:val="00D82121"/>
    <w:rsid w:val="00D83AE4"/>
    <w:rsid w:val="00D95D71"/>
    <w:rsid w:val="00DA1244"/>
    <w:rsid w:val="00DA205D"/>
    <w:rsid w:val="00DB0849"/>
    <w:rsid w:val="00DB224F"/>
    <w:rsid w:val="00DB47DB"/>
    <w:rsid w:val="00DC305B"/>
    <w:rsid w:val="00DC3B8A"/>
    <w:rsid w:val="00DC72E3"/>
    <w:rsid w:val="00DD204D"/>
    <w:rsid w:val="00DE2227"/>
    <w:rsid w:val="00DF524E"/>
    <w:rsid w:val="00DF637F"/>
    <w:rsid w:val="00DF7B4C"/>
    <w:rsid w:val="00E15497"/>
    <w:rsid w:val="00E16789"/>
    <w:rsid w:val="00E201A8"/>
    <w:rsid w:val="00E23E57"/>
    <w:rsid w:val="00E256DF"/>
    <w:rsid w:val="00E3791F"/>
    <w:rsid w:val="00E402B8"/>
    <w:rsid w:val="00E41B9A"/>
    <w:rsid w:val="00E55D70"/>
    <w:rsid w:val="00E617B2"/>
    <w:rsid w:val="00E62122"/>
    <w:rsid w:val="00E644F0"/>
    <w:rsid w:val="00E6618D"/>
    <w:rsid w:val="00E7036E"/>
    <w:rsid w:val="00E72152"/>
    <w:rsid w:val="00E72DB8"/>
    <w:rsid w:val="00E7573F"/>
    <w:rsid w:val="00E833D3"/>
    <w:rsid w:val="00E87726"/>
    <w:rsid w:val="00E90C89"/>
    <w:rsid w:val="00E915D9"/>
    <w:rsid w:val="00E92EDD"/>
    <w:rsid w:val="00E96D2F"/>
    <w:rsid w:val="00E97988"/>
    <w:rsid w:val="00EA64A3"/>
    <w:rsid w:val="00EB03E9"/>
    <w:rsid w:val="00EB0842"/>
    <w:rsid w:val="00EB6A21"/>
    <w:rsid w:val="00EC0E16"/>
    <w:rsid w:val="00EC15DD"/>
    <w:rsid w:val="00EC1DFB"/>
    <w:rsid w:val="00EC257D"/>
    <w:rsid w:val="00EC27DD"/>
    <w:rsid w:val="00EC4ABA"/>
    <w:rsid w:val="00EC5653"/>
    <w:rsid w:val="00ED65D6"/>
    <w:rsid w:val="00F02B84"/>
    <w:rsid w:val="00F03176"/>
    <w:rsid w:val="00F07222"/>
    <w:rsid w:val="00F15E43"/>
    <w:rsid w:val="00F378EB"/>
    <w:rsid w:val="00F424C4"/>
    <w:rsid w:val="00F436BC"/>
    <w:rsid w:val="00F47299"/>
    <w:rsid w:val="00F53159"/>
    <w:rsid w:val="00F53CDE"/>
    <w:rsid w:val="00F57FAF"/>
    <w:rsid w:val="00F6631C"/>
    <w:rsid w:val="00F7706D"/>
    <w:rsid w:val="00F774EB"/>
    <w:rsid w:val="00F77830"/>
    <w:rsid w:val="00F94480"/>
    <w:rsid w:val="00F97528"/>
    <w:rsid w:val="00FA5345"/>
    <w:rsid w:val="00FB5EE9"/>
    <w:rsid w:val="00FC543B"/>
    <w:rsid w:val="00FD400E"/>
    <w:rsid w:val="00FE7593"/>
    <w:rsid w:val="00FF49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5E52BBB"/>
  <w15:docId w15:val="{B4647C28-0710-41AE-9CB3-82FA850B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basedOn w:val="DefaultParagraphFont"/>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basedOn w:val="DefaultParagraphFont"/>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rFonts w:ascii="Trebuchet MS" w:eastAsia="Times New Roman" w:hAnsi="Trebuchet MS" w:cs="Times New Roman"/>
      <w:b/>
      <w:bCs/>
      <w:sz w:val="20"/>
      <w:szCs w:val="20"/>
      <w:lang w:eastAsia="en-AU"/>
    </w:rPr>
  </w:style>
  <w:style w:type="character" w:styleId="Emphasis">
    <w:name w:val="Emphasis"/>
    <w:uiPriority w:val="20"/>
    <w:qFormat/>
    <w:rsid w:val="00280704"/>
    <w:rPr>
      <w:i/>
      <w:iCs/>
    </w:rPr>
  </w:style>
  <w:style w:type="paragraph" w:styleId="FootnoteText">
    <w:name w:val="footnote text"/>
    <w:aliases w:val=" Char"/>
    <w:basedOn w:val="Normal"/>
    <w:link w:val="FootnoteTextChar"/>
    <w:uiPriority w:val="99"/>
    <w:rsid w:val="00E617B2"/>
    <w:pPr>
      <w:jc w:val="both"/>
    </w:pPr>
    <w:rPr>
      <w:rFonts w:ascii="Times New Roman" w:hAnsi="Times New Roman"/>
      <w:sz w:val="20"/>
    </w:rPr>
  </w:style>
  <w:style w:type="character" w:customStyle="1" w:styleId="FootnoteTextChar">
    <w:name w:val="Footnote Text Char"/>
    <w:aliases w:val=" Char Char"/>
    <w:basedOn w:val="DefaultParagraphFont"/>
    <w:link w:val="FootnoteText"/>
    <w:uiPriority w:val="99"/>
    <w:rsid w:val="00E617B2"/>
    <w:rPr>
      <w:rFonts w:ascii="Times New Roman" w:eastAsia="Times New Roman" w:hAnsi="Times New Roman"/>
    </w:rPr>
  </w:style>
  <w:style w:type="character" w:styleId="FootnoteReference">
    <w:name w:val="footnote reference"/>
    <w:uiPriority w:val="99"/>
    <w:rsid w:val="00E617B2"/>
    <w:rPr>
      <w:rFonts w:cs="Times New Roman"/>
      <w:vertAlign w:val="superscript"/>
    </w:rPr>
  </w:style>
  <w:style w:type="paragraph" w:styleId="Header">
    <w:name w:val="header"/>
    <w:basedOn w:val="Normal"/>
    <w:link w:val="HeaderChar"/>
    <w:uiPriority w:val="99"/>
    <w:semiHidden/>
    <w:unhideWhenUsed/>
    <w:rsid w:val="00B6400E"/>
    <w:pPr>
      <w:tabs>
        <w:tab w:val="center" w:pos="4513"/>
        <w:tab w:val="right" w:pos="9026"/>
      </w:tabs>
    </w:pPr>
  </w:style>
  <w:style w:type="character" w:customStyle="1" w:styleId="HeaderChar">
    <w:name w:val="Header Char"/>
    <w:basedOn w:val="DefaultParagraphFont"/>
    <w:link w:val="Header"/>
    <w:uiPriority w:val="99"/>
    <w:semiHidden/>
    <w:rsid w:val="00B6400E"/>
    <w:rPr>
      <w:rFonts w:ascii="Trebuchet MS" w:eastAsia="Times New Roman" w:hAnsi="Trebuchet MS"/>
      <w:sz w:val="22"/>
    </w:rPr>
  </w:style>
  <w:style w:type="paragraph" w:styleId="Footer">
    <w:name w:val="footer"/>
    <w:basedOn w:val="Normal"/>
    <w:link w:val="FooterChar"/>
    <w:uiPriority w:val="99"/>
    <w:semiHidden/>
    <w:unhideWhenUsed/>
    <w:rsid w:val="00B6400E"/>
    <w:pPr>
      <w:tabs>
        <w:tab w:val="center" w:pos="4513"/>
        <w:tab w:val="right" w:pos="9026"/>
      </w:tabs>
    </w:pPr>
  </w:style>
  <w:style w:type="character" w:customStyle="1" w:styleId="FooterChar">
    <w:name w:val="Footer Char"/>
    <w:basedOn w:val="DefaultParagraphFont"/>
    <w:link w:val="Footer"/>
    <w:uiPriority w:val="99"/>
    <w:semiHidden/>
    <w:rsid w:val="00B6400E"/>
    <w:rPr>
      <w:rFonts w:ascii="Trebuchet MS" w:eastAsia="Times New Roman" w:hAnsi="Trebuchet MS"/>
      <w:sz w:val="22"/>
    </w:rPr>
  </w:style>
  <w:style w:type="paragraph" w:styleId="Revision">
    <w:name w:val="Revision"/>
    <w:hidden/>
    <w:uiPriority w:val="99"/>
    <w:semiHidden/>
    <w:rsid w:val="00945956"/>
    <w:rPr>
      <w:rFonts w:ascii="Trebuchet MS" w:eastAsia="Times New Roman" w:hAnsi="Trebuchet MS"/>
      <w:sz w:val="22"/>
    </w:rPr>
  </w:style>
  <w:style w:type="paragraph" w:customStyle="1" w:styleId="Default">
    <w:name w:val="Default"/>
    <w:rsid w:val="007431C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963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 w:id="1049453979">
      <w:bodyDiv w:val="1"/>
      <w:marLeft w:val="0"/>
      <w:marRight w:val="0"/>
      <w:marTop w:val="0"/>
      <w:marBottom w:val="0"/>
      <w:divBdr>
        <w:top w:val="none" w:sz="0" w:space="0" w:color="auto"/>
        <w:left w:val="none" w:sz="0" w:space="0" w:color="auto"/>
        <w:bottom w:val="none" w:sz="0" w:space="0" w:color="auto"/>
        <w:right w:val="none" w:sz="0" w:space="0" w:color="auto"/>
      </w:divBdr>
    </w:div>
    <w:div w:id="1428884979">
      <w:bodyDiv w:val="1"/>
      <w:marLeft w:val="0"/>
      <w:marRight w:val="0"/>
      <w:marTop w:val="0"/>
      <w:marBottom w:val="0"/>
      <w:divBdr>
        <w:top w:val="none" w:sz="0" w:space="0" w:color="auto"/>
        <w:left w:val="none" w:sz="0" w:space="0" w:color="auto"/>
        <w:bottom w:val="none" w:sz="0" w:space="0" w:color="auto"/>
        <w:right w:val="none" w:sz="0" w:space="0" w:color="auto"/>
      </w:divBdr>
    </w:div>
    <w:div w:id="17019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bnz.govt.nz/regulation-and-supervision/banks/prudential-requirements/liquidit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is.org/publ/bcbs189.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s.org/publ/bcbs128.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adi/PrudentialFramework/Pages/Proposed-revisions-APS-330-Public-Disclosure-response.aspx" TargetMode="External"/><Relationship Id="rId2" Type="http://schemas.openxmlformats.org/officeDocument/2006/relationships/hyperlink" Target="http://www.apra.gov.au/adi/PrudentialFramework/Pages/Proposed-revisions-to-Prudential-Standard-APS-330-Public-Disclosure.aspx" TargetMode="External"/><Relationship Id="rId1" Type="http://schemas.openxmlformats.org/officeDocument/2006/relationships/hyperlink" Target="http://www.bis.org/bcbs/publ/d4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2018-04-17T14:00:00+00:00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3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5JENXJJSCC7A-445999044-8070</_dlc_DocId>
    <_dlc_DocIdUrl xmlns="814d62cb-2db6-4c25-ab62-b9075facbc11">
      <Url>https://im/teams/LEGAL/_layouts/15/DocIdRedir.aspx?ID=5JENXJJSCC7A-445999044-8070</Url>
      <Description>5JENXJJSCC7A-445999044-8070</Description>
    </_dlc_DocIdUrl>
    <APRAMeetingDate xmlns="814d62cb-2db6-4c25-ab62-b9075facbc11" xsi:nil="true"/>
    <APRAMeetingNumber xmlns="814d62cb-2db6-4c25-ab62-b9075facbc11" xsi:nil="true"/>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4CB6-83A4-47E1-9A46-4BA44578860B}">
  <ds:schemaRefs>
    <ds:schemaRef ds:uri="http://schemas.microsoft.com/sharepoint/v3/contenttype/forms"/>
  </ds:schemaRefs>
</ds:datastoreItem>
</file>

<file path=customXml/itemProps2.xml><?xml version="1.0" encoding="utf-8"?>
<ds:datastoreItem xmlns:ds="http://schemas.openxmlformats.org/officeDocument/2006/customXml" ds:itemID="{E95E9BD6-0405-40DB-B8ED-015E713E8369}">
  <ds:schemaRefs>
    <ds:schemaRef ds:uri="http://schemas.microsoft.com/office/2006/metadata/properties"/>
    <ds:schemaRef ds:uri="http://purl.org/dc/elements/1.1/"/>
    <ds:schemaRef ds:uri="http://purl.org/dc/dcmitype/"/>
    <ds:schemaRef ds:uri="http://schemas.openxmlformats.org/package/2006/metadata/core-properties"/>
    <ds:schemaRef ds:uri="814d62cb-2db6-4c25-ab62-b9075facbc11"/>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7AD7926-1A17-48B1-A0FC-B7204D6E93A2}">
  <ds:schemaRefs>
    <ds:schemaRef ds:uri="Microsoft.SharePoint.Taxonomy.ContentTypeSync"/>
  </ds:schemaRefs>
</ds:datastoreItem>
</file>

<file path=customXml/itemProps4.xml><?xml version="1.0" encoding="utf-8"?>
<ds:datastoreItem xmlns:ds="http://schemas.openxmlformats.org/officeDocument/2006/customXml" ds:itemID="{E08951F5-B928-489C-8E19-6A8763C6A6A2}">
  <ds:schemaRefs>
    <ds:schemaRef ds:uri="http://schemas.microsoft.com/sharepoint/events"/>
  </ds:schemaRefs>
</ds:datastoreItem>
</file>

<file path=customXml/itemProps5.xml><?xml version="1.0" encoding="utf-8"?>
<ds:datastoreItem xmlns:ds="http://schemas.openxmlformats.org/officeDocument/2006/customXml" ds:itemID="{529CCA42-CB60-4A1B-ADA1-B6E033FCD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EAD093-8930-48D2-990D-DD81F6FC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7111</Characters>
  <Application>Microsoft Office Word</Application>
  <DocSecurity>0</DocSecurity>
  <Lines>134</Lines>
  <Paragraphs>52</Paragraphs>
  <ScaleCrop>false</ScaleCrop>
  <HeadingPairs>
    <vt:vector size="2" baseType="variant">
      <vt:variant>
        <vt:lpstr>Title</vt:lpstr>
      </vt:variant>
      <vt:variant>
        <vt:i4>1</vt:i4>
      </vt:variant>
    </vt:vector>
  </HeadingPairs>
  <TitlesOfParts>
    <vt:vector size="1" baseType="lpstr">
      <vt:lpstr>Explanatory statement - APS 330</vt:lpstr>
    </vt:vector>
  </TitlesOfParts>
  <Company>APRA</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3 of 2018</dc:title>
  <dc:creator>dcsull</dc:creator>
  <cp:keywords>[SEC=UNCLASSIFIED]</cp:keywords>
  <cp:lastModifiedBy>Toni Michalis</cp:lastModifiedBy>
  <cp:revision>2</cp:revision>
  <cp:lastPrinted>2018-04-16T00:01:00Z</cp:lastPrinted>
  <dcterms:created xsi:type="dcterms:W3CDTF">2018-04-20T03:51:00Z</dcterms:created>
  <dcterms:modified xsi:type="dcterms:W3CDTF">2018-04-20T03:51:00Z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F9116892088A49C5D54D8C7F8432624D65DEC680</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FD44877746143C8A211C9E35ECE9914F6897D7CC</vt:lpwstr>
  </property>
  <property fmtid="{D5CDD505-2E9C-101B-9397-08002B2CF9AE}" pid="7" name="PM_InsertionValue">
    <vt:lpwstr>UNCLASSIFIED</vt:lpwstr>
  </property>
  <property fmtid="{D5CDD505-2E9C-101B-9397-08002B2CF9AE}" pid="8" name="PM_Hash_Salt">
    <vt:lpwstr>75AA7F8142F534901948F69957D80EFD</vt:lpwstr>
  </property>
  <property fmtid="{D5CDD505-2E9C-101B-9397-08002B2CF9AE}" pid="9" name="PM_Hash_Version">
    <vt:lpwstr>2016.1</vt:lpwstr>
  </property>
  <property fmtid="{D5CDD505-2E9C-101B-9397-08002B2CF9AE}" pid="10" name="PM_Hash_Salt_Prev">
    <vt:lpwstr>953197BB55A05FCD652715748569203A</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07B9EC4B2B644AFCA7DB83098DC0095D</vt:lpwstr>
  </property>
  <property fmtid="{D5CDD505-2E9C-101B-9397-08002B2CF9AE}" pid="21" name="PM_OriginationTimeStamp">
    <vt:lpwstr>2018-03-12T03:32:07Z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_dlc_DocIdItemGuid">
    <vt:lpwstr>cd0a0ea7-a9a6-4532-b858-65a7c576443a</vt:lpwstr>
  </property>
  <property fmtid="{D5CDD505-2E9C-101B-9397-08002B2CF9AE}" pid="25" name="IsLocked">
    <vt:lpwstr>False</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7" name="IT system type">
    <vt:lpwstr/>
  </property>
  <property fmtid="{D5CDD505-2E9C-101B-9397-08002B2CF9AE}" pid="28" name="APRACategory">
    <vt:lpwstr/>
  </property>
  <property fmtid="{D5CDD505-2E9C-101B-9397-08002B2CF9AE}" pid="29" name="APRADocumentType">
    <vt:lpwstr>234;#Explanatory statement|b22f2e2f-3f73-411b-9a7c-34264d26fa25</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Industry">
    <vt:lpwstr/>
  </property>
  <property fmtid="{D5CDD505-2E9C-101B-9397-08002B2CF9AE}" pid="35" name="APRALegislation">
    <vt:lpwstr/>
  </property>
  <property fmtid="{D5CDD505-2E9C-101B-9397-08002B2CF9AE}" pid="36" name="APRAYear">
    <vt:lpwstr>171;#2018|337d548e-be9a-4363-bbb3-ec2b7c3daa90</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{cd0a0ea7-a9a6-4532-b858-65a7c576443a}</vt:lpwstr>
  </property>
  <property fmtid="{D5CDD505-2E9C-101B-9397-08002B2CF9AE}" pid="45" name="RecordPoint_RecordNumberSubmitted">
    <vt:lpwstr/>
  </property>
  <property fmtid="{D5CDD505-2E9C-101B-9397-08002B2CF9AE}" pid="46" name="RecordPoint_SubmissionCompleted">
    <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