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F366" w14:textId="77777777" w:rsidR="007B7893" w:rsidRPr="00F01C05" w:rsidRDefault="00344811" w:rsidP="003637E8">
      <w:pPr>
        <w:pStyle w:val="LDClauseHeading"/>
      </w:pPr>
      <w:r w:rsidRPr="00F01C05">
        <w:t>Explanatory Statement</w:t>
      </w:r>
    </w:p>
    <w:p w14:paraId="6EFF7AC0" w14:textId="77777777" w:rsidR="007B7893" w:rsidRPr="00F01C05" w:rsidRDefault="00102810" w:rsidP="003637E8">
      <w:pPr>
        <w:pStyle w:val="LDClauseHeading"/>
      </w:pPr>
      <w:r>
        <w:t>Civil Aviation Safety Regulations 1998</w:t>
      </w:r>
    </w:p>
    <w:p w14:paraId="5A150AC3" w14:textId="4A71B48F" w:rsidR="007B7893" w:rsidRPr="0010563A" w:rsidRDefault="00101DB7" w:rsidP="009F7FEC">
      <w:pPr>
        <w:pStyle w:val="LDClauseHeading"/>
        <w:ind w:left="0" w:firstLine="0"/>
        <w:rPr>
          <w:bCs/>
          <w:i/>
        </w:rPr>
      </w:pPr>
      <w:r w:rsidRPr="0010563A">
        <w:rPr>
          <w:i/>
        </w:rPr>
        <w:t>CASA EX</w:t>
      </w:r>
      <w:r w:rsidR="003D058F">
        <w:rPr>
          <w:i/>
        </w:rPr>
        <w:t>46</w:t>
      </w:r>
      <w:r w:rsidRPr="0010563A">
        <w:rPr>
          <w:i/>
        </w:rPr>
        <w:t>/18 — Dual Flight Checks before Solo Flights (Student Pilots) Exemption 2018</w:t>
      </w:r>
    </w:p>
    <w:p w14:paraId="744AD425" w14:textId="77777777" w:rsidR="00B063A3" w:rsidRPr="00E55C95" w:rsidRDefault="00B063A3" w:rsidP="00B063A3">
      <w:pPr>
        <w:tabs>
          <w:tab w:val="left" w:pos="1134"/>
          <w:tab w:val="left" w:pos="1701"/>
          <w:tab w:val="left" w:pos="2268"/>
          <w:tab w:val="left" w:pos="2835"/>
          <w:tab w:val="left" w:pos="3402"/>
        </w:tabs>
        <w:rPr>
          <w:rFonts w:ascii="Times New Roman" w:hAnsi="Times New Roman"/>
        </w:rPr>
      </w:pPr>
    </w:p>
    <w:p w14:paraId="485F0D67" w14:textId="77777777" w:rsidR="00F949BA" w:rsidRPr="00F949BA" w:rsidRDefault="00F949BA" w:rsidP="00F949BA">
      <w:pPr>
        <w:pStyle w:val="LDBodytext"/>
        <w:rPr>
          <w:b/>
          <w:lang w:eastAsia="en-AU"/>
        </w:rPr>
      </w:pPr>
      <w:r w:rsidRPr="00F949BA">
        <w:rPr>
          <w:b/>
          <w:lang w:eastAsia="en-AU"/>
        </w:rPr>
        <w:t>Purpose</w:t>
      </w:r>
    </w:p>
    <w:p w14:paraId="3B924D84" w14:textId="18A8669C" w:rsidR="00B80000" w:rsidRDefault="00413A5D" w:rsidP="00F949BA">
      <w:pPr>
        <w:pStyle w:val="LDBodytext"/>
        <w:rPr>
          <w:lang w:eastAsia="en-AU"/>
        </w:rPr>
      </w:pPr>
      <w:r w:rsidRPr="00ED6E5C">
        <w:rPr>
          <w:lang w:eastAsia="en-AU"/>
        </w:rPr>
        <w:t xml:space="preserve">The </w:t>
      </w:r>
      <w:r w:rsidRPr="00087571">
        <w:rPr>
          <w:lang w:eastAsia="en-AU"/>
        </w:rPr>
        <w:t>purpose of this instrument is to</w:t>
      </w:r>
      <w:r w:rsidR="00B80000" w:rsidRPr="00087571">
        <w:rPr>
          <w:lang w:eastAsia="en-AU"/>
        </w:rPr>
        <w:t xml:space="preserve"> exempt student pilots from the requirement </w:t>
      </w:r>
      <w:r w:rsidR="003E6DDF" w:rsidRPr="00087571">
        <w:rPr>
          <w:lang w:eastAsia="en-AU"/>
        </w:rPr>
        <w:t xml:space="preserve">under the </w:t>
      </w:r>
      <w:r w:rsidR="003E6DDF" w:rsidRPr="00087571">
        <w:rPr>
          <w:i/>
          <w:lang w:eastAsia="en-AU"/>
        </w:rPr>
        <w:t>Civil Aviation Safety Regulations 1998</w:t>
      </w:r>
      <w:r w:rsidR="003E6DDF" w:rsidRPr="00087571">
        <w:rPr>
          <w:lang w:eastAsia="en-AU"/>
        </w:rPr>
        <w:t xml:space="preserve"> </w:t>
      </w:r>
      <w:r w:rsidR="003E6DDF" w:rsidRPr="00FB0C65">
        <w:rPr>
          <w:lang w:eastAsia="en-AU"/>
        </w:rPr>
        <w:t>(</w:t>
      </w:r>
      <w:r w:rsidR="003E6DDF" w:rsidRPr="00087571">
        <w:rPr>
          <w:b/>
          <w:i/>
          <w:lang w:eastAsia="en-AU"/>
        </w:rPr>
        <w:t>CASR</w:t>
      </w:r>
      <w:r w:rsidR="003E6DDF" w:rsidRPr="00FB0C65">
        <w:rPr>
          <w:lang w:eastAsia="en-AU"/>
        </w:rPr>
        <w:t xml:space="preserve">) </w:t>
      </w:r>
      <w:r w:rsidR="002A71A3" w:rsidRPr="00FB0C65">
        <w:rPr>
          <w:lang w:eastAsia="en-AU"/>
        </w:rPr>
        <w:t>f</w:t>
      </w:r>
      <w:r w:rsidR="002A71A3" w:rsidRPr="00087571">
        <w:rPr>
          <w:lang w:eastAsia="en-AU"/>
        </w:rPr>
        <w:t xml:space="preserve">or them </w:t>
      </w:r>
      <w:r w:rsidR="00B80000" w:rsidRPr="00087571">
        <w:rPr>
          <w:lang w:eastAsia="en-AU"/>
        </w:rPr>
        <w:t>to successfully complete a dual flight check within the 14 days before conducting a solo flight</w:t>
      </w:r>
      <w:r w:rsidR="00666140" w:rsidRPr="00087571">
        <w:rPr>
          <w:lang w:eastAsia="en-AU"/>
        </w:rPr>
        <w:t xml:space="preserve">. </w:t>
      </w:r>
      <w:r w:rsidR="00ED6E5C" w:rsidRPr="00087571">
        <w:rPr>
          <w:lang w:eastAsia="en-AU"/>
        </w:rPr>
        <w:t>Th</w:t>
      </w:r>
      <w:r w:rsidR="001A4D5A" w:rsidRPr="00087571">
        <w:rPr>
          <w:lang w:eastAsia="en-AU"/>
        </w:rPr>
        <w:t>e</w:t>
      </w:r>
      <w:r w:rsidR="00ED6E5C" w:rsidRPr="00087571">
        <w:rPr>
          <w:lang w:eastAsia="en-AU"/>
        </w:rPr>
        <w:t xml:space="preserve"> exemption </w:t>
      </w:r>
      <w:r w:rsidR="001A4D5A" w:rsidRPr="00087571">
        <w:rPr>
          <w:lang w:eastAsia="en-AU"/>
        </w:rPr>
        <w:t xml:space="preserve">is </w:t>
      </w:r>
      <w:r w:rsidR="00ED6E5C" w:rsidRPr="00087571">
        <w:rPr>
          <w:lang w:eastAsia="en-AU"/>
        </w:rPr>
        <w:t xml:space="preserve">subject to </w:t>
      </w:r>
      <w:r w:rsidR="001A4D5A" w:rsidRPr="00087571">
        <w:rPr>
          <w:lang w:eastAsia="en-AU"/>
        </w:rPr>
        <w:t xml:space="preserve">a condition that the student pilots </w:t>
      </w:r>
      <w:r w:rsidR="00B80000" w:rsidRPr="00087571">
        <w:rPr>
          <w:lang w:eastAsia="en-AU"/>
        </w:rPr>
        <w:t xml:space="preserve">successfully complete a dual flight check in the same type of aircraft within the previous 30 days. </w:t>
      </w:r>
      <w:r w:rsidR="001A4D5A" w:rsidRPr="00087571">
        <w:rPr>
          <w:lang w:eastAsia="en-AU"/>
        </w:rPr>
        <w:t>The instrument also provides a related exemption</w:t>
      </w:r>
      <w:r w:rsidR="0024541E" w:rsidRPr="00087571">
        <w:rPr>
          <w:lang w:eastAsia="en-AU"/>
        </w:rPr>
        <w:t xml:space="preserve"> for flight instructors </w:t>
      </w:r>
      <w:r w:rsidR="00FF692E" w:rsidRPr="00087571">
        <w:rPr>
          <w:lang w:eastAsia="en-AU"/>
        </w:rPr>
        <w:t xml:space="preserve">who </w:t>
      </w:r>
      <w:r w:rsidR="001A4D5A" w:rsidRPr="00087571">
        <w:rPr>
          <w:lang w:eastAsia="en-AU"/>
        </w:rPr>
        <w:t xml:space="preserve">approve </w:t>
      </w:r>
      <w:r w:rsidR="0024541E" w:rsidRPr="00087571">
        <w:rPr>
          <w:lang w:eastAsia="en-AU"/>
        </w:rPr>
        <w:t xml:space="preserve">the conduct of solo flights by </w:t>
      </w:r>
      <w:r w:rsidR="001A4D5A" w:rsidRPr="00087571">
        <w:rPr>
          <w:lang w:eastAsia="en-AU"/>
        </w:rPr>
        <w:t>student pilots</w:t>
      </w:r>
      <w:r w:rsidR="00982488" w:rsidRPr="00087571">
        <w:rPr>
          <w:lang w:eastAsia="en-AU"/>
        </w:rPr>
        <w:t xml:space="preserve"> who have performed </w:t>
      </w:r>
      <w:r w:rsidR="00FF692E" w:rsidRPr="00087571">
        <w:rPr>
          <w:lang w:eastAsia="en-AU"/>
        </w:rPr>
        <w:t xml:space="preserve">such </w:t>
      </w:r>
      <w:r w:rsidR="005852C0" w:rsidRPr="00087571">
        <w:rPr>
          <w:lang w:eastAsia="en-AU"/>
        </w:rPr>
        <w:t xml:space="preserve">a </w:t>
      </w:r>
      <w:r w:rsidR="00982488" w:rsidRPr="00087571">
        <w:rPr>
          <w:lang w:eastAsia="en-AU"/>
        </w:rPr>
        <w:t>dual flight check</w:t>
      </w:r>
      <w:r w:rsidR="00FF692E" w:rsidRPr="00087571">
        <w:rPr>
          <w:lang w:eastAsia="en-AU"/>
        </w:rPr>
        <w:t>.</w:t>
      </w:r>
    </w:p>
    <w:p w14:paraId="0F7524A0" w14:textId="77777777" w:rsidR="00FB0C65" w:rsidRPr="00087571" w:rsidRDefault="00FB0C65" w:rsidP="00F949BA">
      <w:pPr>
        <w:pStyle w:val="LDBodytext"/>
        <w:rPr>
          <w:lang w:eastAsia="en-AU"/>
        </w:rPr>
      </w:pPr>
    </w:p>
    <w:p w14:paraId="75B99290" w14:textId="7D62163C" w:rsidR="00601064" w:rsidRPr="00087571" w:rsidRDefault="00601064" w:rsidP="00B063A3">
      <w:pPr>
        <w:tabs>
          <w:tab w:val="left" w:pos="1134"/>
          <w:tab w:val="left" w:pos="1701"/>
          <w:tab w:val="left" w:pos="2268"/>
          <w:tab w:val="left" w:pos="2835"/>
          <w:tab w:val="left" w:pos="3402"/>
        </w:tabs>
        <w:rPr>
          <w:rFonts w:ascii="Times New Roman" w:hAnsi="Times New Roman"/>
          <w:b/>
        </w:rPr>
      </w:pPr>
      <w:r w:rsidRPr="00087571">
        <w:rPr>
          <w:rFonts w:ascii="Times New Roman" w:hAnsi="Times New Roman"/>
          <w:b/>
        </w:rPr>
        <w:t>Legislation</w:t>
      </w:r>
    </w:p>
    <w:p w14:paraId="1603B7B3" w14:textId="32314A2C" w:rsidR="00D65FED" w:rsidRPr="00087571" w:rsidRDefault="00D65FED" w:rsidP="00D65FED">
      <w:pPr>
        <w:rPr>
          <w:rFonts w:ascii="Times New Roman" w:hAnsi="Times New Roman"/>
        </w:rPr>
      </w:pPr>
      <w:r w:rsidRPr="00087571">
        <w:rPr>
          <w:rFonts w:ascii="Times New Roman" w:hAnsi="Times New Roman"/>
        </w:rPr>
        <w:t xml:space="preserve">Section 98 of the </w:t>
      </w:r>
      <w:r w:rsidRPr="00FB0C65">
        <w:rPr>
          <w:rFonts w:ascii="Times New Roman" w:hAnsi="Times New Roman"/>
          <w:i/>
        </w:rPr>
        <w:t>Civil Aviation Act 1988</w:t>
      </w:r>
      <w:r w:rsidRPr="00087571">
        <w:rPr>
          <w:rFonts w:ascii="Times New Roman" w:hAnsi="Times New Roman"/>
        </w:rPr>
        <w:t xml:space="preserve"> (the </w:t>
      </w:r>
      <w:r w:rsidRPr="00087571">
        <w:rPr>
          <w:rFonts w:ascii="Times New Roman" w:hAnsi="Times New Roman"/>
          <w:b/>
          <w:i/>
        </w:rPr>
        <w:t>Act</w:t>
      </w:r>
      <w:r w:rsidRPr="00087571">
        <w:rPr>
          <w:rFonts w:ascii="Times New Roman" w:hAnsi="Times New Roman"/>
        </w:rPr>
        <w:t xml:space="preserve">) empowers the Governor-General to make regulations for the Act and in the interests of the safety of air navigation. Relevantly, the Governor-General has made the </w:t>
      </w:r>
      <w:r w:rsidRPr="00FB0C65">
        <w:rPr>
          <w:rFonts w:ascii="Times New Roman" w:hAnsi="Times New Roman"/>
        </w:rPr>
        <w:t xml:space="preserve">CASR </w:t>
      </w:r>
      <w:r w:rsidRPr="00087571">
        <w:rPr>
          <w:rFonts w:ascii="Times New Roman" w:hAnsi="Times New Roman"/>
        </w:rPr>
        <w:t xml:space="preserve">and </w:t>
      </w:r>
      <w:r w:rsidR="003E6DDF" w:rsidRPr="00087571">
        <w:rPr>
          <w:rFonts w:ascii="Times New Roman" w:hAnsi="Times New Roman"/>
        </w:rPr>
        <w:t xml:space="preserve">the </w:t>
      </w:r>
      <w:r w:rsidRPr="00087571">
        <w:rPr>
          <w:rFonts w:ascii="Times New Roman" w:hAnsi="Times New Roman"/>
          <w:i/>
        </w:rPr>
        <w:t>Civil Aviation Regulations 1988</w:t>
      </w:r>
      <w:r w:rsidRPr="00087571">
        <w:rPr>
          <w:rFonts w:ascii="Times New Roman" w:hAnsi="Times New Roman"/>
        </w:rPr>
        <w:t xml:space="preserve"> (</w:t>
      </w:r>
      <w:r w:rsidRPr="00087571">
        <w:rPr>
          <w:rFonts w:ascii="Times New Roman" w:hAnsi="Times New Roman"/>
          <w:b/>
          <w:i/>
        </w:rPr>
        <w:t>CAR</w:t>
      </w:r>
      <w:r w:rsidRPr="00087571">
        <w:rPr>
          <w:rFonts w:ascii="Times New Roman" w:hAnsi="Times New Roman"/>
        </w:rPr>
        <w:t>).</w:t>
      </w:r>
    </w:p>
    <w:p w14:paraId="756E07F9" w14:textId="70C2375A" w:rsidR="00B063A3" w:rsidRPr="00087571" w:rsidRDefault="00B063A3" w:rsidP="00B063A3">
      <w:pPr>
        <w:tabs>
          <w:tab w:val="left" w:pos="1134"/>
          <w:tab w:val="left" w:pos="1701"/>
          <w:tab w:val="left" w:pos="2268"/>
          <w:tab w:val="left" w:pos="2835"/>
          <w:tab w:val="left" w:pos="3402"/>
        </w:tabs>
        <w:rPr>
          <w:rFonts w:ascii="Times New Roman" w:hAnsi="Times New Roman"/>
        </w:rPr>
      </w:pPr>
    </w:p>
    <w:p w14:paraId="413795B6" w14:textId="27F73568" w:rsidR="00D65FED" w:rsidRPr="00087571" w:rsidRDefault="00D65FED" w:rsidP="00D65FED">
      <w:pPr>
        <w:overflowPunct/>
        <w:autoSpaceDE/>
        <w:autoSpaceDN/>
        <w:adjustRightInd/>
        <w:textAlignment w:val="auto"/>
        <w:rPr>
          <w:lang w:eastAsia="en-AU"/>
        </w:rPr>
      </w:pPr>
      <w:r w:rsidRPr="00087571">
        <w:rPr>
          <w:rFonts w:ascii="Times New Roman" w:hAnsi="Times New Roman"/>
        </w:rPr>
        <w:t xml:space="preserve">Subpart 11.F of CASR provides for the granting of exemptions from particular provisions of the regulations. </w:t>
      </w:r>
      <w:r w:rsidRPr="00087571">
        <w:rPr>
          <w:lang w:eastAsia="en-AU"/>
        </w:rPr>
        <w:t>Subregulation 11.160 (1) provides that, for subsection 98 (5A) of the Act, CASA may grant an exemption from a provision of the regulations or the Civil Aviation Orders. Under subregulation 11.160 (2), an exemption may be granted to a person, or to a class of persons.</w:t>
      </w:r>
    </w:p>
    <w:p w14:paraId="65D26936" w14:textId="77777777" w:rsidR="00D65FED" w:rsidRPr="00087571" w:rsidRDefault="00D65FED" w:rsidP="00D65FED">
      <w:pPr>
        <w:pStyle w:val="LDBodytext"/>
      </w:pPr>
    </w:p>
    <w:p w14:paraId="2D3496D0" w14:textId="2CE13335" w:rsidR="00CB3A77" w:rsidRPr="00CB3A77" w:rsidRDefault="00B91CF3" w:rsidP="00D65FED">
      <w:pPr>
        <w:pStyle w:val="LDBodytext"/>
      </w:pPr>
      <w:r w:rsidRPr="00087571">
        <w:t xml:space="preserve">Part 61 of the </w:t>
      </w:r>
      <w:r w:rsidR="00D65FED" w:rsidRPr="00087571">
        <w:t>CASR</w:t>
      </w:r>
      <w:r w:rsidRPr="00087571">
        <w:t xml:space="preserve"> deals with flig</w:t>
      </w:r>
      <w:r w:rsidR="00CB3A77" w:rsidRPr="00087571">
        <w:t>ht crew licencing requirements.</w:t>
      </w:r>
      <w:r w:rsidR="00D65FED" w:rsidRPr="00087571">
        <w:t xml:space="preserve"> </w:t>
      </w:r>
      <w:r w:rsidR="00CB3A77" w:rsidRPr="00087571">
        <w:t>Under regulation</w:t>
      </w:r>
      <w:r w:rsidR="00FB0C65">
        <w:t> </w:t>
      </w:r>
      <w:r w:rsidR="00CB3A77" w:rsidRPr="00087571">
        <w:t>61.065 of CASR, the holder of a flight crew licence commits an offence if the holder conducts an activity mentioned in Part 61 while piloting a registered aircraft and the holder is not authorised under that Part to conduct the activity.</w:t>
      </w:r>
      <w:r w:rsidR="00ED6E5C" w:rsidRPr="00087571">
        <w:t xml:space="preserve"> Under paragraph</w:t>
      </w:r>
      <w:r w:rsidR="00D66178">
        <w:t> </w:t>
      </w:r>
      <w:r w:rsidR="00ED6E5C" w:rsidRPr="00087571">
        <w:t>61.115</w:t>
      </w:r>
      <w:r w:rsidR="00D66178">
        <w:t> </w:t>
      </w:r>
      <w:r w:rsidR="00ED6E5C" w:rsidRPr="00087571">
        <w:t>(a) of CASR, a student pilot is authori</w:t>
      </w:r>
      <w:r w:rsidR="00450226" w:rsidRPr="00087571">
        <w:t>s</w:t>
      </w:r>
      <w:r w:rsidR="00ED6E5C" w:rsidRPr="00087571">
        <w:t>ed to condu</w:t>
      </w:r>
      <w:r w:rsidR="00450226" w:rsidRPr="00087571">
        <w:t>ct a solo flight in an aircraft only if the student pilot has, within the previous 14 days and in the same type of aircraft, successfully completed a dual flight check.</w:t>
      </w:r>
      <w:r w:rsidR="00982488" w:rsidRPr="00087571">
        <w:t xml:space="preserve"> Under subregulation 61.1225</w:t>
      </w:r>
      <w:r w:rsidR="00D66178">
        <w:t> </w:t>
      </w:r>
      <w:r w:rsidR="00982488" w:rsidRPr="00087571">
        <w:t xml:space="preserve">(1) of CASR, it is an offence for a flight instructor to approve a person to pilot an aircraft in a way that is not authorised by </w:t>
      </w:r>
      <w:r w:rsidR="002153C4" w:rsidRPr="00087571">
        <w:t xml:space="preserve">paragraph </w:t>
      </w:r>
      <w:r w:rsidR="00982488" w:rsidRPr="00087571">
        <w:t>61</w:t>
      </w:r>
      <w:r w:rsidR="002153C4" w:rsidRPr="00087571">
        <w:t>.</w:t>
      </w:r>
      <w:r w:rsidR="00982488" w:rsidRPr="00087571">
        <w:t>115</w:t>
      </w:r>
      <w:r w:rsidR="00D66178">
        <w:t> </w:t>
      </w:r>
      <w:r w:rsidR="002153C4" w:rsidRPr="00087571">
        <w:t>(a)</w:t>
      </w:r>
      <w:r w:rsidR="00982488" w:rsidRPr="00087571">
        <w:t>.</w:t>
      </w:r>
    </w:p>
    <w:p w14:paraId="251C4F94" w14:textId="77777777" w:rsidR="00B91CF3" w:rsidRDefault="00B91CF3" w:rsidP="00102810">
      <w:pPr>
        <w:pStyle w:val="LDBodytext"/>
      </w:pPr>
    </w:p>
    <w:p w14:paraId="4A25B9C8" w14:textId="02B1843A" w:rsidR="005F2355" w:rsidRPr="005F2355" w:rsidRDefault="009B3A84" w:rsidP="00D66178">
      <w:pPr>
        <w:rPr>
          <w:rFonts w:cs="Times New (W1)"/>
        </w:rPr>
      </w:pPr>
      <w:r w:rsidRPr="009B3A84">
        <w:rPr>
          <w:rStyle w:val="Definitiontitle"/>
          <w:b w:val="0"/>
        </w:rPr>
        <w:t>In CASR</w:t>
      </w:r>
      <w:r>
        <w:rPr>
          <w:rStyle w:val="Definitiontitle"/>
          <w:b w:val="0"/>
        </w:rPr>
        <w:t>,</w:t>
      </w:r>
      <w:r w:rsidRPr="009B3A84">
        <w:rPr>
          <w:rStyle w:val="Definitiontitle"/>
          <w:i/>
        </w:rPr>
        <w:t xml:space="preserve"> </w:t>
      </w:r>
      <w:r w:rsidR="005F2355" w:rsidRPr="005F2355">
        <w:rPr>
          <w:rFonts w:cs="Times New (W1)"/>
          <w:b/>
          <w:i/>
        </w:rPr>
        <w:t xml:space="preserve">dual flight check </w:t>
      </w:r>
      <w:r w:rsidR="005F2355" w:rsidRPr="005F2355">
        <w:rPr>
          <w:rFonts w:cs="Times New (W1)"/>
        </w:rPr>
        <w:t>means an in</w:t>
      </w:r>
      <w:r w:rsidR="005F2355" w:rsidRPr="005F2355">
        <w:rPr>
          <w:rFonts w:cs="Times New (W1)"/>
        </w:rPr>
        <w:noBreakHyphen/>
        <w:t>flight assessment by a flight instructor of the competency of a student pilot to conduct a solo training flight.</w:t>
      </w:r>
    </w:p>
    <w:p w14:paraId="302C8666" w14:textId="77777777" w:rsidR="00102810" w:rsidRPr="00676237" w:rsidRDefault="00102810" w:rsidP="00102810">
      <w:pPr>
        <w:overflowPunct/>
        <w:autoSpaceDE/>
        <w:autoSpaceDN/>
        <w:adjustRightInd/>
        <w:textAlignment w:val="auto"/>
        <w:rPr>
          <w:lang w:eastAsia="en-AU"/>
        </w:rPr>
      </w:pPr>
    </w:p>
    <w:p w14:paraId="5D398E36" w14:textId="1143AE4F" w:rsidR="00D65FED" w:rsidRDefault="00D65FED" w:rsidP="00D65FED">
      <w:pPr>
        <w:rPr>
          <w:rFonts w:ascii="Times New Roman" w:hAnsi="Times New Roman"/>
        </w:rPr>
      </w:pPr>
      <w:r>
        <w:rPr>
          <w:lang w:eastAsia="en-AU"/>
        </w:rPr>
        <w:t>R</w:t>
      </w:r>
      <w:r w:rsidR="00102810" w:rsidRPr="00676237">
        <w:rPr>
          <w:lang w:eastAsia="en-AU"/>
        </w:rPr>
        <w:t>egulation 11.205</w:t>
      </w:r>
      <w:r w:rsidR="00D66178">
        <w:rPr>
          <w:lang w:eastAsia="en-AU"/>
        </w:rPr>
        <w:t xml:space="preserve"> </w:t>
      </w:r>
      <w:r w:rsidR="00102810" w:rsidRPr="00676237">
        <w:rPr>
          <w:lang w:eastAsia="en-AU"/>
        </w:rPr>
        <w:t>of CASR</w:t>
      </w:r>
      <w:r>
        <w:rPr>
          <w:lang w:eastAsia="en-AU"/>
        </w:rPr>
        <w:t xml:space="preserve"> provides that </w:t>
      </w:r>
      <w:r w:rsidR="00102810" w:rsidRPr="00676237">
        <w:rPr>
          <w:lang w:eastAsia="en-AU"/>
        </w:rPr>
        <w:t xml:space="preserve">CASA may impose conditions on an exemption if necessary in the interests of the safety of air navigation. </w:t>
      </w:r>
      <w:r>
        <w:rPr>
          <w:rFonts w:ascii="Times New Roman" w:hAnsi="Times New Roman"/>
        </w:rPr>
        <w:t>Under regulation 11.210, it is a strict liability offence not to comply with the obligations imposed by a condition.</w:t>
      </w:r>
    </w:p>
    <w:p w14:paraId="436D0266" w14:textId="77777777" w:rsidR="00D65FED" w:rsidRDefault="00D65FED" w:rsidP="00102810">
      <w:pPr>
        <w:overflowPunct/>
        <w:autoSpaceDE/>
        <w:autoSpaceDN/>
        <w:adjustRightInd/>
        <w:textAlignment w:val="auto"/>
        <w:rPr>
          <w:lang w:eastAsia="en-AU"/>
        </w:rPr>
      </w:pPr>
    </w:p>
    <w:p w14:paraId="372CC342" w14:textId="6C82D6E0" w:rsidR="00102810" w:rsidRPr="00676237" w:rsidRDefault="00D65FED" w:rsidP="00102810">
      <w:pPr>
        <w:overflowPunct/>
        <w:autoSpaceDE/>
        <w:autoSpaceDN/>
        <w:adjustRightInd/>
        <w:textAlignment w:val="auto"/>
        <w:rPr>
          <w:lang w:eastAsia="en-AU"/>
        </w:rPr>
      </w:pPr>
      <w:r>
        <w:rPr>
          <w:lang w:eastAsia="en-AU"/>
        </w:rPr>
        <w:t>R</w:t>
      </w:r>
      <w:r w:rsidR="00102810" w:rsidRPr="00676237">
        <w:rPr>
          <w:lang w:eastAsia="en-AU"/>
        </w:rPr>
        <w:t xml:space="preserve">egulation 11.225 of CASR, </w:t>
      </w:r>
      <w:r>
        <w:rPr>
          <w:lang w:eastAsia="en-AU"/>
        </w:rPr>
        <w:t xml:space="preserve">requires </w:t>
      </w:r>
      <w:r w:rsidR="00102810" w:rsidRPr="00676237">
        <w:rPr>
          <w:lang w:eastAsia="en-AU"/>
        </w:rPr>
        <w:t xml:space="preserve">an exemption </w:t>
      </w:r>
      <w:r>
        <w:rPr>
          <w:lang w:eastAsia="en-AU"/>
        </w:rPr>
        <w:t xml:space="preserve">to be </w:t>
      </w:r>
      <w:r w:rsidR="00102810" w:rsidRPr="00676237">
        <w:rPr>
          <w:lang w:eastAsia="en-AU"/>
        </w:rPr>
        <w:t>published on the Internet. Under subregulation 11.230 (1)</w:t>
      </w:r>
      <w:r>
        <w:rPr>
          <w:lang w:eastAsia="en-AU"/>
        </w:rPr>
        <w:t>, the maximum duration of an exemption is 3 years.</w:t>
      </w:r>
    </w:p>
    <w:p w14:paraId="4B4B8A66" w14:textId="77777777" w:rsidR="00102810" w:rsidRDefault="00102810" w:rsidP="00940567">
      <w:pPr>
        <w:pStyle w:val="LDBodytext"/>
      </w:pPr>
    </w:p>
    <w:p w14:paraId="6916ED13" w14:textId="5848FE27" w:rsidR="00450226" w:rsidRDefault="00305C66" w:rsidP="00D66178">
      <w:pPr>
        <w:pStyle w:val="LDBodytext"/>
        <w:rPr>
          <w:lang w:eastAsia="en-AU"/>
        </w:rPr>
      </w:pPr>
      <w:r>
        <w:rPr>
          <w:b/>
        </w:rPr>
        <w:t>Background</w:t>
      </w:r>
    </w:p>
    <w:p w14:paraId="159B5C6E" w14:textId="05BAD56A" w:rsidR="00450226" w:rsidRDefault="00E67578" w:rsidP="0010563A">
      <w:pPr>
        <w:pStyle w:val="LDBodytext"/>
        <w:rPr>
          <w:lang w:eastAsia="en-AU"/>
        </w:rPr>
      </w:pPr>
      <w:r>
        <w:rPr>
          <w:lang w:eastAsia="en-AU"/>
        </w:rPr>
        <w:t xml:space="preserve">The </w:t>
      </w:r>
      <w:r w:rsidR="0010563A" w:rsidRPr="00ED6E5C">
        <w:rPr>
          <w:lang w:eastAsia="en-AU"/>
        </w:rPr>
        <w:t>instrument renew</w:t>
      </w:r>
      <w:r w:rsidR="0010563A">
        <w:rPr>
          <w:lang w:eastAsia="en-AU"/>
        </w:rPr>
        <w:t xml:space="preserve">s </w:t>
      </w:r>
      <w:r w:rsidR="0010563A" w:rsidRPr="00ED6E5C">
        <w:rPr>
          <w:lang w:eastAsia="en-AU"/>
        </w:rPr>
        <w:t xml:space="preserve">CASA EX78/15 </w:t>
      </w:r>
      <w:r w:rsidR="0010563A">
        <w:rPr>
          <w:lang w:eastAsia="en-AU"/>
        </w:rPr>
        <w:t xml:space="preserve">(the </w:t>
      </w:r>
      <w:r w:rsidR="0010563A">
        <w:rPr>
          <w:b/>
          <w:i/>
          <w:lang w:eastAsia="en-AU"/>
        </w:rPr>
        <w:t xml:space="preserve">current </w:t>
      </w:r>
      <w:r w:rsidR="0010563A" w:rsidRPr="0010563A">
        <w:rPr>
          <w:b/>
          <w:i/>
          <w:lang w:eastAsia="en-AU"/>
        </w:rPr>
        <w:t>instrument</w:t>
      </w:r>
      <w:r w:rsidR="0010563A">
        <w:rPr>
          <w:lang w:eastAsia="en-AU"/>
        </w:rPr>
        <w:t xml:space="preserve">) </w:t>
      </w:r>
      <w:r w:rsidR="0010563A" w:rsidRPr="0010563A">
        <w:rPr>
          <w:lang w:eastAsia="en-AU"/>
        </w:rPr>
        <w:t>that</w:t>
      </w:r>
      <w:r w:rsidR="0010563A" w:rsidRPr="00ED6E5C">
        <w:rPr>
          <w:lang w:eastAsia="en-AU"/>
        </w:rPr>
        <w:t xml:space="preserve"> expire</w:t>
      </w:r>
      <w:r w:rsidR="00504617">
        <w:rPr>
          <w:lang w:eastAsia="en-AU"/>
        </w:rPr>
        <w:t>s</w:t>
      </w:r>
      <w:r w:rsidR="0010563A" w:rsidRPr="00ED6E5C">
        <w:rPr>
          <w:lang w:eastAsia="en-AU"/>
        </w:rPr>
        <w:t xml:space="preserve"> at the end of April 2018. </w:t>
      </w:r>
      <w:r w:rsidR="0010563A">
        <w:rPr>
          <w:lang w:eastAsia="en-AU"/>
        </w:rPr>
        <w:t>In renewing the current instrument, CASA has regarded as paramount the preservation of at least an acceptable level of safety.</w:t>
      </w:r>
    </w:p>
    <w:p w14:paraId="50287E89" w14:textId="77777777" w:rsidR="00FF692E" w:rsidRPr="005B385C" w:rsidRDefault="00FF692E" w:rsidP="0010563A">
      <w:pPr>
        <w:pStyle w:val="LDBodytext"/>
      </w:pPr>
    </w:p>
    <w:p w14:paraId="5E950A08" w14:textId="05455708" w:rsidR="00305C66" w:rsidRPr="00305C66" w:rsidRDefault="00305C66" w:rsidP="0010563A">
      <w:pPr>
        <w:pStyle w:val="LDBodytext"/>
        <w:rPr>
          <w:b/>
          <w:lang w:eastAsia="en-AU"/>
        </w:rPr>
      </w:pPr>
      <w:r w:rsidRPr="00305C66">
        <w:rPr>
          <w:b/>
          <w:lang w:eastAsia="en-AU"/>
        </w:rPr>
        <w:t>Instrument</w:t>
      </w:r>
    </w:p>
    <w:p w14:paraId="33540CCD" w14:textId="633AA246" w:rsidR="00450226" w:rsidRDefault="00450226" w:rsidP="00450226">
      <w:pPr>
        <w:pStyle w:val="LDBodytext"/>
        <w:rPr>
          <w:lang w:eastAsia="en-AU"/>
        </w:rPr>
      </w:pPr>
      <w:r>
        <w:rPr>
          <w:lang w:eastAsia="en-AU"/>
        </w:rPr>
        <w:t>Section 1 sets out the name of the instrument.</w:t>
      </w:r>
    </w:p>
    <w:p w14:paraId="5B703D42" w14:textId="77777777" w:rsidR="00450226" w:rsidRDefault="00450226" w:rsidP="00450226">
      <w:pPr>
        <w:pStyle w:val="LDBodytext"/>
        <w:rPr>
          <w:lang w:eastAsia="en-AU"/>
        </w:rPr>
      </w:pPr>
    </w:p>
    <w:p w14:paraId="7C1F29D0" w14:textId="608F8206" w:rsidR="00450226" w:rsidRDefault="00450226" w:rsidP="00450226">
      <w:pPr>
        <w:pStyle w:val="LDBodytext"/>
        <w:rPr>
          <w:lang w:eastAsia="en-AU"/>
        </w:rPr>
      </w:pPr>
      <w:r>
        <w:rPr>
          <w:lang w:eastAsia="en-AU"/>
        </w:rPr>
        <w:lastRenderedPageBreak/>
        <w:t xml:space="preserve">Section 2 sets out the duration of the instrument. The instrument </w:t>
      </w:r>
      <w:r w:rsidR="00DB32D6">
        <w:rPr>
          <w:lang w:eastAsia="en-AU"/>
        </w:rPr>
        <w:t>commence</w:t>
      </w:r>
      <w:r w:rsidR="00D66178">
        <w:rPr>
          <w:lang w:eastAsia="en-AU"/>
        </w:rPr>
        <w:t xml:space="preserve">s </w:t>
      </w:r>
      <w:r w:rsidR="00DB32D6">
        <w:rPr>
          <w:lang w:eastAsia="en-AU"/>
        </w:rPr>
        <w:t xml:space="preserve">on </w:t>
      </w:r>
      <w:r w:rsidR="002F6A1C">
        <w:rPr>
          <w:lang w:eastAsia="en-AU"/>
        </w:rPr>
        <w:t xml:space="preserve">1 May 2018 and </w:t>
      </w:r>
      <w:r w:rsidR="00DB32D6">
        <w:rPr>
          <w:lang w:eastAsia="en-AU"/>
        </w:rPr>
        <w:t xml:space="preserve">is to </w:t>
      </w:r>
      <w:r>
        <w:rPr>
          <w:lang w:eastAsia="en-AU"/>
        </w:rPr>
        <w:t>be repealed at the end of 30 April 2021.</w:t>
      </w:r>
    </w:p>
    <w:p w14:paraId="4407820E" w14:textId="77777777" w:rsidR="00450226" w:rsidRDefault="00450226" w:rsidP="00450226">
      <w:pPr>
        <w:pStyle w:val="LDBodytext"/>
        <w:rPr>
          <w:lang w:eastAsia="en-AU"/>
        </w:rPr>
      </w:pPr>
    </w:p>
    <w:p w14:paraId="42D2B5C8" w14:textId="77780B86" w:rsidR="00450226" w:rsidRDefault="00450226" w:rsidP="00450226">
      <w:pPr>
        <w:pStyle w:val="LDBodytext"/>
        <w:rPr>
          <w:lang w:eastAsia="en-AU"/>
        </w:rPr>
      </w:pPr>
      <w:r>
        <w:rPr>
          <w:lang w:eastAsia="en-AU"/>
        </w:rPr>
        <w:t xml:space="preserve">Section 3 provides some sign post definitions </w:t>
      </w:r>
      <w:r w:rsidR="00454704">
        <w:rPr>
          <w:lang w:eastAsia="en-AU"/>
        </w:rPr>
        <w:t xml:space="preserve">to aid the reader of the </w:t>
      </w:r>
      <w:r>
        <w:rPr>
          <w:lang w:eastAsia="en-AU"/>
        </w:rPr>
        <w:t>instrument.</w:t>
      </w:r>
    </w:p>
    <w:p w14:paraId="6FE96687" w14:textId="77777777" w:rsidR="00450226" w:rsidRDefault="00450226" w:rsidP="00450226">
      <w:pPr>
        <w:pStyle w:val="LDBodytext"/>
        <w:rPr>
          <w:lang w:eastAsia="en-AU"/>
        </w:rPr>
      </w:pPr>
    </w:p>
    <w:p w14:paraId="4BF8FF73" w14:textId="0456C68D" w:rsidR="00982488" w:rsidRPr="00087571" w:rsidRDefault="00450226" w:rsidP="00982488">
      <w:r w:rsidRPr="00087571">
        <w:rPr>
          <w:lang w:eastAsia="en-AU"/>
        </w:rPr>
        <w:t>S</w:t>
      </w:r>
      <w:r w:rsidR="00666140" w:rsidRPr="00087571">
        <w:rPr>
          <w:lang w:eastAsia="en-AU"/>
        </w:rPr>
        <w:t>ection 4</w:t>
      </w:r>
      <w:r w:rsidR="00982488" w:rsidRPr="00087571">
        <w:rPr>
          <w:lang w:eastAsia="en-AU"/>
        </w:rPr>
        <w:t xml:space="preserve"> </w:t>
      </w:r>
      <w:r w:rsidRPr="00087571">
        <w:rPr>
          <w:lang w:eastAsia="en-AU"/>
        </w:rPr>
        <w:t xml:space="preserve">exempts </w:t>
      </w:r>
      <w:r w:rsidR="00454704" w:rsidRPr="00087571">
        <w:rPr>
          <w:lang w:eastAsia="en-AU"/>
        </w:rPr>
        <w:t xml:space="preserve">a </w:t>
      </w:r>
      <w:r w:rsidRPr="00087571">
        <w:rPr>
          <w:lang w:eastAsia="en-AU"/>
        </w:rPr>
        <w:t>student pilot from compliance with regulation 61.065 of CASR to the extent that the regulation requires the pilot to comply with paragraph 61.115</w:t>
      </w:r>
      <w:r w:rsidR="00D66178">
        <w:rPr>
          <w:lang w:eastAsia="en-AU"/>
        </w:rPr>
        <w:t> </w:t>
      </w:r>
      <w:r w:rsidRPr="00087571">
        <w:rPr>
          <w:lang w:eastAsia="en-AU"/>
        </w:rPr>
        <w:t>(1)</w:t>
      </w:r>
      <w:r w:rsidR="00D66178">
        <w:rPr>
          <w:lang w:eastAsia="en-AU"/>
        </w:rPr>
        <w:t> </w:t>
      </w:r>
      <w:r w:rsidRPr="00087571">
        <w:rPr>
          <w:lang w:eastAsia="en-AU"/>
        </w:rPr>
        <w:t>(a) of CASR in relation to a solo flight.</w:t>
      </w:r>
      <w:r w:rsidR="00666140" w:rsidRPr="00087571">
        <w:rPr>
          <w:lang w:eastAsia="en-AU"/>
        </w:rPr>
        <w:t xml:space="preserve"> </w:t>
      </w:r>
      <w:r w:rsidR="00982488" w:rsidRPr="00087571">
        <w:rPr>
          <w:lang w:eastAsia="en-AU"/>
        </w:rPr>
        <w:t xml:space="preserve">The section </w:t>
      </w:r>
      <w:r w:rsidR="00982488" w:rsidRPr="00087571">
        <w:t>imposes a condition on this exemption that the student pilot must have, within the previous 30 days before undertaking the solo flight, successfully completed a dual flight check in the same type of aircraft as that in which the solo flight is to be undertaken.</w:t>
      </w:r>
    </w:p>
    <w:p w14:paraId="7379A97E" w14:textId="2C994DA6" w:rsidR="00982488" w:rsidRPr="00087571" w:rsidRDefault="00982488" w:rsidP="00982488">
      <w:pPr>
        <w:pStyle w:val="LDBodytext"/>
      </w:pPr>
    </w:p>
    <w:p w14:paraId="170DDB91" w14:textId="72881968" w:rsidR="00982488" w:rsidRPr="00496AC4" w:rsidRDefault="00982488" w:rsidP="00982488">
      <w:pPr>
        <w:pStyle w:val="LDBodytext"/>
      </w:pPr>
      <w:r w:rsidRPr="00087571">
        <w:t xml:space="preserve">Section 5 </w:t>
      </w:r>
      <w:r w:rsidR="00666140" w:rsidRPr="00087571">
        <w:rPr>
          <w:lang w:eastAsia="en-AU"/>
        </w:rPr>
        <w:t>exempts a flight instructor from compliance with regulation 61.1225 of CASR to</w:t>
      </w:r>
      <w:r w:rsidR="00646FCB">
        <w:rPr>
          <w:lang w:eastAsia="en-AU"/>
        </w:rPr>
        <w:t> </w:t>
      </w:r>
      <w:r w:rsidR="00666140" w:rsidRPr="00087571">
        <w:rPr>
          <w:lang w:eastAsia="en-AU"/>
        </w:rPr>
        <w:t>the extent that it requires that if the instructor approves a person to conduct a solo flight</w:t>
      </w:r>
      <w:r w:rsidR="00646FCB">
        <w:rPr>
          <w:lang w:eastAsia="en-AU"/>
        </w:rPr>
        <w:t> </w:t>
      </w:r>
      <w:r w:rsidR="00666140" w:rsidRPr="00087571">
        <w:rPr>
          <w:lang w:eastAsia="en-AU"/>
        </w:rPr>
        <w:t>as</w:t>
      </w:r>
      <w:r w:rsidR="00646FCB">
        <w:rPr>
          <w:lang w:eastAsia="en-AU"/>
        </w:rPr>
        <w:t> </w:t>
      </w:r>
      <w:r w:rsidR="00666140" w:rsidRPr="00087571">
        <w:rPr>
          <w:lang w:eastAsia="en-AU"/>
        </w:rPr>
        <w:t>a student pilot, the approval is to pilot the aircraft in a</w:t>
      </w:r>
      <w:r w:rsidR="00AE247E" w:rsidRPr="00087571">
        <w:rPr>
          <w:lang w:eastAsia="en-AU"/>
        </w:rPr>
        <w:t xml:space="preserve"> </w:t>
      </w:r>
      <w:r w:rsidR="00666140" w:rsidRPr="00087571">
        <w:rPr>
          <w:lang w:eastAsia="en-AU"/>
        </w:rPr>
        <w:t>way authorised by paragraph</w:t>
      </w:r>
      <w:r w:rsidR="00D66178">
        <w:rPr>
          <w:lang w:eastAsia="en-AU"/>
        </w:rPr>
        <w:t> </w:t>
      </w:r>
      <w:r w:rsidR="00666140" w:rsidRPr="00087571">
        <w:rPr>
          <w:lang w:eastAsia="en-AU"/>
        </w:rPr>
        <w:t>61.115</w:t>
      </w:r>
      <w:r w:rsidRPr="00087571">
        <w:rPr>
          <w:lang w:eastAsia="en-AU"/>
        </w:rPr>
        <w:t> </w:t>
      </w:r>
      <w:r w:rsidR="00666140" w:rsidRPr="00087571">
        <w:rPr>
          <w:lang w:eastAsia="en-AU"/>
        </w:rPr>
        <w:t>(1)</w:t>
      </w:r>
      <w:r w:rsidRPr="00087571">
        <w:rPr>
          <w:lang w:eastAsia="en-AU"/>
        </w:rPr>
        <w:t> </w:t>
      </w:r>
      <w:r w:rsidR="00666140" w:rsidRPr="00087571">
        <w:rPr>
          <w:lang w:eastAsia="en-AU"/>
        </w:rPr>
        <w:t xml:space="preserve">(a) of CASR. </w:t>
      </w:r>
      <w:r w:rsidRPr="00496AC4">
        <w:rPr>
          <w:lang w:eastAsia="en-AU"/>
        </w:rPr>
        <w:t xml:space="preserve">The section </w:t>
      </w:r>
      <w:r w:rsidRPr="00496AC4">
        <w:t>imposes a condition on this exemption that the</w:t>
      </w:r>
      <w:r w:rsidR="00646FCB">
        <w:t> </w:t>
      </w:r>
      <w:r w:rsidRPr="00496AC4">
        <w:t xml:space="preserve">flight instructor must </w:t>
      </w:r>
      <w:r w:rsidR="00D315A4" w:rsidRPr="00496AC4">
        <w:t xml:space="preserve">sight in the student’s training records a record of the student having, </w:t>
      </w:r>
      <w:r w:rsidRPr="00496AC4">
        <w:t>within the previous 30 days before the solo flight, successfully completed a dual flight check in the same type of aircraft as that in which the solo flight is to be undertaken.</w:t>
      </w:r>
    </w:p>
    <w:p w14:paraId="48746373" w14:textId="77777777" w:rsidR="00982488" w:rsidRPr="00087571" w:rsidRDefault="00982488" w:rsidP="00982488">
      <w:pPr>
        <w:pStyle w:val="LDBodytext"/>
        <w:rPr>
          <w:lang w:eastAsia="en-AU"/>
        </w:rPr>
      </w:pPr>
    </w:p>
    <w:p w14:paraId="59E523AE" w14:textId="29B7FEA9" w:rsidR="00666140" w:rsidRPr="00504617" w:rsidRDefault="00666140" w:rsidP="00666140">
      <w:pPr>
        <w:pStyle w:val="LDBodytext"/>
      </w:pPr>
      <w:r w:rsidRPr="00087571">
        <w:t xml:space="preserve">The effect of the </w:t>
      </w:r>
      <w:r w:rsidR="001269A9" w:rsidRPr="00087571">
        <w:t>exemption</w:t>
      </w:r>
      <w:r w:rsidR="003B76DE">
        <w:t>s</w:t>
      </w:r>
      <w:r w:rsidR="001269A9" w:rsidRPr="00087571">
        <w:t xml:space="preserve"> and condition</w:t>
      </w:r>
      <w:r w:rsidR="003B76DE">
        <w:t>s</w:t>
      </w:r>
      <w:r w:rsidR="001269A9" w:rsidRPr="00087571">
        <w:t xml:space="preserve"> </w:t>
      </w:r>
      <w:r w:rsidRPr="00087571">
        <w:t>is to replace the 14</w:t>
      </w:r>
      <w:r w:rsidR="00646FCB">
        <w:t>-</w:t>
      </w:r>
      <w:r w:rsidRPr="00087571">
        <w:t>day time</w:t>
      </w:r>
      <w:r w:rsidR="00646FCB">
        <w:t xml:space="preserve"> </w:t>
      </w:r>
      <w:r w:rsidRPr="00087571">
        <w:t>frame for a dual flight check in CASR with a 30</w:t>
      </w:r>
      <w:r w:rsidR="00A5535F">
        <w:t>-</w:t>
      </w:r>
      <w:r w:rsidRPr="00087571">
        <w:t>day time</w:t>
      </w:r>
      <w:r w:rsidR="00A5535F">
        <w:t xml:space="preserve"> </w:t>
      </w:r>
      <w:r w:rsidRPr="00087571">
        <w:t>frame.</w:t>
      </w:r>
    </w:p>
    <w:p w14:paraId="05F182FC" w14:textId="77777777" w:rsidR="00666140" w:rsidRPr="00504617" w:rsidRDefault="00666140" w:rsidP="003E6DDF">
      <w:pPr>
        <w:pStyle w:val="LDBodytext"/>
      </w:pPr>
    </w:p>
    <w:p w14:paraId="749E5BEF" w14:textId="32535579" w:rsidR="00450226" w:rsidRDefault="00454704" w:rsidP="00450226">
      <w:r>
        <w:t>T</w:t>
      </w:r>
      <w:r w:rsidR="00450226">
        <w:t>his time</w:t>
      </w:r>
      <w:r w:rsidR="00A5535F">
        <w:t xml:space="preserve"> </w:t>
      </w:r>
      <w:r w:rsidR="00450226">
        <w:t xml:space="preserve">frame </w:t>
      </w:r>
      <w:r w:rsidR="00303D8B">
        <w:rPr>
          <w:lang w:eastAsia="en-AU"/>
        </w:rPr>
        <w:t xml:space="preserve">reflects </w:t>
      </w:r>
      <w:r w:rsidR="00303D8B" w:rsidRPr="00ED6E5C">
        <w:rPr>
          <w:lang w:eastAsia="en-AU"/>
        </w:rPr>
        <w:t>CASA’s preferred policy regarding the time</w:t>
      </w:r>
      <w:r w:rsidR="00A5535F">
        <w:rPr>
          <w:lang w:eastAsia="en-AU"/>
        </w:rPr>
        <w:t xml:space="preserve"> </w:t>
      </w:r>
      <w:r w:rsidR="00303D8B" w:rsidRPr="00ED6E5C">
        <w:rPr>
          <w:lang w:eastAsia="en-AU"/>
        </w:rPr>
        <w:t xml:space="preserve">frame for </w:t>
      </w:r>
      <w:r w:rsidR="00303D8B">
        <w:rPr>
          <w:lang w:eastAsia="en-AU"/>
        </w:rPr>
        <w:t xml:space="preserve">flight checks by student pilots who conduct solo flights, </w:t>
      </w:r>
      <w:r w:rsidR="00303D8B" w:rsidRPr="00ED6E5C">
        <w:rPr>
          <w:lang w:eastAsia="en-AU"/>
        </w:rPr>
        <w:t>having regard to that of other countries</w:t>
      </w:r>
      <w:r w:rsidR="00303D8B">
        <w:rPr>
          <w:lang w:eastAsia="en-AU"/>
        </w:rPr>
        <w:t xml:space="preserve">. </w:t>
      </w:r>
      <w:r w:rsidR="008B08B7">
        <w:rPr>
          <w:lang w:eastAsia="en-AU"/>
        </w:rPr>
        <w:t>It is the same time</w:t>
      </w:r>
      <w:r w:rsidR="00A5535F">
        <w:rPr>
          <w:lang w:eastAsia="en-AU"/>
        </w:rPr>
        <w:t xml:space="preserve"> </w:t>
      </w:r>
      <w:r w:rsidR="008B08B7">
        <w:rPr>
          <w:lang w:eastAsia="en-AU"/>
        </w:rPr>
        <w:t xml:space="preserve">frame as that </w:t>
      </w:r>
      <w:r>
        <w:t xml:space="preserve">previously specified in </w:t>
      </w:r>
      <w:r w:rsidR="00470A9A">
        <w:t xml:space="preserve">CAR </w:t>
      </w:r>
      <w:r w:rsidR="008B08B7">
        <w:t xml:space="preserve">for the conduct of flight checks. </w:t>
      </w:r>
      <w:r>
        <w:t xml:space="preserve">It is </w:t>
      </w:r>
      <w:r w:rsidR="00BF5B52">
        <w:t xml:space="preserve">also </w:t>
      </w:r>
      <w:r>
        <w:t>consistent with the time</w:t>
      </w:r>
      <w:r w:rsidR="00A5535F">
        <w:t xml:space="preserve"> </w:t>
      </w:r>
      <w:r>
        <w:t>frame specified by the equivalent New Zealand regulations, which require flight experience within the previous 30 days for student pilots to fly solo.</w:t>
      </w:r>
    </w:p>
    <w:p w14:paraId="04BDDF80" w14:textId="77777777" w:rsidR="00880FE9" w:rsidRPr="00360A97" w:rsidRDefault="00880FE9" w:rsidP="0071485C">
      <w:pPr>
        <w:pStyle w:val="LDBodytext"/>
      </w:pPr>
    </w:p>
    <w:p w14:paraId="054470A9" w14:textId="5FAE3F2F" w:rsidR="00EC3571" w:rsidRPr="002A71A3" w:rsidRDefault="008E1509" w:rsidP="00EC3571">
      <w:pPr>
        <w:tabs>
          <w:tab w:val="left" w:pos="1134"/>
          <w:tab w:val="left" w:pos="1701"/>
          <w:tab w:val="left" w:pos="2268"/>
          <w:tab w:val="left" w:pos="2835"/>
          <w:tab w:val="left" w:pos="3402"/>
        </w:tabs>
        <w:rPr>
          <w:rFonts w:ascii="Times New Roman" w:hAnsi="Times New Roman"/>
          <w:b/>
        </w:rPr>
      </w:pPr>
      <w:r w:rsidRPr="00EC3571">
        <w:rPr>
          <w:rFonts w:ascii="Times New Roman" w:hAnsi="Times New Roman"/>
          <w:b/>
          <w:i/>
        </w:rPr>
        <w:t>Legislati</w:t>
      </w:r>
      <w:r w:rsidR="00EC3571" w:rsidRPr="00EC3571">
        <w:rPr>
          <w:rFonts w:ascii="Times New Roman" w:hAnsi="Times New Roman"/>
          <w:b/>
          <w:i/>
        </w:rPr>
        <w:t xml:space="preserve">on Act </w:t>
      </w:r>
      <w:r w:rsidR="00670C8F" w:rsidRPr="00EC3571">
        <w:rPr>
          <w:rFonts w:ascii="Times New Roman" w:hAnsi="Times New Roman"/>
          <w:b/>
          <w:i/>
        </w:rPr>
        <w:t>2003</w:t>
      </w:r>
      <w:r w:rsidR="00EC3571">
        <w:rPr>
          <w:rFonts w:ascii="Times New Roman" w:hAnsi="Times New Roman"/>
          <w:b/>
          <w:i/>
        </w:rPr>
        <w:t xml:space="preserve"> </w:t>
      </w:r>
      <w:r w:rsidR="002A71A3">
        <w:rPr>
          <w:rFonts w:ascii="Times New Roman" w:hAnsi="Times New Roman"/>
          <w:b/>
        </w:rPr>
        <w:t xml:space="preserve">(the </w:t>
      </w:r>
      <w:r w:rsidR="002A71A3">
        <w:rPr>
          <w:rFonts w:ascii="Times New Roman" w:hAnsi="Times New Roman"/>
          <w:b/>
          <w:i/>
        </w:rPr>
        <w:t>LA</w:t>
      </w:r>
      <w:r w:rsidR="002A71A3">
        <w:rPr>
          <w:rFonts w:ascii="Times New Roman" w:hAnsi="Times New Roman"/>
          <w:b/>
        </w:rPr>
        <w:t>)</w:t>
      </w:r>
    </w:p>
    <w:p w14:paraId="7B28C25D" w14:textId="55E5A8A8" w:rsidR="000B40AA" w:rsidRPr="00305C66" w:rsidRDefault="00305C66" w:rsidP="00EC3571">
      <w:pPr>
        <w:tabs>
          <w:tab w:val="left" w:pos="1134"/>
          <w:tab w:val="left" w:pos="1701"/>
          <w:tab w:val="left" w:pos="2268"/>
          <w:tab w:val="left" w:pos="2835"/>
          <w:tab w:val="left" w:pos="3402"/>
        </w:tabs>
        <w:rPr>
          <w:rFonts w:ascii="Times New Roman" w:hAnsi="Times New Roman"/>
        </w:rPr>
      </w:pPr>
      <w:r>
        <w:rPr>
          <w:rFonts w:ascii="Times New Roman" w:hAnsi="Times New Roman"/>
        </w:rPr>
        <w:t>Paragraph 98 (5A) (a) of the Act provides that CASA may issue instruments in relation to matters affecting the safe navigation and operation or the maintenance of aircraft. Additionally, paragraph 98</w:t>
      </w:r>
      <w:r w:rsidR="00D66178">
        <w:rPr>
          <w:rFonts w:ascii="Times New Roman" w:hAnsi="Times New Roman"/>
        </w:rPr>
        <w:t> </w:t>
      </w:r>
      <w:r>
        <w:rPr>
          <w:rFonts w:ascii="Times New Roman" w:hAnsi="Times New Roman"/>
        </w:rPr>
        <w:t>(5AA)</w:t>
      </w:r>
      <w:r w:rsidR="00D66178">
        <w:rPr>
          <w:rFonts w:ascii="Times New Roman" w:hAnsi="Times New Roman"/>
        </w:rPr>
        <w:t> </w:t>
      </w:r>
      <w:r>
        <w:rPr>
          <w:rFonts w:ascii="Times New Roman" w:hAnsi="Times New Roman"/>
        </w:rPr>
        <w:t>(a) of the Act provides that an instrument issued under paragraph 98</w:t>
      </w:r>
      <w:r w:rsidR="00D66178">
        <w:rPr>
          <w:rFonts w:ascii="Times New Roman" w:hAnsi="Times New Roman"/>
        </w:rPr>
        <w:t> </w:t>
      </w:r>
      <w:r>
        <w:rPr>
          <w:rFonts w:ascii="Times New Roman" w:hAnsi="Times New Roman"/>
        </w:rPr>
        <w:t>(5A)</w:t>
      </w:r>
      <w:r w:rsidR="00D66178">
        <w:rPr>
          <w:rFonts w:ascii="Times New Roman" w:hAnsi="Times New Roman"/>
        </w:rPr>
        <w:t> </w:t>
      </w:r>
      <w:r>
        <w:rPr>
          <w:rFonts w:ascii="Times New Roman" w:hAnsi="Times New Roman"/>
        </w:rPr>
        <w:t>(a) is a legislative instrument if the instrument is expressed to apply in relation to a class of persons. As the instrument exempts student pilots (a class of persons) from a requirement of CASR it is a legislative instrument. It is</w:t>
      </w:r>
      <w:r w:rsidR="00785B9E">
        <w:rPr>
          <w:rFonts w:ascii="Times New Roman" w:hAnsi="Times New Roman"/>
        </w:rPr>
        <w:t>,</w:t>
      </w:r>
      <w:r>
        <w:rPr>
          <w:rFonts w:ascii="Times New Roman" w:hAnsi="Times New Roman"/>
        </w:rPr>
        <w:t xml:space="preserve"> therefore</w:t>
      </w:r>
      <w:r w:rsidR="00785B9E">
        <w:rPr>
          <w:rFonts w:ascii="Times New Roman" w:hAnsi="Times New Roman"/>
        </w:rPr>
        <w:t>,</w:t>
      </w:r>
      <w:r>
        <w:rPr>
          <w:rFonts w:ascii="Times New Roman" w:hAnsi="Times New Roman"/>
        </w:rPr>
        <w:t xml:space="preserve"> </w:t>
      </w:r>
      <w:r w:rsidR="00593575" w:rsidRPr="00593575">
        <w:rPr>
          <w:rFonts w:ascii="Times New Roman" w:hAnsi="Times New Roman"/>
        </w:rPr>
        <w:t xml:space="preserve">subject to tabling and disallowance in the Parliament under sections 38 and 42 of the </w:t>
      </w:r>
      <w:r w:rsidR="002A71A3">
        <w:rPr>
          <w:rFonts w:ascii="Times New Roman" w:hAnsi="Times New Roman"/>
        </w:rPr>
        <w:t>LA.</w:t>
      </w:r>
    </w:p>
    <w:p w14:paraId="65B57514" w14:textId="77777777" w:rsidR="00B56F79" w:rsidRPr="00C31047" w:rsidRDefault="00B56F79" w:rsidP="00273307">
      <w:pPr>
        <w:pStyle w:val="LDBodytext"/>
      </w:pPr>
    </w:p>
    <w:p w14:paraId="7D596471" w14:textId="6B574926" w:rsidR="00601064" w:rsidRPr="00DD20B4" w:rsidRDefault="00601064" w:rsidP="00B063A3">
      <w:pPr>
        <w:tabs>
          <w:tab w:val="left" w:pos="1134"/>
          <w:tab w:val="left" w:pos="1701"/>
          <w:tab w:val="left" w:pos="2268"/>
          <w:tab w:val="left" w:pos="2835"/>
          <w:tab w:val="left" w:pos="3402"/>
        </w:tabs>
        <w:rPr>
          <w:rFonts w:ascii="Times New Roman" w:hAnsi="Times New Roman"/>
          <w:b/>
        </w:rPr>
      </w:pPr>
      <w:r w:rsidRPr="00DD20B4">
        <w:rPr>
          <w:rFonts w:ascii="Times New Roman" w:hAnsi="Times New Roman"/>
          <w:b/>
        </w:rPr>
        <w:t>Consultation</w:t>
      </w:r>
    </w:p>
    <w:p w14:paraId="46EF611B" w14:textId="3A322F92" w:rsidR="00504617" w:rsidRPr="00DD20B4" w:rsidRDefault="00504617" w:rsidP="00504617">
      <w:pPr>
        <w:pStyle w:val="LDBodytext"/>
        <w:rPr>
          <w:lang w:eastAsia="en-AU"/>
        </w:rPr>
      </w:pPr>
      <w:r w:rsidRPr="00DD20B4">
        <w:rPr>
          <w:lang w:eastAsia="en-AU"/>
        </w:rPr>
        <w:t xml:space="preserve">The current instrument </w:t>
      </w:r>
      <w:r w:rsidRPr="00DD20B4">
        <w:t xml:space="preserve">was issued by CASA after the effect of paragraph 61.115 (1) (a) of CASR was brought to its notice by the aviation industry, including from flight training schools at a forum on Part 61 on 17 December 2014. </w:t>
      </w:r>
      <w:r w:rsidRPr="00DD20B4">
        <w:rPr>
          <w:lang w:eastAsia="en-AU"/>
        </w:rPr>
        <w:t xml:space="preserve">Following that notice, the </w:t>
      </w:r>
      <w:r w:rsidR="001E6EB7" w:rsidRPr="00DD20B4">
        <w:rPr>
          <w:lang w:eastAsia="en-AU"/>
        </w:rPr>
        <w:t xml:space="preserve">Flight Crew Licensing Subcommittee of the </w:t>
      </w:r>
      <w:r w:rsidR="00027B44" w:rsidRPr="00DD20B4">
        <w:rPr>
          <w:lang w:eastAsia="en-AU"/>
        </w:rPr>
        <w:t xml:space="preserve">Standards Consultative Committee, </w:t>
      </w:r>
      <w:r w:rsidR="001E6EB7" w:rsidRPr="00DD20B4">
        <w:rPr>
          <w:lang w:eastAsia="en-AU"/>
        </w:rPr>
        <w:t xml:space="preserve">which was the </w:t>
      </w:r>
      <w:r w:rsidR="00027B44" w:rsidRPr="00DD20B4">
        <w:rPr>
          <w:lang w:eastAsia="en-AU"/>
        </w:rPr>
        <w:t>CASA industry consultation forum</w:t>
      </w:r>
      <w:r w:rsidR="001E6EB7" w:rsidRPr="00DD20B4">
        <w:rPr>
          <w:lang w:eastAsia="en-AU"/>
        </w:rPr>
        <w:t xml:space="preserve"> when the current exemption was made,</w:t>
      </w:r>
      <w:r w:rsidR="00027B44" w:rsidRPr="00DD20B4">
        <w:rPr>
          <w:lang w:eastAsia="en-AU"/>
        </w:rPr>
        <w:t xml:space="preserve"> </w:t>
      </w:r>
      <w:r w:rsidRPr="00DD20B4">
        <w:rPr>
          <w:lang w:eastAsia="en-AU"/>
        </w:rPr>
        <w:t>recommended in March</w:t>
      </w:r>
      <w:r w:rsidR="001E6EB7" w:rsidRPr="00DD20B4">
        <w:rPr>
          <w:lang w:eastAsia="en-AU"/>
        </w:rPr>
        <w:t> </w:t>
      </w:r>
      <w:r w:rsidRPr="00DD20B4">
        <w:rPr>
          <w:lang w:eastAsia="en-AU"/>
        </w:rPr>
        <w:t>2015 that the requirement in Part 61 be changed to reflect the previous rule under CAR which was 30 days between flight checks.</w:t>
      </w:r>
    </w:p>
    <w:p w14:paraId="686D1515" w14:textId="77777777" w:rsidR="00504617" w:rsidRPr="00DD20B4" w:rsidRDefault="00504617" w:rsidP="00504617">
      <w:pPr>
        <w:tabs>
          <w:tab w:val="left" w:pos="1134"/>
          <w:tab w:val="left" w:pos="1701"/>
          <w:tab w:val="left" w:pos="2268"/>
          <w:tab w:val="left" w:pos="2835"/>
          <w:tab w:val="left" w:pos="3402"/>
        </w:tabs>
        <w:rPr>
          <w:lang w:eastAsia="en-AU"/>
        </w:rPr>
      </w:pPr>
    </w:p>
    <w:p w14:paraId="2EFE35A0" w14:textId="6CE6C964" w:rsidR="00E67578" w:rsidRPr="00087571" w:rsidRDefault="00E67578" w:rsidP="00F949BA">
      <w:pPr>
        <w:pStyle w:val="LDBodytext"/>
        <w:rPr>
          <w:lang w:eastAsia="en-AU"/>
        </w:rPr>
      </w:pPr>
      <w:r w:rsidRPr="00DD20B4">
        <w:rPr>
          <w:lang w:eastAsia="en-AU"/>
        </w:rPr>
        <w:t xml:space="preserve">The instrument </w:t>
      </w:r>
      <w:r w:rsidR="0010563A" w:rsidRPr="00DD20B4">
        <w:rPr>
          <w:lang w:eastAsia="en-AU"/>
        </w:rPr>
        <w:t>is made in substantially similar terms as the current instrument. T</w:t>
      </w:r>
      <w:r w:rsidRPr="00DD20B4">
        <w:rPr>
          <w:lang w:eastAsia="en-AU"/>
        </w:rPr>
        <w:t xml:space="preserve">he exemption is beneficial to industry and </w:t>
      </w:r>
      <w:r w:rsidR="001E6EB7" w:rsidRPr="00DD20B4">
        <w:rPr>
          <w:lang w:eastAsia="en-AU"/>
        </w:rPr>
        <w:t xml:space="preserve">reflects </w:t>
      </w:r>
      <w:r w:rsidRPr="00DD20B4">
        <w:rPr>
          <w:lang w:eastAsia="en-AU"/>
        </w:rPr>
        <w:t xml:space="preserve">the </w:t>
      </w:r>
      <w:r w:rsidR="00303D8B" w:rsidRPr="00DD20B4">
        <w:rPr>
          <w:lang w:eastAsia="en-AU"/>
        </w:rPr>
        <w:t>current arrangements</w:t>
      </w:r>
      <w:r w:rsidR="001E6EB7" w:rsidRPr="00DD20B4">
        <w:rPr>
          <w:lang w:eastAsia="en-AU"/>
        </w:rPr>
        <w:t>. R</w:t>
      </w:r>
      <w:r w:rsidRPr="00DD20B4">
        <w:rPr>
          <w:lang w:eastAsia="en-AU"/>
        </w:rPr>
        <w:t xml:space="preserve">egulatory amendments </w:t>
      </w:r>
      <w:r w:rsidR="00504617" w:rsidRPr="00DD20B4">
        <w:rPr>
          <w:lang w:eastAsia="en-AU"/>
        </w:rPr>
        <w:t xml:space="preserve">are </w:t>
      </w:r>
      <w:r w:rsidR="001E6EB7" w:rsidRPr="00DD20B4">
        <w:rPr>
          <w:lang w:eastAsia="en-AU"/>
        </w:rPr>
        <w:t xml:space="preserve">proposed </w:t>
      </w:r>
      <w:r w:rsidRPr="00DD20B4">
        <w:rPr>
          <w:lang w:eastAsia="en-AU"/>
        </w:rPr>
        <w:t>to replace the need for the exemption.</w:t>
      </w:r>
    </w:p>
    <w:p w14:paraId="4964DF11" w14:textId="77777777" w:rsidR="00504617" w:rsidRPr="00087571" w:rsidRDefault="00504617" w:rsidP="00F949BA">
      <w:pPr>
        <w:pStyle w:val="LDBodytext"/>
        <w:rPr>
          <w:lang w:eastAsia="en-AU"/>
        </w:rPr>
      </w:pPr>
    </w:p>
    <w:p w14:paraId="27C004D5" w14:textId="061FE75C" w:rsidR="00102810" w:rsidRPr="00087571" w:rsidRDefault="00102810" w:rsidP="00102810">
      <w:pPr>
        <w:tabs>
          <w:tab w:val="left" w:pos="1134"/>
          <w:tab w:val="left" w:pos="1701"/>
          <w:tab w:val="left" w:pos="2268"/>
          <w:tab w:val="left" w:pos="2835"/>
          <w:tab w:val="left" w:pos="3402"/>
        </w:tabs>
        <w:rPr>
          <w:iCs/>
        </w:rPr>
      </w:pPr>
      <w:r w:rsidRPr="00087571">
        <w:rPr>
          <w:iCs/>
        </w:rPr>
        <w:lastRenderedPageBreak/>
        <w:t xml:space="preserve">In these circumstances, </w:t>
      </w:r>
      <w:r w:rsidR="00F949BA" w:rsidRPr="00087571">
        <w:rPr>
          <w:iCs/>
        </w:rPr>
        <w:t xml:space="preserve">CASA considers that it is not </w:t>
      </w:r>
      <w:r w:rsidRPr="00087571">
        <w:rPr>
          <w:iCs/>
        </w:rPr>
        <w:t xml:space="preserve">necessary or appropriate to undertake any further consultation </w:t>
      </w:r>
      <w:r w:rsidR="00F949BA" w:rsidRPr="00087571">
        <w:rPr>
          <w:iCs/>
        </w:rPr>
        <w:t>on this instrument</w:t>
      </w:r>
      <w:r w:rsidR="00504617" w:rsidRPr="00087571">
        <w:rPr>
          <w:iCs/>
        </w:rPr>
        <w:t xml:space="preserve"> for section 17 of the LA.</w:t>
      </w:r>
    </w:p>
    <w:p w14:paraId="1840AF0E" w14:textId="77777777" w:rsidR="003E6DDF" w:rsidRPr="00087571" w:rsidRDefault="003E6DDF" w:rsidP="00305C66">
      <w:pPr>
        <w:rPr>
          <w:rFonts w:ascii="Times New Roman" w:hAnsi="Times New Roman"/>
          <w:b/>
        </w:rPr>
      </w:pPr>
    </w:p>
    <w:p w14:paraId="188E82CD" w14:textId="10FB6AE6" w:rsidR="00305C66" w:rsidRPr="00087571" w:rsidRDefault="00305C66" w:rsidP="00305C66">
      <w:pPr>
        <w:rPr>
          <w:rFonts w:ascii="Times New Roman" w:hAnsi="Times New Roman"/>
          <w:b/>
        </w:rPr>
      </w:pPr>
      <w:r w:rsidRPr="00087571">
        <w:rPr>
          <w:rFonts w:ascii="Times New Roman" w:hAnsi="Times New Roman"/>
          <w:b/>
        </w:rPr>
        <w:t>Office of Best Practice Regulation (</w:t>
      </w:r>
      <w:r w:rsidRPr="00087571">
        <w:rPr>
          <w:rFonts w:ascii="Times New Roman" w:hAnsi="Times New Roman"/>
          <w:b/>
          <w:i/>
        </w:rPr>
        <w:t>OBPR</w:t>
      </w:r>
      <w:r w:rsidRPr="00087571">
        <w:rPr>
          <w:rFonts w:ascii="Times New Roman" w:hAnsi="Times New Roman"/>
          <w:b/>
        </w:rPr>
        <w:t>)</w:t>
      </w:r>
    </w:p>
    <w:p w14:paraId="7267B738" w14:textId="6B7673E4" w:rsidR="00305C66" w:rsidRPr="00087571" w:rsidRDefault="00305C66" w:rsidP="00305C66">
      <w:pPr>
        <w:pStyle w:val="LDBodytext"/>
      </w:pPr>
      <w:r w:rsidRPr="00087571">
        <w:t>A Regulation Impact Statement (</w:t>
      </w:r>
      <w:r w:rsidRPr="00087571">
        <w:rPr>
          <w:b/>
          <w:i/>
        </w:rPr>
        <w:t>RIS</w:t>
      </w:r>
      <w:r w:rsidRPr="00087571">
        <w:t>) is not required in this case, as the exemption is covered by a standing agreement between CASA and OBPR under which a RIS is not required for exemptions (OBPR id: 14507).</w:t>
      </w:r>
    </w:p>
    <w:p w14:paraId="1C2F450D" w14:textId="77777777" w:rsidR="00305C66" w:rsidRPr="00087571" w:rsidRDefault="00305C66" w:rsidP="00C70EC8">
      <w:pPr>
        <w:overflowPunct/>
        <w:autoSpaceDE/>
        <w:autoSpaceDN/>
        <w:adjustRightInd/>
        <w:textAlignment w:val="auto"/>
        <w:rPr>
          <w:b/>
          <w:lang w:eastAsia="en-AU"/>
        </w:rPr>
      </w:pPr>
    </w:p>
    <w:p w14:paraId="129EBE6B" w14:textId="15F9689E" w:rsidR="00C70EC8" w:rsidRPr="00087571" w:rsidRDefault="00C70EC8" w:rsidP="00C70EC8">
      <w:pPr>
        <w:overflowPunct/>
        <w:autoSpaceDE/>
        <w:autoSpaceDN/>
        <w:adjustRightInd/>
        <w:textAlignment w:val="auto"/>
        <w:rPr>
          <w:b/>
          <w:lang w:eastAsia="en-AU"/>
        </w:rPr>
      </w:pPr>
      <w:r w:rsidRPr="00087571">
        <w:rPr>
          <w:b/>
          <w:lang w:eastAsia="en-AU"/>
        </w:rPr>
        <w:t>Statement of Compatibility with Human Rights</w:t>
      </w:r>
    </w:p>
    <w:p w14:paraId="62D8FAD2" w14:textId="77777777" w:rsidR="00305C66" w:rsidRPr="00087571" w:rsidRDefault="00305C66" w:rsidP="00305C66">
      <w:pPr>
        <w:rPr>
          <w:rFonts w:ascii="Times New Roman" w:hAnsi="Times New Roman"/>
        </w:rPr>
      </w:pPr>
      <w:r w:rsidRPr="00087571">
        <w:rPr>
          <w:rFonts w:ascii="Times New Roman" w:hAnsi="Times New Roman"/>
        </w:rPr>
        <w:t xml:space="preserve">The Statement of Compatibility with Human Rights at Attachment 1 has been prepared in accordance with Part 3 of the </w:t>
      </w:r>
      <w:r w:rsidRPr="00087571">
        <w:rPr>
          <w:rFonts w:ascii="Times New Roman" w:hAnsi="Times New Roman"/>
          <w:i/>
        </w:rPr>
        <w:t>Human Rights (Parliamentary Scrutiny) Act 2011</w:t>
      </w:r>
      <w:r w:rsidRPr="00087571">
        <w:rPr>
          <w:rFonts w:ascii="Times New Roman" w:hAnsi="Times New Roman"/>
        </w:rPr>
        <w:t>. The instrument does not engage any of the applicable rights or freedoms, and is compatible with human rights, as it does not raise any human rights issues.</w:t>
      </w:r>
    </w:p>
    <w:p w14:paraId="4BF11B47" w14:textId="77777777" w:rsidR="00C70EC8" w:rsidRPr="00087571" w:rsidRDefault="00C70EC8" w:rsidP="00C70EC8">
      <w:pPr>
        <w:overflowPunct/>
        <w:autoSpaceDE/>
        <w:autoSpaceDN/>
        <w:adjustRightInd/>
        <w:textAlignment w:val="auto"/>
        <w:rPr>
          <w:lang w:eastAsia="en-AU"/>
        </w:rPr>
      </w:pPr>
    </w:p>
    <w:p w14:paraId="7BB05C37" w14:textId="77777777" w:rsidR="00C70EC8" w:rsidRPr="00087571" w:rsidRDefault="00C70EC8" w:rsidP="00C70EC8">
      <w:pPr>
        <w:overflowPunct/>
        <w:autoSpaceDE/>
        <w:autoSpaceDN/>
        <w:adjustRightInd/>
        <w:textAlignment w:val="auto"/>
        <w:rPr>
          <w:b/>
          <w:lang w:eastAsia="en-AU"/>
        </w:rPr>
      </w:pPr>
      <w:r w:rsidRPr="00087571">
        <w:rPr>
          <w:b/>
          <w:lang w:eastAsia="en-AU"/>
        </w:rPr>
        <w:t xml:space="preserve">Making and </w:t>
      </w:r>
      <w:r w:rsidR="00E90848" w:rsidRPr="00087571">
        <w:rPr>
          <w:b/>
          <w:lang w:eastAsia="en-AU"/>
        </w:rPr>
        <w:t>c</w:t>
      </w:r>
      <w:r w:rsidRPr="00087571">
        <w:rPr>
          <w:b/>
          <w:lang w:eastAsia="en-AU"/>
        </w:rPr>
        <w:t>ommencement</w:t>
      </w:r>
    </w:p>
    <w:p w14:paraId="37CE99A0" w14:textId="6C8E5C68" w:rsidR="00102810" w:rsidRPr="00087571" w:rsidRDefault="00102810" w:rsidP="00102810">
      <w:pPr>
        <w:overflowPunct/>
        <w:autoSpaceDE/>
        <w:autoSpaceDN/>
        <w:adjustRightInd/>
        <w:textAlignment w:val="auto"/>
        <w:rPr>
          <w:lang w:eastAsia="en-AU"/>
        </w:rPr>
      </w:pPr>
      <w:r w:rsidRPr="00087571">
        <w:rPr>
          <w:lang w:eastAsia="en-AU"/>
        </w:rPr>
        <w:t xml:space="preserve">The </w:t>
      </w:r>
      <w:r w:rsidR="0024541E" w:rsidRPr="00087571">
        <w:rPr>
          <w:lang w:eastAsia="en-AU"/>
        </w:rPr>
        <w:t xml:space="preserve">instrument </w:t>
      </w:r>
      <w:r w:rsidRPr="00087571">
        <w:rPr>
          <w:lang w:eastAsia="en-AU"/>
        </w:rPr>
        <w:t xml:space="preserve">has been made by </w:t>
      </w:r>
      <w:r w:rsidR="000C3D15" w:rsidRPr="00087571">
        <w:rPr>
          <w:lang w:eastAsia="en-AU"/>
        </w:rPr>
        <w:t xml:space="preserve">the </w:t>
      </w:r>
      <w:r w:rsidR="00934E03" w:rsidRPr="00087571">
        <w:rPr>
          <w:lang w:eastAsia="en-AU"/>
        </w:rPr>
        <w:t>Group Executive Manager, Aviation</w:t>
      </w:r>
      <w:r w:rsidR="00E90848" w:rsidRPr="00087571">
        <w:rPr>
          <w:lang w:eastAsia="en-AU"/>
        </w:rPr>
        <w:t>,</w:t>
      </w:r>
      <w:r w:rsidR="000C3D15" w:rsidRPr="00087571">
        <w:rPr>
          <w:lang w:eastAsia="en-AU"/>
        </w:rPr>
        <w:t xml:space="preserve"> </w:t>
      </w:r>
      <w:r w:rsidR="00934E03" w:rsidRPr="00087571">
        <w:rPr>
          <w:lang w:eastAsia="en-AU"/>
        </w:rPr>
        <w:t xml:space="preserve">a delegate of CASA, </w:t>
      </w:r>
      <w:r w:rsidRPr="00087571">
        <w:rPr>
          <w:lang w:eastAsia="en-AU"/>
        </w:rPr>
        <w:t xml:space="preserve">relying on </w:t>
      </w:r>
      <w:r w:rsidR="00934E03" w:rsidRPr="00087571">
        <w:rPr>
          <w:lang w:eastAsia="en-AU"/>
        </w:rPr>
        <w:t>the power of delegation under subregulation 11.260</w:t>
      </w:r>
      <w:r w:rsidR="00C31047">
        <w:rPr>
          <w:lang w:eastAsia="en-AU"/>
        </w:rPr>
        <w:t> </w:t>
      </w:r>
      <w:r w:rsidR="00934E03" w:rsidRPr="00087571">
        <w:rPr>
          <w:lang w:eastAsia="en-AU"/>
        </w:rPr>
        <w:t>(1) of CASR.</w:t>
      </w:r>
    </w:p>
    <w:p w14:paraId="0BE85B7B" w14:textId="77777777" w:rsidR="00C70EC8" w:rsidRPr="00087571" w:rsidRDefault="00C70EC8" w:rsidP="00C70EC8">
      <w:pPr>
        <w:overflowPunct/>
        <w:autoSpaceDE/>
        <w:autoSpaceDN/>
        <w:adjustRightInd/>
        <w:textAlignment w:val="auto"/>
        <w:rPr>
          <w:lang w:eastAsia="en-AU"/>
        </w:rPr>
      </w:pPr>
    </w:p>
    <w:p w14:paraId="6C0A34AE" w14:textId="2D1F7E27" w:rsidR="00102810" w:rsidRPr="00676237" w:rsidRDefault="00102810" w:rsidP="00102810">
      <w:pPr>
        <w:overflowPunct/>
        <w:autoSpaceDE/>
        <w:autoSpaceDN/>
        <w:adjustRightInd/>
        <w:textAlignment w:val="auto"/>
        <w:rPr>
          <w:lang w:eastAsia="en-AU"/>
        </w:rPr>
      </w:pPr>
      <w:r w:rsidRPr="00087571">
        <w:rPr>
          <w:lang w:eastAsia="en-AU"/>
        </w:rPr>
        <w:t xml:space="preserve">The </w:t>
      </w:r>
      <w:r w:rsidR="0024541E" w:rsidRPr="00087571">
        <w:rPr>
          <w:lang w:eastAsia="en-AU"/>
        </w:rPr>
        <w:t xml:space="preserve">instrument </w:t>
      </w:r>
      <w:r w:rsidRPr="00087571">
        <w:rPr>
          <w:lang w:eastAsia="en-AU"/>
        </w:rPr>
        <w:t xml:space="preserve">commences on </w:t>
      </w:r>
      <w:r w:rsidR="00934E03" w:rsidRPr="00087571">
        <w:rPr>
          <w:lang w:eastAsia="en-AU"/>
        </w:rPr>
        <w:t xml:space="preserve">1 May 2018 </w:t>
      </w:r>
      <w:r w:rsidRPr="00087571">
        <w:rPr>
          <w:lang w:eastAsia="en-AU"/>
        </w:rPr>
        <w:t xml:space="preserve">and </w:t>
      </w:r>
      <w:r w:rsidR="00934E03" w:rsidRPr="00087571">
        <w:rPr>
          <w:lang w:eastAsia="en-AU"/>
        </w:rPr>
        <w:t xml:space="preserve">is repealed </w:t>
      </w:r>
      <w:r w:rsidRPr="00087571">
        <w:rPr>
          <w:lang w:eastAsia="en-AU"/>
        </w:rPr>
        <w:t>at the end of</w:t>
      </w:r>
      <w:r w:rsidR="001E1E4B" w:rsidRPr="00087571">
        <w:rPr>
          <w:lang w:eastAsia="en-AU"/>
        </w:rPr>
        <w:t xml:space="preserve"> </w:t>
      </w:r>
      <w:r w:rsidR="00934E03" w:rsidRPr="00087571">
        <w:rPr>
          <w:lang w:eastAsia="en-AU"/>
        </w:rPr>
        <w:t xml:space="preserve">30 </w:t>
      </w:r>
      <w:r w:rsidR="000C3D15" w:rsidRPr="00087571">
        <w:rPr>
          <w:lang w:eastAsia="en-AU"/>
        </w:rPr>
        <w:t xml:space="preserve">April </w:t>
      </w:r>
      <w:r w:rsidR="001E1E4B" w:rsidRPr="00087571">
        <w:rPr>
          <w:lang w:eastAsia="en-AU"/>
        </w:rPr>
        <w:t>20</w:t>
      </w:r>
      <w:r w:rsidR="00934E03" w:rsidRPr="00087571">
        <w:rPr>
          <w:lang w:eastAsia="en-AU"/>
        </w:rPr>
        <w:t>21</w:t>
      </w:r>
      <w:r w:rsidR="00EE4FF5" w:rsidRPr="00087571">
        <w:rPr>
          <w:lang w:eastAsia="en-AU"/>
        </w:rPr>
        <w:t>.</w:t>
      </w:r>
    </w:p>
    <w:p w14:paraId="5E93DD7D" w14:textId="77777777" w:rsidR="00C70EC8" w:rsidRPr="00676237" w:rsidRDefault="00C70EC8" w:rsidP="00C70EC8">
      <w:pPr>
        <w:overflowPunct/>
        <w:autoSpaceDE/>
        <w:autoSpaceDN/>
        <w:adjustRightInd/>
        <w:textAlignment w:val="auto"/>
        <w:rPr>
          <w:lang w:eastAsia="en-AU"/>
        </w:rPr>
      </w:pPr>
    </w:p>
    <w:p w14:paraId="7498D2CC" w14:textId="77777777" w:rsidR="00C70EC8" w:rsidRPr="00CB3A77" w:rsidRDefault="00C70EC8" w:rsidP="00CB3A77">
      <w:pPr>
        <w:keepNext/>
        <w:pageBreakBefore/>
        <w:spacing w:after="120"/>
        <w:jc w:val="right"/>
        <w:rPr>
          <w:rFonts w:ascii="Times New Roman" w:hAnsi="Times New Roman"/>
          <w:b/>
        </w:rPr>
      </w:pPr>
      <w:bookmarkStart w:id="0" w:name="_GoBack"/>
      <w:bookmarkEnd w:id="0"/>
      <w:r w:rsidRPr="00CB3A77">
        <w:rPr>
          <w:rFonts w:ascii="Times New Roman" w:hAnsi="Times New Roman"/>
          <w:b/>
        </w:rPr>
        <w:lastRenderedPageBreak/>
        <w:t>Attachment 1</w:t>
      </w:r>
    </w:p>
    <w:p w14:paraId="25DBE468" w14:textId="77777777" w:rsidR="00CB3A77" w:rsidRPr="00E8663A" w:rsidRDefault="00CB3A77" w:rsidP="00CB3A77">
      <w:pPr>
        <w:spacing w:before="120" w:after="120"/>
      </w:pPr>
    </w:p>
    <w:p w14:paraId="7FD62CD7" w14:textId="77777777" w:rsidR="00C70EC8" w:rsidRPr="00E4135E" w:rsidRDefault="00C70EC8" w:rsidP="00C70EC8">
      <w:pPr>
        <w:spacing w:before="360" w:after="120"/>
        <w:jc w:val="center"/>
        <w:rPr>
          <w:b/>
          <w:sz w:val="28"/>
          <w:szCs w:val="28"/>
        </w:rPr>
      </w:pPr>
      <w:r w:rsidRPr="00E4135E">
        <w:rPr>
          <w:b/>
          <w:sz w:val="28"/>
          <w:szCs w:val="28"/>
        </w:rPr>
        <w:t>Statement of Compatibility with Human Rights</w:t>
      </w:r>
    </w:p>
    <w:p w14:paraId="568323BF" w14:textId="77777777" w:rsidR="00C70EC8" w:rsidRPr="008860F9" w:rsidRDefault="00C70EC8" w:rsidP="00C70EC8">
      <w:pPr>
        <w:spacing w:before="120" w:after="120"/>
        <w:jc w:val="center"/>
      </w:pPr>
      <w:r w:rsidRPr="008860F9">
        <w:rPr>
          <w:i/>
        </w:rPr>
        <w:t xml:space="preserve">Prepared in accordance with Part 3 of the </w:t>
      </w:r>
      <w:r>
        <w:rPr>
          <w:i/>
        </w:rPr>
        <w:br/>
      </w:r>
      <w:r w:rsidRPr="008860F9">
        <w:rPr>
          <w:i/>
        </w:rPr>
        <w:t>Human Rights (Parliamentary Scrutiny) Act 2011</w:t>
      </w:r>
    </w:p>
    <w:p w14:paraId="7FFF4919" w14:textId="77777777" w:rsidR="00CB3A77" w:rsidRPr="00E8663A" w:rsidRDefault="00CB3A77" w:rsidP="00CB3A77">
      <w:pPr>
        <w:spacing w:before="120" w:after="120"/>
      </w:pPr>
    </w:p>
    <w:p w14:paraId="7FA447CD" w14:textId="7ABC60A1" w:rsidR="00C70EC8" w:rsidRPr="00303D8B" w:rsidRDefault="00305C66" w:rsidP="00C70EC8">
      <w:pPr>
        <w:spacing w:before="120" w:after="120"/>
        <w:jc w:val="center"/>
        <w:rPr>
          <w:b/>
          <w:i/>
        </w:rPr>
      </w:pPr>
      <w:r w:rsidRPr="00303D8B">
        <w:rPr>
          <w:b/>
          <w:i/>
        </w:rPr>
        <w:t>CASA EX</w:t>
      </w:r>
      <w:r w:rsidR="00496AC4">
        <w:rPr>
          <w:b/>
          <w:i/>
        </w:rPr>
        <w:t>46</w:t>
      </w:r>
      <w:r w:rsidRPr="00303D8B">
        <w:rPr>
          <w:b/>
          <w:i/>
        </w:rPr>
        <w:t>/18</w:t>
      </w:r>
      <w:r w:rsidR="00785B9E">
        <w:rPr>
          <w:b/>
          <w:i/>
        </w:rPr>
        <w:t> </w:t>
      </w:r>
      <w:r w:rsidRPr="00303D8B">
        <w:rPr>
          <w:b/>
          <w:i/>
        </w:rPr>
        <w:t>— Dual Flight Checks before Solo Flights (Student Pilots) Exemption</w:t>
      </w:r>
      <w:r w:rsidR="00785B9E">
        <w:rPr>
          <w:b/>
          <w:i/>
        </w:rPr>
        <w:t> </w:t>
      </w:r>
      <w:r w:rsidRPr="00303D8B">
        <w:rPr>
          <w:b/>
          <w:i/>
        </w:rPr>
        <w:t>2018</w:t>
      </w:r>
    </w:p>
    <w:p w14:paraId="5C639043" w14:textId="77777777" w:rsidR="00C70EC8" w:rsidRPr="00E8663A" w:rsidRDefault="00C70EC8" w:rsidP="00C70EC8">
      <w:pPr>
        <w:spacing w:before="120" w:after="120"/>
      </w:pPr>
    </w:p>
    <w:p w14:paraId="72A23FDD" w14:textId="77777777" w:rsidR="00C70EC8" w:rsidRPr="00E8663A" w:rsidRDefault="00C70EC8" w:rsidP="00C70EC8">
      <w:pPr>
        <w:spacing w:before="120" w:after="120"/>
        <w:jc w:val="center"/>
      </w:pPr>
      <w:r w:rsidRPr="00E8663A">
        <w:t>This legislative instrument is compatible with the human rights and freedoms recognised or declared in the international instruments listed in section 3 of the</w:t>
      </w:r>
      <w:r w:rsidRPr="00E8663A">
        <w:br/>
      </w:r>
      <w:r w:rsidRPr="00E8663A">
        <w:rPr>
          <w:i/>
        </w:rPr>
        <w:t>Human Rights (Parliamentary Scrutiny) Act 2011</w:t>
      </w:r>
      <w:r w:rsidRPr="00E8663A">
        <w:t>.</w:t>
      </w:r>
    </w:p>
    <w:p w14:paraId="55790635" w14:textId="77777777" w:rsidR="00C70EC8" w:rsidRPr="00E8663A" w:rsidRDefault="00C70EC8" w:rsidP="00C70EC8">
      <w:pPr>
        <w:spacing w:before="120" w:after="120"/>
      </w:pPr>
    </w:p>
    <w:p w14:paraId="1EF00216" w14:textId="77777777" w:rsidR="00C70EC8" w:rsidRPr="00087571" w:rsidRDefault="00C70EC8" w:rsidP="00C70EC8">
      <w:pPr>
        <w:rPr>
          <w:b/>
        </w:rPr>
      </w:pPr>
      <w:r w:rsidRPr="00E8663A">
        <w:rPr>
          <w:b/>
        </w:rPr>
        <w:t xml:space="preserve">Overview </w:t>
      </w:r>
      <w:r w:rsidRPr="00087571">
        <w:rPr>
          <w:b/>
        </w:rPr>
        <w:t>of the legislative instrument</w:t>
      </w:r>
    </w:p>
    <w:p w14:paraId="1D75BBEF" w14:textId="2BF13C16" w:rsidR="00982488" w:rsidRPr="00087571" w:rsidRDefault="002E2B9E" w:rsidP="00C70EC8">
      <w:r w:rsidRPr="00087571">
        <w:t xml:space="preserve">This instrument applies to </w:t>
      </w:r>
      <w:r w:rsidR="000C3D15" w:rsidRPr="00087571">
        <w:t>student pilots</w:t>
      </w:r>
      <w:r w:rsidR="0024541E" w:rsidRPr="00087571">
        <w:t xml:space="preserve"> </w:t>
      </w:r>
      <w:r w:rsidR="002D5F47" w:rsidRPr="00087571">
        <w:t xml:space="preserve">who conduct solo flights and </w:t>
      </w:r>
      <w:r w:rsidR="00FF692E" w:rsidRPr="00087571">
        <w:t xml:space="preserve">to </w:t>
      </w:r>
      <w:r w:rsidR="0024541E" w:rsidRPr="00087571">
        <w:t>flight instructors who approve solo flights by student pilots</w:t>
      </w:r>
      <w:r w:rsidRPr="00087571">
        <w:t xml:space="preserve">. </w:t>
      </w:r>
      <w:r w:rsidR="000C3D15" w:rsidRPr="00087571">
        <w:t xml:space="preserve">It allows </w:t>
      </w:r>
      <w:r w:rsidR="0024541E" w:rsidRPr="00087571">
        <w:t xml:space="preserve">student pilots </w:t>
      </w:r>
      <w:r w:rsidR="000C3D15" w:rsidRPr="00087571">
        <w:t>to undertake solo flight</w:t>
      </w:r>
      <w:r w:rsidR="0024541E" w:rsidRPr="00087571">
        <w:t>s</w:t>
      </w:r>
      <w:r w:rsidR="000C3D15" w:rsidRPr="00087571">
        <w:t xml:space="preserve"> </w:t>
      </w:r>
      <w:r w:rsidR="0024541E" w:rsidRPr="00087571">
        <w:t xml:space="preserve">provided they have undergone a dual flight check </w:t>
      </w:r>
      <w:r w:rsidR="0066693B" w:rsidRPr="00087571">
        <w:t xml:space="preserve">in the same type of aircraft </w:t>
      </w:r>
      <w:r w:rsidR="0024541E" w:rsidRPr="00087571">
        <w:t>within the 30</w:t>
      </w:r>
      <w:r w:rsidR="009E6456">
        <w:t> </w:t>
      </w:r>
      <w:r w:rsidR="0024541E" w:rsidRPr="00087571">
        <w:t>days before the solo flight. The instrument also allows flight instructors to approve s</w:t>
      </w:r>
      <w:r w:rsidR="0066693B" w:rsidRPr="00087571">
        <w:t>olo flights by student pilots who have complied with this condition.</w:t>
      </w:r>
    </w:p>
    <w:p w14:paraId="7C516C62" w14:textId="77777777" w:rsidR="00982488" w:rsidRPr="00087571" w:rsidRDefault="00982488" w:rsidP="00C70EC8"/>
    <w:p w14:paraId="0EE3012C" w14:textId="1C337238" w:rsidR="00303D8B" w:rsidRDefault="00982488" w:rsidP="00C70EC8">
      <w:r w:rsidRPr="00087571">
        <w:t xml:space="preserve">The dual flight exemption for student pilots </w:t>
      </w:r>
      <w:r w:rsidR="000C3D15" w:rsidRPr="00087571">
        <w:t xml:space="preserve">follows representations made by </w:t>
      </w:r>
      <w:r w:rsidR="000C3D15" w:rsidRPr="00087571">
        <w:rPr>
          <w:lang w:eastAsia="en-AU"/>
        </w:rPr>
        <w:t xml:space="preserve">the aviation industry. </w:t>
      </w:r>
      <w:r w:rsidR="000C3D15" w:rsidRPr="00087571">
        <w:t>It make</w:t>
      </w:r>
      <w:r w:rsidR="001E1E4B" w:rsidRPr="00087571">
        <w:t xml:space="preserve">s </w:t>
      </w:r>
      <w:r w:rsidRPr="00087571">
        <w:t xml:space="preserve">the obligation on </w:t>
      </w:r>
      <w:r w:rsidR="001E6EB7" w:rsidRPr="00087571">
        <w:t>student pilots t</w:t>
      </w:r>
      <w:r w:rsidRPr="00087571">
        <w:t xml:space="preserve">o </w:t>
      </w:r>
      <w:r w:rsidR="000C3D15" w:rsidRPr="00087571">
        <w:t xml:space="preserve">undergo a dual </w:t>
      </w:r>
      <w:r w:rsidR="005F2355" w:rsidRPr="00087571">
        <w:t xml:space="preserve">flight </w:t>
      </w:r>
      <w:r w:rsidR="000C3D15" w:rsidRPr="00087571">
        <w:t>check less onerous.</w:t>
      </w:r>
    </w:p>
    <w:p w14:paraId="1089A7FC" w14:textId="77777777" w:rsidR="00303D8B" w:rsidRDefault="00303D8B" w:rsidP="00C70EC8"/>
    <w:p w14:paraId="788CCFDE" w14:textId="7CB17C7F" w:rsidR="00102810" w:rsidRDefault="00303D8B" w:rsidP="00C70EC8">
      <w:r>
        <w:t xml:space="preserve">The instrument renews </w:t>
      </w:r>
      <w:r w:rsidR="001E6EB7">
        <w:t xml:space="preserve">and reflects the intention of instrument </w:t>
      </w:r>
      <w:r>
        <w:t xml:space="preserve">CASA EX78/15 </w:t>
      </w:r>
      <w:r w:rsidR="001E6EB7">
        <w:t>that expires at the end of April 2018.</w:t>
      </w:r>
    </w:p>
    <w:p w14:paraId="4D0F7B99" w14:textId="77777777" w:rsidR="0004383C" w:rsidRDefault="0004383C" w:rsidP="00C70EC8"/>
    <w:p w14:paraId="66057179" w14:textId="77777777" w:rsidR="00C70EC8" w:rsidRPr="00E8663A" w:rsidRDefault="00C70EC8" w:rsidP="00C70EC8">
      <w:pPr>
        <w:rPr>
          <w:b/>
        </w:rPr>
      </w:pPr>
      <w:r w:rsidRPr="00E8663A">
        <w:rPr>
          <w:b/>
        </w:rPr>
        <w:t>Human rights implications</w:t>
      </w:r>
    </w:p>
    <w:p w14:paraId="79DF2770" w14:textId="77777777" w:rsidR="00C70EC8" w:rsidRPr="00E8663A" w:rsidRDefault="00C70EC8" w:rsidP="00C70EC8">
      <w:r w:rsidRPr="00E8663A">
        <w:t>This legislative instrument does not engage any of the applicable rights or freedoms.</w:t>
      </w:r>
    </w:p>
    <w:p w14:paraId="00F8F6E4" w14:textId="77777777" w:rsidR="00C70EC8" w:rsidRPr="00E8663A" w:rsidRDefault="00C70EC8" w:rsidP="00C70EC8"/>
    <w:p w14:paraId="6A243E66" w14:textId="77777777" w:rsidR="00C70EC8" w:rsidRPr="00E8663A" w:rsidRDefault="00C70EC8" w:rsidP="00C70EC8">
      <w:pPr>
        <w:rPr>
          <w:b/>
        </w:rPr>
      </w:pPr>
      <w:r w:rsidRPr="00E8663A">
        <w:rPr>
          <w:b/>
        </w:rPr>
        <w:t>Conclusion</w:t>
      </w:r>
    </w:p>
    <w:p w14:paraId="0B7ACA64" w14:textId="77777777" w:rsidR="00C70EC8" w:rsidRPr="00E8663A" w:rsidRDefault="00C70EC8" w:rsidP="00C70EC8">
      <w:pPr>
        <w:spacing w:after="360"/>
      </w:pPr>
      <w:r w:rsidRPr="00E8663A">
        <w:t>This legislative instrument is compatible with human rights as it does not raise any human rights issues.</w:t>
      </w:r>
    </w:p>
    <w:p w14:paraId="00B31C86" w14:textId="77777777" w:rsidR="00C70EC8" w:rsidRDefault="00C70EC8" w:rsidP="00E90848">
      <w:pPr>
        <w:spacing w:before="120" w:after="120"/>
        <w:jc w:val="center"/>
      </w:pPr>
      <w:r w:rsidRPr="008860F9">
        <w:rPr>
          <w:b/>
          <w:bCs/>
        </w:rPr>
        <w:t>Civil Aviation Safety Authority</w:t>
      </w:r>
    </w:p>
    <w:sectPr w:rsidR="00C70EC8" w:rsidSect="00273307">
      <w:headerReference w:type="default" r:id="rId8"/>
      <w:footerReference w:type="even" r:id="rId9"/>
      <w:footerReference w:type="default" r:id="rId10"/>
      <w:pgSz w:w="11907" w:h="16840" w:code="9"/>
      <w:pgMar w:top="1134"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AB72" w14:textId="77777777" w:rsidR="008840E0" w:rsidRDefault="008840E0">
      <w:r>
        <w:separator/>
      </w:r>
    </w:p>
  </w:endnote>
  <w:endnote w:type="continuationSeparator" w:id="0">
    <w:p w14:paraId="6C351639" w14:textId="77777777" w:rsidR="008840E0" w:rsidRDefault="008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88C5" w14:textId="77777777" w:rsidR="008840E0" w:rsidRDefault="008840E0" w:rsidP="00004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61998D" w14:textId="77777777" w:rsidR="008840E0" w:rsidRDefault="008840E0" w:rsidP="004D5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D773" w14:textId="77777777" w:rsidR="008840E0" w:rsidRDefault="008840E0" w:rsidP="007664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EB03" w14:textId="77777777" w:rsidR="008840E0" w:rsidRDefault="008840E0">
      <w:r>
        <w:separator/>
      </w:r>
    </w:p>
  </w:footnote>
  <w:footnote w:type="continuationSeparator" w:id="0">
    <w:p w14:paraId="6C005D28" w14:textId="77777777" w:rsidR="008840E0" w:rsidRDefault="008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4075" w14:textId="2710BD1D" w:rsidR="008840E0" w:rsidRPr="00E55C95" w:rsidRDefault="008840E0" w:rsidP="008B40AA">
    <w:pPr>
      <w:pStyle w:val="Header"/>
      <w:jc w:val="center"/>
      <w:rPr>
        <w:rFonts w:ascii="Times New Roman" w:hAnsi="Times New Roman"/>
      </w:rPr>
    </w:pPr>
    <w:r w:rsidRPr="00E55C95">
      <w:rPr>
        <w:rStyle w:val="PageNumber"/>
        <w:rFonts w:ascii="Times New Roman" w:hAnsi="Times New Roman"/>
      </w:rPr>
      <w:fldChar w:fldCharType="begin"/>
    </w:r>
    <w:r w:rsidRPr="00E55C95">
      <w:rPr>
        <w:rStyle w:val="PageNumber"/>
        <w:rFonts w:ascii="Times New Roman" w:hAnsi="Times New Roman"/>
      </w:rPr>
      <w:instrText xml:space="preserve"> PAGE </w:instrText>
    </w:r>
    <w:r w:rsidRPr="00E55C95">
      <w:rPr>
        <w:rStyle w:val="PageNumber"/>
        <w:rFonts w:ascii="Times New Roman" w:hAnsi="Times New Roman"/>
      </w:rPr>
      <w:fldChar w:fldCharType="separate"/>
    </w:r>
    <w:r w:rsidR="003D058F">
      <w:rPr>
        <w:rStyle w:val="PageNumber"/>
        <w:rFonts w:ascii="Times New Roman" w:hAnsi="Times New Roman"/>
        <w:noProof/>
      </w:rPr>
      <w:t>4</w:t>
    </w:r>
    <w:r w:rsidRPr="00E55C95">
      <w:rPr>
        <w:rStyle w:val="PageNumber"/>
        <w:rFonts w:ascii="Times New Roman" w:hAnsi="Times New Roman"/>
      </w:rPr>
      <w:fldChar w:fldCharType="end"/>
    </w:r>
  </w:p>
  <w:p w14:paraId="44E9A32B" w14:textId="77777777" w:rsidR="008840E0" w:rsidRPr="00E55C95" w:rsidRDefault="008840E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96"/>
    <w:rsid w:val="00004095"/>
    <w:rsid w:val="0001792B"/>
    <w:rsid w:val="00017D0A"/>
    <w:rsid w:val="00020C7E"/>
    <w:rsid w:val="00027B44"/>
    <w:rsid w:val="0004383C"/>
    <w:rsid w:val="00045B80"/>
    <w:rsid w:val="000462F0"/>
    <w:rsid w:val="00087571"/>
    <w:rsid w:val="000A3EDF"/>
    <w:rsid w:val="000B0476"/>
    <w:rsid w:val="000B40AA"/>
    <w:rsid w:val="000C3D15"/>
    <w:rsid w:val="000C769C"/>
    <w:rsid w:val="000D7E97"/>
    <w:rsid w:val="000E029A"/>
    <w:rsid w:val="000E63BA"/>
    <w:rsid w:val="000E7BE4"/>
    <w:rsid w:val="000F1F13"/>
    <w:rsid w:val="000F5483"/>
    <w:rsid w:val="00100379"/>
    <w:rsid w:val="00101DB7"/>
    <w:rsid w:val="00102810"/>
    <w:rsid w:val="0010563A"/>
    <w:rsid w:val="00115F2D"/>
    <w:rsid w:val="001269A9"/>
    <w:rsid w:val="00146E3A"/>
    <w:rsid w:val="00152E83"/>
    <w:rsid w:val="001534E8"/>
    <w:rsid w:val="00157C5C"/>
    <w:rsid w:val="00163B31"/>
    <w:rsid w:val="001707D9"/>
    <w:rsid w:val="00175018"/>
    <w:rsid w:val="0018286D"/>
    <w:rsid w:val="00194BA4"/>
    <w:rsid w:val="001A214A"/>
    <w:rsid w:val="001A4D5A"/>
    <w:rsid w:val="001A7289"/>
    <w:rsid w:val="001C2A84"/>
    <w:rsid w:val="001C46A0"/>
    <w:rsid w:val="001C7F71"/>
    <w:rsid w:val="001D35A9"/>
    <w:rsid w:val="001D3725"/>
    <w:rsid w:val="001D580E"/>
    <w:rsid w:val="001D6E7D"/>
    <w:rsid w:val="001E1E4B"/>
    <w:rsid w:val="001E423C"/>
    <w:rsid w:val="001E61BD"/>
    <w:rsid w:val="001E6EB7"/>
    <w:rsid w:val="002153C4"/>
    <w:rsid w:val="00216D62"/>
    <w:rsid w:val="00227DBF"/>
    <w:rsid w:val="00235C08"/>
    <w:rsid w:val="00244659"/>
    <w:rsid w:val="0024541E"/>
    <w:rsid w:val="00261803"/>
    <w:rsid w:val="00262FD0"/>
    <w:rsid w:val="00273307"/>
    <w:rsid w:val="00280679"/>
    <w:rsid w:val="002A71A3"/>
    <w:rsid w:val="002C0E6A"/>
    <w:rsid w:val="002D1A98"/>
    <w:rsid w:val="002D5F47"/>
    <w:rsid w:val="002E2B9E"/>
    <w:rsid w:val="002E4FDB"/>
    <w:rsid w:val="002E7954"/>
    <w:rsid w:val="002F6A1C"/>
    <w:rsid w:val="00303D8B"/>
    <w:rsid w:val="00305B4B"/>
    <w:rsid w:val="00305C66"/>
    <w:rsid w:val="00320971"/>
    <w:rsid w:val="00321EC0"/>
    <w:rsid w:val="003257FB"/>
    <w:rsid w:val="00331908"/>
    <w:rsid w:val="00331FA8"/>
    <w:rsid w:val="00344811"/>
    <w:rsid w:val="003474A4"/>
    <w:rsid w:val="0035303B"/>
    <w:rsid w:val="00356B6B"/>
    <w:rsid w:val="00360A97"/>
    <w:rsid w:val="003637E8"/>
    <w:rsid w:val="003659CD"/>
    <w:rsid w:val="0036781B"/>
    <w:rsid w:val="003718DE"/>
    <w:rsid w:val="00373E47"/>
    <w:rsid w:val="00390AC8"/>
    <w:rsid w:val="003929EF"/>
    <w:rsid w:val="0039474B"/>
    <w:rsid w:val="003A37A7"/>
    <w:rsid w:val="003B76DE"/>
    <w:rsid w:val="003C27D0"/>
    <w:rsid w:val="003C498D"/>
    <w:rsid w:val="003C4A5B"/>
    <w:rsid w:val="003D058F"/>
    <w:rsid w:val="003D4839"/>
    <w:rsid w:val="003E0C6C"/>
    <w:rsid w:val="003E0D10"/>
    <w:rsid w:val="003E1133"/>
    <w:rsid w:val="003E6DDF"/>
    <w:rsid w:val="00413A5D"/>
    <w:rsid w:val="00415C78"/>
    <w:rsid w:val="004161DF"/>
    <w:rsid w:val="00416D2D"/>
    <w:rsid w:val="00422AB5"/>
    <w:rsid w:val="00440D58"/>
    <w:rsid w:val="00443E7E"/>
    <w:rsid w:val="004460A5"/>
    <w:rsid w:val="00450226"/>
    <w:rsid w:val="00454704"/>
    <w:rsid w:val="00470A9A"/>
    <w:rsid w:val="00493621"/>
    <w:rsid w:val="00496AC4"/>
    <w:rsid w:val="0049741D"/>
    <w:rsid w:val="004C7E0E"/>
    <w:rsid w:val="004D568C"/>
    <w:rsid w:val="0050390A"/>
    <w:rsid w:val="00504617"/>
    <w:rsid w:val="00507C84"/>
    <w:rsid w:val="00507C86"/>
    <w:rsid w:val="00510519"/>
    <w:rsid w:val="00514B45"/>
    <w:rsid w:val="00521163"/>
    <w:rsid w:val="0054325E"/>
    <w:rsid w:val="005618A8"/>
    <w:rsid w:val="00577C17"/>
    <w:rsid w:val="00583163"/>
    <w:rsid w:val="0058404C"/>
    <w:rsid w:val="005852C0"/>
    <w:rsid w:val="00586576"/>
    <w:rsid w:val="00593575"/>
    <w:rsid w:val="00595398"/>
    <w:rsid w:val="005A11B8"/>
    <w:rsid w:val="005B385C"/>
    <w:rsid w:val="005E3EE6"/>
    <w:rsid w:val="005E621E"/>
    <w:rsid w:val="005F2355"/>
    <w:rsid w:val="005F2B2A"/>
    <w:rsid w:val="005F3432"/>
    <w:rsid w:val="00601064"/>
    <w:rsid w:val="0060277F"/>
    <w:rsid w:val="00612171"/>
    <w:rsid w:val="00613928"/>
    <w:rsid w:val="00631D1C"/>
    <w:rsid w:val="00635F45"/>
    <w:rsid w:val="006372DB"/>
    <w:rsid w:val="0063799B"/>
    <w:rsid w:val="006414BD"/>
    <w:rsid w:val="006448B1"/>
    <w:rsid w:val="00646FCB"/>
    <w:rsid w:val="00653675"/>
    <w:rsid w:val="00663202"/>
    <w:rsid w:val="00666140"/>
    <w:rsid w:val="0066693B"/>
    <w:rsid w:val="00670C8F"/>
    <w:rsid w:val="00690C25"/>
    <w:rsid w:val="00692A54"/>
    <w:rsid w:val="00694218"/>
    <w:rsid w:val="006C6399"/>
    <w:rsid w:val="006D21B9"/>
    <w:rsid w:val="006D354B"/>
    <w:rsid w:val="006E4269"/>
    <w:rsid w:val="006F6879"/>
    <w:rsid w:val="007019D0"/>
    <w:rsid w:val="00710458"/>
    <w:rsid w:val="00711B32"/>
    <w:rsid w:val="0071485C"/>
    <w:rsid w:val="00734DBE"/>
    <w:rsid w:val="007503BC"/>
    <w:rsid w:val="00754FB5"/>
    <w:rsid w:val="00766449"/>
    <w:rsid w:val="0077282D"/>
    <w:rsid w:val="00772DA2"/>
    <w:rsid w:val="00785B9E"/>
    <w:rsid w:val="0079545D"/>
    <w:rsid w:val="007B7893"/>
    <w:rsid w:val="007D55BA"/>
    <w:rsid w:val="007F334A"/>
    <w:rsid w:val="008026A2"/>
    <w:rsid w:val="00820BE3"/>
    <w:rsid w:val="008262D8"/>
    <w:rsid w:val="0084102A"/>
    <w:rsid w:val="00845836"/>
    <w:rsid w:val="00852F76"/>
    <w:rsid w:val="00856C27"/>
    <w:rsid w:val="008632C4"/>
    <w:rsid w:val="00867A03"/>
    <w:rsid w:val="00870591"/>
    <w:rsid w:val="00870EC2"/>
    <w:rsid w:val="00880BBF"/>
    <w:rsid w:val="00880FE9"/>
    <w:rsid w:val="008840E0"/>
    <w:rsid w:val="00890FCB"/>
    <w:rsid w:val="008928C1"/>
    <w:rsid w:val="00892C37"/>
    <w:rsid w:val="00893E30"/>
    <w:rsid w:val="008A7C61"/>
    <w:rsid w:val="008B08B7"/>
    <w:rsid w:val="008B40AA"/>
    <w:rsid w:val="008B64A0"/>
    <w:rsid w:val="008E04AA"/>
    <w:rsid w:val="008E1509"/>
    <w:rsid w:val="00905911"/>
    <w:rsid w:val="0090595E"/>
    <w:rsid w:val="00930911"/>
    <w:rsid w:val="00934E03"/>
    <w:rsid w:val="00940567"/>
    <w:rsid w:val="009575A0"/>
    <w:rsid w:val="00960B8A"/>
    <w:rsid w:val="00962C84"/>
    <w:rsid w:val="00982488"/>
    <w:rsid w:val="00983FCB"/>
    <w:rsid w:val="0099358A"/>
    <w:rsid w:val="009B3A84"/>
    <w:rsid w:val="009C5247"/>
    <w:rsid w:val="009C567E"/>
    <w:rsid w:val="009E6456"/>
    <w:rsid w:val="009F69DE"/>
    <w:rsid w:val="009F7FEC"/>
    <w:rsid w:val="00A007F6"/>
    <w:rsid w:val="00A04913"/>
    <w:rsid w:val="00A108B8"/>
    <w:rsid w:val="00A117F0"/>
    <w:rsid w:val="00A17F9D"/>
    <w:rsid w:val="00A24E4C"/>
    <w:rsid w:val="00A30633"/>
    <w:rsid w:val="00A31AC0"/>
    <w:rsid w:val="00A3523C"/>
    <w:rsid w:val="00A52E1E"/>
    <w:rsid w:val="00A5535F"/>
    <w:rsid w:val="00A61A78"/>
    <w:rsid w:val="00A66018"/>
    <w:rsid w:val="00A674BD"/>
    <w:rsid w:val="00A70CA1"/>
    <w:rsid w:val="00A82017"/>
    <w:rsid w:val="00A84D55"/>
    <w:rsid w:val="00AA2853"/>
    <w:rsid w:val="00AA432C"/>
    <w:rsid w:val="00AA50F1"/>
    <w:rsid w:val="00AA6969"/>
    <w:rsid w:val="00AA7D4B"/>
    <w:rsid w:val="00AB5864"/>
    <w:rsid w:val="00AE247E"/>
    <w:rsid w:val="00AE2C80"/>
    <w:rsid w:val="00AE37F2"/>
    <w:rsid w:val="00AF1467"/>
    <w:rsid w:val="00B00A49"/>
    <w:rsid w:val="00B04AB5"/>
    <w:rsid w:val="00B063A3"/>
    <w:rsid w:val="00B1190A"/>
    <w:rsid w:val="00B55EAA"/>
    <w:rsid w:val="00B56F79"/>
    <w:rsid w:val="00B6584C"/>
    <w:rsid w:val="00B67BD4"/>
    <w:rsid w:val="00B72E9A"/>
    <w:rsid w:val="00B80000"/>
    <w:rsid w:val="00B85A20"/>
    <w:rsid w:val="00B91CF3"/>
    <w:rsid w:val="00B925D2"/>
    <w:rsid w:val="00BA1DD0"/>
    <w:rsid w:val="00BB2FF3"/>
    <w:rsid w:val="00BB6240"/>
    <w:rsid w:val="00BD2ACC"/>
    <w:rsid w:val="00BD5E7D"/>
    <w:rsid w:val="00BF10C7"/>
    <w:rsid w:val="00BF43DD"/>
    <w:rsid w:val="00BF5B52"/>
    <w:rsid w:val="00BF6F01"/>
    <w:rsid w:val="00C0610C"/>
    <w:rsid w:val="00C24F5B"/>
    <w:rsid w:val="00C31047"/>
    <w:rsid w:val="00C407E0"/>
    <w:rsid w:val="00C46C55"/>
    <w:rsid w:val="00C560B6"/>
    <w:rsid w:val="00C60845"/>
    <w:rsid w:val="00C70EC8"/>
    <w:rsid w:val="00C73340"/>
    <w:rsid w:val="00C943FA"/>
    <w:rsid w:val="00C94ED3"/>
    <w:rsid w:val="00C967A2"/>
    <w:rsid w:val="00CB0758"/>
    <w:rsid w:val="00CB3A77"/>
    <w:rsid w:val="00CD5D83"/>
    <w:rsid w:val="00CD69D8"/>
    <w:rsid w:val="00CF18F3"/>
    <w:rsid w:val="00CF2914"/>
    <w:rsid w:val="00D13522"/>
    <w:rsid w:val="00D166E5"/>
    <w:rsid w:val="00D30722"/>
    <w:rsid w:val="00D315A4"/>
    <w:rsid w:val="00D60755"/>
    <w:rsid w:val="00D6106C"/>
    <w:rsid w:val="00D616D9"/>
    <w:rsid w:val="00D65FED"/>
    <w:rsid w:val="00D66178"/>
    <w:rsid w:val="00D863E3"/>
    <w:rsid w:val="00D958A1"/>
    <w:rsid w:val="00DA10D0"/>
    <w:rsid w:val="00DA35CB"/>
    <w:rsid w:val="00DB32D6"/>
    <w:rsid w:val="00DC2C40"/>
    <w:rsid w:val="00DD20B4"/>
    <w:rsid w:val="00DD3D75"/>
    <w:rsid w:val="00DD4D41"/>
    <w:rsid w:val="00E007BB"/>
    <w:rsid w:val="00E03582"/>
    <w:rsid w:val="00E035B6"/>
    <w:rsid w:val="00E12E3C"/>
    <w:rsid w:val="00E22393"/>
    <w:rsid w:val="00E26C29"/>
    <w:rsid w:val="00E3266B"/>
    <w:rsid w:val="00E3694B"/>
    <w:rsid w:val="00E55C95"/>
    <w:rsid w:val="00E65592"/>
    <w:rsid w:val="00E67578"/>
    <w:rsid w:val="00E72C22"/>
    <w:rsid w:val="00E8343F"/>
    <w:rsid w:val="00E84E3B"/>
    <w:rsid w:val="00E90848"/>
    <w:rsid w:val="00E930FF"/>
    <w:rsid w:val="00EB7F96"/>
    <w:rsid w:val="00EC3571"/>
    <w:rsid w:val="00EC4EB2"/>
    <w:rsid w:val="00ED6E5C"/>
    <w:rsid w:val="00EE4FF5"/>
    <w:rsid w:val="00EF5EDD"/>
    <w:rsid w:val="00EF6DCF"/>
    <w:rsid w:val="00F00A95"/>
    <w:rsid w:val="00F00B17"/>
    <w:rsid w:val="00F01C05"/>
    <w:rsid w:val="00F04BF6"/>
    <w:rsid w:val="00F05D6B"/>
    <w:rsid w:val="00F074FA"/>
    <w:rsid w:val="00F13A8C"/>
    <w:rsid w:val="00F60E99"/>
    <w:rsid w:val="00F81C80"/>
    <w:rsid w:val="00F90FAB"/>
    <w:rsid w:val="00F949BA"/>
    <w:rsid w:val="00F95ED7"/>
    <w:rsid w:val="00FA6ED4"/>
    <w:rsid w:val="00FB0C65"/>
    <w:rsid w:val="00FD57A9"/>
    <w:rsid w:val="00FE2F4A"/>
    <w:rsid w:val="00FE4364"/>
    <w:rsid w:val="00FE4BC9"/>
    <w:rsid w:val="00FF692E"/>
    <w:rsid w:val="00FF6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8A8E5"/>
  <w15:docId w15:val="{2737EC6D-58A3-4356-8F34-DE0C806A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DBodytext"/>
    <w:qFormat/>
    <w:rsid w:val="00E55C9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E55C95"/>
    <w:pPr>
      <w:keepNext/>
      <w:outlineLvl w:val="0"/>
    </w:pPr>
    <w:rPr>
      <w:rFonts w:ascii="Arial" w:hAnsi="Arial"/>
      <w:sz w:val="24"/>
      <w:szCs w:val="24"/>
      <w:lang w:eastAsia="en-US"/>
    </w:rPr>
  </w:style>
  <w:style w:type="paragraph" w:styleId="Heading2">
    <w:name w:val="heading 2"/>
    <w:basedOn w:val="Normal"/>
    <w:next w:val="Normal"/>
    <w:qFormat/>
    <w:rsid w:val="00E55C95"/>
    <w:pPr>
      <w:keepNext/>
      <w:outlineLvl w:val="1"/>
    </w:pPr>
    <w:rPr>
      <w:rFonts w:ascii="Arial" w:hAnsi="Arial" w:cs="Arial"/>
      <w:b/>
    </w:rPr>
  </w:style>
  <w:style w:type="paragraph" w:styleId="Heading3">
    <w:name w:val="heading 3"/>
    <w:basedOn w:val="Normal"/>
    <w:next w:val="Normal"/>
    <w:qFormat/>
    <w:rsid w:val="00E55C95"/>
    <w:pPr>
      <w:keepNext/>
      <w:spacing w:before="240" w:after="60"/>
      <w:outlineLvl w:val="2"/>
    </w:pPr>
    <w:rPr>
      <w:rFonts w:ascii="Arial" w:hAnsi="Arial" w:cs="Arial"/>
      <w:b/>
      <w:bCs/>
      <w:szCs w:val="26"/>
    </w:rPr>
  </w:style>
  <w:style w:type="paragraph" w:styleId="Heading4">
    <w:name w:val="heading 4"/>
    <w:basedOn w:val="Normal"/>
    <w:next w:val="Normal"/>
    <w:qFormat/>
    <w:rsid w:val="00E55C9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55C95"/>
    <w:pPr>
      <w:spacing w:before="240" w:after="60"/>
      <w:outlineLvl w:val="4"/>
    </w:pPr>
    <w:rPr>
      <w:b/>
      <w:bCs/>
      <w:i/>
      <w:iCs/>
      <w:szCs w:val="26"/>
    </w:rPr>
  </w:style>
  <w:style w:type="paragraph" w:styleId="Heading6">
    <w:name w:val="heading 6"/>
    <w:basedOn w:val="Normal"/>
    <w:next w:val="Normal"/>
    <w:qFormat/>
    <w:rsid w:val="00E55C95"/>
    <w:pPr>
      <w:spacing w:before="240" w:after="60"/>
      <w:outlineLvl w:val="5"/>
    </w:pPr>
    <w:rPr>
      <w:rFonts w:ascii="Times New Roman" w:hAnsi="Times New Roman"/>
      <w:b/>
      <w:bCs/>
      <w:sz w:val="22"/>
      <w:szCs w:val="22"/>
    </w:rPr>
  </w:style>
  <w:style w:type="paragraph" w:styleId="Heading7">
    <w:name w:val="heading 7"/>
    <w:basedOn w:val="Normal"/>
    <w:next w:val="Normal"/>
    <w:qFormat/>
    <w:rsid w:val="00E55C95"/>
    <w:pPr>
      <w:spacing w:before="240" w:after="60"/>
      <w:outlineLvl w:val="6"/>
    </w:pPr>
    <w:rPr>
      <w:rFonts w:ascii="Times New Roman" w:hAnsi="Times New Roman"/>
    </w:rPr>
  </w:style>
  <w:style w:type="paragraph" w:styleId="Heading8">
    <w:name w:val="heading 8"/>
    <w:basedOn w:val="Normal"/>
    <w:next w:val="Normal"/>
    <w:qFormat/>
    <w:rsid w:val="00E55C95"/>
    <w:pPr>
      <w:spacing w:before="240" w:after="60"/>
      <w:outlineLvl w:val="7"/>
    </w:pPr>
    <w:rPr>
      <w:rFonts w:ascii="Times New Roman" w:hAnsi="Times New Roman"/>
      <w:i/>
      <w:iCs/>
    </w:rPr>
  </w:style>
  <w:style w:type="paragraph" w:styleId="Heading9">
    <w:name w:val="heading 9"/>
    <w:basedOn w:val="Normal"/>
    <w:next w:val="Normal"/>
    <w:qFormat/>
    <w:rsid w:val="00E55C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pPr>
      <w:tabs>
        <w:tab w:val="left" w:pos="1134"/>
        <w:tab w:val="left" w:pos="1701"/>
        <w:tab w:val="left" w:pos="2268"/>
        <w:tab w:val="left" w:pos="2835"/>
        <w:tab w:val="left" w:pos="3402"/>
      </w:tabs>
      <w:jc w:val="both"/>
    </w:pPr>
    <w:rPr>
      <w:szCs w:val="20"/>
      <w:lang w:val="en-GB"/>
    </w:rPr>
  </w:style>
  <w:style w:type="paragraph" w:styleId="Header">
    <w:name w:val="header"/>
    <w:basedOn w:val="Normal"/>
    <w:rsid w:val="00E55C95"/>
    <w:pPr>
      <w:tabs>
        <w:tab w:val="clear" w:pos="567"/>
        <w:tab w:val="center" w:pos="4153"/>
        <w:tab w:val="right" w:pos="8306"/>
      </w:tabs>
    </w:pPr>
  </w:style>
  <w:style w:type="paragraph" w:styleId="BodyText">
    <w:name w:val="Body Text"/>
    <w:basedOn w:val="Normal"/>
    <w:rsid w:val="00E55C95"/>
    <w:pPr>
      <w:tabs>
        <w:tab w:val="clear" w:pos="567"/>
      </w:tabs>
      <w:overflowPunct/>
      <w:autoSpaceDE/>
      <w:autoSpaceDN/>
      <w:adjustRightInd/>
      <w:textAlignment w:val="auto"/>
    </w:pPr>
  </w:style>
  <w:style w:type="paragraph" w:styleId="BalloonText">
    <w:name w:val="Balloon Text"/>
    <w:basedOn w:val="Normal"/>
    <w:semiHidden/>
    <w:rsid w:val="00E55C95"/>
    <w:rPr>
      <w:rFonts w:ascii="Tahoma" w:hAnsi="Tahoma" w:cs="Tahoma"/>
      <w:sz w:val="16"/>
      <w:szCs w:val="16"/>
    </w:rPr>
  </w:style>
  <w:style w:type="paragraph" w:styleId="Footer">
    <w:name w:val="footer"/>
    <w:basedOn w:val="Normal"/>
    <w:rsid w:val="00E55C95"/>
    <w:pPr>
      <w:tabs>
        <w:tab w:val="clear" w:pos="567"/>
        <w:tab w:val="right" w:pos="8505"/>
      </w:tabs>
    </w:pPr>
    <w:rPr>
      <w:sz w:val="20"/>
    </w:rPr>
  </w:style>
  <w:style w:type="character" w:styleId="PageNumber">
    <w:name w:val="page number"/>
    <w:basedOn w:val="DefaultParagraphFont"/>
    <w:rsid w:val="00E55C95"/>
  </w:style>
  <w:style w:type="paragraph" w:customStyle="1" w:styleId="indent">
    <w:name w:val="indent"/>
    <w:basedOn w:val="Normal"/>
    <w:rsid w:val="00E55C9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55C95"/>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E55C9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E55C95"/>
    <w:pPr>
      <w:spacing w:before="360"/>
    </w:pPr>
    <w:rPr>
      <w:rFonts w:ascii="Arial" w:hAnsi="Arial"/>
      <w:b/>
      <w:lang w:val="en-GB"/>
    </w:rPr>
  </w:style>
  <w:style w:type="paragraph" w:customStyle="1" w:styleId="LDEndLine">
    <w:name w:val="LDEndLine"/>
    <w:basedOn w:val="BodyText"/>
    <w:rsid w:val="00E55C95"/>
    <w:pPr>
      <w:pBdr>
        <w:bottom w:val="single" w:sz="2" w:space="0" w:color="auto"/>
      </w:pBdr>
    </w:pPr>
    <w:rPr>
      <w:rFonts w:ascii="Times New Roman" w:hAnsi="Times New Roman"/>
    </w:rPr>
  </w:style>
  <w:style w:type="paragraph" w:styleId="Title">
    <w:name w:val="Title"/>
    <w:basedOn w:val="BodyText"/>
    <w:next w:val="BodyText"/>
    <w:qFormat/>
    <w:rsid w:val="00E55C95"/>
    <w:pPr>
      <w:spacing w:before="120" w:after="60"/>
      <w:outlineLvl w:val="0"/>
    </w:pPr>
    <w:rPr>
      <w:rFonts w:ascii="Arial" w:hAnsi="Arial" w:cs="Arial"/>
      <w:bCs/>
      <w:kern w:val="28"/>
      <w:szCs w:val="32"/>
    </w:rPr>
  </w:style>
  <w:style w:type="paragraph" w:customStyle="1" w:styleId="LDTitle">
    <w:name w:val="LDTitle"/>
    <w:rsid w:val="00E55C95"/>
    <w:pPr>
      <w:spacing w:before="1320" w:after="480"/>
    </w:pPr>
    <w:rPr>
      <w:rFonts w:ascii="Arial" w:hAnsi="Arial"/>
      <w:sz w:val="24"/>
      <w:szCs w:val="24"/>
      <w:lang w:eastAsia="en-US"/>
    </w:rPr>
  </w:style>
  <w:style w:type="paragraph" w:customStyle="1" w:styleId="LDReference">
    <w:name w:val="LDReference"/>
    <w:basedOn w:val="LDTitle"/>
    <w:rsid w:val="00E55C95"/>
    <w:pPr>
      <w:spacing w:before="120"/>
      <w:ind w:left="1843"/>
    </w:pPr>
    <w:rPr>
      <w:rFonts w:ascii="Times New Roman" w:hAnsi="Times New Roman"/>
      <w:sz w:val="20"/>
      <w:szCs w:val="20"/>
    </w:rPr>
  </w:style>
  <w:style w:type="paragraph" w:customStyle="1" w:styleId="LDBodytext">
    <w:name w:val="LDBody text"/>
    <w:rsid w:val="00E55C95"/>
    <w:rPr>
      <w:sz w:val="24"/>
      <w:szCs w:val="24"/>
      <w:lang w:eastAsia="en-US"/>
    </w:rPr>
  </w:style>
  <w:style w:type="paragraph" w:customStyle="1" w:styleId="LDDate">
    <w:name w:val="LDDate"/>
    <w:basedOn w:val="LDBodytext"/>
    <w:rsid w:val="00E55C95"/>
    <w:pPr>
      <w:spacing w:before="240"/>
    </w:pPr>
  </w:style>
  <w:style w:type="paragraph" w:customStyle="1" w:styleId="LDP1a">
    <w:name w:val="LDP1(a)"/>
    <w:basedOn w:val="LDClause"/>
    <w:rsid w:val="00E55C95"/>
    <w:pPr>
      <w:tabs>
        <w:tab w:val="clear" w:pos="454"/>
        <w:tab w:val="clear" w:pos="737"/>
        <w:tab w:val="left" w:pos="1191"/>
      </w:tabs>
      <w:ind w:left="1191" w:hanging="454"/>
    </w:pPr>
  </w:style>
  <w:style w:type="paragraph" w:customStyle="1" w:styleId="LDFollowing">
    <w:name w:val="LDFollowing"/>
    <w:basedOn w:val="LDDate"/>
    <w:next w:val="LDBodytext"/>
    <w:rsid w:val="00E55C95"/>
    <w:pPr>
      <w:spacing w:before="60"/>
    </w:pPr>
  </w:style>
  <w:style w:type="paragraph" w:customStyle="1" w:styleId="LDScheduleheading">
    <w:name w:val="LDSchedule heading"/>
    <w:basedOn w:val="LDTitle"/>
    <w:next w:val="LDBodytext"/>
    <w:rsid w:val="00E55C95"/>
    <w:pPr>
      <w:keepNext/>
      <w:tabs>
        <w:tab w:val="left" w:pos="1843"/>
      </w:tabs>
      <w:spacing w:before="480" w:after="120"/>
      <w:ind w:left="1843" w:hanging="1843"/>
    </w:pPr>
    <w:rPr>
      <w:rFonts w:cs="Arial"/>
      <w:b/>
    </w:rPr>
  </w:style>
  <w:style w:type="paragraph" w:customStyle="1" w:styleId="LDTableheading">
    <w:name w:val="LDTableheading"/>
    <w:basedOn w:val="LDBodytext"/>
    <w:rsid w:val="00E55C9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55C9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55C95"/>
    <w:pPr>
      <w:keepNext/>
      <w:spacing w:before="900"/>
    </w:pPr>
  </w:style>
  <w:style w:type="character" w:customStyle="1" w:styleId="LDCitation">
    <w:name w:val="LDCitation"/>
    <w:rsid w:val="00E55C95"/>
    <w:rPr>
      <w:i/>
      <w:iCs/>
    </w:rPr>
  </w:style>
  <w:style w:type="paragraph" w:customStyle="1" w:styleId="LDFooter">
    <w:name w:val="LDFooter"/>
    <w:basedOn w:val="LDBodytext"/>
    <w:rsid w:val="00E55C95"/>
    <w:pPr>
      <w:tabs>
        <w:tab w:val="right" w:pos="8505"/>
      </w:tabs>
    </w:pPr>
    <w:rPr>
      <w:sz w:val="20"/>
    </w:rPr>
  </w:style>
  <w:style w:type="paragraph" w:customStyle="1" w:styleId="LDP2i">
    <w:name w:val="LDP2 (i)"/>
    <w:basedOn w:val="LDP1a"/>
    <w:rsid w:val="00E55C95"/>
    <w:pPr>
      <w:tabs>
        <w:tab w:val="clear" w:pos="1191"/>
        <w:tab w:val="right" w:pos="1418"/>
        <w:tab w:val="left" w:pos="1559"/>
      </w:tabs>
      <w:ind w:left="1588" w:hanging="1134"/>
    </w:pPr>
  </w:style>
  <w:style w:type="paragraph" w:customStyle="1" w:styleId="LDDescription">
    <w:name w:val="LD Description"/>
    <w:basedOn w:val="LDTitle"/>
    <w:rsid w:val="00E55C95"/>
    <w:pPr>
      <w:pBdr>
        <w:bottom w:val="single" w:sz="4" w:space="3" w:color="auto"/>
      </w:pBdr>
      <w:spacing w:before="360" w:after="120"/>
    </w:pPr>
    <w:rPr>
      <w:b/>
    </w:rPr>
  </w:style>
  <w:style w:type="paragraph" w:customStyle="1" w:styleId="LDClauseHeading">
    <w:name w:val="LDClauseHeading"/>
    <w:basedOn w:val="LDTitle"/>
    <w:next w:val="LDClause"/>
    <w:rsid w:val="00E55C95"/>
    <w:pPr>
      <w:keepNext/>
      <w:tabs>
        <w:tab w:val="left" w:pos="737"/>
      </w:tabs>
      <w:spacing w:before="180" w:after="60"/>
      <w:ind w:left="737" w:hanging="737"/>
    </w:pPr>
    <w:rPr>
      <w:b/>
    </w:rPr>
  </w:style>
  <w:style w:type="paragraph" w:customStyle="1" w:styleId="LDClause">
    <w:name w:val="LDClause"/>
    <w:basedOn w:val="LDBodytext"/>
    <w:rsid w:val="00E55C95"/>
    <w:pPr>
      <w:tabs>
        <w:tab w:val="right" w:pos="454"/>
        <w:tab w:val="left" w:pos="737"/>
      </w:tabs>
      <w:spacing w:before="60" w:after="60"/>
      <w:ind w:left="737" w:hanging="1021"/>
    </w:pPr>
  </w:style>
  <w:style w:type="paragraph" w:customStyle="1" w:styleId="LDP3A">
    <w:name w:val="LDP3 (A)"/>
    <w:basedOn w:val="LDP2i"/>
    <w:rsid w:val="00E55C95"/>
    <w:pPr>
      <w:tabs>
        <w:tab w:val="clear" w:pos="1418"/>
        <w:tab w:val="clear" w:pos="1559"/>
        <w:tab w:val="left" w:pos="1985"/>
      </w:tabs>
      <w:ind w:left="1985" w:hanging="567"/>
    </w:pPr>
  </w:style>
  <w:style w:type="paragraph" w:customStyle="1" w:styleId="LDScheduleClause">
    <w:name w:val="LDScheduleClause"/>
    <w:basedOn w:val="LDClause"/>
    <w:rsid w:val="00E55C95"/>
    <w:pPr>
      <w:ind w:left="738" w:hanging="851"/>
    </w:pPr>
  </w:style>
  <w:style w:type="paragraph" w:styleId="BlockText">
    <w:name w:val="Block Text"/>
    <w:basedOn w:val="Normal"/>
    <w:rsid w:val="00E55C95"/>
    <w:pPr>
      <w:spacing w:after="120"/>
      <w:ind w:left="1440" w:right="1440"/>
    </w:pPr>
  </w:style>
  <w:style w:type="paragraph" w:styleId="BodyText2">
    <w:name w:val="Body Text 2"/>
    <w:basedOn w:val="Normal"/>
    <w:rsid w:val="00E55C95"/>
    <w:pPr>
      <w:spacing w:after="120" w:line="480" w:lineRule="auto"/>
    </w:pPr>
  </w:style>
  <w:style w:type="paragraph" w:styleId="BodyText3">
    <w:name w:val="Body Text 3"/>
    <w:basedOn w:val="Normal"/>
    <w:rsid w:val="00E55C95"/>
    <w:pPr>
      <w:spacing w:after="120"/>
    </w:pPr>
    <w:rPr>
      <w:sz w:val="16"/>
      <w:szCs w:val="16"/>
    </w:rPr>
  </w:style>
  <w:style w:type="paragraph" w:styleId="BodyTextFirstIndent">
    <w:name w:val="Body Text First Indent"/>
    <w:basedOn w:val="BodyText"/>
    <w:rsid w:val="00E55C9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55C95"/>
    <w:pPr>
      <w:spacing w:after="120"/>
      <w:ind w:left="283"/>
    </w:pPr>
  </w:style>
  <w:style w:type="paragraph" w:styleId="BodyTextFirstIndent2">
    <w:name w:val="Body Text First Indent 2"/>
    <w:basedOn w:val="BodyTextIndent"/>
    <w:rsid w:val="00E55C95"/>
    <w:pPr>
      <w:ind w:firstLine="210"/>
    </w:pPr>
  </w:style>
  <w:style w:type="paragraph" w:styleId="BodyTextIndent2">
    <w:name w:val="Body Text Indent 2"/>
    <w:basedOn w:val="Normal"/>
    <w:rsid w:val="00E55C95"/>
    <w:pPr>
      <w:spacing w:after="120" w:line="480" w:lineRule="auto"/>
      <w:ind w:left="283"/>
    </w:pPr>
  </w:style>
  <w:style w:type="paragraph" w:styleId="BodyTextIndent3">
    <w:name w:val="Body Text Indent 3"/>
    <w:basedOn w:val="Normal"/>
    <w:rsid w:val="00E55C95"/>
    <w:pPr>
      <w:spacing w:after="120"/>
      <w:ind w:left="283"/>
    </w:pPr>
    <w:rPr>
      <w:sz w:val="16"/>
      <w:szCs w:val="16"/>
    </w:rPr>
  </w:style>
  <w:style w:type="paragraph" w:styleId="Caption">
    <w:name w:val="caption"/>
    <w:basedOn w:val="Normal"/>
    <w:next w:val="Normal"/>
    <w:qFormat/>
    <w:rsid w:val="00E55C95"/>
    <w:rPr>
      <w:b/>
      <w:bCs/>
      <w:sz w:val="20"/>
    </w:rPr>
  </w:style>
  <w:style w:type="paragraph" w:styleId="Closing">
    <w:name w:val="Closing"/>
    <w:basedOn w:val="Normal"/>
    <w:rsid w:val="00E55C95"/>
    <w:pPr>
      <w:ind w:left="4252"/>
    </w:pPr>
  </w:style>
  <w:style w:type="paragraph" w:styleId="CommentText">
    <w:name w:val="annotation text"/>
    <w:basedOn w:val="Normal"/>
    <w:link w:val="CommentTextChar"/>
    <w:semiHidden/>
    <w:rsid w:val="00E55C95"/>
    <w:rPr>
      <w:sz w:val="20"/>
    </w:rPr>
  </w:style>
  <w:style w:type="paragraph" w:styleId="CommentSubject">
    <w:name w:val="annotation subject"/>
    <w:basedOn w:val="CommentText"/>
    <w:next w:val="CommentText"/>
    <w:semiHidden/>
    <w:rsid w:val="00E55C95"/>
    <w:rPr>
      <w:b/>
      <w:bCs/>
    </w:rPr>
  </w:style>
  <w:style w:type="paragraph" w:styleId="Date">
    <w:name w:val="Date"/>
    <w:basedOn w:val="Normal"/>
    <w:next w:val="Normal"/>
    <w:rsid w:val="00E55C95"/>
  </w:style>
  <w:style w:type="paragraph" w:styleId="DocumentMap">
    <w:name w:val="Document Map"/>
    <w:basedOn w:val="Normal"/>
    <w:semiHidden/>
    <w:rsid w:val="00E55C95"/>
    <w:pPr>
      <w:shd w:val="clear" w:color="auto" w:fill="000080"/>
    </w:pPr>
    <w:rPr>
      <w:rFonts w:ascii="Tahoma" w:hAnsi="Tahoma" w:cs="Tahoma"/>
      <w:sz w:val="20"/>
    </w:rPr>
  </w:style>
  <w:style w:type="paragraph" w:styleId="E-mailSignature">
    <w:name w:val="E-mail Signature"/>
    <w:basedOn w:val="Normal"/>
    <w:rsid w:val="00E55C95"/>
  </w:style>
  <w:style w:type="paragraph" w:styleId="EndnoteText">
    <w:name w:val="endnote text"/>
    <w:basedOn w:val="Normal"/>
    <w:semiHidden/>
    <w:rsid w:val="00E55C95"/>
    <w:rPr>
      <w:sz w:val="20"/>
    </w:rPr>
  </w:style>
  <w:style w:type="paragraph" w:styleId="EnvelopeAddress">
    <w:name w:val="envelope address"/>
    <w:basedOn w:val="Normal"/>
    <w:rsid w:val="00E55C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55C95"/>
    <w:rPr>
      <w:rFonts w:ascii="Arial" w:hAnsi="Arial" w:cs="Arial"/>
      <w:sz w:val="20"/>
    </w:rPr>
  </w:style>
  <w:style w:type="paragraph" w:styleId="FootnoteText">
    <w:name w:val="footnote text"/>
    <w:basedOn w:val="Normal"/>
    <w:semiHidden/>
    <w:rsid w:val="00E55C95"/>
    <w:rPr>
      <w:sz w:val="20"/>
    </w:rPr>
  </w:style>
  <w:style w:type="paragraph" w:styleId="HTMLAddress">
    <w:name w:val="HTML Address"/>
    <w:basedOn w:val="Normal"/>
    <w:rsid w:val="00E55C95"/>
    <w:rPr>
      <w:i/>
      <w:iCs/>
    </w:rPr>
  </w:style>
  <w:style w:type="paragraph" w:styleId="HTMLPreformatted">
    <w:name w:val="HTML Preformatted"/>
    <w:basedOn w:val="Normal"/>
    <w:rsid w:val="00E55C95"/>
    <w:rPr>
      <w:rFonts w:ascii="Courier New" w:hAnsi="Courier New" w:cs="Courier New"/>
      <w:sz w:val="20"/>
    </w:rPr>
  </w:style>
  <w:style w:type="paragraph" w:styleId="Index1">
    <w:name w:val="index 1"/>
    <w:basedOn w:val="Normal"/>
    <w:next w:val="Normal"/>
    <w:autoRedefine/>
    <w:semiHidden/>
    <w:rsid w:val="00E55C95"/>
    <w:pPr>
      <w:tabs>
        <w:tab w:val="clear" w:pos="567"/>
      </w:tabs>
      <w:ind w:left="260" w:hanging="260"/>
    </w:pPr>
  </w:style>
  <w:style w:type="paragraph" w:styleId="Index2">
    <w:name w:val="index 2"/>
    <w:basedOn w:val="Normal"/>
    <w:next w:val="Normal"/>
    <w:autoRedefine/>
    <w:semiHidden/>
    <w:rsid w:val="00E55C95"/>
    <w:pPr>
      <w:tabs>
        <w:tab w:val="clear" w:pos="567"/>
      </w:tabs>
      <w:ind w:left="520" w:hanging="260"/>
    </w:pPr>
  </w:style>
  <w:style w:type="paragraph" w:styleId="Index3">
    <w:name w:val="index 3"/>
    <w:basedOn w:val="Normal"/>
    <w:next w:val="Normal"/>
    <w:autoRedefine/>
    <w:semiHidden/>
    <w:rsid w:val="00E55C95"/>
    <w:pPr>
      <w:tabs>
        <w:tab w:val="clear" w:pos="567"/>
      </w:tabs>
      <w:ind w:left="780" w:hanging="260"/>
    </w:pPr>
  </w:style>
  <w:style w:type="paragraph" w:styleId="Index4">
    <w:name w:val="index 4"/>
    <w:basedOn w:val="Normal"/>
    <w:next w:val="Normal"/>
    <w:autoRedefine/>
    <w:semiHidden/>
    <w:rsid w:val="00E55C95"/>
    <w:pPr>
      <w:tabs>
        <w:tab w:val="clear" w:pos="567"/>
      </w:tabs>
      <w:ind w:left="1040" w:hanging="260"/>
    </w:pPr>
  </w:style>
  <w:style w:type="paragraph" w:styleId="Index5">
    <w:name w:val="index 5"/>
    <w:basedOn w:val="Normal"/>
    <w:next w:val="Normal"/>
    <w:autoRedefine/>
    <w:semiHidden/>
    <w:rsid w:val="00E55C95"/>
    <w:pPr>
      <w:tabs>
        <w:tab w:val="clear" w:pos="567"/>
      </w:tabs>
      <w:ind w:left="1300" w:hanging="260"/>
    </w:pPr>
  </w:style>
  <w:style w:type="paragraph" w:styleId="Index6">
    <w:name w:val="index 6"/>
    <w:basedOn w:val="Normal"/>
    <w:next w:val="Normal"/>
    <w:autoRedefine/>
    <w:semiHidden/>
    <w:rsid w:val="00E55C95"/>
    <w:pPr>
      <w:tabs>
        <w:tab w:val="clear" w:pos="567"/>
      </w:tabs>
      <w:ind w:left="1560" w:hanging="260"/>
    </w:pPr>
  </w:style>
  <w:style w:type="paragraph" w:styleId="Index7">
    <w:name w:val="index 7"/>
    <w:basedOn w:val="Normal"/>
    <w:next w:val="Normal"/>
    <w:autoRedefine/>
    <w:semiHidden/>
    <w:rsid w:val="00E55C95"/>
    <w:pPr>
      <w:tabs>
        <w:tab w:val="clear" w:pos="567"/>
      </w:tabs>
      <w:ind w:left="1820" w:hanging="260"/>
    </w:pPr>
  </w:style>
  <w:style w:type="paragraph" w:styleId="Index8">
    <w:name w:val="index 8"/>
    <w:basedOn w:val="Normal"/>
    <w:next w:val="Normal"/>
    <w:autoRedefine/>
    <w:semiHidden/>
    <w:rsid w:val="00E55C95"/>
    <w:pPr>
      <w:tabs>
        <w:tab w:val="clear" w:pos="567"/>
      </w:tabs>
      <w:ind w:left="2080" w:hanging="260"/>
    </w:pPr>
  </w:style>
  <w:style w:type="paragraph" w:styleId="Index9">
    <w:name w:val="index 9"/>
    <w:basedOn w:val="Normal"/>
    <w:next w:val="Normal"/>
    <w:autoRedefine/>
    <w:semiHidden/>
    <w:rsid w:val="00E55C95"/>
    <w:pPr>
      <w:tabs>
        <w:tab w:val="clear" w:pos="567"/>
      </w:tabs>
      <w:ind w:left="2340" w:hanging="260"/>
    </w:pPr>
  </w:style>
  <w:style w:type="paragraph" w:styleId="IndexHeading">
    <w:name w:val="index heading"/>
    <w:basedOn w:val="Normal"/>
    <w:next w:val="Index1"/>
    <w:semiHidden/>
    <w:rsid w:val="00E55C95"/>
    <w:rPr>
      <w:rFonts w:ascii="Arial" w:hAnsi="Arial" w:cs="Arial"/>
      <w:b/>
      <w:bCs/>
    </w:rPr>
  </w:style>
  <w:style w:type="paragraph" w:styleId="List">
    <w:name w:val="List"/>
    <w:basedOn w:val="Normal"/>
    <w:rsid w:val="00E55C95"/>
    <w:pPr>
      <w:ind w:left="283" w:hanging="283"/>
    </w:pPr>
  </w:style>
  <w:style w:type="paragraph" w:styleId="List2">
    <w:name w:val="List 2"/>
    <w:basedOn w:val="Normal"/>
    <w:rsid w:val="00E55C95"/>
    <w:pPr>
      <w:ind w:left="566" w:hanging="283"/>
    </w:pPr>
  </w:style>
  <w:style w:type="paragraph" w:styleId="List3">
    <w:name w:val="List 3"/>
    <w:basedOn w:val="Normal"/>
    <w:rsid w:val="00E55C95"/>
    <w:pPr>
      <w:ind w:left="849" w:hanging="283"/>
    </w:pPr>
  </w:style>
  <w:style w:type="paragraph" w:styleId="List4">
    <w:name w:val="List 4"/>
    <w:basedOn w:val="Normal"/>
    <w:rsid w:val="00E55C95"/>
    <w:pPr>
      <w:ind w:left="1132" w:hanging="283"/>
    </w:pPr>
  </w:style>
  <w:style w:type="paragraph" w:styleId="List5">
    <w:name w:val="List 5"/>
    <w:basedOn w:val="Normal"/>
    <w:rsid w:val="00E55C95"/>
    <w:pPr>
      <w:ind w:left="1415" w:hanging="283"/>
    </w:pPr>
  </w:style>
  <w:style w:type="paragraph" w:styleId="ListBullet">
    <w:name w:val="List Bullet"/>
    <w:basedOn w:val="Normal"/>
    <w:rsid w:val="00E55C95"/>
    <w:pPr>
      <w:numPr>
        <w:numId w:val="2"/>
      </w:numPr>
    </w:pPr>
  </w:style>
  <w:style w:type="paragraph" w:styleId="ListBullet2">
    <w:name w:val="List Bullet 2"/>
    <w:basedOn w:val="Normal"/>
    <w:rsid w:val="00E55C95"/>
    <w:pPr>
      <w:numPr>
        <w:numId w:val="3"/>
      </w:numPr>
    </w:pPr>
  </w:style>
  <w:style w:type="paragraph" w:styleId="ListBullet3">
    <w:name w:val="List Bullet 3"/>
    <w:basedOn w:val="Normal"/>
    <w:rsid w:val="00E55C95"/>
    <w:pPr>
      <w:numPr>
        <w:numId w:val="4"/>
      </w:numPr>
    </w:pPr>
  </w:style>
  <w:style w:type="paragraph" w:styleId="ListBullet4">
    <w:name w:val="List Bullet 4"/>
    <w:basedOn w:val="Normal"/>
    <w:rsid w:val="00E55C95"/>
    <w:pPr>
      <w:numPr>
        <w:numId w:val="5"/>
      </w:numPr>
    </w:pPr>
  </w:style>
  <w:style w:type="paragraph" w:styleId="ListBullet5">
    <w:name w:val="List Bullet 5"/>
    <w:basedOn w:val="Normal"/>
    <w:rsid w:val="00E55C95"/>
    <w:pPr>
      <w:numPr>
        <w:numId w:val="6"/>
      </w:numPr>
    </w:pPr>
  </w:style>
  <w:style w:type="paragraph" w:styleId="ListContinue">
    <w:name w:val="List Continue"/>
    <w:basedOn w:val="Normal"/>
    <w:rsid w:val="00E55C95"/>
    <w:pPr>
      <w:spacing w:after="120"/>
      <w:ind w:left="283"/>
    </w:pPr>
  </w:style>
  <w:style w:type="paragraph" w:styleId="ListContinue2">
    <w:name w:val="List Continue 2"/>
    <w:basedOn w:val="Normal"/>
    <w:rsid w:val="00E55C95"/>
    <w:pPr>
      <w:spacing w:after="120"/>
      <w:ind w:left="566"/>
    </w:pPr>
  </w:style>
  <w:style w:type="paragraph" w:styleId="ListContinue3">
    <w:name w:val="List Continue 3"/>
    <w:basedOn w:val="Normal"/>
    <w:rsid w:val="00E55C95"/>
    <w:pPr>
      <w:spacing w:after="120"/>
      <w:ind w:left="849"/>
    </w:pPr>
  </w:style>
  <w:style w:type="paragraph" w:styleId="ListContinue4">
    <w:name w:val="List Continue 4"/>
    <w:basedOn w:val="Normal"/>
    <w:rsid w:val="00E55C95"/>
    <w:pPr>
      <w:spacing w:after="120"/>
      <w:ind w:left="1132"/>
    </w:pPr>
  </w:style>
  <w:style w:type="paragraph" w:styleId="ListContinue5">
    <w:name w:val="List Continue 5"/>
    <w:basedOn w:val="Normal"/>
    <w:rsid w:val="00E55C95"/>
    <w:pPr>
      <w:spacing w:after="120"/>
      <w:ind w:left="1415"/>
    </w:pPr>
  </w:style>
  <w:style w:type="paragraph" w:styleId="ListNumber">
    <w:name w:val="List Number"/>
    <w:basedOn w:val="Normal"/>
    <w:rsid w:val="00E55C95"/>
    <w:pPr>
      <w:numPr>
        <w:numId w:val="7"/>
      </w:numPr>
    </w:pPr>
  </w:style>
  <w:style w:type="paragraph" w:styleId="ListNumber2">
    <w:name w:val="List Number 2"/>
    <w:basedOn w:val="Normal"/>
    <w:rsid w:val="00E55C95"/>
    <w:pPr>
      <w:numPr>
        <w:numId w:val="8"/>
      </w:numPr>
    </w:pPr>
  </w:style>
  <w:style w:type="paragraph" w:styleId="ListNumber3">
    <w:name w:val="List Number 3"/>
    <w:basedOn w:val="Normal"/>
    <w:rsid w:val="00E55C95"/>
    <w:pPr>
      <w:numPr>
        <w:numId w:val="9"/>
      </w:numPr>
    </w:pPr>
  </w:style>
  <w:style w:type="paragraph" w:styleId="ListNumber4">
    <w:name w:val="List Number 4"/>
    <w:basedOn w:val="Normal"/>
    <w:rsid w:val="00E55C95"/>
    <w:pPr>
      <w:numPr>
        <w:numId w:val="10"/>
      </w:numPr>
    </w:pPr>
  </w:style>
  <w:style w:type="paragraph" w:styleId="ListNumber5">
    <w:name w:val="List Number 5"/>
    <w:basedOn w:val="Normal"/>
    <w:rsid w:val="00E55C95"/>
    <w:pPr>
      <w:numPr>
        <w:numId w:val="11"/>
      </w:numPr>
    </w:pPr>
  </w:style>
  <w:style w:type="paragraph" w:styleId="MacroText">
    <w:name w:val="macro"/>
    <w:semiHidden/>
    <w:rsid w:val="00E55C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55C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55C95"/>
    <w:rPr>
      <w:rFonts w:ascii="Times New Roman" w:hAnsi="Times New Roman"/>
    </w:rPr>
  </w:style>
  <w:style w:type="paragraph" w:styleId="NormalIndent">
    <w:name w:val="Normal Indent"/>
    <w:basedOn w:val="Normal"/>
    <w:rsid w:val="00E55C95"/>
    <w:pPr>
      <w:ind w:left="720"/>
    </w:pPr>
  </w:style>
  <w:style w:type="paragraph" w:styleId="NoteHeading">
    <w:name w:val="Note Heading"/>
    <w:basedOn w:val="Normal"/>
    <w:next w:val="Normal"/>
    <w:rsid w:val="00E55C95"/>
  </w:style>
  <w:style w:type="paragraph" w:styleId="PlainText">
    <w:name w:val="Plain Text"/>
    <w:basedOn w:val="Normal"/>
    <w:link w:val="PlainTextChar"/>
    <w:uiPriority w:val="99"/>
    <w:rsid w:val="00E55C95"/>
    <w:rPr>
      <w:rFonts w:ascii="Courier New" w:hAnsi="Courier New" w:cs="Courier New"/>
      <w:sz w:val="20"/>
    </w:rPr>
  </w:style>
  <w:style w:type="paragraph" w:styleId="Salutation">
    <w:name w:val="Salutation"/>
    <w:basedOn w:val="Normal"/>
    <w:next w:val="Normal"/>
    <w:rsid w:val="00E55C95"/>
  </w:style>
  <w:style w:type="paragraph" w:styleId="Signature">
    <w:name w:val="Signature"/>
    <w:basedOn w:val="Normal"/>
    <w:rsid w:val="00E55C95"/>
    <w:pPr>
      <w:ind w:left="4252"/>
    </w:pPr>
  </w:style>
  <w:style w:type="paragraph" w:styleId="Subtitle">
    <w:name w:val="Subtitle"/>
    <w:basedOn w:val="Normal"/>
    <w:qFormat/>
    <w:rsid w:val="00E55C95"/>
    <w:pPr>
      <w:spacing w:after="60"/>
      <w:jc w:val="center"/>
      <w:outlineLvl w:val="1"/>
    </w:pPr>
    <w:rPr>
      <w:rFonts w:ascii="Arial" w:hAnsi="Arial" w:cs="Arial"/>
    </w:rPr>
  </w:style>
  <w:style w:type="paragraph" w:styleId="TableofAuthorities">
    <w:name w:val="table of authorities"/>
    <w:basedOn w:val="Normal"/>
    <w:next w:val="Normal"/>
    <w:semiHidden/>
    <w:rsid w:val="00E55C95"/>
    <w:pPr>
      <w:tabs>
        <w:tab w:val="clear" w:pos="567"/>
      </w:tabs>
      <w:ind w:left="260" w:hanging="260"/>
    </w:pPr>
  </w:style>
  <w:style w:type="paragraph" w:styleId="TableofFigures">
    <w:name w:val="table of figures"/>
    <w:basedOn w:val="Normal"/>
    <w:next w:val="Normal"/>
    <w:semiHidden/>
    <w:rsid w:val="00E55C95"/>
    <w:pPr>
      <w:tabs>
        <w:tab w:val="clear" w:pos="567"/>
      </w:tabs>
    </w:pPr>
  </w:style>
  <w:style w:type="paragraph" w:styleId="TOAHeading">
    <w:name w:val="toa heading"/>
    <w:basedOn w:val="Normal"/>
    <w:next w:val="Normal"/>
    <w:semiHidden/>
    <w:rsid w:val="00E55C95"/>
    <w:pPr>
      <w:spacing w:before="120"/>
    </w:pPr>
    <w:rPr>
      <w:rFonts w:ascii="Arial" w:hAnsi="Arial" w:cs="Arial"/>
      <w:b/>
      <w:bCs/>
    </w:rPr>
  </w:style>
  <w:style w:type="paragraph" w:styleId="TOC1">
    <w:name w:val="toc 1"/>
    <w:basedOn w:val="Normal"/>
    <w:next w:val="Normal"/>
    <w:autoRedefine/>
    <w:semiHidden/>
    <w:rsid w:val="00E55C95"/>
    <w:pPr>
      <w:tabs>
        <w:tab w:val="clear" w:pos="567"/>
      </w:tabs>
    </w:pPr>
  </w:style>
  <w:style w:type="paragraph" w:styleId="TOC2">
    <w:name w:val="toc 2"/>
    <w:basedOn w:val="Normal"/>
    <w:next w:val="Normal"/>
    <w:autoRedefine/>
    <w:semiHidden/>
    <w:rsid w:val="00E55C95"/>
    <w:pPr>
      <w:tabs>
        <w:tab w:val="clear" w:pos="567"/>
      </w:tabs>
      <w:ind w:left="260"/>
    </w:pPr>
  </w:style>
  <w:style w:type="paragraph" w:styleId="TOC3">
    <w:name w:val="toc 3"/>
    <w:basedOn w:val="Normal"/>
    <w:next w:val="Normal"/>
    <w:autoRedefine/>
    <w:semiHidden/>
    <w:rsid w:val="00E55C95"/>
    <w:pPr>
      <w:tabs>
        <w:tab w:val="clear" w:pos="567"/>
      </w:tabs>
      <w:ind w:left="520"/>
    </w:pPr>
  </w:style>
  <w:style w:type="paragraph" w:styleId="TOC4">
    <w:name w:val="toc 4"/>
    <w:basedOn w:val="Normal"/>
    <w:next w:val="Normal"/>
    <w:autoRedefine/>
    <w:semiHidden/>
    <w:rsid w:val="00E55C95"/>
    <w:pPr>
      <w:tabs>
        <w:tab w:val="clear" w:pos="567"/>
      </w:tabs>
      <w:ind w:left="780"/>
    </w:pPr>
  </w:style>
  <w:style w:type="paragraph" w:styleId="TOC5">
    <w:name w:val="toc 5"/>
    <w:basedOn w:val="Normal"/>
    <w:next w:val="Normal"/>
    <w:autoRedefine/>
    <w:semiHidden/>
    <w:rsid w:val="00E55C95"/>
    <w:pPr>
      <w:tabs>
        <w:tab w:val="clear" w:pos="567"/>
      </w:tabs>
      <w:ind w:left="1040"/>
    </w:pPr>
  </w:style>
  <w:style w:type="paragraph" w:styleId="TOC6">
    <w:name w:val="toc 6"/>
    <w:basedOn w:val="Normal"/>
    <w:next w:val="Normal"/>
    <w:autoRedefine/>
    <w:semiHidden/>
    <w:rsid w:val="00E55C95"/>
    <w:pPr>
      <w:tabs>
        <w:tab w:val="clear" w:pos="567"/>
      </w:tabs>
      <w:ind w:left="1300"/>
    </w:pPr>
  </w:style>
  <w:style w:type="paragraph" w:styleId="TOC7">
    <w:name w:val="toc 7"/>
    <w:basedOn w:val="Normal"/>
    <w:next w:val="Normal"/>
    <w:autoRedefine/>
    <w:semiHidden/>
    <w:rsid w:val="00E55C95"/>
    <w:pPr>
      <w:tabs>
        <w:tab w:val="clear" w:pos="567"/>
      </w:tabs>
      <w:ind w:left="1560"/>
    </w:pPr>
  </w:style>
  <w:style w:type="paragraph" w:styleId="TOC8">
    <w:name w:val="toc 8"/>
    <w:basedOn w:val="Normal"/>
    <w:next w:val="Normal"/>
    <w:autoRedefine/>
    <w:semiHidden/>
    <w:rsid w:val="00E55C95"/>
    <w:pPr>
      <w:tabs>
        <w:tab w:val="clear" w:pos="567"/>
      </w:tabs>
      <w:ind w:left="1820"/>
    </w:pPr>
  </w:style>
  <w:style w:type="paragraph" w:styleId="TOC9">
    <w:name w:val="toc 9"/>
    <w:basedOn w:val="Normal"/>
    <w:next w:val="Normal"/>
    <w:autoRedefine/>
    <w:semiHidden/>
    <w:rsid w:val="00E55C95"/>
    <w:pPr>
      <w:tabs>
        <w:tab w:val="clear" w:pos="567"/>
      </w:tabs>
      <w:ind w:left="2080"/>
    </w:pPr>
  </w:style>
  <w:style w:type="paragraph" w:customStyle="1" w:styleId="LDScheduleClauseHead">
    <w:name w:val="LDScheduleClauseHead"/>
    <w:basedOn w:val="LDClauseHeading"/>
    <w:next w:val="LDScheduleClause"/>
    <w:rsid w:val="00E55C95"/>
  </w:style>
  <w:style w:type="paragraph" w:customStyle="1" w:styleId="LDdefinition">
    <w:name w:val="LDdefinition"/>
    <w:basedOn w:val="LDClause"/>
    <w:rsid w:val="00E55C95"/>
    <w:pPr>
      <w:tabs>
        <w:tab w:val="clear" w:pos="454"/>
        <w:tab w:val="clear" w:pos="737"/>
      </w:tabs>
      <w:ind w:firstLine="0"/>
    </w:pPr>
  </w:style>
  <w:style w:type="paragraph" w:customStyle="1" w:styleId="LDSubclauseHead">
    <w:name w:val="LDSubclauseHead"/>
    <w:basedOn w:val="LDClauseHeading"/>
    <w:rsid w:val="00E55C95"/>
    <w:rPr>
      <w:b w:val="0"/>
    </w:rPr>
  </w:style>
  <w:style w:type="paragraph" w:customStyle="1" w:styleId="LDSchedSubclHead">
    <w:name w:val="LDSchedSubclHead"/>
    <w:basedOn w:val="LDScheduleClauseHead"/>
    <w:rsid w:val="00E55C95"/>
    <w:pPr>
      <w:tabs>
        <w:tab w:val="clear" w:pos="737"/>
        <w:tab w:val="left" w:pos="851"/>
      </w:tabs>
      <w:ind w:left="284"/>
    </w:pPr>
    <w:rPr>
      <w:b w:val="0"/>
    </w:rPr>
  </w:style>
  <w:style w:type="paragraph" w:customStyle="1" w:styleId="LDAmendHeading">
    <w:name w:val="LDAmendHeading"/>
    <w:basedOn w:val="LDTitle"/>
    <w:next w:val="LDAmendInstruction"/>
    <w:rsid w:val="00E55C95"/>
    <w:pPr>
      <w:keepNext/>
      <w:spacing w:before="180" w:after="60"/>
      <w:ind w:left="720" w:hanging="720"/>
    </w:pPr>
    <w:rPr>
      <w:b/>
    </w:rPr>
  </w:style>
  <w:style w:type="paragraph" w:customStyle="1" w:styleId="LDAmendInstruction">
    <w:name w:val="LDAmendInstruction"/>
    <w:basedOn w:val="LDScheduleClause"/>
    <w:next w:val="LDAmendText"/>
    <w:rsid w:val="00E55C95"/>
    <w:pPr>
      <w:keepNext/>
      <w:spacing w:before="120"/>
      <w:ind w:left="737" w:firstLine="0"/>
    </w:pPr>
    <w:rPr>
      <w:i/>
    </w:rPr>
  </w:style>
  <w:style w:type="paragraph" w:customStyle="1" w:styleId="LDAmendText">
    <w:name w:val="LDAmendText"/>
    <w:basedOn w:val="LDBodytext"/>
    <w:next w:val="LDAmendInstruction"/>
    <w:rsid w:val="00E55C95"/>
    <w:pPr>
      <w:spacing w:before="60" w:after="60"/>
      <w:ind w:left="964"/>
    </w:pPr>
  </w:style>
  <w:style w:type="paragraph" w:customStyle="1" w:styleId="LDNote">
    <w:name w:val="LDNote"/>
    <w:basedOn w:val="LDClause"/>
    <w:rsid w:val="00E55C95"/>
    <w:pPr>
      <w:ind w:firstLine="0"/>
    </w:pPr>
    <w:rPr>
      <w:sz w:val="20"/>
    </w:rPr>
  </w:style>
  <w:style w:type="paragraph" w:customStyle="1" w:styleId="StyleLDClause">
    <w:name w:val="Style LDClause"/>
    <w:basedOn w:val="LDClause"/>
    <w:rsid w:val="00E55C95"/>
    <w:rPr>
      <w:szCs w:val="20"/>
    </w:rPr>
  </w:style>
  <w:style w:type="paragraph" w:customStyle="1" w:styleId="LDNotePara">
    <w:name w:val="LDNotePara"/>
    <w:basedOn w:val="LDNote"/>
    <w:rsid w:val="00E55C95"/>
    <w:pPr>
      <w:tabs>
        <w:tab w:val="clear" w:pos="454"/>
      </w:tabs>
      <w:ind w:left="1701" w:hanging="454"/>
    </w:pPr>
  </w:style>
  <w:style w:type="paragraph" w:customStyle="1" w:styleId="LDTablespace">
    <w:name w:val="LDTablespace"/>
    <w:basedOn w:val="LDBodytext"/>
    <w:rsid w:val="00E55C95"/>
    <w:pPr>
      <w:spacing w:before="120"/>
    </w:pPr>
  </w:style>
  <w:style w:type="character" w:styleId="CommentReference">
    <w:name w:val="annotation reference"/>
    <w:basedOn w:val="DefaultParagraphFont"/>
    <w:rsid w:val="00940567"/>
    <w:rPr>
      <w:sz w:val="16"/>
      <w:szCs w:val="16"/>
    </w:rPr>
  </w:style>
  <w:style w:type="character" w:customStyle="1" w:styleId="PlainTextChar">
    <w:name w:val="Plain Text Char"/>
    <w:basedOn w:val="DefaultParagraphFont"/>
    <w:link w:val="PlainText"/>
    <w:uiPriority w:val="99"/>
    <w:rsid w:val="00595398"/>
    <w:rPr>
      <w:rFonts w:ascii="Courier New" w:hAnsi="Courier New" w:cs="Courier New"/>
      <w:szCs w:val="24"/>
      <w:lang w:eastAsia="en-US"/>
    </w:rPr>
  </w:style>
  <w:style w:type="character" w:customStyle="1" w:styleId="CommentTextChar">
    <w:name w:val="Comment Text Char"/>
    <w:basedOn w:val="DefaultParagraphFont"/>
    <w:link w:val="CommentText"/>
    <w:semiHidden/>
    <w:rsid w:val="00360A97"/>
    <w:rPr>
      <w:rFonts w:ascii="Times New (W1)" w:hAnsi="Times New (W1)"/>
      <w:szCs w:val="24"/>
      <w:lang w:eastAsia="en-US"/>
    </w:rPr>
  </w:style>
  <w:style w:type="paragraph" w:customStyle="1" w:styleId="SigningPageBreak">
    <w:name w:val="SigningPageBreak"/>
    <w:basedOn w:val="Normal"/>
    <w:next w:val="Normal"/>
    <w:rsid w:val="00AA6969"/>
    <w:pPr>
      <w:tabs>
        <w:tab w:val="clear" w:pos="567"/>
      </w:tabs>
      <w:overflowPunct/>
      <w:autoSpaceDE/>
      <w:autoSpaceDN/>
      <w:adjustRightInd/>
      <w:textAlignment w:val="auto"/>
    </w:pPr>
    <w:rPr>
      <w:rFonts w:ascii="Times New Roman" w:hAnsi="Times New Roman"/>
    </w:rPr>
  </w:style>
  <w:style w:type="paragraph" w:customStyle="1" w:styleId="ZR2">
    <w:name w:val="ZR2"/>
    <w:basedOn w:val="Normal"/>
    <w:link w:val="ZR2Char"/>
    <w:qFormat/>
    <w:rsid w:val="00AA6969"/>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lang w:val="x-none"/>
    </w:rPr>
  </w:style>
  <w:style w:type="character" w:customStyle="1" w:styleId="ZR2Char">
    <w:name w:val="ZR2 Char"/>
    <w:link w:val="ZR2"/>
    <w:rsid w:val="00AA6969"/>
    <w:rPr>
      <w:sz w:val="24"/>
      <w:szCs w:val="24"/>
      <w:lang w:val="x-none" w:eastAsia="en-US"/>
    </w:rPr>
  </w:style>
  <w:style w:type="character" w:customStyle="1" w:styleId="definitionChar">
    <w:name w:val="definition Char"/>
    <w:link w:val="definition"/>
    <w:locked/>
    <w:rsid w:val="009B3A84"/>
    <w:rPr>
      <w:sz w:val="24"/>
      <w:szCs w:val="24"/>
      <w:lang w:val="x-none" w:eastAsia="en-US"/>
    </w:rPr>
  </w:style>
  <w:style w:type="paragraph" w:customStyle="1" w:styleId="definition">
    <w:name w:val="definition"/>
    <w:basedOn w:val="Normal"/>
    <w:link w:val="definitionChar"/>
    <w:rsid w:val="009B3A84"/>
    <w:pPr>
      <w:tabs>
        <w:tab w:val="clear" w:pos="567"/>
      </w:tabs>
      <w:overflowPunct/>
      <w:autoSpaceDE/>
      <w:autoSpaceDN/>
      <w:adjustRightInd/>
      <w:spacing w:before="80" w:line="260" w:lineRule="exact"/>
      <w:ind w:left="964"/>
      <w:jc w:val="both"/>
      <w:textAlignment w:val="auto"/>
    </w:pPr>
    <w:rPr>
      <w:rFonts w:ascii="Times New Roman" w:hAnsi="Times New Roman"/>
      <w:lang w:val="x-none"/>
    </w:rPr>
  </w:style>
  <w:style w:type="character" w:customStyle="1" w:styleId="Definitiontitle">
    <w:name w:val="Definition title"/>
    <w:rsid w:val="009B3A84"/>
    <w:rPr>
      <w:rFonts w:ascii="Times New (W1)" w:hAnsi="Times New (W1)" w:cs="Times New (W1)"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0383">
      <w:bodyDiv w:val="1"/>
      <w:marLeft w:val="0"/>
      <w:marRight w:val="0"/>
      <w:marTop w:val="0"/>
      <w:marBottom w:val="0"/>
      <w:divBdr>
        <w:top w:val="none" w:sz="0" w:space="0" w:color="auto"/>
        <w:left w:val="none" w:sz="0" w:space="0" w:color="auto"/>
        <w:bottom w:val="none" w:sz="0" w:space="0" w:color="auto"/>
        <w:right w:val="none" w:sz="0" w:space="0" w:color="auto"/>
      </w:divBdr>
    </w:div>
    <w:div w:id="4648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7064-CD77-45D8-85D6-7C30924C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90</TotalTime>
  <Pages>4</Pages>
  <Words>1466</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CASA EX46/18 — Explanatory Statement</vt:lpstr>
    </vt:vector>
  </TitlesOfParts>
  <Company>Civil Aviation Safety Authority</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EX46/18 — Explanatory Statement</dc:title>
  <dc:subject>Dual Flight Checks before Solo Flights (Student Pilots) Exemption 2018</dc:subject>
  <dc:creator>Civil Aviation Safety Authority</dc:creator>
  <cp:lastModifiedBy>Guglielmin, Luisa</cp:lastModifiedBy>
  <cp:revision>12</cp:revision>
  <cp:lastPrinted>2018-04-17T02:14:00Z</cp:lastPrinted>
  <dcterms:created xsi:type="dcterms:W3CDTF">2018-04-16T00:55:00Z</dcterms:created>
  <dcterms:modified xsi:type="dcterms:W3CDTF">2018-04-17T02:14:00Z</dcterms:modified>
  <cp:category>Exemptions</cp:category>
</cp:coreProperties>
</file>