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CB15" w14:textId="0323527E" w:rsidR="00C95E8E" w:rsidRDefault="00C95E8E" w:rsidP="00C95E8E">
      <w:pPr>
        <w:pStyle w:val="Title"/>
      </w:pPr>
      <w:r w:rsidRPr="00B32BD1">
        <w:t>EXPLANATORY STATEMENT</w:t>
      </w:r>
      <w:r>
        <w:t xml:space="preserve"> for</w:t>
      </w:r>
    </w:p>
    <w:p w14:paraId="1BF0E239" w14:textId="77777777" w:rsidR="00C95E8E" w:rsidRPr="00B32BD1" w:rsidRDefault="00C95E8E" w:rsidP="0061314F">
      <w:pPr>
        <w:pStyle w:val="Title"/>
        <w:jc w:val="left"/>
      </w:pPr>
    </w:p>
    <w:p w14:paraId="40CFB833" w14:textId="59F610E5" w:rsidR="00EA14B3" w:rsidRPr="0061314F" w:rsidRDefault="00EA14B3">
      <w:pPr>
        <w:pStyle w:val="Title"/>
        <w:rPr>
          <w:sz w:val="24"/>
        </w:rPr>
      </w:pPr>
      <w:r w:rsidRPr="0061314F">
        <w:rPr>
          <w:sz w:val="24"/>
        </w:rPr>
        <w:t xml:space="preserve">ASIC </w:t>
      </w:r>
      <w:r w:rsidR="00C95E8E" w:rsidRPr="0061314F">
        <w:rPr>
          <w:sz w:val="24"/>
        </w:rPr>
        <w:t>Market Integrity Rules (Futures Markets) Class Waiver 20</w:t>
      </w:r>
      <w:r w:rsidR="00B32BD1" w:rsidRPr="0061314F">
        <w:rPr>
          <w:sz w:val="24"/>
        </w:rPr>
        <w:t>1</w:t>
      </w:r>
      <w:r w:rsidR="00DA312E" w:rsidRPr="0061314F">
        <w:rPr>
          <w:sz w:val="24"/>
        </w:rPr>
        <w:t>8</w:t>
      </w:r>
      <w:r w:rsidR="00B32BD1" w:rsidRPr="0061314F">
        <w:rPr>
          <w:sz w:val="24"/>
        </w:rPr>
        <w:t>/</w:t>
      </w:r>
      <w:r w:rsidR="0061314F">
        <w:rPr>
          <w:sz w:val="24"/>
        </w:rPr>
        <w:t>264</w:t>
      </w:r>
    </w:p>
    <w:p w14:paraId="40CFB834" w14:textId="77777777" w:rsidR="00EA14B3" w:rsidRPr="00B32BD1" w:rsidRDefault="00EA14B3">
      <w:pPr>
        <w:pStyle w:val="Title"/>
      </w:pPr>
    </w:p>
    <w:p w14:paraId="40CFB836" w14:textId="77777777" w:rsidR="00EA14B3" w:rsidRPr="00B32BD1" w:rsidRDefault="00EA14B3">
      <w:pPr>
        <w:pStyle w:val="BodyTextcentred"/>
      </w:pPr>
      <w:r w:rsidRPr="00B32BD1">
        <w:t>Prepared by the Australian Securities and Investments Commission</w:t>
      </w:r>
    </w:p>
    <w:p w14:paraId="40CFB837" w14:textId="3ABFCF1C" w:rsidR="00EA14B3" w:rsidRPr="00B32BD1" w:rsidRDefault="00262491">
      <w:pPr>
        <w:pStyle w:val="BodyTextcentreditals"/>
      </w:pPr>
      <w:r>
        <w:t>ASIC Market Integrity Rules (</w:t>
      </w:r>
      <w:r w:rsidR="003051AC">
        <w:t>Futures</w:t>
      </w:r>
      <w:r>
        <w:t xml:space="preserve"> Market</w:t>
      </w:r>
      <w:r w:rsidR="003051AC">
        <w:t>s</w:t>
      </w:r>
      <w:r>
        <w:t>) 201</w:t>
      </w:r>
      <w:r w:rsidR="003051AC">
        <w:t>7</w:t>
      </w:r>
    </w:p>
    <w:p w14:paraId="161A8338" w14:textId="789A0C92" w:rsidR="007F2086" w:rsidRDefault="0091740C" w:rsidP="00EA14B3">
      <w:pPr>
        <w:pStyle w:val="BodyText"/>
      </w:pPr>
      <w:r w:rsidRPr="0091740C">
        <w:t>The Australian Securities and Investments Commission (</w:t>
      </w:r>
      <w:r w:rsidRPr="0091740C">
        <w:rPr>
          <w:b/>
          <w:i/>
        </w:rPr>
        <w:t>ASIC</w:t>
      </w:r>
      <w:r w:rsidRPr="0091740C">
        <w:t xml:space="preserve">) makes </w:t>
      </w:r>
      <w:r w:rsidR="00C95E8E" w:rsidRPr="004B1684">
        <w:t>ASIC Market Integrity Rules (Futures Markets) Class Waiver 2018/</w:t>
      </w:r>
      <w:r w:rsidR="0061314F">
        <w:t>264</w:t>
      </w:r>
      <w:r w:rsidR="00C95E8E" w:rsidRPr="0091740C" w:rsidDel="00C95E8E">
        <w:t xml:space="preserve"> </w:t>
      </w:r>
      <w:r w:rsidR="00C95E8E">
        <w:t xml:space="preserve">(the </w:t>
      </w:r>
      <w:r w:rsidRPr="0061314F">
        <w:rPr>
          <w:b/>
          <w:i/>
        </w:rPr>
        <w:t>instrument</w:t>
      </w:r>
      <w:r w:rsidR="00C95E8E">
        <w:t>)</w:t>
      </w:r>
      <w:r w:rsidRPr="0091740C">
        <w:t xml:space="preserve"> under </w:t>
      </w:r>
      <w:r w:rsidR="00DD4950">
        <w:t>subr</w:t>
      </w:r>
      <w:r w:rsidRPr="0091740C">
        <w:t xml:space="preserve">ule 1.2.1(1) of the </w:t>
      </w:r>
      <w:r w:rsidRPr="0091740C">
        <w:rPr>
          <w:i/>
        </w:rPr>
        <w:t>ASIC Market Integrity Rules (</w:t>
      </w:r>
      <w:r w:rsidR="003051AC">
        <w:rPr>
          <w:i/>
        </w:rPr>
        <w:t>Futures</w:t>
      </w:r>
      <w:r w:rsidRPr="0091740C">
        <w:rPr>
          <w:i/>
        </w:rPr>
        <w:t> Market</w:t>
      </w:r>
      <w:r w:rsidR="003051AC">
        <w:rPr>
          <w:i/>
        </w:rPr>
        <w:t>s</w:t>
      </w:r>
      <w:r w:rsidRPr="0091740C">
        <w:rPr>
          <w:i/>
        </w:rPr>
        <w:t>) 201</w:t>
      </w:r>
      <w:r w:rsidR="003051AC">
        <w:rPr>
          <w:i/>
        </w:rPr>
        <w:t>7</w:t>
      </w:r>
      <w:r w:rsidRPr="0091740C">
        <w:rPr>
          <w:i/>
        </w:rPr>
        <w:t xml:space="preserve"> </w:t>
      </w:r>
      <w:r w:rsidRPr="0091740C">
        <w:t>(the</w:t>
      </w:r>
      <w:r w:rsidR="00C46D02">
        <w:t> </w:t>
      </w:r>
      <w:r w:rsidRPr="0091740C">
        <w:rPr>
          <w:b/>
          <w:i/>
        </w:rPr>
        <w:t xml:space="preserve"> Rules</w:t>
      </w:r>
      <w:r w:rsidRPr="0091740C">
        <w:t>)</w:t>
      </w:r>
      <w:r w:rsidRPr="00C46D02">
        <w:t>.</w:t>
      </w:r>
      <w:r w:rsidR="00C46D02">
        <w:t xml:space="preserve"> Under </w:t>
      </w:r>
      <w:r w:rsidR="00DD4950">
        <w:t>subr</w:t>
      </w:r>
      <w:r w:rsidR="00DA312E" w:rsidRPr="0091740C">
        <w:t>ule 1.2.1(1)</w:t>
      </w:r>
      <w:r w:rsidR="00C46D02">
        <w:t>, ASIC may relieve any person or class of persons from the obligation to comply with a provision of the Rules</w:t>
      </w:r>
      <w:r w:rsidR="00904914">
        <w:t>.</w:t>
      </w:r>
    </w:p>
    <w:p w14:paraId="40CFB839" w14:textId="0C8A8848" w:rsidR="00EA14B3" w:rsidRPr="00C46D02" w:rsidRDefault="007F2086" w:rsidP="00EA14B3">
      <w:pPr>
        <w:pStyle w:val="BodyText"/>
      </w:pPr>
      <w:r w:rsidRPr="007F2086">
        <w:t xml:space="preserve">Unless the contrary intention appears, capitalised terms in this Explanatory Statement have the same meaning as in the Rules. </w:t>
      </w:r>
      <w:r w:rsidR="00C46D02">
        <w:t xml:space="preserve">   </w:t>
      </w:r>
    </w:p>
    <w:p w14:paraId="40CFB83B" w14:textId="13B9D2B0" w:rsidR="007A508E" w:rsidRPr="0061314F" w:rsidRDefault="00EA14B3" w:rsidP="0061314F">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sidRPr="00B32BD1">
        <w:rPr>
          <w:rFonts w:cs="Arial"/>
          <w:bCs/>
          <w:kern w:val="32"/>
          <w:sz w:val="24"/>
          <w:szCs w:val="32"/>
        </w:rPr>
        <w:t>1.</w:t>
      </w:r>
      <w:r w:rsidRPr="00B32BD1">
        <w:rPr>
          <w:rFonts w:cs="Arial"/>
          <w:bCs/>
          <w:kern w:val="32"/>
          <w:sz w:val="24"/>
          <w:szCs w:val="32"/>
        </w:rPr>
        <w:tab/>
        <w:t>Background</w:t>
      </w:r>
      <w:bookmarkStart w:id="1" w:name="_Toc158699037"/>
      <w:bookmarkEnd w:id="0"/>
    </w:p>
    <w:p w14:paraId="71BC914B" w14:textId="77777777" w:rsidR="00DA312E" w:rsidRPr="00103443" w:rsidRDefault="00DA312E" w:rsidP="00DA312E">
      <w:pPr>
        <w:pStyle w:val="BodyText"/>
        <w:spacing w:before="199"/>
        <w:rPr>
          <w:szCs w:val="24"/>
        </w:rPr>
      </w:pPr>
      <w:r w:rsidRPr="00103443">
        <w:rPr>
          <w:szCs w:val="24"/>
        </w:rPr>
        <w:t>As part of its supervisory responsibilities, ASIC reviewed the 14 market integrity rule books in force in late 2016 and identified the need to consolidate certain market integrity rule books which covered substantively similar existing obligations across</w:t>
      </w:r>
      <w:r>
        <w:rPr>
          <w:szCs w:val="24"/>
        </w:rPr>
        <w:t xml:space="preserve"> like domestic licensed markets.</w:t>
      </w:r>
    </w:p>
    <w:p w14:paraId="32821A7C" w14:textId="77777777" w:rsidR="00DA312E" w:rsidRDefault="00DA312E" w:rsidP="0061314F">
      <w:pPr>
        <w:pStyle w:val="BodyText"/>
        <w:spacing w:before="199"/>
      </w:pPr>
      <w:r w:rsidRPr="0047318F">
        <w:t>Following public consultation, ASIC made the Rules in November 2017.</w:t>
      </w:r>
      <w:r>
        <w:t xml:space="preserve"> </w:t>
      </w:r>
      <w:r w:rsidRPr="0047318F">
        <w:t>Generally,</w:t>
      </w:r>
      <w:r>
        <w:t xml:space="preserve"> the Rules maintain the substance of the regulatory regime embodied in market integrity rules (the </w:t>
      </w:r>
      <w:r w:rsidRPr="0061314F">
        <w:rPr>
          <w:b/>
          <w:i/>
        </w:rPr>
        <w:t>Pre-Commencement Market Integrity Rules</w:t>
      </w:r>
      <w:r>
        <w:t xml:space="preserve">) applicable prior to the commencement of the Rules, </w:t>
      </w:r>
      <w:r w:rsidRPr="005E4F74">
        <w:t xml:space="preserve">including the </w:t>
      </w:r>
      <w:r w:rsidRPr="005E4F74">
        <w:rPr>
          <w:i/>
        </w:rPr>
        <w:t>ASIC Market Integrity Rules (ASX 24 Market) 2010</w:t>
      </w:r>
      <w:r w:rsidRPr="005E4F74">
        <w:t xml:space="preserve"> (</w:t>
      </w:r>
      <w:r w:rsidRPr="0061314F">
        <w:rPr>
          <w:b/>
          <w:i/>
        </w:rPr>
        <w:t>ASX 24 Rules</w:t>
      </w:r>
      <w:r w:rsidRPr="005E4F74">
        <w:t>). The Rules will repeal the Pre-Commencement Market Integrity Rules on 7 May 2018.</w:t>
      </w:r>
    </w:p>
    <w:p w14:paraId="3A63205B" w14:textId="7759B1C3" w:rsidR="00DA312E" w:rsidRDefault="00DA312E" w:rsidP="0061314F">
      <w:pPr>
        <w:pStyle w:val="BodyText"/>
        <w:spacing w:before="199"/>
      </w:pPr>
      <w:r w:rsidRPr="005E4F74">
        <w:t>Upon the repeal of the Pre-Commencement Market Integrity Rules, ASIC Waivers made under the Pre-Commencement Market Integrity Rules will also be repealed, including ASIC Class Waiver [CW 1</w:t>
      </w:r>
      <w:r>
        <w:t>1</w:t>
      </w:r>
      <w:r w:rsidRPr="005E4F74">
        <w:t>/7</w:t>
      </w:r>
      <w:r>
        <w:t>3</w:t>
      </w:r>
      <w:r w:rsidRPr="005E4F74">
        <w:t>4].</w:t>
      </w:r>
    </w:p>
    <w:p w14:paraId="55C731CA" w14:textId="77777777" w:rsidR="00DA312E" w:rsidRDefault="00DA312E" w:rsidP="00DA312E">
      <w:pPr>
        <w:pStyle w:val="BodyText"/>
        <w:spacing w:before="199"/>
      </w:pPr>
      <w:r w:rsidRPr="00850016">
        <w:t xml:space="preserve">In </w:t>
      </w:r>
      <w:r w:rsidRPr="00850016">
        <w:rPr>
          <w:szCs w:val="24"/>
        </w:rPr>
        <w:t xml:space="preserve">Report 547 </w:t>
      </w:r>
      <w:r w:rsidRPr="00850016">
        <w:rPr>
          <w:i/>
          <w:szCs w:val="24"/>
        </w:rPr>
        <w:t>Response to submissions on CP 277 Proposals to consolidate the ASIC market integrity rules (</w:t>
      </w:r>
      <w:r w:rsidRPr="00850016">
        <w:rPr>
          <w:b/>
          <w:i/>
          <w:szCs w:val="24"/>
        </w:rPr>
        <w:t>REP 457</w:t>
      </w:r>
      <w:r w:rsidRPr="00850016">
        <w:rPr>
          <w:i/>
          <w:szCs w:val="24"/>
        </w:rPr>
        <w:t>)</w:t>
      </w:r>
      <w:r w:rsidRPr="00850016">
        <w:rPr>
          <w:szCs w:val="24"/>
        </w:rPr>
        <w:t xml:space="preserve"> ASIC announced that as part of its project to consolidate the market integrity rules it would remake existing individual and class waivers under the Rules before 7 May 2018.</w:t>
      </w:r>
    </w:p>
    <w:p w14:paraId="40CFB83C" w14:textId="31046344" w:rsidR="00951CD6" w:rsidRDefault="00DD4950" w:rsidP="0061314F">
      <w:pPr>
        <w:pStyle w:val="BodyText"/>
        <w:spacing w:before="199"/>
        <w:rPr>
          <w:color w:val="000000"/>
          <w:lang w:eastAsia="en-AU"/>
        </w:rPr>
      </w:pPr>
      <w:r>
        <w:rPr>
          <w:color w:val="000000"/>
          <w:lang w:eastAsia="en-AU"/>
        </w:rPr>
        <w:t>Subr</w:t>
      </w:r>
      <w:r w:rsidR="007A508E">
        <w:rPr>
          <w:color w:val="000000"/>
          <w:lang w:eastAsia="en-AU"/>
        </w:rPr>
        <w:t>ule 2.2</w:t>
      </w:r>
      <w:r w:rsidR="006E2F45">
        <w:rPr>
          <w:color w:val="000000"/>
          <w:lang w:eastAsia="en-AU"/>
        </w:rPr>
        <w:t>.</w:t>
      </w:r>
      <w:r w:rsidR="007A508E">
        <w:rPr>
          <w:color w:val="000000"/>
          <w:lang w:eastAsia="en-AU"/>
        </w:rPr>
        <w:t xml:space="preserve">5(1) requires a market participant to have in force, prior to the commencement of trading </w:t>
      </w:r>
      <w:r w:rsidR="002A0AAF">
        <w:rPr>
          <w:color w:val="000000"/>
          <w:lang w:eastAsia="en-AU"/>
        </w:rPr>
        <w:t>of contracts (e</w:t>
      </w:r>
      <w:r w:rsidR="009F6D4C">
        <w:rPr>
          <w:color w:val="000000"/>
          <w:lang w:eastAsia="en-AU"/>
        </w:rPr>
        <w:t>.</w:t>
      </w:r>
      <w:r w:rsidR="002A0AAF">
        <w:rPr>
          <w:color w:val="000000"/>
          <w:lang w:eastAsia="en-AU"/>
        </w:rPr>
        <w:t>g</w:t>
      </w:r>
      <w:r w:rsidR="009F6D4C">
        <w:rPr>
          <w:color w:val="000000"/>
          <w:lang w:eastAsia="en-AU"/>
        </w:rPr>
        <w:t>.</w:t>
      </w:r>
      <w:r w:rsidR="002A0AAF">
        <w:rPr>
          <w:color w:val="000000"/>
          <w:lang w:eastAsia="en-AU"/>
        </w:rPr>
        <w:t xml:space="preserve"> futures</w:t>
      </w:r>
      <w:r w:rsidR="009F6D4C">
        <w:rPr>
          <w:color w:val="000000"/>
          <w:lang w:eastAsia="en-AU"/>
        </w:rPr>
        <w:t xml:space="preserve"> market</w:t>
      </w:r>
      <w:r w:rsidR="002A0AAF">
        <w:rPr>
          <w:color w:val="000000"/>
          <w:lang w:eastAsia="en-AU"/>
        </w:rPr>
        <w:t xml:space="preserve"> contracts) </w:t>
      </w:r>
      <w:r w:rsidR="009F6D4C">
        <w:rPr>
          <w:color w:val="000000"/>
          <w:lang w:eastAsia="en-AU"/>
        </w:rPr>
        <w:t xml:space="preserve">on behalf of </w:t>
      </w:r>
      <w:r w:rsidR="00F90D57">
        <w:rPr>
          <w:color w:val="000000"/>
          <w:lang w:eastAsia="en-AU"/>
        </w:rPr>
        <w:t>a client</w:t>
      </w:r>
      <w:r w:rsidR="007A508E">
        <w:rPr>
          <w:color w:val="000000"/>
          <w:lang w:eastAsia="en-AU"/>
        </w:rPr>
        <w:t>, a</w:t>
      </w:r>
      <w:r w:rsidR="00951CD6">
        <w:rPr>
          <w:color w:val="000000"/>
          <w:lang w:eastAsia="en-AU"/>
        </w:rPr>
        <w:t>n</w:t>
      </w:r>
      <w:r w:rsidR="007A508E">
        <w:rPr>
          <w:color w:val="000000"/>
          <w:lang w:eastAsia="en-AU"/>
        </w:rPr>
        <w:t xml:space="preserve"> agreement with that client</w:t>
      </w:r>
      <w:r w:rsidR="009F6D4C">
        <w:rPr>
          <w:color w:val="000000"/>
          <w:lang w:eastAsia="en-AU"/>
        </w:rPr>
        <w:t xml:space="preserve"> that meets</w:t>
      </w:r>
      <w:r w:rsidR="007A508E">
        <w:rPr>
          <w:color w:val="000000"/>
          <w:lang w:eastAsia="en-AU"/>
        </w:rPr>
        <w:t xml:space="preserve"> certain minimum requirements. </w:t>
      </w:r>
    </w:p>
    <w:p w14:paraId="40CFB83D" w14:textId="77777777" w:rsidR="00951CD6" w:rsidRDefault="00951CD6" w:rsidP="00CC57DD">
      <w:pPr>
        <w:autoSpaceDE w:val="0"/>
        <w:autoSpaceDN w:val="0"/>
        <w:adjustRightInd w:val="0"/>
        <w:rPr>
          <w:color w:val="000000"/>
          <w:lang w:eastAsia="en-AU"/>
        </w:rPr>
      </w:pPr>
    </w:p>
    <w:p w14:paraId="40CFB841" w14:textId="6A61B0F4" w:rsidR="002A1709" w:rsidRDefault="00DD4950" w:rsidP="002A1709">
      <w:pPr>
        <w:autoSpaceDE w:val="0"/>
        <w:autoSpaceDN w:val="0"/>
        <w:adjustRightInd w:val="0"/>
        <w:rPr>
          <w:color w:val="000000"/>
          <w:lang w:eastAsia="en-AU"/>
        </w:rPr>
      </w:pPr>
      <w:r>
        <w:rPr>
          <w:color w:val="000000"/>
          <w:lang w:eastAsia="en-AU"/>
        </w:rPr>
        <w:t>Subparagraph</w:t>
      </w:r>
      <w:r w:rsidR="00951CD6">
        <w:rPr>
          <w:color w:val="000000"/>
          <w:lang w:eastAsia="en-AU"/>
        </w:rPr>
        <w:t xml:space="preserve"> 2.2</w:t>
      </w:r>
      <w:r w:rsidR="006E2F45">
        <w:rPr>
          <w:color w:val="000000"/>
          <w:lang w:eastAsia="en-AU"/>
        </w:rPr>
        <w:t>.</w:t>
      </w:r>
      <w:r w:rsidR="00951CD6">
        <w:rPr>
          <w:color w:val="000000"/>
          <w:lang w:eastAsia="en-AU"/>
        </w:rPr>
        <w:t xml:space="preserve">5(1)(b)(vi) imposes a </w:t>
      </w:r>
      <w:r w:rsidR="007A508E">
        <w:rPr>
          <w:color w:val="000000"/>
          <w:lang w:eastAsia="en-AU"/>
        </w:rPr>
        <w:t xml:space="preserve">requirement that the agreement must contain an acknowledgment by the client that the client is responsible to pay in cash any deficit owing </w:t>
      </w:r>
      <w:r w:rsidR="00F90D57">
        <w:rPr>
          <w:color w:val="000000"/>
          <w:lang w:eastAsia="en-AU"/>
        </w:rPr>
        <w:t xml:space="preserve">in relation to a margin </w:t>
      </w:r>
      <w:r w:rsidR="007A508E">
        <w:rPr>
          <w:color w:val="000000"/>
          <w:lang w:eastAsia="en-AU"/>
        </w:rPr>
        <w:t>to the market participant after the closing out of a</w:t>
      </w:r>
      <w:r w:rsidR="00951CD6">
        <w:rPr>
          <w:color w:val="000000"/>
          <w:lang w:eastAsia="en-AU"/>
        </w:rPr>
        <w:t xml:space="preserve"> </w:t>
      </w:r>
      <w:r w:rsidR="007A508E">
        <w:rPr>
          <w:color w:val="000000"/>
          <w:lang w:eastAsia="en-AU"/>
        </w:rPr>
        <w:t xml:space="preserve"> contract</w:t>
      </w:r>
      <w:r w:rsidR="00951CD6">
        <w:rPr>
          <w:color w:val="000000"/>
          <w:lang w:eastAsia="en-AU"/>
        </w:rPr>
        <w:t xml:space="preserve"> and that, if the client defaults in payment of such a deficit, the market </w:t>
      </w:r>
      <w:r w:rsidR="00951CD6">
        <w:rPr>
          <w:color w:val="000000"/>
          <w:lang w:eastAsia="en-AU"/>
        </w:rPr>
        <w:lastRenderedPageBreak/>
        <w:t>participant may realise any securities held by the market participant and apply the proceeds against that deficiency</w:t>
      </w:r>
      <w:r w:rsidR="009F6D4C">
        <w:rPr>
          <w:color w:val="000000"/>
          <w:lang w:eastAsia="en-AU"/>
        </w:rPr>
        <w:t>.</w:t>
      </w:r>
      <w:r w:rsidR="009F6D4C">
        <w:rPr>
          <w:color w:val="000000"/>
          <w:lang w:eastAsia="en-AU"/>
        </w:rPr>
        <w:br/>
      </w:r>
    </w:p>
    <w:p w14:paraId="1A3A3A2F" w14:textId="75C4CD44" w:rsidR="00DA312E" w:rsidRPr="00200306" w:rsidRDefault="00CC57DD" w:rsidP="002A1709">
      <w:pPr>
        <w:autoSpaceDE w:val="0"/>
        <w:autoSpaceDN w:val="0"/>
        <w:adjustRightInd w:val="0"/>
        <w:rPr>
          <w:color w:val="000000"/>
          <w:lang w:eastAsia="en-AU"/>
        </w:rPr>
      </w:pPr>
      <w:r w:rsidRPr="009C75E1">
        <w:rPr>
          <w:color w:val="000000"/>
          <w:lang w:eastAsia="en-AU"/>
        </w:rPr>
        <w:t>ASIC grant</w:t>
      </w:r>
      <w:r w:rsidR="009F6D4C">
        <w:rPr>
          <w:color w:val="000000"/>
          <w:lang w:eastAsia="en-AU"/>
        </w:rPr>
        <w:t>ed</w:t>
      </w:r>
      <w:r w:rsidRPr="009C75E1">
        <w:rPr>
          <w:color w:val="000000"/>
          <w:lang w:eastAsia="en-AU"/>
        </w:rPr>
        <w:t xml:space="preserve"> </w:t>
      </w:r>
      <w:r w:rsidR="009F6D4C">
        <w:rPr>
          <w:color w:val="000000"/>
          <w:lang w:eastAsia="en-AU"/>
        </w:rPr>
        <w:t xml:space="preserve">[CW 11/734] </w:t>
      </w:r>
      <w:r w:rsidR="008F529D">
        <w:rPr>
          <w:color w:val="000000"/>
          <w:lang w:eastAsia="en-AU"/>
        </w:rPr>
        <w:t xml:space="preserve">to permit the inclusion of </w:t>
      </w:r>
      <w:r w:rsidR="009F6D4C">
        <w:rPr>
          <w:color w:val="000000"/>
          <w:lang w:eastAsia="en-AU"/>
        </w:rPr>
        <w:t>limitation of liability</w:t>
      </w:r>
      <w:r w:rsidRPr="009C75E1">
        <w:rPr>
          <w:color w:val="000000"/>
          <w:lang w:eastAsia="en-AU"/>
        </w:rPr>
        <w:t xml:space="preserve"> clauses for trustee clients, subject to certain conditions.</w:t>
      </w:r>
      <w:r w:rsidR="009F6D4C" w:rsidRPr="009F6D4C">
        <w:rPr>
          <w:color w:val="000000"/>
          <w:lang w:eastAsia="en-AU"/>
        </w:rPr>
        <w:t xml:space="preserve"> </w:t>
      </w:r>
      <w:r w:rsidR="009F6D4C">
        <w:rPr>
          <w:color w:val="000000"/>
          <w:lang w:eastAsia="en-AU"/>
        </w:rPr>
        <w:t>Where a market participant is acquiring and disposing of futures contracts on behalf of a trustee client, the effect of a limitation of liability clause in the client agreement is that the client’s liability to pay deficits in margins is limited to the extent that the client has a right to be indemnified for that liability from the assets of the trust or fund operated by the trustee client</w:t>
      </w:r>
      <w:r w:rsidR="009F6D4C" w:rsidRPr="009C75E1">
        <w:rPr>
          <w:color w:val="000000"/>
          <w:lang w:eastAsia="en-AU"/>
        </w:rPr>
        <w:t>.</w:t>
      </w:r>
    </w:p>
    <w:p w14:paraId="40CFB843" w14:textId="77777777" w:rsidR="00EA14B3" w:rsidRDefault="00EA14B3" w:rsidP="00CC57DD">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2.</w:t>
      </w:r>
      <w:r>
        <w:rPr>
          <w:rFonts w:cs="Arial"/>
          <w:bCs/>
          <w:kern w:val="32"/>
          <w:sz w:val="24"/>
          <w:szCs w:val="32"/>
        </w:rPr>
        <w:tab/>
        <w:t xml:space="preserve">Purpose of the class </w:t>
      </w:r>
      <w:bookmarkEnd w:id="1"/>
      <w:r w:rsidR="00CF74EE">
        <w:rPr>
          <w:rFonts w:cs="Arial"/>
          <w:bCs/>
          <w:kern w:val="32"/>
          <w:sz w:val="24"/>
          <w:szCs w:val="32"/>
        </w:rPr>
        <w:t xml:space="preserve">rule </w:t>
      </w:r>
      <w:r w:rsidR="00632665">
        <w:rPr>
          <w:rFonts w:cs="Arial"/>
          <w:bCs/>
          <w:kern w:val="32"/>
          <w:sz w:val="24"/>
          <w:szCs w:val="32"/>
        </w:rPr>
        <w:t>waiver</w:t>
      </w:r>
      <w:r>
        <w:rPr>
          <w:rFonts w:cs="Arial"/>
          <w:bCs/>
          <w:kern w:val="32"/>
          <w:sz w:val="24"/>
          <w:szCs w:val="32"/>
        </w:rPr>
        <w:t xml:space="preserve"> </w:t>
      </w:r>
    </w:p>
    <w:p w14:paraId="10EB7265" w14:textId="23D21293" w:rsidR="00DA312E" w:rsidRDefault="00DA312E" w:rsidP="00DA312E">
      <w:pPr>
        <w:pStyle w:val="BodyText"/>
        <w:spacing w:before="199"/>
      </w:pPr>
      <w:r w:rsidRPr="00850016">
        <w:t xml:space="preserve">The purpose of this instrument is to provide conditional </w:t>
      </w:r>
      <w:r>
        <w:t xml:space="preserve">class </w:t>
      </w:r>
      <w:r w:rsidRPr="00850016">
        <w:t>relief from</w:t>
      </w:r>
      <w:r w:rsidR="007D60B5">
        <w:t xml:space="preserve"> </w:t>
      </w:r>
      <w:r w:rsidR="00DD4950">
        <w:rPr>
          <w:color w:val="000000"/>
          <w:lang w:eastAsia="en-AU"/>
        </w:rPr>
        <w:t>subparagraph</w:t>
      </w:r>
      <w:r w:rsidR="00DD4950" w:rsidRPr="00CC57DD">
        <w:rPr>
          <w:iCs/>
        </w:rPr>
        <w:t xml:space="preserve"> </w:t>
      </w:r>
      <w:r w:rsidRPr="00CC57DD">
        <w:rPr>
          <w:iCs/>
        </w:rPr>
        <w:t xml:space="preserve">2.2.5(1)(b)(vi) </w:t>
      </w:r>
      <w:r w:rsidRPr="00850016">
        <w:t>that is consistent with the relief given from the ASX</w:t>
      </w:r>
      <w:r>
        <w:t xml:space="preserve"> 24</w:t>
      </w:r>
      <w:r w:rsidRPr="00850016">
        <w:t xml:space="preserve"> Rules in </w:t>
      </w:r>
      <w:r>
        <w:t>[CW 11/734]</w:t>
      </w:r>
      <w:r w:rsidRPr="00850016">
        <w:t xml:space="preserve"> that will be repealed on 7 May 2018 upon the repeal of the Pre-Commencement Market Integrity Rules.</w:t>
      </w:r>
    </w:p>
    <w:p w14:paraId="40CFB844" w14:textId="3BF011F4" w:rsidR="006E2F45" w:rsidRDefault="002275D2" w:rsidP="006C7B52">
      <w:pPr>
        <w:pStyle w:val="BodyText"/>
        <w:spacing w:line="240" w:lineRule="auto"/>
        <w:rPr>
          <w:iCs/>
        </w:rPr>
      </w:pPr>
      <w:r w:rsidRPr="002275D2">
        <w:rPr>
          <w:iCs/>
        </w:rPr>
        <w:t xml:space="preserve">The </w:t>
      </w:r>
      <w:r w:rsidR="00DA312E">
        <w:rPr>
          <w:iCs/>
        </w:rPr>
        <w:t>instrument</w:t>
      </w:r>
      <w:r w:rsidR="00CC57DD">
        <w:rPr>
          <w:iCs/>
        </w:rPr>
        <w:t xml:space="preserve"> </w:t>
      </w:r>
      <w:r w:rsidR="00CF74EE">
        <w:rPr>
          <w:iCs/>
        </w:rPr>
        <w:t>relieve</w:t>
      </w:r>
      <w:r w:rsidR="009F6D4C">
        <w:rPr>
          <w:iCs/>
        </w:rPr>
        <w:t>s</w:t>
      </w:r>
      <w:r w:rsidR="00CF74EE">
        <w:rPr>
          <w:iCs/>
        </w:rPr>
        <w:t xml:space="preserve"> a  market participant from the obligation to have in force a client agreement containing a term to the effect of the acknowledgement specified in </w:t>
      </w:r>
      <w:r w:rsidR="00DD4950">
        <w:rPr>
          <w:color w:val="000000"/>
          <w:lang w:eastAsia="en-AU"/>
        </w:rPr>
        <w:t>subparagraph</w:t>
      </w:r>
      <w:r w:rsidR="00DD4950" w:rsidDel="00DD4950">
        <w:rPr>
          <w:iCs/>
        </w:rPr>
        <w:t xml:space="preserve"> </w:t>
      </w:r>
      <w:r w:rsidR="00CC57DD" w:rsidRPr="00CC57DD">
        <w:rPr>
          <w:iCs/>
        </w:rPr>
        <w:t xml:space="preserve">2.2.5(1)(b)(vi) </w:t>
      </w:r>
      <w:r w:rsidR="006E2F45">
        <w:rPr>
          <w:iCs/>
        </w:rPr>
        <w:t xml:space="preserve">in respect of certain kinds of clients on whose behalf they acquire and dispose of contracts on </w:t>
      </w:r>
      <w:r w:rsidR="006A7116">
        <w:rPr>
          <w:iCs/>
        </w:rPr>
        <w:t>a</w:t>
      </w:r>
      <w:r w:rsidR="006E2F45">
        <w:rPr>
          <w:iCs/>
        </w:rPr>
        <w:t xml:space="preserve"> </w:t>
      </w:r>
      <w:r w:rsidR="0011133E">
        <w:rPr>
          <w:iCs/>
        </w:rPr>
        <w:t>futures</w:t>
      </w:r>
      <w:r w:rsidR="006E2F45">
        <w:rPr>
          <w:iCs/>
        </w:rPr>
        <w:t xml:space="preserve"> market</w:t>
      </w:r>
      <w:r w:rsidR="00CF74EE">
        <w:rPr>
          <w:iCs/>
        </w:rPr>
        <w:t xml:space="preserve">.  </w:t>
      </w:r>
    </w:p>
    <w:p w14:paraId="40CFB845" w14:textId="3E260E8A" w:rsidR="006E2F45" w:rsidRDefault="00CF74EE" w:rsidP="006C7B52">
      <w:pPr>
        <w:pStyle w:val="BodyText"/>
        <w:spacing w:line="240" w:lineRule="auto"/>
        <w:rPr>
          <w:iCs/>
        </w:rPr>
      </w:pPr>
      <w:r>
        <w:rPr>
          <w:iCs/>
        </w:rPr>
        <w:t xml:space="preserve">Relieving a market participant from this obligation will allow the inclusion of a </w:t>
      </w:r>
      <w:r w:rsidR="009F6D4C">
        <w:rPr>
          <w:iCs/>
        </w:rPr>
        <w:t>limitation of liability</w:t>
      </w:r>
      <w:r>
        <w:rPr>
          <w:iCs/>
        </w:rPr>
        <w:t xml:space="preserve"> clause in a market participant</w:t>
      </w:r>
      <w:r w:rsidR="00C46D02">
        <w:rPr>
          <w:iCs/>
        </w:rPr>
        <w:t>’</w:t>
      </w:r>
      <w:r>
        <w:rPr>
          <w:iCs/>
        </w:rPr>
        <w:t xml:space="preserve">s agreement with </w:t>
      </w:r>
      <w:r w:rsidR="001139FE">
        <w:rPr>
          <w:iCs/>
        </w:rPr>
        <w:t xml:space="preserve">a </w:t>
      </w:r>
      <w:r w:rsidR="006E2F45">
        <w:rPr>
          <w:iCs/>
        </w:rPr>
        <w:t xml:space="preserve">client who is: </w:t>
      </w:r>
    </w:p>
    <w:p w14:paraId="40CFB846" w14:textId="77777777" w:rsidR="00BB561E" w:rsidRDefault="006E2F45">
      <w:pPr>
        <w:pStyle w:val="BodyText"/>
        <w:tabs>
          <w:tab w:val="clear" w:pos="567"/>
          <w:tab w:val="clear" w:pos="680"/>
        </w:tabs>
        <w:spacing w:line="240" w:lineRule="auto"/>
        <w:ind w:left="567" w:hanging="567"/>
        <w:rPr>
          <w:iCs/>
        </w:rPr>
      </w:pPr>
      <w:r>
        <w:rPr>
          <w:iCs/>
        </w:rPr>
        <w:t>(a)</w:t>
      </w:r>
      <w:r>
        <w:rPr>
          <w:iCs/>
        </w:rPr>
        <w:tab/>
      </w:r>
      <w:r w:rsidR="00F93985">
        <w:rPr>
          <w:iCs/>
        </w:rPr>
        <w:t>a</w:t>
      </w:r>
      <w:r>
        <w:rPr>
          <w:iCs/>
        </w:rPr>
        <w:t xml:space="preserve"> </w:t>
      </w:r>
      <w:r w:rsidR="001139FE">
        <w:rPr>
          <w:iCs/>
        </w:rPr>
        <w:t>trustee</w:t>
      </w:r>
      <w:r>
        <w:rPr>
          <w:iCs/>
        </w:rPr>
        <w:t xml:space="preserve"> of a trust; and/or </w:t>
      </w:r>
    </w:p>
    <w:p w14:paraId="40CFB847" w14:textId="77777777" w:rsidR="00BB561E" w:rsidRDefault="006E2F45">
      <w:pPr>
        <w:pStyle w:val="BodyText"/>
        <w:tabs>
          <w:tab w:val="clear" w:pos="567"/>
          <w:tab w:val="clear" w:pos="680"/>
        </w:tabs>
        <w:spacing w:line="240" w:lineRule="auto"/>
        <w:ind w:left="567" w:hanging="567"/>
        <w:rPr>
          <w:iCs/>
        </w:rPr>
      </w:pPr>
      <w:r>
        <w:rPr>
          <w:iCs/>
        </w:rPr>
        <w:t>(b)</w:t>
      </w:r>
      <w:r>
        <w:rPr>
          <w:iCs/>
        </w:rPr>
        <w:tab/>
        <w:t>an operator of a managed investment scheme</w:t>
      </w:r>
      <w:r w:rsidR="001139FE">
        <w:rPr>
          <w:iCs/>
        </w:rPr>
        <w:t>.</w:t>
      </w:r>
    </w:p>
    <w:p w14:paraId="40CFB848" w14:textId="40C15A0F" w:rsidR="00B71679" w:rsidRDefault="00F93985" w:rsidP="006E2F45">
      <w:pPr>
        <w:pStyle w:val="BodyText"/>
        <w:spacing w:line="240" w:lineRule="auto"/>
        <w:rPr>
          <w:iCs/>
        </w:rPr>
      </w:pPr>
      <w:r>
        <w:rPr>
          <w:iCs/>
        </w:rPr>
        <w:t xml:space="preserve">The </w:t>
      </w:r>
      <w:r w:rsidR="007D60B5">
        <w:rPr>
          <w:iCs/>
        </w:rPr>
        <w:t>instrument</w:t>
      </w:r>
      <w:r>
        <w:rPr>
          <w:iCs/>
        </w:rPr>
        <w:t xml:space="preserve"> applies in relation to both these kinds of clients to reflect the fact that </w:t>
      </w:r>
      <w:r w:rsidR="002A0AAF">
        <w:rPr>
          <w:iCs/>
        </w:rPr>
        <w:t xml:space="preserve">some </w:t>
      </w:r>
      <w:r>
        <w:rPr>
          <w:iCs/>
        </w:rPr>
        <w:t xml:space="preserve">managed investment schemes </w:t>
      </w:r>
      <w:r w:rsidR="002A0AAF">
        <w:rPr>
          <w:iCs/>
        </w:rPr>
        <w:t xml:space="preserve">may not be </w:t>
      </w:r>
      <w:r>
        <w:rPr>
          <w:iCs/>
        </w:rPr>
        <w:t xml:space="preserve">structured as trusts, and some overseas jurisdictions do not recognise the </w:t>
      </w:r>
      <w:r w:rsidR="002A0AAF">
        <w:rPr>
          <w:iCs/>
        </w:rPr>
        <w:t xml:space="preserve">legal </w:t>
      </w:r>
      <w:r>
        <w:rPr>
          <w:iCs/>
        </w:rPr>
        <w:t xml:space="preserve">concept of trust.       </w:t>
      </w:r>
      <w:r w:rsidR="00CF74EE">
        <w:rPr>
          <w:iCs/>
        </w:rPr>
        <w:t xml:space="preserve"> </w:t>
      </w:r>
      <w:r w:rsidR="00CC57DD">
        <w:rPr>
          <w:iCs/>
        </w:rPr>
        <w:t xml:space="preserve"> </w:t>
      </w:r>
    </w:p>
    <w:p w14:paraId="40CFB84A" w14:textId="39A36DAF" w:rsidR="005312B8" w:rsidRDefault="00200306" w:rsidP="00200306">
      <w:pPr>
        <w:pStyle w:val="BodyText"/>
        <w:rPr>
          <w:iCs/>
        </w:rPr>
      </w:pPr>
      <w:r>
        <w:rPr>
          <w:iCs/>
        </w:rPr>
        <w:t>The relief in the instrument is given</w:t>
      </w:r>
      <w:r w:rsidR="00372B1D">
        <w:rPr>
          <w:iCs/>
        </w:rPr>
        <w:t xml:space="preserve"> </w:t>
      </w:r>
      <w:r w:rsidR="00B71679">
        <w:rPr>
          <w:iCs/>
        </w:rPr>
        <w:t xml:space="preserve">on the grounds </w:t>
      </w:r>
      <w:r w:rsidR="005312B8">
        <w:rPr>
          <w:iCs/>
        </w:rPr>
        <w:t>that</w:t>
      </w:r>
      <w:r>
        <w:rPr>
          <w:iCs/>
        </w:rPr>
        <w:t xml:space="preserve"> t</w:t>
      </w:r>
      <w:r w:rsidR="005312B8" w:rsidRPr="005312B8">
        <w:rPr>
          <w:iCs/>
        </w:rPr>
        <w:t xml:space="preserve">he risk associated with </w:t>
      </w:r>
      <w:r w:rsidR="005A52B5">
        <w:rPr>
          <w:iCs/>
        </w:rPr>
        <w:t xml:space="preserve"> market </w:t>
      </w:r>
      <w:r w:rsidR="005312B8" w:rsidRPr="005312B8">
        <w:rPr>
          <w:iCs/>
        </w:rPr>
        <w:t xml:space="preserve">participants limiting their </w:t>
      </w:r>
      <w:r w:rsidR="00A4766C">
        <w:rPr>
          <w:iCs/>
        </w:rPr>
        <w:t>ability to seek recourse from</w:t>
      </w:r>
      <w:r w:rsidR="005312B8" w:rsidRPr="005312B8">
        <w:rPr>
          <w:iCs/>
        </w:rPr>
        <w:t xml:space="preserve"> a trustee</w:t>
      </w:r>
      <w:r w:rsidR="005A52B5">
        <w:rPr>
          <w:iCs/>
        </w:rPr>
        <w:t>-like</w:t>
      </w:r>
      <w:r w:rsidR="005312B8" w:rsidRPr="005312B8">
        <w:rPr>
          <w:iCs/>
        </w:rPr>
        <w:t xml:space="preserve"> client for the payment of margins primarily relates to </w:t>
      </w:r>
      <w:r>
        <w:rPr>
          <w:iCs/>
        </w:rPr>
        <w:t>the risk</w:t>
      </w:r>
      <w:r w:rsidR="005312B8" w:rsidRPr="005312B8">
        <w:rPr>
          <w:iCs/>
        </w:rPr>
        <w:t xml:space="preserve"> of default by the client.  As </w:t>
      </w:r>
      <w:r w:rsidR="006A7116">
        <w:rPr>
          <w:iCs/>
        </w:rPr>
        <w:t xml:space="preserve">market </w:t>
      </w:r>
      <w:r w:rsidR="005312B8" w:rsidRPr="005312B8">
        <w:rPr>
          <w:iCs/>
        </w:rPr>
        <w:t xml:space="preserve">participants have the capability to assess both the financial stability of the client, and to perform the necessary monitoring of client positions, market participants are </w:t>
      </w:r>
      <w:r w:rsidR="00CF74EE">
        <w:rPr>
          <w:iCs/>
        </w:rPr>
        <w:t xml:space="preserve">able </w:t>
      </w:r>
      <w:r w:rsidR="005312B8" w:rsidRPr="005312B8">
        <w:rPr>
          <w:iCs/>
        </w:rPr>
        <w:t xml:space="preserve">to determine whether they can </w:t>
      </w:r>
      <w:r w:rsidR="00A4766C">
        <w:rPr>
          <w:iCs/>
        </w:rPr>
        <w:t>assess</w:t>
      </w:r>
      <w:r w:rsidR="005312B8" w:rsidRPr="005312B8">
        <w:rPr>
          <w:iCs/>
        </w:rPr>
        <w:t xml:space="preserve"> and monitor the risks involved.</w:t>
      </w:r>
    </w:p>
    <w:p w14:paraId="1A03A364" w14:textId="77777777" w:rsidR="00200306" w:rsidRPr="00200306" w:rsidRDefault="00EA14B3" w:rsidP="00200306">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sidRPr="00632665">
        <w:rPr>
          <w:rFonts w:cs="Arial"/>
          <w:bCs/>
          <w:kern w:val="32"/>
          <w:sz w:val="24"/>
          <w:szCs w:val="32"/>
        </w:rPr>
        <w:t>3.</w:t>
      </w:r>
      <w:r w:rsidRPr="00632665">
        <w:rPr>
          <w:rFonts w:cs="Arial"/>
          <w:bCs/>
          <w:kern w:val="32"/>
          <w:sz w:val="24"/>
          <w:szCs w:val="32"/>
        </w:rPr>
        <w:tab/>
        <w:t xml:space="preserve">Operation of the class </w:t>
      </w:r>
      <w:bookmarkEnd w:id="2"/>
      <w:r w:rsidR="00CF74EE">
        <w:rPr>
          <w:rFonts w:cs="Arial"/>
          <w:bCs/>
          <w:kern w:val="32"/>
          <w:sz w:val="24"/>
          <w:szCs w:val="32"/>
        </w:rPr>
        <w:t xml:space="preserve">rule </w:t>
      </w:r>
      <w:r w:rsidR="0074058A" w:rsidRPr="00632665">
        <w:rPr>
          <w:rFonts w:cs="Arial"/>
          <w:bCs/>
          <w:kern w:val="32"/>
          <w:sz w:val="24"/>
          <w:szCs w:val="32"/>
        </w:rPr>
        <w:t>waiver</w:t>
      </w:r>
      <w:r w:rsidRPr="00632665">
        <w:rPr>
          <w:rFonts w:cs="Arial"/>
          <w:bCs/>
          <w:kern w:val="32"/>
          <w:sz w:val="24"/>
          <w:szCs w:val="32"/>
        </w:rPr>
        <w:t xml:space="preserve"> </w:t>
      </w:r>
      <w:bookmarkStart w:id="3" w:name="_Toc507674329"/>
      <w:bookmarkStart w:id="4" w:name="_Toc158699041"/>
    </w:p>
    <w:p w14:paraId="5723ABF4" w14:textId="189FE635" w:rsidR="003616F0" w:rsidRDefault="003616F0" w:rsidP="003616F0">
      <w:pPr>
        <w:pStyle w:val="LI-Heading2"/>
        <w:rPr>
          <w:szCs w:val="24"/>
        </w:rPr>
      </w:pPr>
      <w:r w:rsidRPr="008C0F29">
        <w:rPr>
          <w:szCs w:val="24"/>
        </w:rPr>
        <w:t>Name of legislative instrument</w:t>
      </w:r>
      <w:bookmarkEnd w:id="3"/>
    </w:p>
    <w:p w14:paraId="0E88A535" w14:textId="72D9C00B" w:rsidR="003616F0" w:rsidRDefault="003616F0" w:rsidP="008B2201">
      <w:pPr>
        <w:pStyle w:val="LI-BodyTextUnnumbered"/>
        <w:ind w:left="0"/>
        <w:rPr>
          <w:szCs w:val="24"/>
        </w:rPr>
      </w:pPr>
      <w:r>
        <w:rPr>
          <w:szCs w:val="24"/>
        </w:rPr>
        <w:t xml:space="preserve">Section 1 of the instrument provides that the name of the instrument is the </w:t>
      </w:r>
      <w:r>
        <w:rPr>
          <w:i/>
          <w:szCs w:val="24"/>
        </w:rPr>
        <w:t>ASIC Market Integrity Rules (Futures Markets)</w:t>
      </w:r>
      <w:r w:rsidRPr="008C0F29">
        <w:rPr>
          <w:i/>
          <w:szCs w:val="24"/>
        </w:rPr>
        <w:t xml:space="preserve"> </w:t>
      </w:r>
      <w:r>
        <w:rPr>
          <w:i/>
          <w:szCs w:val="24"/>
        </w:rPr>
        <w:t xml:space="preserve">Class </w:t>
      </w:r>
      <w:r w:rsidRPr="00200306">
        <w:rPr>
          <w:i/>
          <w:szCs w:val="24"/>
        </w:rPr>
        <w:t xml:space="preserve">Waiver </w:t>
      </w:r>
      <w:r w:rsidR="00C95E8E" w:rsidRPr="00200306">
        <w:rPr>
          <w:i/>
          <w:szCs w:val="24"/>
        </w:rPr>
        <w:t>20</w:t>
      </w:r>
      <w:r w:rsidRPr="00200306">
        <w:rPr>
          <w:i/>
          <w:szCs w:val="24"/>
        </w:rPr>
        <w:t>18/</w:t>
      </w:r>
      <w:r w:rsidR="00200306" w:rsidRPr="00200306">
        <w:rPr>
          <w:i/>
          <w:szCs w:val="24"/>
        </w:rPr>
        <w:t>264</w:t>
      </w:r>
      <w:r w:rsidRPr="00200306">
        <w:rPr>
          <w:szCs w:val="24"/>
        </w:rPr>
        <w:t>.</w:t>
      </w:r>
    </w:p>
    <w:p w14:paraId="2B369582" w14:textId="036613C1" w:rsidR="003616F0" w:rsidRPr="008C0F29" w:rsidRDefault="003616F0" w:rsidP="003616F0">
      <w:pPr>
        <w:pStyle w:val="LI-Heading2"/>
        <w:rPr>
          <w:szCs w:val="24"/>
        </w:rPr>
      </w:pPr>
      <w:bookmarkStart w:id="5" w:name="_Toc507674330"/>
      <w:r w:rsidRPr="008C0F29">
        <w:rPr>
          <w:szCs w:val="24"/>
        </w:rPr>
        <w:lastRenderedPageBreak/>
        <w:t>Commencement</w:t>
      </w:r>
      <w:bookmarkEnd w:id="5"/>
    </w:p>
    <w:p w14:paraId="681258FE" w14:textId="4EEE0743" w:rsidR="003616F0" w:rsidRPr="00ED3987" w:rsidRDefault="003616F0" w:rsidP="008B2201">
      <w:pPr>
        <w:pStyle w:val="LI-BodyTextUnnumbered"/>
        <w:ind w:left="0"/>
      </w:pPr>
      <w:r>
        <w:rPr>
          <w:szCs w:val="24"/>
        </w:rPr>
        <w:t>Section 2 of the instrument provides that t</w:t>
      </w:r>
      <w:r w:rsidRPr="008C0F29">
        <w:rPr>
          <w:szCs w:val="24"/>
        </w:rPr>
        <w:t>h</w:t>
      </w:r>
      <w:r>
        <w:rPr>
          <w:szCs w:val="24"/>
        </w:rPr>
        <w:t>e</w:t>
      </w:r>
      <w:r w:rsidRPr="008C0F29">
        <w:rPr>
          <w:szCs w:val="24"/>
        </w:rPr>
        <w:t xml:space="preserve"> </w:t>
      </w:r>
      <w:r>
        <w:rPr>
          <w:szCs w:val="24"/>
        </w:rPr>
        <w:t>instrument</w:t>
      </w:r>
      <w:r w:rsidRPr="008C0F29">
        <w:rPr>
          <w:szCs w:val="24"/>
        </w:rPr>
        <w:t xml:space="preserve"> commences on </w:t>
      </w:r>
      <w:r w:rsidRPr="00ED3987">
        <w:t>the</w:t>
      </w:r>
      <w:r w:rsidR="00C95E8E">
        <w:t xml:space="preserve"> </w:t>
      </w:r>
      <w:r w:rsidR="00C95E8E" w:rsidRPr="00200306">
        <w:t xml:space="preserve">later of 7 May 2018 </w:t>
      </w:r>
      <w:r w:rsidR="00200306">
        <w:t>and the</w:t>
      </w:r>
      <w:r w:rsidRPr="00ED3987">
        <w:t xml:space="preserve"> day after th</w:t>
      </w:r>
      <w:r w:rsidR="00C95E8E">
        <w:t>e</w:t>
      </w:r>
      <w:r w:rsidRPr="00ED3987">
        <w:t xml:space="preserve"> instrument is registered on the Federal Register of Legislation.</w:t>
      </w:r>
    </w:p>
    <w:p w14:paraId="76744FA4" w14:textId="7BF80223" w:rsidR="003616F0" w:rsidRPr="008C0F29" w:rsidRDefault="003616F0" w:rsidP="003616F0">
      <w:pPr>
        <w:pStyle w:val="LI-Heading2"/>
        <w:spacing w:before="240"/>
        <w:rPr>
          <w:szCs w:val="24"/>
        </w:rPr>
      </w:pPr>
      <w:bookmarkStart w:id="6" w:name="_Toc507674331"/>
      <w:r w:rsidRPr="008C0F29">
        <w:rPr>
          <w:szCs w:val="24"/>
        </w:rPr>
        <w:t>Authority</w:t>
      </w:r>
      <w:bookmarkEnd w:id="6"/>
    </w:p>
    <w:p w14:paraId="67204342" w14:textId="4BF57502" w:rsidR="003616F0" w:rsidRPr="008C0F29" w:rsidRDefault="003616F0" w:rsidP="008B2201">
      <w:pPr>
        <w:pStyle w:val="LI-BodyTextUnnumbered"/>
        <w:ind w:left="0"/>
        <w:rPr>
          <w:szCs w:val="24"/>
        </w:rPr>
      </w:pPr>
      <w:r>
        <w:rPr>
          <w:szCs w:val="24"/>
        </w:rPr>
        <w:t>Section 3 of the instrument provides that the</w:t>
      </w:r>
      <w:r w:rsidRPr="008C0F29">
        <w:rPr>
          <w:szCs w:val="24"/>
        </w:rPr>
        <w:t xml:space="preserve"> instrument is made under </w:t>
      </w:r>
      <w:r>
        <w:rPr>
          <w:szCs w:val="24"/>
        </w:rPr>
        <w:t xml:space="preserve">subrule 1.2.1(1) </w:t>
      </w:r>
      <w:r w:rsidRPr="005D3D41">
        <w:rPr>
          <w:szCs w:val="24"/>
        </w:rPr>
        <w:t xml:space="preserve">of </w:t>
      </w:r>
      <w:r>
        <w:rPr>
          <w:szCs w:val="24"/>
        </w:rPr>
        <w:t xml:space="preserve">the </w:t>
      </w:r>
      <w:r w:rsidR="00C95E8E" w:rsidRPr="00200306">
        <w:rPr>
          <w:szCs w:val="24"/>
        </w:rPr>
        <w:t>Rules</w:t>
      </w:r>
      <w:r w:rsidRPr="0088388A">
        <w:rPr>
          <w:szCs w:val="24"/>
        </w:rPr>
        <w:t>.</w:t>
      </w:r>
    </w:p>
    <w:p w14:paraId="5BC11E68" w14:textId="3E726A18" w:rsidR="003616F0" w:rsidRPr="00BB5C17" w:rsidRDefault="003616F0" w:rsidP="003616F0">
      <w:pPr>
        <w:pStyle w:val="LI-Heading2"/>
        <w:spacing w:before="240"/>
        <w:rPr>
          <w:szCs w:val="24"/>
        </w:rPr>
      </w:pPr>
      <w:bookmarkStart w:id="7" w:name="_Toc507674332"/>
      <w:r w:rsidRPr="00BB5C17">
        <w:rPr>
          <w:szCs w:val="24"/>
        </w:rPr>
        <w:t>Definitions</w:t>
      </w:r>
      <w:bookmarkEnd w:id="7"/>
    </w:p>
    <w:p w14:paraId="1AB8570C" w14:textId="526DFF31" w:rsidR="003616F0" w:rsidRPr="003616F0" w:rsidRDefault="003616F0" w:rsidP="008B2201">
      <w:pPr>
        <w:pStyle w:val="LI-BodyTextUnnumbered"/>
        <w:ind w:left="0"/>
        <w:rPr>
          <w:szCs w:val="24"/>
        </w:rPr>
      </w:pPr>
      <w:r w:rsidRPr="003616F0">
        <w:rPr>
          <w:szCs w:val="24"/>
        </w:rPr>
        <w:t>Subsection 4(1) of the instrument provides that, unless the contrary intention appears, capitalised terms have the same meaning as in the Rules.</w:t>
      </w:r>
    </w:p>
    <w:p w14:paraId="13A105A4" w14:textId="4F5E9278" w:rsidR="003616F0" w:rsidRPr="003616F0" w:rsidRDefault="003616F0" w:rsidP="008B2201">
      <w:pPr>
        <w:pStyle w:val="LI-BodyTextUnnumbered"/>
        <w:ind w:left="0"/>
        <w:rPr>
          <w:szCs w:val="24"/>
        </w:rPr>
      </w:pPr>
      <w:r w:rsidRPr="003616F0">
        <w:rPr>
          <w:szCs w:val="24"/>
        </w:rPr>
        <w:t>Subsection 4(2)</w:t>
      </w:r>
      <w:r>
        <w:rPr>
          <w:szCs w:val="24"/>
        </w:rPr>
        <w:t xml:space="preserve"> </w:t>
      </w:r>
      <w:r w:rsidRPr="003616F0">
        <w:rPr>
          <w:szCs w:val="24"/>
        </w:rPr>
        <w:t xml:space="preserve">of the instrument provides that </w:t>
      </w:r>
      <w:r w:rsidRPr="003616F0">
        <w:rPr>
          <w:b/>
          <w:i/>
          <w:szCs w:val="24"/>
        </w:rPr>
        <w:t>Client Agreement</w:t>
      </w:r>
      <w:r w:rsidRPr="003616F0">
        <w:rPr>
          <w:szCs w:val="24"/>
        </w:rPr>
        <w:t xml:space="preserve"> means the agreement required by subrule 2.2.5(1) of the Rules.</w:t>
      </w:r>
    </w:p>
    <w:p w14:paraId="19F2CEB2" w14:textId="2CE0C09F" w:rsidR="003616F0" w:rsidRPr="00BF4C9D" w:rsidRDefault="003616F0" w:rsidP="003616F0">
      <w:pPr>
        <w:pStyle w:val="LI-Heading2"/>
      </w:pPr>
      <w:bookmarkStart w:id="8" w:name="_Toc507674334"/>
      <w:r w:rsidRPr="00BF4C9D">
        <w:t>Waiver from requirement in subparagraph 2.2.5(1)(b)(vi)</w:t>
      </w:r>
      <w:bookmarkEnd w:id="8"/>
    </w:p>
    <w:p w14:paraId="2362138F" w14:textId="2CE418EA" w:rsidR="003616F0" w:rsidRDefault="003616F0" w:rsidP="008B2201">
      <w:pPr>
        <w:pStyle w:val="LI-BodyTextUnnumbered"/>
        <w:ind w:left="0"/>
      </w:pPr>
      <w:r>
        <w:t>Section 5 of the instrument provides that a Market Participant does not have to comply with subrule 2.2.5(1) of the Rules to the extent that it requires a Client Agreement with a Client that is a trustee of a trust or an operator of a managed investment scheme to contain the acknowledgment specified in subparagraph </w:t>
      </w:r>
      <w:r w:rsidRPr="00711484">
        <w:t xml:space="preserve">2.2.5(1)(b)(vi) of the </w:t>
      </w:r>
      <w:r>
        <w:t>R</w:t>
      </w:r>
      <w:r w:rsidRPr="00711484">
        <w:t>ules</w:t>
      </w:r>
      <w:r>
        <w:t>.</w:t>
      </w:r>
    </w:p>
    <w:p w14:paraId="6DAE4FD8" w14:textId="66064591" w:rsidR="00BF4C9D" w:rsidRPr="008B2201" w:rsidRDefault="00BF4C9D" w:rsidP="008B2201">
      <w:pPr>
        <w:pStyle w:val="LI-BodyTextUnnumbered"/>
        <w:ind w:left="0"/>
        <w:rPr>
          <w:b/>
          <w:szCs w:val="24"/>
        </w:rPr>
      </w:pPr>
      <w:r w:rsidRPr="008B2201">
        <w:rPr>
          <w:b/>
          <w:szCs w:val="24"/>
        </w:rPr>
        <w:t>Where this waiver applies</w:t>
      </w:r>
    </w:p>
    <w:p w14:paraId="533A095A" w14:textId="004E2E6A" w:rsidR="00BF4C9D" w:rsidRPr="00BF4C9D" w:rsidRDefault="00BF4C9D" w:rsidP="008B2201">
      <w:pPr>
        <w:pStyle w:val="LI-BodyTextUnnumbered"/>
        <w:ind w:left="0"/>
        <w:rPr>
          <w:szCs w:val="24"/>
        </w:rPr>
      </w:pPr>
      <w:r>
        <w:rPr>
          <w:szCs w:val="24"/>
        </w:rPr>
        <w:t>Section 6 of the instrument provides that t</w:t>
      </w:r>
      <w:r w:rsidRPr="00BF4C9D">
        <w:rPr>
          <w:szCs w:val="24"/>
        </w:rPr>
        <w:t>he waiver in section 5</w:t>
      </w:r>
      <w:r w:rsidR="00733342">
        <w:rPr>
          <w:szCs w:val="24"/>
        </w:rPr>
        <w:t xml:space="preserve"> of the instrument</w:t>
      </w:r>
      <w:r w:rsidRPr="00BF4C9D">
        <w:rPr>
          <w:szCs w:val="24"/>
        </w:rPr>
        <w:t xml:space="preserve"> applies where the Market Participant and the Client have entered into an agreement (which may be the Client Agreement or another agreement) that contains provisions to the following effect:</w:t>
      </w:r>
    </w:p>
    <w:p w14:paraId="7485B382" w14:textId="4FD61076" w:rsidR="00BF4C9D" w:rsidRPr="00BF4C9D" w:rsidRDefault="00BF4C9D" w:rsidP="008B2201">
      <w:pPr>
        <w:pStyle w:val="LI-BodyTextUnnumbered"/>
        <w:ind w:left="720"/>
        <w:rPr>
          <w:szCs w:val="24"/>
        </w:rPr>
      </w:pPr>
      <w:r w:rsidRPr="00BF4C9D">
        <w:rPr>
          <w:szCs w:val="24"/>
        </w:rPr>
        <w:t>(a)</w:t>
      </w:r>
      <w:r w:rsidRPr="00BF4C9D">
        <w:rPr>
          <w:szCs w:val="24"/>
        </w:rPr>
        <w:tab/>
        <w:t>subject to paragraph (b)</w:t>
      </w:r>
      <w:r w:rsidR="00DD4950">
        <w:rPr>
          <w:szCs w:val="24"/>
        </w:rPr>
        <w:t xml:space="preserve"> of the instrument</w:t>
      </w:r>
      <w:r w:rsidRPr="00BF4C9D">
        <w:rPr>
          <w:szCs w:val="24"/>
        </w:rPr>
        <w:t>:</w:t>
      </w:r>
    </w:p>
    <w:p w14:paraId="48447F0F" w14:textId="77777777" w:rsidR="00BF4C9D" w:rsidRPr="00BF4C9D" w:rsidRDefault="00BF4C9D" w:rsidP="00200306">
      <w:pPr>
        <w:pStyle w:val="LI-BodyTextUnnumbered"/>
        <w:ind w:left="2160" w:hanging="720"/>
        <w:rPr>
          <w:szCs w:val="24"/>
        </w:rPr>
      </w:pPr>
      <w:r w:rsidRPr="00BF4C9D">
        <w:rPr>
          <w:szCs w:val="24"/>
        </w:rPr>
        <w:t>(i)</w:t>
      </w:r>
      <w:r w:rsidRPr="00BF4C9D">
        <w:rPr>
          <w:szCs w:val="24"/>
        </w:rPr>
        <w:tab/>
        <w:t>the Client is responsible to pay in cash any deficit owing to the Market Participant after the Closing Out of a Contract of the Client but only to the extent the deficit can be satisfied from the assets of the trust or managed investment scheme and the Client has the right to be indemnified out of those assets; and</w:t>
      </w:r>
    </w:p>
    <w:p w14:paraId="06CB2D75" w14:textId="77777777" w:rsidR="00BF4C9D" w:rsidRPr="00BF4C9D" w:rsidRDefault="00BF4C9D" w:rsidP="00200306">
      <w:pPr>
        <w:pStyle w:val="LI-BodyTextUnnumbered"/>
        <w:ind w:left="2160" w:hanging="720"/>
        <w:rPr>
          <w:szCs w:val="24"/>
        </w:rPr>
      </w:pPr>
      <w:r w:rsidRPr="00BF4C9D">
        <w:rPr>
          <w:szCs w:val="24"/>
        </w:rPr>
        <w:t>(ii)</w:t>
      </w:r>
      <w:r w:rsidRPr="00BF4C9D">
        <w:rPr>
          <w:szCs w:val="24"/>
        </w:rPr>
        <w:tab/>
        <w:t>if the Client defaults in payment of such a deficit, the Market Participant may realise any securities held by the Market Participant which form part of the assets of the trust or managed investment scheme, and apply the proceeds against that deficiency; and</w:t>
      </w:r>
    </w:p>
    <w:p w14:paraId="6EC33703" w14:textId="77777777" w:rsidR="00BF4C9D" w:rsidRDefault="00BF4C9D" w:rsidP="00200306">
      <w:pPr>
        <w:pStyle w:val="LI-BodyTextUnnumbered"/>
        <w:ind w:left="1440" w:hanging="720"/>
        <w:rPr>
          <w:szCs w:val="24"/>
        </w:rPr>
      </w:pPr>
      <w:r w:rsidRPr="00BF4C9D">
        <w:rPr>
          <w:szCs w:val="24"/>
        </w:rPr>
        <w:t>(b)</w:t>
      </w:r>
      <w:r w:rsidRPr="00BF4C9D">
        <w:rPr>
          <w:szCs w:val="24"/>
        </w:rPr>
        <w:tab/>
        <w:t xml:space="preserve">if, as a result of an act or omission of the Client, the Client does not have a right to be indemnified out of the assets of the trust or managed investment scheme, the Client is responsible to pay in cash any deficit </w:t>
      </w:r>
      <w:r w:rsidRPr="00BF4C9D">
        <w:rPr>
          <w:szCs w:val="24"/>
        </w:rPr>
        <w:lastRenderedPageBreak/>
        <w:t>owing to the Market Participant after the Closing Out of a Contract of the Client; and</w:t>
      </w:r>
    </w:p>
    <w:p w14:paraId="3EB68FD5" w14:textId="77777777" w:rsidR="00BF4C9D" w:rsidRDefault="00BF4C9D" w:rsidP="00200306">
      <w:pPr>
        <w:pStyle w:val="LI-BodyTextUnnumbered"/>
        <w:ind w:left="1440" w:hanging="720"/>
        <w:rPr>
          <w:szCs w:val="24"/>
        </w:rPr>
      </w:pPr>
      <w:r w:rsidRPr="00BF4C9D">
        <w:rPr>
          <w:szCs w:val="24"/>
        </w:rPr>
        <w:t>(c)</w:t>
      </w:r>
      <w:r w:rsidRPr="00BF4C9D">
        <w:rPr>
          <w:szCs w:val="24"/>
        </w:rPr>
        <w:tab/>
        <w:t>the Market Participant has a right of reasonable access to the accounts and records of the Client in its capacity as trustee or operator of a managed investment scheme, to enable the Market Participant to, at any point in time, assess its exposure to the trust or managed investment scheme.</w:t>
      </w:r>
    </w:p>
    <w:p w14:paraId="697678C7" w14:textId="2117F52E" w:rsidR="00BF4C9D" w:rsidRPr="00F61B09" w:rsidRDefault="00BF4C9D" w:rsidP="00BF4C9D">
      <w:pPr>
        <w:pStyle w:val="LI-Heading2"/>
      </w:pPr>
      <w:bookmarkStart w:id="9" w:name="_Toc507674336"/>
      <w:r w:rsidRPr="005D3D41">
        <w:t>Condition</w:t>
      </w:r>
      <w:bookmarkEnd w:id="9"/>
    </w:p>
    <w:p w14:paraId="0F8A874E" w14:textId="20498DB1" w:rsidR="00BF4C9D" w:rsidRDefault="00BF4C9D" w:rsidP="008B2201">
      <w:pPr>
        <w:pStyle w:val="LI-BodyTextUnnumbered"/>
        <w:ind w:left="0"/>
        <w:rPr>
          <w:color w:val="000000"/>
        </w:rPr>
      </w:pPr>
      <w:r>
        <w:t>Section 7 of the instrument provides that a Market Participant must keep a written record of each Client in relation to which this instrument applies.</w:t>
      </w:r>
    </w:p>
    <w:p w14:paraId="40CFB854" w14:textId="77777777" w:rsidR="00EA14B3" w:rsidRDefault="00F93985" w:rsidP="00814030">
      <w:pPr>
        <w:pStyle w:val="Heading1"/>
        <w:tabs>
          <w:tab w:val="clear" w:pos="879"/>
        </w:tabs>
        <w:overflowPunct/>
        <w:autoSpaceDE/>
        <w:autoSpaceDN/>
        <w:adjustRightInd/>
        <w:spacing w:after="60" w:line="240" w:lineRule="auto"/>
        <w:textAlignment w:val="auto"/>
        <w:rPr>
          <w:rFonts w:cs="Arial"/>
          <w:bCs/>
          <w:kern w:val="32"/>
          <w:sz w:val="24"/>
          <w:szCs w:val="32"/>
        </w:rPr>
      </w:pPr>
      <w:bookmarkStart w:id="10" w:name="_Toc158699042"/>
      <w:bookmarkEnd w:id="4"/>
      <w:r>
        <w:rPr>
          <w:rFonts w:cs="Arial"/>
          <w:bCs/>
          <w:kern w:val="32"/>
          <w:sz w:val="24"/>
          <w:szCs w:val="32"/>
        </w:rPr>
        <w:t>4</w:t>
      </w:r>
      <w:r w:rsidR="00EA14B3">
        <w:rPr>
          <w:rFonts w:cs="Arial"/>
          <w:bCs/>
          <w:kern w:val="32"/>
          <w:sz w:val="24"/>
          <w:szCs w:val="32"/>
        </w:rPr>
        <w:t>.</w:t>
      </w:r>
      <w:r w:rsidR="00EA14B3">
        <w:rPr>
          <w:rFonts w:cs="Arial"/>
          <w:bCs/>
          <w:kern w:val="32"/>
          <w:sz w:val="24"/>
          <w:szCs w:val="32"/>
        </w:rPr>
        <w:tab/>
        <w:t>Consultation</w:t>
      </w:r>
      <w:bookmarkEnd w:id="10"/>
    </w:p>
    <w:p w14:paraId="40CFB855" w14:textId="77777777" w:rsidR="0024574B" w:rsidRDefault="0024574B" w:rsidP="0024574B">
      <w:pPr>
        <w:pStyle w:val="BodyText"/>
        <w:spacing w:before="0"/>
        <w:rPr>
          <w:iCs/>
        </w:rPr>
      </w:pPr>
    </w:p>
    <w:p w14:paraId="514EEE24" w14:textId="29A3AFBD" w:rsidR="005133A4" w:rsidRDefault="00E76E8E" w:rsidP="002A1709">
      <w:pPr>
        <w:pStyle w:val="BodyText"/>
        <w:spacing w:before="0"/>
        <w:rPr>
          <w:iCs/>
        </w:rPr>
      </w:pPr>
      <w:r>
        <w:rPr>
          <w:iCs/>
        </w:rPr>
        <w:t xml:space="preserve">ASIC consulted with </w:t>
      </w:r>
      <w:r w:rsidR="006A7116">
        <w:rPr>
          <w:iCs/>
        </w:rPr>
        <w:t>four</w:t>
      </w:r>
      <w:r w:rsidR="002A1709">
        <w:rPr>
          <w:iCs/>
        </w:rPr>
        <w:t xml:space="preserve"> </w:t>
      </w:r>
      <w:r>
        <w:rPr>
          <w:iCs/>
        </w:rPr>
        <w:t xml:space="preserve">market participants </w:t>
      </w:r>
      <w:r w:rsidR="001C664D">
        <w:rPr>
          <w:iCs/>
        </w:rPr>
        <w:t>and the Australian Financial Markets Association (</w:t>
      </w:r>
      <w:r w:rsidR="001C664D" w:rsidRPr="00200306">
        <w:rPr>
          <w:b/>
          <w:i/>
          <w:iCs/>
        </w:rPr>
        <w:t>AFMA</w:t>
      </w:r>
      <w:r w:rsidR="001C664D">
        <w:rPr>
          <w:iCs/>
        </w:rPr>
        <w:t xml:space="preserve">) </w:t>
      </w:r>
      <w:r w:rsidR="003E1F71">
        <w:rPr>
          <w:iCs/>
        </w:rPr>
        <w:t xml:space="preserve">before </w:t>
      </w:r>
      <w:r w:rsidR="00F93985">
        <w:rPr>
          <w:iCs/>
        </w:rPr>
        <w:t>making</w:t>
      </w:r>
      <w:r w:rsidR="003E1F71">
        <w:rPr>
          <w:iCs/>
        </w:rPr>
        <w:t xml:space="preserve"> </w:t>
      </w:r>
      <w:r w:rsidR="006A7116">
        <w:rPr>
          <w:iCs/>
        </w:rPr>
        <w:t>ASIC C</w:t>
      </w:r>
      <w:r>
        <w:rPr>
          <w:iCs/>
        </w:rPr>
        <w:t xml:space="preserve">lass </w:t>
      </w:r>
      <w:r w:rsidR="006A7116">
        <w:rPr>
          <w:iCs/>
        </w:rPr>
        <w:t>R</w:t>
      </w:r>
      <w:r w:rsidR="00CF74EE">
        <w:rPr>
          <w:iCs/>
        </w:rPr>
        <w:t xml:space="preserve">ule </w:t>
      </w:r>
      <w:r w:rsidR="006A7116">
        <w:rPr>
          <w:iCs/>
        </w:rPr>
        <w:t>W</w:t>
      </w:r>
      <w:r>
        <w:rPr>
          <w:iCs/>
        </w:rPr>
        <w:t>aiver</w:t>
      </w:r>
      <w:r w:rsidR="006A7116">
        <w:rPr>
          <w:iCs/>
        </w:rPr>
        <w:t xml:space="preserve"> [CW 11/734]</w:t>
      </w:r>
      <w:r w:rsidR="003E1F71">
        <w:rPr>
          <w:iCs/>
        </w:rPr>
        <w:t>. Feedback</w:t>
      </w:r>
      <w:r>
        <w:rPr>
          <w:iCs/>
        </w:rPr>
        <w:t xml:space="preserve"> </w:t>
      </w:r>
      <w:r w:rsidR="003E1F71">
        <w:rPr>
          <w:iCs/>
        </w:rPr>
        <w:t xml:space="preserve">was </w:t>
      </w:r>
      <w:r>
        <w:rPr>
          <w:iCs/>
        </w:rPr>
        <w:t>overwhelmingly in support of the proposal.</w:t>
      </w:r>
      <w:r w:rsidR="00F93985">
        <w:rPr>
          <w:iCs/>
        </w:rPr>
        <w:t xml:space="preserve"> </w:t>
      </w:r>
    </w:p>
    <w:p w14:paraId="131C7CEA" w14:textId="77777777" w:rsidR="00200306" w:rsidRPr="0076197A" w:rsidRDefault="00200306" w:rsidP="00200306">
      <w:pPr>
        <w:pStyle w:val="BodyText"/>
        <w:spacing w:before="199"/>
        <w:rPr>
          <w:szCs w:val="24"/>
        </w:rPr>
      </w:pPr>
      <w:r w:rsidRPr="0076197A">
        <w:rPr>
          <w:szCs w:val="24"/>
        </w:rPr>
        <w:t xml:space="preserve">The instrument is part of a wider project to consolidate the market integrity rules. ASIC consulted extensively with market operators, market participants and industry bodies before making the Rules and the instrument. </w:t>
      </w:r>
    </w:p>
    <w:p w14:paraId="46F0E623" w14:textId="77777777" w:rsidR="00200306" w:rsidRPr="0076197A" w:rsidRDefault="00200306" w:rsidP="00200306">
      <w:pPr>
        <w:pStyle w:val="BodyText"/>
        <w:spacing w:before="199"/>
        <w:rPr>
          <w:szCs w:val="24"/>
        </w:rPr>
      </w:pPr>
      <w:r w:rsidRPr="0076197A">
        <w:rPr>
          <w:szCs w:val="24"/>
        </w:rPr>
        <w:t xml:space="preserve">The consultation period for Consultation Paper 277 </w:t>
      </w:r>
      <w:r w:rsidRPr="0076197A">
        <w:rPr>
          <w:i/>
          <w:szCs w:val="24"/>
        </w:rPr>
        <w:t>Proposals to consolidate the ASIC market integrity rules</w:t>
      </w:r>
      <w:r w:rsidRPr="0076197A">
        <w:rPr>
          <w:szCs w:val="24"/>
        </w:rPr>
        <w:t xml:space="preserve"> (</w:t>
      </w:r>
      <w:r w:rsidRPr="0076197A">
        <w:rPr>
          <w:b/>
          <w:i/>
          <w:szCs w:val="24"/>
        </w:rPr>
        <w:t>CP 277</w:t>
      </w:r>
      <w:r w:rsidRPr="0076197A">
        <w:rPr>
          <w:szCs w:val="24"/>
        </w:rPr>
        <w:t>)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22B9B158" w14:textId="77777777" w:rsidR="00200306" w:rsidRPr="0076197A" w:rsidRDefault="00200306" w:rsidP="00200306">
      <w:pPr>
        <w:pStyle w:val="BodyText"/>
        <w:spacing w:before="199"/>
        <w:rPr>
          <w:szCs w:val="24"/>
        </w:rPr>
      </w:pPr>
      <w:r w:rsidRPr="0076197A">
        <w:rPr>
          <w:szCs w:val="24"/>
        </w:rPr>
        <w:t xml:space="preserve">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  </w:t>
      </w:r>
    </w:p>
    <w:p w14:paraId="067FF260" w14:textId="77777777" w:rsidR="00200306" w:rsidRDefault="00200306" w:rsidP="002A1709">
      <w:pPr>
        <w:pStyle w:val="BodyText"/>
        <w:spacing w:before="0"/>
        <w:rPr>
          <w:iCs/>
        </w:rPr>
      </w:pPr>
    </w:p>
    <w:p w14:paraId="6295C85C" w14:textId="77777777" w:rsidR="003B740C" w:rsidRDefault="003B740C">
      <w:pPr>
        <w:rPr>
          <w:iCs/>
          <w:szCs w:val="20"/>
        </w:rPr>
      </w:pPr>
      <w:r>
        <w:rPr>
          <w:iCs/>
        </w:rPr>
        <w:br w:type="page"/>
      </w:r>
    </w:p>
    <w:p w14:paraId="27346E1B" w14:textId="77777777" w:rsidR="003B740C" w:rsidRPr="00834797" w:rsidRDefault="003B740C" w:rsidP="003B740C">
      <w:pPr>
        <w:spacing w:before="360" w:after="120"/>
        <w:jc w:val="center"/>
        <w:rPr>
          <w:b/>
        </w:rPr>
      </w:pPr>
      <w:r w:rsidRPr="00834797">
        <w:rPr>
          <w:b/>
        </w:rPr>
        <w:lastRenderedPageBreak/>
        <w:t>Statement of Compatibility with Human Rights</w:t>
      </w:r>
    </w:p>
    <w:p w14:paraId="2170BEE1" w14:textId="77777777" w:rsidR="003B740C" w:rsidRPr="00247F54" w:rsidRDefault="003B740C" w:rsidP="003B740C">
      <w:pPr>
        <w:spacing w:before="120" w:after="120"/>
        <w:jc w:val="center"/>
      </w:pPr>
      <w:r w:rsidRPr="00247F54">
        <w:rPr>
          <w:i/>
        </w:rPr>
        <w:t>Prepared in accordance with Part 3 of the Human Rights (Parliamentary Scrutiny) Act 2011</w:t>
      </w:r>
    </w:p>
    <w:p w14:paraId="7D5772A2" w14:textId="77777777" w:rsidR="003B740C" w:rsidRPr="00247F54" w:rsidRDefault="003B740C" w:rsidP="003B740C">
      <w:pPr>
        <w:spacing w:before="120" w:after="120"/>
        <w:jc w:val="center"/>
      </w:pPr>
    </w:p>
    <w:p w14:paraId="1ED5BA33" w14:textId="791A0E55" w:rsidR="003B740C" w:rsidRPr="00247F54" w:rsidRDefault="003B740C" w:rsidP="003B740C">
      <w:pPr>
        <w:spacing w:before="120" w:after="120"/>
        <w:jc w:val="center"/>
        <w:rPr>
          <w:b/>
        </w:rPr>
      </w:pPr>
      <w:r w:rsidRPr="005D76C3">
        <w:rPr>
          <w:b/>
          <w:i/>
          <w:color w:val="000000"/>
          <w:spacing w:val="-1"/>
        </w:rPr>
        <w:t>ASIC Market Integrity Rules (</w:t>
      </w:r>
      <w:r>
        <w:rPr>
          <w:b/>
          <w:i/>
          <w:color w:val="000000"/>
          <w:spacing w:val="-1"/>
        </w:rPr>
        <w:t>Futures</w:t>
      </w:r>
      <w:r w:rsidRPr="005D76C3">
        <w:rPr>
          <w:b/>
          <w:i/>
          <w:color w:val="000000"/>
          <w:spacing w:val="-1"/>
        </w:rPr>
        <w:t xml:space="preserve"> Markets) Class Waiver </w:t>
      </w:r>
      <w:r w:rsidR="00C95E8E">
        <w:rPr>
          <w:b/>
          <w:i/>
          <w:color w:val="000000"/>
          <w:spacing w:val="-1"/>
        </w:rPr>
        <w:t>20</w:t>
      </w:r>
      <w:r w:rsidRPr="005D76C3">
        <w:rPr>
          <w:b/>
          <w:i/>
          <w:color w:val="000000"/>
          <w:spacing w:val="-1"/>
        </w:rPr>
        <w:t>18</w:t>
      </w:r>
      <w:r w:rsidRPr="00441663">
        <w:rPr>
          <w:b/>
          <w:i/>
          <w:color w:val="000000"/>
          <w:spacing w:val="-1"/>
        </w:rPr>
        <w:t>/</w:t>
      </w:r>
      <w:r w:rsidR="005D6238">
        <w:rPr>
          <w:b/>
          <w:i/>
          <w:color w:val="000000"/>
          <w:spacing w:val="-1"/>
        </w:rPr>
        <w:t>264</w:t>
      </w:r>
    </w:p>
    <w:p w14:paraId="0854E80F" w14:textId="77777777" w:rsidR="003B740C" w:rsidRPr="00247F54" w:rsidRDefault="003B740C" w:rsidP="003B740C">
      <w:pPr>
        <w:spacing w:before="120" w:after="120"/>
        <w:jc w:val="center"/>
      </w:pPr>
      <w:bookmarkStart w:id="11" w:name="_GoBack"/>
      <w:bookmarkEnd w:id="11"/>
    </w:p>
    <w:p w14:paraId="3C573D66" w14:textId="23C6BD11" w:rsidR="003B740C" w:rsidRPr="00247F54" w:rsidRDefault="003B740C" w:rsidP="003B740C">
      <w:pPr>
        <w:spacing w:before="120" w:after="120"/>
      </w:pPr>
      <w:r w:rsidRPr="005D76C3">
        <w:rPr>
          <w:i/>
        </w:rPr>
        <w:t>ASIC Market Integrity Rules (</w:t>
      </w:r>
      <w:r>
        <w:rPr>
          <w:i/>
        </w:rPr>
        <w:t>Futures</w:t>
      </w:r>
      <w:r w:rsidRPr="005D76C3">
        <w:rPr>
          <w:i/>
        </w:rPr>
        <w:t xml:space="preserve"> Markets) Class Waiver </w:t>
      </w:r>
      <w:r w:rsidR="00C95E8E">
        <w:rPr>
          <w:i/>
        </w:rPr>
        <w:t>20</w:t>
      </w:r>
      <w:r w:rsidRPr="005D76C3">
        <w:rPr>
          <w:i/>
        </w:rPr>
        <w:t>18</w:t>
      </w:r>
      <w:r w:rsidRPr="00441663">
        <w:rPr>
          <w:i/>
        </w:rPr>
        <w:t>/</w:t>
      </w:r>
      <w:r w:rsidR="005D6238">
        <w:rPr>
          <w:i/>
        </w:rPr>
        <w:t>264</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3A65495" w14:textId="77777777" w:rsidR="00814030" w:rsidRDefault="00814030" w:rsidP="003B740C">
      <w:pPr>
        <w:spacing w:before="120" w:after="120"/>
        <w:jc w:val="both"/>
        <w:rPr>
          <w:b/>
        </w:rPr>
      </w:pPr>
    </w:p>
    <w:p w14:paraId="6BB97058" w14:textId="77777777" w:rsidR="003B740C" w:rsidRPr="00247F54" w:rsidRDefault="003B740C" w:rsidP="003B740C">
      <w:pPr>
        <w:spacing w:before="120" w:after="120"/>
        <w:jc w:val="both"/>
        <w:rPr>
          <w:b/>
        </w:rPr>
      </w:pPr>
      <w:r w:rsidRPr="00247F54">
        <w:rPr>
          <w:b/>
        </w:rPr>
        <w:t>Overview</w:t>
      </w:r>
    </w:p>
    <w:p w14:paraId="4417E0EC" w14:textId="62659A59" w:rsidR="003B740C" w:rsidRPr="00D45DFD" w:rsidRDefault="003B740C" w:rsidP="003B740C">
      <w:pPr>
        <w:widowControl w:val="0"/>
        <w:adjustRightInd w:val="0"/>
        <w:jc w:val="both"/>
        <w:textAlignment w:val="baseline"/>
      </w:pPr>
      <w:r w:rsidRPr="00D45DFD">
        <w:t>The Australian Securities and Investments Commission (</w:t>
      </w:r>
      <w:r w:rsidRPr="00D45DFD">
        <w:rPr>
          <w:b/>
          <w:i/>
        </w:rPr>
        <w:t>ASIC</w:t>
      </w:r>
      <w:r w:rsidRPr="00D45DFD">
        <w:t xml:space="preserve">) makes </w:t>
      </w:r>
      <w:r>
        <w:t>the i</w:t>
      </w:r>
      <w:r w:rsidRPr="00D45DFD">
        <w:t xml:space="preserve">nstrument under </w:t>
      </w:r>
      <w:r>
        <w:t>subrule</w:t>
      </w:r>
      <w:r w:rsidRPr="00D45DFD">
        <w:t xml:space="preserve"> 1.2.1(1)</w:t>
      </w:r>
      <w:r>
        <w:t xml:space="preserve"> </w:t>
      </w:r>
      <w:r w:rsidRPr="00D45DFD">
        <w:t xml:space="preserve">of the </w:t>
      </w:r>
      <w:r w:rsidRPr="00D45DFD">
        <w:rPr>
          <w:i/>
        </w:rPr>
        <w:t>ASIC Market Integrity Rules (</w:t>
      </w:r>
      <w:r>
        <w:rPr>
          <w:i/>
        </w:rPr>
        <w:t>Futures</w:t>
      </w:r>
      <w:r w:rsidRPr="00D45DFD">
        <w:rPr>
          <w:i/>
        </w:rPr>
        <w:t xml:space="preserve"> Markets) 201</w:t>
      </w:r>
      <w:r>
        <w:rPr>
          <w:i/>
        </w:rPr>
        <w:t>7</w:t>
      </w:r>
      <w:r w:rsidRPr="00D45DFD">
        <w:rPr>
          <w:i/>
        </w:rPr>
        <w:t xml:space="preserve"> </w:t>
      </w:r>
      <w:r w:rsidRPr="00D45DFD">
        <w:t>(the</w:t>
      </w:r>
      <w:r w:rsidRPr="00D45DFD">
        <w:rPr>
          <w:b/>
          <w:i/>
        </w:rPr>
        <w:t xml:space="preserve"> Rules</w:t>
      </w:r>
      <w:r w:rsidRPr="00D45DFD">
        <w:t>).</w:t>
      </w:r>
    </w:p>
    <w:p w14:paraId="631C8870" w14:textId="77777777" w:rsidR="003B740C" w:rsidRPr="00D45DFD" w:rsidRDefault="003B740C" w:rsidP="003B740C">
      <w:pPr>
        <w:widowControl w:val="0"/>
        <w:adjustRightInd w:val="0"/>
        <w:jc w:val="both"/>
        <w:textAlignment w:val="baseline"/>
      </w:pPr>
    </w:p>
    <w:p w14:paraId="58AB0E32" w14:textId="77777777" w:rsidR="003B740C" w:rsidRDefault="003B740C" w:rsidP="003B740C">
      <w:pPr>
        <w:widowControl w:val="0"/>
        <w:adjustRightInd w:val="0"/>
        <w:jc w:val="both"/>
        <w:textAlignment w:val="baseline"/>
      </w:pPr>
      <w:r w:rsidRPr="00D45DFD">
        <w:t xml:space="preserve">Under </w:t>
      </w:r>
      <w:r>
        <w:t>subrule 1.2.1(1) of the Rules</w:t>
      </w:r>
      <w:r w:rsidRPr="00D45DFD">
        <w:t>, ASIC may relieve any person or class of persons from the obligation to comply with a provision of the Rules</w:t>
      </w:r>
      <w:r w:rsidRPr="00716A8F">
        <w:t>, either generally or in a particular case or category, and either unconditionally or subject to such conditions as ASIC thinks fit.</w:t>
      </w:r>
    </w:p>
    <w:p w14:paraId="54B5210A" w14:textId="4ECDA011" w:rsidR="00814030" w:rsidRDefault="00814030" w:rsidP="005D6238">
      <w:pPr>
        <w:shd w:val="clear" w:color="auto" w:fill="FFFFFF"/>
        <w:spacing w:before="100" w:beforeAutospacing="1" w:after="100" w:afterAutospacing="1"/>
        <w:rPr>
          <w:iCs/>
        </w:rPr>
      </w:pPr>
      <w:r w:rsidRPr="002275D2">
        <w:rPr>
          <w:iCs/>
        </w:rPr>
        <w:t>The p</w:t>
      </w:r>
      <w:r>
        <w:rPr>
          <w:iCs/>
        </w:rPr>
        <w:t xml:space="preserve">urpose of this instrument is to relieve a market participant from the obligation to have in force a client agreement containing a term to the effect of the acknowledgement specified in </w:t>
      </w:r>
      <w:r w:rsidR="00DD4950">
        <w:rPr>
          <w:iCs/>
        </w:rPr>
        <w:t>subparagraph</w:t>
      </w:r>
      <w:r>
        <w:rPr>
          <w:iCs/>
        </w:rPr>
        <w:t xml:space="preserve"> </w:t>
      </w:r>
      <w:r w:rsidRPr="00CC57DD">
        <w:rPr>
          <w:iCs/>
        </w:rPr>
        <w:t xml:space="preserve">2.2.5(1)(b)(vi) </w:t>
      </w:r>
      <w:r>
        <w:rPr>
          <w:iCs/>
        </w:rPr>
        <w:t>in respect of certain kinds of clients on whose behalf they acquire and dispose of contracts on a futures market.</w:t>
      </w:r>
      <w:r>
        <w:t xml:space="preserve"> This </w:t>
      </w:r>
      <w:r>
        <w:rPr>
          <w:iCs/>
        </w:rPr>
        <w:t>will enable the inclusion of a limitation of liability clause in a market participant’s agreement with a client who is a trustee of a trust and/or an operator of a managed investment scheme.</w:t>
      </w:r>
    </w:p>
    <w:p w14:paraId="59C4A666" w14:textId="77777777" w:rsidR="003B740C" w:rsidRPr="00247F54" w:rsidRDefault="003B740C" w:rsidP="003B740C">
      <w:pPr>
        <w:spacing w:before="120" w:after="120"/>
        <w:rPr>
          <w:b/>
        </w:rPr>
      </w:pPr>
      <w:r w:rsidRPr="00247F54">
        <w:rPr>
          <w:b/>
        </w:rPr>
        <w:t>Human rights implications</w:t>
      </w:r>
    </w:p>
    <w:p w14:paraId="683086FF" w14:textId="77777777" w:rsidR="003B740C" w:rsidRPr="00247F54" w:rsidRDefault="003B740C" w:rsidP="003B740C">
      <w:pPr>
        <w:spacing w:before="120" w:after="120"/>
      </w:pPr>
      <w:r w:rsidRPr="00247F54">
        <w:t xml:space="preserve">This </w:t>
      </w:r>
      <w:r>
        <w:t>l</w:t>
      </w:r>
      <w:r w:rsidRPr="00247F54">
        <w:t xml:space="preserve">egislative </w:t>
      </w:r>
      <w:r>
        <w:t>i</w:t>
      </w:r>
      <w:r w:rsidRPr="00247F54">
        <w:t>nstrument does not engage any of the</w:t>
      </w:r>
      <w:r>
        <w:t xml:space="preserve"> applicable rights or freedoms.</w:t>
      </w:r>
    </w:p>
    <w:p w14:paraId="28B7CCB7" w14:textId="77777777" w:rsidR="003B740C" w:rsidRPr="00247F54" w:rsidRDefault="003B740C" w:rsidP="003B740C">
      <w:pPr>
        <w:spacing w:before="120" w:after="120"/>
      </w:pPr>
    </w:p>
    <w:p w14:paraId="2E35476C" w14:textId="77777777" w:rsidR="003B740C" w:rsidRPr="00247F54" w:rsidRDefault="003B740C" w:rsidP="003B740C">
      <w:pPr>
        <w:spacing w:before="120" w:after="120"/>
        <w:rPr>
          <w:b/>
        </w:rPr>
      </w:pPr>
      <w:r w:rsidRPr="00247F54">
        <w:rPr>
          <w:b/>
        </w:rPr>
        <w:t>Conclusion</w:t>
      </w:r>
    </w:p>
    <w:p w14:paraId="4D01C3E3" w14:textId="77777777" w:rsidR="003B740C" w:rsidRPr="00247F54" w:rsidRDefault="003B740C" w:rsidP="003B740C">
      <w:pPr>
        <w:spacing w:before="120" w:after="120"/>
      </w:pPr>
      <w:r w:rsidRPr="00247F54">
        <w:t xml:space="preserve">This </w:t>
      </w:r>
      <w:r>
        <w:t>l</w:t>
      </w:r>
      <w:r w:rsidRPr="00247F54">
        <w:t xml:space="preserve">egislative </w:t>
      </w:r>
      <w:r>
        <w:t>i</w:t>
      </w:r>
      <w:r w:rsidRPr="00247F54">
        <w:t>nstrument is compatible with human rights as it does not raise any</w:t>
      </w:r>
      <w:r>
        <w:t xml:space="preserve"> </w:t>
      </w:r>
      <w:r w:rsidRPr="00247F54">
        <w:t>human rights issues.</w:t>
      </w:r>
    </w:p>
    <w:p w14:paraId="57C4CA82" w14:textId="77777777" w:rsidR="003B740C" w:rsidRPr="00E4135E" w:rsidRDefault="003B740C" w:rsidP="003B740C">
      <w:pPr>
        <w:spacing w:before="120" w:after="120"/>
        <w:jc w:val="center"/>
      </w:pPr>
    </w:p>
    <w:p w14:paraId="40CFB856" w14:textId="7070981D" w:rsidR="00CF44D8" w:rsidRPr="004B6CCD" w:rsidRDefault="003B740C" w:rsidP="005D6238">
      <w:pPr>
        <w:spacing w:before="120" w:after="120"/>
        <w:jc w:val="center"/>
      </w:pPr>
      <w:r>
        <w:rPr>
          <w:b/>
        </w:rPr>
        <w:t>Australian Securities and Investments Commission</w:t>
      </w:r>
    </w:p>
    <w:sectPr w:rsidR="00CF44D8" w:rsidRPr="004B6CCD" w:rsidSect="006E2F45">
      <w:head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B859" w14:textId="77777777" w:rsidR="00A4766C" w:rsidRDefault="00A4766C" w:rsidP="00EA14B3">
      <w:r>
        <w:separator/>
      </w:r>
    </w:p>
  </w:endnote>
  <w:endnote w:type="continuationSeparator" w:id="0">
    <w:p w14:paraId="40CFB85A" w14:textId="77777777" w:rsidR="00A4766C" w:rsidRDefault="00A4766C" w:rsidP="00EA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FB857" w14:textId="77777777" w:rsidR="00A4766C" w:rsidRDefault="00A4766C" w:rsidP="00EA14B3">
      <w:r>
        <w:separator/>
      </w:r>
    </w:p>
  </w:footnote>
  <w:footnote w:type="continuationSeparator" w:id="0">
    <w:p w14:paraId="40CFB858" w14:textId="77777777" w:rsidR="00A4766C" w:rsidRDefault="00A4766C" w:rsidP="00EA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120516"/>
      <w:docPartObj>
        <w:docPartGallery w:val="Page Numbers (Top of Page)"/>
        <w:docPartUnique/>
      </w:docPartObj>
    </w:sdtPr>
    <w:sdtEndPr/>
    <w:sdtContent>
      <w:p w14:paraId="40CFB85B" w14:textId="36E9809C" w:rsidR="00A4766C" w:rsidRDefault="00BB561E">
        <w:pPr>
          <w:pStyle w:val="Header"/>
          <w:jc w:val="center"/>
        </w:pPr>
        <w:r>
          <w:fldChar w:fldCharType="begin"/>
        </w:r>
        <w:r w:rsidR="00A4766C">
          <w:instrText xml:space="preserve"> PAGE   \* MERGEFORMAT </w:instrText>
        </w:r>
        <w:r>
          <w:fldChar w:fldCharType="separate"/>
        </w:r>
        <w:r w:rsidR="00441663">
          <w:rPr>
            <w:noProof/>
          </w:rPr>
          <w:t>5</w:t>
        </w:r>
        <w:r>
          <w:fldChar w:fldCharType="end"/>
        </w:r>
      </w:p>
    </w:sdtContent>
  </w:sdt>
  <w:p w14:paraId="40CFB85C"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6134F7"/>
    <w:multiLevelType w:val="hybridMultilevel"/>
    <w:tmpl w:val="4EC8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9F5DEE"/>
    <w:multiLevelType w:val="hybridMultilevel"/>
    <w:tmpl w:val="6E5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A47D69"/>
    <w:multiLevelType w:val="hybridMultilevel"/>
    <w:tmpl w:val="72943942"/>
    <w:lvl w:ilvl="0" w:tplc="C48485D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330AFF"/>
    <w:multiLevelType w:val="hybridMultilevel"/>
    <w:tmpl w:val="0A0C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27"/>
    <w:rsid w:val="000D335C"/>
    <w:rsid w:val="000E01C2"/>
    <w:rsid w:val="0011133E"/>
    <w:rsid w:val="001139FE"/>
    <w:rsid w:val="001C3E48"/>
    <w:rsid w:val="001C664D"/>
    <w:rsid w:val="001D252F"/>
    <w:rsid w:val="001E6161"/>
    <w:rsid w:val="00200306"/>
    <w:rsid w:val="002275D2"/>
    <w:rsid w:val="0024574B"/>
    <w:rsid w:val="00262491"/>
    <w:rsid w:val="002A0AAF"/>
    <w:rsid w:val="002A1709"/>
    <w:rsid w:val="003051AC"/>
    <w:rsid w:val="00346819"/>
    <w:rsid w:val="003616F0"/>
    <w:rsid w:val="00372B1D"/>
    <w:rsid w:val="003977F5"/>
    <w:rsid w:val="003B67D1"/>
    <w:rsid w:val="003B740C"/>
    <w:rsid w:val="003E1F71"/>
    <w:rsid w:val="003F27A6"/>
    <w:rsid w:val="00406282"/>
    <w:rsid w:val="00441663"/>
    <w:rsid w:val="004A1BC9"/>
    <w:rsid w:val="004B6CCD"/>
    <w:rsid w:val="004C0EE6"/>
    <w:rsid w:val="004C67C6"/>
    <w:rsid w:val="005077B4"/>
    <w:rsid w:val="005133A4"/>
    <w:rsid w:val="005312B8"/>
    <w:rsid w:val="00593DDC"/>
    <w:rsid w:val="005A52B5"/>
    <w:rsid w:val="005C611E"/>
    <w:rsid w:val="005D6238"/>
    <w:rsid w:val="005E5D95"/>
    <w:rsid w:val="005F766B"/>
    <w:rsid w:val="0061314F"/>
    <w:rsid w:val="00617D0C"/>
    <w:rsid w:val="00632665"/>
    <w:rsid w:val="006327C1"/>
    <w:rsid w:val="006A7116"/>
    <w:rsid w:val="006C7B52"/>
    <w:rsid w:val="006E2F45"/>
    <w:rsid w:val="006F3DF1"/>
    <w:rsid w:val="00733342"/>
    <w:rsid w:val="0074058A"/>
    <w:rsid w:val="007A508E"/>
    <w:rsid w:val="007D60B5"/>
    <w:rsid w:val="007F06C5"/>
    <w:rsid w:val="007F2086"/>
    <w:rsid w:val="00803242"/>
    <w:rsid w:val="00814030"/>
    <w:rsid w:val="00851186"/>
    <w:rsid w:val="00853035"/>
    <w:rsid w:val="008B2201"/>
    <w:rsid w:val="008B28ED"/>
    <w:rsid w:val="008F529D"/>
    <w:rsid w:val="00904914"/>
    <w:rsid w:val="00905E15"/>
    <w:rsid w:val="0091740C"/>
    <w:rsid w:val="00941227"/>
    <w:rsid w:val="00951CD6"/>
    <w:rsid w:val="009534CC"/>
    <w:rsid w:val="009961F6"/>
    <w:rsid w:val="00997819"/>
    <w:rsid w:val="009C75E1"/>
    <w:rsid w:val="009F6D4C"/>
    <w:rsid w:val="00A4766C"/>
    <w:rsid w:val="00AF6871"/>
    <w:rsid w:val="00B13E12"/>
    <w:rsid w:val="00B22B0C"/>
    <w:rsid w:val="00B32BD1"/>
    <w:rsid w:val="00B71679"/>
    <w:rsid w:val="00BB561E"/>
    <w:rsid w:val="00BF4C9D"/>
    <w:rsid w:val="00C0201D"/>
    <w:rsid w:val="00C32D51"/>
    <w:rsid w:val="00C46D02"/>
    <w:rsid w:val="00C507DB"/>
    <w:rsid w:val="00C95E8E"/>
    <w:rsid w:val="00CC57DD"/>
    <w:rsid w:val="00CC60A7"/>
    <w:rsid w:val="00CF44D8"/>
    <w:rsid w:val="00CF74EE"/>
    <w:rsid w:val="00D46A03"/>
    <w:rsid w:val="00D9303B"/>
    <w:rsid w:val="00DA312E"/>
    <w:rsid w:val="00DD4950"/>
    <w:rsid w:val="00E76E8E"/>
    <w:rsid w:val="00EA14B3"/>
    <w:rsid w:val="00EA4299"/>
    <w:rsid w:val="00EB7EC2"/>
    <w:rsid w:val="00EC253F"/>
    <w:rsid w:val="00F029E2"/>
    <w:rsid w:val="00F25F1C"/>
    <w:rsid w:val="00F43207"/>
    <w:rsid w:val="00F870B9"/>
    <w:rsid w:val="00F90D57"/>
    <w:rsid w:val="00F93985"/>
    <w:rsid w:val="00FB1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CFB833"/>
  <w15:docId w15:val="{E7840ABE-F3FC-4DFF-B9A6-331831ED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nhideWhenUsed/>
    <w:rsid w:val="006E2F45"/>
    <w:pPr>
      <w:tabs>
        <w:tab w:val="center" w:pos="4513"/>
        <w:tab w:val="right" w:pos="9026"/>
      </w:tabs>
    </w:pPr>
  </w:style>
  <w:style w:type="character" w:customStyle="1" w:styleId="HeaderChar">
    <w:name w:val="Header Char"/>
    <w:basedOn w:val="DefaultParagraphFont"/>
    <w:link w:val="Header"/>
    <w:rsid w:val="006E2F45"/>
    <w:rPr>
      <w:sz w:val="24"/>
      <w:szCs w:val="24"/>
      <w:lang w:eastAsia="en-US"/>
    </w:rPr>
  </w:style>
  <w:style w:type="paragraph" w:styleId="Footer">
    <w:name w:val="footer"/>
    <w:basedOn w:val="Normal"/>
    <w:link w:val="FooterChar"/>
    <w:uiPriority w:val="99"/>
    <w:unhideWhenUsed/>
    <w:rsid w:val="006E2F45"/>
    <w:pPr>
      <w:tabs>
        <w:tab w:val="center" w:pos="4513"/>
        <w:tab w:val="right" w:pos="9026"/>
      </w:tabs>
    </w:pPr>
  </w:style>
  <w:style w:type="character" w:customStyle="1" w:styleId="FooterChar">
    <w:name w:val="Footer Char"/>
    <w:basedOn w:val="DefaultParagraphFont"/>
    <w:link w:val="Footer"/>
    <w:uiPriority w:val="99"/>
    <w:rsid w:val="006E2F45"/>
    <w:rPr>
      <w:sz w:val="24"/>
      <w:szCs w:val="24"/>
      <w:lang w:eastAsia="en-US"/>
    </w:rPr>
  </w:style>
  <w:style w:type="character" w:styleId="CommentReference">
    <w:name w:val="annotation reference"/>
    <w:basedOn w:val="DefaultParagraphFont"/>
    <w:uiPriority w:val="99"/>
    <w:semiHidden/>
    <w:unhideWhenUsed/>
    <w:rsid w:val="003051AC"/>
    <w:rPr>
      <w:sz w:val="16"/>
      <w:szCs w:val="16"/>
    </w:rPr>
  </w:style>
  <w:style w:type="paragraph" w:styleId="CommentSubject">
    <w:name w:val="annotation subject"/>
    <w:basedOn w:val="CommentText"/>
    <w:next w:val="CommentText"/>
    <w:link w:val="CommentSubjectChar"/>
    <w:uiPriority w:val="99"/>
    <w:semiHidden/>
    <w:unhideWhenUsed/>
    <w:rsid w:val="003051AC"/>
    <w:rPr>
      <w:b/>
      <w:bCs/>
    </w:rPr>
  </w:style>
  <w:style w:type="character" w:customStyle="1" w:styleId="CommentTextChar">
    <w:name w:val="Comment Text Char"/>
    <w:basedOn w:val="DefaultParagraphFont"/>
    <w:link w:val="CommentText"/>
    <w:semiHidden/>
    <w:rsid w:val="003051AC"/>
    <w:rPr>
      <w:lang w:eastAsia="en-US"/>
    </w:rPr>
  </w:style>
  <w:style w:type="character" w:customStyle="1" w:styleId="CommentSubjectChar">
    <w:name w:val="Comment Subject Char"/>
    <w:basedOn w:val="CommentTextChar"/>
    <w:link w:val="CommentSubject"/>
    <w:uiPriority w:val="99"/>
    <w:semiHidden/>
    <w:rsid w:val="003051AC"/>
    <w:rPr>
      <w:b/>
      <w:bCs/>
      <w:lang w:eastAsia="en-US"/>
    </w:rPr>
  </w:style>
  <w:style w:type="character" w:styleId="Hyperlink">
    <w:name w:val="Hyperlink"/>
    <w:basedOn w:val="DefaultParagraphFont"/>
    <w:uiPriority w:val="99"/>
    <w:unhideWhenUsed/>
    <w:rsid w:val="003051AC"/>
    <w:rPr>
      <w:color w:val="0000FF" w:themeColor="hyperlink"/>
      <w:u w:val="single"/>
    </w:rPr>
  </w:style>
  <w:style w:type="character" w:customStyle="1" w:styleId="BodyTextChar">
    <w:name w:val="Body Text Char"/>
    <w:basedOn w:val="DefaultParagraphFont"/>
    <w:link w:val="BodyText"/>
    <w:rsid w:val="00DA312E"/>
    <w:rPr>
      <w:sz w:val="24"/>
      <w:lang w:eastAsia="en-US"/>
    </w:rPr>
  </w:style>
  <w:style w:type="paragraph" w:customStyle="1" w:styleId="LI-Heading2">
    <w:name w:val="LI - Heading 2"/>
    <w:basedOn w:val="Normal"/>
    <w:next w:val="LI-BodyTextUnnumbered"/>
    <w:qFormat/>
    <w:rsid w:val="003616F0"/>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3616F0"/>
    <w:pPr>
      <w:spacing w:before="240"/>
      <w:ind w:left="1134"/>
    </w:pPr>
    <w:rPr>
      <w:szCs w:val="20"/>
      <w:lang w:eastAsia="en-AU"/>
    </w:rPr>
  </w:style>
  <w:style w:type="paragraph" w:customStyle="1" w:styleId="LI-BodyTextParaa">
    <w:name w:val="LI - Body Text Para (a)"/>
    <w:basedOn w:val="Normal"/>
    <w:link w:val="LI-BodyTextParaaChar"/>
    <w:rsid w:val="003616F0"/>
    <w:pPr>
      <w:spacing w:before="240"/>
      <w:ind w:left="1701" w:hanging="567"/>
    </w:pPr>
    <w:rPr>
      <w:lang w:eastAsia="en-AU"/>
    </w:rPr>
  </w:style>
  <w:style w:type="paragraph" w:customStyle="1" w:styleId="LI-BodyTextNote">
    <w:name w:val="LI - Body Text Note"/>
    <w:basedOn w:val="Normal"/>
    <w:link w:val="LI-BodyTextNoteChar"/>
    <w:rsid w:val="003616F0"/>
    <w:pPr>
      <w:spacing w:before="200"/>
      <w:ind w:left="1701" w:hanging="567"/>
    </w:pPr>
    <w:rPr>
      <w:sz w:val="18"/>
      <w:szCs w:val="20"/>
      <w:lang w:eastAsia="en-AU"/>
    </w:rPr>
  </w:style>
  <w:style w:type="character" w:customStyle="1" w:styleId="LI-BodyTextParaaChar">
    <w:name w:val="LI - Body Text Para (a) Char"/>
    <w:link w:val="LI-BodyTextParaa"/>
    <w:rsid w:val="003616F0"/>
    <w:rPr>
      <w:sz w:val="24"/>
      <w:szCs w:val="24"/>
    </w:rPr>
  </w:style>
  <w:style w:type="paragraph" w:customStyle="1" w:styleId="LI-Footer">
    <w:name w:val="LI - Footer"/>
    <w:basedOn w:val="Normal"/>
    <w:link w:val="LI-FooterChar"/>
    <w:qFormat/>
    <w:rsid w:val="003616F0"/>
    <w:pPr>
      <w:pBdr>
        <w:top w:val="single" w:sz="6" w:space="1" w:color="auto"/>
      </w:pBdr>
      <w:tabs>
        <w:tab w:val="right" w:pos="8313"/>
      </w:tabs>
      <w:spacing w:before="120" w:line="0" w:lineRule="atLeast"/>
    </w:pPr>
    <w:rPr>
      <w:rFonts w:eastAsia="Calibri"/>
      <w:i/>
      <w:sz w:val="18"/>
      <w:szCs w:val="20"/>
    </w:rPr>
  </w:style>
  <w:style w:type="character" w:customStyle="1" w:styleId="LI-BodyTextUnnumberedChar">
    <w:name w:val="LI - Body Text Unnumbered Char"/>
    <w:link w:val="LI-BodyTextUnnumbered"/>
    <w:rsid w:val="003616F0"/>
    <w:rPr>
      <w:sz w:val="24"/>
    </w:rPr>
  </w:style>
  <w:style w:type="character" w:customStyle="1" w:styleId="LI-FooterChar">
    <w:name w:val="LI - Footer Char"/>
    <w:link w:val="LI-Footer"/>
    <w:rsid w:val="003616F0"/>
    <w:rPr>
      <w:rFonts w:eastAsia="Calibri"/>
      <w:i/>
      <w:sz w:val="18"/>
      <w:lang w:eastAsia="en-US"/>
    </w:rPr>
  </w:style>
  <w:style w:type="character" w:customStyle="1" w:styleId="LI-BodyTextNoteChar">
    <w:name w:val="LI - Body Text Note Char"/>
    <w:link w:val="LI-BodyTextNote"/>
    <w:rsid w:val="003616F0"/>
    <w:rPr>
      <w:sz w:val="18"/>
    </w:rPr>
  </w:style>
  <w:style w:type="paragraph" w:customStyle="1" w:styleId="LI-Header">
    <w:name w:val="LI - Header"/>
    <w:basedOn w:val="LI-Footer"/>
    <w:link w:val="LI-HeaderChar"/>
    <w:qFormat/>
    <w:rsid w:val="003616F0"/>
    <w:pPr>
      <w:pBdr>
        <w:top w:val="none" w:sz="0" w:space="0" w:color="auto"/>
        <w:bottom w:val="single" w:sz="4" w:space="1" w:color="auto"/>
      </w:pBdr>
      <w:jc w:val="right"/>
    </w:pPr>
  </w:style>
  <w:style w:type="character" w:customStyle="1" w:styleId="LI-HeaderChar">
    <w:name w:val="LI - Header Char"/>
    <w:basedOn w:val="LI-FooterChar"/>
    <w:link w:val="LI-Header"/>
    <w:rsid w:val="003616F0"/>
    <w:rPr>
      <w:rFonts w:eastAsia="Calibri"/>
      <w:i/>
      <w:sz w:val="18"/>
      <w:lang w:eastAsia="en-US"/>
    </w:rPr>
  </w:style>
  <w:style w:type="character" w:customStyle="1" w:styleId="CharAmSchNo">
    <w:name w:val="CharAmSchNo"/>
    <w:basedOn w:val="DefaultParagraphFont"/>
    <w:uiPriority w:val="1"/>
    <w:semiHidden/>
    <w:qFormat/>
    <w:rsid w:val="003616F0"/>
  </w:style>
  <w:style w:type="character" w:customStyle="1" w:styleId="CharAmSchText">
    <w:name w:val="CharAmSchText"/>
    <w:basedOn w:val="DefaultParagraphFont"/>
    <w:uiPriority w:val="1"/>
    <w:semiHidden/>
    <w:qFormat/>
    <w:rsid w:val="003616F0"/>
  </w:style>
  <w:style w:type="paragraph" w:styleId="Revision">
    <w:name w:val="Revision"/>
    <w:hidden/>
    <w:uiPriority w:val="99"/>
    <w:semiHidden/>
    <w:rsid w:val="008140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9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R20170000657382</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Explanatory Statement for ASIC Class Rule Waiver [CW 17/881] remaking ASIC Class Rule Waiver [CW 11/734] )(ASX24)</NotesLink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11193-0483-4CF8-B326-3FCE510FC4FE}">
  <ds:schemaRefs>
    <ds:schemaRef ds:uri="http://schemas.microsoft.com/sharepoint/v4"/>
    <ds:schemaRef ds:uri="http://purl.org/dc/elements/1.1/"/>
    <ds:schemaRef ds:uri="http://www.w3.org/XML/1998/namespace"/>
    <ds:schemaRef ds:uri="http://purl.org/dc/dcmitype/"/>
    <ds:schemaRef ds:uri="http://schemas.microsoft.com/office/2006/documentManagement/types"/>
    <ds:schemaRef ds:uri="e3c121ce-93ad-4322-8dbe-6959e0a586ce"/>
    <ds:schemaRef ds:uri="http://schemas.microsoft.com/office/infopath/2007/PartnerControls"/>
    <ds:schemaRef ds:uri="http://schemas.openxmlformats.org/package/2006/metadata/core-properties"/>
    <ds:schemaRef ds:uri="da7a9ac0-bc47-4684-84e6-3a8e9ac80c12"/>
    <ds:schemaRef ds:uri="17f478ab-373e-4295-9ff0-9b833ad0131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154AEE5-FC64-4F54-B797-88D4B96EBAF8}">
  <ds:schemaRefs>
    <ds:schemaRef ds:uri="http://schemas.microsoft.com/sharepoint/v3/contenttype/forms"/>
  </ds:schemaRefs>
</ds:datastoreItem>
</file>

<file path=customXml/itemProps3.xml><?xml version="1.0" encoding="utf-8"?>
<ds:datastoreItem xmlns:ds="http://schemas.openxmlformats.org/officeDocument/2006/customXml" ds:itemID="{F79E0DA6-7E93-43E8-9090-DED01814B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6704A-5DDF-43E4-95DD-A98C7516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Helen.Yu</dc:creator>
  <cp:lastModifiedBy>Ruki Weerasinghe</cp:lastModifiedBy>
  <cp:revision>2</cp:revision>
  <cp:lastPrinted>2011-07-14T02:28:00Z</cp:lastPrinted>
  <dcterms:created xsi:type="dcterms:W3CDTF">2018-04-26T04:01:00Z</dcterms:created>
  <dcterms:modified xsi:type="dcterms:W3CDTF">2018-04-26T04:01:00Z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A756667</vt:lpwstr>
  </property>
  <property fmtid="{D5CDD505-2E9C-101B-9397-08002B2CF9AE}" pid="4" name="Objective-Title">
    <vt:lpwstr>Explanatory statement - LOL Class Waiver</vt:lpwstr>
  </property>
  <property fmtid="{D5CDD505-2E9C-101B-9397-08002B2CF9AE}" pid="5" name="Objective-Comment">
    <vt:lpwstr/>
  </property>
  <property fmtid="{D5CDD505-2E9C-101B-9397-08002B2CF9AE}" pid="6" name="Objective-CreationStamp">
    <vt:filetime>2011-07-07T05:51:58Z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2011-07-07T23:50:03Z</vt:filetime>
  </property>
  <property fmtid="{D5CDD505-2E9C-101B-9397-08002B2CF9AE}" pid="11" name="Objective-Owner">
    <vt:lpwstr>Kathleen Cuneo</vt:lpwstr>
  </property>
  <property fmtid="{D5CDD505-2E9C-101B-9397-08002B2CF9AE}" pid="12" name="Objective-Path">
    <vt:lpwstr>Kathleen Cuneo:Special Folder - Kathleen Cuneo:Market and Participant Supervision:</vt:lpwstr>
  </property>
  <property fmtid="{D5CDD505-2E9C-101B-9397-08002B2CF9AE}" pid="13" name="Objective-Parent">
    <vt:lpwstr>Market and Participant Supervision</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0x010100B5F685A1365F544391EF8C813B164F3A009AAF408ED544FE43BBB1215B13EDA277</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{226ed8a2-2cfb-4b87-ab22-c424a0a2c160}</vt:lpwstr>
  </property>
  <property fmtid="{D5CDD505-2E9C-101B-9397-08002B2CF9AE}" pid="27" name="RecordPoint_ActiveItemUniqueId">
    <vt:lpwstr>{b2daa6b6-be59-46f2-9f99-e041fae71812}</vt:lpwstr>
  </property>
  <property fmtid="{D5CDD505-2E9C-101B-9397-08002B2CF9AE}" pid="28" name="RecordPoint_RecordNumberSubmitted">
    <vt:lpwstr>R20170000657382</vt:lpwstr>
  </property>
  <property fmtid="{D5CDD505-2E9C-101B-9397-08002B2CF9AE}" pid="29" name="RecordPoint_SubmissionCompleted">
    <vt:lpwstr>2018-04-24T12:40:37.3613567+10:00</vt:lpwstr>
  </property>
  <property fmtid="{D5CDD505-2E9C-101B-9397-08002B2CF9AE}" pid="30" name="SecurityClassification">
    <vt:lpwstr>7;#Sensitive|19fd2cb8-3e97-4464-ae71-8c2c2095d028</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