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A9194E" w14:textId="0F482CBC" w:rsidR="002436BD" w:rsidRPr="002C6D26" w:rsidRDefault="002436BD" w:rsidP="00D85E77">
      <w:pPr>
        <w:pStyle w:val="Heading"/>
        <w:spacing w:after="240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2C6D26">
        <w:rPr>
          <w:rFonts w:ascii="Times New Roman" w:hAnsi="Times New Roman"/>
          <w:sz w:val="24"/>
          <w:szCs w:val="24"/>
        </w:rPr>
        <w:t>Banking (prudential standard) determination</w:t>
      </w:r>
      <w:r w:rsidR="002629A4">
        <w:rPr>
          <w:rFonts w:ascii="Times New Roman" w:hAnsi="Times New Roman"/>
          <w:sz w:val="24"/>
          <w:szCs w:val="24"/>
        </w:rPr>
        <w:t>s</w:t>
      </w:r>
      <w:r w:rsidRPr="002C6D26">
        <w:rPr>
          <w:rFonts w:ascii="Times New Roman" w:hAnsi="Times New Roman"/>
          <w:sz w:val="24"/>
          <w:szCs w:val="24"/>
        </w:rPr>
        <w:t xml:space="preserve"> No</w:t>
      </w:r>
      <w:r w:rsidR="002629A4">
        <w:rPr>
          <w:rFonts w:ascii="Times New Roman" w:hAnsi="Times New Roman"/>
          <w:sz w:val="24"/>
          <w:szCs w:val="24"/>
        </w:rPr>
        <w:t>s</w:t>
      </w:r>
      <w:r w:rsidRPr="002C6D26">
        <w:rPr>
          <w:rFonts w:ascii="Times New Roman" w:hAnsi="Times New Roman"/>
          <w:sz w:val="24"/>
          <w:szCs w:val="24"/>
        </w:rPr>
        <w:t xml:space="preserve">. </w:t>
      </w:r>
      <w:r w:rsidR="001A1C63">
        <w:rPr>
          <w:rFonts w:ascii="Times New Roman" w:hAnsi="Times New Roman"/>
          <w:sz w:val="24"/>
          <w:szCs w:val="24"/>
        </w:rPr>
        <w:t>1</w:t>
      </w:r>
      <w:r w:rsidRPr="002C6D26">
        <w:rPr>
          <w:rFonts w:ascii="Times New Roman" w:hAnsi="Times New Roman"/>
          <w:sz w:val="24"/>
          <w:szCs w:val="24"/>
        </w:rPr>
        <w:t xml:space="preserve"> </w:t>
      </w:r>
      <w:r w:rsidR="00DF078D">
        <w:rPr>
          <w:rFonts w:ascii="Times New Roman" w:hAnsi="Times New Roman"/>
          <w:sz w:val="24"/>
          <w:szCs w:val="24"/>
        </w:rPr>
        <w:t xml:space="preserve">and </w:t>
      </w:r>
      <w:r w:rsidR="001A1C63">
        <w:rPr>
          <w:rFonts w:ascii="Times New Roman" w:hAnsi="Times New Roman"/>
          <w:sz w:val="24"/>
          <w:szCs w:val="24"/>
        </w:rPr>
        <w:t>2</w:t>
      </w:r>
      <w:r w:rsidR="002629A4">
        <w:rPr>
          <w:rFonts w:ascii="Times New Roman" w:hAnsi="Times New Roman"/>
          <w:sz w:val="24"/>
          <w:szCs w:val="24"/>
        </w:rPr>
        <w:t xml:space="preserve"> </w:t>
      </w:r>
      <w:r w:rsidRPr="002C6D26">
        <w:rPr>
          <w:rFonts w:ascii="Times New Roman" w:hAnsi="Times New Roman"/>
          <w:sz w:val="24"/>
          <w:szCs w:val="24"/>
        </w:rPr>
        <w:t>of 20</w:t>
      </w:r>
      <w:r w:rsidR="00BD5517">
        <w:rPr>
          <w:rFonts w:ascii="Times New Roman" w:hAnsi="Times New Roman"/>
          <w:sz w:val="24"/>
          <w:szCs w:val="24"/>
        </w:rPr>
        <w:t>18</w:t>
      </w:r>
    </w:p>
    <w:p w14:paraId="753CBC9E" w14:textId="77777777" w:rsidR="002436BD" w:rsidRPr="002C6D26" w:rsidRDefault="002436BD" w:rsidP="00D85E77">
      <w:pPr>
        <w:pStyle w:val="Heading"/>
        <w:tabs>
          <w:tab w:val="left" w:pos="360"/>
        </w:tabs>
        <w:spacing w:after="240"/>
        <w:jc w:val="center"/>
        <w:rPr>
          <w:rFonts w:ascii="Times New Roman" w:hAnsi="Times New Roman"/>
          <w:sz w:val="24"/>
          <w:szCs w:val="24"/>
          <w:u w:val="single"/>
        </w:rPr>
      </w:pPr>
      <w:bookmarkStart w:id="1" w:name="bkInstrumentSubTitle"/>
      <w:bookmarkEnd w:id="1"/>
      <w:r w:rsidRPr="002C6D26">
        <w:rPr>
          <w:rFonts w:ascii="Times New Roman" w:hAnsi="Times New Roman"/>
          <w:sz w:val="24"/>
          <w:szCs w:val="24"/>
          <w:u w:val="single"/>
        </w:rPr>
        <w:t>EXPLANATORY STATEMENT</w:t>
      </w:r>
    </w:p>
    <w:p w14:paraId="361D0032" w14:textId="77777777" w:rsidR="002436BD" w:rsidRPr="002C6D26" w:rsidRDefault="002436BD" w:rsidP="00D85E77">
      <w:pPr>
        <w:pStyle w:val="Heading"/>
        <w:spacing w:after="240"/>
        <w:jc w:val="center"/>
        <w:rPr>
          <w:rFonts w:ascii="Times New Roman" w:hAnsi="Times New Roman"/>
          <w:sz w:val="24"/>
          <w:szCs w:val="24"/>
        </w:rPr>
      </w:pPr>
      <w:r w:rsidRPr="002C6D26">
        <w:rPr>
          <w:rFonts w:ascii="Times New Roman" w:hAnsi="Times New Roman"/>
          <w:sz w:val="24"/>
          <w:szCs w:val="24"/>
        </w:rPr>
        <w:t>Prepared by the Australian Prudential Regulation Authority (APRA)</w:t>
      </w:r>
    </w:p>
    <w:p w14:paraId="119D4F51" w14:textId="77777777" w:rsidR="002436BD" w:rsidRPr="002C6D26" w:rsidRDefault="002436BD" w:rsidP="00D85E77">
      <w:pPr>
        <w:pStyle w:val="Heading"/>
        <w:tabs>
          <w:tab w:val="left" w:pos="360"/>
        </w:tabs>
        <w:spacing w:after="240"/>
        <w:jc w:val="center"/>
        <w:rPr>
          <w:rFonts w:ascii="Times New Roman" w:hAnsi="Times New Roman"/>
          <w:b w:val="0"/>
          <w:sz w:val="24"/>
          <w:szCs w:val="24"/>
        </w:rPr>
      </w:pPr>
      <w:r w:rsidRPr="002C6D26">
        <w:rPr>
          <w:rFonts w:ascii="Times New Roman" w:hAnsi="Times New Roman"/>
          <w:b w:val="0"/>
          <w:i/>
          <w:sz w:val="24"/>
          <w:szCs w:val="24"/>
        </w:rPr>
        <w:t>Banking Act 1959</w:t>
      </w:r>
      <w:r w:rsidRPr="002C6D26">
        <w:rPr>
          <w:rFonts w:ascii="Times New Roman" w:hAnsi="Times New Roman"/>
          <w:b w:val="0"/>
          <w:sz w:val="24"/>
          <w:szCs w:val="24"/>
        </w:rPr>
        <w:t xml:space="preserve">, </w:t>
      </w:r>
      <w:r w:rsidRPr="002C6D26">
        <w:rPr>
          <w:rFonts w:ascii="Times New Roman" w:hAnsi="Times New Roman"/>
          <w:b w:val="0"/>
          <w:color w:val="000000"/>
          <w:sz w:val="24"/>
          <w:szCs w:val="24"/>
        </w:rPr>
        <w:t>section 11AF</w:t>
      </w:r>
    </w:p>
    <w:p w14:paraId="5AF87F09" w14:textId="086C1132" w:rsidR="002436BD" w:rsidRPr="002C6D26" w:rsidRDefault="002436BD" w:rsidP="00D85E77">
      <w:pPr>
        <w:widowControl w:val="0"/>
        <w:spacing w:after="240"/>
        <w:jc w:val="both"/>
        <w:rPr>
          <w:rFonts w:ascii="Times New Roman" w:hAnsi="Times New Roman"/>
          <w:sz w:val="24"/>
          <w:szCs w:val="24"/>
        </w:rPr>
      </w:pPr>
      <w:bookmarkStart w:id="2" w:name="bkAct"/>
      <w:bookmarkStart w:id="3" w:name="bkExplanatory"/>
      <w:bookmarkEnd w:id="2"/>
      <w:bookmarkEnd w:id="3"/>
      <w:r w:rsidRPr="002C6D26">
        <w:rPr>
          <w:rFonts w:ascii="Times New Roman" w:hAnsi="Times New Roman"/>
          <w:sz w:val="24"/>
          <w:szCs w:val="24"/>
        </w:rPr>
        <w:t xml:space="preserve">Under subsection 11AF(1) of the </w:t>
      </w:r>
      <w:r w:rsidRPr="002C6D26">
        <w:rPr>
          <w:rFonts w:ascii="Times New Roman" w:hAnsi="Times New Roman"/>
          <w:i/>
          <w:sz w:val="24"/>
          <w:szCs w:val="24"/>
        </w:rPr>
        <w:t>Banking Act 1959</w:t>
      </w:r>
      <w:r w:rsidRPr="002C6D26">
        <w:rPr>
          <w:rFonts w:ascii="Times New Roman" w:hAnsi="Times New Roman"/>
          <w:sz w:val="24"/>
          <w:szCs w:val="24"/>
        </w:rPr>
        <w:t xml:space="preserve"> </w:t>
      </w:r>
      <w:r w:rsidRPr="007428D4">
        <w:rPr>
          <w:rFonts w:ascii="Times New Roman" w:hAnsi="Times New Roman"/>
          <w:sz w:val="24"/>
          <w:szCs w:val="24"/>
        </w:rPr>
        <w:t>(the Act),</w:t>
      </w:r>
      <w:r w:rsidRPr="002C6D26">
        <w:rPr>
          <w:rFonts w:ascii="Times New Roman" w:hAnsi="Times New Roman"/>
          <w:sz w:val="24"/>
          <w:szCs w:val="24"/>
        </w:rPr>
        <w:t xml:space="preserve"> APRA has the power to determine standards </w:t>
      </w:r>
      <w:r w:rsidRPr="007428D4">
        <w:rPr>
          <w:rFonts w:ascii="Times New Roman" w:hAnsi="Times New Roman"/>
          <w:sz w:val="24"/>
          <w:szCs w:val="24"/>
        </w:rPr>
        <w:t>(prudential standards),</w:t>
      </w:r>
      <w:r w:rsidRPr="002C6D26">
        <w:rPr>
          <w:rFonts w:ascii="Times New Roman" w:hAnsi="Times New Roman"/>
          <w:sz w:val="24"/>
          <w:szCs w:val="24"/>
        </w:rPr>
        <w:t xml:space="preserve"> in writing, in relation to prudential matters to be complied with by authorised deposit-taking institutions </w:t>
      </w:r>
      <w:r w:rsidRPr="007428D4">
        <w:rPr>
          <w:rFonts w:ascii="Times New Roman" w:hAnsi="Times New Roman"/>
          <w:sz w:val="24"/>
          <w:szCs w:val="24"/>
        </w:rPr>
        <w:t>(ADIs)</w:t>
      </w:r>
      <w:r w:rsidRPr="002C6D26">
        <w:rPr>
          <w:rFonts w:ascii="Times New Roman" w:hAnsi="Times New Roman"/>
          <w:sz w:val="24"/>
          <w:szCs w:val="24"/>
        </w:rPr>
        <w:t xml:space="preserve"> and authorised non-operating holding companies </w:t>
      </w:r>
      <w:r w:rsidRPr="007428D4">
        <w:rPr>
          <w:rFonts w:ascii="Times New Roman" w:hAnsi="Times New Roman"/>
          <w:sz w:val="24"/>
          <w:szCs w:val="24"/>
        </w:rPr>
        <w:t>(authorised NOHCs).</w:t>
      </w:r>
      <w:r w:rsidR="001F295F">
        <w:rPr>
          <w:rFonts w:ascii="Times New Roman" w:hAnsi="Times New Roman"/>
          <w:sz w:val="24"/>
          <w:szCs w:val="24"/>
        </w:rPr>
        <w:t xml:space="preserve"> </w:t>
      </w:r>
      <w:r w:rsidR="001F295F" w:rsidRPr="00F30C81">
        <w:rPr>
          <w:rFonts w:ascii="Times New Roman" w:hAnsi="Times New Roman"/>
          <w:sz w:val="24"/>
          <w:szCs w:val="24"/>
        </w:rPr>
        <w:t>Under subsection 11AF(3) of the Act, APRA may, in writing, vary or revoke a prudential standard.</w:t>
      </w:r>
    </w:p>
    <w:p w14:paraId="0D335B0B" w14:textId="7189A492" w:rsidR="00E9695A" w:rsidRDefault="002436BD" w:rsidP="00D85E77">
      <w:pPr>
        <w:widowControl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On </w:t>
      </w:r>
      <w:r w:rsidR="0062749C" w:rsidRPr="00E57292">
        <w:rPr>
          <w:rFonts w:ascii="Times New Roman" w:hAnsi="Times New Roman"/>
          <w:sz w:val="24"/>
          <w:szCs w:val="24"/>
        </w:rPr>
        <w:t>1</w:t>
      </w:r>
      <w:r w:rsidR="00E57292">
        <w:rPr>
          <w:rFonts w:ascii="Times New Roman" w:hAnsi="Times New Roman"/>
          <w:sz w:val="24"/>
          <w:szCs w:val="24"/>
        </w:rPr>
        <w:t>9</w:t>
      </w:r>
      <w:r w:rsidR="00C277A6">
        <w:rPr>
          <w:rFonts w:ascii="Times New Roman" w:hAnsi="Times New Roman"/>
          <w:sz w:val="24"/>
          <w:szCs w:val="24"/>
        </w:rPr>
        <w:t xml:space="preserve"> April 2018</w:t>
      </w:r>
      <w:r>
        <w:rPr>
          <w:rFonts w:ascii="Times New Roman" w:hAnsi="Times New Roman"/>
          <w:sz w:val="24"/>
          <w:szCs w:val="24"/>
        </w:rPr>
        <w:t xml:space="preserve">, APRA made </w:t>
      </w:r>
      <w:r w:rsidR="00E9695A">
        <w:rPr>
          <w:rFonts w:ascii="Times New Roman" w:hAnsi="Times New Roman"/>
          <w:sz w:val="24"/>
          <w:szCs w:val="24"/>
        </w:rPr>
        <w:t>the following determinations (the instruments):</w:t>
      </w:r>
    </w:p>
    <w:p w14:paraId="0A2E6758" w14:textId="2494E001" w:rsidR="00246723" w:rsidRDefault="002436BD" w:rsidP="00E9695A">
      <w:pPr>
        <w:widowControl w:val="0"/>
        <w:numPr>
          <w:ilvl w:val="0"/>
          <w:numId w:val="5"/>
        </w:numPr>
        <w:spacing w:after="240"/>
        <w:jc w:val="both"/>
        <w:rPr>
          <w:rFonts w:ascii="Times New Roman" w:hAnsi="Times New Roman"/>
          <w:sz w:val="24"/>
          <w:szCs w:val="24"/>
        </w:rPr>
      </w:pPr>
      <w:r w:rsidRPr="002C6D26">
        <w:rPr>
          <w:rFonts w:ascii="Times New Roman" w:hAnsi="Times New Roman"/>
          <w:sz w:val="24"/>
          <w:szCs w:val="24"/>
        </w:rPr>
        <w:t xml:space="preserve">Banking (prudential standard) determination No. </w:t>
      </w:r>
      <w:r w:rsidR="001A1C63">
        <w:rPr>
          <w:rFonts w:ascii="Times New Roman" w:hAnsi="Times New Roman"/>
          <w:sz w:val="24"/>
          <w:szCs w:val="24"/>
        </w:rPr>
        <w:t>1</w:t>
      </w:r>
      <w:r w:rsidRPr="002C6D26">
        <w:rPr>
          <w:rFonts w:ascii="Times New Roman" w:hAnsi="Times New Roman"/>
          <w:sz w:val="24"/>
          <w:szCs w:val="24"/>
        </w:rPr>
        <w:t xml:space="preserve"> of 20</w:t>
      </w:r>
      <w:r w:rsidR="001F295F">
        <w:rPr>
          <w:rFonts w:ascii="Times New Roman" w:hAnsi="Times New Roman"/>
          <w:sz w:val="24"/>
          <w:szCs w:val="24"/>
        </w:rPr>
        <w:t>1</w:t>
      </w:r>
      <w:r w:rsidR="00B00F58">
        <w:rPr>
          <w:rFonts w:ascii="Times New Roman" w:hAnsi="Times New Roman"/>
          <w:sz w:val="24"/>
          <w:szCs w:val="24"/>
        </w:rPr>
        <w:t>8</w:t>
      </w:r>
      <w:r w:rsidRPr="002C6D2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which </w:t>
      </w:r>
      <w:r w:rsidRPr="002C6D26">
        <w:rPr>
          <w:rFonts w:ascii="Times New Roman" w:hAnsi="Times New Roman"/>
          <w:sz w:val="24"/>
          <w:szCs w:val="24"/>
        </w:rPr>
        <w:t xml:space="preserve">determines </w:t>
      </w:r>
      <w:r w:rsidRPr="00C277A6">
        <w:rPr>
          <w:rFonts w:ascii="Times New Roman" w:hAnsi="Times New Roman"/>
          <w:i/>
          <w:sz w:val="24"/>
          <w:szCs w:val="24"/>
        </w:rPr>
        <w:t xml:space="preserve">Prudential Standard </w:t>
      </w:r>
      <w:r w:rsidR="0040175E" w:rsidRPr="00C277A6">
        <w:rPr>
          <w:rFonts w:ascii="Times New Roman" w:hAnsi="Times New Roman"/>
          <w:i/>
          <w:sz w:val="24"/>
          <w:szCs w:val="24"/>
        </w:rPr>
        <w:t>APS 1</w:t>
      </w:r>
      <w:r w:rsidR="00987F8C" w:rsidRPr="00C277A6">
        <w:rPr>
          <w:rFonts w:ascii="Times New Roman" w:hAnsi="Times New Roman"/>
          <w:i/>
          <w:sz w:val="24"/>
          <w:szCs w:val="24"/>
        </w:rPr>
        <w:t>8</w:t>
      </w:r>
      <w:r w:rsidR="0040175E" w:rsidRPr="00C277A6">
        <w:rPr>
          <w:rFonts w:ascii="Times New Roman" w:hAnsi="Times New Roman"/>
          <w:i/>
          <w:sz w:val="24"/>
          <w:szCs w:val="24"/>
        </w:rPr>
        <w:t>0 Capital Adequacy</w:t>
      </w:r>
      <w:r w:rsidR="00B00F58">
        <w:rPr>
          <w:rFonts w:ascii="Times New Roman" w:hAnsi="Times New Roman"/>
          <w:i/>
          <w:sz w:val="24"/>
          <w:szCs w:val="24"/>
        </w:rPr>
        <w:t>: Counterparty Credit Risk</w:t>
      </w:r>
      <w:r w:rsidRPr="00E969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(APS </w:t>
      </w:r>
      <w:r w:rsidR="0040175E">
        <w:rPr>
          <w:rFonts w:ascii="Times New Roman" w:hAnsi="Times New Roman"/>
          <w:sz w:val="24"/>
          <w:szCs w:val="24"/>
        </w:rPr>
        <w:t>1</w:t>
      </w:r>
      <w:r w:rsidR="00987F8C">
        <w:rPr>
          <w:rFonts w:ascii="Times New Roman" w:hAnsi="Times New Roman"/>
          <w:sz w:val="24"/>
          <w:szCs w:val="24"/>
        </w:rPr>
        <w:t>8</w:t>
      </w:r>
      <w:r w:rsidR="0040175E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)</w:t>
      </w:r>
      <w:r w:rsidR="00E9695A">
        <w:rPr>
          <w:rFonts w:ascii="Times New Roman" w:hAnsi="Times New Roman"/>
          <w:sz w:val="24"/>
          <w:szCs w:val="24"/>
        </w:rPr>
        <w:t>;</w:t>
      </w:r>
    </w:p>
    <w:p w14:paraId="2702A477" w14:textId="77035F15" w:rsidR="001F295F" w:rsidRDefault="001F295F" w:rsidP="00E9695A">
      <w:pPr>
        <w:widowControl w:val="0"/>
        <w:numPr>
          <w:ilvl w:val="0"/>
          <w:numId w:val="5"/>
        </w:numPr>
        <w:spacing w:after="240"/>
        <w:jc w:val="both"/>
        <w:rPr>
          <w:rFonts w:ascii="Times New Roman" w:hAnsi="Times New Roman"/>
          <w:sz w:val="24"/>
          <w:szCs w:val="24"/>
        </w:rPr>
      </w:pPr>
      <w:r w:rsidRPr="002C6D26">
        <w:rPr>
          <w:rFonts w:ascii="Times New Roman" w:hAnsi="Times New Roman"/>
          <w:sz w:val="24"/>
          <w:szCs w:val="24"/>
        </w:rPr>
        <w:t xml:space="preserve">Banking (prudential standard) determination No. </w:t>
      </w:r>
      <w:r w:rsidR="001A1C63">
        <w:rPr>
          <w:rFonts w:ascii="Times New Roman" w:hAnsi="Times New Roman"/>
          <w:sz w:val="24"/>
          <w:szCs w:val="24"/>
        </w:rPr>
        <w:t>2</w:t>
      </w:r>
      <w:r w:rsidRPr="002C6D26">
        <w:rPr>
          <w:rFonts w:ascii="Times New Roman" w:hAnsi="Times New Roman"/>
          <w:sz w:val="24"/>
          <w:szCs w:val="24"/>
        </w:rPr>
        <w:t xml:space="preserve"> of 20</w:t>
      </w:r>
      <w:r w:rsidR="00E9695A">
        <w:rPr>
          <w:rFonts w:ascii="Times New Roman" w:hAnsi="Times New Roman"/>
          <w:sz w:val="24"/>
          <w:szCs w:val="24"/>
        </w:rPr>
        <w:t>1</w:t>
      </w:r>
      <w:r w:rsidR="00B00F58">
        <w:rPr>
          <w:rFonts w:ascii="Times New Roman" w:hAnsi="Times New Roman"/>
          <w:sz w:val="24"/>
          <w:szCs w:val="24"/>
        </w:rPr>
        <w:t>8</w:t>
      </w:r>
      <w:r w:rsidRPr="002C6D2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which revokes </w:t>
      </w:r>
      <w:r w:rsidRPr="00E9695A">
        <w:rPr>
          <w:rFonts w:ascii="Times New Roman" w:hAnsi="Times New Roman"/>
          <w:i/>
          <w:sz w:val="24"/>
          <w:szCs w:val="24"/>
        </w:rPr>
        <w:t>Prudential Standard APS 112 Capital Adequacy: Standardised Approach to Credit Risk</w:t>
      </w:r>
      <w:r w:rsidRPr="009927BF">
        <w:rPr>
          <w:rFonts w:ascii="Times New Roman" w:hAnsi="Times New Roman"/>
          <w:sz w:val="24"/>
          <w:szCs w:val="24"/>
        </w:rPr>
        <w:t xml:space="preserve"> </w:t>
      </w:r>
      <w:r w:rsidR="00DD0BE3">
        <w:rPr>
          <w:rFonts w:ascii="Times New Roman" w:hAnsi="Times New Roman"/>
          <w:sz w:val="24"/>
          <w:szCs w:val="24"/>
        </w:rPr>
        <w:t xml:space="preserve">(existing APS 112) </w:t>
      </w:r>
      <w:r>
        <w:rPr>
          <w:rFonts w:ascii="Times New Roman" w:hAnsi="Times New Roman"/>
          <w:sz w:val="24"/>
          <w:szCs w:val="24"/>
        </w:rPr>
        <w:t xml:space="preserve">made </w:t>
      </w:r>
      <w:r w:rsidRPr="009927BF">
        <w:rPr>
          <w:rFonts w:ascii="Times New Roman" w:hAnsi="Times New Roman"/>
          <w:sz w:val="24"/>
          <w:szCs w:val="24"/>
        </w:rPr>
        <w:t>under Banking (prudential standard) determination No.</w:t>
      </w:r>
      <w:r>
        <w:rPr>
          <w:rFonts w:ascii="Times New Roman" w:hAnsi="Times New Roman"/>
          <w:sz w:val="24"/>
          <w:szCs w:val="24"/>
        </w:rPr>
        <w:t xml:space="preserve"> 5</w:t>
      </w:r>
      <w:r w:rsidRPr="009927BF">
        <w:rPr>
          <w:rFonts w:ascii="Times New Roman" w:hAnsi="Times New Roman"/>
          <w:sz w:val="24"/>
          <w:szCs w:val="24"/>
        </w:rPr>
        <w:t xml:space="preserve"> of 20</w:t>
      </w:r>
      <w:r>
        <w:rPr>
          <w:rFonts w:ascii="Times New Roman" w:hAnsi="Times New Roman"/>
          <w:sz w:val="24"/>
          <w:szCs w:val="24"/>
        </w:rPr>
        <w:t xml:space="preserve">12 and </w:t>
      </w:r>
      <w:r w:rsidRPr="002C6D26">
        <w:rPr>
          <w:rFonts w:ascii="Times New Roman" w:hAnsi="Times New Roman"/>
          <w:sz w:val="24"/>
          <w:szCs w:val="24"/>
        </w:rPr>
        <w:t xml:space="preserve">determines </w:t>
      </w:r>
      <w:r>
        <w:rPr>
          <w:rFonts w:ascii="Times New Roman" w:hAnsi="Times New Roman"/>
          <w:sz w:val="24"/>
          <w:szCs w:val="24"/>
        </w:rPr>
        <w:t xml:space="preserve">a new </w:t>
      </w:r>
      <w:r w:rsidRPr="00E9695A">
        <w:rPr>
          <w:rFonts w:ascii="Times New Roman" w:hAnsi="Times New Roman"/>
          <w:i/>
          <w:sz w:val="24"/>
          <w:szCs w:val="24"/>
        </w:rPr>
        <w:t>Prudential Standard APS 112 Capital Adequacy: Standardised Approach to Credit Risk</w:t>
      </w:r>
      <w:r w:rsidRPr="00E969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(APS 112).</w:t>
      </w:r>
    </w:p>
    <w:p w14:paraId="7183B473" w14:textId="56C81C40" w:rsidR="00246723" w:rsidRDefault="00AC7A56" w:rsidP="00D85E77">
      <w:pPr>
        <w:widowControl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instruments commence on</w:t>
      </w:r>
      <w:r w:rsidR="001F295F">
        <w:rPr>
          <w:rFonts w:ascii="Times New Roman" w:hAnsi="Times New Roman"/>
          <w:sz w:val="24"/>
          <w:szCs w:val="24"/>
        </w:rPr>
        <w:t xml:space="preserve"> 1 July 2019</w:t>
      </w:r>
      <w:r w:rsidRPr="002C6D2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</w:p>
    <w:p w14:paraId="64AE87C7" w14:textId="77777777" w:rsidR="002436BD" w:rsidRDefault="002436BD" w:rsidP="00D85E77">
      <w:pPr>
        <w:pStyle w:val="Heading"/>
        <w:keepNext/>
        <w:numPr>
          <w:ilvl w:val="0"/>
          <w:numId w:val="2"/>
        </w:numPr>
        <w:spacing w:after="240"/>
        <w:ind w:left="0" w:firstLine="0"/>
        <w:outlineLvl w:val="0"/>
        <w:rPr>
          <w:rFonts w:ascii="Times New Roman" w:hAnsi="Times New Roman"/>
          <w:sz w:val="24"/>
          <w:szCs w:val="24"/>
        </w:rPr>
      </w:pPr>
      <w:r w:rsidRPr="002C6D26">
        <w:rPr>
          <w:rFonts w:ascii="Times New Roman" w:hAnsi="Times New Roman"/>
          <w:sz w:val="24"/>
          <w:szCs w:val="24"/>
        </w:rPr>
        <w:t>Background</w:t>
      </w:r>
    </w:p>
    <w:p w14:paraId="169BCA04" w14:textId="4097F4E2" w:rsidR="00310CF8" w:rsidRDefault="00DD0BE3" w:rsidP="00D85E77">
      <w:pPr>
        <w:pStyle w:val="Heading"/>
        <w:keepNext/>
        <w:spacing w:after="240"/>
        <w:outlineLvl w:val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APRA’s prudential framework include</w:t>
      </w:r>
      <w:r w:rsidR="00C277A6">
        <w:rPr>
          <w:rFonts w:ascii="Times New Roman" w:hAnsi="Times New Roman"/>
          <w:b w:val="0"/>
          <w:sz w:val="24"/>
          <w:szCs w:val="24"/>
        </w:rPr>
        <w:t>s</w:t>
      </w:r>
      <w:r>
        <w:rPr>
          <w:rFonts w:ascii="Times New Roman" w:hAnsi="Times New Roman"/>
          <w:b w:val="0"/>
          <w:sz w:val="24"/>
          <w:szCs w:val="24"/>
        </w:rPr>
        <w:t xml:space="preserve"> a suite of prudential standards that impose capital requirements </w:t>
      </w:r>
      <w:r w:rsidR="00C277A6">
        <w:rPr>
          <w:rFonts w:ascii="Times New Roman" w:hAnsi="Times New Roman"/>
          <w:b w:val="0"/>
          <w:sz w:val="24"/>
          <w:szCs w:val="24"/>
        </w:rPr>
        <w:t>for</w:t>
      </w:r>
      <w:r>
        <w:rPr>
          <w:rFonts w:ascii="Times New Roman" w:hAnsi="Times New Roman"/>
          <w:b w:val="0"/>
          <w:sz w:val="24"/>
          <w:szCs w:val="24"/>
        </w:rPr>
        <w:t xml:space="preserve"> ADIs to ensure they hold sufficient capital to address risks associated with their operations.</w:t>
      </w:r>
      <w:r w:rsidR="00B27F38">
        <w:rPr>
          <w:rFonts w:ascii="Times New Roman" w:hAnsi="Times New Roman"/>
          <w:b w:val="0"/>
          <w:sz w:val="24"/>
          <w:szCs w:val="24"/>
        </w:rPr>
        <w:t xml:space="preserve"> One of these standards is t</w:t>
      </w:r>
      <w:r>
        <w:rPr>
          <w:rFonts w:ascii="Times New Roman" w:hAnsi="Times New Roman"/>
          <w:b w:val="0"/>
          <w:sz w:val="24"/>
          <w:szCs w:val="24"/>
        </w:rPr>
        <w:t>he existing APS 112</w:t>
      </w:r>
      <w:r w:rsidR="00B27F38">
        <w:rPr>
          <w:rFonts w:ascii="Times New Roman" w:hAnsi="Times New Roman"/>
          <w:b w:val="0"/>
          <w:sz w:val="24"/>
          <w:szCs w:val="24"/>
        </w:rPr>
        <w:t xml:space="preserve"> which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B27F38">
        <w:rPr>
          <w:rFonts w:ascii="Times New Roman" w:hAnsi="Times New Roman"/>
          <w:b w:val="0"/>
          <w:sz w:val="24"/>
          <w:szCs w:val="24"/>
        </w:rPr>
        <w:t xml:space="preserve">includes requirements in relation to counterparty credit risk – being the risk that an entity suffers a loss due to a counterparty defaulting on its obligations under a contract. ADIs </w:t>
      </w:r>
      <w:r w:rsidR="00016964">
        <w:rPr>
          <w:rFonts w:ascii="Times New Roman" w:hAnsi="Times New Roman"/>
          <w:b w:val="0"/>
          <w:sz w:val="24"/>
          <w:szCs w:val="24"/>
        </w:rPr>
        <w:t xml:space="preserve">are required to hold capital for counterparty credit risk that arises from certain types of transactions – including, over-the-counter (OTC) </w:t>
      </w:r>
      <w:r w:rsidR="00016964">
        <w:rPr>
          <w:rFonts w:ascii="Times New Roman" w:hAnsi="Times New Roman"/>
          <w:b w:val="0"/>
          <w:sz w:val="24"/>
          <w:szCs w:val="24"/>
        </w:rPr>
        <w:lastRenderedPageBreak/>
        <w:t>derivative transactions, exchange traded derivative transactions, securities financing transactions and long</w:t>
      </w:r>
      <w:r w:rsidR="001A1C63">
        <w:rPr>
          <w:rFonts w:ascii="Times New Roman" w:hAnsi="Times New Roman"/>
          <w:b w:val="0"/>
          <w:sz w:val="24"/>
          <w:szCs w:val="24"/>
        </w:rPr>
        <w:t xml:space="preserve"> </w:t>
      </w:r>
      <w:r w:rsidR="00016964">
        <w:rPr>
          <w:rFonts w:ascii="Times New Roman" w:hAnsi="Times New Roman"/>
          <w:b w:val="0"/>
          <w:sz w:val="24"/>
          <w:szCs w:val="24"/>
        </w:rPr>
        <w:t>settlement transactions.</w:t>
      </w:r>
    </w:p>
    <w:p w14:paraId="16650CCE" w14:textId="15503EDC" w:rsidR="00B27F38" w:rsidRPr="00470375" w:rsidRDefault="00260680" w:rsidP="00D85E77">
      <w:pPr>
        <w:pStyle w:val="Heading"/>
        <w:keepNext/>
        <w:spacing w:after="240"/>
        <w:outlineLvl w:val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In 2014, the Basel Committee on Banking Supervision (Basel Committee) – which is the international standard setter for banks – finalised revisions to its framework relating to the measurement of counterparty credit risk exposures as set out in </w:t>
      </w:r>
      <w:r w:rsidRPr="00260680">
        <w:rPr>
          <w:rFonts w:ascii="Times New Roman" w:hAnsi="Times New Roman"/>
          <w:b w:val="0"/>
          <w:i/>
          <w:sz w:val="24"/>
          <w:szCs w:val="24"/>
        </w:rPr>
        <w:t>The standardised approach for measuring counterparty credit risk exposures</w:t>
      </w:r>
      <w:r>
        <w:rPr>
          <w:rFonts w:ascii="Times New Roman" w:hAnsi="Times New Roman"/>
          <w:b w:val="0"/>
          <w:sz w:val="24"/>
          <w:szCs w:val="24"/>
        </w:rPr>
        <w:t xml:space="preserve"> (March 2014).</w:t>
      </w:r>
      <w:r w:rsidR="00C277A6">
        <w:rPr>
          <w:rFonts w:ascii="Times New Roman" w:hAnsi="Times New Roman"/>
          <w:b w:val="0"/>
          <w:sz w:val="24"/>
          <w:szCs w:val="24"/>
        </w:rPr>
        <w:t xml:space="preserve"> The revisions introduced</w:t>
      </w:r>
      <w:r w:rsidR="005D3013">
        <w:rPr>
          <w:rFonts w:ascii="Times New Roman" w:hAnsi="Times New Roman"/>
          <w:b w:val="0"/>
          <w:sz w:val="24"/>
          <w:szCs w:val="24"/>
        </w:rPr>
        <w:t xml:space="preserve"> a new non-internal model for measuring counterparty credit risk exposures (SA-CCR) </w:t>
      </w:r>
      <w:r w:rsidR="00C277A6">
        <w:rPr>
          <w:rFonts w:ascii="Times New Roman" w:hAnsi="Times New Roman"/>
          <w:b w:val="0"/>
          <w:sz w:val="24"/>
          <w:szCs w:val="24"/>
        </w:rPr>
        <w:t>which</w:t>
      </w:r>
      <w:r w:rsidR="005D3013">
        <w:rPr>
          <w:rFonts w:ascii="Times New Roman" w:hAnsi="Times New Roman"/>
          <w:b w:val="0"/>
          <w:sz w:val="24"/>
          <w:szCs w:val="24"/>
        </w:rPr>
        <w:t xml:space="preserve"> is intended to replace existing non-model approaches in the Basel framework. </w:t>
      </w:r>
      <w:r w:rsidR="00C277A6">
        <w:rPr>
          <w:rFonts w:ascii="Times New Roman" w:hAnsi="Times New Roman"/>
          <w:b w:val="0"/>
          <w:sz w:val="24"/>
          <w:szCs w:val="24"/>
        </w:rPr>
        <w:t xml:space="preserve">As part of updating its requirements for counterparty credit risk, APRA </w:t>
      </w:r>
      <w:r w:rsidR="005059CC">
        <w:rPr>
          <w:rFonts w:ascii="Times New Roman" w:hAnsi="Times New Roman"/>
          <w:b w:val="0"/>
          <w:sz w:val="24"/>
          <w:szCs w:val="24"/>
        </w:rPr>
        <w:t xml:space="preserve">has </w:t>
      </w:r>
      <w:r w:rsidR="00C277A6">
        <w:rPr>
          <w:rFonts w:ascii="Times New Roman" w:hAnsi="Times New Roman"/>
          <w:b w:val="0"/>
          <w:sz w:val="24"/>
          <w:szCs w:val="24"/>
        </w:rPr>
        <w:t>introduce</w:t>
      </w:r>
      <w:r w:rsidR="005059CC">
        <w:rPr>
          <w:rFonts w:ascii="Times New Roman" w:hAnsi="Times New Roman"/>
          <w:b w:val="0"/>
          <w:sz w:val="24"/>
          <w:szCs w:val="24"/>
        </w:rPr>
        <w:t>d</w:t>
      </w:r>
      <w:r w:rsidR="00C277A6">
        <w:rPr>
          <w:rFonts w:ascii="Times New Roman" w:hAnsi="Times New Roman"/>
          <w:b w:val="0"/>
          <w:sz w:val="24"/>
          <w:szCs w:val="24"/>
        </w:rPr>
        <w:t xml:space="preserve"> a dedicated prudential standard on this topic – APS 180 </w:t>
      </w:r>
      <w:r w:rsidR="00276CBE">
        <w:rPr>
          <w:rFonts w:ascii="Times New Roman" w:hAnsi="Times New Roman"/>
          <w:b w:val="0"/>
          <w:sz w:val="24"/>
          <w:szCs w:val="24"/>
        </w:rPr>
        <w:t xml:space="preserve">– </w:t>
      </w:r>
      <w:r w:rsidR="00C277A6">
        <w:rPr>
          <w:rFonts w:ascii="Times New Roman" w:hAnsi="Times New Roman"/>
          <w:b w:val="0"/>
          <w:sz w:val="24"/>
          <w:szCs w:val="24"/>
        </w:rPr>
        <w:t xml:space="preserve">which will incorporate relevant existing requirements in APS 112. </w:t>
      </w:r>
    </w:p>
    <w:p w14:paraId="71A1C46E" w14:textId="77777777" w:rsidR="002436BD" w:rsidRDefault="002436BD" w:rsidP="00D85E77">
      <w:pPr>
        <w:pStyle w:val="Heading"/>
        <w:keepNext/>
        <w:numPr>
          <w:ilvl w:val="0"/>
          <w:numId w:val="2"/>
        </w:numPr>
        <w:spacing w:after="240"/>
        <w:ind w:left="0" w:firstLine="0"/>
        <w:outlineLvl w:val="0"/>
        <w:rPr>
          <w:rFonts w:ascii="Times New Roman" w:hAnsi="Times New Roman"/>
          <w:sz w:val="24"/>
          <w:szCs w:val="24"/>
        </w:rPr>
      </w:pPr>
      <w:bookmarkStart w:id="4" w:name="bkBackground"/>
      <w:bookmarkEnd w:id="4"/>
      <w:r w:rsidRPr="002C6D26">
        <w:rPr>
          <w:rFonts w:ascii="Times New Roman" w:hAnsi="Times New Roman"/>
          <w:sz w:val="24"/>
          <w:szCs w:val="24"/>
        </w:rPr>
        <w:t xml:space="preserve">Purpose </w:t>
      </w:r>
      <w:r w:rsidR="00DF524E">
        <w:rPr>
          <w:rFonts w:ascii="Times New Roman" w:hAnsi="Times New Roman"/>
          <w:sz w:val="24"/>
          <w:szCs w:val="24"/>
        </w:rPr>
        <w:t xml:space="preserve">and operation </w:t>
      </w:r>
      <w:r w:rsidRPr="002C6D26">
        <w:rPr>
          <w:rFonts w:ascii="Times New Roman" w:hAnsi="Times New Roman"/>
          <w:sz w:val="24"/>
          <w:szCs w:val="24"/>
        </w:rPr>
        <w:t>of the instrument</w:t>
      </w:r>
    </w:p>
    <w:p w14:paraId="6EC8D4A6" w14:textId="680A3BD7" w:rsidR="00C93825" w:rsidRDefault="00C93825" w:rsidP="00D85E77">
      <w:pPr>
        <w:pStyle w:val="Heading"/>
        <w:spacing w:after="240"/>
        <w:rPr>
          <w:rFonts w:ascii="Times New Roman" w:hAnsi="Times New Roman"/>
          <w:b w:val="0"/>
          <w:sz w:val="24"/>
          <w:szCs w:val="24"/>
        </w:rPr>
      </w:pPr>
      <w:bookmarkStart w:id="5" w:name="bkPurpose"/>
      <w:bookmarkEnd w:id="5"/>
      <w:r>
        <w:rPr>
          <w:rFonts w:ascii="Times New Roman" w:hAnsi="Times New Roman"/>
          <w:b w:val="0"/>
          <w:i/>
          <w:sz w:val="24"/>
          <w:szCs w:val="24"/>
        </w:rPr>
        <w:t xml:space="preserve">Banking (prudential standard) </w:t>
      </w:r>
      <w:r w:rsidRPr="0062749C">
        <w:rPr>
          <w:rFonts w:ascii="Times New Roman" w:hAnsi="Times New Roman"/>
          <w:b w:val="0"/>
          <w:i/>
          <w:sz w:val="24"/>
          <w:szCs w:val="24"/>
        </w:rPr>
        <w:t xml:space="preserve">No </w:t>
      </w:r>
      <w:r w:rsidR="001A1C63" w:rsidRPr="0062749C">
        <w:rPr>
          <w:rFonts w:ascii="Times New Roman" w:hAnsi="Times New Roman"/>
          <w:b w:val="0"/>
          <w:i/>
          <w:sz w:val="24"/>
          <w:szCs w:val="24"/>
        </w:rPr>
        <w:t>1</w:t>
      </w:r>
      <w:r>
        <w:rPr>
          <w:rFonts w:ascii="Times New Roman" w:hAnsi="Times New Roman"/>
          <w:b w:val="0"/>
          <w:i/>
          <w:sz w:val="24"/>
          <w:szCs w:val="24"/>
        </w:rPr>
        <w:t xml:space="preserve"> of 2018</w:t>
      </w:r>
    </w:p>
    <w:p w14:paraId="0F1362B8" w14:textId="6D368276" w:rsidR="008D4169" w:rsidRDefault="008D4169" w:rsidP="00D85E77">
      <w:pPr>
        <w:pStyle w:val="Heading"/>
        <w:spacing w:after="240"/>
        <w:rPr>
          <w:rFonts w:ascii="Times New Roman" w:hAnsi="Times New Roman"/>
          <w:b w:val="0"/>
          <w:sz w:val="24"/>
          <w:szCs w:val="24"/>
        </w:rPr>
      </w:pPr>
      <w:r w:rsidRPr="008D4169">
        <w:rPr>
          <w:rFonts w:ascii="Times New Roman" w:hAnsi="Times New Roman"/>
          <w:b w:val="0"/>
          <w:sz w:val="24"/>
          <w:szCs w:val="24"/>
        </w:rPr>
        <w:t>The purpose of this instrument is to make the new APS 180.</w:t>
      </w:r>
    </w:p>
    <w:p w14:paraId="58E89204" w14:textId="626368DB" w:rsidR="008D4169" w:rsidRDefault="008D4169" w:rsidP="00D85E77">
      <w:pPr>
        <w:pStyle w:val="Heading"/>
        <w:spacing w:after="24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APS 180 is a new prudential standard that requires an ADI to adopt risk management practices and hold sufficient regulatory capital for counterparty credit risk exposures arising from over-the-counter derivative transactions, exchange-traded derivative transactions, securities financing transactions and long</w:t>
      </w:r>
      <w:r w:rsidR="00342C44">
        <w:rPr>
          <w:rFonts w:ascii="Times New Roman" w:hAnsi="Times New Roman"/>
          <w:b w:val="0"/>
          <w:sz w:val="24"/>
          <w:szCs w:val="24"/>
        </w:rPr>
        <w:t xml:space="preserve"> settlement transactions.</w:t>
      </w:r>
    </w:p>
    <w:p w14:paraId="26BF0A0A" w14:textId="4E39B432" w:rsidR="00F75E3A" w:rsidRDefault="00F75E3A" w:rsidP="00D85E77">
      <w:pPr>
        <w:pStyle w:val="Heading"/>
        <w:spacing w:after="24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This instrument consolidates the Basel Committee’s framework for counterparty credit risk, including existing requirements in APS 112, into a single prudential standard.</w:t>
      </w:r>
      <w:r w:rsidR="00F8129B">
        <w:rPr>
          <w:rFonts w:ascii="Times New Roman" w:hAnsi="Times New Roman"/>
          <w:b w:val="0"/>
          <w:sz w:val="24"/>
          <w:szCs w:val="24"/>
        </w:rPr>
        <w:t xml:space="preserve">  APS 180 implements the SA-CCR which will apply to ADIs who are accredited to use the internal ratings-based approach (IRB) to credit risk while all other ADIs will be able to use a simplified approach – the adjusted current exposure method for measuring counterparty credit risk.</w:t>
      </w:r>
    </w:p>
    <w:p w14:paraId="261D01B5" w14:textId="149DFE60" w:rsidR="00F8129B" w:rsidRDefault="00F8129B" w:rsidP="00F8129B">
      <w:pPr>
        <w:pStyle w:val="Heading"/>
        <w:spacing w:after="240"/>
        <w:rPr>
          <w:rFonts w:ascii="Times New Roman" w:hAnsi="Times New Roman"/>
          <w:b w:val="0"/>
          <w:sz w:val="24"/>
          <w:szCs w:val="24"/>
        </w:rPr>
      </w:pPr>
      <w:r w:rsidRPr="00C93825">
        <w:rPr>
          <w:rFonts w:ascii="Times New Roman" w:hAnsi="Times New Roman"/>
          <w:b w:val="0"/>
          <w:i/>
          <w:sz w:val="24"/>
          <w:szCs w:val="24"/>
        </w:rPr>
        <w:t>Banking (prudenti</w:t>
      </w:r>
      <w:r>
        <w:rPr>
          <w:rFonts w:ascii="Times New Roman" w:hAnsi="Times New Roman"/>
          <w:b w:val="0"/>
          <w:i/>
          <w:sz w:val="24"/>
          <w:szCs w:val="24"/>
        </w:rPr>
        <w:t xml:space="preserve">al standard) determination </w:t>
      </w:r>
      <w:r w:rsidRPr="0062749C">
        <w:rPr>
          <w:rFonts w:ascii="Times New Roman" w:hAnsi="Times New Roman"/>
          <w:b w:val="0"/>
          <w:i/>
          <w:sz w:val="24"/>
          <w:szCs w:val="24"/>
        </w:rPr>
        <w:t xml:space="preserve">No. </w:t>
      </w:r>
      <w:r w:rsidR="001A1C63" w:rsidRPr="0062749C">
        <w:rPr>
          <w:rFonts w:ascii="Times New Roman" w:hAnsi="Times New Roman"/>
          <w:b w:val="0"/>
          <w:i/>
          <w:sz w:val="24"/>
          <w:szCs w:val="24"/>
        </w:rPr>
        <w:t>2</w:t>
      </w:r>
      <w:r w:rsidRPr="00C93825">
        <w:rPr>
          <w:rFonts w:ascii="Times New Roman" w:hAnsi="Times New Roman"/>
          <w:b w:val="0"/>
          <w:i/>
          <w:sz w:val="24"/>
          <w:szCs w:val="24"/>
        </w:rPr>
        <w:t xml:space="preserve"> of 2018</w:t>
      </w:r>
    </w:p>
    <w:p w14:paraId="41D749DB" w14:textId="77777777" w:rsidR="00F8129B" w:rsidRDefault="00F8129B" w:rsidP="00F8129B">
      <w:pPr>
        <w:pStyle w:val="Heading"/>
        <w:spacing w:after="24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The purpose of this instrument is to revoke existing APS 112 and replace it with a new version of APS 112.</w:t>
      </w:r>
    </w:p>
    <w:p w14:paraId="7B392CDF" w14:textId="77777777" w:rsidR="00F8129B" w:rsidRDefault="00F8129B" w:rsidP="00F8129B">
      <w:pPr>
        <w:pStyle w:val="Heading"/>
        <w:spacing w:after="24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APS 112 requires an ADI to hold sufficient regulatory capital against its credit risk exposures, including both on-balance sheet assets and off-balance sheet exposures. </w:t>
      </w:r>
    </w:p>
    <w:p w14:paraId="72479F89" w14:textId="2A58B538" w:rsidR="00F8129B" w:rsidRPr="008D4169" w:rsidRDefault="00F8129B" w:rsidP="00D85E77">
      <w:pPr>
        <w:pStyle w:val="Heading"/>
        <w:spacing w:after="24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lastRenderedPageBreak/>
        <w:t>This instrument removes existing counterparty credit risk requirements contained within APS 112, as they have been moved to the new APS 180.</w:t>
      </w:r>
    </w:p>
    <w:p w14:paraId="152DD883" w14:textId="3DCCD6B9" w:rsidR="005B0BAF" w:rsidRDefault="005B0BAF" w:rsidP="005B0BAF">
      <w:pPr>
        <w:pStyle w:val="Heading"/>
        <w:spacing w:after="240"/>
        <w:rPr>
          <w:rFonts w:ascii="Times New Roman" w:hAnsi="Times New Roman"/>
          <w:b w:val="0"/>
          <w:sz w:val="24"/>
          <w:szCs w:val="24"/>
          <w:highlight w:val="yellow"/>
        </w:rPr>
      </w:pPr>
      <w:r w:rsidRPr="00FD728F">
        <w:rPr>
          <w:rFonts w:ascii="Times New Roman" w:hAnsi="Times New Roman"/>
          <w:b w:val="0"/>
          <w:sz w:val="24"/>
          <w:szCs w:val="24"/>
        </w:rPr>
        <w:t xml:space="preserve">Where </w:t>
      </w:r>
      <w:r w:rsidR="00D43CC6">
        <w:rPr>
          <w:rFonts w:ascii="Times New Roman" w:hAnsi="Times New Roman"/>
          <w:b w:val="0"/>
          <w:sz w:val="24"/>
          <w:szCs w:val="24"/>
        </w:rPr>
        <w:t>APS 112 or APS 180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AA1493">
        <w:rPr>
          <w:rFonts w:ascii="Times New Roman" w:hAnsi="Times New Roman"/>
          <w:b w:val="0"/>
          <w:sz w:val="24"/>
          <w:szCs w:val="24"/>
        </w:rPr>
        <w:t>refers to</w:t>
      </w:r>
      <w:r w:rsidRPr="00FD728F">
        <w:rPr>
          <w:rFonts w:ascii="Times New Roman" w:hAnsi="Times New Roman"/>
          <w:b w:val="0"/>
          <w:sz w:val="24"/>
          <w:szCs w:val="24"/>
        </w:rPr>
        <w:t xml:space="preserve"> </w:t>
      </w:r>
      <w:r w:rsidR="009B2829">
        <w:rPr>
          <w:rFonts w:ascii="Times New Roman" w:hAnsi="Times New Roman"/>
          <w:b w:val="0"/>
          <w:sz w:val="24"/>
          <w:szCs w:val="24"/>
        </w:rPr>
        <w:t>an Act, Regulation or</w:t>
      </w:r>
      <w:r w:rsidRPr="00FD728F">
        <w:rPr>
          <w:rFonts w:ascii="Times New Roman" w:hAnsi="Times New Roman"/>
          <w:b w:val="0"/>
          <w:sz w:val="24"/>
          <w:szCs w:val="24"/>
        </w:rPr>
        <w:t xml:space="preserve"> prudential standard, this is a reference to the </w:t>
      </w:r>
      <w:r w:rsidR="00AA1493">
        <w:rPr>
          <w:rFonts w:ascii="Times New Roman" w:hAnsi="Times New Roman"/>
          <w:b w:val="0"/>
          <w:sz w:val="24"/>
          <w:szCs w:val="24"/>
        </w:rPr>
        <w:t>document</w:t>
      </w:r>
      <w:r w:rsidRPr="00FD728F">
        <w:rPr>
          <w:rFonts w:ascii="Times New Roman" w:hAnsi="Times New Roman"/>
          <w:b w:val="0"/>
          <w:sz w:val="24"/>
          <w:szCs w:val="24"/>
        </w:rPr>
        <w:t xml:space="preserve"> as it exists from time to time.</w:t>
      </w:r>
      <w:r w:rsidR="009B475E">
        <w:rPr>
          <w:rFonts w:ascii="Times New Roman" w:hAnsi="Times New Roman"/>
          <w:b w:val="0"/>
          <w:sz w:val="24"/>
          <w:szCs w:val="24"/>
        </w:rPr>
        <w:t xml:space="preserve"> These </w:t>
      </w:r>
      <w:r w:rsidR="00703CFA">
        <w:rPr>
          <w:rFonts w:ascii="Times New Roman" w:hAnsi="Times New Roman"/>
          <w:b w:val="0"/>
          <w:sz w:val="24"/>
          <w:szCs w:val="24"/>
        </w:rPr>
        <w:t>documents</w:t>
      </w:r>
      <w:r w:rsidR="009B475E">
        <w:rPr>
          <w:rFonts w:ascii="Times New Roman" w:hAnsi="Times New Roman"/>
          <w:b w:val="0"/>
          <w:sz w:val="24"/>
          <w:szCs w:val="24"/>
        </w:rPr>
        <w:t xml:space="preserve"> are available on the Federal Register of Legislation at </w:t>
      </w:r>
      <w:hyperlink r:id="rId13" w:history="1">
        <w:r w:rsidR="009B475E" w:rsidRPr="001566AE">
          <w:rPr>
            <w:rStyle w:val="Hyperlink"/>
            <w:rFonts w:ascii="Times New Roman" w:hAnsi="Times New Roman"/>
            <w:b w:val="0"/>
            <w:sz w:val="24"/>
            <w:szCs w:val="24"/>
          </w:rPr>
          <w:t>www.legislation.gov.au</w:t>
        </w:r>
      </w:hyperlink>
      <w:r w:rsidR="009B475E">
        <w:rPr>
          <w:rFonts w:ascii="Times New Roman" w:hAnsi="Times New Roman"/>
          <w:b w:val="0"/>
          <w:sz w:val="24"/>
          <w:szCs w:val="24"/>
        </w:rPr>
        <w:t xml:space="preserve">. </w:t>
      </w:r>
    </w:p>
    <w:p w14:paraId="63BA98A8" w14:textId="77777777" w:rsidR="002436BD" w:rsidRDefault="002436BD" w:rsidP="00D85E77">
      <w:pPr>
        <w:pStyle w:val="Heading"/>
        <w:numPr>
          <w:ilvl w:val="0"/>
          <w:numId w:val="2"/>
        </w:numPr>
        <w:spacing w:after="240"/>
        <w:rPr>
          <w:rFonts w:ascii="Times New Roman" w:hAnsi="Times New Roman"/>
          <w:sz w:val="24"/>
          <w:szCs w:val="24"/>
        </w:rPr>
      </w:pPr>
      <w:bookmarkStart w:id="6" w:name="bkoperation"/>
      <w:bookmarkStart w:id="7" w:name="bkConsultationNo"/>
      <w:bookmarkEnd w:id="6"/>
      <w:bookmarkEnd w:id="7"/>
      <w:r w:rsidRPr="002C6D26">
        <w:rPr>
          <w:rFonts w:ascii="Times New Roman" w:hAnsi="Times New Roman"/>
          <w:sz w:val="24"/>
          <w:szCs w:val="24"/>
        </w:rPr>
        <w:t>Consultation</w:t>
      </w:r>
    </w:p>
    <w:p w14:paraId="087F51C2" w14:textId="75C5B296" w:rsidR="002436BD" w:rsidRDefault="002436BD" w:rsidP="00D85E77">
      <w:pPr>
        <w:pStyle w:val="Heading"/>
        <w:tabs>
          <w:tab w:val="left" w:pos="360"/>
        </w:tabs>
        <w:spacing w:after="24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APRA undertook </w:t>
      </w:r>
      <w:r w:rsidR="00276CBE">
        <w:rPr>
          <w:rFonts w:ascii="Times New Roman" w:hAnsi="Times New Roman"/>
          <w:b w:val="0"/>
          <w:sz w:val="24"/>
          <w:szCs w:val="24"/>
        </w:rPr>
        <w:t xml:space="preserve">two  rounds of </w:t>
      </w:r>
      <w:r>
        <w:rPr>
          <w:rFonts w:ascii="Times New Roman" w:hAnsi="Times New Roman"/>
          <w:b w:val="0"/>
          <w:sz w:val="24"/>
          <w:szCs w:val="24"/>
        </w:rPr>
        <w:t xml:space="preserve">consultation on its proposed </w:t>
      </w:r>
      <w:r w:rsidR="009B6BA1">
        <w:rPr>
          <w:rFonts w:ascii="Times New Roman" w:hAnsi="Times New Roman"/>
          <w:b w:val="0"/>
          <w:sz w:val="24"/>
          <w:szCs w:val="24"/>
        </w:rPr>
        <w:t>prudential framework for counterparty credit risk for ADIs</w:t>
      </w:r>
      <w:r w:rsidR="006F3324">
        <w:rPr>
          <w:rFonts w:ascii="Times New Roman" w:hAnsi="Times New Roman"/>
          <w:b w:val="0"/>
          <w:sz w:val="24"/>
          <w:szCs w:val="24"/>
        </w:rPr>
        <w:t>, the first</w:t>
      </w:r>
      <w:r w:rsidR="009B6BA1">
        <w:rPr>
          <w:rFonts w:ascii="Times New Roman" w:hAnsi="Times New Roman"/>
          <w:b w:val="0"/>
          <w:sz w:val="24"/>
          <w:szCs w:val="24"/>
        </w:rPr>
        <w:t xml:space="preserve"> </w:t>
      </w:r>
      <w:r w:rsidR="00276CBE">
        <w:rPr>
          <w:rFonts w:ascii="Times New Roman" w:hAnsi="Times New Roman"/>
          <w:b w:val="0"/>
          <w:sz w:val="24"/>
          <w:szCs w:val="24"/>
        </w:rPr>
        <w:t>in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9B6BA1">
        <w:rPr>
          <w:rFonts w:ascii="Times New Roman" w:hAnsi="Times New Roman"/>
          <w:b w:val="0"/>
          <w:sz w:val="24"/>
          <w:szCs w:val="24"/>
        </w:rPr>
        <w:t>September 2016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9B6BA1">
        <w:rPr>
          <w:rFonts w:ascii="Times New Roman" w:hAnsi="Times New Roman"/>
          <w:b w:val="0"/>
          <w:sz w:val="24"/>
          <w:szCs w:val="24"/>
        </w:rPr>
        <w:t xml:space="preserve">and </w:t>
      </w:r>
      <w:r w:rsidR="006F3324">
        <w:rPr>
          <w:rFonts w:ascii="Times New Roman" w:hAnsi="Times New Roman"/>
          <w:b w:val="0"/>
          <w:sz w:val="24"/>
          <w:szCs w:val="24"/>
        </w:rPr>
        <w:t xml:space="preserve">the second in </w:t>
      </w:r>
      <w:r w:rsidR="009B6BA1">
        <w:rPr>
          <w:rFonts w:ascii="Times New Roman" w:hAnsi="Times New Roman"/>
          <w:b w:val="0"/>
          <w:sz w:val="24"/>
          <w:szCs w:val="24"/>
        </w:rPr>
        <w:t>August 2017</w:t>
      </w:r>
      <w:r>
        <w:rPr>
          <w:rFonts w:ascii="Times New Roman" w:hAnsi="Times New Roman"/>
          <w:b w:val="0"/>
          <w:sz w:val="24"/>
          <w:szCs w:val="24"/>
        </w:rPr>
        <w:t xml:space="preserve">. Submissions were received from, and discussions held with, numerous ADIs, industry bodies and other interested parties. </w:t>
      </w:r>
      <w:r w:rsidR="00045605">
        <w:rPr>
          <w:rFonts w:ascii="Times New Roman" w:hAnsi="Times New Roman"/>
          <w:b w:val="0"/>
          <w:sz w:val="24"/>
          <w:szCs w:val="24"/>
        </w:rPr>
        <w:t>As part of the September 2016 consultation, APRA also invited views from industry</w:t>
      </w:r>
      <w:r w:rsidR="00ED596E">
        <w:rPr>
          <w:rFonts w:ascii="Times New Roman" w:hAnsi="Times New Roman"/>
          <w:b w:val="0"/>
          <w:sz w:val="24"/>
          <w:szCs w:val="24"/>
        </w:rPr>
        <w:t xml:space="preserve"> on the potential introduction of an alternative approach for measuring counterparty credit risk exposures for ADIs with immaterial levels of such exposures.</w:t>
      </w:r>
    </w:p>
    <w:p w14:paraId="45B7EC4A" w14:textId="77777777" w:rsidR="00B27C5F" w:rsidRDefault="0098543A" w:rsidP="00D85E77">
      <w:pPr>
        <w:pStyle w:val="Heading"/>
        <w:tabs>
          <w:tab w:val="left" w:pos="360"/>
        </w:tabs>
        <w:spacing w:after="24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APRA received five submissions in response to its initial discussion paper. </w:t>
      </w:r>
      <w:r w:rsidR="002B3D71">
        <w:rPr>
          <w:rFonts w:ascii="Times New Roman" w:hAnsi="Times New Roman"/>
          <w:b w:val="0"/>
          <w:sz w:val="24"/>
          <w:szCs w:val="24"/>
        </w:rPr>
        <w:t xml:space="preserve">Submissions were generally supportive of APRA’s proposals but raised concerns regarding implementation timing, scope of application of the SA-CCR amongst other matters. </w:t>
      </w:r>
      <w:r w:rsidR="00276CBE">
        <w:rPr>
          <w:rFonts w:ascii="Times New Roman" w:hAnsi="Times New Roman"/>
          <w:b w:val="0"/>
          <w:sz w:val="24"/>
          <w:szCs w:val="24"/>
        </w:rPr>
        <w:t>S</w:t>
      </w:r>
      <w:r w:rsidR="00D511D3">
        <w:rPr>
          <w:rFonts w:ascii="Times New Roman" w:hAnsi="Times New Roman"/>
          <w:b w:val="0"/>
          <w:sz w:val="24"/>
          <w:szCs w:val="24"/>
        </w:rPr>
        <w:t xml:space="preserve">ubmissions </w:t>
      </w:r>
      <w:r w:rsidR="00276CBE">
        <w:rPr>
          <w:rFonts w:ascii="Times New Roman" w:hAnsi="Times New Roman"/>
          <w:b w:val="0"/>
          <w:sz w:val="24"/>
          <w:szCs w:val="24"/>
        </w:rPr>
        <w:t xml:space="preserve">also </w:t>
      </w:r>
      <w:r w:rsidR="00D511D3">
        <w:rPr>
          <w:rFonts w:ascii="Times New Roman" w:hAnsi="Times New Roman"/>
          <w:b w:val="0"/>
          <w:sz w:val="24"/>
          <w:szCs w:val="24"/>
        </w:rPr>
        <w:t>expressed support for consideration of a simple</w:t>
      </w:r>
      <w:r w:rsidR="00B27C5F">
        <w:rPr>
          <w:rFonts w:ascii="Times New Roman" w:hAnsi="Times New Roman"/>
          <w:b w:val="0"/>
          <w:sz w:val="24"/>
          <w:szCs w:val="24"/>
        </w:rPr>
        <w:t>,</w:t>
      </w:r>
      <w:r w:rsidR="00D511D3">
        <w:rPr>
          <w:rFonts w:ascii="Times New Roman" w:hAnsi="Times New Roman"/>
          <w:b w:val="0"/>
          <w:sz w:val="24"/>
          <w:szCs w:val="24"/>
        </w:rPr>
        <w:t xml:space="preserve"> conservative </w:t>
      </w:r>
      <w:r w:rsidR="00303C24">
        <w:rPr>
          <w:rFonts w:ascii="Times New Roman" w:hAnsi="Times New Roman"/>
          <w:b w:val="0"/>
          <w:sz w:val="24"/>
          <w:szCs w:val="24"/>
        </w:rPr>
        <w:t xml:space="preserve">alternative methodology for ADIs with immaterial counterparty credit risk exposures. </w:t>
      </w:r>
    </w:p>
    <w:p w14:paraId="17702219" w14:textId="3070DFD0" w:rsidR="002436BD" w:rsidRDefault="00ED596E" w:rsidP="00D85E77">
      <w:pPr>
        <w:pStyle w:val="Heading"/>
        <w:tabs>
          <w:tab w:val="left" w:pos="360"/>
        </w:tabs>
        <w:spacing w:after="24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APRA, in its August 2017 discussion paper, proposed a simplified counterparty credit risk measurement approach for those ADIs who calculate credit risk using a standardised approach to credit risk – being the majority of ADIs.</w:t>
      </w:r>
      <w:r w:rsidR="00B27C5F">
        <w:rPr>
          <w:rFonts w:ascii="Times New Roman" w:hAnsi="Times New Roman"/>
          <w:b w:val="0"/>
          <w:sz w:val="24"/>
          <w:szCs w:val="24"/>
        </w:rPr>
        <w:t xml:space="preserve"> Seven submissions were received on the August 2017 discussion paper. Submissions raised various issues, some of a general nature and some covering technical aspects of the proposals set out in the discussion paper and accompanying prudential and reporting standards.</w:t>
      </w:r>
    </w:p>
    <w:p w14:paraId="43D8C969" w14:textId="5CE77EE0" w:rsidR="002436BD" w:rsidRDefault="00ED596E" w:rsidP="00D85E77">
      <w:pPr>
        <w:pStyle w:val="Heading"/>
        <w:tabs>
          <w:tab w:val="left" w:pos="360"/>
        </w:tabs>
        <w:spacing w:after="24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The</w:t>
      </w:r>
      <w:r w:rsidR="002436BD">
        <w:rPr>
          <w:rFonts w:ascii="Times New Roman" w:hAnsi="Times New Roman"/>
          <w:b w:val="0"/>
          <w:sz w:val="24"/>
          <w:szCs w:val="24"/>
        </w:rPr>
        <w:t xml:space="preserve"> public discussion papers</w:t>
      </w:r>
      <w:r w:rsidR="00B27C5F">
        <w:rPr>
          <w:rFonts w:ascii="Times New Roman" w:hAnsi="Times New Roman"/>
          <w:b w:val="0"/>
          <w:sz w:val="24"/>
          <w:szCs w:val="24"/>
        </w:rPr>
        <w:t xml:space="preserve"> and other documents</w:t>
      </w:r>
      <w:r w:rsidR="002436BD">
        <w:rPr>
          <w:rFonts w:ascii="Times New Roman" w:hAnsi="Times New Roman"/>
          <w:b w:val="0"/>
          <w:sz w:val="24"/>
          <w:szCs w:val="24"/>
        </w:rPr>
        <w:t xml:space="preserve"> released during the consultation period</w:t>
      </w:r>
      <w:r>
        <w:rPr>
          <w:rFonts w:ascii="Times New Roman" w:hAnsi="Times New Roman"/>
          <w:b w:val="0"/>
          <w:sz w:val="24"/>
          <w:szCs w:val="24"/>
        </w:rPr>
        <w:t xml:space="preserve"> were</w:t>
      </w:r>
      <w:r w:rsidR="002436BD">
        <w:rPr>
          <w:rFonts w:ascii="Times New Roman" w:hAnsi="Times New Roman"/>
          <w:b w:val="0"/>
          <w:sz w:val="24"/>
          <w:szCs w:val="24"/>
        </w:rPr>
        <w:t>:</w:t>
      </w:r>
    </w:p>
    <w:p w14:paraId="6EB3A10D" w14:textId="22A45F07" w:rsidR="002436BD" w:rsidRDefault="00A54C23" w:rsidP="00D85E77">
      <w:pPr>
        <w:pStyle w:val="Heading"/>
        <w:numPr>
          <w:ilvl w:val="0"/>
          <w:numId w:val="3"/>
        </w:numPr>
        <w:spacing w:after="24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September 2016</w:t>
      </w:r>
      <w:r w:rsidR="002436BD" w:rsidRPr="00D85E77">
        <w:rPr>
          <w:rFonts w:ascii="Times New Roman" w:hAnsi="Times New Roman"/>
          <w:b w:val="0"/>
          <w:sz w:val="24"/>
          <w:szCs w:val="24"/>
        </w:rPr>
        <w:t xml:space="preserve">: </w:t>
      </w:r>
      <w:r>
        <w:rPr>
          <w:rFonts w:ascii="Times New Roman" w:hAnsi="Times New Roman"/>
          <w:b w:val="0"/>
          <w:sz w:val="24"/>
          <w:szCs w:val="24"/>
        </w:rPr>
        <w:t xml:space="preserve">Discussion Paper </w:t>
      </w:r>
      <w:r>
        <w:rPr>
          <w:rFonts w:ascii="Times New Roman" w:hAnsi="Times New Roman"/>
          <w:b w:val="0"/>
          <w:i/>
          <w:sz w:val="24"/>
          <w:szCs w:val="24"/>
        </w:rPr>
        <w:t>Counterparty credit risk for ADIs</w:t>
      </w:r>
      <w:r w:rsidR="002436BD" w:rsidRPr="00D85E77">
        <w:rPr>
          <w:rFonts w:ascii="Times New Roman" w:hAnsi="Times New Roman"/>
          <w:b w:val="0"/>
          <w:sz w:val="24"/>
          <w:szCs w:val="24"/>
        </w:rPr>
        <w:t xml:space="preserve">; </w:t>
      </w:r>
    </w:p>
    <w:p w14:paraId="5E9D751B" w14:textId="77777777" w:rsidR="0098543A" w:rsidRPr="00A54C23" w:rsidRDefault="0098543A" w:rsidP="0098543A">
      <w:pPr>
        <w:pStyle w:val="Heading"/>
        <w:numPr>
          <w:ilvl w:val="1"/>
          <w:numId w:val="3"/>
        </w:numPr>
        <w:spacing w:after="24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Draft </w:t>
      </w:r>
      <w:r w:rsidRPr="00A54C23">
        <w:rPr>
          <w:rFonts w:ascii="Times New Roman" w:hAnsi="Times New Roman"/>
          <w:b w:val="0"/>
          <w:i/>
          <w:sz w:val="24"/>
          <w:szCs w:val="24"/>
        </w:rPr>
        <w:t>Prudential Standard APS 112 Capital Adequacy: Standardised Approach to Credit Risk</w:t>
      </w:r>
      <w:r w:rsidRPr="00A54C23">
        <w:rPr>
          <w:rFonts w:ascii="Times New Roman" w:hAnsi="Times New Roman"/>
          <w:b w:val="0"/>
          <w:sz w:val="24"/>
          <w:szCs w:val="24"/>
        </w:rPr>
        <w:t xml:space="preserve"> (APS 112);</w:t>
      </w:r>
    </w:p>
    <w:p w14:paraId="410ACEC9" w14:textId="59A27BA0" w:rsidR="0098543A" w:rsidRPr="00D85E77" w:rsidRDefault="0098543A" w:rsidP="0098543A">
      <w:pPr>
        <w:pStyle w:val="Heading"/>
        <w:numPr>
          <w:ilvl w:val="1"/>
          <w:numId w:val="3"/>
        </w:numPr>
        <w:spacing w:after="24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lastRenderedPageBreak/>
        <w:t xml:space="preserve">Draft </w:t>
      </w:r>
      <w:r w:rsidRPr="00A54C23">
        <w:rPr>
          <w:rFonts w:ascii="Times New Roman" w:hAnsi="Times New Roman"/>
          <w:b w:val="0"/>
          <w:i/>
          <w:sz w:val="24"/>
          <w:szCs w:val="24"/>
        </w:rPr>
        <w:t>Prudential Standard APS 180 Capital Adequacy: Counterparty Credit Risk</w:t>
      </w:r>
      <w:r w:rsidRPr="00A54C23">
        <w:rPr>
          <w:rFonts w:ascii="Times New Roman" w:hAnsi="Times New Roman"/>
          <w:b w:val="0"/>
          <w:sz w:val="24"/>
          <w:szCs w:val="24"/>
        </w:rPr>
        <w:t xml:space="preserve"> (APS 180);</w:t>
      </w:r>
    </w:p>
    <w:p w14:paraId="7C365CBD" w14:textId="672644C6" w:rsidR="002436BD" w:rsidRDefault="00A54C23" w:rsidP="00D85E77">
      <w:pPr>
        <w:pStyle w:val="Heading"/>
        <w:numPr>
          <w:ilvl w:val="0"/>
          <w:numId w:val="3"/>
        </w:numPr>
        <w:spacing w:after="24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August 2017</w:t>
      </w:r>
      <w:r w:rsidR="002436BD" w:rsidRPr="00D85E77">
        <w:rPr>
          <w:rFonts w:ascii="Times New Roman" w:hAnsi="Times New Roman"/>
          <w:b w:val="0"/>
          <w:sz w:val="24"/>
          <w:szCs w:val="24"/>
        </w:rPr>
        <w:t xml:space="preserve">: </w:t>
      </w:r>
      <w:r>
        <w:rPr>
          <w:rFonts w:ascii="Times New Roman" w:hAnsi="Times New Roman"/>
          <w:b w:val="0"/>
          <w:sz w:val="24"/>
          <w:szCs w:val="24"/>
        </w:rPr>
        <w:t xml:space="preserve">Discussion Paper </w:t>
      </w:r>
      <w:r w:rsidRPr="00A54C23">
        <w:rPr>
          <w:rFonts w:ascii="Times New Roman" w:hAnsi="Times New Roman"/>
          <w:b w:val="0"/>
          <w:i/>
          <w:sz w:val="24"/>
          <w:szCs w:val="24"/>
        </w:rPr>
        <w:t>Counterparty credit risk for ADIs</w:t>
      </w:r>
      <w:r w:rsidR="002436BD" w:rsidRPr="00D85E77">
        <w:rPr>
          <w:rFonts w:ascii="Times New Roman" w:hAnsi="Times New Roman"/>
          <w:b w:val="0"/>
          <w:sz w:val="24"/>
          <w:szCs w:val="24"/>
        </w:rPr>
        <w:t>; and</w:t>
      </w:r>
    </w:p>
    <w:p w14:paraId="6D9C3605" w14:textId="41788D85" w:rsidR="00A54C23" w:rsidRPr="00A54C23" w:rsidRDefault="00A54C23" w:rsidP="00A54C23">
      <w:pPr>
        <w:pStyle w:val="Heading"/>
        <w:numPr>
          <w:ilvl w:val="1"/>
          <w:numId w:val="3"/>
        </w:numPr>
        <w:spacing w:after="24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Draft </w:t>
      </w:r>
      <w:r w:rsidRPr="00A54C23">
        <w:rPr>
          <w:rFonts w:ascii="Times New Roman" w:hAnsi="Times New Roman"/>
          <w:b w:val="0"/>
          <w:i/>
          <w:sz w:val="24"/>
          <w:szCs w:val="24"/>
        </w:rPr>
        <w:t>Prudential Standard APS 112 Capital Adequacy: Standardised Approach to Credit Risk</w:t>
      </w:r>
      <w:r w:rsidRPr="00A54C23">
        <w:rPr>
          <w:rFonts w:ascii="Times New Roman" w:hAnsi="Times New Roman"/>
          <w:b w:val="0"/>
          <w:sz w:val="24"/>
          <w:szCs w:val="24"/>
        </w:rPr>
        <w:t xml:space="preserve"> (APS 112);</w:t>
      </w:r>
    </w:p>
    <w:p w14:paraId="1CD13D6D" w14:textId="0850E27C" w:rsidR="00A54C23" w:rsidRPr="00A54C23" w:rsidRDefault="00A54C23" w:rsidP="00A54C23">
      <w:pPr>
        <w:pStyle w:val="Heading"/>
        <w:numPr>
          <w:ilvl w:val="1"/>
          <w:numId w:val="3"/>
        </w:numPr>
        <w:spacing w:after="24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Draft </w:t>
      </w:r>
      <w:r w:rsidRPr="00A54C23">
        <w:rPr>
          <w:rFonts w:ascii="Times New Roman" w:hAnsi="Times New Roman"/>
          <w:b w:val="0"/>
          <w:i/>
          <w:sz w:val="24"/>
          <w:szCs w:val="24"/>
        </w:rPr>
        <w:t>Prudential Standard APS 180 Capital Adequacy: Counterparty Credit Risk</w:t>
      </w:r>
      <w:r w:rsidRPr="00A54C23">
        <w:rPr>
          <w:rFonts w:ascii="Times New Roman" w:hAnsi="Times New Roman"/>
          <w:b w:val="0"/>
          <w:sz w:val="24"/>
          <w:szCs w:val="24"/>
        </w:rPr>
        <w:t xml:space="preserve"> (APS 180);</w:t>
      </w:r>
    </w:p>
    <w:p w14:paraId="222E4FBF" w14:textId="53C32A17" w:rsidR="00A54C23" w:rsidRPr="00A54C23" w:rsidRDefault="00A54C23" w:rsidP="00A54C23">
      <w:pPr>
        <w:pStyle w:val="Heading"/>
        <w:numPr>
          <w:ilvl w:val="1"/>
          <w:numId w:val="3"/>
        </w:numPr>
        <w:spacing w:after="24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Draft </w:t>
      </w:r>
      <w:r w:rsidRPr="00A54C23">
        <w:rPr>
          <w:rFonts w:ascii="Times New Roman" w:hAnsi="Times New Roman"/>
          <w:b w:val="0"/>
          <w:i/>
          <w:sz w:val="24"/>
          <w:szCs w:val="24"/>
        </w:rPr>
        <w:t xml:space="preserve">Reporting Standard ARS 112.2 Standardised Credit Risk </w:t>
      </w:r>
      <w:r w:rsidR="00C169AF">
        <w:rPr>
          <w:rFonts w:ascii="Times New Roman" w:hAnsi="Times New Roman"/>
          <w:b w:val="0"/>
          <w:i/>
          <w:sz w:val="24"/>
          <w:szCs w:val="24"/>
        </w:rPr>
        <w:t>—</w:t>
      </w:r>
      <w:r w:rsidRPr="00A54C23">
        <w:rPr>
          <w:rFonts w:ascii="Times New Roman" w:hAnsi="Times New Roman"/>
          <w:b w:val="0"/>
          <w:i/>
          <w:sz w:val="24"/>
          <w:szCs w:val="24"/>
        </w:rPr>
        <w:t xml:space="preserve"> Off-balance Sheet Exposures</w:t>
      </w:r>
      <w:r w:rsidRPr="00A54C23">
        <w:rPr>
          <w:rFonts w:ascii="Times New Roman" w:hAnsi="Times New Roman"/>
          <w:b w:val="0"/>
          <w:sz w:val="24"/>
          <w:szCs w:val="24"/>
        </w:rPr>
        <w:t>;</w:t>
      </w:r>
    </w:p>
    <w:p w14:paraId="65B6215C" w14:textId="3A39BC7A" w:rsidR="00A54C23" w:rsidRPr="00A54C23" w:rsidRDefault="00A54C23" w:rsidP="00A54C23">
      <w:pPr>
        <w:pStyle w:val="Heading"/>
        <w:numPr>
          <w:ilvl w:val="1"/>
          <w:numId w:val="3"/>
        </w:numPr>
        <w:spacing w:after="24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Draft </w:t>
      </w:r>
      <w:r w:rsidRPr="00A54C23">
        <w:rPr>
          <w:rFonts w:ascii="Times New Roman" w:hAnsi="Times New Roman"/>
          <w:b w:val="0"/>
          <w:i/>
          <w:sz w:val="24"/>
          <w:szCs w:val="24"/>
        </w:rPr>
        <w:t>Reporting Standard ARS 118.1 Other Off-balance Sheet Exposures</w:t>
      </w:r>
      <w:r w:rsidRPr="00A54C23">
        <w:rPr>
          <w:rFonts w:ascii="Times New Roman" w:hAnsi="Times New Roman"/>
          <w:b w:val="0"/>
          <w:sz w:val="24"/>
          <w:szCs w:val="24"/>
        </w:rPr>
        <w:t>; and</w:t>
      </w:r>
    </w:p>
    <w:p w14:paraId="295CC60A" w14:textId="0CE396DB" w:rsidR="00A54C23" w:rsidRPr="00D85E77" w:rsidRDefault="00A54C23" w:rsidP="00A54C23">
      <w:pPr>
        <w:pStyle w:val="Heading"/>
        <w:numPr>
          <w:ilvl w:val="1"/>
          <w:numId w:val="3"/>
        </w:numPr>
        <w:spacing w:after="24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Draft </w:t>
      </w:r>
      <w:r w:rsidRPr="00A54C23">
        <w:rPr>
          <w:rFonts w:ascii="Times New Roman" w:hAnsi="Times New Roman"/>
          <w:b w:val="0"/>
          <w:i/>
          <w:sz w:val="24"/>
          <w:szCs w:val="24"/>
        </w:rPr>
        <w:t>Reporting Standard ARS 180.0 Counterparty Credit Risk</w:t>
      </w:r>
      <w:r w:rsidRPr="00A54C23">
        <w:rPr>
          <w:rFonts w:ascii="Times New Roman" w:hAnsi="Times New Roman"/>
          <w:b w:val="0"/>
          <w:sz w:val="24"/>
          <w:szCs w:val="24"/>
        </w:rPr>
        <w:t>.</w:t>
      </w:r>
    </w:p>
    <w:p w14:paraId="447C7920" w14:textId="77777777" w:rsidR="002436BD" w:rsidRDefault="00DF524E" w:rsidP="00D85E77">
      <w:pPr>
        <w:pStyle w:val="Heading"/>
        <w:tabs>
          <w:tab w:val="left" w:pos="360"/>
        </w:tabs>
        <w:spacing w:after="240"/>
        <w:rPr>
          <w:rFonts w:ascii="Times New Roman" w:hAnsi="Times New Roman"/>
          <w:sz w:val="24"/>
          <w:szCs w:val="24"/>
        </w:rPr>
      </w:pPr>
      <w:bookmarkStart w:id="8" w:name="bkConsultation"/>
      <w:bookmarkStart w:id="9" w:name="bkRISNO"/>
      <w:bookmarkStart w:id="10" w:name="bkRIS"/>
      <w:bookmarkEnd w:id="8"/>
      <w:bookmarkEnd w:id="9"/>
      <w:r>
        <w:rPr>
          <w:rFonts w:ascii="Times New Roman" w:hAnsi="Times New Roman"/>
          <w:sz w:val="24"/>
          <w:szCs w:val="24"/>
        </w:rPr>
        <w:t>4</w:t>
      </w:r>
      <w:r w:rsidR="002436BD" w:rsidRPr="002C6D26">
        <w:rPr>
          <w:rFonts w:ascii="Times New Roman" w:hAnsi="Times New Roman"/>
          <w:sz w:val="24"/>
          <w:szCs w:val="24"/>
        </w:rPr>
        <w:t xml:space="preserve">. </w:t>
      </w:r>
      <w:r w:rsidR="002436BD" w:rsidRPr="002C6D26">
        <w:rPr>
          <w:rFonts w:ascii="Times New Roman" w:hAnsi="Times New Roman"/>
          <w:sz w:val="24"/>
          <w:szCs w:val="24"/>
        </w:rPr>
        <w:tab/>
        <w:t>R</w:t>
      </w:r>
      <w:r w:rsidR="002436BD">
        <w:rPr>
          <w:rFonts w:ascii="Times New Roman" w:hAnsi="Times New Roman"/>
          <w:sz w:val="24"/>
          <w:szCs w:val="24"/>
        </w:rPr>
        <w:t xml:space="preserve">egulation </w:t>
      </w:r>
      <w:r w:rsidR="002436BD" w:rsidRPr="002C6D26">
        <w:rPr>
          <w:rFonts w:ascii="Times New Roman" w:hAnsi="Times New Roman"/>
          <w:sz w:val="24"/>
          <w:szCs w:val="24"/>
        </w:rPr>
        <w:t>I</w:t>
      </w:r>
      <w:r w:rsidR="002436BD">
        <w:rPr>
          <w:rFonts w:ascii="Times New Roman" w:hAnsi="Times New Roman"/>
          <w:sz w:val="24"/>
          <w:szCs w:val="24"/>
        </w:rPr>
        <w:t xml:space="preserve">mpact </w:t>
      </w:r>
      <w:r w:rsidR="002436BD" w:rsidRPr="002C6D26">
        <w:rPr>
          <w:rFonts w:ascii="Times New Roman" w:hAnsi="Times New Roman"/>
          <w:sz w:val="24"/>
          <w:szCs w:val="24"/>
        </w:rPr>
        <w:t>S</w:t>
      </w:r>
      <w:r w:rsidR="002436BD">
        <w:rPr>
          <w:rFonts w:ascii="Times New Roman" w:hAnsi="Times New Roman"/>
          <w:sz w:val="24"/>
          <w:szCs w:val="24"/>
        </w:rPr>
        <w:t>tatement</w:t>
      </w:r>
    </w:p>
    <w:p w14:paraId="763F9597" w14:textId="4382A6AB" w:rsidR="002436BD" w:rsidRDefault="002436BD" w:rsidP="00D85E77">
      <w:pPr>
        <w:pStyle w:val="Heading"/>
        <w:spacing w:after="24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A</w:t>
      </w:r>
      <w:r w:rsidR="00B64B2E">
        <w:rPr>
          <w:rFonts w:ascii="Times New Roman" w:hAnsi="Times New Roman"/>
          <w:b w:val="0"/>
          <w:sz w:val="24"/>
          <w:szCs w:val="24"/>
        </w:rPr>
        <w:t>PRA prepared a</w:t>
      </w:r>
      <w:r w:rsidR="00253500">
        <w:rPr>
          <w:rFonts w:ascii="Times New Roman" w:hAnsi="Times New Roman"/>
          <w:b w:val="0"/>
          <w:sz w:val="24"/>
          <w:szCs w:val="24"/>
        </w:rPr>
        <w:t>n independent review, which involved an equivalent process and analysis to that required for a</w:t>
      </w:r>
      <w:r>
        <w:rPr>
          <w:rFonts w:ascii="Times New Roman" w:hAnsi="Times New Roman"/>
          <w:b w:val="0"/>
          <w:sz w:val="24"/>
          <w:szCs w:val="24"/>
        </w:rPr>
        <w:t xml:space="preserve"> Regulation Impact </w:t>
      </w:r>
      <w:r w:rsidR="00253500">
        <w:rPr>
          <w:rFonts w:ascii="Times New Roman" w:hAnsi="Times New Roman"/>
          <w:b w:val="0"/>
          <w:sz w:val="24"/>
          <w:szCs w:val="24"/>
        </w:rPr>
        <w:t>Statement,</w:t>
      </w:r>
      <w:r w:rsidR="00A54C23">
        <w:rPr>
          <w:rFonts w:ascii="Times New Roman" w:hAnsi="Times New Roman"/>
          <w:b w:val="0"/>
          <w:sz w:val="24"/>
          <w:szCs w:val="24"/>
        </w:rPr>
        <w:t xml:space="preserve"> </w:t>
      </w:r>
      <w:r w:rsidR="0030506B">
        <w:rPr>
          <w:rFonts w:ascii="Times New Roman" w:hAnsi="Times New Roman"/>
          <w:b w:val="0"/>
          <w:sz w:val="24"/>
          <w:szCs w:val="24"/>
        </w:rPr>
        <w:t>which has been lodged as supporting material</w:t>
      </w:r>
      <w:r w:rsidR="00A279AF">
        <w:rPr>
          <w:rFonts w:ascii="Times New Roman" w:hAnsi="Times New Roman"/>
          <w:b w:val="0"/>
          <w:sz w:val="24"/>
          <w:szCs w:val="24"/>
        </w:rPr>
        <w:t>.</w:t>
      </w:r>
      <w:bookmarkEnd w:id="10"/>
    </w:p>
    <w:p w14:paraId="63CFBA9D" w14:textId="77777777" w:rsidR="002436BD" w:rsidRPr="00B3165F" w:rsidRDefault="00DF524E" w:rsidP="00D85E77">
      <w:pPr>
        <w:pStyle w:val="Heading"/>
        <w:tabs>
          <w:tab w:val="left" w:pos="360"/>
        </w:tabs>
        <w:spacing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2436BD" w:rsidRPr="00B3165F">
        <w:rPr>
          <w:rFonts w:ascii="Times New Roman" w:hAnsi="Times New Roman"/>
          <w:sz w:val="24"/>
          <w:szCs w:val="24"/>
        </w:rPr>
        <w:t>.</w:t>
      </w:r>
      <w:r w:rsidR="002436BD" w:rsidRPr="00B3165F">
        <w:rPr>
          <w:rFonts w:ascii="Times New Roman" w:hAnsi="Times New Roman"/>
          <w:sz w:val="24"/>
          <w:szCs w:val="24"/>
        </w:rPr>
        <w:tab/>
        <w:t>Statement of compatibility prepared in accordance with Part 3 of the Human Rights (Parliamentary Scrutiny) Act 2011</w:t>
      </w:r>
    </w:p>
    <w:p w14:paraId="33371425" w14:textId="77777777" w:rsidR="002436BD" w:rsidRDefault="0030506B" w:rsidP="00D85E77">
      <w:pPr>
        <w:pStyle w:val="Heading"/>
        <w:spacing w:after="240"/>
        <w:rPr>
          <w:rFonts w:ascii="Times New Roman" w:hAnsi="Times New Roman"/>
          <w:b w:val="0"/>
          <w:sz w:val="24"/>
          <w:szCs w:val="24"/>
        </w:rPr>
      </w:pPr>
      <w:r w:rsidRPr="0030506B">
        <w:rPr>
          <w:rFonts w:ascii="Times New Roman" w:hAnsi="Times New Roman"/>
          <w:b w:val="0"/>
          <w:sz w:val="24"/>
          <w:szCs w:val="24"/>
        </w:rPr>
        <w:t xml:space="preserve">A Statement of compatibility prepared in accordance with Part 3 of the </w:t>
      </w:r>
      <w:r w:rsidRPr="0030506B">
        <w:rPr>
          <w:rFonts w:ascii="Times New Roman" w:hAnsi="Times New Roman"/>
          <w:b w:val="0"/>
          <w:i/>
          <w:sz w:val="24"/>
          <w:szCs w:val="24"/>
        </w:rPr>
        <w:t>Human Rights (Parliamentary Scrutiny) Act 2011</w:t>
      </w:r>
      <w:r w:rsidRPr="0030506B">
        <w:rPr>
          <w:rFonts w:ascii="Times New Roman" w:hAnsi="Times New Roman"/>
          <w:b w:val="0"/>
          <w:sz w:val="24"/>
          <w:szCs w:val="24"/>
        </w:rPr>
        <w:t xml:space="preserve"> is provided at Attachment A to this Explanatory Statement.</w:t>
      </w:r>
    </w:p>
    <w:p w14:paraId="3F29E0D8" w14:textId="77777777" w:rsidR="0095163E" w:rsidRDefault="0095163E" w:rsidP="00D85E77">
      <w:pPr>
        <w:spacing w:after="240"/>
        <w:jc w:val="both"/>
        <w:sectPr w:rsidR="0095163E" w:rsidSect="003D5032">
          <w:footerReference w:type="default" r:id="rId14"/>
          <w:pgSz w:w="11906" w:h="16838" w:code="9"/>
          <w:pgMar w:top="1440" w:right="1800" w:bottom="1440" w:left="1800" w:header="709" w:footer="709" w:gutter="0"/>
          <w:cols w:space="708"/>
          <w:docGrid w:linePitch="360"/>
        </w:sectPr>
      </w:pPr>
    </w:p>
    <w:p w14:paraId="36277C2C" w14:textId="77777777" w:rsidR="00536EC9" w:rsidRPr="00536EC9" w:rsidRDefault="00536EC9" w:rsidP="00536EC9">
      <w:pPr>
        <w:spacing w:after="360"/>
        <w:outlineLvl w:val="0"/>
        <w:rPr>
          <w:rFonts w:ascii="Times New Roman" w:hAnsi="Times New Roman"/>
          <w:sz w:val="24"/>
          <w:szCs w:val="24"/>
          <w:u w:val="single"/>
        </w:rPr>
      </w:pPr>
      <w:r w:rsidRPr="00536EC9">
        <w:rPr>
          <w:rFonts w:ascii="Times New Roman" w:hAnsi="Times New Roman"/>
          <w:sz w:val="24"/>
          <w:szCs w:val="24"/>
          <w:u w:val="single"/>
        </w:rPr>
        <w:lastRenderedPageBreak/>
        <w:t>ATTACHMENT A</w:t>
      </w:r>
    </w:p>
    <w:p w14:paraId="23D36327" w14:textId="77777777" w:rsidR="00536EC9" w:rsidRPr="00536EC9" w:rsidRDefault="00536EC9" w:rsidP="00536EC9">
      <w:pPr>
        <w:shd w:val="clear" w:color="auto" w:fill="FFFFFF"/>
        <w:spacing w:before="100" w:beforeAutospacing="1" w:after="240"/>
        <w:jc w:val="center"/>
        <w:rPr>
          <w:rFonts w:ascii="Times New Roman" w:hAnsi="Times New Roman"/>
          <w:szCs w:val="22"/>
          <w:lang w:val="en-US"/>
        </w:rPr>
      </w:pPr>
      <w:r w:rsidRPr="00536EC9">
        <w:rPr>
          <w:rFonts w:ascii="Times New Roman" w:hAnsi="Times New Roman"/>
          <w:b/>
          <w:bCs/>
          <w:szCs w:val="22"/>
        </w:rPr>
        <w:t>Statement of Compatibility with Human Rights</w:t>
      </w:r>
    </w:p>
    <w:p w14:paraId="7F8F875C" w14:textId="77777777" w:rsidR="00536EC9" w:rsidRPr="00536EC9" w:rsidRDefault="00536EC9" w:rsidP="00536EC9">
      <w:pPr>
        <w:shd w:val="clear" w:color="auto" w:fill="FFFFFF"/>
        <w:spacing w:before="100" w:beforeAutospacing="1" w:after="240"/>
        <w:jc w:val="center"/>
        <w:rPr>
          <w:rFonts w:ascii="Times New Roman" w:hAnsi="Times New Roman"/>
          <w:szCs w:val="22"/>
          <w:lang w:val="en-US"/>
        </w:rPr>
      </w:pPr>
      <w:r w:rsidRPr="00536EC9">
        <w:rPr>
          <w:rFonts w:ascii="Times New Roman" w:hAnsi="Times New Roman"/>
          <w:szCs w:val="22"/>
        </w:rPr>
        <w:t xml:space="preserve">Prepared in accordance with Part 3 of the </w:t>
      </w:r>
      <w:r w:rsidRPr="00536EC9">
        <w:rPr>
          <w:rFonts w:ascii="Times New Roman" w:hAnsi="Times New Roman"/>
          <w:i/>
          <w:iCs/>
          <w:szCs w:val="22"/>
        </w:rPr>
        <w:t>Human Rights (Parliamentary Scrutiny) Act 2011</w:t>
      </w:r>
    </w:p>
    <w:p w14:paraId="4048DD77" w14:textId="76CBE455" w:rsidR="00536EC9" w:rsidRPr="00536EC9" w:rsidRDefault="00536EC9" w:rsidP="00536EC9">
      <w:pPr>
        <w:shd w:val="clear" w:color="auto" w:fill="FFFFFF"/>
        <w:spacing w:before="100" w:beforeAutospacing="1" w:after="240"/>
        <w:jc w:val="center"/>
        <w:rPr>
          <w:rFonts w:ascii="Times New Roman" w:hAnsi="Times New Roman"/>
          <w:szCs w:val="22"/>
          <w:lang w:val="en-US"/>
        </w:rPr>
      </w:pPr>
      <w:r w:rsidRPr="00536EC9">
        <w:rPr>
          <w:rFonts w:ascii="Times New Roman" w:hAnsi="Times New Roman"/>
          <w:b/>
          <w:bCs/>
          <w:szCs w:val="22"/>
        </w:rPr>
        <w:t>Banking (prudential standard) determination</w:t>
      </w:r>
      <w:r w:rsidR="002629A4">
        <w:rPr>
          <w:rFonts w:ascii="Times New Roman" w:hAnsi="Times New Roman"/>
          <w:b/>
          <w:bCs/>
          <w:szCs w:val="22"/>
        </w:rPr>
        <w:t>s</w:t>
      </w:r>
      <w:r w:rsidRPr="00536EC9">
        <w:rPr>
          <w:rFonts w:ascii="Times New Roman" w:hAnsi="Times New Roman"/>
          <w:b/>
          <w:bCs/>
          <w:szCs w:val="22"/>
        </w:rPr>
        <w:t xml:space="preserve"> </w:t>
      </w:r>
      <w:r w:rsidRPr="001A1C63">
        <w:rPr>
          <w:rFonts w:ascii="Times New Roman" w:hAnsi="Times New Roman"/>
          <w:b/>
          <w:bCs/>
          <w:szCs w:val="22"/>
        </w:rPr>
        <w:t>No</w:t>
      </w:r>
      <w:r w:rsidR="002629A4" w:rsidRPr="001A1C63">
        <w:rPr>
          <w:rFonts w:ascii="Times New Roman" w:hAnsi="Times New Roman"/>
          <w:b/>
          <w:bCs/>
          <w:szCs w:val="22"/>
        </w:rPr>
        <w:t>s</w:t>
      </w:r>
      <w:r w:rsidRPr="001A1C63">
        <w:rPr>
          <w:rFonts w:ascii="Times New Roman" w:hAnsi="Times New Roman"/>
          <w:b/>
          <w:bCs/>
          <w:szCs w:val="22"/>
        </w:rPr>
        <w:t xml:space="preserve">. </w:t>
      </w:r>
      <w:r w:rsidR="001A1C63" w:rsidRPr="001A1C63">
        <w:rPr>
          <w:rFonts w:ascii="Times New Roman" w:hAnsi="Times New Roman"/>
          <w:b/>
          <w:bCs/>
          <w:szCs w:val="22"/>
        </w:rPr>
        <w:t>1</w:t>
      </w:r>
      <w:r w:rsidRPr="001A1C63">
        <w:rPr>
          <w:rFonts w:ascii="Times New Roman" w:hAnsi="Times New Roman"/>
          <w:b/>
          <w:bCs/>
          <w:szCs w:val="22"/>
        </w:rPr>
        <w:t xml:space="preserve"> </w:t>
      </w:r>
      <w:r w:rsidR="002629A4" w:rsidRPr="001A1C63">
        <w:rPr>
          <w:rFonts w:ascii="Times New Roman" w:hAnsi="Times New Roman"/>
          <w:b/>
          <w:bCs/>
          <w:szCs w:val="22"/>
        </w:rPr>
        <w:t>a</w:t>
      </w:r>
      <w:r w:rsidR="005059CC" w:rsidRPr="001A1C63">
        <w:rPr>
          <w:rFonts w:ascii="Times New Roman" w:hAnsi="Times New Roman"/>
          <w:b/>
          <w:bCs/>
          <w:szCs w:val="22"/>
        </w:rPr>
        <w:t xml:space="preserve">nd </w:t>
      </w:r>
      <w:r w:rsidR="001A1C63" w:rsidRPr="001A1C63">
        <w:rPr>
          <w:rFonts w:ascii="Times New Roman" w:hAnsi="Times New Roman"/>
          <w:b/>
          <w:bCs/>
          <w:szCs w:val="22"/>
        </w:rPr>
        <w:t>2</w:t>
      </w:r>
      <w:r w:rsidR="002629A4" w:rsidRPr="001A1C63">
        <w:rPr>
          <w:rFonts w:ascii="Times New Roman" w:hAnsi="Times New Roman"/>
          <w:b/>
          <w:bCs/>
          <w:szCs w:val="22"/>
        </w:rPr>
        <w:t xml:space="preserve"> </w:t>
      </w:r>
      <w:r w:rsidRPr="001A1C63">
        <w:rPr>
          <w:rFonts w:ascii="Times New Roman" w:hAnsi="Times New Roman"/>
          <w:b/>
          <w:bCs/>
          <w:szCs w:val="22"/>
        </w:rPr>
        <w:t>of 2018</w:t>
      </w:r>
    </w:p>
    <w:p w14:paraId="4665009C" w14:textId="74C3FE1A" w:rsidR="00536EC9" w:rsidRPr="00536EC9" w:rsidRDefault="00536EC9" w:rsidP="00536EC9">
      <w:pPr>
        <w:shd w:val="clear" w:color="auto" w:fill="FFFFFF"/>
        <w:spacing w:before="100" w:beforeAutospacing="1" w:after="240"/>
        <w:jc w:val="both"/>
        <w:rPr>
          <w:rFonts w:ascii="Times New Roman" w:hAnsi="Times New Roman"/>
          <w:szCs w:val="22"/>
          <w:lang w:val="en-US"/>
        </w:rPr>
      </w:pPr>
      <w:r w:rsidRPr="00536EC9">
        <w:rPr>
          <w:rFonts w:ascii="Times New Roman" w:hAnsi="Times New Roman"/>
          <w:szCs w:val="22"/>
        </w:rPr>
        <w:t>The legislative instrument</w:t>
      </w:r>
      <w:r w:rsidR="002629A4">
        <w:rPr>
          <w:rFonts w:ascii="Times New Roman" w:hAnsi="Times New Roman"/>
          <w:szCs w:val="22"/>
        </w:rPr>
        <w:t>s are</w:t>
      </w:r>
      <w:r w:rsidRPr="00536EC9">
        <w:rPr>
          <w:rFonts w:ascii="Times New Roman" w:hAnsi="Times New Roman"/>
          <w:szCs w:val="22"/>
        </w:rPr>
        <w:t xml:space="preserve"> compatible with the human rights and freedoms recognised or declared in the international instrument listed in section 3 of the </w:t>
      </w:r>
      <w:r w:rsidRPr="00536EC9">
        <w:rPr>
          <w:rFonts w:ascii="Times New Roman" w:hAnsi="Times New Roman"/>
          <w:i/>
          <w:iCs/>
          <w:szCs w:val="22"/>
        </w:rPr>
        <w:t>Human Rights (Parliamentary Scrutiny) Act 2011</w:t>
      </w:r>
      <w:r w:rsidRPr="00536EC9">
        <w:rPr>
          <w:rFonts w:ascii="Times New Roman" w:hAnsi="Times New Roman"/>
          <w:szCs w:val="22"/>
        </w:rPr>
        <w:t xml:space="preserve"> (HRPS Act).</w:t>
      </w:r>
    </w:p>
    <w:p w14:paraId="2BD54D78" w14:textId="4B642820" w:rsidR="00536EC9" w:rsidRPr="00536EC9" w:rsidRDefault="00536EC9" w:rsidP="00536EC9">
      <w:pPr>
        <w:shd w:val="clear" w:color="auto" w:fill="FFFFFF"/>
        <w:spacing w:before="100" w:beforeAutospacing="1" w:after="240"/>
        <w:jc w:val="both"/>
        <w:rPr>
          <w:rFonts w:ascii="Times New Roman" w:hAnsi="Times New Roman"/>
          <w:szCs w:val="22"/>
          <w:lang w:val="en-US"/>
        </w:rPr>
      </w:pPr>
      <w:r w:rsidRPr="00536EC9">
        <w:rPr>
          <w:rFonts w:ascii="Times New Roman" w:hAnsi="Times New Roman"/>
          <w:b/>
          <w:bCs/>
          <w:szCs w:val="22"/>
        </w:rPr>
        <w:t>Overview of the Legislative Instrument</w:t>
      </w:r>
      <w:r w:rsidR="008B69A9">
        <w:rPr>
          <w:rFonts w:ascii="Times New Roman" w:hAnsi="Times New Roman"/>
          <w:b/>
          <w:bCs/>
          <w:szCs w:val="22"/>
        </w:rPr>
        <w:t>s</w:t>
      </w:r>
    </w:p>
    <w:p w14:paraId="3109C48B" w14:textId="6C340354" w:rsidR="00536EC9" w:rsidRPr="00536EC9" w:rsidRDefault="00536EC9" w:rsidP="00536EC9">
      <w:pPr>
        <w:spacing w:after="240"/>
        <w:jc w:val="both"/>
        <w:rPr>
          <w:rFonts w:ascii="Times New Roman" w:hAnsi="Times New Roman"/>
          <w:szCs w:val="22"/>
        </w:rPr>
      </w:pPr>
      <w:r w:rsidRPr="00536EC9">
        <w:rPr>
          <w:rFonts w:ascii="Times New Roman" w:hAnsi="Times New Roman"/>
          <w:szCs w:val="22"/>
        </w:rPr>
        <w:t>The purpose of the instrument is to</w:t>
      </w:r>
      <w:r w:rsidR="002B2861">
        <w:rPr>
          <w:rFonts w:ascii="Times New Roman" w:hAnsi="Times New Roman"/>
          <w:szCs w:val="22"/>
        </w:rPr>
        <w:t xml:space="preserve"> make a new </w:t>
      </w:r>
      <w:r w:rsidR="002B2861">
        <w:rPr>
          <w:rFonts w:ascii="Times New Roman" w:hAnsi="Times New Roman"/>
          <w:i/>
          <w:szCs w:val="22"/>
        </w:rPr>
        <w:t>Prudential Standard APS 180 Counterparty Credit Risk</w:t>
      </w:r>
      <w:r w:rsidR="002B2861">
        <w:rPr>
          <w:rFonts w:ascii="Times New Roman" w:hAnsi="Times New Roman"/>
          <w:szCs w:val="22"/>
        </w:rPr>
        <w:t xml:space="preserve"> </w:t>
      </w:r>
      <w:r w:rsidR="002D6CF2">
        <w:rPr>
          <w:rFonts w:ascii="Times New Roman" w:hAnsi="Times New Roman"/>
          <w:szCs w:val="22"/>
        </w:rPr>
        <w:t xml:space="preserve">(APS 180) </w:t>
      </w:r>
      <w:r w:rsidR="002B2861">
        <w:rPr>
          <w:rFonts w:ascii="Times New Roman" w:hAnsi="Times New Roman"/>
          <w:szCs w:val="22"/>
        </w:rPr>
        <w:t>and</w:t>
      </w:r>
      <w:r w:rsidRPr="00536EC9">
        <w:rPr>
          <w:rFonts w:ascii="Times New Roman" w:hAnsi="Times New Roman"/>
          <w:szCs w:val="22"/>
        </w:rPr>
        <w:t xml:space="preserve"> revoke </w:t>
      </w:r>
      <w:r w:rsidRPr="00536EC9">
        <w:rPr>
          <w:rFonts w:ascii="Times New Roman" w:hAnsi="Times New Roman"/>
          <w:i/>
          <w:szCs w:val="22"/>
        </w:rPr>
        <w:t xml:space="preserve">Prudential Standard APS </w:t>
      </w:r>
      <w:r w:rsidR="002B2861">
        <w:rPr>
          <w:rFonts w:ascii="Times New Roman" w:hAnsi="Times New Roman"/>
          <w:i/>
          <w:szCs w:val="22"/>
        </w:rPr>
        <w:t>112</w:t>
      </w:r>
      <w:r w:rsidRPr="00536EC9">
        <w:rPr>
          <w:rFonts w:ascii="Times New Roman" w:hAnsi="Times New Roman"/>
          <w:i/>
          <w:szCs w:val="22"/>
        </w:rPr>
        <w:t xml:space="preserve"> </w:t>
      </w:r>
      <w:r w:rsidR="002B2861">
        <w:rPr>
          <w:rFonts w:ascii="Times New Roman" w:hAnsi="Times New Roman"/>
          <w:i/>
          <w:szCs w:val="22"/>
        </w:rPr>
        <w:t>Capital Adequacy: Standardised Approach to Credit Risk</w:t>
      </w:r>
      <w:r w:rsidRPr="00536EC9">
        <w:rPr>
          <w:rFonts w:ascii="Times New Roman" w:hAnsi="Times New Roman"/>
          <w:i/>
          <w:szCs w:val="22"/>
        </w:rPr>
        <w:t xml:space="preserve"> </w:t>
      </w:r>
      <w:r w:rsidRPr="00536EC9">
        <w:rPr>
          <w:rFonts w:ascii="Times New Roman" w:hAnsi="Times New Roman"/>
          <w:szCs w:val="22"/>
        </w:rPr>
        <w:t>determined by APRA in 201</w:t>
      </w:r>
      <w:r w:rsidR="002B2861">
        <w:rPr>
          <w:rFonts w:ascii="Times New Roman" w:hAnsi="Times New Roman"/>
          <w:szCs w:val="22"/>
        </w:rPr>
        <w:t>2</w:t>
      </w:r>
      <w:r w:rsidRPr="00536EC9">
        <w:rPr>
          <w:rFonts w:ascii="Times New Roman" w:hAnsi="Times New Roman"/>
          <w:szCs w:val="22"/>
        </w:rPr>
        <w:t xml:space="preserve"> and replace it with a new </w:t>
      </w:r>
      <w:r w:rsidR="002B2861" w:rsidRPr="00536EC9">
        <w:rPr>
          <w:rFonts w:ascii="Times New Roman" w:hAnsi="Times New Roman"/>
          <w:i/>
          <w:szCs w:val="22"/>
        </w:rPr>
        <w:t xml:space="preserve">Prudential Standard APS </w:t>
      </w:r>
      <w:r w:rsidR="002B2861">
        <w:rPr>
          <w:rFonts w:ascii="Times New Roman" w:hAnsi="Times New Roman"/>
          <w:i/>
          <w:szCs w:val="22"/>
        </w:rPr>
        <w:t>112</w:t>
      </w:r>
      <w:r w:rsidR="002B2861" w:rsidRPr="00536EC9">
        <w:rPr>
          <w:rFonts w:ascii="Times New Roman" w:hAnsi="Times New Roman"/>
          <w:i/>
          <w:szCs w:val="22"/>
        </w:rPr>
        <w:t xml:space="preserve"> </w:t>
      </w:r>
      <w:r w:rsidR="002B2861">
        <w:rPr>
          <w:rFonts w:ascii="Times New Roman" w:hAnsi="Times New Roman"/>
          <w:i/>
          <w:szCs w:val="22"/>
        </w:rPr>
        <w:t>Capital Adequacy: Standardised Approach to Credit Risk</w:t>
      </w:r>
      <w:r w:rsidR="002D6CF2">
        <w:rPr>
          <w:rFonts w:ascii="Times New Roman" w:hAnsi="Times New Roman"/>
          <w:szCs w:val="22"/>
        </w:rPr>
        <w:t xml:space="preserve"> (APS 112)</w:t>
      </w:r>
      <w:r w:rsidRPr="00536EC9">
        <w:rPr>
          <w:rFonts w:ascii="Times New Roman" w:hAnsi="Times New Roman"/>
          <w:szCs w:val="22"/>
        </w:rPr>
        <w:t>.</w:t>
      </w:r>
    </w:p>
    <w:p w14:paraId="280B526D" w14:textId="4580132E" w:rsidR="002B2861" w:rsidRDefault="002B2861" w:rsidP="00536EC9">
      <w:pPr>
        <w:spacing w:after="24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APS 180 sets out requirements for authorised deposit-taking institutions (ADIs) to </w:t>
      </w:r>
      <w:r w:rsidR="00F94EA1">
        <w:rPr>
          <w:rFonts w:ascii="Times New Roman" w:hAnsi="Times New Roman"/>
          <w:szCs w:val="22"/>
        </w:rPr>
        <w:t>adopt risk management practices and hold sufficient regulatory capital for counterparty credit risks exposures arising from certain transactions</w:t>
      </w:r>
      <w:r w:rsidR="002D6CF2">
        <w:rPr>
          <w:rFonts w:ascii="Times New Roman" w:hAnsi="Times New Roman"/>
          <w:szCs w:val="22"/>
        </w:rPr>
        <w:t>.</w:t>
      </w:r>
      <w:r w:rsidR="00F94EA1">
        <w:rPr>
          <w:rFonts w:ascii="Times New Roman" w:hAnsi="Times New Roman"/>
          <w:szCs w:val="22"/>
        </w:rPr>
        <w:t xml:space="preserve">  ADIs are bodies corporate authorised to carry on banking business in Australia.</w:t>
      </w:r>
    </w:p>
    <w:p w14:paraId="5EC5DB11" w14:textId="5D6CB116" w:rsidR="00536EC9" w:rsidRPr="00536EC9" w:rsidRDefault="00536EC9" w:rsidP="00536EC9">
      <w:pPr>
        <w:spacing w:after="240"/>
        <w:jc w:val="both"/>
        <w:rPr>
          <w:rFonts w:ascii="Times New Roman" w:hAnsi="Times New Roman"/>
          <w:szCs w:val="22"/>
        </w:rPr>
      </w:pPr>
      <w:r w:rsidRPr="00536EC9">
        <w:rPr>
          <w:rFonts w:ascii="Times New Roman" w:hAnsi="Times New Roman"/>
          <w:szCs w:val="22"/>
        </w:rPr>
        <w:t xml:space="preserve">APS </w:t>
      </w:r>
      <w:r w:rsidR="002D6CF2">
        <w:rPr>
          <w:rFonts w:ascii="Times New Roman" w:hAnsi="Times New Roman"/>
          <w:szCs w:val="22"/>
        </w:rPr>
        <w:t xml:space="preserve">112 is being remade to remove existing counterparty credit risk </w:t>
      </w:r>
      <w:r w:rsidRPr="00536EC9">
        <w:rPr>
          <w:rFonts w:ascii="Times New Roman" w:hAnsi="Times New Roman"/>
          <w:szCs w:val="22"/>
        </w:rPr>
        <w:t xml:space="preserve">requirements </w:t>
      </w:r>
      <w:r w:rsidR="002D6CF2">
        <w:rPr>
          <w:rFonts w:ascii="Times New Roman" w:hAnsi="Times New Roman"/>
          <w:szCs w:val="22"/>
        </w:rPr>
        <w:t xml:space="preserve">which </w:t>
      </w:r>
      <w:r w:rsidR="00E50859">
        <w:rPr>
          <w:rFonts w:ascii="Times New Roman" w:hAnsi="Times New Roman"/>
          <w:szCs w:val="22"/>
        </w:rPr>
        <w:t xml:space="preserve">are now </w:t>
      </w:r>
      <w:r w:rsidR="002D6CF2">
        <w:rPr>
          <w:rFonts w:ascii="Times New Roman" w:hAnsi="Times New Roman"/>
          <w:szCs w:val="22"/>
        </w:rPr>
        <w:t>included as part of APS 180.</w:t>
      </w:r>
    </w:p>
    <w:p w14:paraId="1DD5739D" w14:textId="77777777" w:rsidR="00536EC9" w:rsidRPr="00536EC9" w:rsidRDefault="00536EC9" w:rsidP="00536EC9">
      <w:pPr>
        <w:keepNext/>
        <w:shd w:val="clear" w:color="auto" w:fill="FFFFFF"/>
        <w:spacing w:before="100" w:beforeAutospacing="1" w:after="240"/>
        <w:jc w:val="both"/>
        <w:rPr>
          <w:rFonts w:ascii="Times New Roman" w:hAnsi="Times New Roman"/>
          <w:szCs w:val="22"/>
          <w:lang w:val="en-US"/>
        </w:rPr>
      </w:pPr>
      <w:r w:rsidRPr="00536EC9">
        <w:rPr>
          <w:rFonts w:ascii="Times New Roman" w:hAnsi="Times New Roman"/>
          <w:b/>
          <w:bCs/>
          <w:szCs w:val="22"/>
        </w:rPr>
        <w:t>Human rights implications</w:t>
      </w:r>
    </w:p>
    <w:p w14:paraId="20C1161E" w14:textId="01EA54BF" w:rsidR="00536EC9" w:rsidRPr="00536EC9" w:rsidRDefault="00536EC9" w:rsidP="00536EC9">
      <w:pPr>
        <w:keepNext/>
        <w:shd w:val="clear" w:color="auto" w:fill="FFFFFF"/>
        <w:spacing w:before="100" w:beforeAutospacing="1" w:after="240"/>
        <w:jc w:val="both"/>
        <w:rPr>
          <w:rFonts w:ascii="Times New Roman" w:hAnsi="Times New Roman"/>
          <w:szCs w:val="22"/>
        </w:rPr>
      </w:pPr>
      <w:r w:rsidRPr="00536EC9">
        <w:rPr>
          <w:rFonts w:ascii="Times New Roman" w:hAnsi="Times New Roman"/>
          <w:szCs w:val="22"/>
        </w:rPr>
        <w:t>APRA has assessed the instrument</w:t>
      </w:r>
      <w:r w:rsidR="00DF078D">
        <w:rPr>
          <w:rFonts w:ascii="Times New Roman" w:hAnsi="Times New Roman"/>
          <w:szCs w:val="22"/>
        </w:rPr>
        <w:t>s</w:t>
      </w:r>
      <w:r w:rsidRPr="00536EC9">
        <w:rPr>
          <w:rFonts w:ascii="Times New Roman" w:hAnsi="Times New Roman"/>
          <w:szCs w:val="22"/>
        </w:rPr>
        <w:t xml:space="preserve"> and is of the view that </w:t>
      </w:r>
      <w:r w:rsidR="00DF078D">
        <w:rPr>
          <w:rFonts w:ascii="Times New Roman" w:hAnsi="Times New Roman"/>
          <w:szCs w:val="22"/>
        </w:rPr>
        <w:t xml:space="preserve">they do </w:t>
      </w:r>
      <w:r w:rsidRPr="00536EC9">
        <w:rPr>
          <w:rFonts w:ascii="Times New Roman" w:hAnsi="Times New Roman"/>
          <w:szCs w:val="22"/>
        </w:rPr>
        <w:t>not engage any of the applicable rights or freedoms recognised or declared in the international instruments listed in section 3 of the HRPS Act. Accordingly, in APRA’s assessment, the instrument</w:t>
      </w:r>
      <w:r w:rsidR="00DF078D">
        <w:rPr>
          <w:rFonts w:ascii="Times New Roman" w:hAnsi="Times New Roman"/>
          <w:szCs w:val="22"/>
        </w:rPr>
        <w:t>s are</w:t>
      </w:r>
      <w:r w:rsidRPr="00536EC9">
        <w:rPr>
          <w:rFonts w:ascii="Times New Roman" w:hAnsi="Times New Roman"/>
          <w:szCs w:val="22"/>
        </w:rPr>
        <w:t xml:space="preserve"> compatible with human rights.</w:t>
      </w:r>
    </w:p>
    <w:p w14:paraId="2A7A4CB3" w14:textId="77777777" w:rsidR="00536EC9" w:rsidRPr="00536EC9" w:rsidRDefault="00536EC9" w:rsidP="00536EC9">
      <w:pPr>
        <w:shd w:val="clear" w:color="auto" w:fill="FFFFFF"/>
        <w:spacing w:before="100" w:beforeAutospacing="1" w:after="240"/>
        <w:jc w:val="both"/>
        <w:rPr>
          <w:rFonts w:ascii="Times New Roman" w:hAnsi="Times New Roman"/>
          <w:szCs w:val="22"/>
          <w:lang w:val="en-US"/>
        </w:rPr>
      </w:pPr>
      <w:r w:rsidRPr="00536EC9">
        <w:rPr>
          <w:rFonts w:ascii="Times New Roman" w:hAnsi="Times New Roman"/>
          <w:b/>
          <w:bCs/>
          <w:szCs w:val="22"/>
        </w:rPr>
        <w:t>Conclusion</w:t>
      </w:r>
    </w:p>
    <w:p w14:paraId="630C93A0" w14:textId="4984C0A3" w:rsidR="00B04B20" w:rsidRPr="00FA5345" w:rsidRDefault="00536EC9" w:rsidP="00536EC9">
      <w:pPr>
        <w:spacing w:after="240"/>
        <w:jc w:val="both"/>
      </w:pPr>
      <w:r w:rsidRPr="00536EC9">
        <w:rPr>
          <w:rFonts w:ascii="Times New Roman" w:hAnsi="Times New Roman"/>
          <w:szCs w:val="22"/>
        </w:rPr>
        <w:t>The instrument</w:t>
      </w:r>
      <w:r w:rsidR="00DF078D">
        <w:rPr>
          <w:rFonts w:ascii="Times New Roman" w:hAnsi="Times New Roman"/>
          <w:szCs w:val="22"/>
        </w:rPr>
        <w:t>s are</w:t>
      </w:r>
      <w:r w:rsidRPr="00536EC9">
        <w:rPr>
          <w:rFonts w:ascii="Times New Roman" w:hAnsi="Times New Roman"/>
          <w:szCs w:val="22"/>
        </w:rPr>
        <w:t xml:space="preserve"> compatible with human rights as </w:t>
      </w:r>
      <w:r w:rsidR="00DF078D">
        <w:rPr>
          <w:rFonts w:ascii="Times New Roman" w:hAnsi="Times New Roman"/>
          <w:szCs w:val="22"/>
        </w:rPr>
        <w:t xml:space="preserve">they do </w:t>
      </w:r>
      <w:r w:rsidRPr="00536EC9">
        <w:rPr>
          <w:rFonts w:ascii="Times New Roman" w:hAnsi="Times New Roman"/>
          <w:szCs w:val="22"/>
        </w:rPr>
        <w:t>not raise any human rights issues.</w:t>
      </w:r>
    </w:p>
    <w:sectPr w:rsidR="00B04B20" w:rsidRPr="00FA5345" w:rsidSect="003D5032">
      <w:pgSz w:w="11906" w:h="16838" w:code="9"/>
      <w:pgMar w:top="1440" w:right="1800" w:bottom="1440" w:left="18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B35F7A" w14:textId="77777777" w:rsidR="00A70F6A" w:rsidRDefault="00A70F6A" w:rsidP="00D85E77">
      <w:r>
        <w:separator/>
      </w:r>
    </w:p>
  </w:endnote>
  <w:endnote w:type="continuationSeparator" w:id="0">
    <w:p w14:paraId="05E1FF8E" w14:textId="77777777" w:rsidR="00A70F6A" w:rsidRDefault="00A70F6A" w:rsidP="00D85E77">
      <w:r>
        <w:continuationSeparator/>
      </w:r>
    </w:p>
  </w:endnote>
  <w:endnote w:type="continuationNotice" w:id="1">
    <w:p w14:paraId="399D0626" w14:textId="77777777" w:rsidR="00A70F6A" w:rsidRDefault="00A70F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008257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095C3545" w14:textId="77777777" w:rsidR="00A70F6A" w:rsidRPr="00D85E77" w:rsidRDefault="00A70F6A" w:rsidP="00D85E77">
        <w:pPr>
          <w:pStyle w:val="Footer"/>
          <w:jc w:val="center"/>
          <w:rPr>
            <w:rFonts w:ascii="Times New Roman" w:hAnsi="Times New Roman"/>
            <w:sz w:val="24"/>
            <w:szCs w:val="24"/>
          </w:rPr>
        </w:pPr>
        <w:r w:rsidRPr="00D85E77">
          <w:rPr>
            <w:rFonts w:ascii="Times New Roman" w:hAnsi="Times New Roman"/>
            <w:bCs/>
            <w:sz w:val="24"/>
            <w:szCs w:val="24"/>
          </w:rPr>
          <w:fldChar w:fldCharType="begin"/>
        </w:r>
        <w:r w:rsidRPr="00D85E77">
          <w:rPr>
            <w:rFonts w:ascii="Times New Roman" w:hAnsi="Times New Roman"/>
            <w:bCs/>
            <w:sz w:val="24"/>
            <w:szCs w:val="24"/>
          </w:rPr>
          <w:instrText xml:space="preserve"> PAGE </w:instrText>
        </w:r>
        <w:r w:rsidRPr="00D85E77">
          <w:rPr>
            <w:rFonts w:ascii="Times New Roman" w:hAnsi="Times New Roman"/>
            <w:bCs/>
            <w:sz w:val="24"/>
            <w:szCs w:val="24"/>
          </w:rPr>
          <w:fldChar w:fldCharType="separate"/>
        </w:r>
        <w:r w:rsidR="004E358A">
          <w:rPr>
            <w:rFonts w:ascii="Times New Roman" w:hAnsi="Times New Roman"/>
            <w:bCs/>
            <w:noProof/>
            <w:sz w:val="24"/>
            <w:szCs w:val="24"/>
          </w:rPr>
          <w:t>1</w:t>
        </w:r>
        <w:r w:rsidRPr="00D85E77">
          <w:rPr>
            <w:rFonts w:ascii="Times New Roman" w:hAnsi="Times New Roman"/>
            <w:bCs/>
            <w:sz w:val="24"/>
            <w:szCs w:val="24"/>
          </w:rPr>
          <w:fldChar w:fldCharType="end"/>
        </w:r>
      </w:p>
    </w:sdtContent>
  </w:sdt>
  <w:p w14:paraId="3174513B" w14:textId="77777777" w:rsidR="00A70F6A" w:rsidRDefault="00A70F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50EB8A" w14:textId="77777777" w:rsidR="00A70F6A" w:rsidRDefault="00A70F6A" w:rsidP="00D85E77">
      <w:r>
        <w:separator/>
      </w:r>
    </w:p>
  </w:footnote>
  <w:footnote w:type="continuationSeparator" w:id="0">
    <w:p w14:paraId="6AD0606C" w14:textId="77777777" w:rsidR="00A70F6A" w:rsidRDefault="00A70F6A" w:rsidP="00D85E77">
      <w:r>
        <w:continuationSeparator/>
      </w:r>
    </w:p>
  </w:footnote>
  <w:footnote w:type="continuationNotice" w:id="1">
    <w:p w14:paraId="1E8BE918" w14:textId="77777777" w:rsidR="00A70F6A" w:rsidRDefault="00A70F6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A5C49"/>
    <w:multiLevelType w:val="hybridMultilevel"/>
    <w:tmpl w:val="3722923C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A81249"/>
    <w:multiLevelType w:val="hybridMultilevel"/>
    <w:tmpl w:val="98903850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1F640B"/>
    <w:multiLevelType w:val="hybridMultilevel"/>
    <w:tmpl w:val="9990CC86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C44575"/>
    <w:multiLevelType w:val="hybridMultilevel"/>
    <w:tmpl w:val="6A2200F8"/>
    <w:lvl w:ilvl="0" w:tplc="F1F253D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1DA3D61"/>
    <w:multiLevelType w:val="hybridMultilevel"/>
    <w:tmpl w:val="F208E238"/>
    <w:lvl w:ilvl="0" w:tplc="8C88B6BC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2D4"/>
    <w:rsid w:val="00016964"/>
    <w:rsid w:val="000401FC"/>
    <w:rsid w:val="00045605"/>
    <w:rsid w:val="00053D7A"/>
    <w:rsid w:val="000B60B3"/>
    <w:rsid w:val="000C7350"/>
    <w:rsid w:val="000E369C"/>
    <w:rsid w:val="001036D6"/>
    <w:rsid w:val="00116DC0"/>
    <w:rsid w:val="00131A17"/>
    <w:rsid w:val="00182FA1"/>
    <w:rsid w:val="001A1C63"/>
    <w:rsid w:val="001F1D89"/>
    <w:rsid w:val="001F295F"/>
    <w:rsid w:val="002436BD"/>
    <w:rsid w:val="00246723"/>
    <w:rsid w:val="00253500"/>
    <w:rsid w:val="00260680"/>
    <w:rsid w:val="002629A4"/>
    <w:rsid w:val="00276CBE"/>
    <w:rsid w:val="002A73BD"/>
    <w:rsid w:val="002B2861"/>
    <w:rsid w:val="002B3D71"/>
    <w:rsid w:val="002D6CF2"/>
    <w:rsid w:val="00303C24"/>
    <w:rsid w:val="0030506B"/>
    <w:rsid w:val="00310CF8"/>
    <w:rsid w:val="00316E40"/>
    <w:rsid w:val="0033238B"/>
    <w:rsid w:val="00342C44"/>
    <w:rsid w:val="00354CB8"/>
    <w:rsid w:val="003802D4"/>
    <w:rsid w:val="003866AD"/>
    <w:rsid w:val="003A3314"/>
    <w:rsid w:val="003A52A5"/>
    <w:rsid w:val="003D0C62"/>
    <w:rsid w:val="003D4909"/>
    <w:rsid w:val="003D5032"/>
    <w:rsid w:val="0040175E"/>
    <w:rsid w:val="004132FE"/>
    <w:rsid w:val="00422164"/>
    <w:rsid w:val="00436C21"/>
    <w:rsid w:val="00443A02"/>
    <w:rsid w:val="00444768"/>
    <w:rsid w:val="004819AE"/>
    <w:rsid w:val="004C3D07"/>
    <w:rsid w:val="004E2008"/>
    <w:rsid w:val="004E358A"/>
    <w:rsid w:val="005059CC"/>
    <w:rsid w:val="00536EC9"/>
    <w:rsid w:val="00556FA2"/>
    <w:rsid w:val="0056141D"/>
    <w:rsid w:val="00566A2A"/>
    <w:rsid w:val="005B0BAF"/>
    <w:rsid w:val="005D3013"/>
    <w:rsid w:val="005D6F68"/>
    <w:rsid w:val="005E5910"/>
    <w:rsid w:val="00622480"/>
    <w:rsid w:val="0062749C"/>
    <w:rsid w:val="00647D58"/>
    <w:rsid w:val="00657678"/>
    <w:rsid w:val="0068160D"/>
    <w:rsid w:val="00682865"/>
    <w:rsid w:val="00684F73"/>
    <w:rsid w:val="006A3958"/>
    <w:rsid w:val="006B093F"/>
    <w:rsid w:val="006B3253"/>
    <w:rsid w:val="006F3324"/>
    <w:rsid w:val="007031F4"/>
    <w:rsid w:val="00703CFA"/>
    <w:rsid w:val="007049CF"/>
    <w:rsid w:val="00712E1A"/>
    <w:rsid w:val="007368AD"/>
    <w:rsid w:val="007428D4"/>
    <w:rsid w:val="00747AFF"/>
    <w:rsid w:val="00761B22"/>
    <w:rsid w:val="00785CDC"/>
    <w:rsid w:val="00786085"/>
    <w:rsid w:val="00786FDD"/>
    <w:rsid w:val="00797DB5"/>
    <w:rsid w:val="007C2298"/>
    <w:rsid w:val="007E472C"/>
    <w:rsid w:val="007E4B2A"/>
    <w:rsid w:val="00826A77"/>
    <w:rsid w:val="00830F66"/>
    <w:rsid w:val="00882647"/>
    <w:rsid w:val="00886CA9"/>
    <w:rsid w:val="008B69A9"/>
    <w:rsid w:val="008D4169"/>
    <w:rsid w:val="00932EFA"/>
    <w:rsid w:val="009460E1"/>
    <w:rsid w:val="0095163E"/>
    <w:rsid w:val="00967D16"/>
    <w:rsid w:val="0098543A"/>
    <w:rsid w:val="00987F8C"/>
    <w:rsid w:val="009B2829"/>
    <w:rsid w:val="009B475E"/>
    <w:rsid w:val="009B6BA1"/>
    <w:rsid w:val="009C5368"/>
    <w:rsid w:val="00A061BE"/>
    <w:rsid w:val="00A16A90"/>
    <w:rsid w:val="00A279AF"/>
    <w:rsid w:val="00A35D95"/>
    <w:rsid w:val="00A4133B"/>
    <w:rsid w:val="00A54C23"/>
    <w:rsid w:val="00A63A2B"/>
    <w:rsid w:val="00A70F6A"/>
    <w:rsid w:val="00A93DC5"/>
    <w:rsid w:val="00AA1493"/>
    <w:rsid w:val="00AA3E4A"/>
    <w:rsid w:val="00AC2517"/>
    <w:rsid w:val="00AC7A56"/>
    <w:rsid w:val="00AE1D6B"/>
    <w:rsid w:val="00B00F58"/>
    <w:rsid w:val="00B04B20"/>
    <w:rsid w:val="00B1637D"/>
    <w:rsid w:val="00B27C5F"/>
    <w:rsid w:val="00B27F38"/>
    <w:rsid w:val="00B64B2E"/>
    <w:rsid w:val="00B85B6E"/>
    <w:rsid w:val="00BB1678"/>
    <w:rsid w:val="00BD5517"/>
    <w:rsid w:val="00BE36B6"/>
    <w:rsid w:val="00BF2953"/>
    <w:rsid w:val="00C169AF"/>
    <w:rsid w:val="00C277A6"/>
    <w:rsid w:val="00C302FA"/>
    <w:rsid w:val="00C4298E"/>
    <w:rsid w:val="00C8345E"/>
    <w:rsid w:val="00C841F9"/>
    <w:rsid w:val="00C93825"/>
    <w:rsid w:val="00C948AA"/>
    <w:rsid w:val="00CA6CB3"/>
    <w:rsid w:val="00CB384A"/>
    <w:rsid w:val="00CC3797"/>
    <w:rsid w:val="00CD1947"/>
    <w:rsid w:val="00CE3EF2"/>
    <w:rsid w:val="00D119F5"/>
    <w:rsid w:val="00D1516D"/>
    <w:rsid w:val="00D3484E"/>
    <w:rsid w:val="00D43CC6"/>
    <w:rsid w:val="00D511D3"/>
    <w:rsid w:val="00D53B59"/>
    <w:rsid w:val="00D64906"/>
    <w:rsid w:val="00D83531"/>
    <w:rsid w:val="00D85E77"/>
    <w:rsid w:val="00D87E36"/>
    <w:rsid w:val="00DC63A5"/>
    <w:rsid w:val="00DD0BE3"/>
    <w:rsid w:val="00DF078D"/>
    <w:rsid w:val="00DF524E"/>
    <w:rsid w:val="00E15497"/>
    <w:rsid w:val="00E154A3"/>
    <w:rsid w:val="00E16789"/>
    <w:rsid w:val="00E201A8"/>
    <w:rsid w:val="00E50859"/>
    <w:rsid w:val="00E52DFE"/>
    <w:rsid w:val="00E57292"/>
    <w:rsid w:val="00E61B19"/>
    <w:rsid w:val="00E7602C"/>
    <w:rsid w:val="00E90C89"/>
    <w:rsid w:val="00E9695A"/>
    <w:rsid w:val="00EC5653"/>
    <w:rsid w:val="00ED596E"/>
    <w:rsid w:val="00F05FFD"/>
    <w:rsid w:val="00F436BC"/>
    <w:rsid w:val="00F75E3A"/>
    <w:rsid w:val="00F7706D"/>
    <w:rsid w:val="00F8129B"/>
    <w:rsid w:val="00F86822"/>
    <w:rsid w:val="00F86C72"/>
    <w:rsid w:val="00F94EA1"/>
    <w:rsid w:val="00FA5345"/>
    <w:rsid w:val="00FA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E3F8A8A"/>
  <w15:docId w15:val="{A188F79D-C736-4016-9163-49AA9A8A4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5" w:qFormat="1"/>
    <w:lsdException w:name="heading 2" w:semiHidden="1" w:uiPriority="6" w:unhideWhenUsed="1" w:qFormat="1"/>
    <w:lsdException w:name="heading 3" w:semiHidden="1" w:uiPriority="7" w:unhideWhenUsed="1" w:qFormat="1"/>
    <w:lsdException w:name="heading 4" w:semiHidden="1" w:uiPriority="3" w:unhideWhenUsed="1" w:qFormat="1"/>
    <w:lsdException w:name="heading 5" w:semiHidden="1" w:uiPriority="4" w:unhideWhenUsed="1" w:qFormat="1"/>
    <w:lsdException w:name="heading 6" w:semiHidden="1" w:uiPriority="8" w:unhideWhenUsed="1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36BD"/>
    <w:rPr>
      <w:rFonts w:ascii="Trebuchet MS" w:eastAsia="Times New Roman" w:hAnsi="Trebuchet MS"/>
      <w:sz w:val="22"/>
    </w:rPr>
  </w:style>
  <w:style w:type="paragraph" w:styleId="Heading1">
    <w:name w:val="heading 1"/>
    <w:basedOn w:val="Normal"/>
    <w:next w:val="Normal"/>
    <w:link w:val="Heading1Char"/>
    <w:uiPriority w:val="5"/>
    <w:qFormat/>
    <w:rsid w:val="009C5368"/>
    <w:pPr>
      <w:keepNext/>
      <w:keepLines/>
      <w:outlineLvl w:val="0"/>
    </w:pPr>
    <w:rPr>
      <w:b/>
      <w:bCs/>
      <w:color w:val="000000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6"/>
    <w:unhideWhenUsed/>
    <w:qFormat/>
    <w:rsid w:val="009C5368"/>
    <w:pPr>
      <w:keepNext/>
      <w:keepLines/>
      <w:outlineLvl w:val="1"/>
    </w:pPr>
    <w:rPr>
      <w:b/>
      <w:bCs/>
      <w:color w:val="000000"/>
    </w:rPr>
  </w:style>
  <w:style w:type="paragraph" w:styleId="Heading3">
    <w:name w:val="heading 3"/>
    <w:basedOn w:val="Normal"/>
    <w:next w:val="Normal"/>
    <w:link w:val="Heading3Char"/>
    <w:uiPriority w:val="7"/>
    <w:unhideWhenUsed/>
    <w:qFormat/>
    <w:rsid w:val="00F7706D"/>
    <w:pPr>
      <w:keepNext/>
      <w:keepLines/>
      <w:outlineLvl w:val="2"/>
    </w:pPr>
    <w:rPr>
      <w:bCs/>
      <w:i/>
      <w:color w:val="000000"/>
    </w:rPr>
  </w:style>
  <w:style w:type="paragraph" w:styleId="Heading4">
    <w:name w:val="heading 4"/>
    <w:aliases w:val="General Heading"/>
    <w:basedOn w:val="Normal"/>
    <w:next w:val="Normal"/>
    <w:link w:val="Heading4Char"/>
    <w:uiPriority w:val="3"/>
    <w:unhideWhenUsed/>
    <w:qFormat/>
    <w:rsid w:val="005E5910"/>
    <w:pPr>
      <w:outlineLvl w:val="3"/>
    </w:pPr>
    <w:rPr>
      <w:color w:val="0C2577"/>
      <w:sz w:val="60"/>
    </w:rPr>
  </w:style>
  <w:style w:type="paragraph" w:styleId="Heading5">
    <w:name w:val="heading 5"/>
    <w:aliases w:val="Chapter Heading"/>
    <w:basedOn w:val="Normal"/>
    <w:next w:val="Normal"/>
    <w:link w:val="Heading5Char"/>
    <w:uiPriority w:val="4"/>
    <w:unhideWhenUsed/>
    <w:qFormat/>
    <w:rsid w:val="005E5910"/>
    <w:pPr>
      <w:outlineLvl w:val="4"/>
    </w:pPr>
    <w:rPr>
      <w:b/>
      <w:sz w:val="32"/>
    </w:rPr>
  </w:style>
  <w:style w:type="paragraph" w:styleId="Heading6">
    <w:name w:val="heading 6"/>
    <w:aliases w:val="Cover Page Heading"/>
    <w:basedOn w:val="Normal"/>
    <w:next w:val="Normal"/>
    <w:link w:val="Heading6Char"/>
    <w:uiPriority w:val="8"/>
    <w:unhideWhenUsed/>
    <w:qFormat/>
    <w:rsid w:val="00F7706D"/>
    <w:pPr>
      <w:keepNext/>
      <w:keepLines/>
      <w:spacing w:before="200"/>
      <w:outlineLvl w:val="5"/>
    </w:pPr>
    <w:rPr>
      <w:iCs/>
      <w:color w:val="0C2577"/>
      <w:sz w:val="9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5"/>
    <w:rsid w:val="00F7706D"/>
    <w:rPr>
      <w:rFonts w:ascii="Trebuchet MS" w:eastAsia="Times New Roman" w:hAnsi="Trebuchet MS" w:cs="Times New Roman"/>
      <w:b/>
      <w:bCs/>
      <w:color w:val="000000"/>
      <w:sz w:val="26"/>
      <w:szCs w:val="26"/>
    </w:rPr>
  </w:style>
  <w:style w:type="character" w:customStyle="1" w:styleId="Heading2Char">
    <w:name w:val="Heading 2 Char"/>
    <w:link w:val="Heading2"/>
    <w:uiPriority w:val="6"/>
    <w:rsid w:val="00F7706D"/>
    <w:rPr>
      <w:rFonts w:ascii="Trebuchet MS" w:eastAsia="Times New Roman" w:hAnsi="Trebuchet MS" w:cs="Times New Roman"/>
      <w:b/>
      <w:bCs/>
      <w:color w:val="000000"/>
    </w:rPr>
  </w:style>
  <w:style w:type="character" w:styleId="PlaceholderText">
    <w:name w:val="Placeholder Text"/>
    <w:uiPriority w:val="99"/>
    <w:semiHidden/>
    <w:rsid w:val="00B04B2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B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04B20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uiPriority w:val="7"/>
    <w:rsid w:val="00F7706D"/>
    <w:rPr>
      <w:rFonts w:ascii="Trebuchet MS" w:eastAsia="Times New Roman" w:hAnsi="Trebuchet MS" w:cs="Times New Roman"/>
      <w:bCs/>
      <w:i/>
      <w:color w:val="000000"/>
    </w:rPr>
  </w:style>
  <w:style w:type="character" w:customStyle="1" w:styleId="Heading4Char">
    <w:name w:val="Heading 4 Char"/>
    <w:aliases w:val="General Heading Char"/>
    <w:link w:val="Heading4"/>
    <w:uiPriority w:val="3"/>
    <w:rsid w:val="00F7706D"/>
    <w:rPr>
      <w:rFonts w:ascii="Trebuchet MS" w:hAnsi="Trebuchet MS"/>
      <w:color w:val="0C2577"/>
      <w:sz w:val="60"/>
    </w:rPr>
  </w:style>
  <w:style w:type="character" w:customStyle="1" w:styleId="Heading5Char">
    <w:name w:val="Heading 5 Char"/>
    <w:aliases w:val="Chapter Heading Char"/>
    <w:link w:val="Heading5"/>
    <w:uiPriority w:val="4"/>
    <w:rsid w:val="00F7706D"/>
    <w:rPr>
      <w:rFonts w:ascii="Trebuchet MS" w:hAnsi="Trebuchet MS"/>
      <w:b/>
      <w:sz w:val="32"/>
    </w:rPr>
  </w:style>
  <w:style w:type="character" w:customStyle="1" w:styleId="Heading6Char">
    <w:name w:val="Heading 6 Char"/>
    <w:aliases w:val="Cover Page Heading Char"/>
    <w:link w:val="Heading6"/>
    <w:uiPriority w:val="8"/>
    <w:rsid w:val="00F7706D"/>
    <w:rPr>
      <w:rFonts w:ascii="Trebuchet MS" w:eastAsia="Times New Roman" w:hAnsi="Trebuchet MS" w:cs="Times New Roman"/>
      <w:iCs/>
      <w:color w:val="0C2577"/>
      <w:sz w:val="90"/>
    </w:rPr>
  </w:style>
  <w:style w:type="paragraph" w:styleId="EnvelopeAddress">
    <w:name w:val="envelope address"/>
    <w:basedOn w:val="Normal"/>
    <w:uiPriority w:val="99"/>
    <w:semiHidden/>
    <w:unhideWhenUsed/>
    <w:rsid w:val="007031F4"/>
    <w:pPr>
      <w:framePr w:w="7920" w:h="1980" w:hRule="exact" w:hSpace="180" w:wrap="auto" w:hAnchor="page" w:xAlign="center" w:yAlign="bottom"/>
      <w:ind w:left="2880"/>
    </w:pPr>
    <w:rPr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031F4"/>
    <w:rPr>
      <w:sz w:val="20"/>
    </w:rPr>
  </w:style>
  <w:style w:type="paragraph" w:customStyle="1" w:styleId="Heading">
    <w:name w:val="Heading"/>
    <w:basedOn w:val="Normal"/>
    <w:rsid w:val="002436BD"/>
    <w:pPr>
      <w:jc w:val="both"/>
    </w:pPr>
    <w:rPr>
      <w:b/>
      <w:sz w:val="26"/>
      <w:szCs w:val="22"/>
    </w:rPr>
  </w:style>
  <w:style w:type="character" w:styleId="Hyperlink">
    <w:name w:val="Hyperlink"/>
    <w:uiPriority w:val="99"/>
    <w:unhideWhenUsed/>
    <w:rsid w:val="002436B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436BD"/>
    <w:pPr>
      <w:ind w:left="720"/>
    </w:pPr>
  </w:style>
  <w:style w:type="character" w:styleId="CommentReference">
    <w:name w:val="annotation reference"/>
    <w:uiPriority w:val="99"/>
    <w:semiHidden/>
    <w:unhideWhenUsed/>
    <w:rsid w:val="002436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36BD"/>
    <w:rPr>
      <w:sz w:val="20"/>
    </w:rPr>
  </w:style>
  <w:style w:type="character" w:customStyle="1" w:styleId="CommentTextChar">
    <w:name w:val="Comment Text Char"/>
    <w:link w:val="CommentText"/>
    <w:uiPriority w:val="99"/>
    <w:rsid w:val="002436BD"/>
    <w:rPr>
      <w:rFonts w:ascii="Trebuchet MS" w:eastAsia="Times New Roman" w:hAnsi="Trebuchet MS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4B2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64B2E"/>
    <w:rPr>
      <w:rFonts w:ascii="Trebuchet MS" w:eastAsia="Times New Roman" w:hAnsi="Trebuchet MS" w:cs="Times New Roman"/>
      <w:b/>
      <w:bCs/>
      <w:sz w:val="20"/>
      <w:szCs w:val="2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D85E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5E77"/>
    <w:rPr>
      <w:rFonts w:ascii="Trebuchet MS" w:eastAsia="Times New Roman" w:hAnsi="Trebuchet MS"/>
      <w:sz w:val="22"/>
    </w:rPr>
  </w:style>
  <w:style w:type="paragraph" w:styleId="Footer">
    <w:name w:val="footer"/>
    <w:basedOn w:val="Normal"/>
    <w:link w:val="FooterChar"/>
    <w:uiPriority w:val="99"/>
    <w:unhideWhenUsed/>
    <w:rsid w:val="00D85E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5E77"/>
    <w:rPr>
      <w:rFonts w:ascii="Trebuchet MS" w:eastAsia="Times New Roman" w:hAnsi="Trebuchet MS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819AE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19AE"/>
    <w:rPr>
      <w:rFonts w:ascii="Trebuchet MS" w:eastAsia="Times New Roman" w:hAnsi="Trebuchet MS"/>
    </w:rPr>
  </w:style>
  <w:style w:type="character" w:styleId="FootnoteReference">
    <w:name w:val="footnote reference"/>
    <w:basedOn w:val="DefaultParagraphFont"/>
    <w:uiPriority w:val="99"/>
    <w:semiHidden/>
    <w:unhideWhenUsed/>
    <w:rsid w:val="004819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legislation.gov.au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nternal.apra.gov.au\national\Sydney\PAD\Public\Policy%20Development\Policy%20Templates\ES%20templates\Template%20-%20ES%20for%20new%20prudential%20standard%20(April%202016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8aef97a4-ded2-4e4a-9fbc-e666dae3ecd2" ContentTypeId="0x0101008CA7A4F8331B45C7B0D3158B4994D0CA02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05115a133414b4dabee2531e4b46b67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Registration</TermName>
          <TermId xmlns="http://schemas.microsoft.com/office/infopath/2007/PartnerControls">390476ce-d76d-4e8d-905f-28e32d2df127</TermId>
        </TermInfo>
        <TermInfo xmlns="http://schemas.microsoft.com/office/infopath/2007/PartnerControls">
          <TermName xmlns="http://schemas.microsoft.com/office/infopath/2007/PartnerControls">Statutory instrument</TermName>
          <TermId xmlns="http://schemas.microsoft.com/office/infopath/2007/PartnerControls">fe68928c-5a9c-4caf-bc8c-6c18cedcb17f</TermId>
        </TermInfo>
      </Terms>
    </i05115a133414b4dabee2531e4b46b67>
    <h67caa35a4114acd8e15fe89b3f29f9e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Explanatory statement</TermName>
          <TermId xmlns="http://schemas.microsoft.com/office/infopath/2007/PartnerControls">b22f2e2f-3f73-411b-9a7c-34264d26fa25</TermId>
        </TermInfo>
      </Terms>
    </h67caa35a4114acd8e15fe89b3f29f9e>
    <b37d8d7e823543f58f89056343a9035c xmlns="814d62cb-2db6-4c25-ab62-b9075facbc11">
      <Terms xmlns="http://schemas.microsoft.com/office/infopath/2007/PartnerControls"/>
    </b37d8d7e823543f58f89056343a9035c>
    <d9a849fd1b8e46ada0321eb0681a10ee xmlns="814d62cb-2db6-4c25-ab62-b9075facbc11">
      <Terms xmlns="http://schemas.microsoft.com/office/infopath/2007/PartnerControls"/>
    </d9a849fd1b8e46ada0321eb0681a10ee>
    <APRAOwner xmlns="814d62cb-2db6-4c25-ab62-b9075facbc11">
      <UserInfo>
        <DisplayName/>
        <AccountId xsi:nil="true"/>
        <AccountType/>
      </UserInfo>
    </APRAOwner>
    <ic4067bd02f14cf3a95ad35878404a71 xmlns="814d62cb-2db6-4c25-ab62-b9075facbc11">
      <Terms xmlns="http://schemas.microsoft.com/office/infopath/2007/PartnerControls"/>
    </ic4067bd02f14cf3a95ad35878404a71>
    <APRASecurityClassification xmlns="814d62cb-2db6-4c25-ab62-b9075facbc11">UNCLASSIFIED</APRASecurityClassification>
    <j724204a644741eb9f777fcb03fe8840 xmlns="814d62cb-2db6-4c25-ab62-b9075facbc11">
      <Terms xmlns="http://schemas.microsoft.com/office/infopath/2007/PartnerControls"/>
    </j724204a644741eb9f777fcb03fe8840>
    <APRAApprovalDate xmlns="814d62cb-2db6-4c25-ab62-b9075facbc11" xsi:nil="true"/>
    <k4bcc0d734474fea9fb713d9c415b4b0 xmlns="814d62cb-2db6-4c25-ab62-b9075facbc11">
      <Terms xmlns="http://schemas.microsoft.com/office/infopath/2007/PartnerControls"/>
    </k4bcc0d734474fea9fb713d9c415b4b0>
    <APRAKeywords xmlns="814d62cb-2db6-4c25-ab62-b9075facbc11">Explanatory statement; </APRAKeywords>
    <APRAApprovedBy xmlns="814d62cb-2db6-4c25-ab62-b9075facbc11">
      <UserInfo>
        <DisplayName/>
        <AccountId xsi:nil="true"/>
        <AccountType/>
      </UserInfo>
    </APRAApprovedBy>
    <APRAMeetingDate xmlns="814d62cb-2db6-4c25-ab62-b9075facbc11" xsi:nil="true"/>
    <APRAMeetingNumber xmlns="814d62cb-2db6-4c25-ab62-b9075facbc11" xsi:nil="true"/>
    <APRADate xmlns="814d62cb-2db6-4c25-ab62-b9075facbc11">2018-04-18T14:00:00+00:00</APRADate>
    <j163382b748246d3b6e7caae71dbeeb0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84d6b2d0-8498-4d62-bf46-bab38babbe9e</TermId>
        </TermInfo>
      </Terms>
    </j163382b748246d3b6e7caae71dbeeb0>
    <TaxCatchAll xmlns="814d62cb-2db6-4c25-ab62-b9075facbc11">
      <Value>24</Value>
      <Value>83</Value>
      <Value>234</Value>
      <Value>134</Value>
      <Value>10</Value>
      <Value>26</Value>
      <Value>93</Value>
      <Value>109</Value>
      <Value>158</Value>
      <Value>4</Value>
      <Value>19</Value>
      <Value>171</Value>
    </TaxCatchAll>
    <pa005173035e41c3986b37b8e650f3ef xmlns="814d62cb-2db6-4c25-ab62-b9075facbc11">
      <Terms xmlns="http://schemas.microsoft.com/office/infopath/2007/PartnerControls"/>
    </pa005173035e41c3986b37b8e650f3ef>
    <ka2715b9eb154114a4f57d7fbf82ec75 xmlns="814d62cb-2db6-4c25-ab62-b9075facbc11">
      <Terms xmlns="http://schemas.microsoft.com/office/infopath/2007/PartnerControls"/>
    </ka2715b9eb154114a4f57d7fbf82ec75>
    <l003ee8eff60461aa1bd0027aba92ea4 xmlns="814d62cb-2db6-4c25-ab62-b9075facbc11">
      <Terms xmlns="http://schemas.microsoft.com/office/infopath/2007/PartnerControls"/>
    </l003ee8eff60461aa1bd0027aba92ea4>
    <APRADescription xmlns="814d62cb-2db6-4c25-ab62-b9075facbc11">Consolidated Explanatory Statement (ES) for Banking (prudential standard) determination No. 1 and 2 of 2018</APRADescription>
    <APRAActivityID xmlns="814d62cb-2db6-4c25-ab62-b9075facbc11" xsi:nil="true"/>
    <p10c80fc2da942ae8f2ea9b33b6ea0ba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PAD300</TermName>
          <TermId xmlns="http://schemas.microsoft.com/office/infopath/2007/PartnerControls">98bbdbe4-d019-48eb-87c4-aa31a7f2f98f</TermId>
        </TermInfo>
        <TermInfo xmlns="http://schemas.microsoft.com/office/infopath/2007/PartnerControls">
          <TermName xmlns="http://schemas.microsoft.com/office/infopath/2007/PartnerControls">Legal - ADI</TermName>
          <TermId xmlns="http://schemas.microsoft.com/office/infopath/2007/PartnerControls">652d8d2a-ab45-47b4-ac6e-fe6ac9299b39</TermId>
        </TermInfo>
        <TermInfo xmlns="http://schemas.microsoft.com/office/infopath/2007/PartnerControls">
          <TermName xmlns="http://schemas.microsoft.com/office/infopath/2007/PartnerControls">Legal - Insurance: General</TermName>
          <TermId xmlns="http://schemas.microsoft.com/office/infopath/2007/PartnerControls">8229dc1a-d7f2-47b2-844a-b026fed0c13d</TermId>
        </TermInfo>
        <TermInfo xmlns="http://schemas.microsoft.com/office/infopath/2007/PartnerControls">
          <TermName xmlns="http://schemas.microsoft.com/office/infopath/2007/PartnerControls">Legal - Insurance: Life</TermName>
          <TermId xmlns="http://schemas.microsoft.com/office/infopath/2007/PartnerControls">56f18b50-6605-4f3f-97e3-cad1cb5394e0</TermId>
        </TermInfo>
        <TermInfo xmlns="http://schemas.microsoft.com/office/infopath/2007/PartnerControls">
          <TermName xmlns="http://schemas.microsoft.com/office/infopath/2007/PartnerControls">Legal - Insurance: Health</TermName>
          <TermId xmlns="http://schemas.microsoft.com/office/infopath/2007/PartnerControls">21611e62-d688-4f0d-8807-02701cc43699</TermId>
        </TermInfo>
        <TermInfo xmlns="http://schemas.microsoft.com/office/infopath/2007/PartnerControls">
          <TermName xmlns="http://schemas.microsoft.com/office/infopath/2007/PartnerControls">Legal - Superannuation</TermName>
          <TermId xmlns="http://schemas.microsoft.com/office/infopath/2007/PartnerControls">cce3181d-fd23-4eee-94d3-c66abc2350cf</TermId>
        </TermInfo>
        <TermInfo xmlns="http://schemas.microsoft.com/office/infopath/2007/PartnerControls">
          <TermName xmlns="http://schemas.microsoft.com/office/infopath/2007/PartnerControls">Legal - Resolution ＆ Corporate</TermName>
          <TermId xmlns="http://schemas.microsoft.com/office/infopath/2007/PartnerControls">696624b1-19f4-47b2-a07b-57868a922a96</TermId>
        </TermInfo>
      </Terms>
    </p10c80fc2da942ae8f2ea9b33b6ea0ba>
    <i08e72d8ce2b4ffa9361f9f4e0a63abc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2018</TermName>
          <TermId xmlns="http://schemas.microsoft.com/office/infopath/2007/PartnerControls">337d548e-be9a-4363-bbb3-ec2b7c3daa90</TermId>
        </TermInfo>
      </Terms>
    </i08e72d8ce2b4ffa9361f9f4e0a63abc>
    <APRADocScanCheck xmlns="814d62cb-2db6-4c25-ab62-b9075facbc11">false</APRADocScanCheck>
    <aa36a5a650d54f768f171f4d17b8b238 xmlns="814d62cb-2db6-4c25-ab62-b9075facbc11">
      <Terms xmlns="http://schemas.microsoft.com/office/infopath/2007/PartnerControls"/>
    </aa36a5a650d54f768f171f4d17b8b238>
    <_dlc_DocId xmlns="814d62cb-2db6-4c25-ab62-b9075facbc11">5JENXJJSCC7A-445999044-8118</_dlc_DocId>
    <_dlc_DocIdUrl xmlns="814d62cb-2db6-4c25-ab62-b9075facbc11">
      <Url>https://im/teams/LEGAL/_layouts/15/DocIdRedir.aspx?ID=5JENXJJSCC7A-445999044-8118</Url>
      <Description>5JENXJJSCC7A-445999044-8118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tandard Content" ma:contentTypeID="0x0101008CA7A4F8331B45C7B0D3158B4994D0CA0200577EC0F5A1FBFC498F9A8436B963F8A6" ma:contentTypeVersion="41" ma:contentTypeDescription="Create a new document." ma:contentTypeScope="" ma:versionID="593a7336944447a431342e13939a075b">
  <xsd:schema xmlns:xsd="http://www.w3.org/2001/XMLSchema" xmlns:xs="http://www.w3.org/2001/XMLSchema" xmlns:p="http://schemas.microsoft.com/office/2006/metadata/properties" xmlns:ns1="814d62cb-2db6-4c25-ab62-b9075facbc11" targetNamespace="http://schemas.microsoft.com/office/2006/metadata/properties" ma:root="true" ma:fieldsID="f09e4a90de645c7ef264041fb58de94c" ns1:_="">
    <xsd:import namespace="814d62cb-2db6-4c25-ab62-b9075facbc11"/>
    <xsd:element name="properties">
      <xsd:complexType>
        <xsd:sequence>
          <xsd:element name="documentManagement">
            <xsd:complexType>
              <xsd:all>
                <xsd:element ref="ns1:_dlc_DocIdUrl" minOccurs="0"/>
                <xsd:element ref="ns1:APRADescription" minOccurs="0"/>
                <xsd:element ref="ns1:APRAActivityID" minOccurs="0"/>
                <xsd:element ref="ns1:APRASecurityClassification"/>
                <xsd:element ref="ns1:APRAKeywords" minOccurs="0"/>
                <xsd:element ref="ns1:APRADate" minOccurs="0"/>
                <xsd:element ref="ns1:APRAOwner" minOccurs="0"/>
                <xsd:element ref="ns1:APRAApprovedBy" minOccurs="0"/>
                <xsd:element ref="ns1:APRAApprovalDate" minOccurs="0"/>
                <xsd:element ref="ns1:APRAEntityID" minOccurs="0"/>
                <xsd:element ref="ns1:APRAEntityName" minOccurs="0"/>
                <xsd:element ref="ns1:Received" minOccurs="0"/>
                <xsd:element ref="ns1:From-Address" minOccurs="0"/>
                <xsd:element ref="ns1:To-Address" minOccurs="0"/>
                <xsd:element ref="ns1:Attachment" minOccurs="0"/>
                <xsd:element ref="ns1:Conversation" minOccurs="0"/>
                <xsd:element ref="ns1:APRADocScanCheck" minOccurs="0"/>
                <xsd:element ref="ns1:j163382b748246d3b6e7caae71dbeeb0" minOccurs="0"/>
                <xsd:element ref="ns1:f284b4f8578a44cfae4f67a86df81119" minOccurs="0"/>
                <xsd:element ref="ns1:_dlc_DocIdPersistId" minOccurs="0"/>
                <xsd:element ref="ns1:i05115a133414b4dabee2531e4b46b67" minOccurs="0"/>
                <xsd:element ref="ns1:h67caa35a4114acd8e15fe89b3f29f9e" minOccurs="0"/>
                <xsd:element ref="ns1:pa005173035e41c3986b37b8e650f3ef" minOccurs="0"/>
                <xsd:element ref="ns1:p10c80fc2da942ae8f2ea9b33b6ea0ba" minOccurs="0"/>
                <xsd:element ref="ns1:ka2715b9eb154114a4f57d7fbf82ec75" minOccurs="0"/>
                <xsd:element ref="ns1:TaxCatchAll" minOccurs="0"/>
                <xsd:element ref="ns1:i08e72d8ce2b4ffa9361f9f4e0a63abc" minOccurs="0"/>
                <xsd:element ref="ns1:TaxCatchAllLabel" minOccurs="0"/>
                <xsd:element ref="ns1:ic4067bd02f14cf3a95ad35878404a71" minOccurs="0"/>
                <xsd:element ref="ns1:l003ee8eff60461aa1bd0027aba92ea4" minOccurs="0"/>
                <xsd:element ref="ns1:b37d8d7e823543f58f89056343a9035c" minOccurs="0"/>
                <xsd:element ref="ns1:_dlc_DocId" minOccurs="0"/>
                <xsd:element ref="ns1:aa36a5a650d54f768f171f4d17b8b238" minOccurs="0"/>
                <xsd:element ref="ns1:j724204a644741eb9f777fcb03fe8840" minOccurs="0"/>
                <xsd:element ref="ns1:m2df5fdf6d1643b4a596982762bb3d00" minOccurs="0"/>
                <xsd:element ref="ns1:k4bcc0d734474fea9fb713d9c415b4b0" minOccurs="0"/>
                <xsd:element ref="ns1:d9a849fd1b8e46ada0321eb0681a10ee" minOccurs="0"/>
                <xsd:element ref="ns1:APRAMeetingDate" minOccurs="0"/>
                <xsd:element ref="ns1:APRAMeeting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d62cb-2db6-4c25-ab62-b9075facbc11" elementFormDefault="qualified">
    <xsd:import namespace="http://schemas.microsoft.com/office/2006/documentManagement/types"/>
    <xsd:import namespace="http://schemas.microsoft.com/office/infopath/2007/PartnerControls"/>
    <xsd:element name="_dlc_DocIdUrl" ma:index="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PRADescription" ma:index="3" nillable="true" ma:displayName="Description" ma:internalName="APRADescription">
      <xsd:simpleType>
        <xsd:restriction base="dms:Note"/>
      </xsd:simpleType>
    </xsd:element>
    <xsd:element name="APRAActivityID" ma:index="4" nillable="true" ma:displayName="Activity ID" ma:internalName="APRAActivityID" ma:readOnly="false">
      <xsd:simpleType>
        <xsd:restriction base="dms:Text"/>
      </xsd:simpleType>
    </xsd:element>
    <xsd:element name="APRASecurityClassification" ma:index="8" ma:displayName="Security classification" ma:default="DLM: For Official Use Only" ma:hidden="true" ma:internalName="APRASecurityClassification" ma:readOnly="false">
      <xsd:simpleType>
        <xsd:restriction base="dms:Choice">
          <xsd:enumeration value="UNCLASSIFIED"/>
          <xsd:enumeration value="DLM: For Official Use Only"/>
          <xsd:enumeration value="DLM: Sensitive"/>
          <xsd:enumeration value="DLM: Sensitive: Legal"/>
          <xsd:enumeration value="DLM: Sensitive: Personal"/>
          <xsd:enumeration value="PROTECTED"/>
          <xsd:enumeration value="PROTECTED: Sensitive: Cabinet"/>
          <xsd:enumeration value="UNOFFICIAL"/>
        </xsd:restriction>
      </xsd:simpleType>
    </xsd:element>
    <xsd:element name="APRAKeywords" ma:index="16" nillable="true" ma:displayName="Keywords" ma:internalName="APRAKeywords" ma:readOnly="false">
      <xsd:simpleType>
        <xsd:restriction base="dms:Text"/>
      </xsd:simpleType>
    </xsd:element>
    <xsd:element name="APRADate" ma:index="18" nillable="true" ma:displayName="Date" ma:format="DateOnly" ma:internalName="APRADate" ma:readOnly="false">
      <xsd:simpleType>
        <xsd:restriction base="dms:DateTime"/>
      </xsd:simpleType>
    </xsd:element>
    <xsd:element name="APRAOwner" ma:index="21" nillable="true" ma:displayName="Owner" ma:list="UserInfo" ma:internalName="APRAOwn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RAApprovedBy" ma:index="22" nillable="true" ma:displayName="Approved by" ma:list="UserInfo" ma:internalName="APRAApprovedBy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RAApprovalDate" ma:index="23" nillable="true" ma:displayName="Approval date" ma:format="DateOnly" ma:internalName="APRAApprovalDate" ma:readOnly="false">
      <xsd:simpleType>
        <xsd:restriction base="dms:DateTime"/>
      </xsd:simpleType>
    </xsd:element>
    <xsd:element name="APRAEntityID" ma:index="24" nillable="true" ma:displayName="Entity ID" ma:internalName="APRAEntityID" ma:readOnly="true">
      <xsd:simpleType>
        <xsd:restriction base="dms:Text"/>
      </xsd:simpleType>
    </xsd:element>
    <xsd:element name="APRAEntityName" ma:index="25" nillable="true" ma:displayName="Entity name" ma:internalName="APRAEntityName" ma:readOnly="true">
      <xsd:simpleType>
        <xsd:restriction base="dms:Text"/>
      </xsd:simpleType>
    </xsd:element>
    <xsd:element name="Received" ma:index="28" nillable="true" ma:displayName="Received" ma:format="DateTime" ma:internalName="Received" ma:readOnly="true">
      <xsd:simpleType>
        <xsd:restriction base="dms:DateTime"/>
      </xsd:simpleType>
    </xsd:element>
    <xsd:element name="From-Address" ma:index="29" nillable="true" ma:displayName="From-Address" ma:internalName="From_x002d_Address" ma:readOnly="true">
      <xsd:simpleType>
        <xsd:restriction base="dms:Text"/>
      </xsd:simpleType>
    </xsd:element>
    <xsd:element name="To-Address" ma:index="30" nillable="true" ma:displayName="To-Address" ma:internalName="To_x002d_Address" ma:readOnly="true">
      <xsd:simpleType>
        <xsd:restriction base="dms:Text"/>
      </xsd:simpleType>
    </xsd:element>
    <xsd:element name="Attachment" ma:index="31" nillable="true" ma:displayName="Attachment" ma:internalName="Attachment" ma:readOnly="true">
      <xsd:simpleType>
        <xsd:restriction base="dms:Boolean"/>
      </xsd:simpleType>
    </xsd:element>
    <xsd:element name="Conversation" ma:index="32" nillable="true" ma:displayName="Conversation" ma:internalName="Conversation" ma:readOnly="true">
      <xsd:simpleType>
        <xsd:restriction base="dms:Text"/>
      </xsd:simpleType>
    </xsd:element>
    <xsd:element name="APRADocScanCheck" ma:index="33" nillable="true" ma:displayName="Scanned document checked" ma:default="0" ma:internalName="APRADocScanCheck" ma:readOnly="false">
      <xsd:simpleType>
        <xsd:restriction base="dms:Boolean"/>
      </xsd:simpleType>
    </xsd:element>
    <xsd:element name="j163382b748246d3b6e7caae71dbeeb0" ma:index="34" ma:taxonomy="true" ma:internalName="j163382b748246d3b6e7caae71dbeeb0" ma:taxonomyFieldName="APRAStatus" ma:displayName="Status" ma:readOnly="false" ma:default="1;#Draft|0e1556d2-3fe8-443a-ada7-3620563b46b3" ma:fieldId="{3163382b-7482-46d3-b6e7-caae71dbeeb0}" ma:sspId="8aef97a4-ded2-4e4a-9fbc-e666dae3ecd2" ma:termSetId="7eb4e65e-417b-4c63-9676-ecbbffa46f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284b4f8578a44cfae4f67a86df81119" ma:index="35" nillable="true" ma:taxonomy="true" ma:internalName="f284b4f8578a44cfae4f67a86df81119" ma:taxonomyFieldName="APRAReportingGroup" ma:displayName="Reporting group" ma:readOnly="true" ma:fieldId="{f284b4f8-578a-44cf-ae4f-67a86df81119}" ma:sspId="8aef97a4-ded2-4e4a-9fbc-e666dae3ecd2" ma:termSetId="c09f06e2-9097-495c-bd1d-5eef1197c3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PersistId" ma:index="3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05115a133414b4dabee2531e4b46b67" ma:index="39" ma:taxonomy="true" ma:internalName="i05115a133414b4dabee2531e4b46b67" ma:taxonomyFieldName="APRAActivity" ma:displayName="Activity" ma:readOnly="false" ma:fieldId="{205115a1-3341-4b4d-abee-2531e4b46b67}" ma:taxonomyMulti="true" ma:sspId="8aef97a4-ded2-4e4a-9fbc-e666dae3ecd2" ma:termSetId="0a2aee47-fbed-4b43-b934-0547b3421a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67caa35a4114acd8e15fe89b3f29f9e" ma:index="40" ma:taxonomy="true" ma:internalName="h67caa35a4114acd8e15fe89b3f29f9e" ma:taxonomyFieldName="APRADocumentType" ma:displayName="Document type" ma:readOnly="false" ma:fieldId="{167caa35-a411-4acd-8e15-fe89b3f29f9e}" ma:taxonomyMulti="true" ma:sspId="8aef97a4-ded2-4e4a-9fbc-e666dae3ecd2" ma:termSetId="af1c35f7-5763-4cde-bc1a-b0c7e164f1e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a005173035e41c3986b37b8e650f3ef" ma:index="41" nillable="true" ma:taxonomy="true" ma:internalName="pa005173035e41c3986b37b8e650f3ef" ma:taxonomyFieldName="APRAExternalOrganisation" ma:displayName="External organisation" ma:readOnly="false" ma:fieldId="{9a005173-035e-41c3-986b-37b8e650f3ef}" ma:taxonomyMulti="true" ma:sspId="8aef97a4-ded2-4e4a-9fbc-e666dae3ecd2" ma:termSetId="8f5dd4ac-0a4b-4ffd-a2d2-a2e85755e1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10c80fc2da942ae8f2ea9b33b6ea0ba" ma:index="43" nillable="true" ma:taxonomy="true" ma:internalName="p10c80fc2da942ae8f2ea9b33b6ea0ba" ma:taxonomyFieldName="APRACostCentre" ma:displayName="Cost Centre/Team" ma:readOnly="false" ma:fieldId="{910c80fc-2da9-42ae-8f2e-a9b33b6ea0ba}" ma:taxonomyMulti="true" ma:sspId="8aef97a4-ded2-4e4a-9fbc-e666dae3ecd2" ma:termSetId="f265c3b6-05fc-4e2c-ba60-4d4988c2d8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2715b9eb154114a4f57d7fbf82ec75" ma:index="45" nillable="true" ma:taxonomy="true" ma:internalName="ka2715b9eb154114a4f57d7fbf82ec75" ma:taxonomyFieldName="APRAPeriod" ma:displayName="Period" ma:readOnly="false" ma:fieldId="{4a2715b9-eb15-4114-a4f5-7d7fbf82ec75}" ma:taxonomyMulti="true" ma:sspId="8aef97a4-ded2-4e4a-9fbc-e666dae3ecd2" ma:termSetId="1a5cf56a-d80d-4891-bac9-68519ce5a3a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6" nillable="true" ma:displayName="Taxonomy Catch All Column" ma:hidden="true" ma:list="{84347c30-9e0d-4c46-b2d7-e19e22f5828c}" ma:internalName="TaxCatchAll" ma:showField="CatchAllData" ma:web="75a71c27-8d66-4282-ae60-1bfc22a83b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08e72d8ce2b4ffa9361f9f4e0a63abc" ma:index="47" nillable="true" ma:taxonomy="true" ma:internalName="i08e72d8ce2b4ffa9361f9f4e0a63abc" ma:taxonomyFieldName="APRAYear" ma:displayName="Year" ma:readOnly="false" ma:fieldId="{208e72d8-ce2b-4ffa-9361-f9f4e0a63abc}" ma:taxonomyMulti="true" ma:sspId="8aef97a4-ded2-4e4a-9fbc-e666dae3ecd2" ma:termSetId="b4e5147a-ac61-437a-b431-73cf5e3f50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48" nillable="true" ma:displayName="Taxonomy Catch All Column1" ma:hidden="true" ma:list="{84347c30-9e0d-4c46-b2d7-e19e22f5828c}" ma:internalName="TaxCatchAllLabel" ma:readOnly="true" ma:showField="CatchAllDataLabel" ma:web="75a71c27-8d66-4282-ae60-1bfc22a83b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c4067bd02f14cf3a95ad35878404a71" ma:index="49" nillable="true" ma:taxonomy="true" ma:internalName="ic4067bd02f14cf3a95ad35878404a71" ma:taxonomyFieldName="APRAIRTR" ma:displayName="Industry risk/thematic review" ma:readOnly="false" ma:fieldId="{2c4067bd-02f1-4cf3-a95a-d35878404a71}" ma:taxonomyMulti="true" ma:sspId="8aef97a4-ded2-4e4a-9fbc-e666dae3ecd2" ma:termSetId="6721df7c-916a-435f-a198-7feb96db397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003ee8eff60461aa1bd0027aba92ea4" ma:index="50" nillable="true" ma:taxonomy="true" ma:internalName="l003ee8eff60461aa1bd0027aba92ea4" ma:taxonomyFieldName="APRAIndustry" ma:displayName="Industry/Sector" ma:readOnly="false" ma:fieldId="{5003ee8e-ff60-461a-a1bd-0027aba92ea4}" ma:taxonomyMulti="true" ma:sspId="8aef97a4-ded2-4e4a-9fbc-e666dae3ecd2" ma:termSetId="d46a36ff-b81c-47a6-84c2-b6a574ca6a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7d8d7e823543f58f89056343a9035c" ma:index="51" nillable="true" ma:taxonomy="true" ma:internalName="b37d8d7e823543f58f89056343a9035c" ma:taxonomyFieldName="APRALegislation" ma:displayName="Legislation" ma:readOnly="false" ma:fieldId="{b37d8d7e-8235-43f5-8f89-056343a9035c}" ma:taxonomyMulti="true" ma:sspId="8aef97a4-ded2-4e4a-9fbc-e666dae3ecd2" ma:termSetId="67e0a470-b4af-4691-908a-b900ee38db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5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aa36a5a650d54f768f171f4d17b8b238" ma:index="53" nillable="true" ma:taxonomy="true" ma:internalName="aa36a5a650d54f768f171f4d17b8b238" ma:taxonomyFieldName="APRAPRSG" ma:displayName="Prudential/Reporting Standards and Guidance" ma:readOnly="false" ma:fieldId="{aa36a5a6-50d5-4f76-8f17-1f4d17b8b238}" ma:taxonomyMulti="true" ma:sspId="8aef97a4-ded2-4e4a-9fbc-e666dae3ecd2" ma:termSetId="1abfbd64-a7ba-41ad-bd44-677dfc6b1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724204a644741eb9f777fcb03fe8840" ma:index="55" nillable="true" ma:taxonomy="true" ma:internalName="j724204a644741eb9f777fcb03fe8840" ma:taxonomyFieldName="APRACategory" ma:displayName="Category" ma:readOnly="false" ma:fieldId="{3724204a-6447-41eb-9f77-7fcb03fe8840}" ma:taxonomyMulti="true" ma:sspId="8aef97a4-ded2-4e4a-9fbc-e666dae3ecd2" ma:termSetId="41464afd-e131-42da-a884-f3396a619f5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2df5fdf6d1643b4a596982762bb3d00" ma:index="56" nillable="true" ma:taxonomy="true" ma:internalName="m2df5fdf6d1643b4a596982762bb3d00" ma:taxonomyFieldName="APRAPeerGroup" ma:displayName="Peer group" ma:readOnly="true" ma:fieldId="{62df5fdf-6d16-43b4-a596-982762bb3d00}" ma:sspId="8aef97a4-ded2-4e4a-9fbc-e666dae3ecd2" ma:termSetId="c3795591-82c1-4a32-b59e-800e245eddf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4bcc0d734474fea9fb713d9c415b4b0" ma:index="57" nillable="true" ma:taxonomy="true" ma:internalName="k4bcc0d734474fea9fb713d9c415b4b0" ma:taxonomyFieldName="APRAEntityAdviceSupport" ma:displayName="Entity (advice/support)" ma:readOnly="false" ma:fieldId="{44bcc0d7-3447-4fea-9fb7-13d9c415b4b0}" ma:taxonomyMulti="true" ma:sspId="8aef97a4-ded2-4e4a-9fbc-e666dae3ecd2" ma:termSetId="65e4e273-0c24-4815-bb8d-38cd0e8111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9a849fd1b8e46ada0321eb0681a10ee" ma:index="59" nillable="true" ma:taxonomy="true" ma:internalName="d9a849fd1b8e46ada0321eb0681a10ee" ma:taxonomyFieldName="IT_x0020_system_x0020_type" ma:displayName="IT system type" ma:readOnly="false" ma:default="" ma:fieldId="{d9a849fd-1b8e-46ad-a032-1eb0681a10ee}" ma:sspId="8aef97a4-ded2-4e4a-9fbc-e666dae3ecd2" ma:termSetId="a68d55e5-4bde-43c7-bab2-2f4763c2c76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PRAMeetingDate" ma:index="61" nillable="true" ma:displayName="Meeting date" ma:format="DateOnly" ma:internalName="APRAMeetingDate" ma:readOnly="false">
      <xsd:simpleType>
        <xsd:restriction base="dms:DateTime"/>
      </xsd:simpleType>
    </xsd:element>
    <xsd:element name="APRAMeetingNumber" ma:index="62" nillable="true" ma:displayName="Meeting no." ma:internalName="APRAMeetingNumber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6CF25-204A-4E9C-A33A-8C41061C13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CB666C-A23D-4571-AF4E-B2B823F51EF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F869ADA-DA68-4B83-B556-15233D6E3CD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10872E45-AC27-4C94-95AD-52B82F99D05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14d62cb-2db6-4c25-ab62-b9075facbc11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CA847042-0907-4431-959F-40D82CB860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4d62cb-2db6-4c25-ab62-b9075facb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D3ADBFA6-DD7D-44D0-B6B3-8986CDF53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ES for new prudential standard (April 2016).dotx</Template>
  <TotalTime>0</TotalTime>
  <Pages>4</Pages>
  <Words>1292</Words>
  <Characters>7572</Characters>
  <Application>Microsoft Office Word</Application>
  <DocSecurity>0</DocSecurity>
  <Lines>135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Explanatory Statement new prudential standard</vt:lpstr>
    </vt:vector>
  </TitlesOfParts>
  <Company>APRA</Company>
  <LinksUpToDate>false</LinksUpToDate>
  <CharactersWithSpaces>8803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 - Banking (prudential standard) determination No. 1 and 2 of 2018</dc:title>
  <dc:creator>Sullivan, David</dc:creator>
  <cp:keywords>[SEC=UNCLASSIFIED]</cp:keywords>
  <cp:lastModifiedBy>Toni Michalis</cp:lastModifiedBy>
  <cp:revision>2</cp:revision>
  <cp:lastPrinted>2018-04-19T07:43:00Z</cp:lastPrinted>
  <dcterms:created xsi:type="dcterms:W3CDTF">2018-04-26T23:39:00Z</dcterms:created>
  <dcterms:modified xsi:type="dcterms:W3CDTF">2018-04-26T23:39:00Z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Value_Footer">
    <vt:lpwstr>UNCLASSIFIED</vt:lpwstr>
  </property>
  <property fmtid="{D5CDD505-2E9C-101B-9397-08002B2CF9AE}" pid="3" name="PM_Caveats_Count">
    <vt:lpwstr>0</vt:lpwstr>
  </property>
  <property fmtid="{D5CDD505-2E9C-101B-9397-08002B2CF9AE}" pid="4" name="PM_Originator_Hash_SHA1">
    <vt:lpwstr>932A4D8DEB30F49B5D888DC2081C7FEE0B1F315D</vt:lpwstr>
  </property>
  <property fmtid="{D5CDD505-2E9C-101B-9397-08002B2CF9AE}" pid="5" name="PM_SecurityClassification">
    <vt:lpwstr>UNCLASSIFIED</vt:lpwstr>
  </property>
  <property fmtid="{D5CDD505-2E9C-101B-9397-08002B2CF9AE}" pid="6" name="PM_DisplayValueSecClassificationWithQualifier">
    <vt:lpwstr>UNCLASSIFIED</vt:lpwstr>
  </property>
  <property fmtid="{D5CDD505-2E9C-101B-9397-08002B2CF9AE}" pid="7" name="PM_Qualifier">
    <vt:lpwstr/>
  </property>
  <property fmtid="{D5CDD505-2E9C-101B-9397-08002B2CF9AE}" pid="8" name="PM_Hash_SHA1">
    <vt:lpwstr>1446B5E771A042FE7EBE9039065E6F0A38134D8E</vt:lpwstr>
  </property>
  <property fmtid="{D5CDD505-2E9C-101B-9397-08002B2CF9AE}" pid="9" name="PM_ProtectiveMarkingImage_Header">
    <vt:lpwstr>C:\Program Files (x86)\Common Files\janusNET Shared\janusSEAL\Images\DocumentSlashBlue.png</vt:lpwstr>
  </property>
  <property fmtid="{D5CDD505-2E9C-101B-9397-08002B2CF9AE}" pid="10" name="PM_InsertionValue">
    <vt:lpwstr>UNCLASSIFIED</vt:lpwstr>
  </property>
  <property fmtid="{D5CDD505-2E9C-101B-9397-08002B2CF9AE}" pid="11" name="PM_ProtectiveMarkingValue_Header">
    <vt:lpwstr>UNCLASSIFIED</vt:lpwstr>
  </property>
  <property fmtid="{D5CDD505-2E9C-101B-9397-08002B2CF9AE}" pid="12" name="PM_ProtectiveMarkingImage_Footer">
    <vt:lpwstr>C:\Program Files (x86)\Common Files\janusNET Shared\janusSEAL\Images\DocumentSlashBlue.png</vt:lpwstr>
  </property>
  <property fmtid="{D5CDD505-2E9C-101B-9397-08002B2CF9AE}" pid="13" name="PM_Namespace">
    <vt:lpwstr>gov.au</vt:lpwstr>
  </property>
  <property fmtid="{D5CDD505-2E9C-101B-9397-08002B2CF9AE}" pid="14" name="PM_Version">
    <vt:lpwstr>2012.3</vt:lpwstr>
  </property>
  <property fmtid="{D5CDD505-2E9C-101B-9397-08002B2CF9AE}" pid="15" name="PM_Originating_FileId">
    <vt:lpwstr>F5A18DAB8C524AA98B567E1C7690008C</vt:lpwstr>
  </property>
  <property fmtid="{D5CDD505-2E9C-101B-9397-08002B2CF9AE}" pid="16" name="PM_OriginationTimeStamp">
    <vt:lpwstr>2017-07-27T01:11:02Z</vt:lpwstr>
  </property>
  <property fmtid="{D5CDD505-2E9C-101B-9397-08002B2CF9AE}" pid="17" name="PM_Hash_Version">
    <vt:lpwstr>2016.1</vt:lpwstr>
  </property>
  <property fmtid="{D5CDD505-2E9C-101B-9397-08002B2CF9AE}" pid="18" name="PM_Hash_Salt_Prev">
    <vt:lpwstr>3680D3E932AE77F284832D3DE4C1CDCD</vt:lpwstr>
  </property>
  <property fmtid="{D5CDD505-2E9C-101B-9397-08002B2CF9AE}" pid="19" name="PM_Hash_Salt">
    <vt:lpwstr>3680D3E932AE77F284832D3DE4C1CDCD</vt:lpwstr>
  </property>
  <property fmtid="{D5CDD505-2E9C-101B-9397-08002B2CF9AE}" pid="20" name="PM_MinimumSecurityClassification">
    <vt:lpwstr/>
  </property>
  <property fmtid="{D5CDD505-2E9C-101B-9397-08002B2CF9AE}" pid="21" name="ContentTypeId">
    <vt:lpwstr>0x0101008CA7A4F8331B45C7B0D3158B4994D0CA0200577EC0F5A1FBFC498F9A8436B963F8A6</vt:lpwstr>
  </property>
  <property fmtid="{D5CDD505-2E9C-101B-9397-08002B2CF9AE}" pid="22" name="APRAPeriod">
    <vt:lpwstr/>
  </property>
  <property fmtid="{D5CDD505-2E9C-101B-9397-08002B2CF9AE}" pid="23" name="APRACostCentre">
    <vt:lpwstr>158;#PAD300|98bbdbe4-d019-48eb-87c4-aa31a7f2f98f;#24;#Legal - ADI|652d8d2a-ab45-47b4-ac6e-fe6ac9299b39;#26;#Legal - Insurance: General|8229dc1a-d7f2-47b2-844a-b026fed0c13d;#83;#Legal - Insurance: Life|56f18b50-6605-4f3f-97e3-cad1cb5394e0;#93;#Legal - Insurance: Health|21611e62-d688-4f0d-8807-02701cc43699;#134;#Legal - Superannuation|cce3181d-fd23-4eee-94d3-c66abc2350cf;#4;#Legal - Resolution ＆ Corporate|696624b1-19f4-47b2-a07b-57868a922a96</vt:lpwstr>
  </property>
  <property fmtid="{D5CDD505-2E9C-101B-9397-08002B2CF9AE}" pid="24" name="APRAYear">
    <vt:lpwstr>171;#2018|337d548e-be9a-4363-bbb3-ec2b7c3daa90</vt:lpwstr>
  </property>
  <property fmtid="{D5CDD505-2E9C-101B-9397-08002B2CF9AE}" pid="25" name="APRAIndustry">
    <vt:lpwstr/>
  </property>
  <property fmtid="{D5CDD505-2E9C-101B-9397-08002B2CF9AE}" pid="26" name="APRAPRSG">
    <vt:lpwstr/>
  </property>
  <property fmtid="{D5CDD505-2E9C-101B-9397-08002B2CF9AE}" pid="27" name="_dlc_DocIdItemGuid">
    <vt:lpwstr>92edd3d3-ac6d-4a87-9966-6fefd866c548</vt:lpwstr>
  </property>
  <property fmtid="{D5CDD505-2E9C-101B-9397-08002B2CF9AE}" pid="28" name="IsLocked">
    <vt:lpwstr>False</vt:lpwstr>
  </property>
  <property fmtid="{D5CDD505-2E9C-101B-9397-08002B2CF9AE}" pid="29" name="IT system type">
    <vt:lpwstr/>
  </property>
  <property fmtid="{D5CDD505-2E9C-101B-9397-08002B2CF9AE}" pid="30" name="APRACategory">
    <vt:lpwstr/>
  </property>
  <property fmtid="{D5CDD505-2E9C-101B-9397-08002B2CF9AE}" pid="31" name="APRADocumentType">
    <vt:lpwstr>234;#Explanatory statement|b22f2e2f-3f73-411b-9a7c-34264d26fa25</vt:lpwstr>
  </property>
  <property fmtid="{D5CDD505-2E9C-101B-9397-08002B2CF9AE}" pid="32" name="APRAStatus">
    <vt:lpwstr>19;#Final|84d6b2d0-8498-4d62-bf46-bab38babbe9e</vt:lpwstr>
  </property>
  <property fmtid="{D5CDD505-2E9C-101B-9397-08002B2CF9AE}" pid="33" name="APRAActivity">
    <vt:lpwstr>10;#Registration|390476ce-d76d-4e8d-905f-28e32d2df127;#109;#Statutory instrument|fe68928c-5a9c-4caf-bc8c-6c18cedcb17f</vt:lpwstr>
  </property>
  <property fmtid="{D5CDD505-2E9C-101B-9397-08002B2CF9AE}" pid="34" name="APRAEntityAdviceSupport">
    <vt:lpwstr/>
  </property>
  <property fmtid="{D5CDD505-2E9C-101B-9397-08002B2CF9AE}" pid="35" name="APRALegislation">
    <vt:lpwstr/>
  </property>
  <property fmtid="{D5CDD505-2E9C-101B-9397-08002B2CF9AE}" pid="36" name="APRAExternalOrganisation">
    <vt:lpwstr/>
  </property>
  <property fmtid="{D5CDD505-2E9C-101B-9397-08002B2CF9AE}" pid="37" name="APRAIRTR">
    <vt:lpwstr/>
  </property>
  <property fmtid="{D5CDD505-2E9C-101B-9397-08002B2CF9AE}" pid="38" name="RecordPoint_WorkflowType">
    <vt:lpwstr>ActiveSubmitStub</vt:lpwstr>
  </property>
  <property fmtid="{D5CDD505-2E9C-101B-9397-08002B2CF9AE}" pid="39" name="RecordPoint_ActiveItemWebId">
    <vt:lpwstr>{75a71c27-8d66-4282-ae60-1bfc22a83be1}</vt:lpwstr>
  </property>
  <property fmtid="{D5CDD505-2E9C-101B-9397-08002B2CF9AE}" pid="40" name="RecordPoint_ActiveItemSiteId">
    <vt:lpwstr>{88691c01-5bbb-4215-adc0-66cb7065b0af}</vt:lpwstr>
  </property>
  <property fmtid="{D5CDD505-2E9C-101B-9397-08002B2CF9AE}" pid="41" name="RecordPoint_ActiveItemListId">
    <vt:lpwstr>{0e59e171-09d8-4401-800a-327154450cb3}</vt:lpwstr>
  </property>
  <property fmtid="{D5CDD505-2E9C-101B-9397-08002B2CF9AE}" pid="42" name="RecordPoint_ActiveItemUniqueId">
    <vt:lpwstr>{92edd3d3-ac6d-4a87-9966-6fefd866c548}</vt:lpwstr>
  </property>
  <property fmtid="{D5CDD505-2E9C-101B-9397-08002B2CF9AE}" pid="43" name="RecordPoint_RecordNumberSubmitted">
    <vt:lpwstr/>
  </property>
  <property fmtid="{D5CDD505-2E9C-101B-9397-08002B2CF9AE}" pid="44" name="RecordPoint_SubmissionCompleted">
    <vt:lpwstr/>
  </property>
  <property fmtid="{D5CDD505-2E9C-101B-9397-08002B2CF9AE}" pid="45" name="RecordPoint_SubmissionDate">
    <vt:lpwstr/>
  </property>
  <property fmtid="{D5CDD505-2E9C-101B-9397-08002B2CF9AE}" pid="46" name="RecordPoint_ActiveItemMoved">
    <vt:lpwstr/>
  </property>
  <property fmtid="{D5CDD505-2E9C-101B-9397-08002B2CF9AE}" pid="47" name="RecordPoint_RecordFormat">
    <vt:lpwstr/>
  </property>
</Properties>
</file>