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29DC" w:rsidRDefault="00766A6D">
      <w:pPr>
        <w:pStyle w:val="sop"/>
        <w:spacing w:before="0"/>
        <w:ind w:left="0"/>
        <w:rPr>
          <w:rFonts w:ascii="Arial" w:hAnsi="Arial"/>
        </w:rPr>
      </w:pPr>
      <w:r>
        <w:rPr>
          <w:noProof/>
          <w:lang w:val="en-AU" w:eastAsia="en-AU"/>
        </w:rPr>
        <w:drawing>
          <wp:inline distT="0" distB="0" distL="0" distR="0">
            <wp:extent cx="1752600" cy="939800"/>
            <wp:effectExtent l="0" t="0" r="0" b="0"/>
            <wp:docPr id="1" name="Picture 1"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653242" w:rsidRPr="00E01902" w:rsidRDefault="00653242" w:rsidP="00653242">
      <w:pPr>
        <w:jc w:val="center"/>
        <w:rPr>
          <w:rFonts w:ascii="Times New Roman" w:hAnsi="Times New Roman"/>
          <w:b/>
          <w:sz w:val="26"/>
          <w:szCs w:val="26"/>
        </w:rPr>
      </w:pPr>
      <w:r w:rsidRPr="00E01902">
        <w:rPr>
          <w:rFonts w:ascii="Times New Roman" w:hAnsi="Times New Roman"/>
          <w:b/>
          <w:sz w:val="26"/>
          <w:szCs w:val="26"/>
        </w:rPr>
        <w:t>EXPLANATORY STATEMENT</w:t>
      </w:r>
    </w:p>
    <w:p w:rsidR="00653242" w:rsidRPr="00653242" w:rsidRDefault="00653242" w:rsidP="00653242">
      <w:pPr>
        <w:jc w:val="center"/>
        <w:rPr>
          <w:rFonts w:ascii="Times New Roman" w:hAnsi="Times New Roman"/>
          <w:b/>
        </w:rPr>
      </w:pPr>
    </w:p>
    <w:p w:rsidR="00653242" w:rsidRPr="00E01902" w:rsidRDefault="00E01902" w:rsidP="00653242">
      <w:pPr>
        <w:jc w:val="center"/>
        <w:rPr>
          <w:rFonts w:ascii="Times New Roman" w:hAnsi="Times New Roman"/>
          <w:b/>
          <w:sz w:val="26"/>
          <w:szCs w:val="26"/>
        </w:rPr>
      </w:pPr>
      <w:r w:rsidRPr="00E01902">
        <w:rPr>
          <w:rFonts w:ascii="Times New Roman" w:hAnsi="Times New Roman"/>
          <w:b/>
          <w:sz w:val="26"/>
          <w:szCs w:val="26"/>
        </w:rPr>
        <w:t xml:space="preserve">STATEMENT OF PRINCIPLES CONCERNING </w:t>
      </w:r>
    </w:p>
    <w:p w:rsidR="00E01902" w:rsidRDefault="00013509" w:rsidP="00653242">
      <w:pPr>
        <w:jc w:val="center"/>
        <w:rPr>
          <w:rFonts w:ascii="Times New Roman" w:hAnsi="Times New Roman"/>
          <w:b/>
          <w:sz w:val="26"/>
          <w:szCs w:val="26"/>
        </w:rPr>
      </w:pPr>
      <w:r>
        <w:rPr>
          <w:rFonts w:ascii="Times New Roman" w:hAnsi="Times New Roman"/>
          <w:b/>
          <w:sz w:val="26"/>
          <w:szCs w:val="26"/>
        </w:rPr>
        <w:t>TEMPOROMANDIBULAR DISORDER</w:t>
      </w:r>
    </w:p>
    <w:p w:rsidR="00653242" w:rsidRPr="00E01902" w:rsidRDefault="00E01902" w:rsidP="00653242">
      <w:pPr>
        <w:jc w:val="center"/>
        <w:rPr>
          <w:rFonts w:ascii="Times New Roman" w:hAnsi="Times New Roman"/>
          <w:b/>
          <w:sz w:val="26"/>
          <w:szCs w:val="26"/>
        </w:rPr>
      </w:pPr>
      <w:r w:rsidRPr="00E01902">
        <w:rPr>
          <w:rFonts w:ascii="Times New Roman" w:hAnsi="Times New Roman"/>
          <w:b/>
          <w:sz w:val="26"/>
          <w:szCs w:val="26"/>
        </w:rPr>
        <w:t xml:space="preserve">(REASONABLE </w:t>
      </w:r>
      <w:r w:rsidR="00D65A2E" w:rsidRPr="00E01902">
        <w:rPr>
          <w:rFonts w:ascii="Times New Roman" w:hAnsi="Times New Roman"/>
          <w:b/>
          <w:sz w:val="26"/>
          <w:szCs w:val="26"/>
        </w:rPr>
        <w:t>HYPOTHESIS)</w:t>
      </w:r>
      <w:r w:rsidR="00D65A2E">
        <w:rPr>
          <w:rFonts w:ascii="Times New Roman" w:hAnsi="Times New Roman"/>
          <w:b/>
          <w:sz w:val="26"/>
          <w:szCs w:val="26"/>
        </w:rPr>
        <w:t xml:space="preserve"> </w:t>
      </w:r>
      <w:r w:rsidR="00D65A2E" w:rsidRPr="00E01902">
        <w:rPr>
          <w:rFonts w:ascii="Times New Roman" w:hAnsi="Times New Roman"/>
          <w:b/>
          <w:sz w:val="26"/>
          <w:szCs w:val="26"/>
        </w:rPr>
        <w:t>(</w:t>
      </w:r>
      <w:r w:rsidR="00D65A2E">
        <w:rPr>
          <w:rFonts w:ascii="Times New Roman" w:hAnsi="Times New Roman"/>
          <w:b/>
          <w:sz w:val="26"/>
          <w:szCs w:val="26"/>
        </w:rPr>
        <w:t xml:space="preserve">NO. </w:t>
      </w:r>
      <w:r w:rsidR="00013509">
        <w:rPr>
          <w:rFonts w:ascii="Times New Roman" w:hAnsi="Times New Roman"/>
          <w:b/>
          <w:sz w:val="26"/>
          <w:szCs w:val="26"/>
        </w:rPr>
        <w:t>47</w:t>
      </w:r>
      <w:r w:rsidR="00D65A2E" w:rsidRPr="00E01902">
        <w:rPr>
          <w:rFonts w:ascii="Times New Roman" w:hAnsi="Times New Roman"/>
          <w:b/>
          <w:sz w:val="26"/>
          <w:szCs w:val="26"/>
        </w:rPr>
        <w:t xml:space="preserve"> OF </w:t>
      </w:r>
      <w:r w:rsidR="00013509">
        <w:rPr>
          <w:rFonts w:ascii="Times New Roman" w:hAnsi="Times New Roman"/>
          <w:b/>
          <w:sz w:val="26"/>
          <w:szCs w:val="26"/>
        </w:rPr>
        <w:t>2018</w:t>
      </w:r>
      <w:r w:rsidRPr="00E01902">
        <w:rPr>
          <w:rFonts w:ascii="Times New Roman" w:hAnsi="Times New Roman"/>
          <w:b/>
          <w:sz w:val="26"/>
          <w:szCs w:val="26"/>
        </w:rPr>
        <w:t>)</w:t>
      </w:r>
    </w:p>
    <w:p w:rsidR="00653242" w:rsidRPr="00653242" w:rsidRDefault="00653242" w:rsidP="00653242">
      <w:pPr>
        <w:jc w:val="center"/>
        <w:rPr>
          <w:rFonts w:ascii="Times New Roman" w:hAnsi="Times New Roman"/>
          <w:b/>
        </w:rPr>
      </w:pPr>
    </w:p>
    <w:p w:rsidR="00653242" w:rsidRPr="00653242" w:rsidRDefault="00653242" w:rsidP="00653242">
      <w:pPr>
        <w:jc w:val="center"/>
        <w:rPr>
          <w:rFonts w:ascii="Times New Roman" w:hAnsi="Times New Roman"/>
          <w:b/>
          <w:i/>
        </w:rPr>
      </w:pPr>
      <w:r w:rsidRPr="00653242">
        <w:rPr>
          <w:rFonts w:ascii="Times New Roman" w:hAnsi="Times New Roman"/>
          <w:b/>
          <w:i/>
        </w:rPr>
        <w:t>VETERANS</w:t>
      </w:r>
      <w:r w:rsidR="00F90D08">
        <w:rPr>
          <w:rFonts w:ascii="Times New Roman" w:hAnsi="Times New Roman"/>
          <w:b/>
          <w:i/>
        </w:rPr>
        <w:t>'</w:t>
      </w:r>
      <w:r w:rsidRPr="00653242">
        <w:rPr>
          <w:rFonts w:ascii="Times New Roman" w:hAnsi="Times New Roman"/>
          <w:b/>
          <w:i/>
        </w:rPr>
        <w:t xml:space="preserve"> ENTITLEMENTS ACT 1986</w:t>
      </w:r>
    </w:p>
    <w:p w:rsidR="00653242" w:rsidRPr="00653242" w:rsidRDefault="00653242" w:rsidP="00653242">
      <w:pPr>
        <w:jc w:val="center"/>
        <w:rPr>
          <w:rFonts w:ascii="Times New Roman" w:hAnsi="Times New Roman"/>
          <w:b/>
          <w:i/>
        </w:rPr>
      </w:pPr>
      <w:r w:rsidRPr="00653242">
        <w:rPr>
          <w:rFonts w:ascii="Times New Roman" w:hAnsi="Times New Roman"/>
          <w:b/>
          <w:i/>
        </w:rPr>
        <w:t>MILITARY REHABILITATION AND COMPENSATION ACT 2004</w:t>
      </w:r>
    </w:p>
    <w:p w:rsidR="00B829DC" w:rsidRDefault="00B829DC">
      <w:pPr>
        <w:jc w:val="center"/>
        <w:rPr>
          <w:rFonts w:ascii="Times New Roman" w:hAnsi="Times New Roman"/>
          <w:b/>
        </w:rPr>
      </w:pPr>
    </w:p>
    <w:p w:rsidR="00E33939" w:rsidRPr="00E33939" w:rsidRDefault="00E33939" w:rsidP="00E33939">
      <w:pPr>
        <w:pStyle w:val="BodyText"/>
        <w:numPr>
          <w:ilvl w:val="0"/>
          <w:numId w:val="24"/>
        </w:numPr>
        <w:tabs>
          <w:tab w:val="clear" w:pos="360"/>
          <w:tab w:val="num" w:pos="567"/>
        </w:tabs>
        <w:spacing w:after="120"/>
        <w:ind w:left="567" w:hanging="567"/>
      </w:pPr>
      <w:r w:rsidRPr="00E33939">
        <w:t xml:space="preserve">This is the Explanatory Statement to the </w:t>
      </w:r>
      <w:r w:rsidRPr="00E33939">
        <w:rPr>
          <w:i/>
        </w:rPr>
        <w:t xml:space="preserve">Statement of Principles concerning </w:t>
      </w:r>
      <w:r w:rsidR="00013509">
        <w:rPr>
          <w:b/>
          <w:i/>
        </w:rPr>
        <w:t>temporomandibular disorder</w:t>
      </w:r>
      <w:r w:rsidRPr="00E33939">
        <w:t xml:space="preserve"> </w:t>
      </w:r>
      <w:r w:rsidRPr="00E33939">
        <w:rPr>
          <w:i/>
        </w:rPr>
        <w:t>(Reasonable Hypothesis)</w:t>
      </w:r>
      <w:r w:rsidRPr="00E33939">
        <w:t xml:space="preserve"> (No. </w:t>
      </w:r>
      <w:r w:rsidR="00013509">
        <w:t>47</w:t>
      </w:r>
      <w:r w:rsidRPr="00E33939">
        <w:t xml:space="preserve"> of </w:t>
      </w:r>
      <w:r w:rsidR="00013509">
        <w:t>2018</w:t>
      </w:r>
      <w:r w:rsidRPr="00E33939">
        <w:t>).</w:t>
      </w:r>
    </w:p>
    <w:p w:rsidR="00E33939" w:rsidRPr="00E33939" w:rsidRDefault="00E33939" w:rsidP="00E33939">
      <w:pPr>
        <w:pStyle w:val="BodyText"/>
        <w:spacing w:after="120"/>
        <w:ind w:left="567"/>
        <w:rPr>
          <w:rStyle w:val="Strong"/>
        </w:rPr>
      </w:pPr>
      <w:r w:rsidRPr="00E33939">
        <w:rPr>
          <w:rStyle w:val="Strong"/>
        </w:rPr>
        <w:t>Background</w:t>
      </w:r>
    </w:p>
    <w:p w:rsidR="00B829DC" w:rsidRDefault="00766A6D">
      <w:pPr>
        <w:pStyle w:val="BodyText"/>
        <w:numPr>
          <w:ilvl w:val="0"/>
          <w:numId w:val="24"/>
        </w:numPr>
        <w:tabs>
          <w:tab w:val="clear" w:pos="360"/>
          <w:tab w:val="num" w:pos="567"/>
        </w:tabs>
        <w:spacing w:after="120"/>
        <w:ind w:left="567" w:hanging="567"/>
      </w:pPr>
      <w:r>
        <w:t xml:space="preserve">The Repatriation Medical Authority (the Authority) has determined, under subsection 196B(2) of the </w:t>
      </w:r>
      <w:r>
        <w:rPr>
          <w:i/>
        </w:rPr>
        <w:t>Veterans</w:t>
      </w:r>
      <w:r w:rsidR="00F90D08">
        <w:rPr>
          <w:i/>
        </w:rPr>
        <w:t>'</w:t>
      </w:r>
      <w:r>
        <w:rPr>
          <w:i/>
        </w:rPr>
        <w:t xml:space="preserve"> Entitlements Act 1986</w:t>
      </w:r>
      <w:r>
        <w:t xml:space="preserve"> (the VEA), Statement of Principles </w:t>
      </w:r>
      <w:r w:rsidR="005D1363">
        <w:t xml:space="preserve">concerning </w:t>
      </w:r>
      <w:r w:rsidR="00013509">
        <w:rPr>
          <w:b/>
        </w:rPr>
        <w:t>temporomandibular disorder</w:t>
      </w:r>
      <w:r w:rsidR="00074304">
        <w:rPr>
          <w:b/>
        </w:rPr>
        <w:t xml:space="preserve"> </w:t>
      </w:r>
      <w:r w:rsidR="00074304">
        <w:t xml:space="preserve">(Reasonable Hypothesis) </w:t>
      </w:r>
      <w:r w:rsidR="005D1363">
        <w:t>(</w:t>
      </w:r>
      <w:r>
        <w:t xml:space="preserve">No. </w:t>
      </w:r>
      <w:r w:rsidR="00013509">
        <w:t>47</w:t>
      </w:r>
      <w:r>
        <w:t xml:space="preserve"> of </w:t>
      </w:r>
      <w:r w:rsidR="00013509">
        <w:t>2018</w:t>
      </w:r>
      <w:r w:rsidR="005D1363">
        <w:t>)</w:t>
      </w:r>
      <w:r>
        <w:t>.</w:t>
      </w:r>
    </w:p>
    <w:p w:rsidR="00B829DC" w:rsidRDefault="00766A6D">
      <w:pPr>
        <w:pStyle w:val="BodyText"/>
        <w:numPr>
          <w:ilvl w:val="0"/>
          <w:numId w:val="24"/>
        </w:numPr>
        <w:tabs>
          <w:tab w:val="clear" w:pos="360"/>
          <w:tab w:val="num" w:pos="567"/>
        </w:tabs>
        <w:spacing w:after="120"/>
        <w:ind w:left="567" w:hanging="567"/>
      </w:pPr>
      <w:r>
        <w:t xml:space="preserve">The Authority is of the view that there is sound medical-scientific evidence that indicates that </w:t>
      </w:r>
      <w:r w:rsidR="00013509">
        <w:rPr>
          <w:b/>
        </w:rPr>
        <w:t>temporomandibular disorder</w:t>
      </w:r>
      <w:r>
        <w:t xml:space="preserve"> and</w:t>
      </w:r>
      <w:r>
        <w:rPr>
          <w:b/>
        </w:rPr>
        <w:t xml:space="preserve"> death from </w:t>
      </w:r>
      <w:r w:rsidR="00013509">
        <w:rPr>
          <w:b/>
        </w:rPr>
        <w:t>temporomandibular disorder</w:t>
      </w:r>
      <w:r>
        <w:t xml:space="preserve"> can be related to particular kinds of service.  The Authority has therefore determined this Statement of Principles concerning </w:t>
      </w:r>
      <w:r w:rsidR="00013509">
        <w:t>temporomandibular disorder</w:t>
      </w:r>
      <w:r>
        <w:t xml:space="preserve"> pursuant to subsection 196B(2) of the VEA.</w:t>
      </w:r>
    </w:p>
    <w:p w:rsidR="008307BB" w:rsidRDefault="008307BB" w:rsidP="008307BB">
      <w:pPr>
        <w:pStyle w:val="BodyText"/>
        <w:spacing w:after="120"/>
        <w:ind w:left="567"/>
      </w:pPr>
      <w:r w:rsidRPr="00F430E8">
        <w:rPr>
          <w:rStyle w:val="Strong"/>
        </w:rPr>
        <w:t>Purpose and Operation</w:t>
      </w:r>
    </w:p>
    <w:p w:rsidR="00B829DC" w:rsidRDefault="008307BB">
      <w:pPr>
        <w:pStyle w:val="BodyText"/>
        <w:numPr>
          <w:ilvl w:val="0"/>
          <w:numId w:val="24"/>
        </w:numPr>
        <w:tabs>
          <w:tab w:val="clear" w:pos="360"/>
          <w:tab w:val="num" w:pos="567"/>
        </w:tabs>
        <w:spacing w:after="120"/>
        <w:ind w:left="567" w:hanging="567"/>
      </w:pPr>
      <w:r w:rsidRPr="00CC5EF6">
        <w:t xml:space="preserve">The Statement of Principles will be applied in determining claims under the VEA and the </w:t>
      </w:r>
      <w:r w:rsidRPr="00CC5EF6">
        <w:rPr>
          <w:i/>
        </w:rPr>
        <w:t>Military Rehabilitation and Compensation Act 2004</w:t>
      </w:r>
      <w:r w:rsidRPr="00CC5EF6">
        <w:t xml:space="preserve"> (the MRCA).</w:t>
      </w:r>
    </w:p>
    <w:p w:rsidR="00B829DC" w:rsidRDefault="00766A6D">
      <w:pPr>
        <w:pStyle w:val="BodyText"/>
        <w:numPr>
          <w:ilvl w:val="0"/>
          <w:numId w:val="24"/>
        </w:numPr>
        <w:tabs>
          <w:tab w:val="clear" w:pos="360"/>
          <w:tab w:val="num" w:pos="567"/>
        </w:tabs>
        <w:spacing w:after="120"/>
        <w:ind w:left="567" w:hanging="567"/>
      </w:pPr>
      <w:r>
        <w:t>The Statement of Principles sets out the factors that must as a minimum exist, and which of those factors must be related to the following kinds of service rendered by a person:</w:t>
      </w:r>
    </w:p>
    <w:p w:rsidR="00B829DC" w:rsidRDefault="00766A6D">
      <w:pPr>
        <w:pStyle w:val="BodyText"/>
        <w:tabs>
          <w:tab w:val="left" w:pos="1276"/>
        </w:tabs>
        <w:ind w:left="567"/>
      </w:pPr>
      <w:r>
        <w:fldChar w:fldCharType="begin"/>
      </w:r>
      <w:r>
        <w:instrText>symbol 183 \f "Symbol" \s 10 \h</w:instrText>
      </w:r>
      <w:r>
        <w:fldChar w:fldCharType="end"/>
      </w:r>
      <w:r>
        <w:tab/>
        <w:t xml:space="preserve">operational service under the VEA; </w:t>
      </w:r>
    </w:p>
    <w:p w:rsidR="00B829DC" w:rsidRDefault="00766A6D">
      <w:pPr>
        <w:pStyle w:val="BodyText"/>
        <w:tabs>
          <w:tab w:val="left" w:pos="1276"/>
        </w:tabs>
        <w:ind w:left="567"/>
      </w:pPr>
      <w:r>
        <w:fldChar w:fldCharType="begin"/>
      </w:r>
      <w:r>
        <w:instrText>symbol 183 \f "Symbol" \s 10 \h</w:instrText>
      </w:r>
      <w:r>
        <w:fldChar w:fldCharType="end"/>
      </w:r>
      <w:r>
        <w:tab/>
        <w:t xml:space="preserve">peacekeeping service under the VEA; </w:t>
      </w:r>
    </w:p>
    <w:p w:rsidR="00B829DC" w:rsidRDefault="00766A6D">
      <w:pPr>
        <w:pStyle w:val="BodyText"/>
        <w:tabs>
          <w:tab w:val="left" w:pos="1276"/>
        </w:tabs>
        <w:ind w:left="567"/>
      </w:pPr>
      <w:r>
        <w:fldChar w:fldCharType="begin"/>
      </w:r>
      <w:r>
        <w:instrText>symbol 183 \f "Symbol" \s 10 \h</w:instrText>
      </w:r>
      <w:r>
        <w:fldChar w:fldCharType="end"/>
      </w:r>
      <w:r>
        <w:tab/>
        <w:t xml:space="preserve">hazardous service under the VEA; </w:t>
      </w:r>
    </w:p>
    <w:p w:rsidR="00B829DC" w:rsidRDefault="00766A6D">
      <w:pPr>
        <w:pStyle w:val="BodyText"/>
        <w:tabs>
          <w:tab w:val="left" w:pos="1276"/>
        </w:tabs>
        <w:ind w:left="567"/>
      </w:pPr>
      <w:r>
        <w:fldChar w:fldCharType="begin"/>
      </w:r>
      <w:r>
        <w:instrText>symbol 183 \f "Symbol" \s 10 \h</w:instrText>
      </w:r>
      <w:r>
        <w:fldChar w:fldCharType="end"/>
      </w:r>
      <w:r>
        <w:tab/>
        <w:t>British nuclear test defence service under the VEA;</w:t>
      </w:r>
    </w:p>
    <w:p w:rsidR="00B829DC" w:rsidRDefault="00766A6D">
      <w:pPr>
        <w:pStyle w:val="BodyText"/>
        <w:tabs>
          <w:tab w:val="left" w:pos="1276"/>
        </w:tabs>
        <w:ind w:left="567"/>
      </w:pPr>
      <w:r>
        <w:fldChar w:fldCharType="begin"/>
      </w:r>
      <w:r>
        <w:instrText>symbol 183 \f "Symbol" \s 10 \h</w:instrText>
      </w:r>
      <w:r>
        <w:fldChar w:fldCharType="end"/>
      </w:r>
      <w:r>
        <w:tab/>
        <w:t>warlike service under the MRCA;</w:t>
      </w:r>
    </w:p>
    <w:p w:rsidR="00B829DC" w:rsidRDefault="00766A6D">
      <w:pPr>
        <w:pStyle w:val="BodyText"/>
        <w:tabs>
          <w:tab w:val="left" w:pos="1276"/>
        </w:tabs>
        <w:spacing w:after="120"/>
        <w:ind w:left="567"/>
      </w:pPr>
      <w:r>
        <w:fldChar w:fldCharType="begin"/>
      </w:r>
      <w:r>
        <w:instrText>symbol 183 \f "Symbol" \s 10 \h</w:instrText>
      </w:r>
      <w:r>
        <w:fldChar w:fldCharType="end"/>
      </w:r>
      <w:r>
        <w:tab/>
        <w:t>non-warlike service under the MRCA,</w:t>
      </w:r>
    </w:p>
    <w:p w:rsidR="00B829DC" w:rsidRDefault="00766A6D">
      <w:pPr>
        <w:pStyle w:val="BodyText"/>
        <w:spacing w:after="120"/>
        <w:ind w:left="567"/>
      </w:pPr>
      <w:r>
        <w:t xml:space="preserve">before it can be said that a reasonable hypothesis has been raised connecting </w:t>
      </w:r>
      <w:r w:rsidR="00013509">
        <w:t>temporomandibular disorder</w:t>
      </w:r>
      <w:r>
        <w:t xml:space="preserve"> or death from </w:t>
      </w:r>
      <w:r w:rsidR="00013509">
        <w:t>temporomandibular disorder</w:t>
      </w:r>
      <w:r>
        <w:t>, with the circumstances of that service.</w:t>
      </w:r>
      <w:r w:rsidR="00175D3D">
        <w:t xml:space="preserve">  The Statement of Principles has been determined for the purposes of both the VEA and the MRCA.</w:t>
      </w:r>
    </w:p>
    <w:p w:rsidR="00B829DC" w:rsidRDefault="00766A6D">
      <w:pPr>
        <w:pStyle w:val="BodyText"/>
        <w:numPr>
          <w:ilvl w:val="0"/>
          <w:numId w:val="24"/>
        </w:numPr>
        <w:tabs>
          <w:tab w:val="clear" w:pos="360"/>
          <w:tab w:val="num" w:pos="567"/>
        </w:tabs>
        <w:spacing w:after="120"/>
        <w:ind w:left="567" w:hanging="567"/>
      </w:pPr>
      <w:r>
        <w:t>The Repatriation Commission, Military Rehabilitation and Compensation Commission, Veterans</w:t>
      </w:r>
      <w:r w:rsidR="00F90D08">
        <w:t>'</w:t>
      </w:r>
      <w:r>
        <w:t xml:space="preserve"> Review Board or Administrative Appeals Tribunal cannot accept any claim for pension; or a claim for liability or compensation relating to </w:t>
      </w:r>
      <w:r w:rsidR="00013509">
        <w:rPr>
          <w:b/>
        </w:rPr>
        <w:t>temporomandibular disorder</w:t>
      </w:r>
      <w:r>
        <w:t xml:space="preserve"> or </w:t>
      </w:r>
      <w:r>
        <w:rPr>
          <w:b/>
        </w:rPr>
        <w:t xml:space="preserve">death from </w:t>
      </w:r>
      <w:r w:rsidR="00013509">
        <w:rPr>
          <w:b/>
        </w:rPr>
        <w:t>temporomandibular disorder</w:t>
      </w:r>
      <w:r>
        <w:t xml:space="preserve"> that was </w:t>
      </w:r>
      <w:r>
        <w:lastRenderedPageBreak/>
        <w:t>lodged on or after 1 June 1994 in the case of the VEA, or 1 July 2004 in the case of the MRCA respectively, unless this Statement of Principles upholds that claim (subsection 120A(3) of the VEA or subsection 338(3) of the MRCA).</w:t>
      </w:r>
    </w:p>
    <w:p w:rsidR="00B829DC" w:rsidRDefault="00766A6D">
      <w:pPr>
        <w:pStyle w:val="BodyText"/>
        <w:numPr>
          <w:ilvl w:val="0"/>
          <w:numId w:val="24"/>
        </w:numPr>
        <w:tabs>
          <w:tab w:val="clear" w:pos="360"/>
          <w:tab w:val="num" w:pos="567"/>
        </w:tabs>
        <w:spacing w:after="120"/>
        <w:ind w:left="567" w:hanging="567"/>
      </w:pPr>
      <w:r>
        <w:t xml:space="preserve">This new Instrument results from an investigation notified by the Authority in the Government Notices Gazette of </w:t>
      </w:r>
      <w:r w:rsidR="00013509">
        <w:t>14 November 2017</w:t>
      </w:r>
      <w:r>
        <w:t xml:space="preserve"> concerning </w:t>
      </w:r>
      <w:r w:rsidR="00013509">
        <w:t>temporomandibular joint dysfunction</w:t>
      </w:r>
      <w:r>
        <w:t xml:space="preserve"> in accordance with section 196G of the VEA.  The investigation involved an examination of the sound medical-scientific evidence available to the Authority.</w:t>
      </w:r>
    </w:p>
    <w:p w:rsidR="008307BB" w:rsidRDefault="008307BB" w:rsidP="008307BB">
      <w:pPr>
        <w:pStyle w:val="BodyText"/>
        <w:spacing w:after="120"/>
        <w:ind w:left="567"/>
      </w:pPr>
      <w:r w:rsidRPr="00F430E8">
        <w:rPr>
          <w:rStyle w:val="Strong"/>
        </w:rPr>
        <w:t>Consultation</w:t>
      </w:r>
    </w:p>
    <w:p w:rsidR="00B829DC" w:rsidRDefault="00766A6D">
      <w:pPr>
        <w:pStyle w:val="BodyText"/>
        <w:numPr>
          <w:ilvl w:val="0"/>
          <w:numId w:val="24"/>
        </w:numPr>
        <w:tabs>
          <w:tab w:val="clear" w:pos="360"/>
          <w:tab w:val="num" w:pos="567"/>
        </w:tabs>
        <w:spacing w:after="120"/>
        <w:ind w:left="567" w:hanging="567"/>
      </w:pPr>
      <w:r>
        <w:t xml:space="preserve">Prior to determining this Instrument, the Authority advertised its intention to undertake an investigation in relation to </w:t>
      </w:r>
      <w:r w:rsidR="00013509">
        <w:t>temporomandibular joint dysfunction</w:t>
      </w:r>
      <w:r>
        <w:t xml:space="preserve"> in the Government Notices Gazette of </w:t>
      </w:r>
      <w:r w:rsidR="00013509">
        <w:t>14 November 2017</w:t>
      </w:r>
      <w:r>
        <w:t xml:space="preserve">, and circulated a copy of the notice of intention to investigate to a wide range of organisations representing veterans, service personnel and their dependants.  The Authority invited submissions from the Repatriation Commission, organisations and persons referred to in section 196E of the VEA, and any person having expertise in the field.  </w:t>
      </w:r>
      <w:r w:rsidR="00483719">
        <w:t>One</w:t>
      </w:r>
      <w:r>
        <w:rPr>
          <w:b/>
        </w:rPr>
        <w:t xml:space="preserve"> </w:t>
      </w:r>
      <w:r w:rsidRPr="00013509">
        <w:t>submission</w:t>
      </w:r>
      <w:r>
        <w:t xml:space="preserve"> w</w:t>
      </w:r>
      <w:r w:rsidR="00483719">
        <w:t>as</w:t>
      </w:r>
      <w:r>
        <w:t xml:space="preserve"> received for consideration by the Authority during the investigation.</w:t>
      </w:r>
    </w:p>
    <w:p w:rsidR="008307BB" w:rsidRDefault="008307BB" w:rsidP="008307BB">
      <w:pPr>
        <w:pStyle w:val="BodyText"/>
        <w:spacing w:after="120"/>
        <w:ind w:left="567"/>
      </w:pPr>
      <w:r w:rsidRPr="00F430E8">
        <w:rPr>
          <w:b/>
        </w:rPr>
        <w:t>Human Rights</w:t>
      </w:r>
    </w:p>
    <w:p w:rsidR="00B829DC" w:rsidRDefault="00766A6D">
      <w:pPr>
        <w:pStyle w:val="BodyText"/>
        <w:numPr>
          <w:ilvl w:val="0"/>
          <w:numId w:val="24"/>
        </w:numPr>
        <w:tabs>
          <w:tab w:val="clear" w:pos="360"/>
          <w:tab w:val="num" w:pos="567"/>
        </w:tabs>
        <w:spacing w:after="120"/>
        <w:ind w:left="567" w:hanging="567"/>
      </w:pPr>
      <w:r>
        <w:t xml:space="preserve">This instrument is compatible with the Human Rights and Freedoms recognised or declared in the International Instruments listed in Section 3 of the </w:t>
      </w:r>
      <w:r>
        <w:rPr>
          <w:i/>
        </w:rPr>
        <w:t>Human Rights (Parliamentary Scrutiny) Act 2011</w:t>
      </w:r>
      <w:r>
        <w:t>.</w:t>
      </w:r>
      <w:r w:rsidR="00043B7E">
        <w:t xml:space="preserve"> </w:t>
      </w:r>
      <w:r>
        <w:t xml:space="preserve"> A Statement of Compatibility with Human Rights follows.</w:t>
      </w:r>
    </w:p>
    <w:p w:rsidR="008307BB" w:rsidRDefault="008307BB" w:rsidP="008307BB">
      <w:pPr>
        <w:pStyle w:val="BodyText"/>
        <w:spacing w:after="120"/>
        <w:ind w:left="567"/>
      </w:pPr>
      <w:r w:rsidRPr="00F430E8">
        <w:rPr>
          <w:b/>
        </w:rPr>
        <w:t>Finalisation of Investigation</w:t>
      </w:r>
    </w:p>
    <w:p w:rsidR="00B829DC" w:rsidRDefault="00766A6D">
      <w:pPr>
        <w:pStyle w:val="BodyText"/>
        <w:numPr>
          <w:ilvl w:val="0"/>
          <w:numId w:val="24"/>
        </w:numPr>
        <w:tabs>
          <w:tab w:val="clear" w:pos="360"/>
          <w:tab w:val="num" w:pos="567"/>
        </w:tabs>
        <w:spacing w:after="120"/>
        <w:ind w:left="567" w:hanging="567"/>
      </w:pPr>
      <w:r>
        <w:t xml:space="preserve">The determining of this new Instrument finalises the investigation in relation to </w:t>
      </w:r>
      <w:r w:rsidR="00013509">
        <w:t>temporomandibular joint dysfunction</w:t>
      </w:r>
      <w:r>
        <w:t xml:space="preserve"> as advertised in the Government Notices Gazette of </w:t>
      </w:r>
      <w:r w:rsidR="00013509">
        <w:t>14 November 2017</w:t>
      </w:r>
      <w:r>
        <w:t>.</w:t>
      </w:r>
    </w:p>
    <w:p w:rsidR="008307BB" w:rsidRDefault="008307BB" w:rsidP="008307BB">
      <w:pPr>
        <w:pStyle w:val="BodyText"/>
        <w:spacing w:after="120"/>
        <w:ind w:left="567"/>
      </w:pPr>
      <w:r w:rsidRPr="00F430E8">
        <w:rPr>
          <w:b/>
        </w:rPr>
        <w:t>References</w:t>
      </w:r>
    </w:p>
    <w:p w:rsidR="00B829DC" w:rsidRDefault="00766A6D">
      <w:pPr>
        <w:pStyle w:val="BodyText"/>
        <w:numPr>
          <w:ilvl w:val="0"/>
          <w:numId w:val="24"/>
        </w:numPr>
        <w:tabs>
          <w:tab w:val="clear" w:pos="360"/>
          <w:tab w:val="num" w:pos="567"/>
        </w:tabs>
        <w:spacing w:after="120"/>
        <w:ind w:left="567" w:hanging="567"/>
      </w:pPr>
      <w:r>
        <w:t>A list of references relating to the above condition is available to any person or organisation referred to in subsection 196E(1)(a) to (c) of the VEA.  Any such request must be made in writing to the Repatriation Medical Authority at the following address:</w:t>
      </w:r>
    </w:p>
    <w:p w:rsidR="00B829DC" w:rsidRDefault="00766A6D">
      <w:pPr>
        <w:pStyle w:val="BodyText"/>
        <w:ind w:left="3600"/>
      </w:pPr>
      <w:r>
        <w:t>The Registrar</w:t>
      </w:r>
    </w:p>
    <w:p w:rsidR="00B829DC" w:rsidRDefault="00766A6D">
      <w:pPr>
        <w:pStyle w:val="BodyText"/>
        <w:ind w:left="3600"/>
      </w:pPr>
      <w:r>
        <w:t xml:space="preserve">Repatriation Medical Authority </w:t>
      </w:r>
    </w:p>
    <w:p w:rsidR="00B829DC" w:rsidRDefault="00766A6D">
      <w:pPr>
        <w:pStyle w:val="BodyText"/>
        <w:ind w:left="3600"/>
      </w:pPr>
      <w:r>
        <w:t>GPO Box 1014</w:t>
      </w:r>
    </w:p>
    <w:p w:rsidR="00B829DC" w:rsidRDefault="00766A6D">
      <w:pPr>
        <w:pStyle w:val="BodyText"/>
        <w:ind w:left="3600"/>
        <w:jc w:val="left"/>
      </w:pPr>
      <w:r>
        <w:t>BRISBANE    QLD    4001</w:t>
      </w:r>
    </w:p>
    <w:p w:rsidR="00B829DC" w:rsidRDefault="00B829DC">
      <w:pPr>
        <w:pStyle w:val="BodyText"/>
        <w:ind w:left="3600"/>
        <w:jc w:val="left"/>
      </w:pPr>
    </w:p>
    <w:p w:rsidR="00B829DC" w:rsidRDefault="00766A6D">
      <w:pPr>
        <w:pStyle w:val="BodyText"/>
        <w:ind w:left="2880"/>
        <w:jc w:val="left"/>
        <w:rPr>
          <w:b/>
          <w:sz w:val="28"/>
          <w:szCs w:val="28"/>
        </w:rPr>
      </w:pPr>
      <w:r>
        <w:br w:type="page"/>
      </w:r>
      <w:bookmarkStart w:id="0" w:name="_Toc290210739"/>
      <w:r>
        <w:rPr>
          <w:noProof/>
          <w:lang w:val="en-AU"/>
        </w:rPr>
        <w:lastRenderedPageBreak/>
        <w:drawing>
          <wp:inline distT="0" distB="0" distL="0" distR="0">
            <wp:extent cx="1752600" cy="93980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B829DC" w:rsidRDefault="00766A6D">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rsidR="00B829DC" w:rsidRDefault="00766A6D">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rsidR="00B829DC" w:rsidRDefault="00B829DC">
      <w:pPr>
        <w:spacing w:before="120" w:after="120"/>
        <w:jc w:val="center"/>
        <w:rPr>
          <w:rFonts w:ascii="Times New Roman" w:hAnsi="Times New Roman"/>
          <w:szCs w:val="24"/>
        </w:rPr>
      </w:pPr>
    </w:p>
    <w:p w:rsidR="00B829DC" w:rsidRDefault="00766A6D">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Statement of Principles No. </w:t>
      </w:r>
      <w:r w:rsidR="00013509">
        <w:rPr>
          <w:rFonts w:ascii="Times New Roman" w:hAnsi="Times New Roman"/>
          <w:b/>
          <w:szCs w:val="24"/>
        </w:rPr>
        <w:t>47</w:t>
      </w:r>
      <w:r>
        <w:rPr>
          <w:rFonts w:ascii="Times New Roman" w:hAnsi="Times New Roman"/>
          <w:b/>
          <w:szCs w:val="24"/>
        </w:rPr>
        <w:t xml:space="preserve"> of </w:t>
      </w:r>
      <w:r w:rsidR="00013509">
        <w:rPr>
          <w:rFonts w:ascii="Times New Roman" w:hAnsi="Times New Roman"/>
          <w:b/>
          <w:szCs w:val="24"/>
        </w:rPr>
        <w:t>2018</w:t>
      </w:r>
    </w:p>
    <w:p w:rsidR="00B829DC" w:rsidRDefault="00766A6D">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013509">
        <w:rPr>
          <w:rFonts w:ascii="Times New Roman" w:hAnsi="Times New Roman"/>
          <w:b/>
          <w:szCs w:val="24"/>
        </w:rPr>
        <w:t>Temporomandibular disorder</w:t>
      </w:r>
    </w:p>
    <w:p w:rsidR="00B829DC" w:rsidRDefault="00B829DC">
      <w:pPr>
        <w:spacing w:before="120" w:after="120"/>
        <w:jc w:val="both"/>
        <w:rPr>
          <w:rFonts w:ascii="Times New Roman" w:hAnsi="Times New Roman"/>
          <w:szCs w:val="24"/>
        </w:rPr>
      </w:pPr>
    </w:p>
    <w:p w:rsidR="00B829DC" w:rsidRDefault="00766A6D">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rsidR="00B829DC" w:rsidRDefault="00766A6D">
      <w:pPr>
        <w:spacing w:before="120" w:after="120"/>
        <w:jc w:val="both"/>
        <w:rPr>
          <w:rFonts w:ascii="Times New Roman" w:hAnsi="Times New Roman"/>
          <w:b/>
          <w:szCs w:val="24"/>
        </w:rPr>
      </w:pPr>
      <w:r>
        <w:rPr>
          <w:rFonts w:ascii="Times New Roman" w:hAnsi="Times New Roman"/>
          <w:b/>
          <w:szCs w:val="24"/>
        </w:rPr>
        <w:t>Overview of the Legislative Instrument</w:t>
      </w:r>
    </w:p>
    <w:p w:rsidR="00B829DC" w:rsidRDefault="00766A6D">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This Legislative Instrument is determined pursuant to subsection 196B(</w:t>
      </w:r>
      <w:r w:rsidR="00346AA4">
        <w:rPr>
          <w:rFonts w:ascii="Times New Roman" w:hAnsi="Times New Roman"/>
          <w:szCs w:val="24"/>
        </w:rPr>
        <w:t>8</w:t>
      </w:r>
      <w:r>
        <w:rPr>
          <w:rFonts w:ascii="Times New Roman" w:hAnsi="Times New Roman"/>
          <w:szCs w:val="24"/>
        </w:rPr>
        <w:t xml:space="preserve">)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sidR="00293135">
        <w:rPr>
          <w:rFonts w:ascii="Times New Roman" w:hAnsi="Times New Roman"/>
          <w:szCs w:val="24"/>
        </w:rPr>
        <w:t xml:space="preserve">.  </w:t>
      </w:r>
      <w:r w:rsidR="00293135" w:rsidRPr="00293135">
        <w:rPr>
          <w:rFonts w:ascii="Times New Roman" w:hAnsi="Times New Roman"/>
          <w:szCs w:val="24"/>
        </w:rPr>
        <w:t>Part XIA of the VEA requires the determination of these instruments outlining the factors linking particular kinds of injury, disease or death with service such being determined solely on the available sound medical-scientific evidence.</w:t>
      </w:r>
      <w:r>
        <w:rPr>
          <w:rFonts w:ascii="Times New Roman" w:hAnsi="Times New Roman"/>
          <w:i/>
          <w:szCs w:val="24"/>
        </w:rPr>
        <w:t xml:space="preserve"> </w:t>
      </w:r>
    </w:p>
    <w:p w:rsidR="00B829DC" w:rsidRDefault="00766A6D">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This Legislative Instrument:-</w:t>
      </w:r>
    </w:p>
    <w:p w:rsidR="00B829DC" w:rsidRDefault="00766A6D">
      <w:pPr>
        <w:numPr>
          <w:ilvl w:val="0"/>
          <w:numId w:val="42"/>
        </w:numPr>
        <w:spacing w:before="120" w:after="120"/>
        <w:jc w:val="both"/>
        <w:rPr>
          <w:rFonts w:ascii="Times New Roman" w:hAnsi="Times New Roman"/>
          <w:szCs w:val="24"/>
        </w:rPr>
      </w:pPr>
      <w:r>
        <w:rPr>
          <w:rFonts w:ascii="Times New Roman" w:hAnsi="Times New Roman"/>
          <w:szCs w:val="24"/>
        </w:rPr>
        <w:t xml:space="preserve">facilitates claimants in making, and the Repatriation Commission in assessing, claims under the VEA and the MRCA respectively, by specifying the circumstances in which medical treatment and compensation can be extended to eligible persons who have </w:t>
      </w:r>
      <w:r w:rsidR="00013509">
        <w:rPr>
          <w:rFonts w:ascii="Times New Roman" w:hAnsi="Times New Roman"/>
          <w:szCs w:val="24"/>
        </w:rPr>
        <w:t>temporomandibular disorder</w:t>
      </w:r>
      <w:r>
        <w:rPr>
          <w:rFonts w:ascii="Times New Roman" w:hAnsi="Times New Roman"/>
          <w:szCs w:val="24"/>
        </w:rPr>
        <w:t>;</w:t>
      </w:r>
    </w:p>
    <w:p w:rsidR="00B829DC" w:rsidRDefault="00766A6D">
      <w:pPr>
        <w:numPr>
          <w:ilvl w:val="0"/>
          <w:numId w:val="42"/>
        </w:numPr>
        <w:spacing w:before="120" w:after="120"/>
        <w:jc w:val="both"/>
        <w:rPr>
          <w:rFonts w:ascii="Times New Roman" w:hAnsi="Times New Roman"/>
          <w:szCs w:val="24"/>
        </w:rPr>
      </w:pPr>
      <w:r>
        <w:rPr>
          <w:rFonts w:ascii="Times New Roman" w:hAnsi="Times New Roman"/>
          <w:szCs w:val="24"/>
        </w:rPr>
        <w:t>facilitates the review of such decisions by the Veterans' Review Board and the Administrative Appeals Tribunal; and</w:t>
      </w:r>
    </w:p>
    <w:p w:rsidR="00B829DC" w:rsidRDefault="00766A6D">
      <w:pPr>
        <w:numPr>
          <w:ilvl w:val="0"/>
          <w:numId w:val="42"/>
        </w:numPr>
        <w:spacing w:before="120" w:after="120"/>
        <w:jc w:val="both"/>
        <w:rPr>
          <w:rFonts w:ascii="Times New Roman" w:hAnsi="Times New Roman"/>
          <w:szCs w:val="24"/>
        </w:rPr>
      </w:pPr>
      <w:r>
        <w:rPr>
          <w:rFonts w:ascii="Times New Roman" w:hAnsi="Times New Roman"/>
          <w:szCs w:val="24"/>
        </w:rPr>
        <w:t xml:space="preserve">outlines the factors which the current sound medical-scientific evidence indicates must as a minimum exist, before it can be said that a reasonable hypothesis has been raised, connecting </w:t>
      </w:r>
      <w:r w:rsidR="00013509">
        <w:rPr>
          <w:rFonts w:ascii="Times New Roman" w:hAnsi="Times New Roman"/>
          <w:szCs w:val="24"/>
        </w:rPr>
        <w:t>temporomandibular disorder</w:t>
      </w:r>
      <w:r>
        <w:rPr>
          <w:rFonts w:ascii="Times New Roman" w:hAnsi="Times New Roman"/>
          <w:szCs w:val="24"/>
        </w:rPr>
        <w:t xml:space="preserve"> with the circumstances of eligible service rendered by a person, as set out in clause </w:t>
      </w:r>
      <w:r w:rsidR="00AB4560">
        <w:rPr>
          <w:rFonts w:ascii="Times New Roman" w:hAnsi="Times New Roman"/>
          <w:szCs w:val="24"/>
        </w:rPr>
        <w:t>5</w:t>
      </w:r>
      <w:r>
        <w:rPr>
          <w:rFonts w:ascii="Times New Roman" w:hAnsi="Times New Roman"/>
          <w:szCs w:val="24"/>
        </w:rPr>
        <w:t xml:space="preserve"> of the Explanatory </w:t>
      </w:r>
      <w:r w:rsidR="00EB448D">
        <w:rPr>
          <w:rFonts w:ascii="Times New Roman" w:hAnsi="Times New Roman"/>
          <w:szCs w:val="24"/>
        </w:rPr>
        <w:t>Statement</w:t>
      </w:r>
      <w:r>
        <w:rPr>
          <w:rFonts w:ascii="Times New Roman" w:hAnsi="Times New Roman"/>
          <w:szCs w:val="24"/>
        </w:rPr>
        <w:t>.</w:t>
      </w:r>
    </w:p>
    <w:p w:rsidR="00B829DC" w:rsidRDefault="00766A6D">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rsidR="00B829DC" w:rsidRDefault="00766A6D">
      <w:pPr>
        <w:keepNext/>
        <w:spacing w:before="120" w:after="120"/>
        <w:jc w:val="both"/>
        <w:rPr>
          <w:rFonts w:ascii="Times New Roman" w:hAnsi="Times New Roman"/>
          <w:b/>
          <w:szCs w:val="24"/>
        </w:rPr>
      </w:pPr>
      <w:r>
        <w:rPr>
          <w:rFonts w:ascii="Times New Roman" w:hAnsi="Times New Roman"/>
          <w:b/>
          <w:szCs w:val="24"/>
        </w:rPr>
        <w:t>Human Rights Implications</w:t>
      </w:r>
    </w:p>
    <w:p w:rsidR="00B829DC" w:rsidRDefault="00766A6D">
      <w:pPr>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rsidR="00B829DC" w:rsidRDefault="00766A6D">
      <w:pPr>
        <w:numPr>
          <w:ilvl w:val="0"/>
          <w:numId w:val="42"/>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 xml:space="preserve">Convention </w:t>
      </w:r>
      <w:r>
        <w:rPr>
          <w:rFonts w:ascii="Times New Roman" w:hAnsi="Times New Roman"/>
          <w:i/>
          <w:szCs w:val="24"/>
        </w:rPr>
        <w:lastRenderedPageBreak/>
        <w:t>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rsidR="00B829DC" w:rsidRDefault="00766A6D">
      <w:pPr>
        <w:numPr>
          <w:ilvl w:val="0"/>
          <w:numId w:val="42"/>
        </w:numPr>
        <w:spacing w:before="120" w:after="120"/>
        <w:jc w:val="both"/>
        <w:rPr>
          <w:rFonts w:ascii="Times New Roman" w:hAnsi="Times New Roman"/>
          <w:szCs w:val="24"/>
        </w:rPr>
      </w:pPr>
      <w:r>
        <w:rPr>
          <w:rFonts w:ascii="Times New Roman" w:hAnsi="Times New Roman"/>
          <w:szCs w:val="24"/>
        </w:rPr>
        <w:t>the right to an adequate standard of living (Art 11, ICSECR; Art 27, CRC and Art 28, CRPD) by facilitating the assessment and determination of social security benefits;</w:t>
      </w:r>
    </w:p>
    <w:p w:rsidR="00B829DC" w:rsidRDefault="00766A6D">
      <w:pPr>
        <w:numPr>
          <w:ilvl w:val="0"/>
          <w:numId w:val="42"/>
        </w:numPr>
        <w:spacing w:before="120" w:after="120"/>
        <w:jc w:val="both"/>
        <w:rPr>
          <w:rFonts w:ascii="Times New Roman" w:hAnsi="Times New Roman"/>
          <w:szCs w:val="24"/>
        </w:rPr>
      </w:pPr>
      <w:r>
        <w:rPr>
          <w:rFonts w:ascii="Times New Roman" w:hAnsi="Times New Roman"/>
          <w:szCs w:val="24"/>
        </w:rPr>
        <w:t xml:space="preserve">the right to the enjoyment of the highest attainable standard of physical and mental health (Art 12, ICSECR and Art 25, CRPD), by facilitating the assessment and determination of compensation and benefits in relation to the treatment and rehabilitation of veterans and Defence Force members; </w:t>
      </w:r>
    </w:p>
    <w:p w:rsidR="00B829DC" w:rsidRDefault="00766A6D">
      <w:pPr>
        <w:numPr>
          <w:ilvl w:val="0"/>
          <w:numId w:val="42"/>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and rehabilitation (Art 26, CRPD)</w:t>
      </w:r>
      <w:r w:rsidR="00293135">
        <w:rPr>
          <w:rFonts w:ascii="Times New Roman" w:hAnsi="Times New Roman"/>
          <w:szCs w:val="24"/>
        </w:rPr>
        <w:t>; and</w:t>
      </w:r>
    </w:p>
    <w:p w:rsidR="00293135" w:rsidRDefault="00293135" w:rsidP="00293135">
      <w:pPr>
        <w:numPr>
          <w:ilvl w:val="0"/>
          <w:numId w:val="42"/>
        </w:numPr>
        <w:spacing w:before="120" w:after="120"/>
        <w:jc w:val="both"/>
        <w:rPr>
          <w:rFonts w:ascii="Times New Roman" w:hAnsi="Times New Roman"/>
          <w:szCs w:val="24"/>
        </w:rPr>
      </w:pPr>
      <w:r w:rsidRPr="00293135">
        <w:rPr>
          <w:rFonts w:ascii="Times New Roman" w:hAnsi="Times New Roman"/>
          <w:szCs w:val="24"/>
        </w:rPr>
        <w:t>ensuring that those rights "will be exercised without discrimination of any kind as to race, colour, sex, language, religion, political or other opinion, national or social origin, property, birth or other status" (Art 2, ICESCR).</w:t>
      </w:r>
    </w:p>
    <w:p w:rsidR="00B829DC" w:rsidRDefault="00766A6D">
      <w:pPr>
        <w:spacing w:before="120" w:after="120"/>
        <w:jc w:val="both"/>
        <w:rPr>
          <w:rFonts w:ascii="Times New Roman" w:hAnsi="Times New Roman"/>
          <w:b/>
          <w:szCs w:val="24"/>
        </w:rPr>
      </w:pPr>
      <w:r>
        <w:rPr>
          <w:rFonts w:ascii="Times New Roman" w:hAnsi="Times New Roman"/>
          <w:b/>
          <w:szCs w:val="24"/>
        </w:rPr>
        <w:t>Conclusion</w:t>
      </w:r>
    </w:p>
    <w:p w:rsidR="00B829DC" w:rsidRDefault="00766A6D">
      <w:pPr>
        <w:spacing w:before="120" w:after="120"/>
        <w:jc w:val="both"/>
        <w:rPr>
          <w:rFonts w:ascii="Times New Roman" w:hAnsi="Times New Roman"/>
          <w:szCs w:val="24"/>
        </w:rPr>
      </w:pPr>
      <w:r>
        <w:rPr>
          <w:rFonts w:ascii="Times New Roman" w:hAnsi="Times New Roman"/>
          <w:szCs w:val="24"/>
        </w:rPr>
        <w:t>This Legislative Instrument is compatible with human rights as it does not derogate from and promotes a number of human rights.</w:t>
      </w:r>
    </w:p>
    <w:bookmarkEnd w:id="0"/>
    <w:p w:rsidR="00B829DC" w:rsidRDefault="00B829DC">
      <w:pPr>
        <w:spacing w:before="120" w:after="120"/>
        <w:jc w:val="both"/>
        <w:rPr>
          <w:rFonts w:ascii="Times New Roman" w:hAnsi="Times New Roman"/>
          <w:szCs w:val="24"/>
        </w:rPr>
      </w:pPr>
    </w:p>
    <w:p w:rsidR="00B829DC" w:rsidRDefault="00766A6D">
      <w:pPr>
        <w:spacing w:before="120" w:after="120"/>
        <w:jc w:val="both"/>
        <w:rPr>
          <w:szCs w:val="24"/>
        </w:rPr>
      </w:pPr>
      <w:r>
        <w:rPr>
          <w:rFonts w:ascii="Times New Roman" w:hAnsi="Times New Roman"/>
          <w:szCs w:val="24"/>
        </w:rPr>
        <w:t>Repatriation Medical Authority</w:t>
      </w:r>
    </w:p>
    <w:p w:rsidR="00B829DC" w:rsidRDefault="00B829DC">
      <w:pPr>
        <w:spacing w:before="120" w:after="120"/>
        <w:jc w:val="both"/>
        <w:rPr>
          <w:szCs w:val="24"/>
        </w:rPr>
      </w:pPr>
    </w:p>
    <w:p w:rsidR="00B829DC" w:rsidRDefault="00B829DC">
      <w:pPr>
        <w:pStyle w:val="BodyText"/>
        <w:ind w:left="2880"/>
      </w:pPr>
    </w:p>
    <w:p w:rsidR="00B829DC" w:rsidRDefault="00B829DC">
      <w:pPr>
        <w:pStyle w:val="BodyText"/>
        <w:ind w:left="2880"/>
      </w:pPr>
    </w:p>
    <w:p w:rsidR="00B829DC" w:rsidRDefault="00B829DC">
      <w:pPr>
        <w:pStyle w:val="BodyText"/>
        <w:ind w:left="2880"/>
      </w:pPr>
    </w:p>
    <w:p w:rsidR="00B829DC" w:rsidRDefault="00B829DC">
      <w:pPr>
        <w:pStyle w:val="BodyText"/>
        <w:ind w:left="2880"/>
      </w:pPr>
      <w:bookmarkStart w:id="1" w:name="_GoBack"/>
      <w:bookmarkEnd w:id="1"/>
    </w:p>
    <w:sectPr w:rsidR="00B829DC">
      <w:headerReference w:type="even" r:id="rId8"/>
      <w:headerReference w:type="default" r:id="rId9"/>
      <w:footerReference w:type="even" r:id="rId10"/>
      <w:footerReference w:type="default" r:id="rId11"/>
      <w:headerReference w:type="first" r:id="rId12"/>
      <w:footerReference w:type="first" r:id="rId13"/>
      <w:pgSz w:w="11907" w:h="16840" w:code="9"/>
      <w:pgMar w:top="1418" w:right="1531" w:bottom="1276" w:left="1531"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29DC" w:rsidRDefault="00766A6D">
      <w:r>
        <w:separator/>
      </w:r>
    </w:p>
  </w:endnote>
  <w:endnote w:type="continuationSeparator" w:id="0">
    <w:p w:rsidR="00B829DC" w:rsidRDefault="0076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9DC" w:rsidRDefault="00B829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9DC" w:rsidRDefault="00766A6D">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777F6C">
      <w:rPr>
        <w:noProof/>
        <w:snapToGrid w:val="0"/>
        <w:sz w:val="20"/>
        <w:lang w:eastAsia="en-US"/>
      </w:rPr>
      <w:t>4</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777F6C">
      <w:rPr>
        <w:noProof/>
        <w:snapToGrid w:val="0"/>
        <w:sz w:val="20"/>
        <w:lang w:eastAsia="en-US"/>
      </w:rPr>
      <w:t>4</w:t>
    </w:r>
    <w:r>
      <w:rPr>
        <w:snapToGrid w:val="0"/>
        <w:sz w:val="20"/>
        <w:lang w:eastAsia="en-U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9DC" w:rsidRDefault="00B829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29DC" w:rsidRDefault="00766A6D">
      <w:r>
        <w:separator/>
      </w:r>
    </w:p>
  </w:footnote>
  <w:footnote w:type="continuationSeparator" w:id="0">
    <w:p w:rsidR="00B829DC" w:rsidRDefault="00766A6D">
      <w:r>
        <w:continuationSeparator/>
      </w:r>
    </w:p>
  </w:footnote>
  <w:footnote w:id="1">
    <w:p w:rsidR="00B829DC" w:rsidRDefault="00766A6D">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9DC" w:rsidRDefault="00B829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9DC" w:rsidRDefault="00B829D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9DC" w:rsidRDefault="00B829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81B7D"/>
    <w:multiLevelType w:val="singleLevel"/>
    <w:tmpl w:val="AC945BC8"/>
    <w:lvl w:ilvl="0">
      <w:start w:val="5"/>
      <w:numFmt w:val="decimal"/>
      <w:lvlText w:val="%1."/>
      <w:lvlJc w:val="left"/>
      <w:pPr>
        <w:tabs>
          <w:tab w:val="num" w:pos="720"/>
        </w:tabs>
        <w:ind w:left="720" w:hanging="720"/>
      </w:pPr>
      <w:rPr>
        <w:rFonts w:hint="default"/>
      </w:rPr>
    </w:lvl>
  </w:abstractNum>
  <w:abstractNum w:abstractNumId="2" w15:restartNumberingAfterBreak="0">
    <w:nsid w:val="02F9413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5B06D6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680BA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59B212B"/>
    <w:multiLevelType w:val="singleLevel"/>
    <w:tmpl w:val="67C4290C"/>
    <w:lvl w:ilvl="0">
      <w:start w:val="2"/>
      <w:numFmt w:val="decimal"/>
      <w:lvlText w:val="%1."/>
      <w:lvlJc w:val="left"/>
      <w:pPr>
        <w:tabs>
          <w:tab w:val="num" w:pos="720"/>
        </w:tabs>
        <w:ind w:left="720" w:hanging="720"/>
      </w:pPr>
      <w:rPr>
        <w:rFonts w:hint="default"/>
      </w:rPr>
    </w:lvl>
  </w:abstractNum>
  <w:abstractNum w:abstractNumId="7" w15:restartNumberingAfterBreak="0">
    <w:nsid w:val="178746F1"/>
    <w:multiLevelType w:val="singleLevel"/>
    <w:tmpl w:val="AC945BC8"/>
    <w:lvl w:ilvl="0">
      <w:start w:val="7"/>
      <w:numFmt w:val="decimal"/>
      <w:lvlText w:val="%1."/>
      <w:lvlJc w:val="left"/>
      <w:pPr>
        <w:tabs>
          <w:tab w:val="num" w:pos="720"/>
        </w:tabs>
        <w:ind w:left="720" w:hanging="720"/>
      </w:pPr>
      <w:rPr>
        <w:rFonts w:hint="default"/>
      </w:rPr>
    </w:lvl>
  </w:abstractNum>
  <w:abstractNum w:abstractNumId="8" w15:restartNumberingAfterBreak="0">
    <w:nsid w:val="1D6A336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E2F30A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3D5EF5"/>
    <w:multiLevelType w:val="singleLevel"/>
    <w:tmpl w:val="0C09000F"/>
    <w:lvl w:ilvl="0">
      <w:start w:val="6"/>
      <w:numFmt w:val="decimal"/>
      <w:lvlText w:val="%1."/>
      <w:lvlJc w:val="left"/>
      <w:pPr>
        <w:tabs>
          <w:tab w:val="num" w:pos="360"/>
        </w:tabs>
        <w:ind w:left="360" w:hanging="360"/>
      </w:pPr>
      <w:rPr>
        <w:rFonts w:hint="default"/>
      </w:rPr>
    </w:lvl>
  </w:abstractNum>
  <w:abstractNum w:abstractNumId="11"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716B9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D7A61E2"/>
    <w:multiLevelType w:val="singleLevel"/>
    <w:tmpl w:val="0C09000F"/>
    <w:lvl w:ilvl="0">
      <w:start w:val="1"/>
      <w:numFmt w:val="decimal"/>
      <w:lvlText w:val="%1."/>
      <w:lvlJc w:val="left"/>
      <w:pPr>
        <w:tabs>
          <w:tab w:val="num" w:pos="360"/>
        </w:tabs>
        <w:ind w:left="360" w:hanging="360"/>
      </w:pPr>
    </w:lvl>
  </w:abstractNum>
  <w:abstractNum w:abstractNumId="14" w15:restartNumberingAfterBreak="0">
    <w:nsid w:val="2DE979FC"/>
    <w:multiLevelType w:val="singleLevel"/>
    <w:tmpl w:val="AC945BC8"/>
    <w:lvl w:ilvl="0">
      <w:start w:val="6"/>
      <w:numFmt w:val="decimal"/>
      <w:lvlText w:val="%1."/>
      <w:lvlJc w:val="left"/>
      <w:pPr>
        <w:tabs>
          <w:tab w:val="num" w:pos="720"/>
        </w:tabs>
        <w:ind w:left="720" w:hanging="720"/>
      </w:pPr>
      <w:rPr>
        <w:rFonts w:hint="default"/>
      </w:rPr>
    </w:lvl>
  </w:abstractNum>
  <w:abstractNum w:abstractNumId="15" w15:restartNumberingAfterBreak="0">
    <w:nsid w:val="2F452E60"/>
    <w:multiLevelType w:val="singleLevel"/>
    <w:tmpl w:val="F03009E2"/>
    <w:lvl w:ilvl="0">
      <w:start w:val="3"/>
      <w:numFmt w:val="decimal"/>
      <w:lvlText w:val="%1."/>
      <w:lvlJc w:val="left"/>
      <w:pPr>
        <w:tabs>
          <w:tab w:val="num" w:pos="360"/>
        </w:tabs>
        <w:ind w:left="360" w:hanging="360"/>
      </w:pPr>
    </w:lvl>
  </w:abstractNum>
  <w:abstractNum w:abstractNumId="16" w15:restartNumberingAfterBreak="0">
    <w:nsid w:val="388E6312"/>
    <w:multiLevelType w:val="singleLevel"/>
    <w:tmpl w:val="0C09000F"/>
    <w:lvl w:ilvl="0">
      <w:start w:val="1"/>
      <w:numFmt w:val="decimal"/>
      <w:lvlText w:val="%1."/>
      <w:lvlJc w:val="left"/>
      <w:pPr>
        <w:tabs>
          <w:tab w:val="num" w:pos="360"/>
        </w:tabs>
        <w:ind w:left="360" w:hanging="360"/>
      </w:pPr>
    </w:lvl>
  </w:abstractNum>
  <w:abstractNum w:abstractNumId="17" w15:restartNumberingAfterBreak="0">
    <w:nsid w:val="3ADA6D0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215518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2A7535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30723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90E6070"/>
    <w:multiLevelType w:val="singleLevel"/>
    <w:tmpl w:val="1CC6208E"/>
    <w:lvl w:ilvl="0">
      <w:start w:val="1"/>
      <w:numFmt w:val="lowerLetter"/>
      <w:lvlText w:val="(%1)"/>
      <w:lvlJc w:val="left"/>
      <w:pPr>
        <w:tabs>
          <w:tab w:val="num" w:pos="1440"/>
        </w:tabs>
        <w:ind w:left="1440" w:hanging="720"/>
      </w:pPr>
      <w:rPr>
        <w:rFonts w:hint="default"/>
      </w:rPr>
    </w:lvl>
  </w:abstractNum>
  <w:abstractNum w:abstractNumId="22" w15:restartNumberingAfterBreak="0">
    <w:nsid w:val="49935F9A"/>
    <w:multiLevelType w:val="singleLevel"/>
    <w:tmpl w:val="AC945BC8"/>
    <w:lvl w:ilvl="0">
      <w:start w:val="1"/>
      <w:numFmt w:val="decimal"/>
      <w:lvlText w:val="%1."/>
      <w:lvlJc w:val="left"/>
      <w:pPr>
        <w:tabs>
          <w:tab w:val="num" w:pos="720"/>
        </w:tabs>
        <w:ind w:left="720" w:hanging="720"/>
      </w:pPr>
      <w:rPr>
        <w:rFonts w:hint="default"/>
      </w:rPr>
    </w:lvl>
  </w:abstractNum>
  <w:abstractNum w:abstractNumId="23" w15:restartNumberingAfterBreak="0">
    <w:nsid w:val="4CED5D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E8A5A2B"/>
    <w:multiLevelType w:val="hybridMultilevel"/>
    <w:tmpl w:val="FD2AF6FC"/>
    <w:lvl w:ilvl="0" w:tplc="260E2C02">
      <w:start w:val="1"/>
      <w:numFmt w:val="bullet"/>
      <w:lvlText w:val=""/>
      <w:lvlJc w:val="left"/>
      <w:pPr>
        <w:tabs>
          <w:tab w:val="num" w:pos="1647"/>
        </w:tabs>
        <w:ind w:left="1647"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557237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27" w15:restartNumberingAfterBreak="0">
    <w:nsid w:val="59CF144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D455E79"/>
    <w:multiLevelType w:val="singleLevel"/>
    <w:tmpl w:val="77043B2E"/>
    <w:lvl w:ilvl="0">
      <w:start w:val="10"/>
      <w:numFmt w:val="decimal"/>
      <w:lvlText w:val="%1."/>
      <w:lvlJc w:val="left"/>
      <w:pPr>
        <w:tabs>
          <w:tab w:val="num" w:pos="360"/>
        </w:tabs>
        <w:ind w:left="360" w:hanging="360"/>
      </w:pPr>
    </w:lvl>
  </w:abstractNum>
  <w:abstractNum w:abstractNumId="29" w15:restartNumberingAfterBreak="0">
    <w:nsid w:val="6137563A"/>
    <w:multiLevelType w:val="singleLevel"/>
    <w:tmpl w:val="77043B2E"/>
    <w:lvl w:ilvl="0">
      <w:start w:val="10"/>
      <w:numFmt w:val="decimal"/>
      <w:lvlText w:val="%1."/>
      <w:lvlJc w:val="left"/>
      <w:pPr>
        <w:tabs>
          <w:tab w:val="num" w:pos="360"/>
        </w:tabs>
        <w:ind w:left="360" w:hanging="360"/>
      </w:pPr>
    </w:lvl>
  </w:abstractNum>
  <w:abstractNum w:abstractNumId="30" w15:restartNumberingAfterBreak="0">
    <w:nsid w:val="62256190"/>
    <w:multiLevelType w:val="singleLevel"/>
    <w:tmpl w:val="53AC7F50"/>
    <w:lvl w:ilvl="0">
      <w:start w:val="10"/>
      <w:numFmt w:val="decimal"/>
      <w:lvlText w:val="%1."/>
      <w:lvlJc w:val="left"/>
      <w:pPr>
        <w:tabs>
          <w:tab w:val="num" w:pos="360"/>
        </w:tabs>
        <w:ind w:left="360" w:hanging="360"/>
      </w:pPr>
    </w:lvl>
  </w:abstractNum>
  <w:abstractNum w:abstractNumId="31" w15:restartNumberingAfterBreak="0">
    <w:nsid w:val="65E84AB3"/>
    <w:multiLevelType w:val="singleLevel"/>
    <w:tmpl w:val="F03009E2"/>
    <w:lvl w:ilvl="0">
      <w:start w:val="3"/>
      <w:numFmt w:val="decimal"/>
      <w:lvlText w:val="%1."/>
      <w:lvlJc w:val="left"/>
      <w:pPr>
        <w:tabs>
          <w:tab w:val="num" w:pos="360"/>
        </w:tabs>
        <w:ind w:left="360" w:hanging="360"/>
      </w:pPr>
    </w:lvl>
  </w:abstractNum>
  <w:abstractNum w:abstractNumId="32" w15:restartNumberingAfterBreak="0">
    <w:nsid w:val="68C21F12"/>
    <w:multiLevelType w:val="singleLevel"/>
    <w:tmpl w:val="0C09000F"/>
    <w:lvl w:ilvl="0">
      <w:start w:val="1"/>
      <w:numFmt w:val="decimal"/>
      <w:lvlText w:val="%1."/>
      <w:lvlJc w:val="left"/>
      <w:pPr>
        <w:tabs>
          <w:tab w:val="num" w:pos="360"/>
        </w:tabs>
        <w:ind w:left="360" w:hanging="360"/>
      </w:pPr>
    </w:lvl>
  </w:abstractNum>
  <w:abstractNum w:abstractNumId="33" w15:restartNumberingAfterBreak="0">
    <w:nsid w:val="68E72A13"/>
    <w:multiLevelType w:val="singleLevel"/>
    <w:tmpl w:val="A914D110"/>
    <w:lvl w:ilvl="0">
      <w:start w:val="4"/>
      <w:numFmt w:val="decimal"/>
      <w:lvlText w:val="%1."/>
      <w:lvlJc w:val="left"/>
      <w:pPr>
        <w:tabs>
          <w:tab w:val="num" w:pos="360"/>
        </w:tabs>
        <w:ind w:left="360" w:hanging="360"/>
      </w:pPr>
    </w:lvl>
  </w:abstractNum>
  <w:abstractNum w:abstractNumId="34" w15:restartNumberingAfterBreak="0">
    <w:nsid w:val="6C250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C844662"/>
    <w:multiLevelType w:val="singleLevel"/>
    <w:tmpl w:val="B46413B8"/>
    <w:lvl w:ilvl="0">
      <w:start w:val="7"/>
      <w:numFmt w:val="decimal"/>
      <w:lvlText w:val="%1."/>
      <w:lvlJc w:val="left"/>
      <w:pPr>
        <w:tabs>
          <w:tab w:val="num" w:pos="360"/>
        </w:tabs>
        <w:ind w:left="360" w:hanging="360"/>
      </w:pPr>
    </w:lvl>
  </w:abstractNum>
  <w:abstractNum w:abstractNumId="36" w15:restartNumberingAfterBreak="0">
    <w:nsid w:val="6E6E32C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7" w15:restartNumberingAfterBreak="0">
    <w:nsid w:val="70BF234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109318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196599D"/>
    <w:multiLevelType w:val="singleLevel"/>
    <w:tmpl w:val="F6B8728C"/>
    <w:lvl w:ilvl="0">
      <w:start w:val="5"/>
      <w:numFmt w:val="decimal"/>
      <w:lvlText w:val="%1."/>
      <w:lvlJc w:val="left"/>
      <w:pPr>
        <w:tabs>
          <w:tab w:val="num" w:pos="360"/>
        </w:tabs>
        <w:ind w:left="360" w:hanging="360"/>
      </w:pPr>
      <w:rPr>
        <w:rFonts w:hint="default"/>
      </w:rPr>
    </w:lvl>
  </w:abstractNum>
  <w:abstractNum w:abstractNumId="40" w15:restartNumberingAfterBreak="0">
    <w:nsid w:val="78854D6A"/>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6"/>
  </w:num>
  <w:num w:numId="3">
    <w:abstractNumId w:val="27"/>
  </w:num>
  <w:num w:numId="4">
    <w:abstractNumId w:val="7"/>
  </w:num>
  <w:num w:numId="5">
    <w:abstractNumId w:val="20"/>
  </w:num>
  <w:num w:numId="6">
    <w:abstractNumId w:val="10"/>
  </w:num>
  <w:num w:numId="7">
    <w:abstractNumId w:val="14"/>
  </w:num>
  <w:num w:numId="8">
    <w:abstractNumId w:val="40"/>
  </w:num>
  <w:num w:numId="9">
    <w:abstractNumId w:val="0"/>
    <w:lvlOverride w:ilvl="0">
      <w:lvl w:ilvl="0">
        <w:start w:val="1"/>
        <w:numFmt w:val="bullet"/>
        <w:lvlText w:val=""/>
        <w:legacy w:legacy="1" w:legacySpace="0" w:legacyIndent="426"/>
        <w:lvlJc w:val="left"/>
        <w:pPr>
          <w:ind w:left="426" w:hanging="426"/>
        </w:pPr>
        <w:rPr>
          <w:rFonts w:ascii="Symbol" w:hAnsi="Symbol" w:hint="default"/>
        </w:rPr>
      </w:lvl>
    </w:lvlOverride>
  </w:num>
  <w:num w:numId="10">
    <w:abstractNumId w:val="34"/>
  </w:num>
  <w:num w:numId="11">
    <w:abstractNumId w:val="36"/>
  </w:num>
  <w:num w:numId="12">
    <w:abstractNumId w:val="25"/>
  </w:num>
  <w:num w:numId="13">
    <w:abstractNumId w:val="38"/>
  </w:num>
  <w:num w:numId="14">
    <w:abstractNumId w:val="22"/>
  </w:num>
  <w:num w:numId="15">
    <w:abstractNumId w:val="18"/>
  </w:num>
  <w:num w:numId="16">
    <w:abstractNumId w:val="1"/>
  </w:num>
  <w:num w:numId="17">
    <w:abstractNumId w:val="17"/>
  </w:num>
  <w:num w:numId="18">
    <w:abstractNumId w:val="5"/>
  </w:num>
  <w:num w:numId="19">
    <w:abstractNumId w:val="33"/>
  </w:num>
  <w:num w:numId="20">
    <w:abstractNumId w:val="31"/>
  </w:num>
  <w:num w:numId="21">
    <w:abstractNumId w:val="15"/>
  </w:num>
  <w:num w:numId="22">
    <w:abstractNumId w:val="23"/>
  </w:num>
  <w:num w:numId="23">
    <w:abstractNumId w:val="39"/>
  </w:num>
  <w:num w:numId="24">
    <w:abstractNumId w:val="26"/>
  </w:num>
  <w:num w:numId="25">
    <w:abstractNumId w:val="16"/>
  </w:num>
  <w:num w:numId="26">
    <w:abstractNumId w:val="32"/>
  </w:num>
  <w:num w:numId="27">
    <w:abstractNumId w:val="13"/>
  </w:num>
  <w:num w:numId="28">
    <w:abstractNumId w:val="35"/>
  </w:num>
  <w:num w:numId="29">
    <w:abstractNumId w:val="30"/>
  </w:num>
  <w:num w:numId="30">
    <w:abstractNumId w:val="29"/>
  </w:num>
  <w:num w:numId="31">
    <w:abstractNumId w:val="28"/>
  </w:num>
  <w:num w:numId="32">
    <w:abstractNumId w:val="8"/>
  </w:num>
  <w:num w:numId="33">
    <w:abstractNumId w:val="2"/>
  </w:num>
  <w:num w:numId="34">
    <w:abstractNumId w:val="37"/>
  </w:num>
  <w:num w:numId="35">
    <w:abstractNumId w:val="19"/>
  </w:num>
  <w:num w:numId="36">
    <w:abstractNumId w:val="12"/>
  </w:num>
  <w:num w:numId="37">
    <w:abstractNumId w:val="4"/>
  </w:num>
  <w:num w:numId="38">
    <w:abstractNumId w:val="9"/>
  </w:num>
  <w:num w:numId="39">
    <w:abstractNumId w:val="3"/>
  </w:num>
  <w:num w:numId="40">
    <w:abstractNumId w:val="21"/>
  </w:num>
  <w:num w:numId="41">
    <w:abstractNumId w:val="24"/>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intFractionalCharacterWidth/>
  <w:hideGrammaticalErrors/>
  <w:activeWritingStyle w:appName="MSWord" w:lang="en-GB"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A6D"/>
    <w:rsid w:val="00013509"/>
    <w:rsid w:val="00043B7E"/>
    <w:rsid w:val="00060AFC"/>
    <w:rsid w:val="00074304"/>
    <w:rsid w:val="00175D3D"/>
    <w:rsid w:val="001D5E70"/>
    <w:rsid w:val="00293135"/>
    <w:rsid w:val="00346AA4"/>
    <w:rsid w:val="00483719"/>
    <w:rsid w:val="005D1363"/>
    <w:rsid w:val="00653242"/>
    <w:rsid w:val="007160B0"/>
    <w:rsid w:val="00720143"/>
    <w:rsid w:val="00766A6D"/>
    <w:rsid w:val="00777F6C"/>
    <w:rsid w:val="008307BB"/>
    <w:rsid w:val="008A1571"/>
    <w:rsid w:val="00AB4560"/>
    <w:rsid w:val="00B829DC"/>
    <w:rsid w:val="00C845B5"/>
    <w:rsid w:val="00D65A2E"/>
    <w:rsid w:val="00E01902"/>
    <w:rsid w:val="00E33939"/>
    <w:rsid w:val="00EB448D"/>
    <w:rsid w:val="00F90D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Times New Roman" w:hAnsi="Times New Roman"/>
    </w:rPr>
  </w:style>
  <w:style w:type="paragraph" w:styleId="BodyTextIndent">
    <w:name w:val="Body Text Indent"/>
    <w:basedOn w:val="Normal"/>
    <w:pPr>
      <w:ind w:hanging="11"/>
      <w:jc w:val="both"/>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BlockText">
    <w:name w:val="Block Text"/>
    <w:basedOn w:val="Normal"/>
    <w:pPr>
      <w:ind w:left="567" w:right="800"/>
    </w:pPr>
    <w:rPr>
      <w:rFonts w:ascii="Times New Roman" w:hAnsi="Times New Roman"/>
      <w:snapToGrid w:val="0"/>
      <w:lang w:val="en-AU"/>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basedOn w:val="DefaultParagraphFont"/>
    <w:link w:val="FootnoteText"/>
    <w:rPr>
      <w:rFonts w:ascii="Calibri" w:eastAsia="Calibri" w:hAnsi="Calibri"/>
      <w:lang w:val="en-AU" w:eastAsia="en-US" w:bidi="ar-SA"/>
    </w:rPr>
  </w:style>
  <w:style w:type="character" w:styleId="FootnoteReference">
    <w:name w:val="footnote reference"/>
    <w:basedOn w:val="DefaultParagraphFont"/>
    <w:unhideWhenUsed/>
    <w:rPr>
      <w:vertAlign w:val="superscript"/>
    </w:rPr>
  </w:style>
  <w:style w:type="character" w:styleId="Strong">
    <w:name w:val="Strong"/>
    <w:basedOn w:val="DefaultParagraphFont"/>
    <w:qFormat/>
    <w:rsid w:val="008307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1142</Words>
  <Characters>6725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2018-03-09T05:25:00Z</dcterms:created>
  <dcterms:modified xsi:type="dcterms:W3CDTF">2018-04-26T01:40:00Z</dcterms:modified>
</cp:coreProperties>
</file>