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FF221" w14:textId="77777777" w:rsidR="00197203" w:rsidRPr="00F61B09" w:rsidRDefault="00197203" w:rsidP="00197203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6040922" wp14:editId="07777777">
            <wp:extent cx="5272405" cy="735965"/>
            <wp:effectExtent l="0" t="0" r="4445" b="698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3710F" w14:textId="4E8485D5" w:rsidR="00197203" w:rsidRPr="00243EC0" w:rsidRDefault="00197203" w:rsidP="00197203">
      <w:pPr>
        <w:pStyle w:val="LI-Title"/>
        <w:pBdr>
          <w:bottom w:val="single" w:sz="4" w:space="1" w:color="auto"/>
        </w:pBdr>
      </w:pPr>
      <w:r w:rsidRPr="00F61B09">
        <w:t>A</w:t>
      </w:r>
      <w:r>
        <w:t xml:space="preserve">SIC </w:t>
      </w:r>
      <w:r w:rsidR="00465593">
        <w:t xml:space="preserve">Market Integrity </w:t>
      </w:r>
      <w:r>
        <w:t>Rule</w:t>
      </w:r>
      <w:r w:rsidR="00465593">
        <w:t>s (Futures Markets) Class</w:t>
      </w:r>
      <w:r>
        <w:t xml:space="preserve"> Waiver </w:t>
      </w:r>
      <w:r w:rsidR="003B1A94">
        <w:t>2018/313</w:t>
      </w:r>
    </w:p>
    <w:p w14:paraId="0B5F3A51" w14:textId="4514F0B9" w:rsidR="00197203" w:rsidRPr="00AC3E7B" w:rsidRDefault="00197203" w:rsidP="00197203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BA1476">
        <w:rPr>
          <w:sz w:val="24"/>
          <w:szCs w:val="24"/>
        </w:rPr>
        <w:t>Anthony Graham</w:t>
      </w:r>
      <w:r w:rsidRPr="00AC3E7B">
        <w:rPr>
          <w:sz w:val="24"/>
          <w:szCs w:val="24"/>
        </w:rPr>
        <w:t>, delegate of the Australian Securities and Investments Commission, make the following legislative instrument.</w:t>
      </w:r>
    </w:p>
    <w:p w14:paraId="33248C74" w14:textId="77777777" w:rsidR="00197203" w:rsidRPr="00AC3E7B" w:rsidRDefault="00197203" w:rsidP="00197203">
      <w:pPr>
        <w:pStyle w:val="LI-Fronttext"/>
      </w:pPr>
    </w:p>
    <w:p w14:paraId="321C7549" w14:textId="0721B87C" w:rsidR="00197203" w:rsidRDefault="00197203" w:rsidP="00197203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Pr="00AC3E7B">
        <w:rPr>
          <w:sz w:val="24"/>
          <w:szCs w:val="24"/>
        </w:rPr>
        <w:tab/>
      </w:r>
      <w:bookmarkStart w:id="0" w:name="BKCheck15B_1"/>
      <w:bookmarkEnd w:id="0"/>
      <w:r w:rsidR="00BA1476">
        <w:rPr>
          <w:sz w:val="24"/>
          <w:szCs w:val="24"/>
        </w:rPr>
        <w:t>30 April</w:t>
      </w:r>
      <w:r>
        <w:rPr>
          <w:sz w:val="24"/>
          <w:szCs w:val="24"/>
        </w:rPr>
        <w:t xml:space="preserve"> 201</w:t>
      </w:r>
      <w:r w:rsidR="00BC2067">
        <w:rPr>
          <w:sz w:val="24"/>
          <w:szCs w:val="24"/>
        </w:rPr>
        <w:t>8</w:t>
      </w:r>
    </w:p>
    <w:p w14:paraId="16387C93" w14:textId="77777777" w:rsidR="00197203" w:rsidRDefault="00197203" w:rsidP="00197203">
      <w:pPr>
        <w:rPr>
          <w:lang w:eastAsia="en-AU"/>
        </w:rPr>
      </w:pPr>
    </w:p>
    <w:p w14:paraId="4BF37D23" w14:textId="4F63C4C5" w:rsidR="00F36FEF" w:rsidRPr="00C22264" w:rsidRDefault="00F36FEF" w:rsidP="00F36FEF">
      <w:pPr>
        <w:rPr>
          <w:color w:val="FF0000"/>
          <w:lang w:eastAsia="en-AU"/>
        </w:rPr>
      </w:pPr>
    </w:p>
    <w:p w14:paraId="6912E74A" w14:textId="77777777" w:rsidR="00197203" w:rsidRDefault="00197203" w:rsidP="00197203">
      <w:pPr>
        <w:rPr>
          <w:lang w:eastAsia="en-AU"/>
        </w:rPr>
      </w:pPr>
    </w:p>
    <w:p w14:paraId="38D5BF31" w14:textId="77777777" w:rsidR="00197203" w:rsidRPr="003E2BCC" w:rsidRDefault="00197203" w:rsidP="00197203">
      <w:pPr>
        <w:rPr>
          <w:lang w:eastAsia="en-AU"/>
        </w:rPr>
      </w:pPr>
    </w:p>
    <w:p w14:paraId="3288CBE2" w14:textId="42F2B464" w:rsidR="00197203" w:rsidRPr="00BB5C17" w:rsidRDefault="00BA1476" w:rsidP="00197203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Anthony Graham</w:t>
      </w:r>
    </w:p>
    <w:p w14:paraId="7A32E1F8" w14:textId="77777777" w:rsidR="00197203" w:rsidRPr="00F61B09" w:rsidRDefault="00197203" w:rsidP="00197203">
      <w:pPr>
        <w:pStyle w:val="Header"/>
        <w:tabs>
          <w:tab w:val="clear" w:pos="4150"/>
          <w:tab w:val="clear" w:pos="8307"/>
        </w:tabs>
      </w:pPr>
    </w:p>
    <w:p w14:paraId="453C5FC9" w14:textId="77777777" w:rsidR="00197203" w:rsidRPr="00F61B09" w:rsidRDefault="00197203" w:rsidP="00197203">
      <w:pPr>
        <w:sectPr w:rsidR="00197203" w:rsidRPr="00F61B09" w:rsidSect="008945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0FD3F2A" w14:textId="77777777" w:rsidR="00197203" w:rsidRPr="00F61B09" w:rsidRDefault="00197203" w:rsidP="00197203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Start w:id="2" w:name="_GoBack"/>
    <w:bookmarkEnd w:id="1"/>
    <w:bookmarkEnd w:id="2"/>
    <w:p w14:paraId="4F583BE3" w14:textId="77777777" w:rsidR="00BA1476" w:rsidRDefault="0019720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512848387" w:history="1">
        <w:r w:rsidR="00BA1476" w:rsidRPr="00632184">
          <w:rPr>
            <w:rStyle w:val="Hyperlink"/>
            <w:noProof/>
          </w:rPr>
          <w:t>Part 1—Preliminary</w:t>
        </w:r>
        <w:r w:rsidR="00BA1476">
          <w:rPr>
            <w:noProof/>
            <w:webHidden/>
          </w:rPr>
          <w:tab/>
        </w:r>
        <w:r w:rsidR="00BA1476">
          <w:rPr>
            <w:noProof/>
            <w:webHidden/>
          </w:rPr>
          <w:fldChar w:fldCharType="begin"/>
        </w:r>
        <w:r w:rsidR="00BA1476">
          <w:rPr>
            <w:noProof/>
            <w:webHidden/>
          </w:rPr>
          <w:instrText xml:space="preserve"> PAGEREF _Toc512848387 \h </w:instrText>
        </w:r>
        <w:r w:rsidR="00BA1476">
          <w:rPr>
            <w:noProof/>
            <w:webHidden/>
          </w:rPr>
        </w:r>
        <w:r w:rsidR="00BA1476">
          <w:rPr>
            <w:noProof/>
            <w:webHidden/>
          </w:rPr>
          <w:fldChar w:fldCharType="separate"/>
        </w:r>
        <w:r w:rsidR="00BA1476">
          <w:rPr>
            <w:noProof/>
            <w:webHidden/>
          </w:rPr>
          <w:t>3</w:t>
        </w:r>
        <w:r w:rsidR="00BA1476">
          <w:rPr>
            <w:noProof/>
            <w:webHidden/>
          </w:rPr>
          <w:fldChar w:fldCharType="end"/>
        </w:r>
      </w:hyperlink>
    </w:p>
    <w:p w14:paraId="06FE55B3" w14:textId="77777777" w:rsidR="00BA1476" w:rsidRDefault="00BA147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2848388" w:history="1">
        <w:r w:rsidRPr="00632184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632184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_Toc512848388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2A6C85" w14:textId="77777777" w:rsidR="00BA1476" w:rsidRDefault="00BA147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2848389" w:history="1">
        <w:r w:rsidRPr="00632184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632184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_Toc512848389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9228E0" w14:textId="77777777" w:rsidR="00BA1476" w:rsidRDefault="00BA147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2848390" w:history="1">
        <w:r w:rsidRPr="00632184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632184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_Toc512848390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36C4D5" w14:textId="77777777" w:rsidR="00BA1476" w:rsidRDefault="00BA147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2848391" w:history="1">
        <w:r w:rsidRPr="00632184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632184">
          <w:rPr>
            <w:rStyle w:val="Hyperlink"/>
            <w:noProof/>
          </w:rPr>
          <w:t>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_Toc512848391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2A06B5" w14:textId="77777777" w:rsidR="00BA1476" w:rsidRDefault="00BA147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12848392" w:history="1">
        <w:r w:rsidRPr="00632184">
          <w:rPr>
            <w:rStyle w:val="Hyperlink"/>
            <w:noProof/>
          </w:rPr>
          <w:t>Part 2—Waiver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_Toc512848392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5013D0" w14:textId="77777777" w:rsidR="00BA1476" w:rsidRDefault="00BA147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2848393" w:history="1">
        <w:r w:rsidRPr="00632184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632184">
          <w:rPr>
            <w:rStyle w:val="Hyperlink"/>
            <w:noProof/>
          </w:rPr>
          <w:t>Waiver from aggregate loss limit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_Toc512848393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14E609" w14:textId="77777777" w:rsidR="00BA1476" w:rsidRDefault="00BA147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2848394" w:history="1">
        <w:r w:rsidRPr="00632184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632184">
          <w:rPr>
            <w:rStyle w:val="Hyperlink"/>
            <w:noProof/>
          </w:rPr>
          <w:t>Conditions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_Toc512848394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C9A815" w14:textId="77777777" w:rsidR="00BA1476" w:rsidRDefault="00BA147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2848395" w:history="1">
        <w:r w:rsidRPr="00632184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632184">
          <w:rPr>
            <w:rStyle w:val="Hyperlink"/>
            <w:noProof/>
          </w:rPr>
          <w:t>Expiry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_Toc512848395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138AE0" w14:textId="77777777" w:rsidR="00197203" w:rsidRPr="00F61B09" w:rsidRDefault="00197203" w:rsidP="00197203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05D879E0" w14:textId="77777777" w:rsidR="00197203" w:rsidRPr="00F61B09" w:rsidRDefault="00197203" w:rsidP="00197203">
      <w:pPr>
        <w:sectPr w:rsidR="00197203" w:rsidRPr="00F61B09" w:rsidSect="00F4215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3CB4A517" w14:textId="77777777" w:rsidR="00197203" w:rsidRPr="00F61B09" w:rsidRDefault="00197203" w:rsidP="00197203">
      <w:pPr>
        <w:pStyle w:val="LI-Heading1"/>
      </w:pPr>
      <w:bookmarkStart w:id="3" w:name="BK_S3P1L1C1"/>
      <w:bookmarkStart w:id="4" w:name="_Toc512848387"/>
      <w:bookmarkEnd w:id="3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34B85524" w14:textId="77777777" w:rsidR="00197203" w:rsidRDefault="00197203" w:rsidP="00197203">
      <w:pPr>
        <w:pStyle w:val="LI-Heading2"/>
        <w:rPr>
          <w:szCs w:val="24"/>
        </w:rPr>
      </w:pPr>
      <w:bookmarkStart w:id="5" w:name="_Toc512848388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5"/>
    </w:p>
    <w:p w14:paraId="4635D85D" w14:textId="317840B3" w:rsidR="00197203" w:rsidRDefault="00197203" w:rsidP="00197203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is </w:t>
      </w:r>
      <w:r w:rsidR="00465593">
        <w:rPr>
          <w:szCs w:val="24"/>
        </w:rPr>
        <w:t xml:space="preserve">the </w:t>
      </w:r>
      <w:r w:rsidRPr="00A1169A">
        <w:rPr>
          <w:i/>
          <w:szCs w:val="24"/>
        </w:rPr>
        <w:t>ASIC</w:t>
      </w:r>
      <w:r w:rsidRPr="003B49F2">
        <w:rPr>
          <w:szCs w:val="24"/>
        </w:rPr>
        <w:t xml:space="preserve"> </w:t>
      </w:r>
      <w:r w:rsidR="00465593" w:rsidRPr="00042806">
        <w:rPr>
          <w:i/>
          <w:szCs w:val="24"/>
        </w:rPr>
        <w:t xml:space="preserve">Market Integrity </w:t>
      </w:r>
      <w:r w:rsidR="00465593" w:rsidRPr="00F16FD7">
        <w:rPr>
          <w:i/>
          <w:szCs w:val="24"/>
        </w:rPr>
        <w:t>Rules</w:t>
      </w:r>
      <w:r w:rsidR="00465593" w:rsidRPr="00042806">
        <w:rPr>
          <w:i/>
          <w:szCs w:val="24"/>
        </w:rPr>
        <w:t xml:space="preserve"> (</w:t>
      </w:r>
      <w:r w:rsidR="00465593">
        <w:rPr>
          <w:i/>
          <w:szCs w:val="24"/>
        </w:rPr>
        <w:t>Futures Marke</w:t>
      </w:r>
      <w:r w:rsidR="00465593" w:rsidRPr="00465593">
        <w:rPr>
          <w:i/>
          <w:szCs w:val="24"/>
        </w:rPr>
        <w:t>ts</w:t>
      </w:r>
      <w:r w:rsidR="00465593" w:rsidRPr="004545CD">
        <w:rPr>
          <w:i/>
          <w:szCs w:val="24"/>
        </w:rPr>
        <w:t>)</w:t>
      </w:r>
      <w:r w:rsidR="00465593" w:rsidRPr="00A1169A">
        <w:rPr>
          <w:i/>
          <w:szCs w:val="24"/>
        </w:rPr>
        <w:t xml:space="preserve"> </w:t>
      </w:r>
      <w:r w:rsidRPr="00A1169A">
        <w:rPr>
          <w:i/>
          <w:szCs w:val="24"/>
        </w:rPr>
        <w:t xml:space="preserve">Class Waiver </w:t>
      </w:r>
      <w:r w:rsidR="003B1A94">
        <w:rPr>
          <w:i/>
          <w:szCs w:val="24"/>
        </w:rPr>
        <w:t>2018/313</w:t>
      </w:r>
      <w:r w:rsidRPr="003B49F2">
        <w:rPr>
          <w:szCs w:val="24"/>
        </w:rPr>
        <w:t>.</w:t>
      </w:r>
    </w:p>
    <w:p w14:paraId="1884CD5A" w14:textId="7C1D1F8A" w:rsidR="00197203" w:rsidRPr="008C0F29" w:rsidRDefault="00197203" w:rsidP="00197203">
      <w:pPr>
        <w:pStyle w:val="LI-Heading2"/>
        <w:rPr>
          <w:szCs w:val="24"/>
        </w:rPr>
      </w:pPr>
      <w:bookmarkStart w:id="6" w:name="_Toc512848389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57DD9BA6" w14:textId="044FF383" w:rsidR="00F16FD7" w:rsidRPr="003A0BB4" w:rsidRDefault="00F16FD7" w:rsidP="00F16FD7">
      <w:pPr>
        <w:pStyle w:val="LI-BodyTextUnnumbered"/>
        <w:rPr>
          <w:szCs w:val="24"/>
        </w:rPr>
      </w:pPr>
      <w:r w:rsidRPr="003A0BB4">
        <w:rPr>
          <w:szCs w:val="24"/>
        </w:rPr>
        <w:t>This instrument commences on the later of:</w:t>
      </w:r>
    </w:p>
    <w:p w14:paraId="6BA92204" w14:textId="2AEFDAA4" w:rsidR="00F16FD7" w:rsidRPr="003A0BB4" w:rsidRDefault="00F16FD7" w:rsidP="00F16FD7">
      <w:pPr>
        <w:pStyle w:val="LI-BodyTextParaa"/>
      </w:pPr>
      <w:r w:rsidRPr="003A0BB4">
        <w:t>(a)</w:t>
      </w:r>
      <w:r w:rsidRPr="003A0BB4">
        <w:tab/>
      </w:r>
      <w:r w:rsidR="00465593">
        <w:t>7 May 2018</w:t>
      </w:r>
      <w:r w:rsidRPr="003A0BB4">
        <w:t>; and</w:t>
      </w:r>
    </w:p>
    <w:p w14:paraId="528AF72D" w14:textId="77777777" w:rsidR="00F16FD7" w:rsidRPr="003A0BB4" w:rsidRDefault="00F16FD7" w:rsidP="00F16FD7">
      <w:pPr>
        <w:pStyle w:val="LI-BodyTextParaa"/>
      </w:pPr>
      <w:r>
        <w:t>(b)</w:t>
      </w:r>
      <w:r>
        <w:tab/>
      </w:r>
      <w:r w:rsidRPr="003A0BB4">
        <w:t xml:space="preserve">the day after this instrument is registered on the Federal Register of Legislation. </w:t>
      </w:r>
    </w:p>
    <w:p w14:paraId="38395FC7" w14:textId="77777777" w:rsidR="00F16FD7" w:rsidRDefault="00F16FD7" w:rsidP="00F16FD7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2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152FE4F2" w14:textId="6C186479" w:rsidR="002830DF" w:rsidRPr="008C0F29" w:rsidRDefault="002830DF" w:rsidP="002830DF">
      <w:pPr>
        <w:pStyle w:val="LI-Heading2"/>
        <w:spacing w:before="240"/>
        <w:rPr>
          <w:szCs w:val="24"/>
        </w:rPr>
      </w:pPr>
      <w:bookmarkStart w:id="7" w:name="_Toc512848390"/>
      <w:r>
        <w:rPr>
          <w:szCs w:val="24"/>
        </w:rPr>
        <w:t>3</w:t>
      </w:r>
      <w:r>
        <w:rPr>
          <w:szCs w:val="24"/>
        </w:rPr>
        <w:tab/>
        <w:t>Authority</w:t>
      </w:r>
      <w:bookmarkEnd w:id="7"/>
    </w:p>
    <w:p w14:paraId="1A6D4741" w14:textId="70D1D9E7" w:rsidR="00E56D81" w:rsidRDefault="00197203" w:rsidP="00197203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Pr="00042806">
        <w:rPr>
          <w:szCs w:val="24"/>
        </w:rPr>
        <w:t>subrule 1.2.1(1)</w:t>
      </w:r>
      <w:r w:rsidR="009A39E7">
        <w:rPr>
          <w:szCs w:val="24"/>
        </w:rPr>
        <w:t xml:space="preserve"> and </w:t>
      </w:r>
      <w:r w:rsidR="00A1169A">
        <w:rPr>
          <w:szCs w:val="24"/>
        </w:rPr>
        <w:t xml:space="preserve">rule </w:t>
      </w:r>
      <w:r w:rsidR="009A39E7">
        <w:rPr>
          <w:szCs w:val="24"/>
        </w:rPr>
        <w:t>1.2.3</w:t>
      </w:r>
      <w:r w:rsidRPr="00042806">
        <w:rPr>
          <w:szCs w:val="24"/>
        </w:rPr>
        <w:t xml:space="preserve"> of the </w:t>
      </w:r>
      <w:r w:rsidRPr="00042806">
        <w:rPr>
          <w:i/>
          <w:szCs w:val="24"/>
        </w:rPr>
        <w:t xml:space="preserve">ASIC Market Integrity </w:t>
      </w:r>
      <w:r w:rsidRPr="00F16FD7">
        <w:rPr>
          <w:i/>
          <w:szCs w:val="24"/>
        </w:rPr>
        <w:t>Rules</w:t>
      </w:r>
      <w:r w:rsidRPr="00042806">
        <w:rPr>
          <w:i/>
          <w:szCs w:val="24"/>
        </w:rPr>
        <w:t xml:space="preserve"> (</w:t>
      </w:r>
      <w:r w:rsidR="00F16FD7">
        <w:rPr>
          <w:i/>
          <w:szCs w:val="24"/>
        </w:rPr>
        <w:t xml:space="preserve">Futures </w:t>
      </w:r>
      <w:r>
        <w:rPr>
          <w:i/>
          <w:szCs w:val="24"/>
        </w:rPr>
        <w:t>Market</w:t>
      </w:r>
      <w:r w:rsidR="006A0E66">
        <w:rPr>
          <w:i/>
          <w:szCs w:val="24"/>
        </w:rPr>
        <w:t>s</w:t>
      </w:r>
      <w:r>
        <w:rPr>
          <w:i/>
          <w:szCs w:val="24"/>
        </w:rPr>
        <w:t>) 201</w:t>
      </w:r>
      <w:r w:rsidR="00F16FD7">
        <w:rPr>
          <w:i/>
          <w:szCs w:val="24"/>
        </w:rPr>
        <w:t>7</w:t>
      </w:r>
      <w:r w:rsidR="00465593">
        <w:rPr>
          <w:i/>
          <w:szCs w:val="24"/>
        </w:rPr>
        <w:t xml:space="preserve"> </w:t>
      </w:r>
      <w:r w:rsidR="00465593">
        <w:rPr>
          <w:szCs w:val="24"/>
        </w:rPr>
        <w:t>(</w:t>
      </w:r>
      <w:r w:rsidR="00465593" w:rsidRPr="00A1169A">
        <w:rPr>
          <w:b/>
          <w:i/>
          <w:szCs w:val="24"/>
        </w:rPr>
        <w:t>Rules</w:t>
      </w:r>
      <w:r w:rsidR="00465593">
        <w:rPr>
          <w:szCs w:val="24"/>
        </w:rPr>
        <w:t>)</w:t>
      </w:r>
      <w:r w:rsidRPr="00042806">
        <w:rPr>
          <w:szCs w:val="24"/>
        </w:rPr>
        <w:t>.</w:t>
      </w:r>
      <w:r>
        <w:rPr>
          <w:szCs w:val="24"/>
        </w:rPr>
        <w:t xml:space="preserve"> </w:t>
      </w:r>
    </w:p>
    <w:p w14:paraId="0F346F7A" w14:textId="77777777" w:rsidR="00CC1B89" w:rsidRPr="008C0F29" w:rsidRDefault="00CC1B89" w:rsidP="00CC1B89">
      <w:pPr>
        <w:pStyle w:val="LI-Heading2"/>
        <w:spacing w:before="240"/>
        <w:rPr>
          <w:szCs w:val="24"/>
        </w:rPr>
      </w:pPr>
      <w:bookmarkStart w:id="8" w:name="_Toc512848391"/>
      <w:r>
        <w:rPr>
          <w:szCs w:val="24"/>
        </w:rPr>
        <w:t>4</w:t>
      </w:r>
      <w:r>
        <w:rPr>
          <w:szCs w:val="24"/>
        </w:rPr>
        <w:tab/>
        <w:t>Interpretation</w:t>
      </w:r>
      <w:bookmarkEnd w:id="8"/>
    </w:p>
    <w:p w14:paraId="5AE6EE57" w14:textId="73797BEF" w:rsidR="00CC1B89" w:rsidRDefault="00A24B39" w:rsidP="005257A0">
      <w:pPr>
        <w:pStyle w:val="LI-BodyTextUnnumbered"/>
        <w:ind w:hanging="567"/>
        <w:rPr>
          <w:szCs w:val="24"/>
        </w:rPr>
      </w:pPr>
      <w:r>
        <w:rPr>
          <w:szCs w:val="24"/>
        </w:rPr>
        <w:tab/>
      </w:r>
      <w:r w:rsidR="00CC1B89">
        <w:rPr>
          <w:szCs w:val="24"/>
        </w:rPr>
        <w:t xml:space="preserve">In this instrument, unless the contrary intention appears, capitalised terms have the </w:t>
      </w:r>
      <w:r w:rsidR="00465593">
        <w:rPr>
          <w:szCs w:val="24"/>
        </w:rPr>
        <w:t xml:space="preserve">same </w:t>
      </w:r>
      <w:r w:rsidR="00CC1B89">
        <w:rPr>
          <w:szCs w:val="24"/>
        </w:rPr>
        <w:t xml:space="preserve">meaning </w:t>
      </w:r>
      <w:r w:rsidR="00465593">
        <w:rPr>
          <w:szCs w:val="24"/>
        </w:rPr>
        <w:t>as in</w:t>
      </w:r>
      <w:r w:rsidR="00CC1B89">
        <w:rPr>
          <w:szCs w:val="24"/>
        </w:rPr>
        <w:t xml:space="preserve"> the </w:t>
      </w:r>
      <w:r w:rsidR="00CC1B89" w:rsidRPr="005257A0">
        <w:rPr>
          <w:szCs w:val="24"/>
        </w:rPr>
        <w:t>Rules</w:t>
      </w:r>
      <w:r w:rsidR="00CC1B89">
        <w:rPr>
          <w:szCs w:val="24"/>
        </w:rPr>
        <w:t>.</w:t>
      </w:r>
    </w:p>
    <w:p w14:paraId="6DC6D660" w14:textId="77777777" w:rsidR="00E56D81" w:rsidRDefault="00E56D81" w:rsidP="00BC2067">
      <w:pPr>
        <w:pStyle w:val="LI-Heading1"/>
        <w:pageBreakBefore/>
        <w:ind w:left="1140" w:hanging="1140"/>
      </w:pPr>
      <w:bookmarkStart w:id="9" w:name="_Toc462294934"/>
      <w:bookmarkStart w:id="10" w:name="_Toc512848392"/>
      <w:r w:rsidRPr="006554FF">
        <w:lastRenderedPageBreak/>
        <w:t xml:space="preserve">Part </w:t>
      </w:r>
      <w:r w:rsidRPr="006E5320">
        <w:t>2</w:t>
      </w:r>
      <w:r w:rsidRPr="00F61B09">
        <w:t>—</w:t>
      </w:r>
      <w:bookmarkEnd w:id="9"/>
      <w:r>
        <w:t>Waiver</w:t>
      </w:r>
      <w:bookmarkEnd w:id="10"/>
    </w:p>
    <w:p w14:paraId="7C531DB8" w14:textId="3DD307DE" w:rsidR="00E56D81" w:rsidRPr="00E56D81" w:rsidRDefault="00CC1B89" w:rsidP="00E56D81">
      <w:pPr>
        <w:pStyle w:val="LI-Heading2"/>
        <w:spacing w:before="240"/>
        <w:rPr>
          <w:szCs w:val="24"/>
        </w:rPr>
      </w:pPr>
      <w:bookmarkStart w:id="11" w:name="_Toc512848393"/>
      <w:r>
        <w:rPr>
          <w:szCs w:val="24"/>
        </w:rPr>
        <w:t>5</w:t>
      </w:r>
      <w:r w:rsidR="00E56D81">
        <w:rPr>
          <w:szCs w:val="24"/>
        </w:rPr>
        <w:tab/>
        <w:t>Waiver from aggregate loss limit requirements</w:t>
      </w:r>
      <w:bookmarkEnd w:id="11"/>
    </w:p>
    <w:p w14:paraId="2536C2BB" w14:textId="5436C8B3" w:rsidR="003F71DE" w:rsidRDefault="00E56D81" w:rsidP="00E56D81">
      <w:pPr>
        <w:pStyle w:val="LI-BodyTextNumbered"/>
      </w:pPr>
      <w:bookmarkStart w:id="12" w:name="_Toc453254777"/>
      <w:r>
        <w:t>(1)</w:t>
      </w:r>
      <w:r>
        <w:tab/>
      </w:r>
      <w:bookmarkEnd w:id="12"/>
      <w:r w:rsidR="00465593">
        <w:t>A</w:t>
      </w:r>
      <w:r w:rsidR="00A16BAB" w:rsidRPr="001F56F4">
        <w:t xml:space="preserve"> Market Participant </w:t>
      </w:r>
      <w:r w:rsidR="00465593">
        <w:t>does not have</w:t>
      </w:r>
      <w:r w:rsidR="00A16BAB" w:rsidRPr="001F56F4">
        <w:t xml:space="preserve"> to comply with </w:t>
      </w:r>
      <w:r w:rsidR="00A24B39">
        <w:t>paragraph</w:t>
      </w:r>
      <w:r w:rsidR="00A24B39" w:rsidRPr="001F56F4">
        <w:t xml:space="preserve"> </w:t>
      </w:r>
      <w:r w:rsidR="00E860E5" w:rsidRPr="001F56F4">
        <w:t>2.2.1(1)(a)</w:t>
      </w:r>
      <w:r w:rsidR="00A24B39">
        <w:t xml:space="preserve"> of the Rules</w:t>
      </w:r>
      <w:r w:rsidR="00E860E5" w:rsidRPr="001F56F4">
        <w:t xml:space="preserve"> to the extent that </w:t>
      </w:r>
      <w:r w:rsidR="00A24B39">
        <w:t>paragraph</w:t>
      </w:r>
      <w:r w:rsidR="00A24B39" w:rsidRPr="001F56F4">
        <w:t xml:space="preserve"> </w:t>
      </w:r>
      <w:r w:rsidR="00E860E5" w:rsidRPr="001F56F4">
        <w:t xml:space="preserve">requires the Market Participant to set and document </w:t>
      </w:r>
      <w:r w:rsidR="00895019" w:rsidRPr="001F56F4">
        <w:t>an appropriate pre-determined</w:t>
      </w:r>
      <w:r w:rsidR="00E860E5" w:rsidRPr="001F56F4">
        <w:t xml:space="preserve"> aggregate loss limit on each of its Client Accounts</w:t>
      </w:r>
      <w:r w:rsidR="00EC5CD9">
        <w:t xml:space="preserve">. </w:t>
      </w:r>
    </w:p>
    <w:p w14:paraId="7259C2C4" w14:textId="54BE6041" w:rsidR="001D6FEE" w:rsidRPr="001F56F4" w:rsidRDefault="003F71DE" w:rsidP="003C45F7">
      <w:pPr>
        <w:pStyle w:val="LI-BodyTextNote"/>
      </w:pPr>
      <w:r>
        <w:t xml:space="preserve">Note: </w:t>
      </w:r>
      <w:r>
        <w:tab/>
        <w:t xml:space="preserve">This waiver does not affect a Market Participant's other obligations in </w:t>
      </w:r>
      <w:r w:rsidR="00A24B39">
        <w:t xml:space="preserve">paragraph </w:t>
      </w:r>
      <w:r>
        <w:t>2.2.1(1</w:t>
      </w:r>
      <w:r w:rsidR="00AC3953">
        <w:t>)</w:t>
      </w:r>
      <w:r>
        <w:t>(a)</w:t>
      </w:r>
      <w:r w:rsidR="00A24B39">
        <w:t xml:space="preserve"> of the Rules</w:t>
      </w:r>
      <w:r>
        <w:t>, to set and document appropriate pre-determined Order and/or position limits including a volume per Order limit and an aggregate net session limit</w:t>
      </w:r>
      <w:r w:rsidR="004A3AF4" w:rsidRPr="004A3AF4">
        <w:t xml:space="preserve"> </w:t>
      </w:r>
      <w:r w:rsidR="004A3AF4">
        <w:t>for each of its Client Accounts</w:t>
      </w:r>
      <w:r>
        <w:t>.</w:t>
      </w:r>
    </w:p>
    <w:p w14:paraId="39C3C5A3" w14:textId="4AE86387" w:rsidR="003F71DE" w:rsidRDefault="001D6FEE" w:rsidP="001D6FEE">
      <w:pPr>
        <w:pStyle w:val="LI-BodyTextNumbered"/>
      </w:pPr>
      <w:r w:rsidRPr="001F56F4">
        <w:t>(2)</w:t>
      </w:r>
      <w:r w:rsidRPr="001F56F4">
        <w:tab/>
      </w:r>
      <w:r w:rsidR="00465593">
        <w:t>A</w:t>
      </w:r>
      <w:r w:rsidRPr="001F56F4">
        <w:t xml:space="preserve"> Market Participant </w:t>
      </w:r>
      <w:r w:rsidR="00465593">
        <w:t>does not have</w:t>
      </w:r>
      <w:r w:rsidRPr="001F56F4">
        <w:t xml:space="preserve"> to comply with </w:t>
      </w:r>
      <w:r w:rsidR="00A24B39">
        <w:t>paragraph</w:t>
      </w:r>
      <w:r w:rsidR="00A24B39" w:rsidRPr="001F56F4">
        <w:t xml:space="preserve"> </w:t>
      </w:r>
      <w:r w:rsidRPr="001F56F4">
        <w:t>2.2.1(1)(ab)</w:t>
      </w:r>
      <w:r w:rsidR="00A24B39">
        <w:t xml:space="preserve"> of the Rules</w:t>
      </w:r>
      <w:r w:rsidRPr="001F56F4">
        <w:t xml:space="preserve"> to the extent that </w:t>
      </w:r>
      <w:r w:rsidR="00A24B39">
        <w:t>paragraph</w:t>
      </w:r>
      <w:r w:rsidR="00A24B39" w:rsidRPr="001F56F4">
        <w:t xml:space="preserve"> </w:t>
      </w:r>
      <w:r w:rsidRPr="001F56F4">
        <w:t xml:space="preserve">requires the Market Participant to set and document </w:t>
      </w:r>
      <w:r w:rsidR="00895019" w:rsidRPr="001F56F4">
        <w:t>an appropriate pre-determined</w:t>
      </w:r>
      <w:r w:rsidRPr="001F56F4">
        <w:t xml:space="preserve"> aggregate loss limit on each of its House Accounts</w:t>
      </w:r>
      <w:r w:rsidR="00EC5CD9">
        <w:t xml:space="preserve">. </w:t>
      </w:r>
    </w:p>
    <w:p w14:paraId="66AE7CD9" w14:textId="503F1476" w:rsidR="001D6FEE" w:rsidRPr="001F56F4" w:rsidRDefault="003F71DE" w:rsidP="003C45F7">
      <w:pPr>
        <w:pStyle w:val="LI-BodyTextNote"/>
      </w:pPr>
      <w:r>
        <w:t xml:space="preserve">Note: </w:t>
      </w:r>
      <w:r>
        <w:tab/>
        <w:t xml:space="preserve">This waiver does not affect a Market Participant's other obligations in </w:t>
      </w:r>
      <w:r w:rsidR="00A24B39">
        <w:t xml:space="preserve">paragraph </w:t>
      </w:r>
      <w:r>
        <w:t>2.2.1(1</w:t>
      </w:r>
      <w:r w:rsidR="00AC3953">
        <w:t>)</w:t>
      </w:r>
      <w:r>
        <w:t>(ab)</w:t>
      </w:r>
      <w:r w:rsidR="00A24B39">
        <w:t xml:space="preserve"> of the Rules</w:t>
      </w:r>
      <w:r w:rsidR="004A3AF4">
        <w:t>,</w:t>
      </w:r>
      <w:r>
        <w:t xml:space="preserve"> to set and document appropriate pre-determined Order and/or position limits including a volume per Order limit and an aggregate net session limit</w:t>
      </w:r>
      <w:r w:rsidR="004A3AF4" w:rsidRPr="004A3AF4">
        <w:t xml:space="preserve"> </w:t>
      </w:r>
      <w:r w:rsidR="004A3AF4">
        <w:t xml:space="preserve">for each of its House Accounts. </w:t>
      </w:r>
    </w:p>
    <w:p w14:paraId="0C3CE530" w14:textId="3EE367C0" w:rsidR="009C52CE" w:rsidRDefault="001D6FEE" w:rsidP="001D6FEE">
      <w:pPr>
        <w:pStyle w:val="LI-BodyTextNumbered"/>
      </w:pPr>
      <w:r w:rsidRPr="001F56F4">
        <w:t>(3)</w:t>
      </w:r>
      <w:r w:rsidRPr="001F56F4">
        <w:tab/>
      </w:r>
      <w:r w:rsidR="00A1169A">
        <w:t>A</w:t>
      </w:r>
      <w:r w:rsidR="00750B81" w:rsidRPr="001F56F4">
        <w:t xml:space="preserve"> Market Participant </w:t>
      </w:r>
      <w:r w:rsidR="00A1169A">
        <w:t>does not have</w:t>
      </w:r>
      <w:r w:rsidR="00750B81" w:rsidRPr="001F56F4">
        <w:t xml:space="preserve"> to comply with </w:t>
      </w:r>
      <w:r w:rsidR="00A24B39">
        <w:t>paragraph</w:t>
      </w:r>
      <w:r w:rsidR="00A24B39" w:rsidRPr="001F56F4">
        <w:t xml:space="preserve"> </w:t>
      </w:r>
      <w:r w:rsidR="00750B81" w:rsidRPr="001F56F4">
        <w:t>2.2.1(1)(c)</w:t>
      </w:r>
      <w:r w:rsidR="009C52CE" w:rsidRPr="001F56F4">
        <w:t xml:space="preserve"> </w:t>
      </w:r>
      <w:r w:rsidR="00A24B39">
        <w:t xml:space="preserve">of the Rules </w:t>
      </w:r>
      <w:r w:rsidR="009C52CE" w:rsidRPr="001F56F4">
        <w:t xml:space="preserve">to the extent that </w:t>
      </w:r>
      <w:r w:rsidR="00A24B39">
        <w:t>paragraph</w:t>
      </w:r>
      <w:r w:rsidR="00A24B39" w:rsidRPr="001F56F4">
        <w:t xml:space="preserve"> </w:t>
      </w:r>
      <w:r w:rsidR="009C52CE" w:rsidRPr="001F56F4">
        <w:t xml:space="preserve">requires </w:t>
      </w:r>
      <w:r w:rsidR="00571B29" w:rsidRPr="001F56F4">
        <w:t>a Market Participant</w:t>
      </w:r>
      <w:r w:rsidR="006F4BCE">
        <w:t>’</w:t>
      </w:r>
      <w:r w:rsidR="004C7C57" w:rsidRPr="001F56F4">
        <w:t>s</w:t>
      </w:r>
      <w:r w:rsidR="007C3DAB" w:rsidRPr="001F56F4">
        <w:t xml:space="preserve"> risk manager</w:t>
      </w:r>
      <w:r w:rsidR="00571B29" w:rsidRPr="001F56F4">
        <w:t xml:space="preserve"> to input</w:t>
      </w:r>
      <w:r w:rsidR="007C3DAB" w:rsidRPr="001F56F4">
        <w:t xml:space="preserve"> </w:t>
      </w:r>
      <w:r w:rsidR="004C7C57" w:rsidRPr="001F56F4">
        <w:t xml:space="preserve">the aggregate loss limits </w:t>
      </w:r>
      <w:r w:rsidR="003C45F7">
        <w:t xml:space="preserve">set and </w:t>
      </w:r>
      <w:r w:rsidR="004C7C57" w:rsidRPr="001F56F4">
        <w:t xml:space="preserve">determined by the Market Participant in accordance with </w:t>
      </w:r>
      <w:r w:rsidR="00A24B39">
        <w:t>paragraphs</w:t>
      </w:r>
      <w:r w:rsidR="00A24B39" w:rsidRPr="001F56F4">
        <w:t xml:space="preserve"> </w:t>
      </w:r>
      <w:r w:rsidR="004C7C57" w:rsidRPr="001F56F4">
        <w:t>2.2.1</w:t>
      </w:r>
      <w:r w:rsidR="00AC3953">
        <w:t>(1)</w:t>
      </w:r>
      <w:r w:rsidR="004C7C57" w:rsidRPr="001F56F4">
        <w:t>(a) and 2.2.1</w:t>
      </w:r>
      <w:r w:rsidR="00AC3953">
        <w:t>(1)</w:t>
      </w:r>
      <w:r w:rsidR="004C7C57" w:rsidRPr="001F56F4">
        <w:t xml:space="preserve">(ab) </w:t>
      </w:r>
      <w:r w:rsidR="00A24B39">
        <w:t xml:space="preserve">of the Rules </w:t>
      </w:r>
      <w:r w:rsidR="007C3DAB" w:rsidRPr="001F56F4">
        <w:t>into Trading Platform account maintenance</w:t>
      </w:r>
      <w:r w:rsidR="00465593">
        <w:t xml:space="preserve"> and to establish those aggregate loss limits as preset accounts</w:t>
      </w:r>
      <w:r w:rsidR="009C52CE" w:rsidRPr="001F56F4">
        <w:t>.</w:t>
      </w:r>
    </w:p>
    <w:p w14:paraId="4BF388CD" w14:textId="716596FA" w:rsidR="003F71DE" w:rsidRDefault="003F71DE" w:rsidP="003C45F7">
      <w:pPr>
        <w:pStyle w:val="LI-BodyTextNote"/>
      </w:pPr>
      <w:r>
        <w:t xml:space="preserve">Note: </w:t>
      </w:r>
      <w:r>
        <w:tab/>
        <w:t xml:space="preserve">This waiver does not affect </w:t>
      </w:r>
      <w:r w:rsidR="00D31FD7">
        <w:t xml:space="preserve">the obligation in </w:t>
      </w:r>
      <w:r w:rsidR="00A24B39">
        <w:t xml:space="preserve">paragraph </w:t>
      </w:r>
      <w:r w:rsidR="00D31FD7">
        <w:t>2.2.1(1)(c)</w:t>
      </w:r>
      <w:r>
        <w:t xml:space="preserve"> </w:t>
      </w:r>
      <w:r w:rsidR="00A24B39">
        <w:t xml:space="preserve">of the Rules </w:t>
      </w:r>
      <w:r>
        <w:t xml:space="preserve">to input pre-determined Order and/or position limits including a volume per Order limit and an aggregate net session limit into </w:t>
      </w:r>
      <w:r w:rsidR="00D31FD7">
        <w:t>Trading Platform account maintenance</w:t>
      </w:r>
      <w:r w:rsidR="00465593">
        <w:t xml:space="preserve"> and to establish those limits as preset accounts</w:t>
      </w:r>
      <w:r w:rsidR="00D31FD7">
        <w:t>.</w:t>
      </w:r>
    </w:p>
    <w:p w14:paraId="161FD239" w14:textId="00D538BA" w:rsidR="001F56F4" w:rsidRDefault="00EC5CD9" w:rsidP="001F56F4">
      <w:pPr>
        <w:pStyle w:val="LI-Heading2"/>
        <w:spacing w:before="240"/>
        <w:rPr>
          <w:szCs w:val="24"/>
        </w:rPr>
      </w:pPr>
      <w:bookmarkStart w:id="13" w:name="_Toc512848394"/>
      <w:r>
        <w:rPr>
          <w:szCs w:val="24"/>
        </w:rPr>
        <w:t>6</w:t>
      </w:r>
      <w:r w:rsidR="001F56F4">
        <w:rPr>
          <w:szCs w:val="24"/>
        </w:rPr>
        <w:tab/>
      </w:r>
      <w:r w:rsidR="00477068">
        <w:rPr>
          <w:szCs w:val="24"/>
        </w:rPr>
        <w:t>Conditions</w:t>
      </w:r>
      <w:bookmarkEnd w:id="13"/>
    </w:p>
    <w:p w14:paraId="49CFC2B9" w14:textId="655367A5" w:rsidR="00477068" w:rsidRDefault="00EC5CD9" w:rsidP="00EC5CD9">
      <w:pPr>
        <w:pStyle w:val="LI-BodyTextNumbered"/>
      </w:pPr>
      <w:r>
        <w:t xml:space="preserve">(1) </w:t>
      </w:r>
      <w:r>
        <w:tab/>
        <w:t xml:space="preserve">It is a condition of the waiver in </w:t>
      </w:r>
      <w:r w:rsidR="004545CD">
        <w:t xml:space="preserve">subsection </w:t>
      </w:r>
      <w:r>
        <w:t xml:space="preserve">5(1) that </w:t>
      </w:r>
      <w:r w:rsidR="004A3AF4">
        <w:t xml:space="preserve">a </w:t>
      </w:r>
      <w:r w:rsidRPr="001F56F4">
        <w:t xml:space="preserve">Market Participant </w:t>
      </w:r>
      <w:r>
        <w:t xml:space="preserve">implements </w:t>
      </w:r>
      <w:r w:rsidRPr="001F56F4">
        <w:t>appropriate processes to monitor</w:t>
      </w:r>
      <w:r>
        <w:t xml:space="preserve"> </w:t>
      </w:r>
      <w:r w:rsidRPr="001F56F4">
        <w:t>the aggregate loss limit</w:t>
      </w:r>
      <w:r w:rsidR="003C45F7">
        <w:t xml:space="preserve"> </w:t>
      </w:r>
      <w:r w:rsidRPr="001F56F4">
        <w:t>on each of its Client Accounts</w:t>
      </w:r>
      <w:r>
        <w:t>.</w:t>
      </w:r>
    </w:p>
    <w:p w14:paraId="233FDDA3" w14:textId="729098B8" w:rsidR="00EC5CD9" w:rsidRDefault="00EC5CD9" w:rsidP="00EC5CD9">
      <w:pPr>
        <w:pStyle w:val="LI-BodyTextNumbered"/>
      </w:pPr>
      <w:r>
        <w:t>(2)</w:t>
      </w:r>
      <w:r>
        <w:tab/>
        <w:t xml:space="preserve">It is a condition of the waiver in </w:t>
      </w:r>
      <w:r w:rsidR="004545CD">
        <w:t xml:space="preserve">subsection </w:t>
      </w:r>
      <w:r>
        <w:t xml:space="preserve">5(2) that </w:t>
      </w:r>
      <w:r w:rsidR="004A3AF4">
        <w:t xml:space="preserve">a </w:t>
      </w:r>
      <w:r w:rsidRPr="001F56F4">
        <w:t xml:space="preserve">Market Participant </w:t>
      </w:r>
      <w:r>
        <w:t xml:space="preserve">implements </w:t>
      </w:r>
      <w:r w:rsidRPr="001F56F4">
        <w:t>appropriate processes to monitor</w:t>
      </w:r>
      <w:r>
        <w:t xml:space="preserve"> </w:t>
      </w:r>
      <w:r w:rsidRPr="001F56F4">
        <w:t xml:space="preserve">the aggregate loss limit on each of its </w:t>
      </w:r>
      <w:r>
        <w:t xml:space="preserve">House </w:t>
      </w:r>
      <w:r w:rsidRPr="001F56F4">
        <w:t>Accounts</w:t>
      </w:r>
      <w:r>
        <w:t>.</w:t>
      </w:r>
    </w:p>
    <w:p w14:paraId="4CF58CD1" w14:textId="77777777" w:rsidR="004545CD" w:rsidRDefault="004545CD" w:rsidP="00EC5CD9">
      <w:pPr>
        <w:pStyle w:val="LI-BodyTextNumbered"/>
      </w:pPr>
    </w:p>
    <w:p w14:paraId="56D64953" w14:textId="698EABFB" w:rsidR="004545CD" w:rsidRPr="004545CD" w:rsidRDefault="004545CD" w:rsidP="004545CD">
      <w:pPr>
        <w:pStyle w:val="ListParagraph"/>
        <w:spacing w:after="240"/>
        <w:ind w:left="1134" w:hanging="632"/>
      </w:pPr>
      <w:r w:rsidRPr="00A1169A">
        <w:rPr>
          <w:bCs/>
          <w:sz w:val="18"/>
          <w:szCs w:val="18"/>
        </w:rPr>
        <w:t xml:space="preserve">Note: </w:t>
      </w:r>
      <w:r w:rsidRPr="00A1169A">
        <w:rPr>
          <w:bCs/>
          <w:sz w:val="18"/>
          <w:szCs w:val="18"/>
        </w:rPr>
        <w:tab/>
        <w:t>The conditions imposed on a waiver must be complied with in order for the waiver to be effective: subrule 1.2.1(2) of the Rules.</w:t>
      </w:r>
    </w:p>
    <w:p w14:paraId="3296153C" w14:textId="77777777" w:rsidR="004545CD" w:rsidRDefault="004545CD" w:rsidP="00EC5CD9">
      <w:pPr>
        <w:pStyle w:val="LI-BodyTextNumbered"/>
      </w:pPr>
    </w:p>
    <w:p w14:paraId="13984FCB" w14:textId="22B1CC69" w:rsidR="00477068" w:rsidRDefault="00EC5CD9" w:rsidP="00EC5CD9">
      <w:pPr>
        <w:pStyle w:val="LI-Heading2"/>
      </w:pPr>
      <w:bookmarkStart w:id="14" w:name="_Toc512848395"/>
      <w:r>
        <w:lastRenderedPageBreak/>
        <w:t>7</w:t>
      </w:r>
      <w:r>
        <w:tab/>
        <w:t>Expiry</w:t>
      </w:r>
      <w:bookmarkEnd w:id="14"/>
    </w:p>
    <w:p w14:paraId="2A98906C" w14:textId="4A1DA54B" w:rsidR="00543A2D" w:rsidRPr="0056097C" w:rsidRDefault="001F56F4" w:rsidP="0056097C">
      <w:pPr>
        <w:pStyle w:val="LI-BodyTextUnnumbered"/>
        <w:rPr>
          <w:szCs w:val="24"/>
        </w:rPr>
      </w:pPr>
      <w:r>
        <w:rPr>
          <w:szCs w:val="24"/>
        </w:rPr>
        <w:t>Th</w:t>
      </w:r>
      <w:r w:rsidR="00EC5CD9">
        <w:rPr>
          <w:szCs w:val="24"/>
        </w:rPr>
        <w:t>e waiver</w:t>
      </w:r>
      <w:r w:rsidR="004545CD">
        <w:rPr>
          <w:szCs w:val="24"/>
        </w:rPr>
        <w:t>s</w:t>
      </w:r>
      <w:r w:rsidR="00EC5CD9">
        <w:rPr>
          <w:szCs w:val="24"/>
        </w:rPr>
        <w:t xml:space="preserve"> in </w:t>
      </w:r>
      <w:r w:rsidR="004545CD">
        <w:rPr>
          <w:szCs w:val="24"/>
        </w:rPr>
        <w:t xml:space="preserve">section 5 of </w:t>
      </w:r>
      <w:r w:rsidR="00EC5CD9">
        <w:rPr>
          <w:szCs w:val="24"/>
        </w:rPr>
        <w:t xml:space="preserve">this </w:t>
      </w:r>
      <w:r>
        <w:rPr>
          <w:szCs w:val="24"/>
        </w:rPr>
        <w:t xml:space="preserve">instrument cease to apply </w:t>
      </w:r>
      <w:r w:rsidR="00EC5CD9">
        <w:rPr>
          <w:szCs w:val="24"/>
        </w:rPr>
        <w:t>at the end of 20 March 20</w:t>
      </w:r>
      <w:r w:rsidR="003471DA">
        <w:rPr>
          <w:szCs w:val="24"/>
        </w:rPr>
        <w:t>20</w:t>
      </w:r>
      <w:r w:rsidR="00EC5CD9">
        <w:rPr>
          <w:szCs w:val="24"/>
        </w:rPr>
        <w:t xml:space="preserve">. </w:t>
      </w:r>
      <w:r>
        <w:rPr>
          <w:szCs w:val="24"/>
        </w:rPr>
        <w:t xml:space="preserve"> </w:t>
      </w:r>
    </w:p>
    <w:sectPr w:rsidR="00543A2D" w:rsidRPr="0056097C" w:rsidSect="0040053F">
      <w:headerReference w:type="even" r:id="rId23"/>
      <w:headerReference w:type="default" r:id="rId24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9E287" w14:textId="77777777" w:rsidR="008A4265" w:rsidRDefault="00170F52">
      <w:pPr>
        <w:spacing w:line="240" w:lineRule="auto"/>
      </w:pPr>
      <w:r>
        <w:separator/>
      </w:r>
    </w:p>
  </w:endnote>
  <w:endnote w:type="continuationSeparator" w:id="0">
    <w:p w14:paraId="206D8D18" w14:textId="77777777" w:rsidR="008A4265" w:rsidRDefault="00170F52">
      <w:pPr>
        <w:spacing w:line="240" w:lineRule="auto"/>
      </w:pPr>
      <w:r>
        <w:continuationSeparator/>
      </w:r>
    </w:p>
  </w:endnote>
  <w:endnote w:type="continuationNotice" w:id="1">
    <w:p w14:paraId="196FCEA1" w14:textId="77777777" w:rsidR="00DC07A9" w:rsidRDefault="00DC07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EA37C65" w14:textId="77777777" w:rsidTr="00081794">
      <w:tc>
        <w:tcPr>
          <w:tcW w:w="8472" w:type="dxa"/>
          <w:shd w:val="clear" w:color="auto" w:fill="auto"/>
        </w:tcPr>
        <w:p w14:paraId="68F487E8" w14:textId="77777777" w:rsidR="00102CA6" w:rsidRPr="00081794" w:rsidRDefault="00197203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33248C74" wp14:editId="07777777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44CCFA" w14:textId="65291F22" w:rsidR="00102CA6" w:rsidRPr="00284719" w:rsidRDefault="0070327C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A1476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0244CCFA" w14:textId="65291F22" w:rsidR="00102CA6" w:rsidRPr="00284719" w:rsidRDefault="0070327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147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70327C" w:rsidRPr="00081794">
            <w:rPr>
              <w:i/>
              <w:noProof/>
              <w:sz w:val="18"/>
            </w:rPr>
            <w:t>I14KE197.v07.docx</w:t>
          </w:r>
          <w:r w:rsidR="0070327C" w:rsidRPr="00081794">
            <w:rPr>
              <w:i/>
              <w:sz w:val="18"/>
            </w:rPr>
            <w:t xml:space="preserve"> </w:t>
          </w:r>
          <w:r w:rsidR="0070327C" w:rsidRPr="00081794">
            <w:rPr>
              <w:i/>
              <w:noProof/>
              <w:sz w:val="18"/>
            </w:rPr>
            <w:t>25/6/2014 3:37 PM</w:t>
          </w:r>
        </w:p>
      </w:tc>
    </w:tr>
  </w:tbl>
  <w:p w14:paraId="098F0311" w14:textId="77777777" w:rsidR="00102CA6" w:rsidRPr="007500C8" w:rsidRDefault="006A16F0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B4D0A" w14:textId="77777777" w:rsidR="00102CA6" w:rsidRDefault="0019720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B5F3A51" wp14:editId="0777777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14BB3FD" w14:textId="77777777" w:rsidR="00102CA6" w:rsidRPr="00284719" w:rsidRDefault="006A16F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14BB3FD" w14:textId="77777777" w:rsidR="00102CA6" w:rsidRPr="00284719" w:rsidRDefault="006A16F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72DA6CF6" w14:textId="77777777" w:rsidTr="00081794">
      <w:tc>
        <w:tcPr>
          <w:tcW w:w="8472" w:type="dxa"/>
          <w:shd w:val="clear" w:color="auto" w:fill="auto"/>
        </w:tcPr>
        <w:p w14:paraId="683011A0" w14:textId="77777777" w:rsidR="00102CA6" w:rsidRPr="00081794" w:rsidRDefault="006A16F0" w:rsidP="00102CA6">
          <w:pPr>
            <w:rPr>
              <w:sz w:val="18"/>
            </w:rPr>
          </w:pPr>
        </w:p>
      </w:tc>
    </w:tr>
  </w:tbl>
  <w:p w14:paraId="11B97D46" w14:textId="77777777" w:rsidR="00102CA6" w:rsidRPr="007500C8" w:rsidRDefault="006A16F0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81930" w14:textId="77777777" w:rsidR="00102CA6" w:rsidRPr="00ED79B6" w:rsidRDefault="006A16F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58501" w14:textId="77777777" w:rsidR="00102CA6" w:rsidRPr="00E2168B" w:rsidRDefault="0070327C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91C60" w14:textId="77777777" w:rsidR="00102CA6" w:rsidRPr="00E33C1C" w:rsidRDefault="0070327C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6A16F0">
      <w:rPr>
        <w:noProof/>
      </w:rPr>
      <w:t>2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5AAB3" w14:textId="77777777" w:rsidR="008A4265" w:rsidRDefault="00170F52">
      <w:pPr>
        <w:spacing w:line="240" w:lineRule="auto"/>
      </w:pPr>
      <w:r>
        <w:separator/>
      </w:r>
    </w:p>
  </w:footnote>
  <w:footnote w:type="continuationSeparator" w:id="0">
    <w:p w14:paraId="3AF42B87" w14:textId="77777777" w:rsidR="008A4265" w:rsidRDefault="00170F52">
      <w:pPr>
        <w:spacing w:line="240" w:lineRule="auto"/>
      </w:pPr>
      <w:r>
        <w:continuationSeparator/>
      </w:r>
    </w:p>
  </w:footnote>
  <w:footnote w:type="continuationNotice" w:id="1">
    <w:p w14:paraId="5B1A4B7F" w14:textId="77777777" w:rsidR="00DC07A9" w:rsidRDefault="00DC07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085E" w14:textId="77777777" w:rsidR="00102CA6" w:rsidRPr="005F1388" w:rsidRDefault="0019720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543710F" wp14:editId="0777777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B73E671" w14:textId="10DC0E9C" w:rsidR="00102CA6" w:rsidRPr="00284719" w:rsidRDefault="0070327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147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1B73E671" w14:textId="10DC0E9C" w:rsidR="00102CA6" w:rsidRPr="00284719" w:rsidRDefault="0070327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147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C0FC9" w14:textId="77777777" w:rsidR="00102CA6" w:rsidRPr="005F1388" w:rsidRDefault="0019720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1C7549" wp14:editId="0777777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F3853A" w14:textId="77777777" w:rsidR="00102CA6" w:rsidRPr="00284719" w:rsidRDefault="006A16F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6F3853A" w14:textId="77777777" w:rsidR="00102CA6" w:rsidRPr="00284719" w:rsidRDefault="006A16F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46C6" w14:textId="77777777" w:rsidR="00102CA6" w:rsidRPr="005F1388" w:rsidRDefault="006A16F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E973" w14:textId="77777777" w:rsidR="00102CA6" w:rsidRDefault="0070327C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9A14FB7" w14:textId="77777777" w:rsidTr="00BF75C9">
      <w:tc>
        <w:tcPr>
          <w:tcW w:w="6804" w:type="dxa"/>
          <w:shd w:val="clear" w:color="auto" w:fill="auto"/>
        </w:tcPr>
        <w:p w14:paraId="57A1DD8A" w14:textId="77777777" w:rsidR="00F4215A" w:rsidRDefault="006A16F0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BA1476">
            <w:rPr>
              <w:noProof/>
            </w:rPr>
            <w:t>ASIC Market Integrity Rules (Futures Markets) Class Waiver 2018/313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0C6C0B98" w14:textId="77777777" w:rsidR="00F4215A" w:rsidRDefault="006A16F0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48E94210" w14:textId="77777777" w:rsidR="00102CA6" w:rsidRPr="008945E0" w:rsidRDefault="006A16F0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8729A" w14:textId="77777777" w:rsidR="00102CA6" w:rsidRPr="00ED79B6" w:rsidRDefault="006A16F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A3D85" w14:textId="77777777" w:rsidR="00E2168B" w:rsidRPr="00243EC0" w:rsidRDefault="0070327C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9CC9CB9" w14:textId="77777777" w:rsidTr="00BF75C9">
      <w:tc>
        <w:tcPr>
          <w:tcW w:w="6804" w:type="dxa"/>
          <w:shd w:val="clear" w:color="auto" w:fill="auto"/>
        </w:tcPr>
        <w:p w14:paraId="19446EB3" w14:textId="77777777" w:rsidR="00F4215A" w:rsidRDefault="006A16F0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BA1476">
            <w:rPr>
              <w:noProof/>
            </w:rPr>
            <w:t>ASIC Market Integrity Rules (Futures Markets) Class Waiver 2018/313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07FE8162" w14:textId="77777777" w:rsidR="00F4215A" w:rsidRDefault="006A16F0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BA1476">
            <w:rPr>
              <w:noProof/>
            </w:rPr>
            <w:t>Part 2—Waiver</w:t>
          </w:r>
          <w:r>
            <w:rPr>
              <w:noProof/>
            </w:rPr>
            <w:fldChar w:fldCharType="end"/>
          </w:r>
        </w:p>
      </w:tc>
    </w:tr>
  </w:tbl>
  <w:p w14:paraId="218CB429" w14:textId="77777777" w:rsidR="0040053F" w:rsidRPr="00F4215A" w:rsidRDefault="006A16F0" w:rsidP="00F42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03"/>
    <w:rsid w:val="000A6FB6"/>
    <w:rsid w:val="00170F52"/>
    <w:rsid w:val="0017338B"/>
    <w:rsid w:val="00197203"/>
    <w:rsid w:val="001D6FEE"/>
    <w:rsid w:val="001F56F4"/>
    <w:rsid w:val="002151F6"/>
    <w:rsid w:val="002435A5"/>
    <w:rsid w:val="002830DF"/>
    <w:rsid w:val="002B71C0"/>
    <w:rsid w:val="002C4270"/>
    <w:rsid w:val="003471DA"/>
    <w:rsid w:val="003B1A94"/>
    <w:rsid w:val="003C45F7"/>
    <w:rsid w:val="003E57E9"/>
    <w:rsid w:val="003F71DE"/>
    <w:rsid w:val="004545CD"/>
    <w:rsid w:val="00465593"/>
    <w:rsid w:val="00477068"/>
    <w:rsid w:val="00496A9E"/>
    <w:rsid w:val="004A09A2"/>
    <w:rsid w:val="004A3AF4"/>
    <w:rsid w:val="004C1E17"/>
    <w:rsid w:val="004C7C57"/>
    <w:rsid w:val="004D017A"/>
    <w:rsid w:val="005257A0"/>
    <w:rsid w:val="00556375"/>
    <w:rsid w:val="0056097C"/>
    <w:rsid w:val="00571B29"/>
    <w:rsid w:val="0069644B"/>
    <w:rsid w:val="006A0E66"/>
    <w:rsid w:val="006A16F0"/>
    <w:rsid w:val="006C6935"/>
    <w:rsid w:val="006F4BCE"/>
    <w:rsid w:val="0070327C"/>
    <w:rsid w:val="00750B81"/>
    <w:rsid w:val="00763D68"/>
    <w:rsid w:val="007C3DAB"/>
    <w:rsid w:val="007D60F9"/>
    <w:rsid w:val="00820EED"/>
    <w:rsid w:val="00884BE7"/>
    <w:rsid w:val="00895019"/>
    <w:rsid w:val="008A4265"/>
    <w:rsid w:val="008C7F64"/>
    <w:rsid w:val="0094427E"/>
    <w:rsid w:val="009A39E7"/>
    <w:rsid w:val="009C52CE"/>
    <w:rsid w:val="009D5872"/>
    <w:rsid w:val="00A1169A"/>
    <w:rsid w:val="00A16BAB"/>
    <w:rsid w:val="00A24B39"/>
    <w:rsid w:val="00A41034"/>
    <w:rsid w:val="00A56DFB"/>
    <w:rsid w:val="00A8139A"/>
    <w:rsid w:val="00A869DF"/>
    <w:rsid w:val="00AC3953"/>
    <w:rsid w:val="00B66541"/>
    <w:rsid w:val="00BA1476"/>
    <w:rsid w:val="00BC2067"/>
    <w:rsid w:val="00BC3A02"/>
    <w:rsid w:val="00C91BE5"/>
    <w:rsid w:val="00CB1D80"/>
    <w:rsid w:val="00CC1B89"/>
    <w:rsid w:val="00D066F3"/>
    <w:rsid w:val="00D24010"/>
    <w:rsid w:val="00D31FD7"/>
    <w:rsid w:val="00D623A7"/>
    <w:rsid w:val="00D64066"/>
    <w:rsid w:val="00D73EC0"/>
    <w:rsid w:val="00DC07A9"/>
    <w:rsid w:val="00DE07DD"/>
    <w:rsid w:val="00DE2ACE"/>
    <w:rsid w:val="00E05F32"/>
    <w:rsid w:val="00E211CD"/>
    <w:rsid w:val="00E56D81"/>
    <w:rsid w:val="00E860E5"/>
    <w:rsid w:val="00EC5CD9"/>
    <w:rsid w:val="00F16FD7"/>
    <w:rsid w:val="00F221A3"/>
    <w:rsid w:val="00F36FEF"/>
    <w:rsid w:val="00F85D45"/>
    <w:rsid w:val="00F9777D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59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7203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197203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197203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197203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197203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19720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97203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1972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7203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19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7203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197203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197203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197203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197203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197203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197203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197203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197203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197203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197203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197203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0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B2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B2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B2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LI-BodyTextParaa">
    <w:name w:val="LI - Body Text Para (a)"/>
    <w:basedOn w:val="Normal"/>
    <w:link w:val="LI-BodyTextParaaChar"/>
    <w:rsid w:val="00F16FD7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character" w:customStyle="1" w:styleId="LI-BodyTextParaaChar">
    <w:name w:val="LI - Body Text Para (a) Char"/>
    <w:link w:val="LI-BodyTextParaa"/>
    <w:rsid w:val="00F16FD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545CD"/>
    <w:pPr>
      <w:spacing w:line="240" w:lineRule="auto"/>
      <w:ind w:left="72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7203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197203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197203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197203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197203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19720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97203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1972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7203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19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7203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197203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197203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197203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197203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197203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197203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197203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197203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197203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197203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197203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0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B2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B2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B2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LI-BodyTextParaa">
    <w:name w:val="LI - Body Text Para (a)"/>
    <w:basedOn w:val="Normal"/>
    <w:link w:val="LI-BodyTextParaaChar"/>
    <w:rsid w:val="00F16FD7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character" w:customStyle="1" w:styleId="LI-BodyTextParaaChar">
    <w:name w:val="LI - Body Text Para (a) Char"/>
    <w:link w:val="LI-BodyTextParaa"/>
    <w:rsid w:val="00F16FD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545CD"/>
    <w:pPr>
      <w:spacing w:line="240" w:lineRule="auto"/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R20180000420331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>Remakes ASIC Class Rule Waiver [CW17/251] (ASX24)</NotesLinks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6DC52-8FCD-4BFE-B4D6-1180BDA22BB6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6fdf923d-1605-456d-9034-49e4c2a6593d"/>
    <ds:schemaRef ds:uri="da7a9ac0-bc47-4684-84e6-3a8e9ac80c12"/>
    <ds:schemaRef ds:uri="http://schemas.microsoft.com/office/infopath/2007/PartnerControls"/>
    <ds:schemaRef ds:uri="17f478ab-373e-4295-9ff0-9b833ad01319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392F39-B3BC-4D11-B314-4340BD154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09A62-D2D2-4085-A7CD-2E873F598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class waiver - aggregate loss limits - V2 AF's changes</vt:lpstr>
    </vt:vector>
  </TitlesOfParts>
  <Company>ASIC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class waiver - aggregate loss limits - V2 AF's changes</dc:title>
  <dc:creator>andrew.fois</dc:creator>
  <cp:lastModifiedBy>anthony.graham</cp:lastModifiedBy>
  <cp:revision>3</cp:revision>
  <cp:lastPrinted>2018-04-30T00:51:00Z</cp:lastPrinted>
  <dcterms:created xsi:type="dcterms:W3CDTF">2018-04-30T00:43:00Z</dcterms:created>
  <dcterms:modified xsi:type="dcterms:W3CDTF">2018-04-30T04:58:00Z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0x010100B5F685A1365F544391EF8C813B164F3A003FC3A1FB886AA841B1151906BEDCBCDF</vt:lpwstr>
  </property>
  <property fmtid="{D5CDD505-2E9C-101B-9397-08002B2CF9AE}" pid="3" name="Order">
    <vt:r8>31100</vt:r8>
  </property>
  <property fmtid="{D5CDD505-2E9C-101B-9397-08002B2CF9AE}" pid="4" name="SecurityClassification">
    <vt:lpwstr>7;#Sensitive|19fd2cb8-3e97-4464-ae71-8c2c2095d028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ListId">
    <vt:lpwstr>{e8634c1b-1868-4a02-8de8-ef4b1316a551}</vt:lpwstr>
  </property>
  <property fmtid="{D5CDD505-2E9C-101B-9397-08002B2CF9AE}" pid="7" name="RecordPoint_ActiveItemUniqueId">
    <vt:lpwstr>{c7ddc308-42ec-453d-bfcf-5eb572889b0a}</vt:lpwstr>
  </property>
  <property fmtid="{D5CDD505-2E9C-101B-9397-08002B2CF9AE}" pid="8" name="RecordPoint_ActiveItemWebId">
    <vt:lpwstr>{6fdf923d-1605-456d-9034-49e4c2a6593d}</vt:lpwstr>
  </property>
  <property fmtid="{D5CDD505-2E9C-101B-9397-08002B2CF9AE}" pid="9" name="RecordPoint_ActiveItemSiteId">
    <vt:lpwstr>{fa96e6fb-4129-44b7-b105-10ec3844cb78}</vt:lpwstr>
  </property>
  <property fmtid="{D5CDD505-2E9C-101B-9397-08002B2CF9AE}" pid="10" name="RecordPoint_RecordNumberSubmitted">
    <vt:lpwstr>R20180000420331</vt:lpwstr>
  </property>
  <property fmtid="{D5CDD505-2E9C-101B-9397-08002B2CF9AE}" pid="11" name="RecordPoint_SubmissionCompleted">
    <vt:lpwstr>2018-04-30T15:02:12.8272360+10:00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