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C8A221" w14:textId="77777777" w:rsidR="006C4A30" w:rsidRPr="00767FC2" w:rsidRDefault="006C4A30" w:rsidP="006C4A30">
      <w:pPr>
        <w:pStyle w:val="ttCrest"/>
        <w:rPr>
          <w:sz w:val="19"/>
        </w:rPr>
      </w:pPr>
      <w:bookmarkStart w:id="0" w:name="_Ref434325628"/>
      <w:r w:rsidRPr="00767FC2">
        <w:rPr>
          <w:noProof/>
          <w:lang w:eastAsia="en-AU"/>
        </w:rPr>
        <w:drawing>
          <wp:inline distT="0" distB="0" distL="0" distR="0" wp14:anchorId="387E3C32" wp14:editId="5DD81C22">
            <wp:extent cx="1498600" cy="110172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cstate="print"/>
                    <a:srcRect/>
                    <a:stretch>
                      <a:fillRect/>
                    </a:stretch>
                  </pic:blipFill>
                  <pic:spPr bwMode="auto">
                    <a:xfrm>
                      <a:off x="0" y="0"/>
                      <a:ext cx="1498600" cy="1101725"/>
                    </a:xfrm>
                    <a:prstGeom prst="rect">
                      <a:avLst/>
                    </a:prstGeom>
                    <a:noFill/>
                    <a:ln w="9525">
                      <a:noFill/>
                      <a:miter lim="800000"/>
                      <a:headEnd/>
                      <a:tailEnd/>
                    </a:ln>
                  </pic:spPr>
                </pic:pic>
              </a:graphicData>
            </a:graphic>
          </wp:inline>
        </w:drawing>
      </w:r>
      <w:bookmarkEnd w:id="0"/>
    </w:p>
    <w:p w14:paraId="4000A4EE" w14:textId="77777777" w:rsidR="00F81A21" w:rsidRPr="00767FC2" w:rsidRDefault="00225D68" w:rsidP="00F81A21">
      <w:pPr>
        <w:pStyle w:val="ShortT"/>
      </w:pPr>
      <w:r w:rsidRPr="00767FC2">
        <w:t>Carbon Credits (Carbon Farming Initiative—</w:t>
      </w:r>
      <w:r w:rsidR="006D0371" w:rsidRPr="00767FC2">
        <w:t xml:space="preserve">Savanna Fire Management—Emissions </w:t>
      </w:r>
      <w:r w:rsidR="008B1469" w:rsidRPr="00767FC2">
        <w:t>Avoidance</w:t>
      </w:r>
      <w:r w:rsidRPr="00767FC2">
        <w:t xml:space="preserve">) </w:t>
      </w:r>
      <w:r w:rsidR="00490862" w:rsidRPr="00767FC2">
        <w:t xml:space="preserve">Methodology </w:t>
      </w:r>
      <w:r w:rsidR="005D1FCA" w:rsidRPr="00767FC2">
        <w:t xml:space="preserve">Determination </w:t>
      </w:r>
      <w:r w:rsidR="00D32953" w:rsidRPr="00767FC2">
        <w:t>2018</w:t>
      </w:r>
    </w:p>
    <w:p w14:paraId="73C4093D" w14:textId="77777777" w:rsidR="00F81A21" w:rsidRPr="00767FC2" w:rsidRDefault="00F81A21" w:rsidP="00F81A21">
      <w:pPr>
        <w:pStyle w:val="SignCoverPageStart"/>
        <w:rPr>
          <w:szCs w:val="22"/>
        </w:rPr>
      </w:pPr>
      <w:r w:rsidRPr="00767FC2">
        <w:rPr>
          <w:szCs w:val="22"/>
        </w:rPr>
        <w:t xml:space="preserve">I, </w:t>
      </w:r>
      <w:r w:rsidR="00B83A61" w:rsidRPr="00767FC2">
        <w:rPr>
          <w:szCs w:val="22"/>
        </w:rPr>
        <w:t>Josh Frydenberg, Minister for the Environment and Energy</w:t>
      </w:r>
      <w:r w:rsidRPr="00767FC2">
        <w:rPr>
          <w:szCs w:val="22"/>
        </w:rPr>
        <w:t>, make the following determination.</w:t>
      </w:r>
    </w:p>
    <w:p w14:paraId="3819522C" w14:textId="77777777" w:rsidR="007525E9" w:rsidRDefault="00F81A21" w:rsidP="00F81A21">
      <w:pPr>
        <w:keepNext/>
        <w:spacing w:before="300" w:line="240" w:lineRule="atLeast"/>
        <w:ind w:right="397"/>
        <w:jc w:val="both"/>
        <w:rPr>
          <w:szCs w:val="22"/>
        </w:rPr>
      </w:pPr>
      <w:r w:rsidRPr="00767FC2">
        <w:rPr>
          <w:szCs w:val="22"/>
        </w:rPr>
        <w:t>Dated</w:t>
      </w:r>
    </w:p>
    <w:p w14:paraId="42A34DA4" w14:textId="7DE69384" w:rsidR="00F81A21" w:rsidRPr="00767FC2" w:rsidRDefault="007525E9" w:rsidP="00F81A21">
      <w:pPr>
        <w:keepNext/>
        <w:spacing w:before="300" w:line="240" w:lineRule="atLeast"/>
        <w:ind w:right="397"/>
        <w:jc w:val="both"/>
        <w:rPr>
          <w:szCs w:val="22"/>
        </w:rPr>
      </w:pPr>
      <w:r>
        <w:rPr>
          <w:szCs w:val="22"/>
        </w:rPr>
        <w:t>13 April 2018</w:t>
      </w:r>
      <w:r w:rsidR="00F81A21" w:rsidRPr="00767FC2">
        <w:rPr>
          <w:szCs w:val="22"/>
        </w:rPr>
        <w:tab/>
      </w:r>
      <w:r w:rsidR="00F81A21" w:rsidRPr="00767FC2">
        <w:rPr>
          <w:szCs w:val="22"/>
        </w:rPr>
        <w:tab/>
      </w:r>
      <w:r w:rsidR="00F81A21" w:rsidRPr="00767FC2">
        <w:rPr>
          <w:szCs w:val="22"/>
        </w:rPr>
        <w:tab/>
      </w:r>
      <w:r w:rsidR="00F81A21" w:rsidRPr="00767FC2">
        <w:rPr>
          <w:szCs w:val="22"/>
        </w:rPr>
        <w:tab/>
      </w:r>
      <w:bookmarkStart w:id="1" w:name="BKCheck15B_1"/>
      <w:bookmarkEnd w:id="1"/>
    </w:p>
    <w:p w14:paraId="0DE65663" w14:textId="77777777" w:rsidR="00F81A21" w:rsidRPr="00767FC2" w:rsidRDefault="00B83A61" w:rsidP="002F7D9B">
      <w:pPr>
        <w:keepNext/>
        <w:tabs>
          <w:tab w:val="left" w:pos="3402"/>
          <w:tab w:val="left" w:pos="6506"/>
        </w:tabs>
        <w:spacing w:before="1440" w:line="300" w:lineRule="atLeast"/>
        <w:ind w:right="397"/>
        <w:rPr>
          <w:szCs w:val="22"/>
        </w:rPr>
      </w:pPr>
      <w:r w:rsidRPr="00767FC2">
        <w:rPr>
          <w:szCs w:val="22"/>
        </w:rPr>
        <w:t>Josh Frydenberg</w:t>
      </w:r>
      <w:r w:rsidR="002F7D9B" w:rsidRPr="00767FC2">
        <w:rPr>
          <w:b/>
          <w:szCs w:val="22"/>
        </w:rPr>
        <w:tab/>
      </w:r>
    </w:p>
    <w:p w14:paraId="588CC438" w14:textId="77777777" w:rsidR="00F81A21" w:rsidRPr="00767FC2" w:rsidRDefault="00B83A61" w:rsidP="00F81A21">
      <w:pPr>
        <w:pStyle w:val="SignCoverPageEnd"/>
        <w:rPr>
          <w:szCs w:val="22"/>
        </w:rPr>
      </w:pPr>
      <w:r w:rsidRPr="00767FC2">
        <w:rPr>
          <w:szCs w:val="22"/>
        </w:rPr>
        <w:t>Minister for the Environment and Energy</w:t>
      </w:r>
    </w:p>
    <w:p w14:paraId="2B507149" w14:textId="77777777" w:rsidR="00F47AAB" w:rsidRPr="00767FC2" w:rsidRDefault="00F47AAB">
      <w:pPr>
        <w:spacing w:line="240" w:lineRule="auto"/>
      </w:pPr>
      <w:r w:rsidRPr="00767FC2">
        <w:br w:type="page"/>
      </w:r>
    </w:p>
    <w:p w14:paraId="4816C84C" w14:textId="77777777" w:rsidR="00F81A21" w:rsidRPr="00767FC2" w:rsidRDefault="00F81A21" w:rsidP="00F81A21"/>
    <w:p w14:paraId="2D0EF017" w14:textId="77777777" w:rsidR="00F81A21" w:rsidRPr="00767FC2" w:rsidRDefault="00F81A21" w:rsidP="00F81A21">
      <w:pPr>
        <w:pStyle w:val="Header"/>
        <w:tabs>
          <w:tab w:val="clear" w:pos="4150"/>
          <w:tab w:val="clear" w:pos="8307"/>
        </w:tabs>
      </w:pPr>
      <w:r w:rsidRPr="00767FC2">
        <w:rPr>
          <w:rStyle w:val="CharChapNo"/>
        </w:rPr>
        <w:t xml:space="preserve"> </w:t>
      </w:r>
      <w:r w:rsidRPr="00767FC2">
        <w:rPr>
          <w:rStyle w:val="CharChapText"/>
        </w:rPr>
        <w:t xml:space="preserve"> </w:t>
      </w:r>
    </w:p>
    <w:p w14:paraId="311D6C16" w14:textId="77777777" w:rsidR="00F47AAB" w:rsidRPr="00767FC2" w:rsidRDefault="00F47AAB" w:rsidP="00F47AAB">
      <w:pPr>
        <w:rPr>
          <w:sz w:val="36"/>
        </w:rPr>
      </w:pPr>
      <w:r w:rsidRPr="00767FC2">
        <w:rPr>
          <w:sz w:val="36"/>
        </w:rPr>
        <w:t>Contents</w:t>
      </w:r>
    </w:p>
    <w:bookmarkStart w:id="2" w:name="BKCheck15B_2"/>
    <w:bookmarkEnd w:id="2"/>
    <w:p w14:paraId="50C857A4" w14:textId="77777777" w:rsidR="00ED547C" w:rsidRPr="00767FC2" w:rsidRDefault="0028152C">
      <w:pPr>
        <w:pStyle w:val="TOC2"/>
        <w:rPr>
          <w:rFonts w:asciiTheme="minorHAnsi" w:eastAsiaTheme="minorEastAsia" w:hAnsiTheme="minorHAnsi" w:cstheme="minorBidi"/>
          <w:b w:val="0"/>
          <w:noProof/>
          <w:kern w:val="0"/>
          <w:sz w:val="22"/>
          <w:szCs w:val="22"/>
        </w:rPr>
      </w:pPr>
      <w:r w:rsidRPr="00767FC2">
        <w:fldChar w:fldCharType="begin"/>
      </w:r>
      <w:r w:rsidR="00CC1C01" w:rsidRPr="00767FC2">
        <w:instrText xml:space="preserve"> TOC \o1-9 </w:instrText>
      </w:r>
      <w:r w:rsidRPr="00767FC2">
        <w:fldChar w:fldCharType="separate"/>
      </w:r>
      <w:r w:rsidR="00ED547C" w:rsidRPr="00767FC2">
        <w:rPr>
          <w:noProof/>
        </w:rPr>
        <w:t>Part 1—Preliminary</w:t>
      </w:r>
      <w:r w:rsidR="00ED547C" w:rsidRPr="00767FC2">
        <w:rPr>
          <w:noProof/>
        </w:rPr>
        <w:tab/>
      </w:r>
      <w:r w:rsidR="00ED547C" w:rsidRPr="00767FC2">
        <w:rPr>
          <w:noProof/>
        </w:rPr>
        <w:fldChar w:fldCharType="begin"/>
      </w:r>
      <w:r w:rsidR="00ED547C" w:rsidRPr="00767FC2">
        <w:rPr>
          <w:noProof/>
        </w:rPr>
        <w:instrText xml:space="preserve"> PAGEREF _Toc509567172 \h </w:instrText>
      </w:r>
      <w:r w:rsidR="00ED547C" w:rsidRPr="00767FC2">
        <w:rPr>
          <w:noProof/>
        </w:rPr>
      </w:r>
      <w:r w:rsidR="00ED547C" w:rsidRPr="00767FC2">
        <w:rPr>
          <w:noProof/>
        </w:rPr>
        <w:fldChar w:fldCharType="separate"/>
      </w:r>
      <w:r w:rsidR="00767FC2" w:rsidRPr="00767FC2">
        <w:rPr>
          <w:noProof/>
        </w:rPr>
        <w:t>4</w:t>
      </w:r>
      <w:r w:rsidR="00ED547C" w:rsidRPr="00767FC2">
        <w:rPr>
          <w:noProof/>
        </w:rPr>
        <w:fldChar w:fldCharType="end"/>
      </w:r>
    </w:p>
    <w:p w14:paraId="30D70BA4" w14:textId="77777777" w:rsidR="00ED547C" w:rsidRPr="00767FC2" w:rsidRDefault="00ED547C">
      <w:pPr>
        <w:pStyle w:val="TOC5"/>
        <w:rPr>
          <w:rFonts w:asciiTheme="minorHAnsi" w:eastAsiaTheme="minorEastAsia" w:hAnsiTheme="minorHAnsi" w:cstheme="minorBidi"/>
          <w:noProof/>
          <w:kern w:val="0"/>
          <w:sz w:val="22"/>
          <w:szCs w:val="22"/>
        </w:rPr>
      </w:pPr>
      <w:r w:rsidRPr="00767FC2">
        <w:rPr>
          <w:noProof/>
        </w:rPr>
        <w:t>1  Name</w:t>
      </w:r>
      <w:r w:rsidRPr="00767FC2">
        <w:rPr>
          <w:noProof/>
        </w:rPr>
        <w:tab/>
      </w:r>
      <w:r w:rsidRPr="00767FC2">
        <w:rPr>
          <w:noProof/>
        </w:rPr>
        <w:fldChar w:fldCharType="begin"/>
      </w:r>
      <w:r w:rsidRPr="00767FC2">
        <w:rPr>
          <w:noProof/>
        </w:rPr>
        <w:instrText xml:space="preserve"> PAGEREF _Toc509567173 \h </w:instrText>
      </w:r>
      <w:r w:rsidRPr="00767FC2">
        <w:rPr>
          <w:noProof/>
        </w:rPr>
      </w:r>
      <w:r w:rsidRPr="00767FC2">
        <w:rPr>
          <w:noProof/>
        </w:rPr>
        <w:fldChar w:fldCharType="separate"/>
      </w:r>
      <w:r w:rsidR="00767FC2" w:rsidRPr="00767FC2">
        <w:rPr>
          <w:noProof/>
        </w:rPr>
        <w:t>4</w:t>
      </w:r>
      <w:r w:rsidRPr="00767FC2">
        <w:rPr>
          <w:noProof/>
        </w:rPr>
        <w:fldChar w:fldCharType="end"/>
      </w:r>
    </w:p>
    <w:p w14:paraId="44E65CFB" w14:textId="77777777" w:rsidR="00ED547C" w:rsidRPr="00767FC2" w:rsidRDefault="00ED547C">
      <w:pPr>
        <w:pStyle w:val="TOC5"/>
        <w:rPr>
          <w:rFonts w:asciiTheme="minorHAnsi" w:eastAsiaTheme="minorEastAsia" w:hAnsiTheme="minorHAnsi" w:cstheme="minorBidi"/>
          <w:noProof/>
          <w:kern w:val="0"/>
          <w:sz w:val="22"/>
          <w:szCs w:val="22"/>
        </w:rPr>
      </w:pPr>
      <w:r w:rsidRPr="00767FC2">
        <w:rPr>
          <w:noProof/>
        </w:rPr>
        <w:t>2  Commencement</w:t>
      </w:r>
      <w:r w:rsidRPr="00767FC2">
        <w:rPr>
          <w:noProof/>
        </w:rPr>
        <w:tab/>
      </w:r>
      <w:r w:rsidRPr="00767FC2">
        <w:rPr>
          <w:noProof/>
        </w:rPr>
        <w:fldChar w:fldCharType="begin"/>
      </w:r>
      <w:r w:rsidRPr="00767FC2">
        <w:rPr>
          <w:noProof/>
        </w:rPr>
        <w:instrText xml:space="preserve"> PAGEREF _Toc509567174 \h </w:instrText>
      </w:r>
      <w:r w:rsidRPr="00767FC2">
        <w:rPr>
          <w:noProof/>
        </w:rPr>
      </w:r>
      <w:r w:rsidRPr="00767FC2">
        <w:rPr>
          <w:noProof/>
        </w:rPr>
        <w:fldChar w:fldCharType="separate"/>
      </w:r>
      <w:r w:rsidR="00767FC2" w:rsidRPr="00767FC2">
        <w:rPr>
          <w:noProof/>
        </w:rPr>
        <w:t>4</w:t>
      </w:r>
      <w:r w:rsidRPr="00767FC2">
        <w:rPr>
          <w:noProof/>
        </w:rPr>
        <w:fldChar w:fldCharType="end"/>
      </w:r>
    </w:p>
    <w:p w14:paraId="5489F12F" w14:textId="77777777" w:rsidR="00ED547C" w:rsidRPr="00767FC2" w:rsidRDefault="00ED547C">
      <w:pPr>
        <w:pStyle w:val="TOC5"/>
        <w:rPr>
          <w:rFonts w:asciiTheme="minorHAnsi" w:eastAsiaTheme="minorEastAsia" w:hAnsiTheme="minorHAnsi" w:cstheme="minorBidi"/>
          <w:noProof/>
          <w:kern w:val="0"/>
          <w:sz w:val="22"/>
          <w:szCs w:val="22"/>
        </w:rPr>
      </w:pPr>
      <w:r w:rsidRPr="00767FC2">
        <w:rPr>
          <w:noProof/>
        </w:rPr>
        <w:t>3  Authority</w:t>
      </w:r>
      <w:r w:rsidRPr="00767FC2">
        <w:rPr>
          <w:noProof/>
        </w:rPr>
        <w:tab/>
      </w:r>
      <w:r w:rsidRPr="00767FC2">
        <w:rPr>
          <w:noProof/>
        </w:rPr>
        <w:fldChar w:fldCharType="begin"/>
      </w:r>
      <w:r w:rsidRPr="00767FC2">
        <w:rPr>
          <w:noProof/>
        </w:rPr>
        <w:instrText xml:space="preserve"> PAGEREF _Toc509567175 \h </w:instrText>
      </w:r>
      <w:r w:rsidRPr="00767FC2">
        <w:rPr>
          <w:noProof/>
        </w:rPr>
      </w:r>
      <w:r w:rsidRPr="00767FC2">
        <w:rPr>
          <w:noProof/>
        </w:rPr>
        <w:fldChar w:fldCharType="separate"/>
      </w:r>
      <w:r w:rsidR="00767FC2" w:rsidRPr="00767FC2">
        <w:rPr>
          <w:noProof/>
        </w:rPr>
        <w:t>4</w:t>
      </w:r>
      <w:r w:rsidRPr="00767FC2">
        <w:rPr>
          <w:noProof/>
        </w:rPr>
        <w:fldChar w:fldCharType="end"/>
      </w:r>
    </w:p>
    <w:p w14:paraId="4AF67669" w14:textId="77777777" w:rsidR="00ED547C" w:rsidRPr="00767FC2" w:rsidRDefault="00ED547C">
      <w:pPr>
        <w:pStyle w:val="TOC5"/>
        <w:rPr>
          <w:rFonts w:asciiTheme="minorHAnsi" w:eastAsiaTheme="minorEastAsia" w:hAnsiTheme="minorHAnsi" w:cstheme="minorBidi"/>
          <w:noProof/>
          <w:kern w:val="0"/>
          <w:sz w:val="22"/>
          <w:szCs w:val="22"/>
        </w:rPr>
      </w:pPr>
      <w:r w:rsidRPr="00767FC2">
        <w:rPr>
          <w:noProof/>
        </w:rPr>
        <w:t>4  Duration</w:t>
      </w:r>
      <w:r w:rsidRPr="00767FC2">
        <w:rPr>
          <w:noProof/>
        </w:rPr>
        <w:tab/>
      </w:r>
      <w:r w:rsidRPr="00767FC2">
        <w:rPr>
          <w:noProof/>
        </w:rPr>
        <w:fldChar w:fldCharType="begin"/>
      </w:r>
      <w:r w:rsidRPr="00767FC2">
        <w:rPr>
          <w:noProof/>
        </w:rPr>
        <w:instrText xml:space="preserve"> PAGEREF _Toc509567176 \h </w:instrText>
      </w:r>
      <w:r w:rsidRPr="00767FC2">
        <w:rPr>
          <w:noProof/>
        </w:rPr>
      </w:r>
      <w:r w:rsidRPr="00767FC2">
        <w:rPr>
          <w:noProof/>
        </w:rPr>
        <w:fldChar w:fldCharType="separate"/>
      </w:r>
      <w:r w:rsidR="00767FC2" w:rsidRPr="00767FC2">
        <w:rPr>
          <w:noProof/>
        </w:rPr>
        <w:t>4</w:t>
      </w:r>
      <w:r w:rsidRPr="00767FC2">
        <w:rPr>
          <w:noProof/>
        </w:rPr>
        <w:fldChar w:fldCharType="end"/>
      </w:r>
    </w:p>
    <w:p w14:paraId="6C2967EB" w14:textId="77777777" w:rsidR="00ED547C" w:rsidRPr="00767FC2" w:rsidRDefault="00ED547C">
      <w:pPr>
        <w:pStyle w:val="TOC5"/>
        <w:rPr>
          <w:rFonts w:asciiTheme="minorHAnsi" w:eastAsiaTheme="minorEastAsia" w:hAnsiTheme="minorHAnsi" w:cstheme="minorBidi"/>
          <w:noProof/>
          <w:kern w:val="0"/>
          <w:sz w:val="22"/>
          <w:szCs w:val="22"/>
        </w:rPr>
      </w:pPr>
      <w:r w:rsidRPr="00767FC2">
        <w:rPr>
          <w:noProof/>
        </w:rPr>
        <w:t>5  Definitions</w:t>
      </w:r>
      <w:r w:rsidRPr="00767FC2">
        <w:rPr>
          <w:noProof/>
        </w:rPr>
        <w:tab/>
      </w:r>
      <w:r w:rsidRPr="00767FC2">
        <w:rPr>
          <w:noProof/>
        </w:rPr>
        <w:fldChar w:fldCharType="begin"/>
      </w:r>
      <w:r w:rsidRPr="00767FC2">
        <w:rPr>
          <w:noProof/>
        </w:rPr>
        <w:instrText xml:space="preserve"> PAGEREF _Toc509567177 \h </w:instrText>
      </w:r>
      <w:r w:rsidRPr="00767FC2">
        <w:rPr>
          <w:noProof/>
        </w:rPr>
      </w:r>
      <w:r w:rsidRPr="00767FC2">
        <w:rPr>
          <w:noProof/>
        </w:rPr>
        <w:fldChar w:fldCharType="separate"/>
      </w:r>
      <w:r w:rsidR="00767FC2" w:rsidRPr="00767FC2">
        <w:rPr>
          <w:noProof/>
        </w:rPr>
        <w:t>4</w:t>
      </w:r>
      <w:r w:rsidRPr="00767FC2">
        <w:rPr>
          <w:noProof/>
        </w:rPr>
        <w:fldChar w:fldCharType="end"/>
      </w:r>
    </w:p>
    <w:p w14:paraId="0B84910B" w14:textId="77777777" w:rsidR="00ED547C" w:rsidRPr="00767FC2" w:rsidRDefault="00ED547C">
      <w:pPr>
        <w:pStyle w:val="TOC5"/>
        <w:rPr>
          <w:rFonts w:asciiTheme="minorHAnsi" w:eastAsiaTheme="minorEastAsia" w:hAnsiTheme="minorHAnsi" w:cstheme="minorBidi"/>
          <w:noProof/>
          <w:kern w:val="0"/>
          <w:sz w:val="22"/>
          <w:szCs w:val="22"/>
        </w:rPr>
      </w:pPr>
      <w:r w:rsidRPr="00767FC2">
        <w:rPr>
          <w:noProof/>
        </w:rPr>
        <w:t xml:space="preserve">6  Meaning of </w:t>
      </w:r>
      <w:r w:rsidRPr="00767FC2">
        <w:rPr>
          <w:i/>
          <w:noProof/>
        </w:rPr>
        <w:t>high rainfall zone</w:t>
      </w:r>
      <w:r w:rsidRPr="00767FC2">
        <w:rPr>
          <w:noProof/>
        </w:rPr>
        <w:t xml:space="preserve"> and </w:t>
      </w:r>
      <w:r w:rsidRPr="00767FC2">
        <w:rPr>
          <w:i/>
          <w:noProof/>
        </w:rPr>
        <w:t>low rainfall zone</w:t>
      </w:r>
      <w:r w:rsidRPr="00767FC2">
        <w:rPr>
          <w:noProof/>
        </w:rPr>
        <w:tab/>
      </w:r>
      <w:r w:rsidRPr="00767FC2">
        <w:rPr>
          <w:noProof/>
        </w:rPr>
        <w:fldChar w:fldCharType="begin"/>
      </w:r>
      <w:r w:rsidRPr="00767FC2">
        <w:rPr>
          <w:noProof/>
        </w:rPr>
        <w:instrText xml:space="preserve"> PAGEREF _Toc509567178 \h </w:instrText>
      </w:r>
      <w:r w:rsidRPr="00767FC2">
        <w:rPr>
          <w:noProof/>
        </w:rPr>
      </w:r>
      <w:r w:rsidRPr="00767FC2">
        <w:rPr>
          <w:noProof/>
        </w:rPr>
        <w:fldChar w:fldCharType="separate"/>
      </w:r>
      <w:r w:rsidR="00767FC2" w:rsidRPr="00767FC2">
        <w:rPr>
          <w:noProof/>
        </w:rPr>
        <w:t>7</w:t>
      </w:r>
      <w:r w:rsidRPr="00767FC2">
        <w:rPr>
          <w:noProof/>
        </w:rPr>
        <w:fldChar w:fldCharType="end"/>
      </w:r>
    </w:p>
    <w:p w14:paraId="77BD1169" w14:textId="77777777" w:rsidR="00ED547C" w:rsidRPr="00767FC2" w:rsidRDefault="00ED547C">
      <w:pPr>
        <w:pStyle w:val="TOC5"/>
        <w:rPr>
          <w:rFonts w:asciiTheme="minorHAnsi" w:eastAsiaTheme="minorEastAsia" w:hAnsiTheme="minorHAnsi" w:cstheme="minorBidi"/>
          <w:noProof/>
          <w:kern w:val="0"/>
          <w:sz w:val="22"/>
          <w:szCs w:val="22"/>
        </w:rPr>
      </w:pPr>
      <w:r w:rsidRPr="00767FC2">
        <w:rPr>
          <w:noProof/>
        </w:rPr>
        <w:t xml:space="preserve">7  Meaning of </w:t>
      </w:r>
      <w:r w:rsidRPr="00767FC2">
        <w:rPr>
          <w:i/>
          <w:noProof/>
        </w:rPr>
        <w:t>fire season</w:t>
      </w:r>
      <w:r w:rsidRPr="00767FC2">
        <w:rPr>
          <w:noProof/>
        </w:rPr>
        <w:t xml:space="preserve">, </w:t>
      </w:r>
      <w:r w:rsidRPr="00767FC2">
        <w:rPr>
          <w:i/>
          <w:noProof/>
        </w:rPr>
        <w:t>early dry season</w:t>
      </w:r>
      <w:r w:rsidRPr="00767FC2">
        <w:rPr>
          <w:noProof/>
        </w:rPr>
        <w:t xml:space="preserve"> and </w:t>
      </w:r>
      <w:r w:rsidRPr="00767FC2">
        <w:rPr>
          <w:i/>
          <w:noProof/>
        </w:rPr>
        <w:t>late dry season</w:t>
      </w:r>
      <w:r w:rsidRPr="00767FC2">
        <w:rPr>
          <w:noProof/>
        </w:rPr>
        <w:tab/>
      </w:r>
      <w:r w:rsidRPr="00767FC2">
        <w:rPr>
          <w:noProof/>
        </w:rPr>
        <w:fldChar w:fldCharType="begin"/>
      </w:r>
      <w:r w:rsidRPr="00767FC2">
        <w:rPr>
          <w:noProof/>
        </w:rPr>
        <w:instrText xml:space="preserve"> PAGEREF _Toc509567179 \h </w:instrText>
      </w:r>
      <w:r w:rsidRPr="00767FC2">
        <w:rPr>
          <w:noProof/>
        </w:rPr>
      </w:r>
      <w:r w:rsidRPr="00767FC2">
        <w:rPr>
          <w:noProof/>
        </w:rPr>
        <w:fldChar w:fldCharType="separate"/>
      </w:r>
      <w:r w:rsidR="00767FC2" w:rsidRPr="00767FC2">
        <w:rPr>
          <w:noProof/>
        </w:rPr>
        <w:t>7</w:t>
      </w:r>
      <w:r w:rsidRPr="00767FC2">
        <w:rPr>
          <w:noProof/>
        </w:rPr>
        <w:fldChar w:fldCharType="end"/>
      </w:r>
    </w:p>
    <w:p w14:paraId="2B51CEC0" w14:textId="77777777" w:rsidR="00ED547C" w:rsidRPr="00767FC2" w:rsidRDefault="00ED547C">
      <w:pPr>
        <w:pStyle w:val="TOC5"/>
        <w:rPr>
          <w:rFonts w:asciiTheme="minorHAnsi" w:eastAsiaTheme="minorEastAsia" w:hAnsiTheme="minorHAnsi" w:cstheme="minorBidi"/>
          <w:noProof/>
          <w:kern w:val="0"/>
          <w:sz w:val="22"/>
          <w:szCs w:val="22"/>
        </w:rPr>
      </w:pPr>
      <w:r w:rsidRPr="00767FC2">
        <w:rPr>
          <w:noProof/>
        </w:rPr>
        <w:t xml:space="preserve">8  Meaning of </w:t>
      </w:r>
      <w:r w:rsidRPr="00767FC2">
        <w:rPr>
          <w:i/>
          <w:noProof/>
        </w:rPr>
        <w:t>baseline period</w:t>
      </w:r>
      <w:r w:rsidRPr="00767FC2">
        <w:rPr>
          <w:noProof/>
        </w:rPr>
        <w:tab/>
      </w:r>
      <w:r w:rsidRPr="00767FC2">
        <w:rPr>
          <w:noProof/>
        </w:rPr>
        <w:fldChar w:fldCharType="begin"/>
      </w:r>
      <w:r w:rsidRPr="00767FC2">
        <w:rPr>
          <w:noProof/>
        </w:rPr>
        <w:instrText xml:space="preserve"> PAGEREF _Toc509567180 \h </w:instrText>
      </w:r>
      <w:r w:rsidRPr="00767FC2">
        <w:rPr>
          <w:noProof/>
        </w:rPr>
      </w:r>
      <w:r w:rsidRPr="00767FC2">
        <w:rPr>
          <w:noProof/>
        </w:rPr>
        <w:fldChar w:fldCharType="separate"/>
      </w:r>
      <w:r w:rsidR="00767FC2" w:rsidRPr="00767FC2">
        <w:rPr>
          <w:noProof/>
        </w:rPr>
        <w:t>8</w:t>
      </w:r>
      <w:r w:rsidRPr="00767FC2">
        <w:rPr>
          <w:noProof/>
        </w:rPr>
        <w:fldChar w:fldCharType="end"/>
      </w:r>
    </w:p>
    <w:p w14:paraId="7C755AE9" w14:textId="77777777" w:rsidR="00ED547C" w:rsidRPr="00767FC2" w:rsidRDefault="00ED547C">
      <w:pPr>
        <w:pStyle w:val="TOC5"/>
        <w:rPr>
          <w:rFonts w:asciiTheme="minorHAnsi" w:eastAsiaTheme="minorEastAsia" w:hAnsiTheme="minorHAnsi" w:cstheme="minorBidi"/>
          <w:noProof/>
          <w:kern w:val="0"/>
          <w:sz w:val="22"/>
          <w:szCs w:val="22"/>
        </w:rPr>
      </w:pPr>
      <w:r w:rsidRPr="00767FC2">
        <w:rPr>
          <w:noProof/>
        </w:rPr>
        <w:t>9  Documents that are updated from time to time</w:t>
      </w:r>
      <w:r w:rsidRPr="00767FC2">
        <w:rPr>
          <w:noProof/>
        </w:rPr>
        <w:tab/>
      </w:r>
      <w:r w:rsidRPr="00767FC2">
        <w:rPr>
          <w:noProof/>
        </w:rPr>
        <w:fldChar w:fldCharType="begin"/>
      </w:r>
      <w:r w:rsidRPr="00767FC2">
        <w:rPr>
          <w:noProof/>
        </w:rPr>
        <w:instrText xml:space="preserve"> PAGEREF _Toc509567181 \h </w:instrText>
      </w:r>
      <w:r w:rsidRPr="00767FC2">
        <w:rPr>
          <w:noProof/>
        </w:rPr>
      </w:r>
      <w:r w:rsidRPr="00767FC2">
        <w:rPr>
          <w:noProof/>
        </w:rPr>
        <w:fldChar w:fldCharType="separate"/>
      </w:r>
      <w:r w:rsidR="00767FC2" w:rsidRPr="00767FC2">
        <w:rPr>
          <w:noProof/>
        </w:rPr>
        <w:t>8</w:t>
      </w:r>
      <w:r w:rsidRPr="00767FC2">
        <w:rPr>
          <w:noProof/>
        </w:rPr>
        <w:fldChar w:fldCharType="end"/>
      </w:r>
    </w:p>
    <w:p w14:paraId="3D2DA191" w14:textId="77777777" w:rsidR="00ED547C" w:rsidRPr="00767FC2" w:rsidRDefault="00ED547C">
      <w:pPr>
        <w:pStyle w:val="TOC5"/>
        <w:rPr>
          <w:rFonts w:asciiTheme="minorHAnsi" w:eastAsiaTheme="minorEastAsia" w:hAnsiTheme="minorHAnsi" w:cstheme="minorBidi"/>
          <w:noProof/>
          <w:kern w:val="0"/>
          <w:sz w:val="22"/>
          <w:szCs w:val="22"/>
        </w:rPr>
      </w:pPr>
      <w:r w:rsidRPr="00767FC2">
        <w:rPr>
          <w:noProof/>
        </w:rPr>
        <w:t>10  References to factors and parameters from external sources</w:t>
      </w:r>
      <w:r w:rsidRPr="00767FC2">
        <w:rPr>
          <w:noProof/>
        </w:rPr>
        <w:tab/>
      </w:r>
      <w:r w:rsidRPr="00767FC2">
        <w:rPr>
          <w:noProof/>
        </w:rPr>
        <w:fldChar w:fldCharType="begin"/>
      </w:r>
      <w:r w:rsidRPr="00767FC2">
        <w:rPr>
          <w:noProof/>
        </w:rPr>
        <w:instrText xml:space="preserve"> PAGEREF _Toc509567182 \h </w:instrText>
      </w:r>
      <w:r w:rsidRPr="00767FC2">
        <w:rPr>
          <w:noProof/>
        </w:rPr>
      </w:r>
      <w:r w:rsidRPr="00767FC2">
        <w:rPr>
          <w:noProof/>
        </w:rPr>
        <w:fldChar w:fldCharType="separate"/>
      </w:r>
      <w:r w:rsidR="00767FC2" w:rsidRPr="00767FC2">
        <w:rPr>
          <w:noProof/>
        </w:rPr>
        <w:t>10</w:t>
      </w:r>
      <w:r w:rsidRPr="00767FC2">
        <w:rPr>
          <w:noProof/>
        </w:rPr>
        <w:fldChar w:fldCharType="end"/>
      </w:r>
    </w:p>
    <w:p w14:paraId="1A9C1A82" w14:textId="77777777" w:rsidR="00ED547C" w:rsidRPr="00767FC2" w:rsidRDefault="00ED547C">
      <w:pPr>
        <w:pStyle w:val="TOC2"/>
        <w:rPr>
          <w:rFonts w:asciiTheme="minorHAnsi" w:eastAsiaTheme="minorEastAsia" w:hAnsiTheme="minorHAnsi" w:cstheme="minorBidi"/>
          <w:b w:val="0"/>
          <w:noProof/>
          <w:kern w:val="0"/>
          <w:sz w:val="22"/>
          <w:szCs w:val="22"/>
        </w:rPr>
      </w:pPr>
      <w:r w:rsidRPr="00767FC2">
        <w:rPr>
          <w:noProof/>
        </w:rPr>
        <w:t>Part 2—Savanna emissions avoidance projects</w:t>
      </w:r>
      <w:r w:rsidRPr="00767FC2">
        <w:rPr>
          <w:noProof/>
        </w:rPr>
        <w:tab/>
      </w:r>
      <w:r w:rsidRPr="00767FC2">
        <w:rPr>
          <w:noProof/>
        </w:rPr>
        <w:fldChar w:fldCharType="begin"/>
      </w:r>
      <w:r w:rsidRPr="00767FC2">
        <w:rPr>
          <w:noProof/>
        </w:rPr>
        <w:instrText xml:space="preserve"> PAGEREF _Toc509567183 \h </w:instrText>
      </w:r>
      <w:r w:rsidRPr="00767FC2">
        <w:rPr>
          <w:noProof/>
        </w:rPr>
      </w:r>
      <w:r w:rsidRPr="00767FC2">
        <w:rPr>
          <w:noProof/>
        </w:rPr>
        <w:fldChar w:fldCharType="separate"/>
      </w:r>
      <w:r w:rsidR="00767FC2" w:rsidRPr="00767FC2">
        <w:rPr>
          <w:noProof/>
        </w:rPr>
        <w:t>11</w:t>
      </w:r>
      <w:r w:rsidRPr="00767FC2">
        <w:rPr>
          <w:noProof/>
        </w:rPr>
        <w:fldChar w:fldCharType="end"/>
      </w:r>
    </w:p>
    <w:p w14:paraId="71B1B71A" w14:textId="77777777" w:rsidR="00ED547C" w:rsidRPr="00767FC2" w:rsidRDefault="00ED547C">
      <w:pPr>
        <w:pStyle w:val="TOC5"/>
        <w:rPr>
          <w:rFonts w:asciiTheme="minorHAnsi" w:eastAsiaTheme="minorEastAsia" w:hAnsiTheme="minorHAnsi" w:cstheme="minorBidi"/>
          <w:noProof/>
          <w:kern w:val="0"/>
          <w:sz w:val="22"/>
          <w:szCs w:val="22"/>
        </w:rPr>
      </w:pPr>
      <w:r w:rsidRPr="00767FC2">
        <w:rPr>
          <w:noProof/>
        </w:rPr>
        <w:t>11  Savanna emissions avoidance projects</w:t>
      </w:r>
      <w:r w:rsidRPr="00767FC2">
        <w:rPr>
          <w:noProof/>
        </w:rPr>
        <w:tab/>
      </w:r>
      <w:r w:rsidRPr="00767FC2">
        <w:rPr>
          <w:noProof/>
        </w:rPr>
        <w:fldChar w:fldCharType="begin"/>
      </w:r>
      <w:r w:rsidRPr="00767FC2">
        <w:rPr>
          <w:noProof/>
        </w:rPr>
        <w:instrText xml:space="preserve"> PAGEREF _Toc509567184 \h </w:instrText>
      </w:r>
      <w:r w:rsidRPr="00767FC2">
        <w:rPr>
          <w:noProof/>
        </w:rPr>
      </w:r>
      <w:r w:rsidRPr="00767FC2">
        <w:rPr>
          <w:noProof/>
        </w:rPr>
        <w:fldChar w:fldCharType="separate"/>
      </w:r>
      <w:r w:rsidR="00767FC2" w:rsidRPr="00767FC2">
        <w:rPr>
          <w:noProof/>
        </w:rPr>
        <w:t>11</w:t>
      </w:r>
      <w:r w:rsidRPr="00767FC2">
        <w:rPr>
          <w:noProof/>
        </w:rPr>
        <w:fldChar w:fldCharType="end"/>
      </w:r>
    </w:p>
    <w:p w14:paraId="49CA6465" w14:textId="77777777" w:rsidR="00ED547C" w:rsidRPr="00767FC2" w:rsidRDefault="00ED547C">
      <w:pPr>
        <w:pStyle w:val="TOC2"/>
        <w:rPr>
          <w:rFonts w:asciiTheme="minorHAnsi" w:eastAsiaTheme="minorEastAsia" w:hAnsiTheme="minorHAnsi" w:cstheme="minorBidi"/>
          <w:b w:val="0"/>
          <w:noProof/>
          <w:kern w:val="0"/>
          <w:sz w:val="22"/>
          <w:szCs w:val="22"/>
        </w:rPr>
      </w:pPr>
      <w:r w:rsidRPr="00767FC2">
        <w:rPr>
          <w:noProof/>
        </w:rPr>
        <w:t>Part 3—Project requirements</w:t>
      </w:r>
      <w:r w:rsidRPr="00767FC2">
        <w:rPr>
          <w:noProof/>
        </w:rPr>
        <w:tab/>
      </w:r>
      <w:r w:rsidRPr="00767FC2">
        <w:rPr>
          <w:noProof/>
        </w:rPr>
        <w:fldChar w:fldCharType="begin"/>
      </w:r>
      <w:r w:rsidRPr="00767FC2">
        <w:rPr>
          <w:noProof/>
        </w:rPr>
        <w:instrText xml:space="preserve"> PAGEREF _Toc509567185 \h </w:instrText>
      </w:r>
      <w:r w:rsidRPr="00767FC2">
        <w:rPr>
          <w:noProof/>
        </w:rPr>
      </w:r>
      <w:r w:rsidRPr="00767FC2">
        <w:rPr>
          <w:noProof/>
        </w:rPr>
        <w:fldChar w:fldCharType="separate"/>
      </w:r>
      <w:r w:rsidR="00767FC2" w:rsidRPr="00767FC2">
        <w:rPr>
          <w:noProof/>
        </w:rPr>
        <w:t>12</w:t>
      </w:r>
      <w:r w:rsidRPr="00767FC2">
        <w:rPr>
          <w:noProof/>
        </w:rPr>
        <w:fldChar w:fldCharType="end"/>
      </w:r>
    </w:p>
    <w:p w14:paraId="747A4B95" w14:textId="77777777" w:rsidR="00ED547C" w:rsidRPr="00767FC2" w:rsidRDefault="00ED547C">
      <w:pPr>
        <w:pStyle w:val="TOC3"/>
        <w:rPr>
          <w:rFonts w:asciiTheme="minorHAnsi" w:eastAsiaTheme="minorEastAsia" w:hAnsiTheme="minorHAnsi" w:cstheme="minorBidi"/>
          <w:b w:val="0"/>
          <w:noProof/>
          <w:kern w:val="0"/>
          <w:szCs w:val="22"/>
        </w:rPr>
      </w:pPr>
      <w:r w:rsidRPr="00767FC2">
        <w:rPr>
          <w:noProof/>
        </w:rPr>
        <w:t>Division 1—General</w:t>
      </w:r>
      <w:r w:rsidRPr="00767FC2">
        <w:rPr>
          <w:noProof/>
        </w:rPr>
        <w:tab/>
      </w:r>
      <w:r w:rsidRPr="00767FC2">
        <w:rPr>
          <w:noProof/>
        </w:rPr>
        <w:fldChar w:fldCharType="begin"/>
      </w:r>
      <w:r w:rsidRPr="00767FC2">
        <w:rPr>
          <w:noProof/>
        </w:rPr>
        <w:instrText xml:space="preserve"> PAGEREF _Toc509567186 \h </w:instrText>
      </w:r>
      <w:r w:rsidRPr="00767FC2">
        <w:rPr>
          <w:noProof/>
        </w:rPr>
      </w:r>
      <w:r w:rsidRPr="00767FC2">
        <w:rPr>
          <w:noProof/>
        </w:rPr>
        <w:fldChar w:fldCharType="separate"/>
      </w:r>
      <w:r w:rsidR="00767FC2" w:rsidRPr="00767FC2">
        <w:rPr>
          <w:noProof/>
        </w:rPr>
        <w:t>12</w:t>
      </w:r>
      <w:r w:rsidRPr="00767FC2">
        <w:rPr>
          <w:noProof/>
        </w:rPr>
        <w:fldChar w:fldCharType="end"/>
      </w:r>
    </w:p>
    <w:p w14:paraId="12B28B9E" w14:textId="77777777" w:rsidR="00ED547C" w:rsidRPr="00767FC2" w:rsidRDefault="00ED547C">
      <w:pPr>
        <w:pStyle w:val="TOC5"/>
        <w:rPr>
          <w:rFonts w:asciiTheme="minorHAnsi" w:eastAsiaTheme="minorEastAsia" w:hAnsiTheme="minorHAnsi" w:cstheme="minorBidi"/>
          <w:noProof/>
          <w:kern w:val="0"/>
          <w:sz w:val="22"/>
          <w:szCs w:val="22"/>
        </w:rPr>
      </w:pPr>
      <w:r w:rsidRPr="00767FC2">
        <w:rPr>
          <w:noProof/>
        </w:rPr>
        <w:t>12  Operation of this Part</w:t>
      </w:r>
      <w:r w:rsidRPr="00767FC2">
        <w:rPr>
          <w:noProof/>
        </w:rPr>
        <w:tab/>
      </w:r>
      <w:r w:rsidRPr="00767FC2">
        <w:rPr>
          <w:noProof/>
        </w:rPr>
        <w:fldChar w:fldCharType="begin"/>
      </w:r>
      <w:r w:rsidRPr="00767FC2">
        <w:rPr>
          <w:noProof/>
        </w:rPr>
        <w:instrText xml:space="preserve"> PAGEREF _Toc509567187 \h </w:instrText>
      </w:r>
      <w:r w:rsidRPr="00767FC2">
        <w:rPr>
          <w:noProof/>
        </w:rPr>
      </w:r>
      <w:r w:rsidRPr="00767FC2">
        <w:rPr>
          <w:noProof/>
        </w:rPr>
        <w:fldChar w:fldCharType="separate"/>
      </w:r>
      <w:r w:rsidR="00767FC2" w:rsidRPr="00767FC2">
        <w:rPr>
          <w:noProof/>
        </w:rPr>
        <w:t>12</w:t>
      </w:r>
      <w:r w:rsidRPr="00767FC2">
        <w:rPr>
          <w:noProof/>
        </w:rPr>
        <w:fldChar w:fldCharType="end"/>
      </w:r>
    </w:p>
    <w:p w14:paraId="66A2E2DF" w14:textId="77777777" w:rsidR="00ED547C" w:rsidRPr="00767FC2" w:rsidRDefault="00ED547C">
      <w:pPr>
        <w:pStyle w:val="TOC5"/>
        <w:rPr>
          <w:rFonts w:asciiTheme="minorHAnsi" w:eastAsiaTheme="minorEastAsia" w:hAnsiTheme="minorHAnsi" w:cstheme="minorBidi"/>
          <w:noProof/>
          <w:kern w:val="0"/>
          <w:sz w:val="22"/>
          <w:szCs w:val="22"/>
        </w:rPr>
      </w:pPr>
      <w:r w:rsidRPr="00767FC2">
        <w:rPr>
          <w:noProof/>
        </w:rPr>
        <w:t>13  Information to include in section 22 application</w:t>
      </w:r>
      <w:r w:rsidRPr="00767FC2">
        <w:rPr>
          <w:noProof/>
        </w:rPr>
        <w:tab/>
      </w:r>
      <w:r w:rsidRPr="00767FC2">
        <w:rPr>
          <w:noProof/>
        </w:rPr>
        <w:fldChar w:fldCharType="begin"/>
      </w:r>
      <w:r w:rsidRPr="00767FC2">
        <w:rPr>
          <w:noProof/>
        </w:rPr>
        <w:instrText xml:space="preserve"> PAGEREF _Toc509567188 \h </w:instrText>
      </w:r>
      <w:r w:rsidRPr="00767FC2">
        <w:rPr>
          <w:noProof/>
        </w:rPr>
      </w:r>
      <w:r w:rsidRPr="00767FC2">
        <w:rPr>
          <w:noProof/>
        </w:rPr>
        <w:fldChar w:fldCharType="separate"/>
      </w:r>
      <w:r w:rsidR="00767FC2" w:rsidRPr="00767FC2">
        <w:rPr>
          <w:noProof/>
        </w:rPr>
        <w:t>12</w:t>
      </w:r>
      <w:r w:rsidRPr="00767FC2">
        <w:rPr>
          <w:noProof/>
        </w:rPr>
        <w:fldChar w:fldCharType="end"/>
      </w:r>
    </w:p>
    <w:p w14:paraId="11E660E0" w14:textId="77777777" w:rsidR="00ED547C" w:rsidRPr="00767FC2" w:rsidRDefault="00ED547C">
      <w:pPr>
        <w:pStyle w:val="TOC3"/>
        <w:rPr>
          <w:rFonts w:asciiTheme="minorHAnsi" w:eastAsiaTheme="minorEastAsia" w:hAnsiTheme="minorHAnsi" w:cstheme="minorBidi"/>
          <w:b w:val="0"/>
          <w:noProof/>
          <w:kern w:val="0"/>
          <w:szCs w:val="22"/>
        </w:rPr>
      </w:pPr>
      <w:r w:rsidRPr="00767FC2">
        <w:rPr>
          <w:noProof/>
        </w:rPr>
        <w:t>Division 2—Project area</w:t>
      </w:r>
      <w:r w:rsidRPr="00767FC2">
        <w:rPr>
          <w:noProof/>
        </w:rPr>
        <w:tab/>
      </w:r>
      <w:r w:rsidRPr="00767FC2">
        <w:rPr>
          <w:noProof/>
        </w:rPr>
        <w:fldChar w:fldCharType="begin"/>
      </w:r>
      <w:r w:rsidRPr="00767FC2">
        <w:rPr>
          <w:noProof/>
        </w:rPr>
        <w:instrText xml:space="preserve"> PAGEREF _Toc509567189 \h </w:instrText>
      </w:r>
      <w:r w:rsidRPr="00767FC2">
        <w:rPr>
          <w:noProof/>
        </w:rPr>
      </w:r>
      <w:r w:rsidRPr="00767FC2">
        <w:rPr>
          <w:noProof/>
        </w:rPr>
        <w:fldChar w:fldCharType="separate"/>
      </w:r>
      <w:r w:rsidR="00767FC2" w:rsidRPr="00767FC2">
        <w:rPr>
          <w:noProof/>
        </w:rPr>
        <w:t>12</w:t>
      </w:r>
      <w:r w:rsidRPr="00767FC2">
        <w:rPr>
          <w:noProof/>
        </w:rPr>
        <w:fldChar w:fldCharType="end"/>
      </w:r>
    </w:p>
    <w:p w14:paraId="4E1F3F60" w14:textId="77777777" w:rsidR="00ED547C" w:rsidRPr="00767FC2" w:rsidRDefault="00ED547C">
      <w:pPr>
        <w:pStyle w:val="TOC5"/>
        <w:rPr>
          <w:rFonts w:asciiTheme="minorHAnsi" w:eastAsiaTheme="minorEastAsia" w:hAnsiTheme="minorHAnsi" w:cstheme="minorBidi"/>
          <w:noProof/>
          <w:kern w:val="0"/>
          <w:sz w:val="22"/>
          <w:szCs w:val="22"/>
        </w:rPr>
      </w:pPr>
      <w:r w:rsidRPr="00767FC2">
        <w:rPr>
          <w:noProof/>
        </w:rPr>
        <w:t>14  Requirements relating to project area</w:t>
      </w:r>
      <w:r w:rsidRPr="00767FC2">
        <w:rPr>
          <w:noProof/>
        </w:rPr>
        <w:tab/>
      </w:r>
      <w:r w:rsidRPr="00767FC2">
        <w:rPr>
          <w:noProof/>
        </w:rPr>
        <w:fldChar w:fldCharType="begin"/>
      </w:r>
      <w:r w:rsidRPr="00767FC2">
        <w:rPr>
          <w:noProof/>
        </w:rPr>
        <w:instrText xml:space="preserve"> PAGEREF _Toc509567190 \h </w:instrText>
      </w:r>
      <w:r w:rsidRPr="00767FC2">
        <w:rPr>
          <w:noProof/>
        </w:rPr>
      </w:r>
      <w:r w:rsidRPr="00767FC2">
        <w:rPr>
          <w:noProof/>
        </w:rPr>
        <w:fldChar w:fldCharType="separate"/>
      </w:r>
      <w:r w:rsidR="00767FC2" w:rsidRPr="00767FC2">
        <w:rPr>
          <w:noProof/>
        </w:rPr>
        <w:t>12</w:t>
      </w:r>
      <w:r w:rsidRPr="00767FC2">
        <w:rPr>
          <w:noProof/>
        </w:rPr>
        <w:fldChar w:fldCharType="end"/>
      </w:r>
    </w:p>
    <w:p w14:paraId="1FCF2317" w14:textId="77777777" w:rsidR="00ED547C" w:rsidRPr="00767FC2" w:rsidRDefault="00ED547C">
      <w:pPr>
        <w:pStyle w:val="TOC5"/>
        <w:rPr>
          <w:rFonts w:asciiTheme="minorHAnsi" w:eastAsiaTheme="minorEastAsia" w:hAnsiTheme="minorHAnsi" w:cstheme="minorBidi"/>
          <w:noProof/>
          <w:kern w:val="0"/>
          <w:sz w:val="22"/>
          <w:szCs w:val="22"/>
        </w:rPr>
      </w:pPr>
      <w:r w:rsidRPr="00767FC2">
        <w:rPr>
          <w:noProof/>
        </w:rPr>
        <w:t>15  Variations to project areas</w:t>
      </w:r>
      <w:r w:rsidRPr="00767FC2">
        <w:rPr>
          <w:noProof/>
        </w:rPr>
        <w:tab/>
      </w:r>
      <w:r w:rsidRPr="00767FC2">
        <w:rPr>
          <w:noProof/>
        </w:rPr>
        <w:fldChar w:fldCharType="begin"/>
      </w:r>
      <w:r w:rsidRPr="00767FC2">
        <w:rPr>
          <w:noProof/>
        </w:rPr>
        <w:instrText xml:space="preserve"> PAGEREF _Toc509567191 \h </w:instrText>
      </w:r>
      <w:r w:rsidRPr="00767FC2">
        <w:rPr>
          <w:noProof/>
        </w:rPr>
      </w:r>
      <w:r w:rsidRPr="00767FC2">
        <w:rPr>
          <w:noProof/>
        </w:rPr>
        <w:fldChar w:fldCharType="separate"/>
      </w:r>
      <w:r w:rsidR="00767FC2" w:rsidRPr="00767FC2">
        <w:rPr>
          <w:noProof/>
        </w:rPr>
        <w:t>13</w:t>
      </w:r>
      <w:r w:rsidRPr="00767FC2">
        <w:rPr>
          <w:noProof/>
        </w:rPr>
        <w:fldChar w:fldCharType="end"/>
      </w:r>
    </w:p>
    <w:p w14:paraId="6881DB55" w14:textId="77777777" w:rsidR="00ED547C" w:rsidRPr="00767FC2" w:rsidRDefault="00ED547C">
      <w:pPr>
        <w:pStyle w:val="TOC3"/>
        <w:rPr>
          <w:rFonts w:asciiTheme="minorHAnsi" w:eastAsiaTheme="minorEastAsia" w:hAnsiTheme="minorHAnsi" w:cstheme="minorBidi"/>
          <w:b w:val="0"/>
          <w:noProof/>
          <w:kern w:val="0"/>
          <w:szCs w:val="22"/>
        </w:rPr>
      </w:pPr>
      <w:r w:rsidRPr="00767FC2">
        <w:rPr>
          <w:noProof/>
        </w:rPr>
        <w:t>Division 3—Project activity</w:t>
      </w:r>
      <w:r w:rsidRPr="00767FC2">
        <w:rPr>
          <w:noProof/>
        </w:rPr>
        <w:tab/>
      </w:r>
      <w:r w:rsidRPr="00767FC2">
        <w:rPr>
          <w:noProof/>
        </w:rPr>
        <w:fldChar w:fldCharType="begin"/>
      </w:r>
      <w:r w:rsidRPr="00767FC2">
        <w:rPr>
          <w:noProof/>
        </w:rPr>
        <w:instrText xml:space="preserve"> PAGEREF _Toc509567192 \h </w:instrText>
      </w:r>
      <w:r w:rsidRPr="00767FC2">
        <w:rPr>
          <w:noProof/>
        </w:rPr>
      </w:r>
      <w:r w:rsidRPr="00767FC2">
        <w:rPr>
          <w:noProof/>
        </w:rPr>
        <w:fldChar w:fldCharType="separate"/>
      </w:r>
      <w:r w:rsidR="00767FC2" w:rsidRPr="00767FC2">
        <w:rPr>
          <w:noProof/>
        </w:rPr>
        <w:t>13</w:t>
      </w:r>
      <w:r w:rsidRPr="00767FC2">
        <w:rPr>
          <w:noProof/>
        </w:rPr>
        <w:fldChar w:fldCharType="end"/>
      </w:r>
    </w:p>
    <w:p w14:paraId="58C82BA3" w14:textId="77777777" w:rsidR="00ED547C" w:rsidRPr="00767FC2" w:rsidRDefault="00ED547C">
      <w:pPr>
        <w:pStyle w:val="TOC5"/>
        <w:rPr>
          <w:rFonts w:asciiTheme="minorHAnsi" w:eastAsiaTheme="minorEastAsia" w:hAnsiTheme="minorHAnsi" w:cstheme="minorBidi"/>
          <w:noProof/>
          <w:kern w:val="0"/>
          <w:sz w:val="22"/>
          <w:szCs w:val="22"/>
        </w:rPr>
      </w:pPr>
      <w:r w:rsidRPr="00767FC2">
        <w:rPr>
          <w:noProof/>
        </w:rPr>
        <w:t>16  Requirement to undertake savanna fire management</w:t>
      </w:r>
      <w:r w:rsidRPr="00767FC2">
        <w:rPr>
          <w:noProof/>
        </w:rPr>
        <w:tab/>
      </w:r>
      <w:r w:rsidRPr="00767FC2">
        <w:rPr>
          <w:noProof/>
        </w:rPr>
        <w:fldChar w:fldCharType="begin"/>
      </w:r>
      <w:r w:rsidRPr="00767FC2">
        <w:rPr>
          <w:noProof/>
        </w:rPr>
        <w:instrText xml:space="preserve"> PAGEREF _Toc509567193 \h </w:instrText>
      </w:r>
      <w:r w:rsidRPr="00767FC2">
        <w:rPr>
          <w:noProof/>
        </w:rPr>
      </w:r>
      <w:r w:rsidRPr="00767FC2">
        <w:rPr>
          <w:noProof/>
        </w:rPr>
        <w:fldChar w:fldCharType="separate"/>
      </w:r>
      <w:r w:rsidR="00767FC2" w:rsidRPr="00767FC2">
        <w:rPr>
          <w:noProof/>
        </w:rPr>
        <w:t>13</w:t>
      </w:r>
      <w:r w:rsidRPr="00767FC2">
        <w:rPr>
          <w:noProof/>
        </w:rPr>
        <w:fldChar w:fldCharType="end"/>
      </w:r>
    </w:p>
    <w:p w14:paraId="123EEB4D" w14:textId="77777777" w:rsidR="00ED547C" w:rsidRPr="00767FC2" w:rsidRDefault="00ED547C">
      <w:pPr>
        <w:pStyle w:val="TOC5"/>
        <w:rPr>
          <w:rFonts w:asciiTheme="minorHAnsi" w:eastAsiaTheme="minorEastAsia" w:hAnsiTheme="minorHAnsi" w:cstheme="minorBidi"/>
          <w:noProof/>
          <w:kern w:val="0"/>
          <w:sz w:val="22"/>
          <w:szCs w:val="22"/>
        </w:rPr>
      </w:pPr>
      <w:r w:rsidRPr="00767FC2">
        <w:rPr>
          <w:noProof/>
        </w:rPr>
        <w:t>17  Project management plan</w:t>
      </w:r>
      <w:r w:rsidRPr="00767FC2">
        <w:rPr>
          <w:noProof/>
        </w:rPr>
        <w:tab/>
      </w:r>
      <w:r w:rsidRPr="00767FC2">
        <w:rPr>
          <w:noProof/>
        </w:rPr>
        <w:fldChar w:fldCharType="begin"/>
      </w:r>
      <w:r w:rsidRPr="00767FC2">
        <w:rPr>
          <w:noProof/>
        </w:rPr>
        <w:instrText xml:space="preserve"> PAGEREF _Toc509567194 \h </w:instrText>
      </w:r>
      <w:r w:rsidRPr="00767FC2">
        <w:rPr>
          <w:noProof/>
        </w:rPr>
      </w:r>
      <w:r w:rsidRPr="00767FC2">
        <w:rPr>
          <w:noProof/>
        </w:rPr>
        <w:fldChar w:fldCharType="separate"/>
      </w:r>
      <w:r w:rsidR="00767FC2" w:rsidRPr="00767FC2">
        <w:rPr>
          <w:noProof/>
        </w:rPr>
        <w:t>14</w:t>
      </w:r>
      <w:r w:rsidRPr="00767FC2">
        <w:rPr>
          <w:noProof/>
        </w:rPr>
        <w:fldChar w:fldCharType="end"/>
      </w:r>
    </w:p>
    <w:p w14:paraId="12D5AFB5" w14:textId="77777777" w:rsidR="00ED547C" w:rsidRPr="00767FC2" w:rsidRDefault="00ED547C">
      <w:pPr>
        <w:pStyle w:val="TOC3"/>
        <w:rPr>
          <w:rFonts w:asciiTheme="minorHAnsi" w:eastAsiaTheme="minorEastAsia" w:hAnsiTheme="minorHAnsi" w:cstheme="minorBidi"/>
          <w:b w:val="0"/>
          <w:noProof/>
          <w:kern w:val="0"/>
          <w:szCs w:val="22"/>
        </w:rPr>
      </w:pPr>
      <w:r w:rsidRPr="00767FC2">
        <w:rPr>
          <w:noProof/>
        </w:rPr>
        <w:t>Division 4—Vegetation fuel type map</w:t>
      </w:r>
      <w:r w:rsidRPr="00767FC2">
        <w:rPr>
          <w:noProof/>
        </w:rPr>
        <w:tab/>
      </w:r>
      <w:r w:rsidRPr="00767FC2">
        <w:rPr>
          <w:noProof/>
        </w:rPr>
        <w:fldChar w:fldCharType="begin"/>
      </w:r>
      <w:r w:rsidRPr="00767FC2">
        <w:rPr>
          <w:noProof/>
        </w:rPr>
        <w:instrText xml:space="preserve"> PAGEREF _Toc509567195 \h </w:instrText>
      </w:r>
      <w:r w:rsidRPr="00767FC2">
        <w:rPr>
          <w:noProof/>
        </w:rPr>
      </w:r>
      <w:r w:rsidRPr="00767FC2">
        <w:rPr>
          <w:noProof/>
        </w:rPr>
        <w:fldChar w:fldCharType="separate"/>
      </w:r>
      <w:r w:rsidR="00767FC2" w:rsidRPr="00767FC2">
        <w:rPr>
          <w:noProof/>
        </w:rPr>
        <w:t>15</w:t>
      </w:r>
      <w:r w:rsidRPr="00767FC2">
        <w:rPr>
          <w:noProof/>
        </w:rPr>
        <w:fldChar w:fldCharType="end"/>
      </w:r>
    </w:p>
    <w:p w14:paraId="2AC27837" w14:textId="77777777" w:rsidR="00ED547C" w:rsidRPr="00767FC2" w:rsidRDefault="00ED547C">
      <w:pPr>
        <w:pStyle w:val="TOC5"/>
        <w:rPr>
          <w:rFonts w:asciiTheme="minorHAnsi" w:eastAsiaTheme="minorEastAsia" w:hAnsiTheme="minorHAnsi" w:cstheme="minorBidi"/>
          <w:noProof/>
          <w:kern w:val="0"/>
          <w:sz w:val="22"/>
          <w:szCs w:val="22"/>
        </w:rPr>
      </w:pPr>
      <w:r w:rsidRPr="00767FC2">
        <w:rPr>
          <w:noProof/>
        </w:rPr>
        <w:t>18  Requirement to create and validate vegetation fuel type map</w:t>
      </w:r>
      <w:r w:rsidRPr="00767FC2">
        <w:rPr>
          <w:noProof/>
        </w:rPr>
        <w:tab/>
      </w:r>
      <w:r w:rsidRPr="00767FC2">
        <w:rPr>
          <w:noProof/>
        </w:rPr>
        <w:fldChar w:fldCharType="begin"/>
      </w:r>
      <w:r w:rsidRPr="00767FC2">
        <w:rPr>
          <w:noProof/>
        </w:rPr>
        <w:instrText xml:space="preserve"> PAGEREF _Toc509567196 \h </w:instrText>
      </w:r>
      <w:r w:rsidRPr="00767FC2">
        <w:rPr>
          <w:noProof/>
        </w:rPr>
      </w:r>
      <w:r w:rsidRPr="00767FC2">
        <w:rPr>
          <w:noProof/>
        </w:rPr>
        <w:fldChar w:fldCharType="separate"/>
      </w:r>
      <w:r w:rsidR="00767FC2" w:rsidRPr="00767FC2">
        <w:rPr>
          <w:noProof/>
        </w:rPr>
        <w:t>15</w:t>
      </w:r>
      <w:r w:rsidRPr="00767FC2">
        <w:rPr>
          <w:noProof/>
        </w:rPr>
        <w:fldChar w:fldCharType="end"/>
      </w:r>
    </w:p>
    <w:p w14:paraId="018A9812" w14:textId="77777777" w:rsidR="00ED547C" w:rsidRPr="00767FC2" w:rsidRDefault="00ED547C">
      <w:pPr>
        <w:pStyle w:val="TOC5"/>
        <w:rPr>
          <w:rFonts w:asciiTheme="minorHAnsi" w:eastAsiaTheme="minorEastAsia" w:hAnsiTheme="minorHAnsi" w:cstheme="minorBidi"/>
          <w:noProof/>
          <w:kern w:val="0"/>
          <w:sz w:val="22"/>
          <w:szCs w:val="22"/>
        </w:rPr>
      </w:pPr>
      <w:r w:rsidRPr="00767FC2">
        <w:rPr>
          <w:noProof/>
        </w:rPr>
        <w:t>19  Revisions to vegetation fuel type map</w:t>
      </w:r>
      <w:r w:rsidRPr="00767FC2">
        <w:rPr>
          <w:noProof/>
        </w:rPr>
        <w:tab/>
      </w:r>
      <w:r w:rsidRPr="00767FC2">
        <w:rPr>
          <w:noProof/>
        </w:rPr>
        <w:fldChar w:fldCharType="begin"/>
      </w:r>
      <w:r w:rsidRPr="00767FC2">
        <w:rPr>
          <w:noProof/>
        </w:rPr>
        <w:instrText xml:space="preserve"> PAGEREF _Toc509567197 \h </w:instrText>
      </w:r>
      <w:r w:rsidRPr="00767FC2">
        <w:rPr>
          <w:noProof/>
        </w:rPr>
      </w:r>
      <w:r w:rsidRPr="00767FC2">
        <w:rPr>
          <w:noProof/>
        </w:rPr>
        <w:fldChar w:fldCharType="separate"/>
      </w:r>
      <w:r w:rsidR="00767FC2" w:rsidRPr="00767FC2">
        <w:rPr>
          <w:noProof/>
        </w:rPr>
        <w:t>15</w:t>
      </w:r>
      <w:r w:rsidRPr="00767FC2">
        <w:rPr>
          <w:noProof/>
        </w:rPr>
        <w:fldChar w:fldCharType="end"/>
      </w:r>
    </w:p>
    <w:p w14:paraId="3CF8A5F5" w14:textId="77777777" w:rsidR="00ED547C" w:rsidRPr="00767FC2" w:rsidRDefault="00ED547C">
      <w:pPr>
        <w:pStyle w:val="TOC5"/>
        <w:rPr>
          <w:rFonts w:asciiTheme="minorHAnsi" w:eastAsiaTheme="minorEastAsia" w:hAnsiTheme="minorHAnsi" w:cstheme="minorBidi"/>
          <w:noProof/>
          <w:kern w:val="0"/>
          <w:sz w:val="22"/>
          <w:szCs w:val="22"/>
        </w:rPr>
      </w:pPr>
      <w:r w:rsidRPr="00767FC2">
        <w:rPr>
          <w:noProof/>
        </w:rPr>
        <w:t>20  Vegetation fuel type map for subdivided project area</w:t>
      </w:r>
      <w:r w:rsidRPr="00767FC2">
        <w:rPr>
          <w:noProof/>
        </w:rPr>
        <w:tab/>
      </w:r>
      <w:r w:rsidRPr="00767FC2">
        <w:rPr>
          <w:noProof/>
        </w:rPr>
        <w:fldChar w:fldCharType="begin"/>
      </w:r>
      <w:r w:rsidRPr="00767FC2">
        <w:rPr>
          <w:noProof/>
        </w:rPr>
        <w:instrText xml:space="preserve"> PAGEREF _Toc509567198 \h </w:instrText>
      </w:r>
      <w:r w:rsidRPr="00767FC2">
        <w:rPr>
          <w:noProof/>
        </w:rPr>
      </w:r>
      <w:r w:rsidRPr="00767FC2">
        <w:rPr>
          <w:noProof/>
        </w:rPr>
        <w:fldChar w:fldCharType="separate"/>
      </w:r>
      <w:r w:rsidR="00767FC2" w:rsidRPr="00767FC2">
        <w:rPr>
          <w:noProof/>
        </w:rPr>
        <w:t>16</w:t>
      </w:r>
      <w:r w:rsidRPr="00767FC2">
        <w:rPr>
          <w:noProof/>
        </w:rPr>
        <w:fldChar w:fldCharType="end"/>
      </w:r>
    </w:p>
    <w:p w14:paraId="2A03836B" w14:textId="77777777" w:rsidR="00ED547C" w:rsidRPr="00767FC2" w:rsidRDefault="00ED547C">
      <w:pPr>
        <w:pStyle w:val="TOC3"/>
        <w:rPr>
          <w:rFonts w:asciiTheme="minorHAnsi" w:eastAsiaTheme="minorEastAsia" w:hAnsiTheme="minorHAnsi" w:cstheme="minorBidi"/>
          <w:b w:val="0"/>
          <w:noProof/>
          <w:kern w:val="0"/>
          <w:szCs w:val="22"/>
        </w:rPr>
      </w:pPr>
      <w:r w:rsidRPr="00767FC2">
        <w:rPr>
          <w:noProof/>
        </w:rPr>
        <w:t>Division 5—Additionality</w:t>
      </w:r>
      <w:r w:rsidRPr="00767FC2">
        <w:rPr>
          <w:noProof/>
        </w:rPr>
        <w:tab/>
      </w:r>
      <w:r w:rsidRPr="00767FC2">
        <w:rPr>
          <w:noProof/>
        </w:rPr>
        <w:fldChar w:fldCharType="begin"/>
      </w:r>
      <w:r w:rsidRPr="00767FC2">
        <w:rPr>
          <w:noProof/>
        </w:rPr>
        <w:instrText xml:space="preserve"> PAGEREF _Toc509567199 \h </w:instrText>
      </w:r>
      <w:r w:rsidRPr="00767FC2">
        <w:rPr>
          <w:noProof/>
        </w:rPr>
      </w:r>
      <w:r w:rsidRPr="00767FC2">
        <w:rPr>
          <w:noProof/>
        </w:rPr>
        <w:fldChar w:fldCharType="separate"/>
      </w:r>
      <w:r w:rsidR="00767FC2" w:rsidRPr="00767FC2">
        <w:rPr>
          <w:noProof/>
        </w:rPr>
        <w:t>16</w:t>
      </w:r>
      <w:r w:rsidRPr="00767FC2">
        <w:rPr>
          <w:noProof/>
        </w:rPr>
        <w:fldChar w:fldCharType="end"/>
      </w:r>
    </w:p>
    <w:p w14:paraId="63D575E3" w14:textId="77777777" w:rsidR="00ED547C" w:rsidRPr="00767FC2" w:rsidRDefault="00ED547C">
      <w:pPr>
        <w:pStyle w:val="TOC5"/>
        <w:rPr>
          <w:rFonts w:asciiTheme="minorHAnsi" w:eastAsiaTheme="minorEastAsia" w:hAnsiTheme="minorHAnsi" w:cstheme="minorBidi"/>
          <w:noProof/>
          <w:kern w:val="0"/>
          <w:sz w:val="22"/>
          <w:szCs w:val="22"/>
        </w:rPr>
      </w:pPr>
      <w:r w:rsidRPr="00767FC2">
        <w:rPr>
          <w:noProof/>
        </w:rPr>
        <w:t>21  Requirement in lieu of newness requirement</w:t>
      </w:r>
      <w:r w:rsidRPr="00767FC2">
        <w:rPr>
          <w:noProof/>
        </w:rPr>
        <w:tab/>
      </w:r>
      <w:r w:rsidRPr="00767FC2">
        <w:rPr>
          <w:noProof/>
        </w:rPr>
        <w:fldChar w:fldCharType="begin"/>
      </w:r>
      <w:r w:rsidRPr="00767FC2">
        <w:rPr>
          <w:noProof/>
        </w:rPr>
        <w:instrText xml:space="preserve"> PAGEREF _Toc509567200 \h </w:instrText>
      </w:r>
      <w:r w:rsidRPr="00767FC2">
        <w:rPr>
          <w:noProof/>
        </w:rPr>
      </w:r>
      <w:r w:rsidRPr="00767FC2">
        <w:rPr>
          <w:noProof/>
        </w:rPr>
        <w:fldChar w:fldCharType="separate"/>
      </w:r>
      <w:r w:rsidR="00767FC2" w:rsidRPr="00767FC2">
        <w:rPr>
          <w:noProof/>
        </w:rPr>
        <w:t>16</w:t>
      </w:r>
      <w:r w:rsidRPr="00767FC2">
        <w:rPr>
          <w:noProof/>
        </w:rPr>
        <w:fldChar w:fldCharType="end"/>
      </w:r>
    </w:p>
    <w:p w14:paraId="0F187363" w14:textId="77777777" w:rsidR="00ED547C" w:rsidRPr="00767FC2" w:rsidRDefault="00ED547C">
      <w:pPr>
        <w:pStyle w:val="TOC5"/>
        <w:rPr>
          <w:rFonts w:asciiTheme="minorHAnsi" w:eastAsiaTheme="minorEastAsia" w:hAnsiTheme="minorHAnsi" w:cstheme="minorBidi"/>
          <w:noProof/>
          <w:kern w:val="0"/>
          <w:sz w:val="22"/>
          <w:szCs w:val="22"/>
        </w:rPr>
      </w:pPr>
      <w:r w:rsidRPr="00767FC2">
        <w:rPr>
          <w:noProof/>
        </w:rPr>
        <w:t>22  Requirement in lieu of regulatory additionality requirement</w:t>
      </w:r>
      <w:r w:rsidRPr="00767FC2">
        <w:rPr>
          <w:noProof/>
        </w:rPr>
        <w:tab/>
      </w:r>
      <w:r w:rsidRPr="00767FC2">
        <w:rPr>
          <w:noProof/>
        </w:rPr>
        <w:fldChar w:fldCharType="begin"/>
      </w:r>
      <w:r w:rsidRPr="00767FC2">
        <w:rPr>
          <w:noProof/>
        </w:rPr>
        <w:instrText xml:space="preserve"> PAGEREF _Toc509567201 \h </w:instrText>
      </w:r>
      <w:r w:rsidRPr="00767FC2">
        <w:rPr>
          <w:noProof/>
        </w:rPr>
      </w:r>
      <w:r w:rsidRPr="00767FC2">
        <w:rPr>
          <w:noProof/>
        </w:rPr>
        <w:fldChar w:fldCharType="separate"/>
      </w:r>
      <w:r w:rsidR="00767FC2" w:rsidRPr="00767FC2">
        <w:rPr>
          <w:noProof/>
        </w:rPr>
        <w:t>17</w:t>
      </w:r>
      <w:r w:rsidRPr="00767FC2">
        <w:rPr>
          <w:noProof/>
        </w:rPr>
        <w:fldChar w:fldCharType="end"/>
      </w:r>
    </w:p>
    <w:p w14:paraId="380F6259" w14:textId="77777777" w:rsidR="00ED547C" w:rsidRPr="00767FC2" w:rsidRDefault="00ED547C">
      <w:pPr>
        <w:pStyle w:val="TOC3"/>
        <w:rPr>
          <w:rFonts w:asciiTheme="minorHAnsi" w:eastAsiaTheme="minorEastAsia" w:hAnsiTheme="minorHAnsi" w:cstheme="minorBidi"/>
          <w:b w:val="0"/>
          <w:noProof/>
          <w:kern w:val="0"/>
          <w:szCs w:val="22"/>
        </w:rPr>
      </w:pPr>
      <w:r w:rsidRPr="00767FC2">
        <w:rPr>
          <w:noProof/>
        </w:rPr>
        <w:t>Division 6—Projects that include transferring project areas</w:t>
      </w:r>
      <w:r w:rsidRPr="00767FC2">
        <w:rPr>
          <w:noProof/>
        </w:rPr>
        <w:tab/>
      </w:r>
      <w:r w:rsidRPr="00767FC2">
        <w:rPr>
          <w:noProof/>
        </w:rPr>
        <w:fldChar w:fldCharType="begin"/>
      </w:r>
      <w:r w:rsidRPr="00767FC2">
        <w:rPr>
          <w:noProof/>
        </w:rPr>
        <w:instrText xml:space="preserve"> PAGEREF _Toc509567202 \h </w:instrText>
      </w:r>
      <w:r w:rsidRPr="00767FC2">
        <w:rPr>
          <w:noProof/>
        </w:rPr>
      </w:r>
      <w:r w:rsidRPr="00767FC2">
        <w:rPr>
          <w:noProof/>
        </w:rPr>
        <w:fldChar w:fldCharType="separate"/>
      </w:r>
      <w:r w:rsidR="00767FC2" w:rsidRPr="00767FC2">
        <w:rPr>
          <w:noProof/>
        </w:rPr>
        <w:t>17</w:t>
      </w:r>
      <w:r w:rsidRPr="00767FC2">
        <w:rPr>
          <w:noProof/>
        </w:rPr>
        <w:fldChar w:fldCharType="end"/>
      </w:r>
    </w:p>
    <w:p w14:paraId="413CD1D0" w14:textId="77777777" w:rsidR="00ED547C" w:rsidRPr="00767FC2" w:rsidRDefault="00ED547C">
      <w:pPr>
        <w:pStyle w:val="TOC5"/>
        <w:rPr>
          <w:rFonts w:asciiTheme="minorHAnsi" w:eastAsiaTheme="minorEastAsia" w:hAnsiTheme="minorHAnsi" w:cstheme="minorBidi"/>
          <w:noProof/>
          <w:kern w:val="0"/>
          <w:sz w:val="22"/>
          <w:szCs w:val="22"/>
        </w:rPr>
      </w:pPr>
      <w:r w:rsidRPr="00767FC2">
        <w:rPr>
          <w:noProof/>
        </w:rPr>
        <w:t>23  Simplified outline of this Division</w:t>
      </w:r>
      <w:r w:rsidRPr="00767FC2">
        <w:rPr>
          <w:noProof/>
        </w:rPr>
        <w:tab/>
      </w:r>
      <w:r w:rsidRPr="00767FC2">
        <w:rPr>
          <w:noProof/>
        </w:rPr>
        <w:fldChar w:fldCharType="begin"/>
      </w:r>
      <w:r w:rsidRPr="00767FC2">
        <w:rPr>
          <w:noProof/>
        </w:rPr>
        <w:instrText xml:space="preserve"> PAGEREF _Toc509567203 \h </w:instrText>
      </w:r>
      <w:r w:rsidRPr="00767FC2">
        <w:rPr>
          <w:noProof/>
        </w:rPr>
      </w:r>
      <w:r w:rsidRPr="00767FC2">
        <w:rPr>
          <w:noProof/>
        </w:rPr>
        <w:fldChar w:fldCharType="separate"/>
      </w:r>
      <w:r w:rsidR="00767FC2" w:rsidRPr="00767FC2">
        <w:rPr>
          <w:noProof/>
        </w:rPr>
        <w:t>17</w:t>
      </w:r>
      <w:r w:rsidRPr="00767FC2">
        <w:rPr>
          <w:noProof/>
        </w:rPr>
        <w:fldChar w:fldCharType="end"/>
      </w:r>
    </w:p>
    <w:p w14:paraId="5549FE77" w14:textId="77777777" w:rsidR="00ED547C" w:rsidRPr="00767FC2" w:rsidRDefault="00ED547C">
      <w:pPr>
        <w:pStyle w:val="TOC5"/>
        <w:rPr>
          <w:rFonts w:asciiTheme="minorHAnsi" w:eastAsiaTheme="minorEastAsia" w:hAnsiTheme="minorHAnsi" w:cstheme="minorBidi"/>
          <w:noProof/>
          <w:kern w:val="0"/>
          <w:sz w:val="22"/>
          <w:szCs w:val="22"/>
        </w:rPr>
      </w:pPr>
      <w:r w:rsidRPr="00767FC2">
        <w:rPr>
          <w:noProof/>
        </w:rPr>
        <w:t xml:space="preserve">24  Meaning of </w:t>
      </w:r>
      <w:r w:rsidRPr="00767FC2">
        <w:rPr>
          <w:i/>
          <w:noProof/>
        </w:rPr>
        <w:t xml:space="preserve">transferring project area </w:t>
      </w:r>
      <w:r w:rsidRPr="00767FC2">
        <w:rPr>
          <w:noProof/>
        </w:rPr>
        <w:t>and related definitions</w:t>
      </w:r>
      <w:r w:rsidRPr="00767FC2">
        <w:rPr>
          <w:noProof/>
        </w:rPr>
        <w:tab/>
      </w:r>
      <w:r w:rsidRPr="00767FC2">
        <w:rPr>
          <w:noProof/>
        </w:rPr>
        <w:fldChar w:fldCharType="begin"/>
      </w:r>
      <w:r w:rsidRPr="00767FC2">
        <w:rPr>
          <w:noProof/>
        </w:rPr>
        <w:instrText xml:space="preserve"> PAGEREF _Toc509567204 \h </w:instrText>
      </w:r>
      <w:r w:rsidRPr="00767FC2">
        <w:rPr>
          <w:noProof/>
        </w:rPr>
      </w:r>
      <w:r w:rsidRPr="00767FC2">
        <w:rPr>
          <w:noProof/>
        </w:rPr>
        <w:fldChar w:fldCharType="separate"/>
      </w:r>
      <w:r w:rsidR="00767FC2" w:rsidRPr="00767FC2">
        <w:rPr>
          <w:noProof/>
        </w:rPr>
        <w:t>18</w:t>
      </w:r>
      <w:r w:rsidRPr="00767FC2">
        <w:rPr>
          <w:noProof/>
        </w:rPr>
        <w:fldChar w:fldCharType="end"/>
      </w:r>
    </w:p>
    <w:p w14:paraId="12B3F645" w14:textId="77777777" w:rsidR="00ED547C" w:rsidRPr="00767FC2" w:rsidRDefault="00ED547C">
      <w:pPr>
        <w:pStyle w:val="TOC5"/>
        <w:rPr>
          <w:rFonts w:asciiTheme="minorHAnsi" w:eastAsiaTheme="minorEastAsia" w:hAnsiTheme="minorHAnsi" w:cstheme="minorBidi"/>
          <w:noProof/>
          <w:kern w:val="0"/>
          <w:sz w:val="22"/>
          <w:szCs w:val="22"/>
        </w:rPr>
      </w:pPr>
      <w:r w:rsidRPr="00767FC2">
        <w:rPr>
          <w:noProof/>
        </w:rPr>
        <w:t>25  Eligibility requirements for projects with transferring project areas</w:t>
      </w:r>
      <w:r w:rsidRPr="00767FC2">
        <w:rPr>
          <w:noProof/>
        </w:rPr>
        <w:tab/>
      </w:r>
      <w:r w:rsidRPr="00767FC2">
        <w:rPr>
          <w:noProof/>
        </w:rPr>
        <w:fldChar w:fldCharType="begin"/>
      </w:r>
      <w:r w:rsidRPr="00767FC2">
        <w:rPr>
          <w:noProof/>
        </w:rPr>
        <w:instrText xml:space="preserve"> PAGEREF _Toc509567205 \h </w:instrText>
      </w:r>
      <w:r w:rsidRPr="00767FC2">
        <w:rPr>
          <w:noProof/>
        </w:rPr>
      </w:r>
      <w:r w:rsidRPr="00767FC2">
        <w:rPr>
          <w:noProof/>
        </w:rPr>
        <w:fldChar w:fldCharType="separate"/>
      </w:r>
      <w:r w:rsidR="00767FC2" w:rsidRPr="00767FC2">
        <w:rPr>
          <w:noProof/>
        </w:rPr>
        <w:t>19</w:t>
      </w:r>
      <w:r w:rsidRPr="00767FC2">
        <w:rPr>
          <w:noProof/>
        </w:rPr>
        <w:fldChar w:fldCharType="end"/>
      </w:r>
    </w:p>
    <w:p w14:paraId="1CFB8325" w14:textId="77777777" w:rsidR="00ED547C" w:rsidRPr="00767FC2" w:rsidRDefault="00ED547C">
      <w:pPr>
        <w:pStyle w:val="TOC5"/>
        <w:rPr>
          <w:rFonts w:asciiTheme="minorHAnsi" w:eastAsiaTheme="minorEastAsia" w:hAnsiTheme="minorHAnsi" w:cstheme="minorBidi"/>
          <w:noProof/>
          <w:kern w:val="0"/>
          <w:sz w:val="22"/>
          <w:szCs w:val="22"/>
        </w:rPr>
      </w:pPr>
      <w:r w:rsidRPr="00767FC2">
        <w:rPr>
          <w:noProof/>
        </w:rPr>
        <w:t>26  Baseline period—transferring project area</w:t>
      </w:r>
      <w:r w:rsidRPr="00767FC2">
        <w:rPr>
          <w:noProof/>
        </w:rPr>
        <w:tab/>
      </w:r>
      <w:r w:rsidRPr="00767FC2">
        <w:rPr>
          <w:noProof/>
        </w:rPr>
        <w:fldChar w:fldCharType="begin"/>
      </w:r>
      <w:r w:rsidRPr="00767FC2">
        <w:rPr>
          <w:noProof/>
        </w:rPr>
        <w:instrText xml:space="preserve"> PAGEREF _Toc509567206 \h </w:instrText>
      </w:r>
      <w:r w:rsidRPr="00767FC2">
        <w:rPr>
          <w:noProof/>
        </w:rPr>
      </w:r>
      <w:r w:rsidRPr="00767FC2">
        <w:rPr>
          <w:noProof/>
        </w:rPr>
        <w:fldChar w:fldCharType="separate"/>
      </w:r>
      <w:r w:rsidR="00767FC2" w:rsidRPr="00767FC2">
        <w:rPr>
          <w:noProof/>
        </w:rPr>
        <w:t>20</w:t>
      </w:r>
      <w:r w:rsidRPr="00767FC2">
        <w:rPr>
          <w:noProof/>
        </w:rPr>
        <w:fldChar w:fldCharType="end"/>
      </w:r>
    </w:p>
    <w:p w14:paraId="77E2E041" w14:textId="77777777" w:rsidR="00ED547C" w:rsidRPr="00767FC2" w:rsidRDefault="00ED547C">
      <w:pPr>
        <w:pStyle w:val="TOC5"/>
        <w:rPr>
          <w:rFonts w:asciiTheme="minorHAnsi" w:eastAsiaTheme="minorEastAsia" w:hAnsiTheme="minorHAnsi" w:cstheme="minorBidi"/>
          <w:noProof/>
          <w:kern w:val="0"/>
          <w:sz w:val="22"/>
          <w:szCs w:val="22"/>
        </w:rPr>
      </w:pPr>
      <w:r w:rsidRPr="00767FC2">
        <w:rPr>
          <w:noProof/>
        </w:rPr>
        <w:t>27  Vegetation fuel type map for transferring project area</w:t>
      </w:r>
      <w:r w:rsidRPr="00767FC2">
        <w:rPr>
          <w:noProof/>
        </w:rPr>
        <w:tab/>
      </w:r>
      <w:r w:rsidRPr="00767FC2">
        <w:rPr>
          <w:noProof/>
        </w:rPr>
        <w:fldChar w:fldCharType="begin"/>
      </w:r>
      <w:r w:rsidRPr="00767FC2">
        <w:rPr>
          <w:noProof/>
        </w:rPr>
        <w:instrText xml:space="preserve"> PAGEREF _Toc509567207 \h </w:instrText>
      </w:r>
      <w:r w:rsidRPr="00767FC2">
        <w:rPr>
          <w:noProof/>
        </w:rPr>
      </w:r>
      <w:r w:rsidRPr="00767FC2">
        <w:rPr>
          <w:noProof/>
        </w:rPr>
        <w:fldChar w:fldCharType="separate"/>
      </w:r>
      <w:r w:rsidR="00767FC2" w:rsidRPr="00767FC2">
        <w:rPr>
          <w:noProof/>
        </w:rPr>
        <w:t>21</w:t>
      </w:r>
      <w:r w:rsidRPr="00767FC2">
        <w:rPr>
          <w:noProof/>
        </w:rPr>
        <w:fldChar w:fldCharType="end"/>
      </w:r>
    </w:p>
    <w:p w14:paraId="55C21832" w14:textId="77777777" w:rsidR="00ED547C" w:rsidRPr="00767FC2" w:rsidRDefault="00ED547C">
      <w:pPr>
        <w:pStyle w:val="TOC5"/>
        <w:rPr>
          <w:rFonts w:asciiTheme="minorHAnsi" w:eastAsiaTheme="minorEastAsia" w:hAnsiTheme="minorHAnsi" w:cstheme="minorBidi"/>
          <w:noProof/>
          <w:kern w:val="0"/>
          <w:sz w:val="22"/>
          <w:szCs w:val="22"/>
        </w:rPr>
      </w:pPr>
      <w:r w:rsidRPr="00767FC2">
        <w:rPr>
          <w:noProof/>
        </w:rPr>
        <w:t>28  Crediting period for some projects that include transferring project areas</w:t>
      </w:r>
      <w:r w:rsidRPr="00767FC2">
        <w:rPr>
          <w:noProof/>
        </w:rPr>
        <w:tab/>
      </w:r>
      <w:r w:rsidRPr="00767FC2">
        <w:rPr>
          <w:noProof/>
        </w:rPr>
        <w:fldChar w:fldCharType="begin"/>
      </w:r>
      <w:r w:rsidRPr="00767FC2">
        <w:rPr>
          <w:noProof/>
        </w:rPr>
        <w:instrText xml:space="preserve"> PAGEREF _Toc509567208 \h </w:instrText>
      </w:r>
      <w:r w:rsidRPr="00767FC2">
        <w:rPr>
          <w:noProof/>
        </w:rPr>
      </w:r>
      <w:r w:rsidRPr="00767FC2">
        <w:rPr>
          <w:noProof/>
        </w:rPr>
        <w:fldChar w:fldCharType="separate"/>
      </w:r>
      <w:r w:rsidR="00767FC2" w:rsidRPr="00767FC2">
        <w:rPr>
          <w:noProof/>
        </w:rPr>
        <w:t>21</w:t>
      </w:r>
      <w:r w:rsidRPr="00767FC2">
        <w:rPr>
          <w:noProof/>
        </w:rPr>
        <w:fldChar w:fldCharType="end"/>
      </w:r>
    </w:p>
    <w:p w14:paraId="1227164D" w14:textId="77777777" w:rsidR="00ED547C" w:rsidRPr="00767FC2" w:rsidRDefault="00ED547C">
      <w:pPr>
        <w:pStyle w:val="TOC2"/>
        <w:rPr>
          <w:rFonts w:asciiTheme="minorHAnsi" w:eastAsiaTheme="minorEastAsia" w:hAnsiTheme="minorHAnsi" w:cstheme="minorBidi"/>
          <w:b w:val="0"/>
          <w:noProof/>
          <w:kern w:val="0"/>
          <w:sz w:val="22"/>
          <w:szCs w:val="22"/>
        </w:rPr>
      </w:pPr>
      <w:r w:rsidRPr="00767FC2">
        <w:rPr>
          <w:noProof/>
        </w:rPr>
        <w:t>Part 4—Net abatement amount</w:t>
      </w:r>
      <w:r w:rsidRPr="00767FC2">
        <w:rPr>
          <w:noProof/>
        </w:rPr>
        <w:tab/>
      </w:r>
      <w:r w:rsidRPr="00767FC2">
        <w:rPr>
          <w:noProof/>
        </w:rPr>
        <w:fldChar w:fldCharType="begin"/>
      </w:r>
      <w:r w:rsidRPr="00767FC2">
        <w:rPr>
          <w:noProof/>
        </w:rPr>
        <w:instrText xml:space="preserve"> PAGEREF _Toc509567209 \h </w:instrText>
      </w:r>
      <w:r w:rsidRPr="00767FC2">
        <w:rPr>
          <w:noProof/>
        </w:rPr>
      </w:r>
      <w:r w:rsidRPr="00767FC2">
        <w:rPr>
          <w:noProof/>
        </w:rPr>
        <w:fldChar w:fldCharType="separate"/>
      </w:r>
      <w:r w:rsidR="00767FC2" w:rsidRPr="00767FC2">
        <w:rPr>
          <w:noProof/>
        </w:rPr>
        <w:t>23</w:t>
      </w:r>
      <w:r w:rsidRPr="00767FC2">
        <w:rPr>
          <w:noProof/>
        </w:rPr>
        <w:fldChar w:fldCharType="end"/>
      </w:r>
    </w:p>
    <w:p w14:paraId="008F3D2D" w14:textId="77777777" w:rsidR="00ED547C" w:rsidRPr="00767FC2" w:rsidRDefault="00ED547C">
      <w:pPr>
        <w:pStyle w:val="TOC3"/>
        <w:rPr>
          <w:rFonts w:asciiTheme="minorHAnsi" w:eastAsiaTheme="minorEastAsia" w:hAnsiTheme="minorHAnsi" w:cstheme="minorBidi"/>
          <w:b w:val="0"/>
          <w:noProof/>
          <w:kern w:val="0"/>
          <w:szCs w:val="22"/>
        </w:rPr>
      </w:pPr>
      <w:r w:rsidRPr="00767FC2">
        <w:rPr>
          <w:noProof/>
        </w:rPr>
        <w:t>Division 1—Preliminary</w:t>
      </w:r>
      <w:r w:rsidRPr="00767FC2">
        <w:rPr>
          <w:noProof/>
        </w:rPr>
        <w:tab/>
      </w:r>
      <w:r w:rsidRPr="00767FC2">
        <w:rPr>
          <w:noProof/>
        </w:rPr>
        <w:fldChar w:fldCharType="begin"/>
      </w:r>
      <w:r w:rsidRPr="00767FC2">
        <w:rPr>
          <w:noProof/>
        </w:rPr>
        <w:instrText xml:space="preserve"> PAGEREF _Toc509567210 \h </w:instrText>
      </w:r>
      <w:r w:rsidRPr="00767FC2">
        <w:rPr>
          <w:noProof/>
        </w:rPr>
      </w:r>
      <w:r w:rsidRPr="00767FC2">
        <w:rPr>
          <w:noProof/>
        </w:rPr>
        <w:fldChar w:fldCharType="separate"/>
      </w:r>
      <w:r w:rsidR="00767FC2" w:rsidRPr="00767FC2">
        <w:rPr>
          <w:noProof/>
        </w:rPr>
        <w:t>23</w:t>
      </w:r>
      <w:r w:rsidRPr="00767FC2">
        <w:rPr>
          <w:noProof/>
        </w:rPr>
        <w:fldChar w:fldCharType="end"/>
      </w:r>
    </w:p>
    <w:p w14:paraId="122A997A" w14:textId="77777777" w:rsidR="00ED547C" w:rsidRPr="00767FC2" w:rsidRDefault="00ED547C">
      <w:pPr>
        <w:pStyle w:val="TOC5"/>
        <w:rPr>
          <w:rFonts w:asciiTheme="minorHAnsi" w:eastAsiaTheme="minorEastAsia" w:hAnsiTheme="minorHAnsi" w:cstheme="minorBidi"/>
          <w:noProof/>
          <w:kern w:val="0"/>
          <w:sz w:val="22"/>
          <w:szCs w:val="22"/>
        </w:rPr>
      </w:pPr>
      <w:r w:rsidRPr="00767FC2">
        <w:rPr>
          <w:noProof/>
        </w:rPr>
        <w:t>29  Operation of this Part</w:t>
      </w:r>
      <w:r w:rsidRPr="00767FC2">
        <w:rPr>
          <w:noProof/>
        </w:rPr>
        <w:tab/>
      </w:r>
      <w:r w:rsidRPr="00767FC2">
        <w:rPr>
          <w:noProof/>
        </w:rPr>
        <w:fldChar w:fldCharType="begin"/>
      </w:r>
      <w:r w:rsidRPr="00767FC2">
        <w:rPr>
          <w:noProof/>
        </w:rPr>
        <w:instrText xml:space="preserve"> PAGEREF _Toc509567211 \h </w:instrText>
      </w:r>
      <w:r w:rsidRPr="00767FC2">
        <w:rPr>
          <w:noProof/>
        </w:rPr>
      </w:r>
      <w:r w:rsidRPr="00767FC2">
        <w:rPr>
          <w:noProof/>
        </w:rPr>
        <w:fldChar w:fldCharType="separate"/>
      </w:r>
      <w:r w:rsidR="00767FC2" w:rsidRPr="00767FC2">
        <w:rPr>
          <w:noProof/>
        </w:rPr>
        <w:t>23</w:t>
      </w:r>
      <w:r w:rsidRPr="00767FC2">
        <w:rPr>
          <w:noProof/>
        </w:rPr>
        <w:fldChar w:fldCharType="end"/>
      </w:r>
    </w:p>
    <w:p w14:paraId="074EA4A8" w14:textId="77777777" w:rsidR="00ED547C" w:rsidRPr="00767FC2" w:rsidRDefault="00ED547C">
      <w:pPr>
        <w:pStyle w:val="TOC5"/>
        <w:rPr>
          <w:rFonts w:asciiTheme="minorHAnsi" w:eastAsiaTheme="minorEastAsia" w:hAnsiTheme="minorHAnsi" w:cstheme="minorBidi"/>
          <w:noProof/>
          <w:kern w:val="0"/>
          <w:sz w:val="22"/>
          <w:szCs w:val="22"/>
        </w:rPr>
      </w:pPr>
      <w:r w:rsidRPr="00767FC2">
        <w:rPr>
          <w:noProof/>
        </w:rPr>
        <w:t>30  Simplified outline of this Part</w:t>
      </w:r>
      <w:r w:rsidRPr="00767FC2">
        <w:rPr>
          <w:noProof/>
        </w:rPr>
        <w:tab/>
      </w:r>
      <w:r w:rsidRPr="00767FC2">
        <w:rPr>
          <w:noProof/>
        </w:rPr>
        <w:fldChar w:fldCharType="begin"/>
      </w:r>
      <w:r w:rsidRPr="00767FC2">
        <w:rPr>
          <w:noProof/>
        </w:rPr>
        <w:instrText xml:space="preserve"> PAGEREF _Toc509567212 \h </w:instrText>
      </w:r>
      <w:r w:rsidRPr="00767FC2">
        <w:rPr>
          <w:noProof/>
        </w:rPr>
      </w:r>
      <w:r w:rsidRPr="00767FC2">
        <w:rPr>
          <w:noProof/>
        </w:rPr>
        <w:fldChar w:fldCharType="separate"/>
      </w:r>
      <w:r w:rsidR="00767FC2" w:rsidRPr="00767FC2">
        <w:rPr>
          <w:noProof/>
        </w:rPr>
        <w:t>23</w:t>
      </w:r>
      <w:r w:rsidRPr="00767FC2">
        <w:rPr>
          <w:noProof/>
        </w:rPr>
        <w:fldChar w:fldCharType="end"/>
      </w:r>
    </w:p>
    <w:p w14:paraId="6F0F7D02" w14:textId="77777777" w:rsidR="00ED547C" w:rsidRPr="00767FC2" w:rsidRDefault="00ED547C">
      <w:pPr>
        <w:pStyle w:val="TOC5"/>
        <w:rPr>
          <w:rFonts w:asciiTheme="minorHAnsi" w:eastAsiaTheme="minorEastAsia" w:hAnsiTheme="minorHAnsi" w:cstheme="minorBidi"/>
          <w:noProof/>
          <w:kern w:val="0"/>
          <w:sz w:val="22"/>
          <w:szCs w:val="22"/>
        </w:rPr>
      </w:pPr>
      <w:r w:rsidRPr="00767FC2">
        <w:rPr>
          <w:noProof/>
        </w:rPr>
        <w:t>31  Use of SavBAT 3</w:t>
      </w:r>
      <w:r w:rsidRPr="00767FC2">
        <w:rPr>
          <w:noProof/>
        </w:rPr>
        <w:tab/>
      </w:r>
      <w:r w:rsidRPr="00767FC2">
        <w:rPr>
          <w:noProof/>
        </w:rPr>
        <w:fldChar w:fldCharType="begin"/>
      </w:r>
      <w:r w:rsidRPr="00767FC2">
        <w:rPr>
          <w:noProof/>
        </w:rPr>
        <w:instrText xml:space="preserve"> PAGEREF _Toc509567213 \h </w:instrText>
      </w:r>
      <w:r w:rsidRPr="00767FC2">
        <w:rPr>
          <w:noProof/>
        </w:rPr>
      </w:r>
      <w:r w:rsidRPr="00767FC2">
        <w:rPr>
          <w:noProof/>
        </w:rPr>
        <w:fldChar w:fldCharType="separate"/>
      </w:r>
      <w:r w:rsidR="00767FC2" w:rsidRPr="00767FC2">
        <w:rPr>
          <w:noProof/>
        </w:rPr>
        <w:t>23</w:t>
      </w:r>
      <w:r w:rsidRPr="00767FC2">
        <w:rPr>
          <w:noProof/>
        </w:rPr>
        <w:fldChar w:fldCharType="end"/>
      </w:r>
    </w:p>
    <w:p w14:paraId="403BB238" w14:textId="77777777" w:rsidR="00ED547C" w:rsidRPr="00767FC2" w:rsidRDefault="00ED547C">
      <w:pPr>
        <w:pStyle w:val="TOC5"/>
        <w:rPr>
          <w:rFonts w:asciiTheme="minorHAnsi" w:eastAsiaTheme="minorEastAsia" w:hAnsiTheme="minorHAnsi" w:cstheme="minorBidi"/>
          <w:noProof/>
          <w:kern w:val="0"/>
          <w:sz w:val="22"/>
          <w:szCs w:val="22"/>
        </w:rPr>
      </w:pPr>
      <w:r w:rsidRPr="00767FC2">
        <w:rPr>
          <w:noProof/>
        </w:rPr>
        <w:t>33  Overview of gases accounted for in abatement calculations</w:t>
      </w:r>
      <w:r w:rsidRPr="00767FC2">
        <w:rPr>
          <w:noProof/>
        </w:rPr>
        <w:tab/>
      </w:r>
      <w:r w:rsidRPr="00767FC2">
        <w:rPr>
          <w:noProof/>
        </w:rPr>
        <w:fldChar w:fldCharType="begin"/>
      </w:r>
      <w:r w:rsidRPr="00767FC2">
        <w:rPr>
          <w:noProof/>
        </w:rPr>
        <w:instrText xml:space="preserve"> PAGEREF _Toc509567214 \h </w:instrText>
      </w:r>
      <w:r w:rsidRPr="00767FC2">
        <w:rPr>
          <w:noProof/>
        </w:rPr>
      </w:r>
      <w:r w:rsidRPr="00767FC2">
        <w:rPr>
          <w:noProof/>
        </w:rPr>
        <w:fldChar w:fldCharType="separate"/>
      </w:r>
      <w:r w:rsidR="00767FC2" w:rsidRPr="00767FC2">
        <w:rPr>
          <w:noProof/>
        </w:rPr>
        <w:t>23</w:t>
      </w:r>
      <w:r w:rsidRPr="00767FC2">
        <w:rPr>
          <w:noProof/>
        </w:rPr>
        <w:fldChar w:fldCharType="end"/>
      </w:r>
    </w:p>
    <w:p w14:paraId="4D30F392" w14:textId="77777777" w:rsidR="00ED547C" w:rsidRPr="00767FC2" w:rsidRDefault="00ED547C">
      <w:pPr>
        <w:pStyle w:val="TOC3"/>
        <w:rPr>
          <w:rFonts w:asciiTheme="minorHAnsi" w:eastAsiaTheme="minorEastAsia" w:hAnsiTheme="minorHAnsi" w:cstheme="minorBidi"/>
          <w:b w:val="0"/>
          <w:noProof/>
          <w:kern w:val="0"/>
          <w:szCs w:val="22"/>
        </w:rPr>
      </w:pPr>
      <w:r w:rsidRPr="00767FC2">
        <w:rPr>
          <w:noProof/>
        </w:rPr>
        <w:t>Division 2—Calculation of net abatement amount</w:t>
      </w:r>
      <w:r w:rsidRPr="00767FC2">
        <w:rPr>
          <w:noProof/>
        </w:rPr>
        <w:tab/>
      </w:r>
      <w:r w:rsidRPr="00767FC2">
        <w:rPr>
          <w:noProof/>
        </w:rPr>
        <w:fldChar w:fldCharType="begin"/>
      </w:r>
      <w:r w:rsidRPr="00767FC2">
        <w:rPr>
          <w:noProof/>
        </w:rPr>
        <w:instrText xml:space="preserve"> PAGEREF _Toc509567215 \h </w:instrText>
      </w:r>
      <w:r w:rsidRPr="00767FC2">
        <w:rPr>
          <w:noProof/>
        </w:rPr>
      </w:r>
      <w:r w:rsidRPr="00767FC2">
        <w:rPr>
          <w:noProof/>
        </w:rPr>
        <w:fldChar w:fldCharType="separate"/>
      </w:r>
      <w:r w:rsidR="00767FC2" w:rsidRPr="00767FC2">
        <w:rPr>
          <w:noProof/>
        </w:rPr>
        <w:t>24</w:t>
      </w:r>
      <w:r w:rsidRPr="00767FC2">
        <w:rPr>
          <w:noProof/>
        </w:rPr>
        <w:fldChar w:fldCharType="end"/>
      </w:r>
    </w:p>
    <w:p w14:paraId="69FD1116" w14:textId="77777777" w:rsidR="00ED547C" w:rsidRPr="00767FC2" w:rsidRDefault="00ED547C">
      <w:pPr>
        <w:pStyle w:val="TOC5"/>
        <w:rPr>
          <w:rFonts w:asciiTheme="minorHAnsi" w:eastAsiaTheme="minorEastAsia" w:hAnsiTheme="minorHAnsi" w:cstheme="minorBidi"/>
          <w:noProof/>
          <w:kern w:val="0"/>
          <w:sz w:val="22"/>
          <w:szCs w:val="22"/>
        </w:rPr>
      </w:pPr>
      <w:r w:rsidRPr="00767FC2">
        <w:rPr>
          <w:noProof/>
        </w:rPr>
        <w:t xml:space="preserve">34  The net abatement amount, </w:t>
      </w:r>
      <w:r w:rsidRPr="00767FC2">
        <w:rPr>
          <w:i/>
          <w:noProof/>
        </w:rPr>
        <w:t>A</w:t>
      </w:r>
      <w:r w:rsidRPr="00767FC2">
        <w:rPr>
          <w:noProof/>
        </w:rPr>
        <w:tab/>
      </w:r>
      <w:r w:rsidRPr="00767FC2">
        <w:rPr>
          <w:noProof/>
        </w:rPr>
        <w:fldChar w:fldCharType="begin"/>
      </w:r>
      <w:r w:rsidRPr="00767FC2">
        <w:rPr>
          <w:noProof/>
        </w:rPr>
        <w:instrText xml:space="preserve"> PAGEREF _Toc509567216 \h </w:instrText>
      </w:r>
      <w:r w:rsidRPr="00767FC2">
        <w:rPr>
          <w:noProof/>
        </w:rPr>
      </w:r>
      <w:r w:rsidRPr="00767FC2">
        <w:rPr>
          <w:noProof/>
        </w:rPr>
        <w:fldChar w:fldCharType="separate"/>
      </w:r>
      <w:r w:rsidR="00767FC2" w:rsidRPr="00767FC2">
        <w:rPr>
          <w:noProof/>
        </w:rPr>
        <w:t>24</w:t>
      </w:r>
      <w:r w:rsidRPr="00767FC2">
        <w:rPr>
          <w:noProof/>
        </w:rPr>
        <w:fldChar w:fldCharType="end"/>
      </w:r>
    </w:p>
    <w:p w14:paraId="2C856C29" w14:textId="77777777" w:rsidR="00ED547C" w:rsidRPr="00767FC2" w:rsidRDefault="00ED547C">
      <w:pPr>
        <w:pStyle w:val="TOC2"/>
        <w:rPr>
          <w:rFonts w:asciiTheme="minorHAnsi" w:eastAsiaTheme="minorEastAsia" w:hAnsiTheme="minorHAnsi" w:cstheme="minorBidi"/>
          <w:b w:val="0"/>
          <w:noProof/>
          <w:kern w:val="0"/>
          <w:sz w:val="22"/>
          <w:szCs w:val="22"/>
        </w:rPr>
      </w:pPr>
      <w:r w:rsidRPr="00767FC2">
        <w:rPr>
          <w:noProof/>
        </w:rPr>
        <w:lastRenderedPageBreak/>
        <w:t>Part 5—Reporting, record</w:t>
      </w:r>
      <w:r w:rsidRPr="00767FC2">
        <w:rPr>
          <w:noProof/>
        </w:rPr>
        <w:noBreakHyphen/>
        <w:t>keeping and monitoring requirements</w:t>
      </w:r>
      <w:r w:rsidRPr="00767FC2">
        <w:rPr>
          <w:noProof/>
        </w:rPr>
        <w:tab/>
      </w:r>
      <w:r w:rsidRPr="00767FC2">
        <w:rPr>
          <w:noProof/>
        </w:rPr>
        <w:fldChar w:fldCharType="begin"/>
      </w:r>
      <w:r w:rsidRPr="00767FC2">
        <w:rPr>
          <w:noProof/>
        </w:rPr>
        <w:instrText xml:space="preserve"> PAGEREF _Toc509567217 \h </w:instrText>
      </w:r>
      <w:r w:rsidRPr="00767FC2">
        <w:rPr>
          <w:noProof/>
        </w:rPr>
      </w:r>
      <w:r w:rsidRPr="00767FC2">
        <w:rPr>
          <w:noProof/>
        </w:rPr>
        <w:fldChar w:fldCharType="separate"/>
      </w:r>
      <w:r w:rsidR="00767FC2" w:rsidRPr="00767FC2">
        <w:rPr>
          <w:noProof/>
        </w:rPr>
        <w:t>25</w:t>
      </w:r>
      <w:r w:rsidRPr="00767FC2">
        <w:rPr>
          <w:noProof/>
        </w:rPr>
        <w:fldChar w:fldCharType="end"/>
      </w:r>
    </w:p>
    <w:p w14:paraId="15931B57" w14:textId="77777777" w:rsidR="00ED547C" w:rsidRPr="00767FC2" w:rsidRDefault="00ED547C">
      <w:pPr>
        <w:pStyle w:val="TOC3"/>
        <w:rPr>
          <w:rFonts w:asciiTheme="minorHAnsi" w:eastAsiaTheme="minorEastAsia" w:hAnsiTheme="minorHAnsi" w:cstheme="minorBidi"/>
          <w:b w:val="0"/>
          <w:noProof/>
          <w:kern w:val="0"/>
          <w:szCs w:val="22"/>
        </w:rPr>
      </w:pPr>
      <w:r w:rsidRPr="00767FC2">
        <w:rPr>
          <w:noProof/>
        </w:rPr>
        <w:t>Division 1—Offsets report requirements</w:t>
      </w:r>
      <w:r w:rsidRPr="00767FC2">
        <w:rPr>
          <w:noProof/>
        </w:rPr>
        <w:tab/>
      </w:r>
      <w:r w:rsidRPr="00767FC2">
        <w:rPr>
          <w:noProof/>
        </w:rPr>
        <w:fldChar w:fldCharType="begin"/>
      </w:r>
      <w:r w:rsidRPr="00767FC2">
        <w:rPr>
          <w:noProof/>
        </w:rPr>
        <w:instrText xml:space="preserve"> PAGEREF _Toc509567218 \h </w:instrText>
      </w:r>
      <w:r w:rsidRPr="00767FC2">
        <w:rPr>
          <w:noProof/>
        </w:rPr>
      </w:r>
      <w:r w:rsidRPr="00767FC2">
        <w:rPr>
          <w:noProof/>
        </w:rPr>
        <w:fldChar w:fldCharType="separate"/>
      </w:r>
      <w:r w:rsidR="00767FC2" w:rsidRPr="00767FC2">
        <w:rPr>
          <w:noProof/>
        </w:rPr>
        <w:t>25</w:t>
      </w:r>
      <w:r w:rsidRPr="00767FC2">
        <w:rPr>
          <w:noProof/>
        </w:rPr>
        <w:fldChar w:fldCharType="end"/>
      </w:r>
    </w:p>
    <w:p w14:paraId="478CA628" w14:textId="77777777" w:rsidR="00ED547C" w:rsidRPr="00767FC2" w:rsidRDefault="00ED547C">
      <w:pPr>
        <w:pStyle w:val="TOC5"/>
        <w:rPr>
          <w:rFonts w:asciiTheme="minorHAnsi" w:eastAsiaTheme="minorEastAsia" w:hAnsiTheme="minorHAnsi" w:cstheme="minorBidi"/>
          <w:noProof/>
          <w:kern w:val="0"/>
          <w:sz w:val="22"/>
          <w:szCs w:val="22"/>
        </w:rPr>
      </w:pPr>
      <w:r w:rsidRPr="00767FC2">
        <w:rPr>
          <w:rFonts w:eastAsiaTheme="minorHAnsi"/>
          <w:noProof/>
        </w:rPr>
        <w:t>35  Operation of this Division</w:t>
      </w:r>
      <w:r w:rsidRPr="00767FC2">
        <w:rPr>
          <w:noProof/>
        </w:rPr>
        <w:tab/>
      </w:r>
      <w:r w:rsidRPr="00767FC2">
        <w:rPr>
          <w:noProof/>
        </w:rPr>
        <w:fldChar w:fldCharType="begin"/>
      </w:r>
      <w:r w:rsidRPr="00767FC2">
        <w:rPr>
          <w:noProof/>
        </w:rPr>
        <w:instrText xml:space="preserve"> PAGEREF _Toc509567219 \h </w:instrText>
      </w:r>
      <w:r w:rsidRPr="00767FC2">
        <w:rPr>
          <w:noProof/>
        </w:rPr>
      </w:r>
      <w:r w:rsidRPr="00767FC2">
        <w:rPr>
          <w:noProof/>
        </w:rPr>
        <w:fldChar w:fldCharType="separate"/>
      </w:r>
      <w:r w:rsidR="00767FC2" w:rsidRPr="00767FC2">
        <w:rPr>
          <w:noProof/>
        </w:rPr>
        <w:t>25</w:t>
      </w:r>
      <w:r w:rsidRPr="00767FC2">
        <w:rPr>
          <w:noProof/>
        </w:rPr>
        <w:fldChar w:fldCharType="end"/>
      </w:r>
    </w:p>
    <w:p w14:paraId="79CF264B" w14:textId="77777777" w:rsidR="00ED547C" w:rsidRPr="00767FC2" w:rsidRDefault="00ED547C">
      <w:pPr>
        <w:pStyle w:val="TOC5"/>
        <w:rPr>
          <w:rFonts w:asciiTheme="minorHAnsi" w:eastAsiaTheme="minorEastAsia" w:hAnsiTheme="minorHAnsi" w:cstheme="minorBidi"/>
          <w:noProof/>
          <w:kern w:val="0"/>
          <w:sz w:val="22"/>
          <w:szCs w:val="22"/>
        </w:rPr>
      </w:pPr>
      <w:r w:rsidRPr="00767FC2">
        <w:rPr>
          <w:rFonts w:eastAsiaTheme="minorHAnsi"/>
          <w:noProof/>
        </w:rPr>
        <w:t>36  Information that must be included in offsets reports</w:t>
      </w:r>
      <w:r w:rsidRPr="00767FC2">
        <w:rPr>
          <w:noProof/>
        </w:rPr>
        <w:tab/>
      </w:r>
      <w:r w:rsidRPr="00767FC2">
        <w:rPr>
          <w:noProof/>
        </w:rPr>
        <w:fldChar w:fldCharType="begin"/>
      </w:r>
      <w:r w:rsidRPr="00767FC2">
        <w:rPr>
          <w:noProof/>
        </w:rPr>
        <w:instrText xml:space="preserve"> PAGEREF _Toc509567220 \h </w:instrText>
      </w:r>
      <w:r w:rsidRPr="00767FC2">
        <w:rPr>
          <w:noProof/>
        </w:rPr>
      </w:r>
      <w:r w:rsidRPr="00767FC2">
        <w:rPr>
          <w:noProof/>
        </w:rPr>
        <w:fldChar w:fldCharType="separate"/>
      </w:r>
      <w:r w:rsidR="00767FC2" w:rsidRPr="00767FC2">
        <w:rPr>
          <w:noProof/>
        </w:rPr>
        <w:t>25</w:t>
      </w:r>
      <w:r w:rsidRPr="00767FC2">
        <w:rPr>
          <w:noProof/>
        </w:rPr>
        <w:fldChar w:fldCharType="end"/>
      </w:r>
    </w:p>
    <w:p w14:paraId="1AFCFC51" w14:textId="77777777" w:rsidR="00ED547C" w:rsidRPr="00767FC2" w:rsidRDefault="00ED547C">
      <w:pPr>
        <w:pStyle w:val="TOC3"/>
        <w:rPr>
          <w:rFonts w:asciiTheme="minorHAnsi" w:eastAsiaTheme="minorEastAsia" w:hAnsiTheme="minorHAnsi" w:cstheme="minorBidi"/>
          <w:b w:val="0"/>
          <w:noProof/>
          <w:kern w:val="0"/>
          <w:szCs w:val="22"/>
        </w:rPr>
      </w:pPr>
      <w:r w:rsidRPr="00767FC2">
        <w:rPr>
          <w:noProof/>
        </w:rPr>
        <w:t>Division 2—Record</w:t>
      </w:r>
      <w:r w:rsidRPr="00767FC2">
        <w:rPr>
          <w:noProof/>
        </w:rPr>
        <w:noBreakHyphen/>
        <w:t>keeping requirements</w:t>
      </w:r>
      <w:r w:rsidRPr="00767FC2">
        <w:rPr>
          <w:noProof/>
        </w:rPr>
        <w:tab/>
      </w:r>
      <w:r w:rsidRPr="00767FC2">
        <w:rPr>
          <w:noProof/>
        </w:rPr>
        <w:fldChar w:fldCharType="begin"/>
      </w:r>
      <w:r w:rsidRPr="00767FC2">
        <w:rPr>
          <w:noProof/>
        </w:rPr>
        <w:instrText xml:space="preserve"> PAGEREF _Toc509567221 \h </w:instrText>
      </w:r>
      <w:r w:rsidRPr="00767FC2">
        <w:rPr>
          <w:noProof/>
        </w:rPr>
      </w:r>
      <w:r w:rsidRPr="00767FC2">
        <w:rPr>
          <w:noProof/>
        </w:rPr>
        <w:fldChar w:fldCharType="separate"/>
      </w:r>
      <w:r w:rsidR="00767FC2" w:rsidRPr="00767FC2">
        <w:rPr>
          <w:noProof/>
        </w:rPr>
        <w:t>27</w:t>
      </w:r>
      <w:r w:rsidRPr="00767FC2">
        <w:rPr>
          <w:noProof/>
        </w:rPr>
        <w:fldChar w:fldCharType="end"/>
      </w:r>
    </w:p>
    <w:p w14:paraId="766866A5" w14:textId="77777777" w:rsidR="00ED547C" w:rsidRPr="00767FC2" w:rsidRDefault="00ED547C">
      <w:pPr>
        <w:pStyle w:val="TOC5"/>
        <w:rPr>
          <w:rFonts w:asciiTheme="minorHAnsi" w:eastAsiaTheme="minorEastAsia" w:hAnsiTheme="minorHAnsi" w:cstheme="minorBidi"/>
          <w:noProof/>
          <w:kern w:val="0"/>
          <w:sz w:val="22"/>
          <w:szCs w:val="22"/>
        </w:rPr>
      </w:pPr>
      <w:r w:rsidRPr="00767FC2">
        <w:rPr>
          <w:rFonts w:eastAsiaTheme="minorHAnsi"/>
          <w:noProof/>
        </w:rPr>
        <w:t>37  Operation of this Division</w:t>
      </w:r>
      <w:r w:rsidRPr="00767FC2">
        <w:rPr>
          <w:noProof/>
        </w:rPr>
        <w:tab/>
      </w:r>
      <w:r w:rsidRPr="00767FC2">
        <w:rPr>
          <w:noProof/>
        </w:rPr>
        <w:fldChar w:fldCharType="begin"/>
      </w:r>
      <w:r w:rsidRPr="00767FC2">
        <w:rPr>
          <w:noProof/>
        </w:rPr>
        <w:instrText xml:space="preserve"> PAGEREF _Toc509567222 \h </w:instrText>
      </w:r>
      <w:r w:rsidRPr="00767FC2">
        <w:rPr>
          <w:noProof/>
        </w:rPr>
      </w:r>
      <w:r w:rsidRPr="00767FC2">
        <w:rPr>
          <w:noProof/>
        </w:rPr>
        <w:fldChar w:fldCharType="separate"/>
      </w:r>
      <w:r w:rsidR="00767FC2" w:rsidRPr="00767FC2">
        <w:rPr>
          <w:noProof/>
        </w:rPr>
        <w:t>27</w:t>
      </w:r>
      <w:r w:rsidRPr="00767FC2">
        <w:rPr>
          <w:noProof/>
        </w:rPr>
        <w:fldChar w:fldCharType="end"/>
      </w:r>
    </w:p>
    <w:p w14:paraId="1E36C320" w14:textId="77777777" w:rsidR="00ED547C" w:rsidRPr="00767FC2" w:rsidRDefault="00ED547C">
      <w:pPr>
        <w:pStyle w:val="TOC5"/>
        <w:rPr>
          <w:rFonts w:asciiTheme="minorHAnsi" w:eastAsiaTheme="minorEastAsia" w:hAnsiTheme="minorHAnsi" w:cstheme="minorBidi"/>
          <w:noProof/>
          <w:kern w:val="0"/>
          <w:sz w:val="22"/>
          <w:szCs w:val="22"/>
        </w:rPr>
      </w:pPr>
      <w:r w:rsidRPr="00767FC2">
        <w:rPr>
          <w:rFonts w:eastAsiaTheme="minorHAnsi"/>
          <w:noProof/>
        </w:rPr>
        <w:t>38  Record</w:t>
      </w:r>
      <w:r w:rsidRPr="00767FC2">
        <w:rPr>
          <w:rFonts w:eastAsiaTheme="minorHAnsi"/>
          <w:noProof/>
        </w:rPr>
        <w:noBreakHyphen/>
        <w:t>keeping requirements</w:t>
      </w:r>
      <w:r w:rsidRPr="00767FC2">
        <w:rPr>
          <w:noProof/>
        </w:rPr>
        <w:tab/>
      </w:r>
      <w:r w:rsidRPr="00767FC2">
        <w:rPr>
          <w:noProof/>
        </w:rPr>
        <w:fldChar w:fldCharType="begin"/>
      </w:r>
      <w:r w:rsidRPr="00767FC2">
        <w:rPr>
          <w:noProof/>
        </w:rPr>
        <w:instrText xml:space="preserve"> PAGEREF _Toc509567223 \h </w:instrText>
      </w:r>
      <w:r w:rsidRPr="00767FC2">
        <w:rPr>
          <w:noProof/>
        </w:rPr>
      </w:r>
      <w:r w:rsidRPr="00767FC2">
        <w:rPr>
          <w:noProof/>
        </w:rPr>
        <w:fldChar w:fldCharType="separate"/>
      </w:r>
      <w:r w:rsidR="00767FC2" w:rsidRPr="00767FC2">
        <w:rPr>
          <w:noProof/>
        </w:rPr>
        <w:t>27</w:t>
      </w:r>
      <w:r w:rsidRPr="00767FC2">
        <w:rPr>
          <w:noProof/>
        </w:rPr>
        <w:fldChar w:fldCharType="end"/>
      </w:r>
    </w:p>
    <w:p w14:paraId="35E86DC7" w14:textId="77777777" w:rsidR="00ED547C" w:rsidRPr="00767FC2" w:rsidRDefault="00ED547C">
      <w:pPr>
        <w:pStyle w:val="TOC3"/>
        <w:rPr>
          <w:rFonts w:asciiTheme="minorHAnsi" w:eastAsiaTheme="minorEastAsia" w:hAnsiTheme="minorHAnsi" w:cstheme="minorBidi"/>
          <w:b w:val="0"/>
          <w:noProof/>
          <w:kern w:val="0"/>
          <w:szCs w:val="22"/>
        </w:rPr>
      </w:pPr>
      <w:r w:rsidRPr="00767FC2">
        <w:rPr>
          <w:noProof/>
        </w:rPr>
        <w:t>Division 3—Monitoring requirements</w:t>
      </w:r>
      <w:r w:rsidRPr="00767FC2">
        <w:rPr>
          <w:noProof/>
        </w:rPr>
        <w:tab/>
      </w:r>
      <w:r w:rsidRPr="00767FC2">
        <w:rPr>
          <w:noProof/>
        </w:rPr>
        <w:fldChar w:fldCharType="begin"/>
      </w:r>
      <w:r w:rsidRPr="00767FC2">
        <w:rPr>
          <w:noProof/>
        </w:rPr>
        <w:instrText xml:space="preserve"> PAGEREF _Toc509567224 \h </w:instrText>
      </w:r>
      <w:r w:rsidRPr="00767FC2">
        <w:rPr>
          <w:noProof/>
        </w:rPr>
      </w:r>
      <w:r w:rsidRPr="00767FC2">
        <w:rPr>
          <w:noProof/>
        </w:rPr>
        <w:fldChar w:fldCharType="separate"/>
      </w:r>
      <w:r w:rsidR="00767FC2" w:rsidRPr="00767FC2">
        <w:rPr>
          <w:noProof/>
        </w:rPr>
        <w:t>27</w:t>
      </w:r>
      <w:r w:rsidRPr="00767FC2">
        <w:rPr>
          <w:noProof/>
        </w:rPr>
        <w:fldChar w:fldCharType="end"/>
      </w:r>
    </w:p>
    <w:p w14:paraId="30C84C40" w14:textId="77777777" w:rsidR="00ED547C" w:rsidRPr="00767FC2" w:rsidRDefault="00ED547C">
      <w:pPr>
        <w:pStyle w:val="TOC5"/>
        <w:rPr>
          <w:rFonts w:asciiTheme="minorHAnsi" w:eastAsiaTheme="minorEastAsia" w:hAnsiTheme="minorHAnsi" w:cstheme="minorBidi"/>
          <w:noProof/>
          <w:kern w:val="0"/>
          <w:sz w:val="22"/>
          <w:szCs w:val="22"/>
        </w:rPr>
      </w:pPr>
      <w:r w:rsidRPr="00767FC2">
        <w:rPr>
          <w:rFonts w:eastAsiaTheme="minorHAnsi"/>
          <w:noProof/>
        </w:rPr>
        <w:t>39  Operation of this Division</w:t>
      </w:r>
      <w:r w:rsidRPr="00767FC2">
        <w:rPr>
          <w:noProof/>
        </w:rPr>
        <w:tab/>
      </w:r>
      <w:r w:rsidRPr="00767FC2">
        <w:rPr>
          <w:noProof/>
        </w:rPr>
        <w:fldChar w:fldCharType="begin"/>
      </w:r>
      <w:r w:rsidRPr="00767FC2">
        <w:rPr>
          <w:noProof/>
        </w:rPr>
        <w:instrText xml:space="preserve"> PAGEREF _Toc509567225 \h </w:instrText>
      </w:r>
      <w:r w:rsidRPr="00767FC2">
        <w:rPr>
          <w:noProof/>
        </w:rPr>
      </w:r>
      <w:r w:rsidRPr="00767FC2">
        <w:rPr>
          <w:noProof/>
        </w:rPr>
        <w:fldChar w:fldCharType="separate"/>
      </w:r>
      <w:r w:rsidR="00767FC2" w:rsidRPr="00767FC2">
        <w:rPr>
          <w:noProof/>
        </w:rPr>
        <w:t>27</w:t>
      </w:r>
      <w:r w:rsidRPr="00767FC2">
        <w:rPr>
          <w:noProof/>
        </w:rPr>
        <w:fldChar w:fldCharType="end"/>
      </w:r>
    </w:p>
    <w:p w14:paraId="0F220EBE" w14:textId="77777777" w:rsidR="00ED547C" w:rsidRPr="00767FC2" w:rsidRDefault="00ED547C">
      <w:pPr>
        <w:pStyle w:val="TOC5"/>
        <w:rPr>
          <w:rFonts w:asciiTheme="minorHAnsi" w:eastAsiaTheme="minorEastAsia" w:hAnsiTheme="minorHAnsi" w:cstheme="minorBidi"/>
          <w:noProof/>
          <w:kern w:val="0"/>
          <w:sz w:val="22"/>
          <w:szCs w:val="22"/>
        </w:rPr>
      </w:pPr>
      <w:r w:rsidRPr="00767FC2">
        <w:rPr>
          <w:rFonts w:eastAsiaTheme="minorHAnsi"/>
          <w:noProof/>
        </w:rPr>
        <w:t>40  Monitoring requirements</w:t>
      </w:r>
      <w:r w:rsidRPr="00767FC2">
        <w:rPr>
          <w:noProof/>
        </w:rPr>
        <w:tab/>
      </w:r>
      <w:r w:rsidRPr="00767FC2">
        <w:rPr>
          <w:noProof/>
        </w:rPr>
        <w:fldChar w:fldCharType="begin"/>
      </w:r>
      <w:r w:rsidRPr="00767FC2">
        <w:rPr>
          <w:noProof/>
        </w:rPr>
        <w:instrText xml:space="preserve"> PAGEREF _Toc509567226 \h </w:instrText>
      </w:r>
      <w:r w:rsidRPr="00767FC2">
        <w:rPr>
          <w:noProof/>
        </w:rPr>
      </w:r>
      <w:r w:rsidRPr="00767FC2">
        <w:rPr>
          <w:noProof/>
        </w:rPr>
        <w:fldChar w:fldCharType="separate"/>
      </w:r>
      <w:r w:rsidR="00767FC2" w:rsidRPr="00767FC2">
        <w:rPr>
          <w:noProof/>
        </w:rPr>
        <w:t>27</w:t>
      </w:r>
      <w:r w:rsidRPr="00767FC2">
        <w:rPr>
          <w:noProof/>
        </w:rPr>
        <w:fldChar w:fldCharType="end"/>
      </w:r>
    </w:p>
    <w:p w14:paraId="289C3A2F" w14:textId="77777777" w:rsidR="00ED547C" w:rsidRPr="00767FC2" w:rsidRDefault="00ED547C">
      <w:pPr>
        <w:pStyle w:val="TOC2"/>
        <w:rPr>
          <w:rFonts w:asciiTheme="minorHAnsi" w:eastAsiaTheme="minorEastAsia" w:hAnsiTheme="minorHAnsi" w:cstheme="minorBidi"/>
          <w:b w:val="0"/>
          <w:noProof/>
          <w:kern w:val="0"/>
          <w:sz w:val="22"/>
          <w:szCs w:val="22"/>
        </w:rPr>
      </w:pPr>
      <w:r w:rsidRPr="00767FC2">
        <w:rPr>
          <w:noProof/>
        </w:rPr>
        <w:t>Part 6—Partial reporting</w:t>
      </w:r>
      <w:r w:rsidRPr="00767FC2">
        <w:rPr>
          <w:noProof/>
        </w:rPr>
        <w:tab/>
      </w:r>
      <w:r w:rsidRPr="00767FC2">
        <w:rPr>
          <w:noProof/>
        </w:rPr>
        <w:fldChar w:fldCharType="begin"/>
      </w:r>
      <w:r w:rsidRPr="00767FC2">
        <w:rPr>
          <w:noProof/>
        </w:rPr>
        <w:instrText xml:space="preserve"> PAGEREF _Toc509567227 \h </w:instrText>
      </w:r>
      <w:r w:rsidRPr="00767FC2">
        <w:rPr>
          <w:noProof/>
        </w:rPr>
      </w:r>
      <w:r w:rsidRPr="00767FC2">
        <w:rPr>
          <w:noProof/>
        </w:rPr>
        <w:fldChar w:fldCharType="separate"/>
      </w:r>
      <w:r w:rsidR="00767FC2" w:rsidRPr="00767FC2">
        <w:rPr>
          <w:noProof/>
        </w:rPr>
        <w:t>28</w:t>
      </w:r>
      <w:r w:rsidRPr="00767FC2">
        <w:rPr>
          <w:noProof/>
        </w:rPr>
        <w:fldChar w:fldCharType="end"/>
      </w:r>
    </w:p>
    <w:p w14:paraId="0C70E888" w14:textId="77777777" w:rsidR="00ED547C" w:rsidRPr="00767FC2" w:rsidRDefault="00ED547C">
      <w:pPr>
        <w:pStyle w:val="TOC5"/>
        <w:rPr>
          <w:rFonts w:asciiTheme="minorHAnsi" w:eastAsiaTheme="minorEastAsia" w:hAnsiTheme="minorHAnsi" w:cstheme="minorBidi"/>
          <w:noProof/>
          <w:kern w:val="0"/>
          <w:sz w:val="22"/>
          <w:szCs w:val="22"/>
        </w:rPr>
      </w:pPr>
      <w:r w:rsidRPr="00767FC2">
        <w:rPr>
          <w:noProof/>
        </w:rPr>
        <w:t>41  Partial reporting</w:t>
      </w:r>
      <w:r w:rsidRPr="00767FC2">
        <w:rPr>
          <w:noProof/>
        </w:rPr>
        <w:tab/>
      </w:r>
      <w:r w:rsidRPr="00767FC2">
        <w:rPr>
          <w:noProof/>
        </w:rPr>
        <w:fldChar w:fldCharType="begin"/>
      </w:r>
      <w:r w:rsidRPr="00767FC2">
        <w:rPr>
          <w:noProof/>
        </w:rPr>
        <w:instrText xml:space="preserve"> PAGEREF _Toc509567228 \h </w:instrText>
      </w:r>
      <w:r w:rsidRPr="00767FC2">
        <w:rPr>
          <w:noProof/>
        </w:rPr>
      </w:r>
      <w:r w:rsidRPr="00767FC2">
        <w:rPr>
          <w:noProof/>
        </w:rPr>
        <w:fldChar w:fldCharType="separate"/>
      </w:r>
      <w:r w:rsidR="00767FC2" w:rsidRPr="00767FC2">
        <w:rPr>
          <w:noProof/>
        </w:rPr>
        <w:t>28</w:t>
      </w:r>
      <w:r w:rsidRPr="00767FC2">
        <w:rPr>
          <w:noProof/>
        </w:rPr>
        <w:fldChar w:fldCharType="end"/>
      </w:r>
    </w:p>
    <w:p w14:paraId="62955982" w14:textId="77777777" w:rsidR="00ED547C" w:rsidRPr="00767FC2" w:rsidRDefault="00ED547C">
      <w:pPr>
        <w:pStyle w:val="TOC6"/>
        <w:rPr>
          <w:rFonts w:asciiTheme="minorHAnsi" w:eastAsiaTheme="minorEastAsia" w:hAnsiTheme="minorHAnsi" w:cstheme="minorBidi"/>
          <w:b w:val="0"/>
          <w:noProof/>
          <w:kern w:val="0"/>
          <w:sz w:val="22"/>
          <w:szCs w:val="22"/>
        </w:rPr>
      </w:pPr>
      <w:r w:rsidRPr="00767FC2">
        <w:rPr>
          <w:noProof/>
        </w:rPr>
        <w:t>Schedule 1—Emissions avoidance—calculation of adjusted contribution to net abatement amount for a calendar year</w:t>
      </w:r>
      <w:r w:rsidRPr="00767FC2">
        <w:rPr>
          <w:noProof/>
        </w:rPr>
        <w:tab/>
      </w:r>
      <w:r w:rsidRPr="00767FC2">
        <w:rPr>
          <w:noProof/>
        </w:rPr>
        <w:fldChar w:fldCharType="begin"/>
      </w:r>
      <w:r w:rsidRPr="00767FC2">
        <w:rPr>
          <w:noProof/>
        </w:rPr>
        <w:instrText xml:space="preserve"> PAGEREF _Toc509567229 \h </w:instrText>
      </w:r>
      <w:r w:rsidRPr="00767FC2">
        <w:rPr>
          <w:noProof/>
        </w:rPr>
      </w:r>
      <w:r w:rsidRPr="00767FC2">
        <w:rPr>
          <w:noProof/>
        </w:rPr>
        <w:fldChar w:fldCharType="separate"/>
      </w:r>
      <w:r w:rsidR="00767FC2" w:rsidRPr="00767FC2">
        <w:rPr>
          <w:noProof/>
        </w:rPr>
        <w:t>29</w:t>
      </w:r>
      <w:r w:rsidRPr="00767FC2">
        <w:rPr>
          <w:noProof/>
        </w:rPr>
        <w:fldChar w:fldCharType="end"/>
      </w:r>
    </w:p>
    <w:p w14:paraId="1697C199" w14:textId="77777777" w:rsidR="00ED547C" w:rsidRPr="00767FC2" w:rsidRDefault="00ED547C">
      <w:pPr>
        <w:pStyle w:val="TOC3"/>
        <w:rPr>
          <w:rFonts w:asciiTheme="minorHAnsi" w:eastAsiaTheme="minorEastAsia" w:hAnsiTheme="minorHAnsi" w:cstheme="minorBidi"/>
          <w:b w:val="0"/>
          <w:noProof/>
          <w:kern w:val="0"/>
          <w:szCs w:val="22"/>
        </w:rPr>
      </w:pPr>
      <w:r w:rsidRPr="00767FC2">
        <w:rPr>
          <w:noProof/>
        </w:rPr>
        <w:t>Division 1—Preliminary</w:t>
      </w:r>
      <w:r w:rsidRPr="00767FC2">
        <w:rPr>
          <w:noProof/>
        </w:rPr>
        <w:tab/>
      </w:r>
      <w:r w:rsidRPr="00767FC2">
        <w:rPr>
          <w:noProof/>
        </w:rPr>
        <w:fldChar w:fldCharType="begin"/>
      </w:r>
      <w:r w:rsidRPr="00767FC2">
        <w:rPr>
          <w:noProof/>
        </w:rPr>
        <w:instrText xml:space="preserve"> PAGEREF _Toc509567230 \h </w:instrText>
      </w:r>
      <w:r w:rsidRPr="00767FC2">
        <w:rPr>
          <w:noProof/>
        </w:rPr>
      </w:r>
      <w:r w:rsidRPr="00767FC2">
        <w:rPr>
          <w:noProof/>
        </w:rPr>
        <w:fldChar w:fldCharType="separate"/>
      </w:r>
      <w:r w:rsidR="00767FC2" w:rsidRPr="00767FC2">
        <w:rPr>
          <w:noProof/>
        </w:rPr>
        <w:t>29</w:t>
      </w:r>
      <w:r w:rsidRPr="00767FC2">
        <w:rPr>
          <w:noProof/>
        </w:rPr>
        <w:fldChar w:fldCharType="end"/>
      </w:r>
    </w:p>
    <w:p w14:paraId="56EAB73D" w14:textId="77777777" w:rsidR="00ED547C" w:rsidRPr="00767FC2" w:rsidRDefault="00ED547C">
      <w:pPr>
        <w:pStyle w:val="TOC5"/>
        <w:rPr>
          <w:rFonts w:asciiTheme="minorHAnsi" w:eastAsiaTheme="minorEastAsia" w:hAnsiTheme="minorHAnsi" w:cstheme="minorBidi"/>
          <w:noProof/>
          <w:kern w:val="0"/>
          <w:sz w:val="22"/>
          <w:szCs w:val="22"/>
        </w:rPr>
      </w:pPr>
      <w:r w:rsidRPr="00767FC2">
        <w:rPr>
          <w:noProof/>
        </w:rPr>
        <w:t>1  Simplified outline of this Schedule</w:t>
      </w:r>
      <w:r w:rsidRPr="00767FC2">
        <w:rPr>
          <w:noProof/>
        </w:rPr>
        <w:tab/>
      </w:r>
      <w:r w:rsidRPr="00767FC2">
        <w:rPr>
          <w:noProof/>
        </w:rPr>
        <w:fldChar w:fldCharType="begin"/>
      </w:r>
      <w:r w:rsidRPr="00767FC2">
        <w:rPr>
          <w:noProof/>
        </w:rPr>
        <w:instrText xml:space="preserve"> PAGEREF _Toc509567231 \h </w:instrText>
      </w:r>
      <w:r w:rsidRPr="00767FC2">
        <w:rPr>
          <w:noProof/>
        </w:rPr>
      </w:r>
      <w:r w:rsidRPr="00767FC2">
        <w:rPr>
          <w:noProof/>
        </w:rPr>
        <w:fldChar w:fldCharType="separate"/>
      </w:r>
      <w:r w:rsidR="00767FC2" w:rsidRPr="00767FC2">
        <w:rPr>
          <w:noProof/>
        </w:rPr>
        <w:t>29</w:t>
      </w:r>
      <w:r w:rsidRPr="00767FC2">
        <w:rPr>
          <w:noProof/>
        </w:rPr>
        <w:fldChar w:fldCharType="end"/>
      </w:r>
    </w:p>
    <w:p w14:paraId="058482E5" w14:textId="77777777" w:rsidR="00ED547C" w:rsidRPr="00767FC2" w:rsidRDefault="00ED547C">
      <w:pPr>
        <w:pStyle w:val="TOC3"/>
        <w:rPr>
          <w:rFonts w:asciiTheme="minorHAnsi" w:eastAsiaTheme="minorEastAsia" w:hAnsiTheme="minorHAnsi" w:cstheme="minorBidi"/>
          <w:b w:val="0"/>
          <w:noProof/>
          <w:kern w:val="0"/>
          <w:szCs w:val="22"/>
        </w:rPr>
      </w:pPr>
      <w:r w:rsidRPr="00767FC2">
        <w:rPr>
          <w:noProof/>
        </w:rPr>
        <w:t>Division 2—Calculations</w:t>
      </w:r>
      <w:r w:rsidRPr="00767FC2">
        <w:rPr>
          <w:noProof/>
        </w:rPr>
        <w:tab/>
      </w:r>
      <w:r w:rsidRPr="00767FC2">
        <w:rPr>
          <w:noProof/>
        </w:rPr>
        <w:fldChar w:fldCharType="begin"/>
      </w:r>
      <w:r w:rsidRPr="00767FC2">
        <w:rPr>
          <w:noProof/>
        </w:rPr>
        <w:instrText xml:space="preserve"> PAGEREF _Toc509567232 \h </w:instrText>
      </w:r>
      <w:r w:rsidRPr="00767FC2">
        <w:rPr>
          <w:noProof/>
        </w:rPr>
      </w:r>
      <w:r w:rsidRPr="00767FC2">
        <w:rPr>
          <w:noProof/>
        </w:rPr>
        <w:fldChar w:fldCharType="separate"/>
      </w:r>
      <w:r w:rsidR="00767FC2" w:rsidRPr="00767FC2">
        <w:rPr>
          <w:noProof/>
        </w:rPr>
        <w:t>29</w:t>
      </w:r>
      <w:r w:rsidRPr="00767FC2">
        <w:rPr>
          <w:noProof/>
        </w:rPr>
        <w:fldChar w:fldCharType="end"/>
      </w:r>
    </w:p>
    <w:p w14:paraId="479E359A" w14:textId="77777777" w:rsidR="00ED547C" w:rsidRPr="00767FC2" w:rsidRDefault="00ED547C">
      <w:pPr>
        <w:pStyle w:val="TOC5"/>
        <w:rPr>
          <w:rFonts w:asciiTheme="minorHAnsi" w:eastAsiaTheme="minorEastAsia" w:hAnsiTheme="minorHAnsi" w:cstheme="minorBidi"/>
          <w:noProof/>
          <w:kern w:val="0"/>
          <w:sz w:val="22"/>
          <w:szCs w:val="22"/>
        </w:rPr>
      </w:pPr>
      <w:r w:rsidRPr="00767FC2">
        <w:rPr>
          <w:noProof/>
        </w:rPr>
        <w:t xml:space="preserve">2  Calculation of adjusted contribution to net abatement amount from emissions avoidance for a calendar year, </w:t>
      </w:r>
      <w:r w:rsidRPr="00767FC2">
        <w:rPr>
          <w:i/>
          <w:noProof/>
        </w:rPr>
        <w:t>A</w:t>
      </w:r>
      <w:r w:rsidRPr="00767FC2">
        <w:rPr>
          <w:i/>
          <w:noProof/>
          <w:vertAlign w:val="subscript"/>
        </w:rPr>
        <w:t>EA,adj</w:t>
      </w:r>
      <w:r w:rsidRPr="00767FC2">
        <w:rPr>
          <w:noProof/>
        </w:rPr>
        <w:tab/>
      </w:r>
      <w:r w:rsidRPr="00767FC2">
        <w:rPr>
          <w:noProof/>
        </w:rPr>
        <w:fldChar w:fldCharType="begin"/>
      </w:r>
      <w:r w:rsidRPr="00767FC2">
        <w:rPr>
          <w:noProof/>
        </w:rPr>
        <w:instrText xml:space="preserve"> PAGEREF _Toc509567233 \h </w:instrText>
      </w:r>
      <w:r w:rsidRPr="00767FC2">
        <w:rPr>
          <w:noProof/>
        </w:rPr>
      </w:r>
      <w:r w:rsidRPr="00767FC2">
        <w:rPr>
          <w:noProof/>
        </w:rPr>
        <w:fldChar w:fldCharType="separate"/>
      </w:r>
      <w:r w:rsidR="00767FC2" w:rsidRPr="00767FC2">
        <w:rPr>
          <w:noProof/>
        </w:rPr>
        <w:t>29</w:t>
      </w:r>
      <w:r w:rsidRPr="00767FC2">
        <w:rPr>
          <w:noProof/>
        </w:rPr>
        <w:fldChar w:fldCharType="end"/>
      </w:r>
    </w:p>
    <w:p w14:paraId="1B7B2772" w14:textId="77777777" w:rsidR="00ED547C" w:rsidRPr="00767FC2" w:rsidRDefault="00ED547C">
      <w:pPr>
        <w:pStyle w:val="TOC5"/>
        <w:rPr>
          <w:rFonts w:asciiTheme="minorHAnsi" w:eastAsiaTheme="minorEastAsia" w:hAnsiTheme="minorHAnsi" w:cstheme="minorBidi"/>
          <w:noProof/>
          <w:kern w:val="0"/>
          <w:sz w:val="22"/>
          <w:szCs w:val="22"/>
        </w:rPr>
      </w:pPr>
      <w:r w:rsidRPr="00767FC2">
        <w:rPr>
          <w:noProof/>
        </w:rPr>
        <w:t xml:space="preserve">3  The previous year’s uncertainty buffer, </w:t>
      </w:r>
      <w:r w:rsidRPr="00767FC2">
        <w:rPr>
          <w:i/>
          <w:noProof/>
        </w:rPr>
        <w:t>B</w:t>
      </w:r>
      <w:r w:rsidRPr="00767FC2">
        <w:rPr>
          <w:i/>
          <w:noProof/>
          <w:vertAlign w:val="subscript"/>
        </w:rPr>
        <w:t>U,Prev</w:t>
      </w:r>
      <w:r w:rsidRPr="00767FC2">
        <w:rPr>
          <w:noProof/>
        </w:rPr>
        <w:tab/>
      </w:r>
      <w:r w:rsidRPr="00767FC2">
        <w:rPr>
          <w:noProof/>
        </w:rPr>
        <w:fldChar w:fldCharType="begin"/>
      </w:r>
      <w:r w:rsidRPr="00767FC2">
        <w:rPr>
          <w:noProof/>
        </w:rPr>
        <w:instrText xml:space="preserve"> PAGEREF _Toc509567234 \h </w:instrText>
      </w:r>
      <w:r w:rsidRPr="00767FC2">
        <w:rPr>
          <w:noProof/>
        </w:rPr>
      </w:r>
      <w:r w:rsidRPr="00767FC2">
        <w:rPr>
          <w:noProof/>
        </w:rPr>
        <w:fldChar w:fldCharType="separate"/>
      </w:r>
      <w:r w:rsidR="00767FC2" w:rsidRPr="00767FC2">
        <w:rPr>
          <w:noProof/>
        </w:rPr>
        <w:t>30</w:t>
      </w:r>
      <w:r w:rsidRPr="00767FC2">
        <w:rPr>
          <w:noProof/>
        </w:rPr>
        <w:fldChar w:fldCharType="end"/>
      </w:r>
    </w:p>
    <w:p w14:paraId="5EA4F35D" w14:textId="77777777" w:rsidR="00ED547C" w:rsidRPr="00767FC2" w:rsidRDefault="00ED547C">
      <w:pPr>
        <w:pStyle w:val="TOC5"/>
        <w:rPr>
          <w:rFonts w:asciiTheme="minorHAnsi" w:eastAsiaTheme="minorEastAsia" w:hAnsiTheme="minorHAnsi" w:cstheme="minorBidi"/>
          <w:noProof/>
          <w:kern w:val="0"/>
          <w:sz w:val="22"/>
          <w:szCs w:val="22"/>
        </w:rPr>
      </w:pPr>
      <w:r w:rsidRPr="00767FC2">
        <w:rPr>
          <w:noProof/>
        </w:rPr>
        <w:t xml:space="preserve">4  The contribution to the net abatement amount from emissions avoidance for a calendar year, </w:t>
      </w:r>
      <w:r w:rsidRPr="00767FC2">
        <w:rPr>
          <w:i/>
          <w:noProof/>
        </w:rPr>
        <w:t>A</w:t>
      </w:r>
      <w:r w:rsidRPr="00767FC2">
        <w:rPr>
          <w:i/>
          <w:noProof/>
          <w:vertAlign w:val="subscript"/>
        </w:rPr>
        <w:t>EA</w:t>
      </w:r>
      <w:r w:rsidRPr="00767FC2">
        <w:rPr>
          <w:noProof/>
        </w:rPr>
        <w:tab/>
      </w:r>
      <w:r w:rsidRPr="00767FC2">
        <w:rPr>
          <w:noProof/>
        </w:rPr>
        <w:fldChar w:fldCharType="begin"/>
      </w:r>
      <w:r w:rsidRPr="00767FC2">
        <w:rPr>
          <w:noProof/>
        </w:rPr>
        <w:instrText xml:space="preserve"> PAGEREF _Toc509567235 \h </w:instrText>
      </w:r>
      <w:r w:rsidRPr="00767FC2">
        <w:rPr>
          <w:noProof/>
        </w:rPr>
      </w:r>
      <w:r w:rsidRPr="00767FC2">
        <w:rPr>
          <w:noProof/>
        </w:rPr>
        <w:fldChar w:fldCharType="separate"/>
      </w:r>
      <w:r w:rsidR="00767FC2" w:rsidRPr="00767FC2">
        <w:rPr>
          <w:noProof/>
        </w:rPr>
        <w:t>31</w:t>
      </w:r>
      <w:r w:rsidRPr="00767FC2">
        <w:rPr>
          <w:noProof/>
        </w:rPr>
        <w:fldChar w:fldCharType="end"/>
      </w:r>
    </w:p>
    <w:p w14:paraId="79192467" w14:textId="77777777" w:rsidR="00ED547C" w:rsidRPr="00767FC2" w:rsidRDefault="00ED547C">
      <w:pPr>
        <w:pStyle w:val="TOC5"/>
        <w:rPr>
          <w:rFonts w:asciiTheme="minorHAnsi" w:eastAsiaTheme="minorEastAsia" w:hAnsiTheme="minorHAnsi" w:cstheme="minorBidi"/>
          <w:noProof/>
          <w:kern w:val="0"/>
          <w:sz w:val="22"/>
          <w:szCs w:val="22"/>
        </w:rPr>
      </w:pPr>
      <w:r w:rsidRPr="00767FC2">
        <w:rPr>
          <w:noProof/>
        </w:rPr>
        <w:t xml:space="preserve">5  The uncertainty buffer cap for a calendar year, </w:t>
      </w:r>
      <w:r w:rsidRPr="00767FC2">
        <w:rPr>
          <w:i/>
          <w:noProof/>
        </w:rPr>
        <w:t>B</w:t>
      </w:r>
      <w:r w:rsidRPr="00767FC2">
        <w:rPr>
          <w:i/>
          <w:noProof/>
          <w:vertAlign w:val="subscript"/>
        </w:rPr>
        <w:t>U,Cap</w:t>
      </w:r>
      <w:r w:rsidRPr="00767FC2">
        <w:rPr>
          <w:noProof/>
        </w:rPr>
        <w:tab/>
      </w:r>
      <w:r w:rsidRPr="00767FC2">
        <w:rPr>
          <w:noProof/>
        </w:rPr>
        <w:fldChar w:fldCharType="begin"/>
      </w:r>
      <w:r w:rsidRPr="00767FC2">
        <w:rPr>
          <w:noProof/>
        </w:rPr>
        <w:instrText xml:space="preserve"> PAGEREF _Toc509567236 \h </w:instrText>
      </w:r>
      <w:r w:rsidRPr="00767FC2">
        <w:rPr>
          <w:noProof/>
        </w:rPr>
      </w:r>
      <w:r w:rsidRPr="00767FC2">
        <w:rPr>
          <w:noProof/>
        </w:rPr>
        <w:fldChar w:fldCharType="separate"/>
      </w:r>
      <w:r w:rsidR="00767FC2" w:rsidRPr="00767FC2">
        <w:rPr>
          <w:noProof/>
        </w:rPr>
        <w:t>31</w:t>
      </w:r>
      <w:r w:rsidRPr="00767FC2">
        <w:rPr>
          <w:noProof/>
        </w:rPr>
        <w:fldChar w:fldCharType="end"/>
      </w:r>
    </w:p>
    <w:p w14:paraId="549679A7" w14:textId="77777777" w:rsidR="00ED547C" w:rsidRPr="00767FC2" w:rsidRDefault="00ED547C">
      <w:pPr>
        <w:pStyle w:val="TOC5"/>
        <w:rPr>
          <w:rFonts w:asciiTheme="minorHAnsi" w:eastAsiaTheme="minorEastAsia" w:hAnsiTheme="minorHAnsi" w:cstheme="minorBidi"/>
          <w:noProof/>
          <w:kern w:val="0"/>
          <w:sz w:val="22"/>
          <w:szCs w:val="22"/>
        </w:rPr>
      </w:pPr>
      <w:r w:rsidRPr="00767FC2">
        <w:rPr>
          <w:noProof/>
        </w:rPr>
        <w:t>6  Mean annual baseline fire emissions</w:t>
      </w:r>
      <w:r w:rsidRPr="00767FC2">
        <w:rPr>
          <w:noProof/>
        </w:rPr>
        <w:tab/>
      </w:r>
      <w:r w:rsidRPr="00767FC2">
        <w:rPr>
          <w:noProof/>
        </w:rPr>
        <w:fldChar w:fldCharType="begin"/>
      </w:r>
      <w:r w:rsidRPr="00767FC2">
        <w:rPr>
          <w:noProof/>
        </w:rPr>
        <w:instrText xml:space="preserve"> PAGEREF _Toc509567237 \h </w:instrText>
      </w:r>
      <w:r w:rsidRPr="00767FC2">
        <w:rPr>
          <w:noProof/>
        </w:rPr>
      </w:r>
      <w:r w:rsidRPr="00767FC2">
        <w:rPr>
          <w:noProof/>
        </w:rPr>
        <w:fldChar w:fldCharType="separate"/>
      </w:r>
      <w:r w:rsidR="00767FC2" w:rsidRPr="00767FC2">
        <w:rPr>
          <w:noProof/>
        </w:rPr>
        <w:t>31</w:t>
      </w:r>
      <w:r w:rsidRPr="00767FC2">
        <w:rPr>
          <w:noProof/>
        </w:rPr>
        <w:fldChar w:fldCharType="end"/>
      </w:r>
    </w:p>
    <w:p w14:paraId="2BC5EDC9" w14:textId="77777777" w:rsidR="00ED547C" w:rsidRPr="00767FC2" w:rsidRDefault="00ED547C">
      <w:pPr>
        <w:pStyle w:val="TOC5"/>
        <w:rPr>
          <w:rFonts w:asciiTheme="minorHAnsi" w:eastAsiaTheme="minorEastAsia" w:hAnsiTheme="minorHAnsi" w:cstheme="minorBidi"/>
          <w:noProof/>
          <w:kern w:val="0"/>
          <w:sz w:val="22"/>
          <w:szCs w:val="22"/>
        </w:rPr>
      </w:pPr>
      <w:r w:rsidRPr="00767FC2">
        <w:rPr>
          <w:noProof/>
        </w:rPr>
        <w:t xml:space="preserve">7  Fire emissions for a calendar year, </w:t>
      </w:r>
      <w:r w:rsidRPr="00767FC2">
        <w:rPr>
          <w:i/>
          <w:noProof/>
        </w:rPr>
        <w:t>E</w:t>
      </w:r>
      <w:r w:rsidRPr="00767FC2">
        <w:rPr>
          <w:i/>
          <w:noProof/>
          <w:vertAlign w:val="subscript"/>
        </w:rPr>
        <w:t>F</w:t>
      </w:r>
      <w:r w:rsidRPr="00767FC2">
        <w:rPr>
          <w:noProof/>
        </w:rPr>
        <w:tab/>
      </w:r>
      <w:r w:rsidRPr="00767FC2">
        <w:rPr>
          <w:noProof/>
        </w:rPr>
        <w:fldChar w:fldCharType="begin"/>
      </w:r>
      <w:r w:rsidRPr="00767FC2">
        <w:rPr>
          <w:noProof/>
        </w:rPr>
        <w:instrText xml:space="preserve"> PAGEREF _Toc509567238 \h </w:instrText>
      </w:r>
      <w:r w:rsidRPr="00767FC2">
        <w:rPr>
          <w:noProof/>
        </w:rPr>
      </w:r>
      <w:r w:rsidRPr="00767FC2">
        <w:rPr>
          <w:noProof/>
        </w:rPr>
        <w:fldChar w:fldCharType="separate"/>
      </w:r>
      <w:r w:rsidR="00767FC2" w:rsidRPr="00767FC2">
        <w:rPr>
          <w:noProof/>
        </w:rPr>
        <w:t>32</w:t>
      </w:r>
      <w:r w:rsidRPr="00767FC2">
        <w:rPr>
          <w:noProof/>
        </w:rPr>
        <w:fldChar w:fldCharType="end"/>
      </w:r>
    </w:p>
    <w:p w14:paraId="634003FF" w14:textId="77777777" w:rsidR="00ED547C" w:rsidRPr="00767FC2" w:rsidRDefault="00ED547C">
      <w:pPr>
        <w:pStyle w:val="TOC5"/>
        <w:rPr>
          <w:rFonts w:asciiTheme="minorHAnsi" w:eastAsiaTheme="minorEastAsia" w:hAnsiTheme="minorHAnsi" w:cstheme="minorBidi"/>
          <w:noProof/>
          <w:kern w:val="0"/>
          <w:sz w:val="22"/>
          <w:szCs w:val="22"/>
        </w:rPr>
      </w:pPr>
      <w:r w:rsidRPr="00767FC2">
        <w:rPr>
          <w:noProof/>
        </w:rPr>
        <w:t>8  Fuel loads—shrub fuel and fine fuel</w:t>
      </w:r>
      <w:r w:rsidRPr="00767FC2">
        <w:rPr>
          <w:noProof/>
        </w:rPr>
        <w:tab/>
      </w:r>
      <w:r w:rsidRPr="00767FC2">
        <w:rPr>
          <w:noProof/>
        </w:rPr>
        <w:fldChar w:fldCharType="begin"/>
      </w:r>
      <w:r w:rsidRPr="00767FC2">
        <w:rPr>
          <w:noProof/>
        </w:rPr>
        <w:instrText xml:space="preserve"> PAGEREF _Toc509567239 \h </w:instrText>
      </w:r>
      <w:r w:rsidRPr="00767FC2">
        <w:rPr>
          <w:noProof/>
        </w:rPr>
      </w:r>
      <w:r w:rsidRPr="00767FC2">
        <w:rPr>
          <w:noProof/>
        </w:rPr>
        <w:fldChar w:fldCharType="separate"/>
      </w:r>
      <w:r w:rsidR="00767FC2" w:rsidRPr="00767FC2">
        <w:rPr>
          <w:noProof/>
        </w:rPr>
        <w:t>33</w:t>
      </w:r>
      <w:r w:rsidRPr="00767FC2">
        <w:rPr>
          <w:noProof/>
        </w:rPr>
        <w:fldChar w:fldCharType="end"/>
      </w:r>
    </w:p>
    <w:p w14:paraId="29E62E85" w14:textId="77777777" w:rsidR="00ED547C" w:rsidRPr="00767FC2" w:rsidRDefault="00ED547C">
      <w:pPr>
        <w:pStyle w:val="TOC5"/>
        <w:rPr>
          <w:rFonts w:asciiTheme="minorHAnsi" w:eastAsiaTheme="minorEastAsia" w:hAnsiTheme="minorHAnsi" w:cstheme="minorBidi"/>
          <w:noProof/>
          <w:kern w:val="0"/>
          <w:sz w:val="22"/>
          <w:szCs w:val="22"/>
        </w:rPr>
      </w:pPr>
      <w:r w:rsidRPr="00767FC2">
        <w:rPr>
          <w:noProof/>
        </w:rPr>
        <w:t>9  Fuel loads—coarse fuel and heavy fuel</w:t>
      </w:r>
      <w:r w:rsidRPr="00767FC2">
        <w:rPr>
          <w:noProof/>
        </w:rPr>
        <w:tab/>
      </w:r>
      <w:r w:rsidRPr="00767FC2">
        <w:rPr>
          <w:noProof/>
        </w:rPr>
        <w:fldChar w:fldCharType="begin"/>
      </w:r>
      <w:r w:rsidRPr="00767FC2">
        <w:rPr>
          <w:noProof/>
        </w:rPr>
        <w:instrText xml:space="preserve"> PAGEREF _Toc509567240 \h </w:instrText>
      </w:r>
      <w:r w:rsidRPr="00767FC2">
        <w:rPr>
          <w:noProof/>
        </w:rPr>
      </w:r>
      <w:r w:rsidRPr="00767FC2">
        <w:rPr>
          <w:noProof/>
        </w:rPr>
        <w:fldChar w:fldCharType="separate"/>
      </w:r>
      <w:r w:rsidR="00767FC2" w:rsidRPr="00767FC2">
        <w:rPr>
          <w:noProof/>
        </w:rPr>
        <w:t>34</w:t>
      </w:r>
      <w:r w:rsidRPr="00767FC2">
        <w:rPr>
          <w:noProof/>
        </w:rPr>
        <w:fldChar w:fldCharType="end"/>
      </w:r>
    </w:p>
    <w:p w14:paraId="7E9378D5" w14:textId="77777777" w:rsidR="00ED547C" w:rsidRPr="00767FC2" w:rsidRDefault="00ED547C">
      <w:pPr>
        <w:pStyle w:val="TOC3"/>
        <w:rPr>
          <w:rFonts w:asciiTheme="minorHAnsi" w:eastAsiaTheme="minorEastAsia" w:hAnsiTheme="minorHAnsi" w:cstheme="minorBidi"/>
          <w:b w:val="0"/>
          <w:noProof/>
          <w:kern w:val="0"/>
          <w:szCs w:val="22"/>
        </w:rPr>
      </w:pPr>
      <w:r w:rsidRPr="00767FC2">
        <w:rPr>
          <w:noProof/>
        </w:rPr>
        <w:t>Division 3—Adjustments to calculations</w:t>
      </w:r>
      <w:r w:rsidRPr="00767FC2">
        <w:rPr>
          <w:noProof/>
        </w:rPr>
        <w:tab/>
      </w:r>
      <w:r w:rsidRPr="00767FC2">
        <w:rPr>
          <w:noProof/>
        </w:rPr>
        <w:fldChar w:fldCharType="begin"/>
      </w:r>
      <w:r w:rsidRPr="00767FC2">
        <w:rPr>
          <w:noProof/>
        </w:rPr>
        <w:instrText xml:space="preserve"> PAGEREF _Toc509567241 \h </w:instrText>
      </w:r>
      <w:r w:rsidRPr="00767FC2">
        <w:rPr>
          <w:noProof/>
        </w:rPr>
      </w:r>
      <w:r w:rsidRPr="00767FC2">
        <w:rPr>
          <w:noProof/>
        </w:rPr>
        <w:fldChar w:fldCharType="separate"/>
      </w:r>
      <w:r w:rsidR="00767FC2" w:rsidRPr="00767FC2">
        <w:rPr>
          <w:noProof/>
        </w:rPr>
        <w:t>37</w:t>
      </w:r>
      <w:r w:rsidRPr="00767FC2">
        <w:rPr>
          <w:noProof/>
        </w:rPr>
        <w:fldChar w:fldCharType="end"/>
      </w:r>
    </w:p>
    <w:p w14:paraId="7A8F7F62" w14:textId="77777777" w:rsidR="00ED547C" w:rsidRPr="00767FC2" w:rsidRDefault="00ED547C">
      <w:pPr>
        <w:pStyle w:val="TOC5"/>
        <w:rPr>
          <w:rFonts w:asciiTheme="minorHAnsi" w:eastAsiaTheme="minorEastAsia" w:hAnsiTheme="minorHAnsi" w:cstheme="minorBidi"/>
          <w:noProof/>
          <w:kern w:val="0"/>
          <w:sz w:val="22"/>
          <w:szCs w:val="22"/>
        </w:rPr>
      </w:pPr>
      <w:r w:rsidRPr="00767FC2">
        <w:rPr>
          <w:noProof/>
        </w:rPr>
        <w:t>10  Adjustments resulting from project area spanning rainfall zones</w:t>
      </w:r>
      <w:r w:rsidRPr="00767FC2">
        <w:rPr>
          <w:noProof/>
        </w:rPr>
        <w:tab/>
      </w:r>
      <w:r w:rsidRPr="00767FC2">
        <w:rPr>
          <w:noProof/>
        </w:rPr>
        <w:fldChar w:fldCharType="begin"/>
      </w:r>
      <w:r w:rsidRPr="00767FC2">
        <w:rPr>
          <w:noProof/>
        </w:rPr>
        <w:instrText xml:space="preserve"> PAGEREF _Toc509567242 \h </w:instrText>
      </w:r>
      <w:r w:rsidRPr="00767FC2">
        <w:rPr>
          <w:noProof/>
        </w:rPr>
      </w:r>
      <w:r w:rsidRPr="00767FC2">
        <w:rPr>
          <w:noProof/>
        </w:rPr>
        <w:fldChar w:fldCharType="separate"/>
      </w:r>
      <w:r w:rsidR="00767FC2" w:rsidRPr="00767FC2">
        <w:rPr>
          <w:noProof/>
        </w:rPr>
        <w:t>37</w:t>
      </w:r>
      <w:r w:rsidRPr="00767FC2">
        <w:rPr>
          <w:noProof/>
        </w:rPr>
        <w:fldChar w:fldCharType="end"/>
      </w:r>
    </w:p>
    <w:p w14:paraId="6E16C41E" w14:textId="77777777" w:rsidR="00ED547C" w:rsidRPr="00767FC2" w:rsidRDefault="00ED547C">
      <w:pPr>
        <w:pStyle w:val="TOC5"/>
        <w:rPr>
          <w:rFonts w:asciiTheme="minorHAnsi" w:eastAsiaTheme="minorEastAsia" w:hAnsiTheme="minorHAnsi" w:cstheme="minorBidi"/>
          <w:noProof/>
          <w:kern w:val="0"/>
          <w:sz w:val="22"/>
          <w:szCs w:val="22"/>
        </w:rPr>
      </w:pPr>
      <w:r w:rsidRPr="00767FC2">
        <w:rPr>
          <w:noProof/>
        </w:rPr>
        <w:t>11  Adjustments resulting from lack of fire activity</w:t>
      </w:r>
      <w:r w:rsidRPr="00767FC2">
        <w:rPr>
          <w:noProof/>
        </w:rPr>
        <w:tab/>
      </w:r>
      <w:r w:rsidRPr="00767FC2">
        <w:rPr>
          <w:noProof/>
        </w:rPr>
        <w:fldChar w:fldCharType="begin"/>
      </w:r>
      <w:r w:rsidRPr="00767FC2">
        <w:rPr>
          <w:noProof/>
        </w:rPr>
        <w:instrText xml:space="preserve"> PAGEREF _Toc509567243 \h </w:instrText>
      </w:r>
      <w:r w:rsidRPr="00767FC2">
        <w:rPr>
          <w:noProof/>
        </w:rPr>
      </w:r>
      <w:r w:rsidRPr="00767FC2">
        <w:rPr>
          <w:noProof/>
        </w:rPr>
        <w:fldChar w:fldCharType="separate"/>
      </w:r>
      <w:r w:rsidR="00767FC2" w:rsidRPr="00767FC2">
        <w:rPr>
          <w:noProof/>
        </w:rPr>
        <w:t>37</w:t>
      </w:r>
      <w:r w:rsidRPr="00767FC2">
        <w:rPr>
          <w:noProof/>
        </w:rPr>
        <w:fldChar w:fldCharType="end"/>
      </w:r>
    </w:p>
    <w:p w14:paraId="7A6E93ED" w14:textId="77777777" w:rsidR="00ED547C" w:rsidRPr="00767FC2" w:rsidRDefault="00ED547C">
      <w:pPr>
        <w:pStyle w:val="TOC5"/>
        <w:rPr>
          <w:rFonts w:asciiTheme="minorHAnsi" w:eastAsiaTheme="minorEastAsia" w:hAnsiTheme="minorHAnsi" w:cstheme="minorBidi"/>
          <w:noProof/>
          <w:kern w:val="0"/>
          <w:sz w:val="22"/>
          <w:szCs w:val="22"/>
        </w:rPr>
      </w:pPr>
      <w:r w:rsidRPr="00767FC2">
        <w:rPr>
          <w:noProof/>
        </w:rPr>
        <w:t>12  Adjustments resulting from subdivided project areas</w:t>
      </w:r>
      <w:r w:rsidRPr="00767FC2">
        <w:rPr>
          <w:noProof/>
        </w:rPr>
        <w:tab/>
      </w:r>
      <w:r w:rsidRPr="00767FC2">
        <w:rPr>
          <w:noProof/>
        </w:rPr>
        <w:fldChar w:fldCharType="begin"/>
      </w:r>
      <w:r w:rsidRPr="00767FC2">
        <w:rPr>
          <w:noProof/>
        </w:rPr>
        <w:instrText xml:space="preserve"> PAGEREF _Toc509567244 \h </w:instrText>
      </w:r>
      <w:r w:rsidRPr="00767FC2">
        <w:rPr>
          <w:noProof/>
        </w:rPr>
      </w:r>
      <w:r w:rsidRPr="00767FC2">
        <w:rPr>
          <w:noProof/>
        </w:rPr>
        <w:fldChar w:fldCharType="separate"/>
      </w:r>
      <w:r w:rsidR="00767FC2" w:rsidRPr="00767FC2">
        <w:rPr>
          <w:noProof/>
        </w:rPr>
        <w:t>37</w:t>
      </w:r>
      <w:r w:rsidRPr="00767FC2">
        <w:rPr>
          <w:noProof/>
        </w:rPr>
        <w:fldChar w:fldCharType="end"/>
      </w:r>
    </w:p>
    <w:p w14:paraId="7F2DF3FD" w14:textId="77777777" w:rsidR="00536929" w:rsidRPr="00767FC2" w:rsidRDefault="0028152C" w:rsidP="00536929">
      <w:pPr>
        <w:spacing w:line="240" w:lineRule="auto"/>
      </w:pPr>
      <w:r w:rsidRPr="00767FC2">
        <w:fldChar w:fldCharType="end"/>
      </w:r>
      <w:r w:rsidR="00536929" w:rsidRPr="00767FC2">
        <w:br w:type="page"/>
      </w:r>
    </w:p>
    <w:p w14:paraId="20F62BB8" w14:textId="77777777" w:rsidR="00F47AAB" w:rsidRPr="00767FC2" w:rsidRDefault="001626C4" w:rsidP="00C46149">
      <w:pPr>
        <w:pStyle w:val="h2Part"/>
      </w:pPr>
      <w:bookmarkStart w:id="3" w:name="_Toc509567172"/>
      <w:r w:rsidRPr="00767FC2">
        <w:lastRenderedPageBreak/>
        <w:t>Part 1</w:t>
      </w:r>
      <w:r w:rsidR="00C46149" w:rsidRPr="00767FC2">
        <w:t>—</w:t>
      </w:r>
      <w:bookmarkStart w:id="4" w:name="_Toc405889304"/>
      <w:r w:rsidR="00F47AAB" w:rsidRPr="00767FC2">
        <w:t>Preliminary</w:t>
      </w:r>
      <w:bookmarkEnd w:id="3"/>
      <w:bookmarkEnd w:id="4"/>
    </w:p>
    <w:p w14:paraId="1EF80099" w14:textId="77777777" w:rsidR="00F47AAB" w:rsidRPr="00767FC2" w:rsidRDefault="001626C4" w:rsidP="00AD7BE4">
      <w:pPr>
        <w:pStyle w:val="h5Section"/>
      </w:pPr>
      <w:bookmarkStart w:id="5" w:name="_Toc405889305"/>
      <w:bookmarkStart w:id="6" w:name="_Toc509567173"/>
      <w:proofErr w:type="gramStart"/>
      <w:r w:rsidRPr="00767FC2">
        <w:t>1</w:t>
      </w:r>
      <w:r w:rsidR="00AD7BE4" w:rsidRPr="00767FC2">
        <w:t xml:space="preserve"> </w:t>
      </w:r>
      <w:r w:rsidR="004040B2" w:rsidRPr="00767FC2">
        <w:t xml:space="preserve"> </w:t>
      </w:r>
      <w:r w:rsidR="00F47AAB" w:rsidRPr="00767FC2">
        <w:t>Name</w:t>
      </w:r>
      <w:bookmarkEnd w:id="5"/>
      <w:bookmarkEnd w:id="6"/>
      <w:proofErr w:type="gramEnd"/>
    </w:p>
    <w:p w14:paraId="2B3B9D63" w14:textId="77777777" w:rsidR="00F47AAB" w:rsidRPr="00767FC2" w:rsidRDefault="00F47AAB" w:rsidP="00F47AAB">
      <w:pPr>
        <w:pStyle w:val="tMain"/>
      </w:pPr>
      <w:r w:rsidRPr="00767FC2">
        <w:tab/>
      </w:r>
      <w:r w:rsidRPr="00767FC2">
        <w:tab/>
        <w:t xml:space="preserve">This is the </w:t>
      </w:r>
      <w:bookmarkStart w:id="7" w:name="BKCheck15B_3"/>
      <w:bookmarkEnd w:id="7"/>
      <w:r w:rsidR="00964086" w:rsidRPr="00767FC2">
        <w:rPr>
          <w:i/>
          <w:noProof/>
        </w:rPr>
        <w:t>Carbon Credits (Carbon Farming Initiative—Savanna Fire Management—Emissions Avoidance) Methodology Determination 2018</w:t>
      </w:r>
      <w:r w:rsidRPr="00767FC2">
        <w:t>.</w:t>
      </w:r>
    </w:p>
    <w:p w14:paraId="2911B476" w14:textId="77777777" w:rsidR="00AD7BE4" w:rsidRPr="00767FC2" w:rsidRDefault="001626C4" w:rsidP="00AD7BE4">
      <w:pPr>
        <w:pStyle w:val="h5Section"/>
      </w:pPr>
      <w:bookmarkStart w:id="8" w:name="_Toc405889306"/>
      <w:bookmarkStart w:id="9" w:name="_Toc509567174"/>
      <w:proofErr w:type="gramStart"/>
      <w:r w:rsidRPr="00767FC2">
        <w:t>2</w:t>
      </w:r>
      <w:r w:rsidR="00AD7BE4" w:rsidRPr="00767FC2">
        <w:t xml:space="preserve">  Commencement</w:t>
      </w:r>
      <w:bookmarkEnd w:id="8"/>
      <w:bookmarkEnd w:id="9"/>
      <w:proofErr w:type="gramEnd"/>
    </w:p>
    <w:p w14:paraId="2744D003" w14:textId="77777777" w:rsidR="00AD7BE4" w:rsidRPr="00767FC2" w:rsidRDefault="00AD7BE4" w:rsidP="00AD7BE4">
      <w:pPr>
        <w:pStyle w:val="tMain"/>
      </w:pPr>
      <w:r w:rsidRPr="00767FC2">
        <w:tab/>
      </w:r>
      <w:r w:rsidRPr="00767FC2">
        <w:tab/>
        <w:t xml:space="preserve">This </w:t>
      </w:r>
      <w:r w:rsidR="00FC6116" w:rsidRPr="00767FC2">
        <w:t>determination</w:t>
      </w:r>
      <w:r w:rsidRPr="00767FC2">
        <w:t xml:space="preserve"> commences on the day after it is registered.</w:t>
      </w:r>
    </w:p>
    <w:p w14:paraId="15ECBEF6" w14:textId="77777777" w:rsidR="00AD7BE4" w:rsidRPr="00767FC2" w:rsidRDefault="001626C4" w:rsidP="00AD7BE4">
      <w:pPr>
        <w:pStyle w:val="h5Section"/>
      </w:pPr>
      <w:bookmarkStart w:id="10" w:name="_Toc405889307"/>
      <w:bookmarkStart w:id="11" w:name="_Toc509567175"/>
      <w:proofErr w:type="gramStart"/>
      <w:r w:rsidRPr="00767FC2">
        <w:t>3</w:t>
      </w:r>
      <w:r w:rsidR="00AD7BE4" w:rsidRPr="00767FC2">
        <w:t xml:space="preserve">  Authority</w:t>
      </w:r>
      <w:bookmarkEnd w:id="10"/>
      <w:bookmarkEnd w:id="11"/>
      <w:proofErr w:type="gramEnd"/>
    </w:p>
    <w:p w14:paraId="36669BDD" w14:textId="77777777" w:rsidR="00AD7BE4" w:rsidRPr="00767FC2" w:rsidRDefault="00AD7BE4" w:rsidP="00AD7BE4">
      <w:pPr>
        <w:pStyle w:val="tMain"/>
      </w:pPr>
      <w:r w:rsidRPr="00767FC2">
        <w:tab/>
      </w:r>
      <w:r w:rsidRPr="00767FC2">
        <w:tab/>
        <w:t xml:space="preserve">This </w:t>
      </w:r>
      <w:r w:rsidR="00FC6116" w:rsidRPr="00767FC2">
        <w:t>determination</w:t>
      </w:r>
      <w:r w:rsidRPr="00767FC2">
        <w:t xml:space="preserve"> is made under subsection 106(1) of the </w:t>
      </w:r>
      <w:r w:rsidRPr="00767FC2">
        <w:rPr>
          <w:i/>
        </w:rPr>
        <w:t>Carbon Credits (Carbon Farming Initiative) Act 2011</w:t>
      </w:r>
      <w:r w:rsidRPr="00767FC2">
        <w:t>.</w:t>
      </w:r>
    </w:p>
    <w:p w14:paraId="1976457A" w14:textId="77777777" w:rsidR="00AD7BE4" w:rsidRPr="00767FC2" w:rsidRDefault="001626C4" w:rsidP="00AD7BE4">
      <w:pPr>
        <w:pStyle w:val="h5Section"/>
      </w:pPr>
      <w:bookmarkStart w:id="12" w:name="_Toc405889308"/>
      <w:bookmarkStart w:id="13" w:name="_Toc509567176"/>
      <w:proofErr w:type="gramStart"/>
      <w:r w:rsidRPr="00767FC2">
        <w:t>4</w:t>
      </w:r>
      <w:r w:rsidR="00AD7BE4" w:rsidRPr="00767FC2">
        <w:t xml:space="preserve">  Duration</w:t>
      </w:r>
      <w:bookmarkEnd w:id="12"/>
      <w:bookmarkEnd w:id="13"/>
      <w:proofErr w:type="gramEnd"/>
    </w:p>
    <w:p w14:paraId="69542B24" w14:textId="77777777" w:rsidR="00AD7BE4" w:rsidRPr="00767FC2" w:rsidRDefault="00AD7BE4" w:rsidP="00AD7BE4">
      <w:pPr>
        <w:pStyle w:val="tMain"/>
      </w:pPr>
      <w:r w:rsidRPr="00767FC2">
        <w:tab/>
      </w:r>
      <w:r w:rsidRPr="00767FC2">
        <w:tab/>
        <w:t xml:space="preserve">This </w:t>
      </w:r>
      <w:r w:rsidR="00FC6116" w:rsidRPr="00767FC2">
        <w:t>determination</w:t>
      </w:r>
      <w:r w:rsidRPr="00767FC2">
        <w:t xml:space="preserve"> remains in force for the period that:</w:t>
      </w:r>
    </w:p>
    <w:p w14:paraId="5D07EB67" w14:textId="77777777" w:rsidR="00AD7BE4" w:rsidRPr="00767FC2" w:rsidRDefault="00AD7BE4" w:rsidP="00AD7BE4">
      <w:pPr>
        <w:pStyle w:val="tPara"/>
      </w:pPr>
      <w:r w:rsidRPr="00767FC2">
        <w:tab/>
      </w:r>
      <w:r w:rsidR="001626C4" w:rsidRPr="00767FC2">
        <w:t>(a)</w:t>
      </w:r>
      <w:r w:rsidRPr="00767FC2">
        <w:tab/>
      </w:r>
      <w:proofErr w:type="gramStart"/>
      <w:r w:rsidRPr="00767FC2">
        <w:t>begins</w:t>
      </w:r>
      <w:proofErr w:type="gramEnd"/>
      <w:r w:rsidRPr="00767FC2">
        <w:t xml:space="preserve"> when this instrument commences; and</w:t>
      </w:r>
    </w:p>
    <w:p w14:paraId="13DEBAC4" w14:textId="77777777" w:rsidR="00AD7BE4" w:rsidRPr="00767FC2" w:rsidRDefault="00AD7BE4" w:rsidP="00AD7BE4">
      <w:pPr>
        <w:pStyle w:val="tPara"/>
      </w:pPr>
      <w:r w:rsidRPr="00767FC2">
        <w:tab/>
      </w:r>
      <w:r w:rsidR="001626C4" w:rsidRPr="00767FC2">
        <w:t>(b)</w:t>
      </w:r>
      <w:r w:rsidRPr="00767FC2">
        <w:tab/>
      </w:r>
      <w:proofErr w:type="gramStart"/>
      <w:r w:rsidRPr="00767FC2">
        <w:t>ends</w:t>
      </w:r>
      <w:proofErr w:type="gramEnd"/>
      <w:r w:rsidRPr="00767FC2">
        <w:t xml:space="preserve"> on the day before this instrument would otherwise be repealed under subsection 50(1) of the </w:t>
      </w:r>
      <w:r w:rsidR="00C53E70" w:rsidRPr="00767FC2">
        <w:rPr>
          <w:i/>
        </w:rPr>
        <w:t>Legislation</w:t>
      </w:r>
      <w:r w:rsidRPr="00767FC2">
        <w:rPr>
          <w:i/>
        </w:rPr>
        <w:t xml:space="preserve"> Act 2003</w:t>
      </w:r>
      <w:r w:rsidRPr="00767FC2">
        <w:t>.</w:t>
      </w:r>
    </w:p>
    <w:p w14:paraId="62AFBDB4" w14:textId="77777777" w:rsidR="00AD7BE4" w:rsidRPr="00767FC2" w:rsidRDefault="001626C4" w:rsidP="00AD7BE4">
      <w:pPr>
        <w:pStyle w:val="h5Section"/>
      </w:pPr>
      <w:bookmarkStart w:id="14" w:name="_Toc405889309"/>
      <w:bookmarkStart w:id="15" w:name="_Toc509567177"/>
      <w:proofErr w:type="gramStart"/>
      <w:r w:rsidRPr="00767FC2">
        <w:t>5</w:t>
      </w:r>
      <w:r w:rsidR="00AD7BE4" w:rsidRPr="00767FC2">
        <w:t xml:space="preserve">  Definitions</w:t>
      </w:r>
      <w:bookmarkEnd w:id="14"/>
      <w:bookmarkEnd w:id="15"/>
      <w:proofErr w:type="gramEnd"/>
    </w:p>
    <w:p w14:paraId="0B0D8DB1" w14:textId="77777777" w:rsidR="00AD7BE4" w:rsidRPr="00767FC2" w:rsidRDefault="00AD7BE4" w:rsidP="00AD7BE4">
      <w:pPr>
        <w:pStyle w:val="tMain"/>
      </w:pPr>
      <w:r w:rsidRPr="00767FC2">
        <w:tab/>
      </w:r>
      <w:r w:rsidRPr="00767FC2">
        <w:tab/>
        <w:t xml:space="preserve">In this </w:t>
      </w:r>
      <w:r w:rsidR="00FC6116" w:rsidRPr="00767FC2">
        <w:t>determination</w:t>
      </w:r>
      <w:r w:rsidRPr="00767FC2">
        <w:t>:</w:t>
      </w:r>
    </w:p>
    <w:p w14:paraId="220176FA" w14:textId="77777777" w:rsidR="00F74C1D" w:rsidRPr="00767FC2" w:rsidRDefault="00F74C1D" w:rsidP="00F74C1D">
      <w:pPr>
        <w:pStyle w:val="tDefn"/>
      </w:pPr>
      <w:r w:rsidRPr="00767FC2">
        <w:rPr>
          <w:b/>
          <w:i/>
        </w:rPr>
        <w:t>Act</w:t>
      </w:r>
      <w:r w:rsidRPr="00767FC2">
        <w:t xml:space="preserve"> means the </w:t>
      </w:r>
      <w:r w:rsidRPr="00767FC2">
        <w:rPr>
          <w:i/>
        </w:rPr>
        <w:t>Carbon Credits (Carbon Farming Initiative) Act 2011</w:t>
      </w:r>
      <w:r w:rsidRPr="00767FC2">
        <w:t>.</w:t>
      </w:r>
    </w:p>
    <w:p w14:paraId="2D3E06B9" w14:textId="77777777" w:rsidR="00F74C1D" w:rsidRPr="00767FC2" w:rsidRDefault="00F74C1D" w:rsidP="00F74C1D">
      <w:pPr>
        <w:pStyle w:val="tDefn"/>
      </w:pPr>
      <w:proofErr w:type="gramStart"/>
      <w:r w:rsidRPr="00767FC2">
        <w:rPr>
          <w:b/>
          <w:i/>
        </w:rPr>
        <w:t>baseline</w:t>
      </w:r>
      <w:proofErr w:type="gramEnd"/>
      <w:r w:rsidRPr="00767FC2">
        <w:rPr>
          <w:b/>
          <w:i/>
        </w:rPr>
        <w:t xml:space="preserve"> period</w:t>
      </w:r>
      <w:r w:rsidRPr="00767FC2">
        <w:t xml:space="preserve">, for a project area </w:t>
      </w:r>
      <w:r w:rsidR="00316DB4" w:rsidRPr="00767FC2">
        <w:t>or a part of a project area</w:t>
      </w:r>
      <w:r w:rsidRPr="00767FC2">
        <w:t xml:space="preserve">—see section </w:t>
      </w:r>
      <w:r w:rsidR="00964086" w:rsidRPr="00767FC2">
        <w:t>8</w:t>
      </w:r>
      <w:r w:rsidR="002F35B2" w:rsidRPr="00767FC2">
        <w:t xml:space="preserve"> and (for land within a transferring project area) section </w:t>
      </w:r>
      <w:r w:rsidR="00964086" w:rsidRPr="00767FC2">
        <w:t>26</w:t>
      </w:r>
      <w:r w:rsidRPr="00767FC2">
        <w:t>.</w:t>
      </w:r>
    </w:p>
    <w:p w14:paraId="3F94BFFF" w14:textId="77777777" w:rsidR="00F74C1D" w:rsidRPr="00767FC2" w:rsidRDefault="00F74C1D" w:rsidP="00F74C1D">
      <w:pPr>
        <w:pStyle w:val="tDefn"/>
      </w:pPr>
      <w:proofErr w:type="gramStart"/>
      <w:r w:rsidRPr="00767FC2">
        <w:rPr>
          <w:b/>
          <w:i/>
        </w:rPr>
        <w:t>calendar</w:t>
      </w:r>
      <w:proofErr w:type="gramEnd"/>
      <w:r w:rsidRPr="00767FC2">
        <w:rPr>
          <w:b/>
          <w:i/>
        </w:rPr>
        <w:t xml:space="preserve"> year </w:t>
      </w:r>
      <w:r w:rsidRPr="00767FC2">
        <w:t>means a period of 12 months starting on 1 January.</w:t>
      </w:r>
    </w:p>
    <w:p w14:paraId="48967CD7" w14:textId="77777777" w:rsidR="00EC0A14" w:rsidRPr="00767FC2" w:rsidRDefault="00EC0A14" w:rsidP="00EC0A14">
      <w:pPr>
        <w:pStyle w:val="tDefn"/>
      </w:pPr>
      <w:r w:rsidRPr="00767FC2">
        <w:rPr>
          <w:b/>
          <w:i/>
        </w:rPr>
        <w:t xml:space="preserve">CFI Rule </w:t>
      </w:r>
      <w:r w:rsidRPr="00767FC2">
        <w:t xml:space="preserve">means the </w:t>
      </w:r>
      <w:r w:rsidRPr="00767FC2">
        <w:rPr>
          <w:i/>
        </w:rPr>
        <w:t>Carbon Credits (Carbon Farming Initiative) Rule 2015</w:t>
      </w:r>
      <w:r w:rsidRPr="00767FC2">
        <w:t>.</w:t>
      </w:r>
    </w:p>
    <w:p w14:paraId="504030D3" w14:textId="77777777" w:rsidR="00F74C1D" w:rsidRPr="00767FC2" w:rsidRDefault="00F74C1D" w:rsidP="00F74C1D">
      <w:pPr>
        <w:pStyle w:val="tDefn"/>
      </w:pPr>
      <w:r w:rsidRPr="00767FC2">
        <w:rPr>
          <w:b/>
          <w:i/>
        </w:rPr>
        <w:t>CO</w:t>
      </w:r>
      <w:r w:rsidRPr="00767FC2">
        <w:rPr>
          <w:b/>
          <w:i/>
          <w:vertAlign w:val="subscript"/>
        </w:rPr>
        <w:t>2</w:t>
      </w:r>
      <w:r w:rsidRPr="00767FC2">
        <w:rPr>
          <w:b/>
          <w:i/>
        </w:rPr>
        <w:t>-e</w:t>
      </w:r>
      <w:r w:rsidRPr="00767FC2">
        <w:t xml:space="preserve"> means carbon dioxide equivalent.</w:t>
      </w:r>
    </w:p>
    <w:p w14:paraId="499DFDFF" w14:textId="77777777" w:rsidR="00BC43D2" w:rsidRPr="00767FC2" w:rsidRDefault="00BC43D2" w:rsidP="00BC43D2">
      <w:pPr>
        <w:pStyle w:val="tDefn"/>
      </w:pPr>
      <w:proofErr w:type="gramStart"/>
      <w:r w:rsidRPr="00767FC2">
        <w:rPr>
          <w:b/>
          <w:i/>
        </w:rPr>
        <w:t>continuing</w:t>
      </w:r>
      <w:proofErr w:type="gramEnd"/>
      <w:r w:rsidRPr="00767FC2">
        <w:rPr>
          <w:b/>
          <w:i/>
        </w:rPr>
        <w:t xml:space="preserve"> transferring project</w:t>
      </w:r>
      <w:r w:rsidRPr="00767FC2">
        <w:t xml:space="preserve">—see section </w:t>
      </w:r>
      <w:r w:rsidR="00964086" w:rsidRPr="00767FC2">
        <w:t>24</w:t>
      </w:r>
      <w:r w:rsidRPr="00767FC2">
        <w:t>.</w:t>
      </w:r>
    </w:p>
    <w:p w14:paraId="4D25F654" w14:textId="77777777" w:rsidR="0005332B" w:rsidRPr="00767FC2" w:rsidRDefault="0005332B" w:rsidP="0005332B">
      <w:pPr>
        <w:pStyle w:val="tDefn"/>
      </w:pPr>
      <w:proofErr w:type="gramStart"/>
      <w:r w:rsidRPr="00767FC2">
        <w:rPr>
          <w:b/>
          <w:i/>
        </w:rPr>
        <w:t>earlier</w:t>
      </w:r>
      <w:proofErr w:type="gramEnd"/>
      <w:r w:rsidRPr="00767FC2">
        <w:rPr>
          <w:b/>
          <w:i/>
        </w:rPr>
        <w:t xml:space="preserve"> savanna </w:t>
      </w:r>
      <w:r w:rsidR="008B1469" w:rsidRPr="00767FC2">
        <w:rPr>
          <w:b/>
          <w:i/>
        </w:rPr>
        <w:t>emissions avoidance</w:t>
      </w:r>
      <w:r w:rsidRPr="00767FC2">
        <w:rPr>
          <w:b/>
          <w:i/>
        </w:rPr>
        <w:t xml:space="preserve"> determination </w:t>
      </w:r>
      <w:r w:rsidRPr="00767FC2">
        <w:t>means the following:</w:t>
      </w:r>
    </w:p>
    <w:p w14:paraId="4467D46D" w14:textId="77777777" w:rsidR="0005332B" w:rsidRPr="00767FC2" w:rsidRDefault="0005332B" w:rsidP="0005332B">
      <w:pPr>
        <w:pStyle w:val="tPara"/>
      </w:pPr>
      <w:r w:rsidRPr="00767FC2">
        <w:tab/>
        <w:t>(a)</w:t>
      </w:r>
      <w:r w:rsidRPr="00767FC2">
        <w:tab/>
      </w:r>
      <w:proofErr w:type="gramStart"/>
      <w:r w:rsidRPr="00767FC2">
        <w:t>the</w:t>
      </w:r>
      <w:proofErr w:type="gramEnd"/>
      <w:r w:rsidRPr="00767FC2">
        <w:t xml:space="preserve"> </w:t>
      </w:r>
      <w:r w:rsidRPr="00767FC2">
        <w:rPr>
          <w:i/>
        </w:rPr>
        <w:t>Carbon Farming (Reduction of Greenhouse Gas Emissions through Early Dry Season Savanna Burning) Methodology Determination 2012</w:t>
      </w:r>
      <w:r w:rsidRPr="00767FC2">
        <w:t>;</w:t>
      </w:r>
    </w:p>
    <w:p w14:paraId="5E4D2041" w14:textId="77777777" w:rsidR="0005332B" w:rsidRPr="00767FC2" w:rsidRDefault="0005332B" w:rsidP="0005332B">
      <w:pPr>
        <w:pStyle w:val="tPara"/>
      </w:pPr>
      <w:r w:rsidRPr="00767FC2">
        <w:tab/>
        <w:t>(b)</w:t>
      </w:r>
      <w:r w:rsidRPr="00767FC2">
        <w:tab/>
      </w:r>
      <w:proofErr w:type="gramStart"/>
      <w:r w:rsidRPr="00767FC2">
        <w:t>the</w:t>
      </w:r>
      <w:proofErr w:type="gramEnd"/>
      <w:r w:rsidRPr="00767FC2">
        <w:t xml:space="preserve"> </w:t>
      </w:r>
      <w:r w:rsidRPr="00767FC2">
        <w:rPr>
          <w:i/>
        </w:rPr>
        <w:t>Carbon Credits (Carbon Farming Initiative) (Reduction of Greenhouse Gas Emissions through Early Dry Season Savanna Burning—1.1) Methodology Determination 2013</w:t>
      </w:r>
      <w:r w:rsidRPr="00767FC2">
        <w:t>;</w:t>
      </w:r>
    </w:p>
    <w:p w14:paraId="4FDB4277" w14:textId="77777777" w:rsidR="0005332B" w:rsidRPr="00767FC2" w:rsidRDefault="0005332B" w:rsidP="0005332B">
      <w:pPr>
        <w:pStyle w:val="tPara"/>
      </w:pPr>
      <w:r w:rsidRPr="00767FC2">
        <w:tab/>
        <w:t>(c)</w:t>
      </w:r>
      <w:r w:rsidRPr="00767FC2">
        <w:tab/>
      </w:r>
      <w:proofErr w:type="gramStart"/>
      <w:r w:rsidRPr="00767FC2">
        <w:t>the</w:t>
      </w:r>
      <w:proofErr w:type="gramEnd"/>
      <w:r w:rsidRPr="00767FC2">
        <w:t xml:space="preserve"> </w:t>
      </w:r>
      <w:r w:rsidRPr="00767FC2">
        <w:rPr>
          <w:i/>
        </w:rPr>
        <w:t>Carbon Credits (Carbon Farming Initiative—Emissions Abatement through Savanna Fire Management) Methodology Determination 2015</w:t>
      </w:r>
      <w:r w:rsidRPr="00767FC2">
        <w:t>.</w:t>
      </w:r>
    </w:p>
    <w:p w14:paraId="2991BBCE" w14:textId="77777777" w:rsidR="00F74C1D" w:rsidRPr="00767FC2" w:rsidRDefault="00F74C1D" w:rsidP="00F74C1D">
      <w:pPr>
        <w:pStyle w:val="tDefn"/>
      </w:pPr>
      <w:proofErr w:type="gramStart"/>
      <w:r w:rsidRPr="00767FC2">
        <w:rPr>
          <w:b/>
          <w:i/>
        </w:rPr>
        <w:t>early</w:t>
      </w:r>
      <w:proofErr w:type="gramEnd"/>
      <w:r w:rsidRPr="00767FC2">
        <w:rPr>
          <w:b/>
          <w:i/>
        </w:rPr>
        <w:t xml:space="preserve"> dry season</w:t>
      </w:r>
      <w:r w:rsidRPr="00767FC2">
        <w:t>—see section </w:t>
      </w:r>
      <w:r w:rsidR="00964086" w:rsidRPr="00767FC2">
        <w:t>7</w:t>
      </w:r>
      <w:r w:rsidRPr="00767FC2">
        <w:t>.</w:t>
      </w:r>
    </w:p>
    <w:p w14:paraId="56DE88E1" w14:textId="77777777" w:rsidR="00F74C1D" w:rsidRPr="00767FC2" w:rsidRDefault="00F74C1D" w:rsidP="00F74C1D">
      <w:pPr>
        <w:pStyle w:val="tDefn"/>
      </w:pPr>
      <w:proofErr w:type="gramStart"/>
      <w:r w:rsidRPr="00767FC2">
        <w:rPr>
          <w:b/>
          <w:i/>
        </w:rPr>
        <w:t>fire</w:t>
      </w:r>
      <w:proofErr w:type="gramEnd"/>
      <w:r w:rsidRPr="00767FC2">
        <w:rPr>
          <w:b/>
          <w:i/>
        </w:rPr>
        <w:t xml:space="preserve"> season</w:t>
      </w:r>
      <w:r w:rsidR="00BF5958" w:rsidRPr="00767FC2">
        <w:t>—see section </w:t>
      </w:r>
      <w:r w:rsidR="00964086" w:rsidRPr="00767FC2">
        <w:t>7</w:t>
      </w:r>
      <w:r w:rsidRPr="00767FC2">
        <w:t>.</w:t>
      </w:r>
    </w:p>
    <w:p w14:paraId="3235FEAC" w14:textId="77777777" w:rsidR="00360E3F" w:rsidRPr="00767FC2" w:rsidRDefault="00360E3F" w:rsidP="00360E3F">
      <w:pPr>
        <w:pStyle w:val="tDefn"/>
        <w:rPr>
          <w:b/>
          <w:i/>
        </w:rPr>
      </w:pPr>
      <w:proofErr w:type="gramStart"/>
      <w:r w:rsidRPr="00767FC2">
        <w:rPr>
          <w:b/>
          <w:i/>
        </w:rPr>
        <w:t>former</w:t>
      </w:r>
      <w:proofErr w:type="gramEnd"/>
      <w:r w:rsidRPr="00767FC2">
        <w:rPr>
          <w:b/>
          <w:i/>
        </w:rPr>
        <w:t xml:space="preserve"> determination</w:t>
      </w:r>
      <w:r w:rsidR="008A5D75" w:rsidRPr="00767FC2">
        <w:t>, for a transferring project area</w:t>
      </w:r>
      <w:r w:rsidRPr="00767FC2">
        <w:t>—see section </w:t>
      </w:r>
      <w:r w:rsidR="00964086" w:rsidRPr="00767FC2">
        <w:t>24</w:t>
      </w:r>
      <w:r w:rsidRPr="00767FC2">
        <w:t>.</w:t>
      </w:r>
    </w:p>
    <w:p w14:paraId="5C77EBA4" w14:textId="77777777" w:rsidR="008D5EC2" w:rsidRPr="00767FC2" w:rsidRDefault="00F74C1D" w:rsidP="00F74C1D">
      <w:pPr>
        <w:pStyle w:val="tDefn"/>
      </w:pPr>
      <w:proofErr w:type="gramStart"/>
      <w:r w:rsidRPr="00767FC2">
        <w:rPr>
          <w:b/>
          <w:i/>
        </w:rPr>
        <w:t>fuel</w:t>
      </w:r>
      <w:proofErr w:type="gramEnd"/>
      <w:r w:rsidRPr="00767FC2">
        <w:rPr>
          <w:b/>
          <w:i/>
        </w:rPr>
        <w:t xml:space="preserve"> size class</w:t>
      </w:r>
      <w:r w:rsidR="008D5EC2" w:rsidRPr="00767FC2">
        <w:rPr>
          <w:b/>
          <w:i/>
        </w:rPr>
        <w:t xml:space="preserve"> </w:t>
      </w:r>
      <w:r w:rsidR="008D5EC2" w:rsidRPr="00767FC2">
        <w:t>means</w:t>
      </w:r>
      <w:r w:rsidR="00E24B66" w:rsidRPr="00767FC2">
        <w:t xml:space="preserve"> the following</w:t>
      </w:r>
      <w:r w:rsidR="008D5EC2" w:rsidRPr="00767FC2">
        <w:t>:</w:t>
      </w:r>
    </w:p>
    <w:p w14:paraId="7F97E6A3" w14:textId="77777777" w:rsidR="008D5EC2" w:rsidRPr="00767FC2" w:rsidRDefault="00E24B66" w:rsidP="008D5EC2">
      <w:pPr>
        <w:pStyle w:val="tPara"/>
      </w:pPr>
      <w:r w:rsidRPr="00767FC2">
        <w:tab/>
        <w:t>(a)</w:t>
      </w:r>
      <w:r w:rsidRPr="00767FC2">
        <w:tab/>
      </w:r>
      <w:proofErr w:type="gramStart"/>
      <w:r w:rsidRPr="00767FC2">
        <w:t>shrub</w:t>
      </w:r>
      <w:proofErr w:type="gramEnd"/>
      <w:r w:rsidRPr="00767FC2">
        <w:t xml:space="preserve"> fuel;</w:t>
      </w:r>
    </w:p>
    <w:p w14:paraId="01780948" w14:textId="77777777" w:rsidR="008D5EC2" w:rsidRPr="00767FC2" w:rsidRDefault="00E24B66" w:rsidP="008D5EC2">
      <w:pPr>
        <w:pStyle w:val="tPara"/>
      </w:pPr>
      <w:r w:rsidRPr="00767FC2">
        <w:lastRenderedPageBreak/>
        <w:tab/>
        <w:t>(b)</w:t>
      </w:r>
      <w:r w:rsidRPr="00767FC2">
        <w:tab/>
      </w:r>
      <w:proofErr w:type="gramStart"/>
      <w:r w:rsidRPr="00767FC2">
        <w:t>fine</w:t>
      </w:r>
      <w:proofErr w:type="gramEnd"/>
      <w:r w:rsidRPr="00767FC2">
        <w:t xml:space="preserve"> fuel;</w:t>
      </w:r>
    </w:p>
    <w:p w14:paraId="7508D19D" w14:textId="77777777" w:rsidR="008D5EC2" w:rsidRPr="00767FC2" w:rsidRDefault="00E24B66" w:rsidP="008D5EC2">
      <w:pPr>
        <w:pStyle w:val="tPara"/>
      </w:pPr>
      <w:r w:rsidRPr="00767FC2">
        <w:tab/>
        <w:t>(c)</w:t>
      </w:r>
      <w:r w:rsidRPr="00767FC2">
        <w:tab/>
      </w:r>
      <w:proofErr w:type="gramStart"/>
      <w:r w:rsidRPr="00767FC2">
        <w:t>coarse</w:t>
      </w:r>
      <w:proofErr w:type="gramEnd"/>
      <w:r w:rsidRPr="00767FC2">
        <w:t xml:space="preserve"> fuel;</w:t>
      </w:r>
    </w:p>
    <w:p w14:paraId="6E5E78A8" w14:textId="77777777" w:rsidR="008D5EC2" w:rsidRPr="00767FC2" w:rsidRDefault="008D5EC2" w:rsidP="008D5EC2">
      <w:pPr>
        <w:pStyle w:val="tPara"/>
      </w:pPr>
      <w:r w:rsidRPr="00767FC2">
        <w:tab/>
        <w:t>(d)</w:t>
      </w:r>
      <w:r w:rsidRPr="00767FC2">
        <w:tab/>
      </w:r>
      <w:proofErr w:type="gramStart"/>
      <w:r w:rsidRPr="00767FC2">
        <w:t>heavy</w:t>
      </w:r>
      <w:proofErr w:type="gramEnd"/>
      <w:r w:rsidRPr="00767FC2">
        <w:t xml:space="preserve"> fuel.</w:t>
      </w:r>
    </w:p>
    <w:p w14:paraId="3947BDBE" w14:textId="77777777" w:rsidR="00F74C1D" w:rsidRPr="00767FC2" w:rsidRDefault="00F74C1D" w:rsidP="00F74C1D">
      <w:pPr>
        <w:pStyle w:val="tDefn"/>
      </w:pPr>
      <w:r w:rsidRPr="00767FC2">
        <w:rPr>
          <w:b/>
          <w:i/>
        </w:rPr>
        <w:t xml:space="preserve">GIS </w:t>
      </w:r>
      <w:r w:rsidRPr="00767FC2">
        <w:t>means geographic information system.</w:t>
      </w:r>
    </w:p>
    <w:p w14:paraId="1046ED7B" w14:textId="77777777" w:rsidR="00F74C1D" w:rsidRPr="00767FC2" w:rsidRDefault="00F74C1D" w:rsidP="00F74C1D">
      <w:pPr>
        <w:pStyle w:val="tDefn"/>
      </w:pPr>
      <w:proofErr w:type="gramStart"/>
      <w:r w:rsidRPr="00767FC2">
        <w:rPr>
          <w:b/>
          <w:i/>
        </w:rPr>
        <w:t>high</w:t>
      </w:r>
      <w:proofErr w:type="gramEnd"/>
      <w:r w:rsidRPr="00767FC2">
        <w:rPr>
          <w:b/>
          <w:i/>
        </w:rPr>
        <w:t xml:space="preserve"> rainfall zone</w:t>
      </w:r>
      <w:r w:rsidRPr="00767FC2">
        <w:t>—see section </w:t>
      </w:r>
      <w:r w:rsidR="00964086" w:rsidRPr="00767FC2">
        <w:t>6</w:t>
      </w:r>
      <w:r w:rsidRPr="00767FC2">
        <w:t>.</w:t>
      </w:r>
    </w:p>
    <w:p w14:paraId="0C1137CB" w14:textId="77777777" w:rsidR="00F74C1D" w:rsidRPr="00767FC2" w:rsidRDefault="00F74C1D" w:rsidP="00F74C1D">
      <w:pPr>
        <w:pStyle w:val="tDefn"/>
      </w:pPr>
      <w:proofErr w:type="gramStart"/>
      <w:r w:rsidRPr="00767FC2">
        <w:rPr>
          <w:b/>
          <w:i/>
        </w:rPr>
        <w:t>late</w:t>
      </w:r>
      <w:proofErr w:type="gramEnd"/>
      <w:r w:rsidRPr="00767FC2">
        <w:rPr>
          <w:b/>
          <w:i/>
        </w:rPr>
        <w:t xml:space="preserve"> dry season</w:t>
      </w:r>
      <w:r w:rsidRPr="00767FC2">
        <w:t>—see section </w:t>
      </w:r>
      <w:r w:rsidR="00964086" w:rsidRPr="00767FC2">
        <w:t>7</w:t>
      </w:r>
      <w:r w:rsidRPr="00767FC2">
        <w:t>.</w:t>
      </w:r>
    </w:p>
    <w:p w14:paraId="0B960B64" w14:textId="77777777" w:rsidR="00F74C1D" w:rsidRPr="00767FC2" w:rsidRDefault="00F74C1D" w:rsidP="00F74C1D">
      <w:pPr>
        <w:pStyle w:val="tDefn"/>
      </w:pPr>
      <w:proofErr w:type="gramStart"/>
      <w:r w:rsidRPr="00767FC2">
        <w:rPr>
          <w:b/>
          <w:i/>
        </w:rPr>
        <w:t>low</w:t>
      </w:r>
      <w:proofErr w:type="gramEnd"/>
      <w:r w:rsidRPr="00767FC2">
        <w:rPr>
          <w:b/>
          <w:i/>
        </w:rPr>
        <w:t xml:space="preserve"> rainfall zone</w:t>
      </w:r>
      <w:r w:rsidRPr="00767FC2">
        <w:t>—see section </w:t>
      </w:r>
      <w:r w:rsidR="00964086" w:rsidRPr="00767FC2">
        <w:t>6</w:t>
      </w:r>
      <w:r w:rsidRPr="00767FC2">
        <w:t>.</w:t>
      </w:r>
    </w:p>
    <w:p w14:paraId="163FA7FD" w14:textId="77777777" w:rsidR="00714015" w:rsidRPr="00767FC2" w:rsidRDefault="00714015" w:rsidP="00F74C1D">
      <w:pPr>
        <w:pStyle w:val="tDefn"/>
      </w:pPr>
      <w:proofErr w:type="gramStart"/>
      <w:r w:rsidRPr="00767FC2">
        <w:rPr>
          <w:b/>
          <w:i/>
        </w:rPr>
        <w:t>mapping</w:t>
      </w:r>
      <w:proofErr w:type="gramEnd"/>
      <w:r w:rsidRPr="00767FC2">
        <w:rPr>
          <w:b/>
          <w:i/>
        </w:rPr>
        <w:t xml:space="preserve"> unit</w:t>
      </w:r>
      <w:r w:rsidRPr="00767FC2">
        <w:t xml:space="preserve">: if a map that </w:t>
      </w:r>
      <w:r w:rsidR="00B23669" w:rsidRPr="00767FC2">
        <w:t xml:space="preserve">represents </w:t>
      </w:r>
      <w:r w:rsidRPr="00767FC2">
        <w:t xml:space="preserve">a particular area of land is divided into 2 or more </w:t>
      </w:r>
      <w:r w:rsidR="00632109" w:rsidRPr="00767FC2">
        <w:t>discrete</w:t>
      </w:r>
      <w:r w:rsidRPr="00767FC2">
        <w:t xml:space="preserve"> parts, with each part representing a different portion of that area of land, each such part is a </w:t>
      </w:r>
      <w:r w:rsidRPr="00767FC2">
        <w:rPr>
          <w:b/>
          <w:i/>
        </w:rPr>
        <w:t>mapping unit</w:t>
      </w:r>
      <w:r w:rsidRPr="00767FC2">
        <w:t>.</w:t>
      </w:r>
    </w:p>
    <w:p w14:paraId="231C5247" w14:textId="77777777" w:rsidR="00714015" w:rsidRPr="00767FC2" w:rsidRDefault="00714015" w:rsidP="00714015">
      <w:pPr>
        <w:pStyle w:val="nMain"/>
      </w:pPr>
      <w:r w:rsidRPr="00767FC2">
        <w:t>Example:</w:t>
      </w:r>
      <w:r w:rsidRPr="00767FC2">
        <w:tab/>
        <w:t>A pixel on a map that is in raster format.</w:t>
      </w:r>
    </w:p>
    <w:p w14:paraId="108D3E92" w14:textId="77777777" w:rsidR="002F35B2" w:rsidRPr="00767FC2" w:rsidRDefault="002F35B2" w:rsidP="002F35B2">
      <w:pPr>
        <w:pStyle w:val="tDefn"/>
        <w:rPr>
          <w:b/>
          <w:i/>
        </w:rPr>
      </w:pPr>
      <w:r w:rsidRPr="00767FC2">
        <w:rPr>
          <w:b/>
          <w:i/>
        </w:rPr>
        <w:t>National Inventory Report</w:t>
      </w:r>
      <w:r w:rsidRPr="00767FC2">
        <w:t>—see section </w:t>
      </w:r>
      <w:r w:rsidR="00964086" w:rsidRPr="00767FC2">
        <w:t>9</w:t>
      </w:r>
      <w:r w:rsidRPr="00767FC2">
        <w:t>.</w:t>
      </w:r>
    </w:p>
    <w:p w14:paraId="15A6132D" w14:textId="77777777" w:rsidR="001F4D06" w:rsidRPr="00767FC2" w:rsidRDefault="001F4D06" w:rsidP="001F4D06">
      <w:pPr>
        <w:pStyle w:val="tDefn"/>
      </w:pPr>
      <w:r w:rsidRPr="00767FC2">
        <w:rPr>
          <w:b/>
          <w:i/>
        </w:rPr>
        <w:t>net abatement amount</w:t>
      </w:r>
      <w:r w:rsidRPr="00767FC2">
        <w:t xml:space="preserve">, for an eligible offsets project in </w:t>
      </w:r>
      <w:r w:rsidR="00565127" w:rsidRPr="00767FC2">
        <w:t xml:space="preserve">relation to </w:t>
      </w:r>
      <w:r w:rsidRPr="00767FC2">
        <w:t xml:space="preserve">a reporting period, means the carbon dioxide equivalent net abatement amount for the project in </w:t>
      </w:r>
      <w:r w:rsidR="00565127" w:rsidRPr="00767FC2">
        <w:t xml:space="preserve">relation to </w:t>
      </w:r>
      <w:r w:rsidRPr="00767FC2">
        <w:t>the reporting period for the purposes of paragraph 106(1)(c) of the Act (see also section</w:t>
      </w:r>
      <w:r w:rsidR="00565127" w:rsidRPr="00767FC2">
        <w:t> </w:t>
      </w:r>
      <w:r w:rsidR="00964086" w:rsidRPr="00767FC2">
        <w:t>29</w:t>
      </w:r>
      <w:r w:rsidRPr="00767FC2">
        <w:t>).</w:t>
      </w:r>
    </w:p>
    <w:p w14:paraId="1F3A584D" w14:textId="77777777" w:rsidR="00C7593F" w:rsidRPr="00767FC2" w:rsidRDefault="00C7593F" w:rsidP="00C7593F">
      <w:pPr>
        <w:pStyle w:val="tDefn"/>
      </w:pPr>
      <w:proofErr w:type="gramStart"/>
      <w:r w:rsidRPr="00767FC2">
        <w:rPr>
          <w:b/>
          <w:i/>
        </w:rPr>
        <w:t>original</w:t>
      </w:r>
      <w:proofErr w:type="gramEnd"/>
      <w:r w:rsidRPr="00767FC2">
        <w:rPr>
          <w:b/>
          <w:i/>
        </w:rPr>
        <w:t xml:space="preserve"> project area</w:t>
      </w:r>
      <w:r w:rsidRPr="00767FC2">
        <w:t xml:space="preserve">, in relation to a subdivided project area—see subsection </w:t>
      </w:r>
      <w:r w:rsidR="00964086" w:rsidRPr="00767FC2">
        <w:t>15(2)</w:t>
      </w:r>
      <w:r w:rsidRPr="00767FC2">
        <w:t>.</w:t>
      </w:r>
    </w:p>
    <w:p w14:paraId="1C5A493B" w14:textId="77777777" w:rsidR="00E36602" w:rsidRPr="00767FC2" w:rsidRDefault="00E36602" w:rsidP="00E36602">
      <w:pPr>
        <w:pStyle w:val="tDefn"/>
      </w:pPr>
      <w:proofErr w:type="gramStart"/>
      <w:r w:rsidRPr="00767FC2">
        <w:rPr>
          <w:b/>
          <w:i/>
        </w:rPr>
        <w:t>project</w:t>
      </w:r>
      <w:proofErr w:type="gramEnd"/>
      <w:r w:rsidRPr="00767FC2">
        <w:rPr>
          <w:b/>
          <w:i/>
        </w:rPr>
        <w:t xml:space="preserve"> area part</w:t>
      </w:r>
      <w:r w:rsidRPr="00767FC2">
        <w:t>, of a project area, means either that part entirely within the high rainfall zone or that part entirely within the low rainfall zone.</w:t>
      </w:r>
    </w:p>
    <w:p w14:paraId="4EB82C4E" w14:textId="77777777" w:rsidR="00E36602" w:rsidRPr="00767FC2" w:rsidRDefault="00E36602" w:rsidP="00E36602">
      <w:pPr>
        <w:pStyle w:val="nMain"/>
      </w:pPr>
      <w:r w:rsidRPr="00767FC2">
        <w:t>Example:</w:t>
      </w:r>
      <w:r w:rsidRPr="00767FC2">
        <w:tab/>
        <w:t xml:space="preserve">If a project area is entirely within a single rainfall zone, it has a single </w:t>
      </w:r>
      <w:r w:rsidRPr="00767FC2">
        <w:rPr>
          <w:b/>
          <w:i/>
        </w:rPr>
        <w:t>project area part</w:t>
      </w:r>
      <w:r w:rsidRPr="00767FC2">
        <w:t xml:space="preserve">. If a project area spans both rainfall zones, it </w:t>
      </w:r>
      <w:r w:rsidR="004F5F3E" w:rsidRPr="00767FC2">
        <w:t>has two</w:t>
      </w:r>
      <w:r w:rsidR="004F5F3E" w:rsidRPr="00767FC2">
        <w:rPr>
          <w:i/>
        </w:rPr>
        <w:t xml:space="preserve"> </w:t>
      </w:r>
      <w:r w:rsidR="004F5F3E" w:rsidRPr="00767FC2">
        <w:rPr>
          <w:b/>
          <w:i/>
        </w:rPr>
        <w:t>project area parts</w:t>
      </w:r>
      <w:r w:rsidR="004F5F3E" w:rsidRPr="00767FC2">
        <w:t>.</w:t>
      </w:r>
    </w:p>
    <w:p w14:paraId="0A889E4E" w14:textId="77777777" w:rsidR="00C7593F" w:rsidRPr="00767FC2" w:rsidRDefault="00C7593F" w:rsidP="00C7593F">
      <w:pPr>
        <w:pStyle w:val="tDefn"/>
        <w:tabs>
          <w:tab w:val="left" w:pos="6738"/>
        </w:tabs>
      </w:pPr>
      <w:proofErr w:type="gramStart"/>
      <w:r w:rsidRPr="00767FC2">
        <w:rPr>
          <w:b/>
          <w:i/>
        </w:rPr>
        <w:t>project</w:t>
      </w:r>
      <w:proofErr w:type="gramEnd"/>
      <w:r w:rsidRPr="00767FC2">
        <w:rPr>
          <w:b/>
          <w:i/>
        </w:rPr>
        <w:t xml:space="preserve"> management plan</w:t>
      </w:r>
      <w:r w:rsidRPr="00767FC2">
        <w:t>—see section </w:t>
      </w:r>
      <w:r w:rsidR="00964086" w:rsidRPr="00767FC2">
        <w:t>17</w:t>
      </w:r>
      <w:r w:rsidRPr="00767FC2">
        <w:t>.</w:t>
      </w:r>
    </w:p>
    <w:p w14:paraId="362DD461" w14:textId="77777777" w:rsidR="00E962A0" w:rsidRPr="00767FC2" w:rsidRDefault="00E962A0" w:rsidP="00E962A0">
      <w:pPr>
        <w:pStyle w:val="tDefn"/>
      </w:pPr>
      <w:proofErr w:type="gramStart"/>
      <w:r w:rsidRPr="00767FC2">
        <w:rPr>
          <w:b/>
          <w:i/>
        </w:rPr>
        <w:t>relevant</w:t>
      </w:r>
      <w:proofErr w:type="gramEnd"/>
      <w:r w:rsidRPr="00767FC2">
        <w:rPr>
          <w:b/>
          <w:i/>
        </w:rPr>
        <w:t xml:space="preserve"> calculation period</w:t>
      </w:r>
      <w:r w:rsidRPr="00767FC2">
        <w:t xml:space="preserve"> means:</w:t>
      </w:r>
    </w:p>
    <w:p w14:paraId="17395001" w14:textId="77777777" w:rsidR="00E962A0" w:rsidRPr="00767FC2" w:rsidRDefault="00E962A0" w:rsidP="00E962A0">
      <w:pPr>
        <w:pStyle w:val="tPara"/>
      </w:pPr>
      <w:r w:rsidRPr="00767FC2">
        <w:tab/>
        <w:t>(a)</w:t>
      </w:r>
      <w:r w:rsidRPr="00767FC2">
        <w:tab/>
      </w:r>
      <w:proofErr w:type="gramStart"/>
      <w:r w:rsidRPr="00767FC2">
        <w:t>when</w:t>
      </w:r>
      <w:proofErr w:type="gramEnd"/>
      <w:r w:rsidRPr="00767FC2">
        <w:t xml:space="preserve"> calculating a value that relates to the baseline period—the baseline period; and</w:t>
      </w:r>
    </w:p>
    <w:p w14:paraId="0CBEE3C6" w14:textId="77777777" w:rsidR="00E962A0" w:rsidRPr="00767FC2" w:rsidRDefault="00E962A0" w:rsidP="00E962A0">
      <w:pPr>
        <w:pStyle w:val="tPara"/>
      </w:pPr>
      <w:r w:rsidRPr="00767FC2">
        <w:tab/>
        <w:t>(b)</w:t>
      </w:r>
      <w:r w:rsidRPr="00767FC2">
        <w:tab/>
      </w:r>
      <w:proofErr w:type="gramStart"/>
      <w:r w:rsidRPr="00767FC2">
        <w:t>when</w:t>
      </w:r>
      <w:proofErr w:type="gramEnd"/>
      <w:r w:rsidRPr="00767FC2">
        <w:t xml:space="preserve"> calculating a value that relates to a later calendar year—the period that:</w:t>
      </w:r>
    </w:p>
    <w:p w14:paraId="1234D941" w14:textId="77777777" w:rsidR="00E962A0" w:rsidRPr="00767FC2" w:rsidRDefault="00E962A0" w:rsidP="00E962A0">
      <w:pPr>
        <w:pStyle w:val="tSubpara"/>
      </w:pPr>
      <w:r w:rsidRPr="00767FC2">
        <w:tab/>
        <w:t>(</w:t>
      </w:r>
      <w:proofErr w:type="spellStart"/>
      <w:r w:rsidRPr="00767FC2">
        <w:t>i</w:t>
      </w:r>
      <w:proofErr w:type="spellEnd"/>
      <w:r w:rsidRPr="00767FC2">
        <w:t>)</w:t>
      </w:r>
      <w:r w:rsidRPr="00767FC2">
        <w:tab/>
      </w:r>
      <w:proofErr w:type="gramStart"/>
      <w:r w:rsidRPr="00767FC2">
        <w:t>begins</w:t>
      </w:r>
      <w:proofErr w:type="gramEnd"/>
      <w:r w:rsidRPr="00767FC2">
        <w:t>:</w:t>
      </w:r>
    </w:p>
    <w:p w14:paraId="107F608B" w14:textId="77777777" w:rsidR="00E962A0" w:rsidRPr="00767FC2" w:rsidRDefault="00E962A0" w:rsidP="00E962A0">
      <w:pPr>
        <w:pStyle w:val="tSubsub"/>
      </w:pPr>
      <w:r w:rsidRPr="00767FC2">
        <w:tab/>
        <w:t>(A)</w:t>
      </w:r>
      <w:r w:rsidRPr="00767FC2">
        <w:tab/>
      </w:r>
      <w:proofErr w:type="gramStart"/>
      <w:r w:rsidRPr="00767FC2">
        <w:t>if</w:t>
      </w:r>
      <w:proofErr w:type="gramEnd"/>
      <w:r w:rsidRPr="00767FC2">
        <w:t xml:space="preserve"> the project area’s baseline period under this determination is determined by reference to the </w:t>
      </w:r>
      <w:r w:rsidRPr="00767FC2">
        <w:rPr>
          <w:i/>
        </w:rPr>
        <w:t>Carbon Credits (Carbon Farming Initiative) (Reduction of Greenhouse Gas Emissions through Early Dry Season Savanna Burning—1.1) Methodology Determination 2013</w:t>
      </w:r>
      <w:r w:rsidRPr="00767FC2">
        <w:t>—on the relevant project commencement date within the meaning of that determination; and</w:t>
      </w:r>
    </w:p>
    <w:p w14:paraId="01A76461" w14:textId="77777777" w:rsidR="00E962A0" w:rsidRPr="00767FC2" w:rsidRDefault="00E962A0" w:rsidP="00E962A0">
      <w:pPr>
        <w:pStyle w:val="tSubsub"/>
      </w:pPr>
      <w:r w:rsidRPr="00767FC2">
        <w:tab/>
        <w:t>(B)</w:t>
      </w:r>
      <w:r w:rsidRPr="00767FC2">
        <w:tab/>
      </w:r>
      <w:proofErr w:type="gramStart"/>
      <w:r w:rsidRPr="00767FC2">
        <w:t>otherwise—</w:t>
      </w:r>
      <w:proofErr w:type="gramEnd"/>
      <w:r w:rsidRPr="00767FC2">
        <w:t>on the 1 January after the baseline period ends; and</w:t>
      </w:r>
    </w:p>
    <w:p w14:paraId="0DC29357" w14:textId="77777777" w:rsidR="00E962A0" w:rsidRPr="00767FC2" w:rsidRDefault="00E962A0" w:rsidP="00E962A0">
      <w:pPr>
        <w:pStyle w:val="tSubpara"/>
      </w:pPr>
      <w:r w:rsidRPr="00767FC2">
        <w:tab/>
        <w:t>(ii)</w:t>
      </w:r>
      <w:r w:rsidRPr="00767FC2">
        <w:tab/>
      </w:r>
      <w:proofErr w:type="gramStart"/>
      <w:r w:rsidRPr="00767FC2">
        <w:t>ends</w:t>
      </w:r>
      <w:proofErr w:type="gramEnd"/>
      <w:r w:rsidRPr="00767FC2">
        <w:t xml:space="preserve"> at the end of that year.</w:t>
      </w:r>
    </w:p>
    <w:p w14:paraId="7C9B29A0" w14:textId="77777777" w:rsidR="00E962A0" w:rsidRPr="00767FC2" w:rsidRDefault="00E962A0" w:rsidP="00E962A0">
      <w:pPr>
        <w:pStyle w:val="nMain"/>
      </w:pPr>
      <w:r w:rsidRPr="00767FC2">
        <w:t>Note:</w:t>
      </w:r>
      <w:r w:rsidRPr="00767FC2">
        <w:tab/>
        <w:t>In relation to sub</w:t>
      </w:r>
      <w:r w:rsidRPr="00767FC2">
        <w:noBreakHyphen/>
        <w:t>subparagraph (b</w:t>
      </w:r>
      <w:proofErr w:type="gramStart"/>
      <w:r w:rsidRPr="00767FC2">
        <w:t>)(</w:t>
      </w:r>
      <w:proofErr w:type="spellStart"/>
      <w:proofErr w:type="gramEnd"/>
      <w:r w:rsidRPr="00767FC2">
        <w:t>i</w:t>
      </w:r>
      <w:proofErr w:type="spellEnd"/>
      <w:r w:rsidRPr="00767FC2">
        <w:t>)(A), see subsection </w:t>
      </w:r>
      <w:r w:rsidR="00964086" w:rsidRPr="00767FC2">
        <w:t>26(3)</w:t>
      </w:r>
      <w:r w:rsidRPr="00767FC2">
        <w:t xml:space="preserve"> of this determination for how the baseline period is determined. For a project area whose baseline period is determined by reference to the </w:t>
      </w:r>
      <w:r w:rsidRPr="00767FC2">
        <w:rPr>
          <w:i/>
        </w:rPr>
        <w:t>Carbon Credits (Carbon Farming Initiative) (Reduction of Greenhouse Gas Emissions through Early Dry Season Savanna Burning—1.1) Methodology Determination 2013</w:t>
      </w:r>
      <w:r w:rsidRPr="00767FC2">
        <w:t>, as a result of subsection 4.20(1) of that determination, there could be a gap of several years between the end of the baseline period and the project commencement date.</w:t>
      </w:r>
    </w:p>
    <w:p w14:paraId="6798CD3B" w14:textId="77777777" w:rsidR="00755757" w:rsidRPr="00767FC2" w:rsidRDefault="00755757" w:rsidP="00755757">
      <w:pPr>
        <w:pStyle w:val="tDefn"/>
      </w:pPr>
      <w:proofErr w:type="gramStart"/>
      <w:r w:rsidRPr="00767FC2">
        <w:rPr>
          <w:b/>
          <w:i/>
        </w:rPr>
        <w:t>relevant</w:t>
      </w:r>
      <w:proofErr w:type="gramEnd"/>
      <w:r w:rsidRPr="00767FC2">
        <w:rPr>
          <w:b/>
          <w:i/>
        </w:rPr>
        <w:t xml:space="preserve"> weed species </w:t>
      </w:r>
      <w:r w:rsidRPr="00767FC2">
        <w:t>means a weed species that materially affects fire dynamics and is identified in the savanna technical guidance document as a relevant weed species.</w:t>
      </w:r>
    </w:p>
    <w:p w14:paraId="6C063A74" w14:textId="77777777" w:rsidR="004F5F3E" w:rsidRPr="00767FC2" w:rsidRDefault="004F5F3E" w:rsidP="004F5F3E">
      <w:pPr>
        <w:pStyle w:val="tDefn"/>
        <w:rPr>
          <w:b/>
          <w:i/>
        </w:rPr>
      </w:pPr>
      <w:r w:rsidRPr="00767FC2">
        <w:rPr>
          <w:b/>
          <w:i/>
        </w:rPr>
        <w:t>Relevant Weeds Risk spatial data layer</w:t>
      </w:r>
      <w:r w:rsidRPr="00767FC2">
        <w:t>—see section </w:t>
      </w:r>
      <w:r w:rsidR="00964086" w:rsidRPr="00767FC2">
        <w:t>9</w:t>
      </w:r>
      <w:r w:rsidRPr="00767FC2">
        <w:t>.</w:t>
      </w:r>
    </w:p>
    <w:p w14:paraId="45FD752B" w14:textId="77777777" w:rsidR="00BC43D2" w:rsidRPr="00767FC2" w:rsidRDefault="00BC43D2" w:rsidP="00BC43D2">
      <w:pPr>
        <w:pStyle w:val="tDefn"/>
      </w:pPr>
      <w:proofErr w:type="gramStart"/>
      <w:r w:rsidRPr="00767FC2">
        <w:rPr>
          <w:b/>
          <w:i/>
        </w:rPr>
        <w:lastRenderedPageBreak/>
        <w:t>restarting</w:t>
      </w:r>
      <w:proofErr w:type="gramEnd"/>
      <w:r w:rsidRPr="00767FC2">
        <w:rPr>
          <w:b/>
          <w:i/>
        </w:rPr>
        <w:t xml:space="preserve"> transferring project</w:t>
      </w:r>
      <w:r w:rsidRPr="00767FC2">
        <w:t xml:space="preserve">—see section </w:t>
      </w:r>
      <w:r w:rsidR="00964086" w:rsidRPr="00767FC2">
        <w:t>24</w:t>
      </w:r>
      <w:r w:rsidRPr="00767FC2">
        <w:t>.</w:t>
      </w:r>
    </w:p>
    <w:p w14:paraId="2784C45F" w14:textId="77777777" w:rsidR="00F74C1D" w:rsidRPr="00767FC2" w:rsidRDefault="00F74C1D" w:rsidP="00F74C1D">
      <w:pPr>
        <w:pStyle w:val="tDefn"/>
      </w:pPr>
      <w:proofErr w:type="gramStart"/>
      <w:r w:rsidRPr="00767FC2">
        <w:rPr>
          <w:b/>
          <w:i/>
        </w:rPr>
        <w:t>savanna</w:t>
      </w:r>
      <w:proofErr w:type="gramEnd"/>
      <w:r w:rsidRPr="00767FC2">
        <w:rPr>
          <w:b/>
          <w:i/>
        </w:rPr>
        <w:t xml:space="preserve"> </w:t>
      </w:r>
      <w:r w:rsidRPr="00767FC2">
        <w:t xml:space="preserve">means </w:t>
      </w:r>
      <w:r w:rsidR="004C5AA3" w:rsidRPr="00767FC2">
        <w:t xml:space="preserve">land that is characterised by </w:t>
      </w:r>
      <w:r w:rsidRPr="00767FC2">
        <w:t>a tropical or sub-tropical vegetation formation with continuous grass cover occasionally interrupted by trees and shrubs.</w:t>
      </w:r>
    </w:p>
    <w:p w14:paraId="2B6E2A82" w14:textId="77777777" w:rsidR="008A302E" w:rsidRPr="00767FC2" w:rsidRDefault="00504AE8" w:rsidP="008A302E">
      <w:pPr>
        <w:pStyle w:val="tDefn"/>
        <w:rPr>
          <w:b/>
          <w:i/>
        </w:rPr>
      </w:pPr>
      <w:proofErr w:type="gramStart"/>
      <w:r w:rsidRPr="00767FC2">
        <w:rPr>
          <w:b/>
          <w:i/>
        </w:rPr>
        <w:t>savanna</w:t>
      </w:r>
      <w:proofErr w:type="gramEnd"/>
      <w:r w:rsidRPr="00767FC2">
        <w:rPr>
          <w:b/>
          <w:i/>
        </w:rPr>
        <w:t xml:space="preserve"> </w:t>
      </w:r>
      <w:r w:rsidR="008B1469" w:rsidRPr="00767FC2">
        <w:rPr>
          <w:b/>
          <w:i/>
        </w:rPr>
        <w:t>emissions avoidance</w:t>
      </w:r>
      <w:r w:rsidR="00CF1AC4" w:rsidRPr="00767FC2">
        <w:rPr>
          <w:b/>
          <w:i/>
        </w:rPr>
        <w:t xml:space="preserve"> </w:t>
      </w:r>
      <w:r w:rsidRPr="00767FC2">
        <w:rPr>
          <w:b/>
          <w:i/>
        </w:rPr>
        <w:t>project</w:t>
      </w:r>
      <w:r w:rsidR="008A302E" w:rsidRPr="00767FC2">
        <w:t>—see subsection </w:t>
      </w:r>
      <w:r w:rsidR="00964086" w:rsidRPr="00767FC2">
        <w:t>11(2)</w:t>
      </w:r>
      <w:r w:rsidR="008A302E" w:rsidRPr="00767FC2">
        <w:t>.</w:t>
      </w:r>
    </w:p>
    <w:p w14:paraId="3C618755" w14:textId="77777777" w:rsidR="008A5D96" w:rsidRPr="00767FC2" w:rsidRDefault="008A5D96" w:rsidP="008A5D96">
      <w:pPr>
        <w:pStyle w:val="tDefn"/>
      </w:pPr>
      <w:r w:rsidRPr="00767FC2">
        <w:rPr>
          <w:b/>
          <w:i/>
        </w:rPr>
        <w:t>Savanna Fire Management High Rainfall Zone spatial data layer</w:t>
      </w:r>
      <w:r w:rsidRPr="00767FC2">
        <w:t>—see section </w:t>
      </w:r>
      <w:r w:rsidR="00964086" w:rsidRPr="00767FC2">
        <w:t>6</w:t>
      </w:r>
      <w:r w:rsidRPr="00767FC2">
        <w:t>.</w:t>
      </w:r>
    </w:p>
    <w:p w14:paraId="04919403" w14:textId="77777777" w:rsidR="008A5D96" w:rsidRPr="00767FC2" w:rsidRDefault="008A5D96" w:rsidP="008A5D96">
      <w:pPr>
        <w:pStyle w:val="tDefn"/>
      </w:pPr>
      <w:r w:rsidRPr="00767FC2">
        <w:rPr>
          <w:b/>
          <w:i/>
        </w:rPr>
        <w:t>Savanna Fire Management LDS End Date spatial data layer</w:t>
      </w:r>
      <w:r w:rsidRPr="00767FC2">
        <w:t>—see section </w:t>
      </w:r>
      <w:r w:rsidR="00964086" w:rsidRPr="00767FC2">
        <w:t>9</w:t>
      </w:r>
      <w:r w:rsidRPr="00767FC2">
        <w:t>.</w:t>
      </w:r>
    </w:p>
    <w:p w14:paraId="5FE7D92E" w14:textId="77777777" w:rsidR="008A5D96" w:rsidRPr="00767FC2" w:rsidRDefault="008A5D96" w:rsidP="008A5D96">
      <w:pPr>
        <w:pStyle w:val="tDefn"/>
      </w:pPr>
      <w:r w:rsidRPr="00767FC2">
        <w:rPr>
          <w:b/>
          <w:i/>
        </w:rPr>
        <w:t>Savanna Fire Management LDS Start Date spatial data layer</w:t>
      </w:r>
      <w:r w:rsidRPr="00767FC2">
        <w:t>—see section </w:t>
      </w:r>
      <w:r w:rsidR="00964086" w:rsidRPr="00767FC2">
        <w:t>9</w:t>
      </w:r>
      <w:r w:rsidRPr="00767FC2">
        <w:t>.</w:t>
      </w:r>
    </w:p>
    <w:p w14:paraId="5C83AC5A" w14:textId="77777777" w:rsidR="004D0F49" w:rsidRPr="00767FC2" w:rsidRDefault="004D0F49" w:rsidP="004D0F49">
      <w:pPr>
        <w:pStyle w:val="tDefn"/>
      </w:pPr>
      <w:r w:rsidRPr="00767FC2">
        <w:rPr>
          <w:b/>
          <w:i/>
        </w:rPr>
        <w:t>Savanna Fire Management Low Rainfall Zone spatial data layer</w:t>
      </w:r>
      <w:r w:rsidRPr="00767FC2">
        <w:t>—see section </w:t>
      </w:r>
      <w:r w:rsidR="00964086" w:rsidRPr="00767FC2">
        <w:t>6</w:t>
      </w:r>
      <w:r w:rsidRPr="00767FC2">
        <w:t>.</w:t>
      </w:r>
    </w:p>
    <w:p w14:paraId="4277CF16" w14:textId="77777777" w:rsidR="00FB0039" w:rsidRPr="00767FC2" w:rsidRDefault="00FB0039" w:rsidP="00FB0039">
      <w:pPr>
        <w:pStyle w:val="tDefn"/>
      </w:pPr>
      <w:proofErr w:type="gramStart"/>
      <w:r w:rsidRPr="00767FC2">
        <w:rPr>
          <w:b/>
          <w:i/>
        </w:rPr>
        <w:t>savanna</w:t>
      </w:r>
      <w:proofErr w:type="gramEnd"/>
      <w:r w:rsidRPr="00767FC2">
        <w:rPr>
          <w:b/>
          <w:i/>
        </w:rPr>
        <w:t xml:space="preserve"> sequestration determination </w:t>
      </w:r>
      <w:r w:rsidRPr="00767FC2">
        <w:t xml:space="preserve">means the </w:t>
      </w:r>
      <w:r w:rsidRPr="00767FC2">
        <w:rPr>
          <w:i/>
        </w:rPr>
        <w:t xml:space="preserve">Carbon Credits (Carbon Farming Initiative—Savanna Fire Management—Sequestration and Emissions Avoidance) Methodology Determination </w:t>
      </w:r>
      <w:r w:rsidR="00D32953" w:rsidRPr="00767FC2">
        <w:rPr>
          <w:i/>
        </w:rPr>
        <w:t>2018</w:t>
      </w:r>
      <w:r w:rsidRPr="00767FC2">
        <w:t>.</w:t>
      </w:r>
    </w:p>
    <w:p w14:paraId="09506965" w14:textId="77777777" w:rsidR="00FB0039" w:rsidRPr="00767FC2" w:rsidRDefault="008B1469" w:rsidP="0065442A">
      <w:pPr>
        <w:pStyle w:val="tDefn"/>
      </w:pPr>
      <w:proofErr w:type="gramStart"/>
      <w:r w:rsidRPr="00767FC2">
        <w:rPr>
          <w:b/>
          <w:i/>
        </w:rPr>
        <w:t>savanna</w:t>
      </w:r>
      <w:proofErr w:type="gramEnd"/>
      <w:r w:rsidRPr="00767FC2">
        <w:rPr>
          <w:b/>
          <w:i/>
        </w:rPr>
        <w:t xml:space="preserve"> technical guidance</w:t>
      </w:r>
      <w:r w:rsidR="00461F85" w:rsidRPr="00767FC2">
        <w:rPr>
          <w:b/>
          <w:i/>
        </w:rPr>
        <w:t xml:space="preserve"> document</w:t>
      </w:r>
      <w:r w:rsidR="00FB0039" w:rsidRPr="00767FC2">
        <w:t>—see section </w:t>
      </w:r>
      <w:r w:rsidR="00964086" w:rsidRPr="00767FC2">
        <w:t>9</w:t>
      </w:r>
      <w:r w:rsidR="00FB0039" w:rsidRPr="00767FC2">
        <w:t>.</w:t>
      </w:r>
    </w:p>
    <w:p w14:paraId="6CE7F878" w14:textId="77777777" w:rsidR="00EE2D33" w:rsidRPr="00767FC2" w:rsidRDefault="00F13D67" w:rsidP="00F13D67">
      <w:pPr>
        <w:pStyle w:val="tDefn"/>
      </w:pPr>
      <w:proofErr w:type="spellStart"/>
      <w:r w:rsidRPr="00767FC2">
        <w:rPr>
          <w:b/>
          <w:i/>
        </w:rPr>
        <w:t>SavBAT</w:t>
      </w:r>
      <w:proofErr w:type="spellEnd"/>
      <w:r w:rsidRPr="00767FC2">
        <w:rPr>
          <w:b/>
          <w:i/>
        </w:rPr>
        <w:t> 3</w:t>
      </w:r>
      <w:r w:rsidR="00EE2D33" w:rsidRPr="00767FC2">
        <w:t>—see section </w:t>
      </w:r>
      <w:r w:rsidR="00964086" w:rsidRPr="00767FC2">
        <w:t>9</w:t>
      </w:r>
      <w:r w:rsidR="00EE2D33" w:rsidRPr="00767FC2">
        <w:t>.</w:t>
      </w:r>
    </w:p>
    <w:p w14:paraId="1A33F6F4" w14:textId="77777777" w:rsidR="00933107" w:rsidRPr="00767FC2" w:rsidRDefault="003948E8" w:rsidP="00F74C1D">
      <w:pPr>
        <w:pStyle w:val="tDefn"/>
      </w:pPr>
      <w:proofErr w:type="gramStart"/>
      <w:r w:rsidRPr="00767FC2">
        <w:rPr>
          <w:b/>
          <w:i/>
        </w:rPr>
        <w:t>seasonal</w:t>
      </w:r>
      <w:proofErr w:type="gramEnd"/>
      <w:r w:rsidRPr="00767FC2">
        <w:rPr>
          <w:b/>
          <w:i/>
        </w:rPr>
        <w:t xml:space="preserve"> fire map </w:t>
      </w:r>
      <w:r w:rsidRPr="00767FC2">
        <w:t>means a map of one or more project areas that</w:t>
      </w:r>
      <w:r w:rsidR="00933107" w:rsidRPr="00767FC2">
        <w:t>:</w:t>
      </w:r>
    </w:p>
    <w:p w14:paraId="56959CB8" w14:textId="77777777" w:rsidR="00933107" w:rsidRPr="00767FC2" w:rsidRDefault="00933107" w:rsidP="00933107">
      <w:pPr>
        <w:pStyle w:val="tPara"/>
      </w:pPr>
      <w:r w:rsidRPr="00767FC2">
        <w:tab/>
        <w:t>(a)</w:t>
      </w:r>
      <w:r w:rsidRPr="00767FC2">
        <w:tab/>
      </w:r>
      <w:proofErr w:type="gramStart"/>
      <w:r w:rsidR="003948E8" w:rsidRPr="00767FC2">
        <w:t>is</w:t>
      </w:r>
      <w:proofErr w:type="gramEnd"/>
      <w:r w:rsidR="003948E8" w:rsidRPr="00767FC2">
        <w:t xml:space="preserve"> a geospatial map</w:t>
      </w:r>
      <w:r w:rsidR="00E87FA3" w:rsidRPr="00767FC2">
        <w:t xml:space="preserve"> that is divided into mapping units</w:t>
      </w:r>
      <w:r w:rsidRPr="00767FC2">
        <w:t>; and</w:t>
      </w:r>
    </w:p>
    <w:p w14:paraId="44AA33E2" w14:textId="77777777" w:rsidR="00933107" w:rsidRPr="00767FC2" w:rsidRDefault="00933107" w:rsidP="00933107">
      <w:pPr>
        <w:pStyle w:val="tPara"/>
      </w:pPr>
      <w:r w:rsidRPr="00767FC2">
        <w:tab/>
        <w:t>(</w:t>
      </w:r>
      <w:r w:rsidR="00E87FA3" w:rsidRPr="00767FC2">
        <w:t>b</w:t>
      </w:r>
      <w:r w:rsidRPr="00767FC2">
        <w:t>)</w:t>
      </w:r>
      <w:r w:rsidRPr="00767FC2">
        <w:tab/>
      </w:r>
      <w:proofErr w:type="gramStart"/>
      <w:r w:rsidR="003948E8" w:rsidRPr="00767FC2">
        <w:t>indicates</w:t>
      </w:r>
      <w:proofErr w:type="gramEnd"/>
      <w:r w:rsidR="003948E8" w:rsidRPr="00767FC2">
        <w:t xml:space="preserve"> whether </w:t>
      </w:r>
      <w:r w:rsidR="00376974" w:rsidRPr="00767FC2">
        <w:t xml:space="preserve">the area of land represented by </w:t>
      </w:r>
      <w:r w:rsidR="003948E8" w:rsidRPr="00767FC2">
        <w:t xml:space="preserve">each </w:t>
      </w:r>
      <w:r w:rsidR="00E764E4" w:rsidRPr="00767FC2">
        <w:t>mapping unit</w:t>
      </w:r>
      <w:r w:rsidR="003948E8" w:rsidRPr="00767FC2">
        <w:t xml:space="preserve"> was burnt or unburnt in </w:t>
      </w:r>
      <w:r w:rsidR="00CA3E56" w:rsidRPr="00767FC2">
        <w:t xml:space="preserve">a particular fire season of </w:t>
      </w:r>
      <w:r w:rsidR="003948E8" w:rsidRPr="00767FC2">
        <w:t xml:space="preserve">a particular </w:t>
      </w:r>
      <w:r w:rsidR="004C10A9" w:rsidRPr="00767FC2">
        <w:t>calendar year</w:t>
      </w:r>
      <w:r w:rsidRPr="00767FC2">
        <w:t>; and</w:t>
      </w:r>
    </w:p>
    <w:p w14:paraId="5095344D" w14:textId="77777777" w:rsidR="003948E8" w:rsidRPr="00767FC2" w:rsidRDefault="00933107" w:rsidP="00933107">
      <w:pPr>
        <w:pStyle w:val="tPara"/>
      </w:pPr>
      <w:r w:rsidRPr="00767FC2">
        <w:tab/>
        <w:t>(</w:t>
      </w:r>
      <w:r w:rsidR="00E87FA3" w:rsidRPr="00767FC2">
        <w:t>c</w:t>
      </w:r>
      <w:r w:rsidRPr="00767FC2">
        <w:t>)</w:t>
      </w:r>
      <w:r w:rsidRPr="00767FC2">
        <w:tab/>
      </w:r>
      <w:proofErr w:type="gramStart"/>
      <w:r w:rsidRPr="00767FC2">
        <w:t>has</w:t>
      </w:r>
      <w:proofErr w:type="gramEnd"/>
      <w:r w:rsidRPr="00767FC2">
        <w:t xml:space="preserve"> been prepared in accordance with the </w:t>
      </w:r>
      <w:r w:rsidR="008B1469" w:rsidRPr="00767FC2">
        <w:t>savanna technical guidance</w:t>
      </w:r>
      <w:r w:rsidRPr="00767FC2">
        <w:t xml:space="preserve"> document</w:t>
      </w:r>
      <w:r w:rsidR="003948E8" w:rsidRPr="00767FC2">
        <w:t>.</w:t>
      </w:r>
    </w:p>
    <w:p w14:paraId="07044797" w14:textId="77777777" w:rsidR="002F2853" w:rsidRPr="00767FC2" w:rsidRDefault="002F2853" w:rsidP="002F2853">
      <w:pPr>
        <w:pStyle w:val="nMain"/>
      </w:pPr>
      <w:r w:rsidRPr="00767FC2">
        <w:t>Note:</w:t>
      </w:r>
      <w:r w:rsidRPr="00767FC2">
        <w:tab/>
        <w:t xml:space="preserve">A seasonal fire map indicates whether </w:t>
      </w:r>
      <w:r w:rsidR="00376974" w:rsidRPr="00767FC2">
        <w:t xml:space="preserve">the area of land represented by </w:t>
      </w:r>
      <w:r w:rsidRPr="00767FC2">
        <w:t xml:space="preserve">each </w:t>
      </w:r>
      <w:r w:rsidR="00E764E4" w:rsidRPr="00767FC2">
        <w:t>mapping unit</w:t>
      </w:r>
      <w:r w:rsidRPr="00767FC2">
        <w:t xml:space="preserve"> was either burnt or unburnt in the early dry season and in the late dry season. A single seasonal fire map could cover </w:t>
      </w:r>
      <w:r w:rsidR="004C47ED" w:rsidRPr="00767FC2">
        <w:t xml:space="preserve">an </w:t>
      </w:r>
      <w:r w:rsidRPr="00767FC2">
        <w:t xml:space="preserve">area where the </w:t>
      </w:r>
      <w:r w:rsidR="00D34929" w:rsidRPr="00767FC2">
        <w:t xml:space="preserve">late dry season starts </w:t>
      </w:r>
      <w:r w:rsidR="00986DF4" w:rsidRPr="00767FC2">
        <w:t xml:space="preserve">on </w:t>
      </w:r>
      <w:r w:rsidRPr="00767FC2">
        <w:t xml:space="preserve">different </w:t>
      </w:r>
      <w:r w:rsidR="00986DF4" w:rsidRPr="00767FC2">
        <w:t>dates (see section </w:t>
      </w:r>
      <w:r w:rsidR="00964086" w:rsidRPr="00767FC2">
        <w:t>7</w:t>
      </w:r>
      <w:r w:rsidR="00986DF4" w:rsidRPr="00767FC2">
        <w:t>).</w:t>
      </w:r>
    </w:p>
    <w:p w14:paraId="4A3B289F" w14:textId="77777777" w:rsidR="007B1C50" w:rsidRPr="00767FC2" w:rsidRDefault="007B1C50" w:rsidP="007B1C50">
      <w:pPr>
        <w:pStyle w:val="tDefn"/>
      </w:pPr>
      <w:proofErr w:type="gramStart"/>
      <w:r w:rsidRPr="00767FC2">
        <w:rPr>
          <w:b/>
          <w:i/>
        </w:rPr>
        <w:t>section</w:t>
      </w:r>
      <w:proofErr w:type="gramEnd"/>
      <w:r w:rsidRPr="00767FC2">
        <w:rPr>
          <w:b/>
          <w:i/>
        </w:rPr>
        <w:t> 22 application</w:t>
      </w:r>
      <w:r w:rsidRPr="00767FC2">
        <w:t xml:space="preserve"> in relation to an eligible offsets project means the application under section 22 of the Act for the declaration of the project as an eligible offsets project.</w:t>
      </w:r>
    </w:p>
    <w:p w14:paraId="5A924183" w14:textId="77777777" w:rsidR="007B1C50" w:rsidRPr="00767FC2" w:rsidRDefault="007B1C50" w:rsidP="007B1C50">
      <w:pPr>
        <w:pStyle w:val="tDefn"/>
      </w:pPr>
      <w:proofErr w:type="gramStart"/>
      <w:r w:rsidRPr="00767FC2">
        <w:rPr>
          <w:b/>
          <w:i/>
        </w:rPr>
        <w:t>section</w:t>
      </w:r>
      <w:proofErr w:type="gramEnd"/>
      <w:r w:rsidRPr="00767FC2">
        <w:rPr>
          <w:b/>
          <w:i/>
        </w:rPr>
        <w:t> 27 declaration</w:t>
      </w:r>
      <w:r w:rsidRPr="00767FC2">
        <w:t xml:space="preserve"> in relation to an eligible offsets project means the declaration under section 27 of the Act that the project is an eligible offsets project.</w:t>
      </w:r>
    </w:p>
    <w:p w14:paraId="37E8320E" w14:textId="77777777" w:rsidR="0027594C" w:rsidRPr="00767FC2" w:rsidRDefault="0027594C" w:rsidP="00F74C1D">
      <w:pPr>
        <w:pStyle w:val="tDefn"/>
      </w:pPr>
      <w:proofErr w:type="gramStart"/>
      <w:r w:rsidRPr="00767FC2">
        <w:rPr>
          <w:b/>
          <w:i/>
        </w:rPr>
        <w:t>section</w:t>
      </w:r>
      <w:proofErr w:type="gramEnd"/>
      <w:r w:rsidRPr="00767FC2">
        <w:rPr>
          <w:b/>
          <w:i/>
        </w:rPr>
        <w:t xml:space="preserve"> 29 application </w:t>
      </w:r>
      <w:r w:rsidRPr="00767FC2">
        <w:t xml:space="preserve">means an application </w:t>
      </w:r>
      <w:r w:rsidR="00B93190" w:rsidRPr="00767FC2">
        <w:t xml:space="preserve">made under regulations or legislative rules made for the purposes of section 29 of the Act to vary a </w:t>
      </w:r>
      <w:r w:rsidR="000A3658" w:rsidRPr="00767FC2">
        <w:t xml:space="preserve">section 27 </w:t>
      </w:r>
      <w:r w:rsidR="00B93190" w:rsidRPr="00767FC2">
        <w:t>declaration.</w:t>
      </w:r>
    </w:p>
    <w:p w14:paraId="61D51967" w14:textId="77777777" w:rsidR="00C7593F" w:rsidRPr="00767FC2" w:rsidRDefault="00C7593F" w:rsidP="00C7593F">
      <w:pPr>
        <w:pStyle w:val="tDefn"/>
        <w:rPr>
          <w:b/>
          <w:i/>
        </w:rPr>
      </w:pPr>
      <w:proofErr w:type="gramStart"/>
      <w:r w:rsidRPr="00767FC2">
        <w:rPr>
          <w:b/>
          <w:i/>
        </w:rPr>
        <w:t>subdivided</w:t>
      </w:r>
      <w:proofErr w:type="gramEnd"/>
      <w:r w:rsidRPr="00767FC2">
        <w:rPr>
          <w:b/>
          <w:i/>
        </w:rPr>
        <w:t xml:space="preserve"> project area</w:t>
      </w:r>
      <w:r w:rsidRPr="00767FC2">
        <w:t xml:space="preserve">—see subsection </w:t>
      </w:r>
      <w:r w:rsidR="00964086" w:rsidRPr="00767FC2">
        <w:t>15(2)</w:t>
      </w:r>
      <w:r w:rsidRPr="00767FC2">
        <w:t>.</w:t>
      </w:r>
    </w:p>
    <w:p w14:paraId="473C67D9" w14:textId="77777777" w:rsidR="00A75111" w:rsidRPr="00767FC2" w:rsidRDefault="008420B5" w:rsidP="00F74C1D">
      <w:pPr>
        <w:pStyle w:val="tDefn"/>
        <w:rPr>
          <w:b/>
          <w:i/>
        </w:rPr>
      </w:pPr>
      <w:proofErr w:type="gramStart"/>
      <w:r w:rsidRPr="00767FC2">
        <w:rPr>
          <w:b/>
          <w:i/>
        </w:rPr>
        <w:t>transferring</w:t>
      </w:r>
      <w:proofErr w:type="gramEnd"/>
      <w:r w:rsidRPr="00767FC2">
        <w:rPr>
          <w:b/>
          <w:i/>
        </w:rPr>
        <w:t xml:space="preserve"> project area</w:t>
      </w:r>
      <w:r w:rsidR="00A75111" w:rsidRPr="00767FC2">
        <w:t>—see section </w:t>
      </w:r>
      <w:r w:rsidR="00964086" w:rsidRPr="00767FC2">
        <w:t>24</w:t>
      </w:r>
      <w:r w:rsidR="00A75111" w:rsidRPr="00767FC2">
        <w:t>.</w:t>
      </w:r>
    </w:p>
    <w:p w14:paraId="7368CB18" w14:textId="77777777" w:rsidR="00F74C1D" w:rsidRPr="00767FC2" w:rsidRDefault="00F74C1D" w:rsidP="00F74C1D">
      <w:pPr>
        <w:pStyle w:val="tDefn"/>
      </w:pPr>
      <w:proofErr w:type="gramStart"/>
      <w:r w:rsidRPr="00767FC2">
        <w:rPr>
          <w:b/>
          <w:i/>
        </w:rPr>
        <w:t>vegetation</w:t>
      </w:r>
      <w:proofErr w:type="gramEnd"/>
      <w:r w:rsidRPr="00767FC2">
        <w:rPr>
          <w:b/>
          <w:i/>
        </w:rPr>
        <w:t xml:space="preserve"> fuel type </w:t>
      </w:r>
      <w:r w:rsidRPr="00767FC2">
        <w:t xml:space="preserve">means a </w:t>
      </w:r>
      <w:r w:rsidR="000E77D9" w:rsidRPr="00767FC2">
        <w:t xml:space="preserve">type of vegetation </w:t>
      </w:r>
      <w:r w:rsidR="004B5A0B" w:rsidRPr="00767FC2">
        <w:t xml:space="preserve">that is characterised in terms of </w:t>
      </w:r>
      <w:r w:rsidR="00F14A4A" w:rsidRPr="00767FC2">
        <w:t xml:space="preserve">the </w:t>
      </w:r>
      <w:r w:rsidR="004F5FD1" w:rsidRPr="00767FC2">
        <w:t xml:space="preserve">structural formation (canopy height and foliage projected cover) of </w:t>
      </w:r>
      <w:r w:rsidR="00F14A4A" w:rsidRPr="00767FC2">
        <w:t xml:space="preserve">its </w:t>
      </w:r>
      <w:r w:rsidR="004F5FD1" w:rsidRPr="00767FC2">
        <w:t xml:space="preserve">dominant stratum and </w:t>
      </w:r>
      <w:r w:rsidR="00F14A4A" w:rsidRPr="00767FC2">
        <w:t xml:space="preserve">its </w:t>
      </w:r>
      <w:r w:rsidR="004F5FD1" w:rsidRPr="00767FC2">
        <w:t xml:space="preserve">grass type, and </w:t>
      </w:r>
      <w:r w:rsidR="000E77D9" w:rsidRPr="00767FC2">
        <w:t xml:space="preserve">that is identified as a </w:t>
      </w:r>
      <w:r w:rsidRPr="00767FC2">
        <w:t xml:space="preserve">vegetation fuel type </w:t>
      </w:r>
      <w:r w:rsidR="002157A0" w:rsidRPr="00767FC2">
        <w:t xml:space="preserve">for a particular rainfall zone </w:t>
      </w:r>
      <w:r w:rsidRPr="00767FC2">
        <w:t xml:space="preserve">in </w:t>
      </w:r>
      <w:r w:rsidR="000E77D9" w:rsidRPr="00767FC2">
        <w:t xml:space="preserve">the </w:t>
      </w:r>
      <w:r w:rsidR="008B1469" w:rsidRPr="00767FC2">
        <w:t>savanna technical guidance</w:t>
      </w:r>
      <w:r w:rsidR="000E77D9" w:rsidRPr="00767FC2">
        <w:t xml:space="preserve"> document.</w:t>
      </w:r>
    </w:p>
    <w:p w14:paraId="16443AB4" w14:textId="77777777" w:rsidR="00F24EC4" w:rsidRPr="00767FC2" w:rsidRDefault="00F74C1D" w:rsidP="00F24EC4">
      <w:pPr>
        <w:pStyle w:val="tDefn"/>
      </w:pPr>
      <w:proofErr w:type="gramStart"/>
      <w:r w:rsidRPr="00767FC2">
        <w:rPr>
          <w:b/>
          <w:i/>
        </w:rPr>
        <w:t>vegetation</w:t>
      </w:r>
      <w:proofErr w:type="gramEnd"/>
      <w:r w:rsidRPr="00767FC2">
        <w:rPr>
          <w:b/>
          <w:i/>
        </w:rPr>
        <w:t xml:space="preserve"> fuel type map</w:t>
      </w:r>
      <w:r w:rsidR="00F24EC4" w:rsidRPr="00767FC2">
        <w:t xml:space="preserve"> means a map of one or more project areas that:</w:t>
      </w:r>
    </w:p>
    <w:p w14:paraId="528CBCEB" w14:textId="77777777" w:rsidR="00F24EC4" w:rsidRPr="00767FC2" w:rsidRDefault="00F24EC4" w:rsidP="00F24EC4">
      <w:pPr>
        <w:pStyle w:val="tPara"/>
      </w:pPr>
      <w:r w:rsidRPr="00767FC2">
        <w:tab/>
        <w:t>(a)</w:t>
      </w:r>
      <w:r w:rsidRPr="00767FC2">
        <w:tab/>
      </w:r>
      <w:proofErr w:type="gramStart"/>
      <w:r w:rsidRPr="00767FC2">
        <w:t>is</w:t>
      </w:r>
      <w:proofErr w:type="gramEnd"/>
      <w:r w:rsidRPr="00767FC2">
        <w:t xml:space="preserve"> a geospatial map</w:t>
      </w:r>
      <w:r w:rsidR="004003E7" w:rsidRPr="00767FC2">
        <w:t xml:space="preserve"> that is divided into mapping units</w:t>
      </w:r>
      <w:r w:rsidRPr="00767FC2">
        <w:t>; and</w:t>
      </w:r>
    </w:p>
    <w:p w14:paraId="7C385FAE" w14:textId="77777777" w:rsidR="00BD5611" w:rsidRPr="00767FC2" w:rsidRDefault="00BD5611" w:rsidP="00BD5611">
      <w:pPr>
        <w:pStyle w:val="tPara"/>
      </w:pPr>
      <w:r w:rsidRPr="00767FC2">
        <w:tab/>
        <w:t>(b)</w:t>
      </w:r>
      <w:r w:rsidRPr="00767FC2">
        <w:tab/>
      </w:r>
      <w:proofErr w:type="gramStart"/>
      <w:r w:rsidRPr="00767FC2">
        <w:t>has</w:t>
      </w:r>
      <w:proofErr w:type="gramEnd"/>
      <w:r w:rsidRPr="00767FC2">
        <w:t xml:space="preserve"> assigned to each </w:t>
      </w:r>
      <w:r w:rsidR="006168F8" w:rsidRPr="00767FC2">
        <w:t xml:space="preserve">mapping unit </w:t>
      </w:r>
      <w:r w:rsidRPr="00767FC2">
        <w:t xml:space="preserve">a code that indicates, for the area of land represented by the </w:t>
      </w:r>
      <w:r w:rsidR="00E764E4" w:rsidRPr="00767FC2">
        <w:t>mapping unit</w:t>
      </w:r>
      <w:r w:rsidRPr="00767FC2">
        <w:t>:</w:t>
      </w:r>
    </w:p>
    <w:p w14:paraId="19BB8E06" w14:textId="77777777" w:rsidR="00BD5611" w:rsidRPr="00767FC2" w:rsidRDefault="00BD5611" w:rsidP="00BD5611">
      <w:pPr>
        <w:pStyle w:val="tSubpara"/>
      </w:pPr>
      <w:r w:rsidRPr="00767FC2">
        <w:tab/>
        <w:t>(</w:t>
      </w:r>
      <w:proofErr w:type="spellStart"/>
      <w:r w:rsidRPr="00767FC2">
        <w:t>i</w:t>
      </w:r>
      <w:proofErr w:type="spellEnd"/>
      <w:r w:rsidRPr="00767FC2">
        <w:t>)</w:t>
      </w:r>
      <w:r w:rsidRPr="00767FC2">
        <w:tab/>
      </w:r>
      <w:proofErr w:type="gramStart"/>
      <w:r w:rsidRPr="00767FC2">
        <w:t>the</w:t>
      </w:r>
      <w:proofErr w:type="gramEnd"/>
      <w:r w:rsidRPr="00767FC2">
        <w:t xml:space="preserve"> appropriate vegetation fuel type; or</w:t>
      </w:r>
    </w:p>
    <w:p w14:paraId="4B4440BD" w14:textId="77777777" w:rsidR="00BD5611" w:rsidRPr="00767FC2" w:rsidRDefault="00BD5611" w:rsidP="00BD5611">
      <w:pPr>
        <w:pStyle w:val="tSubpara"/>
      </w:pPr>
      <w:r w:rsidRPr="00767FC2">
        <w:tab/>
        <w:t>(ii)</w:t>
      </w:r>
      <w:r w:rsidRPr="00767FC2">
        <w:tab/>
      </w:r>
      <w:proofErr w:type="gramStart"/>
      <w:r w:rsidRPr="00767FC2">
        <w:t>the</w:t>
      </w:r>
      <w:proofErr w:type="gramEnd"/>
      <w:r w:rsidRPr="00767FC2">
        <w:t xml:space="preserve"> fact that the area of land is ineligible; and</w:t>
      </w:r>
    </w:p>
    <w:p w14:paraId="14747438" w14:textId="77777777" w:rsidR="00BD5611" w:rsidRPr="00767FC2" w:rsidRDefault="00BD5611" w:rsidP="00BD5611">
      <w:pPr>
        <w:pStyle w:val="tPara"/>
      </w:pPr>
      <w:r w:rsidRPr="00767FC2">
        <w:tab/>
        <w:t>(c)</w:t>
      </w:r>
      <w:r w:rsidRPr="00767FC2">
        <w:tab/>
      </w:r>
      <w:proofErr w:type="gramStart"/>
      <w:r w:rsidRPr="00767FC2">
        <w:t>has</w:t>
      </w:r>
      <w:proofErr w:type="gramEnd"/>
      <w:r w:rsidRPr="00767FC2">
        <w:t xml:space="preserve"> been created and validated in accordance with this determination.</w:t>
      </w:r>
    </w:p>
    <w:p w14:paraId="529B4EDA" w14:textId="77777777" w:rsidR="00642C1E" w:rsidRPr="00767FC2" w:rsidRDefault="00F74C1D" w:rsidP="00F74C1D">
      <w:pPr>
        <w:pStyle w:val="nMain"/>
      </w:pPr>
      <w:r w:rsidRPr="00767FC2">
        <w:lastRenderedPageBreak/>
        <w:t>Note:</w:t>
      </w:r>
      <w:r w:rsidRPr="00767FC2">
        <w:tab/>
      </w:r>
      <w:r w:rsidR="00642C1E" w:rsidRPr="00767FC2">
        <w:t>Other words and expressions used in this determination have the meaning given by the Act. These terms include:</w:t>
      </w:r>
    </w:p>
    <w:p w14:paraId="2B2CD81D" w14:textId="77777777" w:rsidR="00642C1E" w:rsidRPr="00767FC2" w:rsidRDefault="00642C1E" w:rsidP="00906DA6">
      <w:pPr>
        <w:pStyle w:val="nPara"/>
        <w:rPr>
          <w:b/>
          <w:i/>
        </w:rPr>
      </w:pPr>
      <w:r w:rsidRPr="00767FC2">
        <w:rPr>
          <w:b/>
          <w:i/>
        </w:rPr>
        <w:tab/>
        <w:t>Australian carbon credit unit</w:t>
      </w:r>
    </w:p>
    <w:p w14:paraId="726B9EFB" w14:textId="77777777" w:rsidR="002F35B2" w:rsidRPr="00767FC2" w:rsidRDefault="002F35B2" w:rsidP="002F35B2">
      <w:pPr>
        <w:pStyle w:val="nPara"/>
        <w:rPr>
          <w:b/>
          <w:i/>
        </w:rPr>
      </w:pPr>
      <w:r w:rsidRPr="00767FC2">
        <w:rPr>
          <w:b/>
          <w:i/>
        </w:rPr>
        <w:tab/>
        <w:t>Climate Change Convention</w:t>
      </w:r>
    </w:p>
    <w:p w14:paraId="25BF0A35" w14:textId="77777777" w:rsidR="002F35B2" w:rsidRPr="00767FC2" w:rsidRDefault="003D33A0" w:rsidP="003D33A0">
      <w:pPr>
        <w:pStyle w:val="nPara"/>
        <w:rPr>
          <w:b/>
          <w:i/>
        </w:rPr>
      </w:pPr>
      <w:r w:rsidRPr="00767FC2">
        <w:rPr>
          <w:b/>
          <w:i/>
        </w:rPr>
        <w:tab/>
      </w:r>
      <w:proofErr w:type="gramStart"/>
      <w:r w:rsidR="002F35B2" w:rsidRPr="00767FC2">
        <w:rPr>
          <w:b/>
          <w:i/>
        </w:rPr>
        <w:t>crediting</w:t>
      </w:r>
      <w:proofErr w:type="gramEnd"/>
      <w:r w:rsidR="002F35B2" w:rsidRPr="00767FC2">
        <w:rPr>
          <w:b/>
          <w:i/>
        </w:rPr>
        <w:t xml:space="preserve"> period</w:t>
      </w:r>
    </w:p>
    <w:p w14:paraId="2CF75305" w14:textId="77777777" w:rsidR="002F35B2" w:rsidRPr="00767FC2" w:rsidRDefault="003D33A0" w:rsidP="003D33A0">
      <w:pPr>
        <w:pStyle w:val="nPara"/>
        <w:rPr>
          <w:b/>
          <w:i/>
        </w:rPr>
      </w:pPr>
      <w:r w:rsidRPr="00767FC2">
        <w:rPr>
          <w:b/>
          <w:i/>
        </w:rPr>
        <w:tab/>
      </w:r>
      <w:proofErr w:type="gramStart"/>
      <w:r w:rsidR="002F35B2" w:rsidRPr="00767FC2">
        <w:rPr>
          <w:b/>
          <w:i/>
        </w:rPr>
        <w:t>eligible</w:t>
      </w:r>
      <w:proofErr w:type="gramEnd"/>
      <w:r w:rsidR="002F35B2" w:rsidRPr="00767FC2">
        <w:rPr>
          <w:b/>
          <w:i/>
        </w:rPr>
        <w:t xml:space="preserve"> carbon abatement</w:t>
      </w:r>
    </w:p>
    <w:p w14:paraId="2738B066" w14:textId="77777777" w:rsidR="00642C1E" w:rsidRPr="00767FC2" w:rsidRDefault="003D33A0" w:rsidP="003D33A0">
      <w:pPr>
        <w:pStyle w:val="nPara"/>
        <w:rPr>
          <w:b/>
          <w:i/>
        </w:rPr>
      </w:pPr>
      <w:r w:rsidRPr="00767FC2">
        <w:rPr>
          <w:b/>
          <w:i/>
        </w:rPr>
        <w:tab/>
      </w:r>
      <w:proofErr w:type="gramStart"/>
      <w:r w:rsidR="00642C1E" w:rsidRPr="00767FC2">
        <w:rPr>
          <w:b/>
          <w:i/>
        </w:rPr>
        <w:t>eligible</w:t>
      </w:r>
      <w:proofErr w:type="gramEnd"/>
      <w:r w:rsidR="00642C1E" w:rsidRPr="00767FC2">
        <w:rPr>
          <w:b/>
          <w:i/>
        </w:rPr>
        <w:t xml:space="preserve"> offsets project</w:t>
      </w:r>
    </w:p>
    <w:p w14:paraId="44D3FAC4" w14:textId="77777777" w:rsidR="00642C1E" w:rsidRPr="00767FC2" w:rsidRDefault="00642C1E" w:rsidP="00906DA6">
      <w:pPr>
        <w:pStyle w:val="nPara"/>
        <w:rPr>
          <w:b/>
          <w:i/>
        </w:rPr>
      </w:pPr>
      <w:r w:rsidRPr="00767FC2">
        <w:rPr>
          <w:b/>
          <w:i/>
        </w:rPr>
        <w:tab/>
      </w:r>
      <w:proofErr w:type="gramStart"/>
      <w:r w:rsidRPr="00767FC2">
        <w:rPr>
          <w:b/>
          <w:i/>
        </w:rPr>
        <w:t>emission</w:t>
      </w:r>
      <w:proofErr w:type="gramEnd"/>
    </w:p>
    <w:p w14:paraId="13481682" w14:textId="77777777" w:rsidR="003D33A0" w:rsidRPr="00767FC2" w:rsidRDefault="003D33A0" w:rsidP="003D33A0">
      <w:pPr>
        <w:pStyle w:val="nPara"/>
        <w:rPr>
          <w:b/>
          <w:i/>
        </w:rPr>
      </w:pPr>
      <w:bookmarkStart w:id="16" w:name="_Toc476731601"/>
      <w:r w:rsidRPr="00767FC2">
        <w:rPr>
          <w:b/>
          <w:i/>
        </w:rPr>
        <w:tab/>
        <w:t>Emissions Reduction Assurance Committee</w:t>
      </w:r>
      <w:bookmarkEnd w:id="16"/>
    </w:p>
    <w:p w14:paraId="4F9442E1" w14:textId="77777777" w:rsidR="00642C1E" w:rsidRPr="00767FC2" w:rsidRDefault="00642C1E" w:rsidP="00906DA6">
      <w:pPr>
        <w:pStyle w:val="nPara"/>
        <w:rPr>
          <w:b/>
          <w:i/>
        </w:rPr>
      </w:pPr>
      <w:r w:rsidRPr="00767FC2">
        <w:rPr>
          <w:b/>
          <w:i/>
        </w:rPr>
        <w:tab/>
      </w:r>
      <w:proofErr w:type="gramStart"/>
      <w:r w:rsidRPr="00767FC2">
        <w:rPr>
          <w:b/>
          <w:i/>
        </w:rPr>
        <w:t>greenhouse</w:t>
      </w:r>
      <w:proofErr w:type="gramEnd"/>
      <w:r w:rsidRPr="00767FC2">
        <w:rPr>
          <w:b/>
          <w:i/>
        </w:rPr>
        <w:t xml:space="preserve"> gas</w:t>
      </w:r>
    </w:p>
    <w:p w14:paraId="05D6A0C9" w14:textId="77777777" w:rsidR="00642C1E" w:rsidRPr="00767FC2" w:rsidRDefault="003D33A0" w:rsidP="003D33A0">
      <w:pPr>
        <w:pStyle w:val="nPara"/>
        <w:rPr>
          <w:b/>
          <w:i/>
        </w:rPr>
      </w:pPr>
      <w:r w:rsidRPr="00767FC2">
        <w:rPr>
          <w:b/>
          <w:i/>
        </w:rPr>
        <w:tab/>
      </w:r>
      <w:proofErr w:type="gramStart"/>
      <w:r w:rsidR="00642C1E" w:rsidRPr="00767FC2">
        <w:rPr>
          <w:b/>
          <w:i/>
        </w:rPr>
        <w:t>offsets</w:t>
      </w:r>
      <w:proofErr w:type="gramEnd"/>
      <w:r w:rsidR="00642C1E" w:rsidRPr="00767FC2">
        <w:rPr>
          <w:b/>
          <w:i/>
        </w:rPr>
        <w:t xml:space="preserve"> project</w:t>
      </w:r>
    </w:p>
    <w:p w14:paraId="15E2F9D7" w14:textId="77777777" w:rsidR="00642C1E" w:rsidRPr="00767FC2" w:rsidRDefault="00642C1E" w:rsidP="00906DA6">
      <w:pPr>
        <w:pStyle w:val="nPara"/>
        <w:rPr>
          <w:b/>
          <w:i/>
        </w:rPr>
      </w:pPr>
      <w:r w:rsidRPr="00767FC2">
        <w:rPr>
          <w:b/>
          <w:i/>
        </w:rPr>
        <w:tab/>
      </w:r>
      <w:proofErr w:type="gramStart"/>
      <w:r w:rsidRPr="00767FC2">
        <w:rPr>
          <w:b/>
          <w:i/>
        </w:rPr>
        <w:t>offsets</w:t>
      </w:r>
      <w:proofErr w:type="gramEnd"/>
      <w:r w:rsidRPr="00767FC2">
        <w:rPr>
          <w:b/>
          <w:i/>
        </w:rPr>
        <w:t xml:space="preserve"> report</w:t>
      </w:r>
    </w:p>
    <w:p w14:paraId="3F977723" w14:textId="77777777" w:rsidR="00642C1E" w:rsidRPr="00767FC2" w:rsidRDefault="00642C1E" w:rsidP="00906DA6">
      <w:pPr>
        <w:pStyle w:val="nPara"/>
        <w:rPr>
          <w:b/>
          <w:i/>
        </w:rPr>
      </w:pPr>
      <w:r w:rsidRPr="00767FC2">
        <w:rPr>
          <w:b/>
          <w:i/>
        </w:rPr>
        <w:tab/>
      </w:r>
      <w:proofErr w:type="gramStart"/>
      <w:r w:rsidRPr="00767FC2">
        <w:rPr>
          <w:b/>
          <w:i/>
        </w:rPr>
        <w:t>project</w:t>
      </w:r>
      <w:proofErr w:type="gramEnd"/>
    </w:p>
    <w:p w14:paraId="30C23EE0" w14:textId="77777777" w:rsidR="00642C1E" w:rsidRPr="00767FC2" w:rsidRDefault="00642C1E" w:rsidP="00906DA6">
      <w:pPr>
        <w:pStyle w:val="nPara"/>
        <w:rPr>
          <w:b/>
          <w:i/>
        </w:rPr>
      </w:pPr>
      <w:r w:rsidRPr="00767FC2">
        <w:rPr>
          <w:b/>
          <w:i/>
        </w:rPr>
        <w:tab/>
      </w:r>
      <w:proofErr w:type="gramStart"/>
      <w:r w:rsidRPr="00767FC2">
        <w:rPr>
          <w:b/>
          <w:i/>
        </w:rPr>
        <w:t>project</w:t>
      </w:r>
      <w:proofErr w:type="gramEnd"/>
      <w:r w:rsidRPr="00767FC2">
        <w:rPr>
          <w:b/>
          <w:i/>
        </w:rPr>
        <w:t xml:space="preserve"> area</w:t>
      </w:r>
    </w:p>
    <w:p w14:paraId="26F2E3F4" w14:textId="77777777" w:rsidR="00642C1E" w:rsidRPr="00767FC2" w:rsidRDefault="00642C1E" w:rsidP="00906DA6">
      <w:pPr>
        <w:pStyle w:val="nPara"/>
        <w:rPr>
          <w:b/>
          <w:i/>
        </w:rPr>
      </w:pPr>
      <w:r w:rsidRPr="00767FC2">
        <w:rPr>
          <w:b/>
          <w:i/>
        </w:rPr>
        <w:tab/>
      </w:r>
      <w:proofErr w:type="gramStart"/>
      <w:r w:rsidRPr="00767FC2">
        <w:rPr>
          <w:b/>
          <w:i/>
        </w:rPr>
        <w:t>project</w:t>
      </w:r>
      <w:proofErr w:type="gramEnd"/>
      <w:r w:rsidRPr="00767FC2">
        <w:rPr>
          <w:b/>
          <w:i/>
        </w:rPr>
        <w:t xml:space="preserve"> proponent</w:t>
      </w:r>
    </w:p>
    <w:p w14:paraId="4F1FD38B" w14:textId="77777777" w:rsidR="00642C1E" w:rsidRPr="00767FC2" w:rsidRDefault="00642C1E" w:rsidP="00906DA6">
      <w:pPr>
        <w:pStyle w:val="nPara"/>
        <w:rPr>
          <w:b/>
          <w:i/>
        </w:rPr>
      </w:pPr>
      <w:r w:rsidRPr="00767FC2">
        <w:rPr>
          <w:b/>
          <w:i/>
        </w:rPr>
        <w:tab/>
        <w:t>Regulator</w:t>
      </w:r>
    </w:p>
    <w:p w14:paraId="1303556A" w14:textId="77777777" w:rsidR="00642C1E" w:rsidRPr="00767FC2" w:rsidRDefault="00642C1E" w:rsidP="00906DA6">
      <w:pPr>
        <w:pStyle w:val="nPara"/>
        <w:rPr>
          <w:b/>
          <w:i/>
        </w:rPr>
      </w:pPr>
      <w:r w:rsidRPr="00767FC2">
        <w:rPr>
          <w:b/>
          <w:i/>
        </w:rPr>
        <w:tab/>
      </w:r>
      <w:proofErr w:type="gramStart"/>
      <w:r w:rsidR="0053537E" w:rsidRPr="00767FC2">
        <w:rPr>
          <w:b/>
          <w:i/>
        </w:rPr>
        <w:t>reporting</w:t>
      </w:r>
      <w:proofErr w:type="gramEnd"/>
      <w:r w:rsidR="0053537E" w:rsidRPr="00767FC2">
        <w:rPr>
          <w:b/>
          <w:i/>
        </w:rPr>
        <w:t xml:space="preserve"> period</w:t>
      </w:r>
    </w:p>
    <w:p w14:paraId="01F075CA" w14:textId="77777777" w:rsidR="00DB12F7" w:rsidRPr="00767FC2" w:rsidRDefault="001626C4" w:rsidP="00DB12F7">
      <w:pPr>
        <w:pStyle w:val="h5Section"/>
      </w:pPr>
      <w:bookmarkStart w:id="17" w:name="_Toc413155547"/>
      <w:bookmarkStart w:id="18" w:name="_Toc509567178"/>
      <w:proofErr w:type="gramStart"/>
      <w:r w:rsidRPr="00767FC2">
        <w:t>6</w:t>
      </w:r>
      <w:r w:rsidR="00DB12F7" w:rsidRPr="00767FC2">
        <w:t xml:space="preserve">  Meaning</w:t>
      </w:r>
      <w:proofErr w:type="gramEnd"/>
      <w:r w:rsidR="00DB12F7" w:rsidRPr="00767FC2">
        <w:t xml:space="preserve"> of </w:t>
      </w:r>
      <w:r w:rsidR="00DB12F7" w:rsidRPr="00767FC2">
        <w:rPr>
          <w:i/>
        </w:rPr>
        <w:t>high rainfall zone</w:t>
      </w:r>
      <w:r w:rsidR="00DB12F7" w:rsidRPr="00767FC2">
        <w:t xml:space="preserve"> and </w:t>
      </w:r>
      <w:r w:rsidR="00DB12F7" w:rsidRPr="00767FC2">
        <w:rPr>
          <w:i/>
        </w:rPr>
        <w:t>low rainfall zone</w:t>
      </w:r>
      <w:bookmarkEnd w:id="17"/>
      <w:bookmarkEnd w:id="18"/>
    </w:p>
    <w:p w14:paraId="00E3754B" w14:textId="77777777" w:rsidR="002F35B2" w:rsidRPr="00767FC2" w:rsidRDefault="002F35B2" w:rsidP="002F35B2">
      <w:pPr>
        <w:pStyle w:val="tMain"/>
      </w:pPr>
      <w:bookmarkStart w:id="19" w:name="_Toc413155548"/>
      <w:r w:rsidRPr="00767FC2">
        <w:tab/>
      </w:r>
      <w:r w:rsidR="001626C4" w:rsidRPr="00767FC2">
        <w:t>(1)</w:t>
      </w:r>
      <w:r w:rsidRPr="00767FC2">
        <w:tab/>
        <w:t>In this determination:</w:t>
      </w:r>
    </w:p>
    <w:p w14:paraId="3117667C" w14:textId="77777777" w:rsidR="002F35B2" w:rsidRPr="00767FC2" w:rsidRDefault="002F35B2" w:rsidP="002F35B2">
      <w:pPr>
        <w:pStyle w:val="tDefn"/>
      </w:pPr>
      <w:proofErr w:type="gramStart"/>
      <w:r w:rsidRPr="00767FC2">
        <w:rPr>
          <w:b/>
          <w:i/>
        </w:rPr>
        <w:t>high</w:t>
      </w:r>
      <w:proofErr w:type="gramEnd"/>
      <w:r w:rsidRPr="00767FC2">
        <w:rPr>
          <w:b/>
          <w:i/>
        </w:rPr>
        <w:t xml:space="preserve"> rainfall zone</w:t>
      </w:r>
      <w:r w:rsidRPr="00767FC2">
        <w:t xml:space="preserve"> means the area of land identified as such on the Savanna Fire Management High Rainfall Zone spatial data layer.</w:t>
      </w:r>
    </w:p>
    <w:p w14:paraId="69C38246" w14:textId="77777777" w:rsidR="002F35B2" w:rsidRPr="00767FC2" w:rsidRDefault="002F35B2" w:rsidP="002F35B2">
      <w:pPr>
        <w:pStyle w:val="tDefn"/>
      </w:pPr>
      <w:proofErr w:type="gramStart"/>
      <w:r w:rsidRPr="00767FC2">
        <w:rPr>
          <w:b/>
          <w:i/>
        </w:rPr>
        <w:t>low</w:t>
      </w:r>
      <w:proofErr w:type="gramEnd"/>
      <w:r w:rsidRPr="00767FC2">
        <w:rPr>
          <w:b/>
          <w:i/>
        </w:rPr>
        <w:t xml:space="preserve"> rainfall zone</w:t>
      </w:r>
      <w:r w:rsidRPr="00767FC2">
        <w:t xml:space="preserve"> means the area of land identified as such on the Savanna Fire Management Low Rainfall Zone spatial data layer.</w:t>
      </w:r>
    </w:p>
    <w:p w14:paraId="0C699F52" w14:textId="77777777" w:rsidR="004D00C8" w:rsidRPr="00767FC2" w:rsidRDefault="004D00C8" w:rsidP="004D00C8">
      <w:pPr>
        <w:pStyle w:val="tMain"/>
      </w:pPr>
      <w:r w:rsidRPr="00767FC2">
        <w:tab/>
      </w:r>
      <w:r w:rsidR="001626C4" w:rsidRPr="00767FC2">
        <w:t>(2)</w:t>
      </w:r>
      <w:r w:rsidRPr="00767FC2">
        <w:tab/>
        <w:t>In this determination:</w:t>
      </w:r>
    </w:p>
    <w:p w14:paraId="4B11CD87" w14:textId="77777777" w:rsidR="004D00C8" w:rsidRPr="00767FC2" w:rsidRDefault="004D00C8" w:rsidP="004D00C8">
      <w:pPr>
        <w:pStyle w:val="tDefn"/>
      </w:pPr>
      <w:r w:rsidRPr="00767FC2">
        <w:rPr>
          <w:b/>
          <w:i/>
        </w:rPr>
        <w:t xml:space="preserve">Savanna Fire Management High Rainfall Zone spatial data layer </w:t>
      </w:r>
      <w:r w:rsidRPr="00767FC2">
        <w:t>means the document of that name, as published on the Department’s website at the date this determination commenced.</w:t>
      </w:r>
    </w:p>
    <w:p w14:paraId="05068B7D" w14:textId="77777777" w:rsidR="004D00C8" w:rsidRPr="00767FC2" w:rsidRDefault="004D00C8" w:rsidP="004D00C8">
      <w:pPr>
        <w:pStyle w:val="tDefn"/>
      </w:pPr>
      <w:r w:rsidRPr="00767FC2">
        <w:rPr>
          <w:b/>
          <w:i/>
        </w:rPr>
        <w:t>Savanna Fire Management Low Rainfall Zone spatial data layer</w:t>
      </w:r>
      <w:r w:rsidRPr="00767FC2">
        <w:t xml:space="preserve"> </w:t>
      </w:r>
      <w:r w:rsidR="00F8624F" w:rsidRPr="00767FC2">
        <w:t xml:space="preserve">means the </w:t>
      </w:r>
      <w:r w:rsidRPr="00767FC2">
        <w:t>document of that name, as published on the Department’s website at the date this determination commenced.</w:t>
      </w:r>
    </w:p>
    <w:p w14:paraId="6721ECE9" w14:textId="77777777" w:rsidR="00DB12F7" w:rsidRPr="00767FC2" w:rsidRDefault="001626C4" w:rsidP="00DB12F7">
      <w:pPr>
        <w:pStyle w:val="h5Section"/>
        <w:rPr>
          <w:i/>
        </w:rPr>
      </w:pPr>
      <w:bookmarkStart w:id="20" w:name="_Toc509567179"/>
      <w:proofErr w:type="gramStart"/>
      <w:r w:rsidRPr="00767FC2">
        <w:t>7</w:t>
      </w:r>
      <w:r w:rsidR="00DB12F7" w:rsidRPr="00767FC2">
        <w:t xml:space="preserve">  Meaning</w:t>
      </w:r>
      <w:proofErr w:type="gramEnd"/>
      <w:r w:rsidR="00DB12F7" w:rsidRPr="00767FC2">
        <w:t xml:space="preserve"> of </w:t>
      </w:r>
      <w:r w:rsidR="001D575C" w:rsidRPr="00767FC2">
        <w:rPr>
          <w:i/>
        </w:rPr>
        <w:t>fire season</w:t>
      </w:r>
      <w:r w:rsidR="001D575C" w:rsidRPr="00767FC2">
        <w:t xml:space="preserve">, </w:t>
      </w:r>
      <w:r w:rsidR="00DB12F7" w:rsidRPr="00767FC2">
        <w:rPr>
          <w:i/>
        </w:rPr>
        <w:t>early dry season</w:t>
      </w:r>
      <w:r w:rsidR="00DB12F7" w:rsidRPr="00767FC2">
        <w:t xml:space="preserve"> and </w:t>
      </w:r>
      <w:r w:rsidR="00DB12F7" w:rsidRPr="00767FC2">
        <w:rPr>
          <w:i/>
        </w:rPr>
        <w:t>late dry season</w:t>
      </w:r>
      <w:bookmarkEnd w:id="19"/>
      <w:bookmarkEnd w:id="20"/>
    </w:p>
    <w:p w14:paraId="1B8A90D2" w14:textId="77777777" w:rsidR="00BF5958" w:rsidRPr="00767FC2" w:rsidRDefault="00BF5958" w:rsidP="00BF5958">
      <w:pPr>
        <w:pStyle w:val="tMain"/>
      </w:pPr>
      <w:r w:rsidRPr="00767FC2">
        <w:tab/>
      </w:r>
      <w:r w:rsidR="001626C4" w:rsidRPr="00767FC2">
        <w:t>(1)</w:t>
      </w:r>
      <w:r w:rsidRPr="00767FC2">
        <w:tab/>
        <w:t xml:space="preserve">For this determination, </w:t>
      </w:r>
      <w:r w:rsidR="007A7241" w:rsidRPr="00767FC2">
        <w:t xml:space="preserve">the </w:t>
      </w:r>
      <w:r w:rsidRPr="00767FC2">
        <w:rPr>
          <w:b/>
          <w:i/>
        </w:rPr>
        <w:t>fire season</w:t>
      </w:r>
      <w:r w:rsidR="007A7241" w:rsidRPr="00767FC2">
        <w:rPr>
          <w:b/>
          <w:i/>
        </w:rPr>
        <w:t>s</w:t>
      </w:r>
      <w:r w:rsidRPr="00767FC2">
        <w:rPr>
          <w:b/>
          <w:i/>
        </w:rPr>
        <w:t xml:space="preserve"> </w:t>
      </w:r>
      <w:r w:rsidR="007A7241" w:rsidRPr="00767FC2">
        <w:t xml:space="preserve">are </w:t>
      </w:r>
      <w:r w:rsidRPr="00767FC2">
        <w:t xml:space="preserve">the early dry season </w:t>
      </w:r>
      <w:r w:rsidR="007A7241" w:rsidRPr="00767FC2">
        <w:t xml:space="preserve">and </w:t>
      </w:r>
      <w:r w:rsidRPr="00767FC2">
        <w:t>the late dry season.</w:t>
      </w:r>
    </w:p>
    <w:p w14:paraId="2DE28A87" w14:textId="77777777" w:rsidR="00B00428" w:rsidRPr="00767FC2" w:rsidRDefault="00B00428" w:rsidP="00B00428">
      <w:pPr>
        <w:pStyle w:val="nMain"/>
      </w:pPr>
      <w:r w:rsidRPr="00767FC2">
        <w:t>Note:</w:t>
      </w:r>
      <w:r w:rsidRPr="00767FC2">
        <w:tab/>
        <w:t>Each year in northern Australia, there is also a wet season, which occurs approximately from November to April. For the purposes of this determination, the definitions of the early and late dry seasons overlap with the wet season, as fire generally does not occur during the wet season.</w:t>
      </w:r>
    </w:p>
    <w:p w14:paraId="66E92665" w14:textId="77777777" w:rsidR="009F093F" w:rsidRPr="00767FC2" w:rsidRDefault="009F093F" w:rsidP="009F093F">
      <w:pPr>
        <w:pStyle w:val="tMain"/>
      </w:pPr>
      <w:r w:rsidRPr="00767FC2">
        <w:tab/>
      </w:r>
      <w:r w:rsidR="001626C4" w:rsidRPr="00767FC2">
        <w:t>(2)</w:t>
      </w:r>
      <w:r w:rsidRPr="00767FC2">
        <w:tab/>
        <w:t>In this determination:</w:t>
      </w:r>
    </w:p>
    <w:p w14:paraId="1972EA3A" w14:textId="77777777" w:rsidR="002F35B2" w:rsidRPr="00767FC2" w:rsidRDefault="002F35B2" w:rsidP="002F35B2">
      <w:pPr>
        <w:pStyle w:val="tDefn"/>
      </w:pPr>
      <w:bookmarkStart w:id="21" w:name="_Toc413155592"/>
      <w:bookmarkStart w:id="22" w:name="_Toc409601452"/>
      <w:bookmarkStart w:id="23" w:name="_Toc410227373"/>
      <w:proofErr w:type="gramStart"/>
      <w:r w:rsidRPr="00767FC2">
        <w:rPr>
          <w:b/>
          <w:i/>
        </w:rPr>
        <w:t>early</w:t>
      </w:r>
      <w:proofErr w:type="gramEnd"/>
      <w:r w:rsidRPr="00767FC2">
        <w:rPr>
          <w:b/>
          <w:i/>
        </w:rPr>
        <w:t xml:space="preserve"> dry season</w:t>
      </w:r>
      <w:r w:rsidRPr="00767FC2">
        <w:t>, for a particular area of land and for a particular calendar year,</w:t>
      </w:r>
      <w:r w:rsidRPr="00767FC2">
        <w:rPr>
          <w:b/>
          <w:i/>
        </w:rPr>
        <w:t xml:space="preserve"> </w:t>
      </w:r>
      <w:r w:rsidRPr="00767FC2">
        <w:t>means the period of the calendar year that is not the late dry season for that area and that year.</w:t>
      </w:r>
    </w:p>
    <w:p w14:paraId="68907E5F" w14:textId="77777777" w:rsidR="002F35B2" w:rsidRPr="00767FC2" w:rsidRDefault="002F35B2" w:rsidP="002F35B2">
      <w:pPr>
        <w:pStyle w:val="tDefn"/>
      </w:pPr>
      <w:proofErr w:type="gramStart"/>
      <w:r w:rsidRPr="00767FC2">
        <w:rPr>
          <w:b/>
          <w:i/>
        </w:rPr>
        <w:t>late</w:t>
      </w:r>
      <w:proofErr w:type="gramEnd"/>
      <w:r w:rsidRPr="00767FC2">
        <w:rPr>
          <w:b/>
          <w:i/>
        </w:rPr>
        <w:t xml:space="preserve"> dry season</w:t>
      </w:r>
      <w:r w:rsidRPr="00767FC2">
        <w:t>, for a particular area of land and for a particular calendar year,</w:t>
      </w:r>
      <w:r w:rsidRPr="00767FC2">
        <w:rPr>
          <w:b/>
          <w:i/>
        </w:rPr>
        <w:t xml:space="preserve"> </w:t>
      </w:r>
      <w:r w:rsidRPr="00767FC2">
        <w:t>means the period that:</w:t>
      </w:r>
    </w:p>
    <w:p w14:paraId="0A4CF169" w14:textId="77777777" w:rsidR="002F35B2" w:rsidRPr="00767FC2" w:rsidRDefault="002F35B2" w:rsidP="002F35B2">
      <w:pPr>
        <w:pStyle w:val="tPara"/>
      </w:pPr>
      <w:r w:rsidRPr="00767FC2">
        <w:tab/>
        <w:t>(a)</w:t>
      </w:r>
      <w:r w:rsidRPr="00767FC2">
        <w:tab/>
      </w:r>
      <w:proofErr w:type="gramStart"/>
      <w:r w:rsidRPr="00767FC2">
        <w:t>begins</w:t>
      </w:r>
      <w:proofErr w:type="gramEnd"/>
      <w:r w:rsidRPr="00767FC2">
        <w:t xml:space="preserve"> on the date of that year indicated for that area in the applicable Savanna Fire Management LDS Start Date spatial data layer; and</w:t>
      </w:r>
    </w:p>
    <w:p w14:paraId="44D5F607" w14:textId="77777777" w:rsidR="002F35B2" w:rsidRPr="00767FC2" w:rsidRDefault="002F35B2" w:rsidP="002F35B2">
      <w:pPr>
        <w:pStyle w:val="tPara"/>
      </w:pPr>
      <w:r w:rsidRPr="00767FC2">
        <w:tab/>
        <w:t>(b)</w:t>
      </w:r>
      <w:r w:rsidRPr="00767FC2">
        <w:tab/>
      </w:r>
      <w:proofErr w:type="gramStart"/>
      <w:r w:rsidRPr="00767FC2">
        <w:t>ends</w:t>
      </w:r>
      <w:proofErr w:type="gramEnd"/>
      <w:r w:rsidRPr="00767FC2">
        <w:t xml:space="preserve"> on the date for that year (which may be in that year or in the following year) indicated for that area of land in the applicable Savanna Fire Management LDS End Date spatial data layer.</w:t>
      </w:r>
    </w:p>
    <w:p w14:paraId="5F4C3CD0" w14:textId="77777777" w:rsidR="002F35B2" w:rsidRPr="00767FC2" w:rsidRDefault="002F35B2" w:rsidP="002F35B2">
      <w:pPr>
        <w:pStyle w:val="tMain"/>
      </w:pPr>
      <w:r w:rsidRPr="00767FC2">
        <w:lastRenderedPageBreak/>
        <w:tab/>
      </w:r>
      <w:r w:rsidR="001626C4" w:rsidRPr="00767FC2">
        <w:t>(3)</w:t>
      </w:r>
      <w:r w:rsidRPr="00767FC2">
        <w:tab/>
        <w:t xml:space="preserve">For this section, a spatial data layer is </w:t>
      </w:r>
      <w:r w:rsidRPr="00767FC2">
        <w:rPr>
          <w:b/>
          <w:i/>
        </w:rPr>
        <w:t>applicable</w:t>
      </w:r>
      <w:r w:rsidRPr="00767FC2">
        <w:t xml:space="preserve"> in relation to a particular calendar year if it is:</w:t>
      </w:r>
    </w:p>
    <w:p w14:paraId="0AC5E257" w14:textId="77777777" w:rsidR="002F35B2" w:rsidRPr="00767FC2" w:rsidRDefault="002F35B2" w:rsidP="002F35B2">
      <w:pPr>
        <w:pStyle w:val="tPara"/>
      </w:pPr>
      <w:r w:rsidRPr="00767FC2">
        <w:tab/>
      </w:r>
      <w:r w:rsidR="001626C4" w:rsidRPr="00767FC2">
        <w:t>(a)</w:t>
      </w:r>
      <w:r w:rsidRPr="00767FC2">
        <w:tab/>
      </w:r>
      <w:proofErr w:type="gramStart"/>
      <w:r w:rsidRPr="00767FC2">
        <w:t>if</w:t>
      </w:r>
      <w:proofErr w:type="gramEnd"/>
      <w:r w:rsidRPr="00767FC2">
        <w:t xml:space="preserve"> a later version of the spatial data layer is published </w:t>
      </w:r>
      <w:r w:rsidR="00E16703" w:rsidRPr="00767FC2">
        <w:t>before 1 July of the previous calendar year</w:t>
      </w:r>
      <w:r w:rsidRPr="00767FC2">
        <w:t>—</w:t>
      </w:r>
      <w:r w:rsidR="00543BA0" w:rsidRPr="00767FC2">
        <w:t>the latest version so published; and</w:t>
      </w:r>
    </w:p>
    <w:p w14:paraId="6488D0DC" w14:textId="77777777" w:rsidR="00543BA0" w:rsidRPr="00767FC2" w:rsidRDefault="00543BA0" w:rsidP="00543BA0">
      <w:pPr>
        <w:pStyle w:val="tPara"/>
      </w:pPr>
      <w:r w:rsidRPr="00767FC2">
        <w:tab/>
      </w:r>
      <w:r w:rsidR="001626C4" w:rsidRPr="00767FC2">
        <w:t>(b)</w:t>
      </w:r>
      <w:r w:rsidRPr="00767FC2">
        <w:tab/>
      </w:r>
      <w:proofErr w:type="gramStart"/>
      <w:r w:rsidRPr="00767FC2">
        <w:t>otherwise—</w:t>
      </w:r>
      <w:proofErr w:type="gramEnd"/>
      <w:r w:rsidRPr="00767FC2">
        <w:t>the version that was published when this determination commenced.</w:t>
      </w:r>
    </w:p>
    <w:p w14:paraId="6FC17D08" w14:textId="77777777" w:rsidR="009C32AF" w:rsidRPr="00767FC2" w:rsidRDefault="001626C4" w:rsidP="009C32AF">
      <w:pPr>
        <w:pStyle w:val="h5Section"/>
        <w:rPr>
          <w:i/>
        </w:rPr>
      </w:pPr>
      <w:bookmarkStart w:id="24" w:name="_Toc509567180"/>
      <w:proofErr w:type="gramStart"/>
      <w:r w:rsidRPr="00767FC2">
        <w:t>8</w:t>
      </w:r>
      <w:r w:rsidR="009C32AF" w:rsidRPr="00767FC2">
        <w:t xml:space="preserve">  Meaning</w:t>
      </w:r>
      <w:proofErr w:type="gramEnd"/>
      <w:r w:rsidR="009C32AF" w:rsidRPr="00767FC2">
        <w:t xml:space="preserve"> of </w:t>
      </w:r>
      <w:r w:rsidR="009C32AF" w:rsidRPr="00767FC2">
        <w:rPr>
          <w:i/>
        </w:rPr>
        <w:t>baseline period</w:t>
      </w:r>
      <w:bookmarkEnd w:id="21"/>
      <w:bookmarkEnd w:id="24"/>
    </w:p>
    <w:p w14:paraId="6CE6986F" w14:textId="77777777" w:rsidR="000259D9" w:rsidRPr="00767FC2" w:rsidRDefault="000259D9" w:rsidP="000259D9">
      <w:pPr>
        <w:pStyle w:val="h6Subsec"/>
      </w:pPr>
      <w:r w:rsidRPr="00767FC2">
        <w:rPr>
          <w:b/>
        </w:rPr>
        <w:t>Baseline period</w:t>
      </w:r>
      <w:r w:rsidRPr="00767FC2">
        <w:t>—general rule</w:t>
      </w:r>
    </w:p>
    <w:bookmarkEnd w:id="22"/>
    <w:bookmarkEnd w:id="23"/>
    <w:p w14:paraId="6572D654" w14:textId="77777777" w:rsidR="009C32AF" w:rsidRPr="00767FC2" w:rsidRDefault="009C32AF" w:rsidP="009C32AF">
      <w:pPr>
        <w:pStyle w:val="tMain"/>
      </w:pPr>
      <w:r w:rsidRPr="00767FC2">
        <w:tab/>
      </w:r>
      <w:r w:rsidR="001626C4" w:rsidRPr="00767FC2">
        <w:t>(1)</w:t>
      </w:r>
      <w:r w:rsidRPr="00767FC2">
        <w:tab/>
      </w:r>
      <w:r w:rsidR="00022C31" w:rsidRPr="00767FC2">
        <w:t>F</w:t>
      </w:r>
      <w:r w:rsidR="00646D04" w:rsidRPr="00767FC2">
        <w:t>or this determination</w:t>
      </w:r>
      <w:r w:rsidRPr="00767FC2">
        <w:t xml:space="preserve">, </w:t>
      </w:r>
      <w:r w:rsidR="00942BF6" w:rsidRPr="00767FC2">
        <w:t>and sub</w:t>
      </w:r>
      <w:r w:rsidR="002847BC" w:rsidRPr="00767FC2">
        <w:t>j</w:t>
      </w:r>
      <w:r w:rsidR="00942BF6" w:rsidRPr="00767FC2">
        <w:t xml:space="preserve">ect </w:t>
      </w:r>
      <w:r w:rsidR="00E630AC" w:rsidRPr="00767FC2">
        <w:t xml:space="preserve">to </w:t>
      </w:r>
      <w:r w:rsidR="0022619A" w:rsidRPr="00767FC2">
        <w:t>section </w:t>
      </w:r>
      <w:r w:rsidR="00964086" w:rsidRPr="00767FC2">
        <w:t>26</w:t>
      </w:r>
      <w:r w:rsidR="0022619A" w:rsidRPr="00767FC2">
        <w:t xml:space="preserve"> (which deals with transferring project areas)</w:t>
      </w:r>
      <w:r w:rsidR="00942BF6" w:rsidRPr="00767FC2">
        <w:t xml:space="preserve">, </w:t>
      </w:r>
      <w:r w:rsidR="009D54B3" w:rsidRPr="00767FC2">
        <w:t xml:space="preserve">the </w:t>
      </w:r>
      <w:r w:rsidRPr="00767FC2">
        <w:rPr>
          <w:b/>
          <w:i/>
        </w:rPr>
        <w:t>baseline period</w:t>
      </w:r>
      <w:r w:rsidR="00885BE0" w:rsidRPr="00767FC2">
        <w:rPr>
          <w:b/>
          <w:i/>
        </w:rPr>
        <w:t xml:space="preserve"> </w:t>
      </w:r>
      <w:r w:rsidR="00C55545" w:rsidRPr="00767FC2">
        <w:t xml:space="preserve">for a particular </w:t>
      </w:r>
      <w:r w:rsidR="00815D0D" w:rsidRPr="00767FC2">
        <w:t xml:space="preserve">area of land </w:t>
      </w:r>
      <w:r w:rsidR="009D54B3" w:rsidRPr="00767FC2">
        <w:t>is</w:t>
      </w:r>
      <w:r w:rsidRPr="00767FC2">
        <w:t>:</w:t>
      </w:r>
    </w:p>
    <w:p w14:paraId="01954609" w14:textId="77777777" w:rsidR="009C32AF" w:rsidRPr="00767FC2" w:rsidRDefault="009C32AF" w:rsidP="009C32AF">
      <w:pPr>
        <w:pStyle w:val="tPara"/>
      </w:pPr>
      <w:r w:rsidRPr="00767FC2">
        <w:tab/>
      </w:r>
      <w:r w:rsidR="001626C4" w:rsidRPr="00767FC2">
        <w:t>(a)</w:t>
      </w:r>
      <w:r w:rsidRPr="00767FC2">
        <w:tab/>
      </w:r>
      <w:proofErr w:type="gramStart"/>
      <w:r w:rsidR="00885BE0" w:rsidRPr="00767FC2">
        <w:t>for</w:t>
      </w:r>
      <w:proofErr w:type="gramEnd"/>
      <w:r w:rsidR="00885BE0" w:rsidRPr="00767FC2">
        <w:t xml:space="preserve"> a</w:t>
      </w:r>
      <w:r w:rsidR="00815D0D" w:rsidRPr="00767FC2">
        <w:t xml:space="preserve">n area of land that </w:t>
      </w:r>
      <w:r w:rsidR="00885BE0" w:rsidRPr="00767FC2">
        <w:t xml:space="preserve">is wholly </w:t>
      </w:r>
      <w:r w:rsidRPr="00767FC2">
        <w:t>within the high</w:t>
      </w:r>
      <w:r w:rsidR="00F8602D" w:rsidRPr="00767FC2">
        <w:t xml:space="preserve"> </w:t>
      </w:r>
      <w:r w:rsidRPr="00767FC2">
        <w:t xml:space="preserve">rainfall zone—the </w:t>
      </w:r>
      <w:r w:rsidR="002972D8" w:rsidRPr="00767FC2">
        <w:t xml:space="preserve">period of </w:t>
      </w:r>
      <w:r w:rsidRPr="00767FC2">
        <w:t xml:space="preserve">10 </w:t>
      </w:r>
      <w:r w:rsidR="002972D8" w:rsidRPr="00767FC2">
        <w:t xml:space="preserve">calendar </w:t>
      </w:r>
      <w:r w:rsidRPr="00767FC2">
        <w:t>year</w:t>
      </w:r>
      <w:r w:rsidR="002972D8" w:rsidRPr="00767FC2">
        <w:t>s</w:t>
      </w:r>
      <w:r w:rsidRPr="00767FC2">
        <w:t>; and</w:t>
      </w:r>
    </w:p>
    <w:p w14:paraId="56AC81DD" w14:textId="77777777" w:rsidR="009C32AF" w:rsidRPr="00767FC2" w:rsidRDefault="009C32AF" w:rsidP="009C32AF">
      <w:pPr>
        <w:pStyle w:val="tPara"/>
      </w:pPr>
      <w:r w:rsidRPr="00767FC2">
        <w:tab/>
      </w:r>
      <w:r w:rsidR="001626C4" w:rsidRPr="00767FC2">
        <w:t>(b)</w:t>
      </w:r>
      <w:r w:rsidRPr="00767FC2">
        <w:tab/>
      </w:r>
      <w:proofErr w:type="gramStart"/>
      <w:r w:rsidR="00885BE0" w:rsidRPr="00767FC2">
        <w:t>for</w:t>
      </w:r>
      <w:proofErr w:type="gramEnd"/>
      <w:r w:rsidR="00885BE0" w:rsidRPr="00767FC2">
        <w:t xml:space="preserve"> </w:t>
      </w:r>
      <w:r w:rsidR="00815D0D" w:rsidRPr="00767FC2">
        <w:t xml:space="preserve">an area of land </w:t>
      </w:r>
      <w:r w:rsidR="00885BE0" w:rsidRPr="00767FC2">
        <w:t xml:space="preserve">that is wholly within </w:t>
      </w:r>
      <w:r w:rsidR="00944CC9" w:rsidRPr="00767FC2">
        <w:t xml:space="preserve">the </w:t>
      </w:r>
      <w:r w:rsidR="00F8602D" w:rsidRPr="00767FC2">
        <w:t xml:space="preserve">low </w:t>
      </w:r>
      <w:r w:rsidRPr="00767FC2">
        <w:t xml:space="preserve">rainfall zone—the </w:t>
      </w:r>
      <w:r w:rsidR="002972D8" w:rsidRPr="00767FC2">
        <w:t xml:space="preserve">period of 15 calendar </w:t>
      </w:r>
      <w:r w:rsidRPr="00767FC2">
        <w:t>year</w:t>
      </w:r>
      <w:r w:rsidR="002972D8" w:rsidRPr="00767FC2">
        <w:t>s</w:t>
      </w:r>
      <w:r w:rsidRPr="00767FC2">
        <w:t>;</w:t>
      </w:r>
    </w:p>
    <w:p w14:paraId="32FED6C6" w14:textId="77777777" w:rsidR="00C4394E" w:rsidRPr="00767FC2" w:rsidRDefault="00453423" w:rsidP="00C4394E">
      <w:pPr>
        <w:pStyle w:val="tMain"/>
        <w:spacing w:before="40"/>
      </w:pPr>
      <w:bookmarkStart w:id="25" w:name="_Toc405377035"/>
      <w:bookmarkStart w:id="26" w:name="_Toc413155569"/>
      <w:r w:rsidRPr="00767FC2">
        <w:tab/>
      </w:r>
      <w:r w:rsidRPr="00767FC2">
        <w:tab/>
      </w:r>
      <w:proofErr w:type="gramStart"/>
      <w:r w:rsidRPr="00767FC2">
        <w:t>that</w:t>
      </w:r>
      <w:proofErr w:type="gramEnd"/>
      <w:r w:rsidRPr="00767FC2">
        <w:t xml:space="preserve"> ends immediately before</w:t>
      </w:r>
      <w:r w:rsidR="00C4394E" w:rsidRPr="00767FC2">
        <w:t>:</w:t>
      </w:r>
    </w:p>
    <w:p w14:paraId="758246EA" w14:textId="77777777" w:rsidR="00C4394E" w:rsidRPr="00767FC2" w:rsidRDefault="00C4394E" w:rsidP="00C4394E">
      <w:pPr>
        <w:pStyle w:val="tPara"/>
      </w:pPr>
      <w:r w:rsidRPr="00767FC2">
        <w:tab/>
      </w:r>
      <w:r w:rsidR="001626C4" w:rsidRPr="00767FC2">
        <w:t>(c)</w:t>
      </w:r>
      <w:r w:rsidRPr="00767FC2">
        <w:tab/>
        <w:t xml:space="preserve">for </w:t>
      </w:r>
      <w:r w:rsidR="00351FD9" w:rsidRPr="00767FC2">
        <w:t xml:space="preserve">an area of land that is part of </w:t>
      </w:r>
      <w:r w:rsidRPr="00767FC2">
        <w:t>a project area that was identified in the section 27 declaration when the project was declared an eligible offsets project—the calendar year in which the crediting period of the project begins; and</w:t>
      </w:r>
    </w:p>
    <w:p w14:paraId="21E768CF" w14:textId="77777777" w:rsidR="00C4394E" w:rsidRPr="00767FC2" w:rsidRDefault="00C4394E" w:rsidP="00C4394E">
      <w:pPr>
        <w:pStyle w:val="tPara"/>
      </w:pPr>
      <w:r w:rsidRPr="00767FC2">
        <w:tab/>
      </w:r>
      <w:r w:rsidR="001626C4" w:rsidRPr="00767FC2">
        <w:t>(d)</w:t>
      </w:r>
      <w:r w:rsidRPr="00767FC2">
        <w:tab/>
      </w:r>
      <w:proofErr w:type="gramStart"/>
      <w:r w:rsidRPr="00767FC2">
        <w:t>for</w:t>
      </w:r>
      <w:proofErr w:type="gramEnd"/>
      <w:r w:rsidRPr="00767FC2">
        <w:t xml:space="preserve"> </w:t>
      </w:r>
      <w:r w:rsidR="00351FD9" w:rsidRPr="00767FC2">
        <w:t xml:space="preserve">an area of land that is part of </w:t>
      </w:r>
      <w:r w:rsidRPr="00767FC2">
        <w:t>a project area that was identified in the section 27 declaration at a later date—the calendar year in which the relevant variation of the section 27 declaration took effect.</w:t>
      </w:r>
    </w:p>
    <w:p w14:paraId="45AC92F5" w14:textId="77777777" w:rsidR="004D672E" w:rsidRPr="00767FC2" w:rsidRDefault="004D672E" w:rsidP="004D672E">
      <w:pPr>
        <w:pStyle w:val="nMain"/>
      </w:pPr>
      <w:r w:rsidRPr="00767FC2">
        <w:t>Note 1:</w:t>
      </w:r>
      <w:r w:rsidRPr="00767FC2">
        <w:tab/>
        <w:t>If a project area has a single project area part (that is, if the project area lies entirely within a single rainfall zone), it has a single baseline period. If a project area has two project area parts (that is, if the project area spans both rainfall zones), the project area does not have a single baseline period. Instead, each project area part has its own baseline period.</w:t>
      </w:r>
    </w:p>
    <w:p w14:paraId="088E9EF8" w14:textId="77777777" w:rsidR="003D33A0" w:rsidRPr="00767FC2" w:rsidRDefault="003D33A0" w:rsidP="003D33A0">
      <w:pPr>
        <w:pStyle w:val="nMain"/>
      </w:pPr>
      <w:r w:rsidRPr="00767FC2">
        <w:t>Note</w:t>
      </w:r>
      <w:r w:rsidR="004D672E" w:rsidRPr="00767FC2">
        <w:t xml:space="preserve"> 2</w:t>
      </w:r>
      <w:r w:rsidRPr="00767FC2">
        <w:t>:</w:t>
      </w:r>
      <w:r w:rsidRPr="00767FC2">
        <w:tab/>
        <w:t>For transferring project areas, the former determination generally fixed a baseline period. Section </w:t>
      </w:r>
      <w:r w:rsidR="00964086" w:rsidRPr="00767FC2">
        <w:t>26</w:t>
      </w:r>
      <w:r w:rsidRPr="00767FC2">
        <w:t xml:space="preserve"> preserves the baseline period that applied under the former determination.</w:t>
      </w:r>
    </w:p>
    <w:p w14:paraId="62753B07" w14:textId="77777777" w:rsidR="00951F36" w:rsidRPr="00767FC2" w:rsidRDefault="00951F36" w:rsidP="00951F36">
      <w:pPr>
        <w:pStyle w:val="h6Subsec"/>
      </w:pPr>
      <w:r w:rsidRPr="00767FC2">
        <w:rPr>
          <w:b/>
        </w:rPr>
        <w:t>Baseline period</w:t>
      </w:r>
      <w:r w:rsidRPr="00767FC2">
        <w:t>—subdivided project areas</w:t>
      </w:r>
    </w:p>
    <w:p w14:paraId="46665874" w14:textId="77777777" w:rsidR="00951F36" w:rsidRPr="00767FC2" w:rsidRDefault="00951F36" w:rsidP="00951F36">
      <w:pPr>
        <w:pStyle w:val="tMain"/>
      </w:pPr>
      <w:r w:rsidRPr="00767FC2">
        <w:tab/>
      </w:r>
      <w:r w:rsidR="001626C4" w:rsidRPr="00767FC2">
        <w:t>(2)</w:t>
      </w:r>
      <w:r w:rsidRPr="00767FC2">
        <w:tab/>
        <w:t xml:space="preserve">The </w:t>
      </w:r>
      <w:r w:rsidRPr="00767FC2">
        <w:rPr>
          <w:b/>
          <w:i/>
        </w:rPr>
        <w:t xml:space="preserve">baseline period </w:t>
      </w:r>
      <w:r w:rsidRPr="00767FC2">
        <w:t xml:space="preserve">of an area of land in a subdivided project area is the same as the baseline period of </w:t>
      </w:r>
      <w:r w:rsidR="00FF1452" w:rsidRPr="00767FC2">
        <w:t xml:space="preserve">the </w:t>
      </w:r>
      <w:r w:rsidRPr="00767FC2">
        <w:t>area of land in the original project area.</w:t>
      </w:r>
    </w:p>
    <w:p w14:paraId="5F5C3CF8" w14:textId="77777777" w:rsidR="004D672E" w:rsidRPr="00767FC2" w:rsidRDefault="004D672E" w:rsidP="004D672E">
      <w:pPr>
        <w:pStyle w:val="nMain"/>
      </w:pPr>
      <w:r w:rsidRPr="00767FC2">
        <w:t>Note:</w:t>
      </w:r>
      <w:r w:rsidRPr="00767FC2">
        <w:tab/>
        <w:t xml:space="preserve">See subsection </w:t>
      </w:r>
      <w:r w:rsidR="00964086" w:rsidRPr="00767FC2">
        <w:t>15(2)</w:t>
      </w:r>
      <w:r w:rsidRPr="00767FC2">
        <w:t xml:space="preserve"> for the meaning of ‘subdivided project area’ and ‘original project area’.</w:t>
      </w:r>
    </w:p>
    <w:p w14:paraId="709BE655" w14:textId="77777777" w:rsidR="00951F36" w:rsidRPr="00767FC2" w:rsidRDefault="001626C4" w:rsidP="00951F36">
      <w:pPr>
        <w:pStyle w:val="h5Section"/>
      </w:pPr>
      <w:bookmarkStart w:id="27" w:name="_Toc478739816"/>
      <w:bookmarkStart w:id="28" w:name="_Toc509567181"/>
      <w:proofErr w:type="gramStart"/>
      <w:r w:rsidRPr="00767FC2">
        <w:t>9</w:t>
      </w:r>
      <w:r w:rsidR="00951F36" w:rsidRPr="00767FC2">
        <w:t xml:space="preserve">  Documents</w:t>
      </w:r>
      <w:proofErr w:type="gramEnd"/>
      <w:r w:rsidR="00951F36" w:rsidRPr="00767FC2">
        <w:t xml:space="preserve"> that are updated from time to time</w:t>
      </w:r>
      <w:bookmarkEnd w:id="27"/>
      <w:bookmarkEnd w:id="28"/>
    </w:p>
    <w:p w14:paraId="27E04ED4" w14:textId="77777777" w:rsidR="0022619A" w:rsidRPr="00767FC2" w:rsidRDefault="0022619A" w:rsidP="0022619A">
      <w:pPr>
        <w:pStyle w:val="h6Subsec"/>
      </w:pPr>
      <w:r w:rsidRPr="00767FC2">
        <w:t>Definitions relating to documents that are updated from time to time</w:t>
      </w:r>
    </w:p>
    <w:p w14:paraId="633CEFE8" w14:textId="77777777" w:rsidR="0022619A" w:rsidRPr="00767FC2" w:rsidRDefault="0022619A" w:rsidP="0022619A">
      <w:pPr>
        <w:pStyle w:val="tMain"/>
      </w:pPr>
      <w:r w:rsidRPr="00767FC2">
        <w:tab/>
      </w:r>
      <w:r w:rsidR="001626C4" w:rsidRPr="00767FC2">
        <w:t>(1)</w:t>
      </w:r>
      <w:r w:rsidRPr="00767FC2">
        <w:tab/>
        <w:t>For this determination, the following terms mean the document of the name indicated, as published on the Department’s website and as in force from time to time:</w:t>
      </w:r>
    </w:p>
    <w:p w14:paraId="33CC8FC4" w14:textId="77777777" w:rsidR="0022619A" w:rsidRPr="00767FC2" w:rsidRDefault="0022619A" w:rsidP="0022619A">
      <w:pPr>
        <w:pStyle w:val="tPara"/>
      </w:pPr>
      <w:r w:rsidRPr="00767FC2">
        <w:tab/>
      </w:r>
      <w:r w:rsidR="001626C4" w:rsidRPr="00767FC2">
        <w:t>(a)</w:t>
      </w:r>
      <w:r w:rsidRPr="00767FC2">
        <w:tab/>
      </w:r>
      <w:proofErr w:type="gramStart"/>
      <w:r w:rsidRPr="00767FC2">
        <w:t>the</w:t>
      </w:r>
      <w:proofErr w:type="gramEnd"/>
      <w:r w:rsidRPr="00767FC2">
        <w:t xml:space="preserve"> </w:t>
      </w:r>
      <w:r w:rsidRPr="00767FC2">
        <w:rPr>
          <w:b/>
          <w:i/>
        </w:rPr>
        <w:t xml:space="preserve">Relevant Weeds Risk spatial data layer </w:t>
      </w:r>
      <w:r w:rsidRPr="00767FC2">
        <w:t>(if published);</w:t>
      </w:r>
    </w:p>
    <w:p w14:paraId="49B42F0A" w14:textId="77777777" w:rsidR="0022619A" w:rsidRPr="00767FC2" w:rsidRDefault="0022619A" w:rsidP="0022619A">
      <w:pPr>
        <w:pStyle w:val="tPara"/>
      </w:pPr>
      <w:r w:rsidRPr="00767FC2">
        <w:tab/>
      </w:r>
      <w:r w:rsidR="001626C4" w:rsidRPr="00767FC2">
        <w:t>(b)</w:t>
      </w:r>
      <w:r w:rsidRPr="00767FC2">
        <w:tab/>
      </w:r>
      <w:proofErr w:type="gramStart"/>
      <w:r w:rsidRPr="00767FC2">
        <w:t>the</w:t>
      </w:r>
      <w:proofErr w:type="gramEnd"/>
      <w:r w:rsidRPr="00767FC2">
        <w:t xml:space="preserve"> </w:t>
      </w:r>
      <w:r w:rsidRPr="00767FC2">
        <w:rPr>
          <w:b/>
          <w:i/>
        </w:rPr>
        <w:t>Savanna Fire Management LDS Start Date spatial data layer</w:t>
      </w:r>
      <w:r w:rsidRPr="00767FC2">
        <w:t>;</w:t>
      </w:r>
    </w:p>
    <w:p w14:paraId="207D6E7F" w14:textId="77777777" w:rsidR="0022619A" w:rsidRPr="00767FC2" w:rsidRDefault="0022619A" w:rsidP="0022619A">
      <w:pPr>
        <w:pStyle w:val="tPara"/>
      </w:pPr>
      <w:r w:rsidRPr="00767FC2">
        <w:tab/>
      </w:r>
      <w:r w:rsidR="001626C4" w:rsidRPr="00767FC2">
        <w:t>(c)</w:t>
      </w:r>
      <w:r w:rsidRPr="00767FC2">
        <w:tab/>
      </w:r>
      <w:proofErr w:type="gramStart"/>
      <w:r w:rsidRPr="00767FC2">
        <w:t>the</w:t>
      </w:r>
      <w:proofErr w:type="gramEnd"/>
      <w:r w:rsidRPr="00767FC2">
        <w:t xml:space="preserve"> </w:t>
      </w:r>
      <w:r w:rsidRPr="00767FC2">
        <w:rPr>
          <w:b/>
          <w:i/>
        </w:rPr>
        <w:t>Savanna Fire Management LDS End Date spatial data layer</w:t>
      </w:r>
      <w:r w:rsidRPr="00767FC2">
        <w:t>;</w:t>
      </w:r>
    </w:p>
    <w:p w14:paraId="0704CC24" w14:textId="77777777" w:rsidR="0022619A" w:rsidRPr="00767FC2" w:rsidRDefault="0022619A" w:rsidP="0022619A">
      <w:pPr>
        <w:pStyle w:val="tPara"/>
      </w:pPr>
      <w:r w:rsidRPr="00767FC2">
        <w:tab/>
      </w:r>
      <w:r w:rsidR="001626C4" w:rsidRPr="00767FC2">
        <w:t>(d)</w:t>
      </w:r>
      <w:r w:rsidRPr="00767FC2">
        <w:tab/>
      </w:r>
      <w:proofErr w:type="gramStart"/>
      <w:r w:rsidRPr="00767FC2">
        <w:t>the</w:t>
      </w:r>
      <w:proofErr w:type="gramEnd"/>
      <w:r w:rsidRPr="00767FC2">
        <w:t xml:space="preserve"> </w:t>
      </w:r>
      <w:r w:rsidRPr="00767FC2">
        <w:rPr>
          <w:b/>
          <w:i/>
        </w:rPr>
        <w:t>savanna technical guidance document</w:t>
      </w:r>
      <w:r w:rsidRPr="00767FC2">
        <w:t>.</w:t>
      </w:r>
    </w:p>
    <w:p w14:paraId="5E1837ED" w14:textId="77777777" w:rsidR="0022619A" w:rsidRPr="00767FC2" w:rsidRDefault="0022619A" w:rsidP="0022619A">
      <w:pPr>
        <w:pStyle w:val="nMain"/>
      </w:pPr>
      <w:r w:rsidRPr="00767FC2">
        <w:t>Note 1:</w:t>
      </w:r>
      <w:r w:rsidRPr="00767FC2">
        <w:tab/>
        <w:t>If published, the Relevant Weeds Risk spatial data layer is used when complying with the monitoring requirement for weeds, section </w:t>
      </w:r>
      <w:r w:rsidR="00964086" w:rsidRPr="00767FC2">
        <w:t>40</w:t>
      </w:r>
      <w:r w:rsidRPr="00767FC2">
        <w:t>.</w:t>
      </w:r>
    </w:p>
    <w:p w14:paraId="62265770" w14:textId="77777777" w:rsidR="0022619A" w:rsidRPr="00767FC2" w:rsidRDefault="0022619A" w:rsidP="0022619A">
      <w:pPr>
        <w:pStyle w:val="nMain"/>
      </w:pPr>
      <w:r w:rsidRPr="00767FC2">
        <w:tab/>
        <w:t>The Savanna Fire Management LDS Start Date spatial data layer and the Savanna Fire Management LDS End Date spatial data layer are used for the purposes of section </w:t>
      </w:r>
      <w:r w:rsidR="00964086" w:rsidRPr="00767FC2">
        <w:t>7</w:t>
      </w:r>
      <w:r w:rsidRPr="00767FC2">
        <w:t xml:space="preserve"> when working out when, for that calendar year, the late dry season begins and ends.</w:t>
      </w:r>
    </w:p>
    <w:p w14:paraId="73F54371" w14:textId="77777777" w:rsidR="00E16703" w:rsidRPr="00767FC2" w:rsidRDefault="00E16703" w:rsidP="00E16703">
      <w:pPr>
        <w:pStyle w:val="nMain"/>
      </w:pPr>
      <w:r w:rsidRPr="00767FC2">
        <w:tab/>
        <w:t>The savanna technical guidance document sets out:</w:t>
      </w:r>
    </w:p>
    <w:p w14:paraId="23294B80" w14:textId="77777777" w:rsidR="00E16703" w:rsidRPr="00767FC2" w:rsidRDefault="00E16703" w:rsidP="00E16703">
      <w:pPr>
        <w:pStyle w:val="nMain"/>
        <w:spacing w:before="40"/>
        <w:ind w:left="2314" w:hanging="284"/>
      </w:pPr>
      <w:r w:rsidRPr="00767FC2">
        <w:sym w:font="Symbol" w:char="00B7"/>
      </w:r>
      <w:r w:rsidRPr="00767FC2">
        <w:tab/>
      </w:r>
      <w:proofErr w:type="gramStart"/>
      <w:r w:rsidRPr="00767FC2">
        <w:t>descriptions</w:t>
      </w:r>
      <w:proofErr w:type="gramEnd"/>
      <w:r w:rsidRPr="00767FC2">
        <w:t xml:space="preserve"> of the vegetation fuel types that are eligible for each rainfall zone; and</w:t>
      </w:r>
    </w:p>
    <w:p w14:paraId="02423450" w14:textId="77777777" w:rsidR="00A7102B" w:rsidRPr="00767FC2" w:rsidRDefault="00A7102B" w:rsidP="00A7102B">
      <w:pPr>
        <w:pStyle w:val="nMain"/>
        <w:spacing w:before="40"/>
        <w:ind w:left="2314" w:hanging="284"/>
      </w:pPr>
      <w:r w:rsidRPr="00767FC2">
        <w:lastRenderedPageBreak/>
        <w:sym w:font="Symbol" w:char="00B7"/>
      </w:r>
      <w:r w:rsidRPr="00767FC2">
        <w:tab/>
      </w:r>
      <w:proofErr w:type="gramStart"/>
      <w:r w:rsidRPr="00767FC2">
        <w:t>instructions</w:t>
      </w:r>
      <w:proofErr w:type="gramEnd"/>
      <w:r w:rsidRPr="00767FC2">
        <w:t xml:space="preserve"> relating to mapping requirements, such as:</w:t>
      </w:r>
    </w:p>
    <w:p w14:paraId="40DD8720" w14:textId="77777777" w:rsidR="00A7102B" w:rsidRPr="00767FC2" w:rsidRDefault="00A7102B" w:rsidP="00A7102B">
      <w:pPr>
        <w:pStyle w:val="nMain"/>
        <w:spacing w:before="40"/>
        <w:ind w:left="2598" w:hanging="284"/>
      </w:pPr>
      <w:r w:rsidRPr="00767FC2">
        <w:t>–</w:t>
      </w:r>
      <w:r w:rsidRPr="00767FC2">
        <w:tab/>
      </w:r>
      <w:proofErr w:type="gramStart"/>
      <w:r w:rsidRPr="00767FC2">
        <w:t>requirements</w:t>
      </w:r>
      <w:proofErr w:type="gramEnd"/>
      <w:r w:rsidRPr="00767FC2">
        <w:t xml:space="preserve"> relating to mapping units; and</w:t>
      </w:r>
    </w:p>
    <w:p w14:paraId="0D95BAF6" w14:textId="77777777" w:rsidR="00A7102B" w:rsidRPr="00767FC2" w:rsidRDefault="00A7102B" w:rsidP="00A7102B">
      <w:pPr>
        <w:pStyle w:val="nMain"/>
        <w:spacing w:before="40"/>
        <w:ind w:left="2598" w:hanging="284"/>
      </w:pPr>
      <w:r w:rsidRPr="00767FC2">
        <w:t>–</w:t>
      </w:r>
      <w:r w:rsidRPr="00767FC2">
        <w:tab/>
      </w:r>
      <w:proofErr w:type="gramStart"/>
      <w:r w:rsidRPr="00767FC2">
        <w:t>how</w:t>
      </w:r>
      <w:proofErr w:type="gramEnd"/>
      <w:r w:rsidRPr="00767FC2">
        <w:t xml:space="preserve"> to validate vegetation fuel type maps, monthly fire maps and seasonal fire maps; and</w:t>
      </w:r>
    </w:p>
    <w:p w14:paraId="44321BCD" w14:textId="77777777" w:rsidR="00A7102B" w:rsidRPr="00767FC2" w:rsidRDefault="00A7102B" w:rsidP="00A7102B">
      <w:pPr>
        <w:pStyle w:val="nMain"/>
        <w:spacing w:before="40"/>
        <w:ind w:left="2598" w:hanging="284"/>
      </w:pPr>
      <w:r w:rsidRPr="00767FC2">
        <w:t>–</w:t>
      </w:r>
      <w:r w:rsidRPr="00767FC2">
        <w:tab/>
      </w:r>
      <w:proofErr w:type="gramStart"/>
      <w:r w:rsidRPr="00767FC2">
        <w:t>the</w:t>
      </w:r>
      <w:proofErr w:type="gramEnd"/>
      <w:r w:rsidRPr="00767FC2">
        <w:t xml:space="preserve"> required accuracy of those maps; and</w:t>
      </w:r>
    </w:p>
    <w:p w14:paraId="5161564C" w14:textId="77777777" w:rsidR="00E16703" w:rsidRPr="00767FC2" w:rsidRDefault="00E16703" w:rsidP="00E16703">
      <w:pPr>
        <w:pStyle w:val="nMain"/>
        <w:spacing w:before="40"/>
        <w:ind w:left="2314" w:hanging="284"/>
      </w:pPr>
      <w:r w:rsidRPr="00767FC2">
        <w:sym w:font="Symbol" w:char="00B7"/>
      </w:r>
      <w:r w:rsidRPr="00767FC2">
        <w:tab/>
      </w:r>
      <w:proofErr w:type="gramStart"/>
      <w:r w:rsidRPr="00767FC2">
        <w:t>relevant</w:t>
      </w:r>
      <w:proofErr w:type="gramEnd"/>
      <w:r w:rsidRPr="00767FC2">
        <w:t xml:space="preserve"> weed species, and details of weed monitoring requirements; and</w:t>
      </w:r>
    </w:p>
    <w:p w14:paraId="1E387EBF" w14:textId="77777777" w:rsidR="00E16703" w:rsidRPr="00767FC2" w:rsidRDefault="00E16703" w:rsidP="00E16703">
      <w:pPr>
        <w:pStyle w:val="nMain"/>
        <w:spacing w:before="40"/>
        <w:ind w:left="2314" w:hanging="284"/>
      </w:pPr>
      <w:r w:rsidRPr="00767FC2">
        <w:sym w:font="Symbol" w:char="00B7"/>
      </w:r>
      <w:r w:rsidRPr="00767FC2">
        <w:tab/>
      </w:r>
      <w:proofErr w:type="gramStart"/>
      <w:r w:rsidRPr="00767FC2">
        <w:t>recommended</w:t>
      </w:r>
      <w:proofErr w:type="gramEnd"/>
      <w:r w:rsidRPr="00767FC2">
        <w:t xml:space="preserve"> guidelines for developing project management plans; and</w:t>
      </w:r>
    </w:p>
    <w:p w14:paraId="786336C1" w14:textId="77777777" w:rsidR="00E16703" w:rsidRPr="00767FC2" w:rsidRDefault="00E16703" w:rsidP="00E16703">
      <w:pPr>
        <w:pStyle w:val="nMain"/>
        <w:spacing w:before="40"/>
        <w:ind w:left="2314" w:hanging="284"/>
      </w:pPr>
      <w:r w:rsidRPr="00767FC2">
        <w:sym w:font="Symbol" w:char="00B7"/>
      </w:r>
      <w:r w:rsidRPr="00767FC2">
        <w:tab/>
        <w:t>values of variables that are used to calculate the net abatement amount and that are either contained in, or calculated in accordance with, the National Inventory Report; and</w:t>
      </w:r>
    </w:p>
    <w:p w14:paraId="1138945C" w14:textId="77777777" w:rsidR="00E16703" w:rsidRPr="00767FC2" w:rsidRDefault="00E16703" w:rsidP="00E16703">
      <w:pPr>
        <w:pStyle w:val="nMain"/>
        <w:spacing w:before="40"/>
        <w:ind w:left="2314" w:hanging="284"/>
      </w:pPr>
      <w:r w:rsidRPr="00767FC2">
        <w:sym w:font="Symbol" w:char="00B7"/>
      </w:r>
      <w:r w:rsidRPr="00767FC2">
        <w:tab/>
      </w:r>
      <w:proofErr w:type="gramStart"/>
      <w:r w:rsidRPr="00767FC2">
        <w:t>values</w:t>
      </w:r>
      <w:proofErr w:type="gramEnd"/>
      <w:r w:rsidRPr="00767FC2">
        <w:t xml:space="preserve"> of the fuel accumulation values that are used for the purposes of section </w:t>
      </w:r>
      <w:r w:rsidR="00964086" w:rsidRPr="00767FC2">
        <w:t>7</w:t>
      </w:r>
      <w:r w:rsidRPr="00767FC2">
        <w:t xml:space="preserve"> of Schedule 1.</w:t>
      </w:r>
    </w:p>
    <w:p w14:paraId="42A045D8" w14:textId="77777777" w:rsidR="0022619A" w:rsidRPr="00767FC2" w:rsidRDefault="0022619A" w:rsidP="0022619A">
      <w:pPr>
        <w:pStyle w:val="nMain"/>
      </w:pPr>
      <w:r w:rsidRPr="00767FC2">
        <w:t>Note 2:</w:t>
      </w:r>
      <w:r w:rsidRPr="00767FC2">
        <w:tab/>
        <w:t xml:space="preserve">In </w:t>
      </w:r>
      <w:r w:rsidR="00D32953" w:rsidRPr="00767FC2">
        <w:t>2018</w:t>
      </w:r>
      <w:r w:rsidRPr="00767FC2">
        <w:t>, the Department’s website was http://www.environment.gov.au.</w:t>
      </w:r>
    </w:p>
    <w:p w14:paraId="19A440B2" w14:textId="77777777" w:rsidR="0022619A" w:rsidRPr="00767FC2" w:rsidRDefault="0022619A" w:rsidP="0022619A">
      <w:pPr>
        <w:pStyle w:val="tMain"/>
      </w:pPr>
      <w:r w:rsidRPr="00767FC2">
        <w:tab/>
      </w:r>
      <w:r w:rsidR="001626C4" w:rsidRPr="00767FC2">
        <w:t>(2)</w:t>
      </w:r>
      <w:r w:rsidRPr="00767FC2">
        <w:tab/>
        <w:t xml:space="preserve">For this determination, </w:t>
      </w:r>
      <w:proofErr w:type="spellStart"/>
      <w:r w:rsidRPr="00767FC2">
        <w:rPr>
          <w:b/>
          <w:i/>
        </w:rPr>
        <w:t>SavBAT</w:t>
      </w:r>
      <w:proofErr w:type="spellEnd"/>
      <w:r w:rsidRPr="00767FC2">
        <w:rPr>
          <w:b/>
          <w:i/>
        </w:rPr>
        <w:t xml:space="preserve"> 3 </w:t>
      </w:r>
      <w:r w:rsidRPr="00767FC2">
        <w:t>(short for Savanna Burning Abatement Tool version 3)</w:t>
      </w:r>
      <w:r w:rsidRPr="00767FC2">
        <w:rPr>
          <w:b/>
          <w:i/>
        </w:rPr>
        <w:t xml:space="preserve"> </w:t>
      </w:r>
      <w:r w:rsidRPr="00767FC2">
        <w:rPr>
          <w:lang w:eastAsia="en-NZ"/>
        </w:rPr>
        <w:t xml:space="preserve">means </w:t>
      </w:r>
      <w:r w:rsidRPr="00767FC2">
        <w:t xml:space="preserve">the web-based information technology tool of that name as published on the </w:t>
      </w:r>
      <w:proofErr w:type="spellStart"/>
      <w:r w:rsidRPr="00767FC2">
        <w:rPr>
          <w:lang w:eastAsia="en-NZ"/>
        </w:rPr>
        <w:t>SavBAT</w:t>
      </w:r>
      <w:proofErr w:type="spellEnd"/>
      <w:r w:rsidRPr="00767FC2">
        <w:rPr>
          <w:lang w:eastAsia="en-NZ"/>
        </w:rPr>
        <w:t xml:space="preserve"> website and </w:t>
      </w:r>
      <w:r w:rsidRPr="00767FC2">
        <w:t>as in force from time to time.</w:t>
      </w:r>
    </w:p>
    <w:p w14:paraId="4D529C3E" w14:textId="77777777" w:rsidR="0022619A" w:rsidRPr="00767FC2" w:rsidRDefault="0022619A" w:rsidP="0022619A">
      <w:pPr>
        <w:pStyle w:val="nMain"/>
      </w:pPr>
      <w:r w:rsidRPr="00767FC2">
        <w:t>Note 1:</w:t>
      </w:r>
      <w:r w:rsidRPr="00767FC2">
        <w:tab/>
      </w:r>
      <w:proofErr w:type="spellStart"/>
      <w:r w:rsidRPr="00767FC2">
        <w:t>SavBAT</w:t>
      </w:r>
      <w:proofErr w:type="spellEnd"/>
      <w:r w:rsidRPr="00767FC2">
        <w:t xml:space="preserve"> 3 automates some processes required under this determination </w:t>
      </w:r>
      <w:r w:rsidR="0062164F" w:rsidRPr="00767FC2">
        <w:t xml:space="preserve">(in particular, the calculation of the net abatement amount) </w:t>
      </w:r>
      <w:r w:rsidRPr="00767FC2">
        <w:t>and provides reports that meet some of the reporting and record-keeping requirements of this determination.</w:t>
      </w:r>
    </w:p>
    <w:p w14:paraId="7540DD79" w14:textId="77777777" w:rsidR="0022619A" w:rsidRPr="00767FC2" w:rsidRDefault="0022619A" w:rsidP="0022619A">
      <w:pPr>
        <w:pStyle w:val="nMain"/>
      </w:pPr>
      <w:r w:rsidRPr="00767FC2">
        <w:t>Note 2:</w:t>
      </w:r>
      <w:r w:rsidRPr="00767FC2">
        <w:tab/>
        <w:t xml:space="preserve">In </w:t>
      </w:r>
      <w:r w:rsidR="00D32953" w:rsidRPr="00767FC2">
        <w:t>2018</w:t>
      </w:r>
      <w:r w:rsidRPr="00767FC2">
        <w:t xml:space="preserve">, the </w:t>
      </w:r>
      <w:proofErr w:type="spellStart"/>
      <w:r w:rsidRPr="00767FC2">
        <w:t>SavBAT</w:t>
      </w:r>
      <w:proofErr w:type="spellEnd"/>
      <w:r w:rsidRPr="00767FC2">
        <w:t xml:space="preserve"> website was </w:t>
      </w:r>
      <w:r w:rsidRPr="00767FC2">
        <w:rPr>
          <w:lang w:eastAsia="en-NZ"/>
        </w:rPr>
        <w:t>https://savbat.net.au/</w:t>
      </w:r>
      <w:r w:rsidRPr="00767FC2">
        <w:t>.</w:t>
      </w:r>
    </w:p>
    <w:p w14:paraId="547D5AD3" w14:textId="77777777" w:rsidR="0022619A" w:rsidRPr="00767FC2" w:rsidRDefault="0022619A" w:rsidP="0022619A">
      <w:pPr>
        <w:pStyle w:val="tMain"/>
      </w:pPr>
      <w:r w:rsidRPr="00767FC2">
        <w:rPr>
          <w:bCs/>
          <w:iCs/>
        </w:rPr>
        <w:tab/>
      </w:r>
      <w:r w:rsidR="001626C4" w:rsidRPr="00767FC2">
        <w:rPr>
          <w:bCs/>
          <w:iCs/>
        </w:rPr>
        <w:t>(3)</w:t>
      </w:r>
      <w:r w:rsidRPr="00767FC2">
        <w:rPr>
          <w:bCs/>
          <w:iCs/>
        </w:rPr>
        <w:tab/>
        <w:t xml:space="preserve">For this determination, the </w:t>
      </w:r>
      <w:r w:rsidRPr="00767FC2">
        <w:rPr>
          <w:b/>
          <w:bCs/>
          <w:i/>
          <w:iCs/>
        </w:rPr>
        <w:t>National Inventory Report</w:t>
      </w:r>
      <w:r w:rsidRPr="00767FC2">
        <w:t> is the most recently published document that is:</w:t>
      </w:r>
    </w:p>
    <w:p w14:paraId="681231D5" w14:textId="77777777" w:rsidR="0022619A" w:rsidRPr="00767FC2" w:rsidRDefault="0022619A" w:rsidP="0022619A">
      <w:pPr>
        <w:pStyle w:val="tPara"/>
      </w:pPr>
      <w:r w:rsidRPr="00767FC2">
        <w:tab/>
      </w:r>
      <w:r w:rsidR="001626C4" w:rsidRPr="00767FC2">
        <w:t>(a)</w:t>
      </w:r>
      <w:r w:rsidRPr="00767FC2">
        <w:tab/>
      </w:r>
      <w:proofErr w:type="gramStart"/>
      <w:r w:rsidRPr="00767FC2">
        <w:t>known</w:t>
      </w:r>
      <w:proofErr w:type="gramEnd"/>
      <w:r w:rsidRPr="00767FC2">
        <w:t xml:space="preserve"> as the National Inventory Report; and</w:t>
      </w:r>
    </w:p>
    <w:p w14:paraId="1D0EA8C6" w14:textId="77777777" w:rsidR="0022619A" w:rsidRPr="00767FC2" w:rsidRDefault="0022619A" w:rsidP="0022619A">
      <w:pPr>
        <w:pStyle w:val="tPara"/>
      </w:pPr>
      <w:r w:rsidRPr="00767FC2">
        <w:tab/>
      </w:r>
      <w:r w:rsidR="001626C4" w:rsidRPr="00767FC2">
        <w:t>(b)</w:t>
      </w:r>
      <w:r w:rsidRPr="00767FC2">
        <w:tab/>
      </w:r>
      <w:proofErr w:type="gramStart"/>
      <w:r w:rsidRPr="00767FC2">
        <w:t>prepared</w:t>
      </w:r>
      <w:proofErr w:type="gramEnd"/>
      <w:r w:rsidRPr="00767FC2">
        <w:t xml:space="preserve"> by the Department in fulfilment of obligations that Australia has under the Climate Change Convention.</w:t>
      </w:r>
    </w:p>
    <w:p w14:paraId="566D7916" w14:textId="77777777" w:rsidR="00E630AC" w:rsidRPr="00767FC2" w:rsidRDefault="00E630AC" w:rsidP="00E630AC">
      <w:pPr>
        <w:pStyle w:val="nMain"/>
      </w:pPr>
      <w:r w:rsidRPr="00767FC2">
        <w:t>Note:</w:t>
      </w:r>
      <w:r w:rsidRPr="00767FC2">
        <w:tab/>
        <w:t xml:space="preserve">The National Inventory Report is available on the Department’s website, which was, in </w:t>
      </w:r>
      <w:r w:rsidR="00D32953" w:rsidRPr="00767FC2">
        <w:t>2018</w:t>
      </w:r>
      <w:r w:rsidRPr="00767FC2">
        <w:t>, http://www.environment.gov.au.</w:t>
      </w:r>
    </w:p>
    <w:p w14:paraId="40CB33EF" w14:textId="77777777" w:rsidR="0022619A" w:rsidRPr="00767FC2" w:rsidRDefault="0022619A" w:rsidP="0022619A">
      <w:pPr>
        <w:pStyle w:val="h6Subsec"/>
      </w:pPr>
      <w:r w:rsidRPr="00767FC2">
        <w:t xml:space="preserve">Updating of documents referred to in subsection </w:t>
      </w:r>
      <w:r w:rsidR="00964086" w:rsidRPr="00767FC2">
        <w:t>(1)</w:t>
      </w:r>
      <w:r w:rsidRPr="00767FC2">
        <w:t xml:space="preserve"> and </w:t>
      </w:r>
      <w:r w:rsidR="00964086" w:rsidRPr="00767FC2">
        <w:t>(2)</w:t>
      </w:r>
    </w:p>
    <w:p w14:paraId="4E9423BA" w14:textId="77777777" w:rsidR="0022619A" w:rsidRPr="00767FC2" w:rsidRDefault="0022619A" w:rsidP="0022619A">
      <w:pPr>
        <w:pStyle w:val="tMain"/>
      </w:pPr>
      <w:r w:rsidRPr="00767FC2">
        <w:tab/>
      </w:r>
      <w:r w:rsidR="001626C4" w:rsidRPr="00767FC2">
        <w:t>(4)</w:t>
      </w:r>
      <w:r w:rsidRPr="00767FC2">
        <w:tab/>
        <w:t xml:space="preserve">A document referred to in subsection </w:t>
      </w:r>
      <w:r w:rsidR="00964086" w:rsidRPr="00767FC2">
        <w:t>(1)</w:t>
      </w:r>
      <w:r w:rsidRPr="00767FC2">
        <w:t xml:space="preserve"> or </w:t>
      </w:r>
      <w:r w:rsidR="00964086" w:rsidRPr="00767FC2">
        <w:t>(2)</w:t>
      </w:r>
      <w:r w:rsidRPr="00767FC2">
        <w:t xml:space="preserve"> must include, or, when published, be accompanied by:</w:t>
      </w:r>
    </w:p>
    <w:p w14:paraId="242B707C" w14:textId="77777777" w:rsidR="0022619A" w:rsidRPr="00767FC2" w:rsidRDefault="0022619A" w:rsidP="0022619A">
      <w:pPr>
        <w:pStyle w:val="tPara"/>
      </w:pPr>
      <w:r w:rsidRPr="00767FC2">
        <w:tab/>
      </w:r>
      <w:r w:rsidR="001626C4" w:rsidRPr="00767FC2">
        <w:t>(a)</w:t>
      </w:r>
      <w:r w:rsidRPr="00767FC2">
        <w:tab/>
      </w:r>
      <w:proofErr w:type="gramStart"/>
      <w:r w:rsidRPr="00767FC2">
        <w:t>an</w:t>
      </w:r>
      <w:proofErr w:type="gramEnd"/>
      <w:r w:rsidRPr="00767FC2">
        <w:t xml:space="preserve"> outline of the process that is intended to be undertaken before the document is republished in a modified form; and</w:t>
      </w:r>
    </w:p>
    <w:p w14:paraId="31871DB0" w14:textId="77777777" w:rsidR="0022619A" w:rsidRPr="00767FC2" w:rsidRDefault="0022619A" w:rsidP="0022619A">
      <w:pPr>
        <w:pStyle w:val="tPara"/>
      </w:pPr>
      <w:r w:rsidRPr="00767FC2">
        <w:tab/>
      </w:r>
      <w:r w:rsidR="001626C4" w:rsidRPr="00767FC2">
        <w:t>(b)</w:t>
      </w:r>
      <w:r w:rsidRPr="00767FC2">
        <w:tab/>
      </w:r>
      <w:proofErr w:type="gramStart"/>
      <w:r w:rsidRPr="00767FC2">
        <w:t>if</w:t>
      </w:r>
      <w:proofErr w:type="gramEnd"/>
      <w:r w:rsidRPr="00767FC2">
        <w:t xml:space="preserve"> the document is republished in a modified form:</w:t>
      </w:r>
    </w:p>
    <w:p w14:paraId="278ABE35" w14:textId="77777777" w:rsidR="0022619A" w:rsidRPr="00767FC2" w:rsidRDefault="0022619A" w:rsidP="0022619A">
      <w:pPr>
        <w:pStyle w:val="tSubpara"/>
      </w:pPr>
      <w:r w:rsidRPr="00767FC2">
        <w:tab/>
      </w:r>
      <w:r w:rsidR="001626C4" w:rsidRPr="00767FC2">
        <w:t>(</w:t>
      </w:r>
      <w:proofErr w:type="spellStart"/>
      <w:r w:rsidR="001626C4" w:rsidRPr="00767FC2">
        <w:t>i</w:t>
      </w:r>
      <w:proofErr w:type="spellEnd"/>
      <w:r w:rsidR="001626C4" w:rsidRPr="00767FC2">
        <w:t>)</w:t>
      </w:r>
      <w:r w:rsidRPr="00767FC2">
        <w:tab/>
      </w:r>
      <w:proofErr w:type="gramStart"/>
      <w:r w:rsidRPr="00767FC2">
        <w:t>the</w:t>
      </w:r>
      <w:proofErr w:type="gramEnd"/>
      <w:r w:rsidRPr="00767FC2">
        <w:t xml:space="preserve"> reasons why the document was republished in a modified form; and</w:t>
      </w:r>
    </w:p>
    <w:p w14:paraId="10AFC5DB" w14:textId="77777777" w:rsidR="0022619A" w:rsidRPr="00767FC2" w:rsidRDefault="0022619A" w:rsidP="0022619A">
      <w:pPr>
        <w:pStyle w:val="tSubpara"/>
      </w:pPr>
      <w:r w:rsidRPr="00767FC2">
        <w:tab/>
      </w:r>
      <w:r w:rsidR="001626C4" w:rsidRPr="00767FC2">
        <w:t>(ii)</w:t>
      </w:r>
      <w:r w:rsidRPr="00767FC2">
        <w:tab/>
      </w:r>
      <w:proofErr w:type="gramStart"/>
      <w:r w:rsidRPr="00767FC2">
        <w:t>an</w:t>
      </w:r>
      <w:proofErr w:type="gramEnd"/>
      <w:r w:rsidRPr="00767FC2">
        <w:t xml:space="preserve"> outline of the process that was undertaken when modifying the document; and</w:t>
      </w:r>
    </w:p>
    <w:p w14:paraId="42462ACA" w14:textId="77777777" w:rsidR="0022619A" w:rsidRPr="00767FC2" w:rsidRDefault="0022619A" w:rsidP="0022619A">
      <w:pPr>
        <w:pStyle w:val="tSubpara"/>
      </w:pPr>
      <w:r w:rsidRPr="00767FC2">
        <w:tab/>
      </w:r>
      <w:r w:rsidR="001626C4" w:rsidRPr="00767FC2">
        <w:t>(iii)</w:t>
      </w:r>
      <w:r w:rsidRPr="00767FC2">
        <w:tab/>
      </w:r>
      <w:proofErr w:type="gramStart"/>
      <w:r w:rsidRPr="00767FC2">
        <w:t>if</w:t>
      </w:r>
      <w:proofErr w:type="gramEnd"/>
      <w:r w:rsidRPr="00767FC2">
        <w:t xml:space="preserve"> advice was obtained from the Emissions Reduction Assurance Committee in relation to the modification—a copy of the advice.</w:t>
      </w:r>
    </w:p>
    <w:p w14:paraId="18E4651F" w14:textId="77777777" w:rsidR="00E16703" w:rsidRPr="00767FC2" w:rsidRDefault="00E16703" w:rsidP="00E16703">
      <w:pPr>
        <w:pStyle w:val="nMain"/>
      </w:pPr>
      <w:r w:rsidRPr="00767FC2">
        <w:t>Example:</w:t>
      </w:r>
      <w:r w:rsidRPr="00767FC2">
        <w:tab/>
        <w:t>For modifications of documents:</w:t>
      </w:r>
    </w:p>
    <w:p w14:paraId="0D0812A8" w14:textId="77777777" w:rsidR="00E16703" w:rsidRPr="00767FC2" w:rsidRDefault="00E16703" w:rsidP="00E16703">
      <w:pPr>
        <w:pStyle w:val="nMain"/>
        <w:spacing w:before="40"/>
        <w:ind w:left="2314" w:hanging="284"/>
      </w:pPr>
      <w:r w:rsidRPr="00767FC2">
        <w:sym w:font="Symbol" w:char="00B7"/>
      </w:r>
      <w:r w:rsidRPr="00767FC2">
        <w:tab/>
      </w:r>
      <w:proofErr w:type="gramStart"/>
      <w:r w:rsidRPr="00767FC2">
        <w:t>that</w:t>
      </w:r>
      <w:proofErr w:type="gramEnd"/>
      <w:r w:rsidRPr="00767FC2">
        <w:t xml:space="preserve"> are required in order to comply with Australia’s international obligations, or that are necessary or incidental to such modifications; or</w:t>
      </w:r>
    </w:p>
    <w:p w14:paraId="09C079F2" w14:textId="77777777" w:rsidR="00E16703" w:rsidRPr="00767FC2" w:rsidRDefault="00E16703" w:rsidP="00E16703">
      <w:pPr>
        <w:pStyle w:val="nMain"/>
        <w:spacing w:before="40"/>
        <w:ind w:left="2314" w:hanging="284"/>
      </w:pPr>
      <w:r w:rsidRPr="00767FC2">
        <w:sym w:font="Symbol" w:char="00B7"/>
      </w:r>
      <w:r w:rsidRPr="00767FC2">
        <w:tab/>
      </w:r>
      <w:proofErr w:type="gramStart"/>
      <w:r w:rsidRPr="00767FC2">
        <w:t>that</w:t>
      </w:r>
      <w:proofErr w:type="gramEnd"/>
      <w:r w:rsidRPr="00767FC2">
        <w:t xml:space="preserve"> are of a minor nature (such as correcting minor errors);</w:t>
      </w:r>
    </w:p>
    <w:p w14:paraId="3812F442" w14:textId="77777777" w:rsidR="00E16703" w:rsidRPr="00767FC2" w:rsidRDefault="00E16703" w:rsidP="00E16703">
      <w:pPr>
        <w:pStyle w:val="nMain"/>
        <w:spacing w:before="40"/>
      </w:pPr>
      <w:r w:rsidRPr="00767FC2">
        <w:tab/>
      </w:r>
      <w:proofErr w:type="gramStart"/>
      <w:r w:rsidRPr="00767FC2">
        <w:t>the</w:t>
      </w:r>
      <w:proofErr w:type="gramEnd"/>
      <w:r w:rsidRPr="00767FC2">
        <w:t xml:space="preserve"> outline for paragraph </w:t>
      </w:r>
      <w:r w:rsidR="00964086" w:rsidRPr="00767FC2">
        <w:t>(4)(a)</w:t>
      </w:r>
      <w:r w:rsidRPr="00767FC2">
        <w:t xml:space="preserve"> could indicate that public notice will be given before the document is republished.</w:t>
      </w:r>
    </w:p>
    <w:p w14:paraId="4A315C6C" w14:textId="77777777" w:rsidR="00E16703" w:rsidRPr="00767FC2" w:rsidRDefault="00E16703" w:rsidP="00E16703">
      <w:pPr>
        <w:pStyle w:val="nMain"/>
      </w:pPr>
      <w:r w:rsidRPr="00767FC2">
        <w:tab/>
        <w:t>For other modifications, the outline could indicate that, before the changes come into force:</w:t>
      </w:r>
    </w:p>
    <w:p w14:paraId="62B369E8" w14:textId="77777777" w:rsidR="00E16703" w:rsidRPr="00767FC2" w:rsidRDefault="00E16703" w:rsidP="00E16703">
      <w:pPr>
        <w:pStyle w:val="nMain"/>
        <w:spacing w:before="40"/>
        <w:ind w:left="2314" w:hanging="284"/>
      </w:pPr>
      <w:r w:rsidRPr="00767FC2">
        <w:sym w:font="Symbol" w:char="00B7"/>
      </w:r>
      <w:r w:rsidRPr="00767FC2">
        <w:tab/>
      </w:r>
      <w:proofErr w:type="gramStart"/>
      <w:r w:rsidRPr="00767FC2">
        <w:t>public</w:t>
      </w:r>
      <w:proofErr w:type="gramEnd"/>
      <w:r w:rsidRPr="00767FC2">
        <w:t xml:space="preserve"> consultation will be undertaken in relation to the proposed modifications; and</w:t>
      </w:r>
    </w:p>
    <w:p w14:paraId="17F2DED9" w14:textId="77777777" w:rsidR="00E16703" w:rsidRPr="00767FC2" w:rsidRDefault="00E16703" w:rsidP="00E16703">
      <w:pPr>
        <w:pStyle w:val="nMain"/>
        <w:spacing w:before="40"/>
        <w:ind w:left="2314" w:hanging="284"/>
      </w:pPr>
      <w:r w:rsidRPr="00767FC2">
        <w:sym w:font="Symbol" w:char="00B7"/>
      </w:r>
      <w:r w:rsidRPr="00767FC2">
        <w:tab/>
      </w:r>
      <w:proofErr w:type="gramStart"/>
      <w:r w:rsidRPr="00767FC2">
        <w:t>when</w:t>
      </w:r>
      <w:proofErr w:type="gramEnd"/>
      <w:r w:rsidRPr="00767FC2">
        <w:t xml:space="preserve"> deciding whether to modify the document, regard will be had to matters such as the following:</w:t>
      </w:r>
    </w:p>
    <w:p w14:paraId="5B5BDE15" w14:textId="77777777" w:rsidR="00E16703" w:rsidRPr="00767FC2" w:rsidRDefault="00E16703" w:rsidP="00E16703">
      <w:pPr>
        <w:pStyle w:val="nMain"/>
        <w:spacing w:before="40"/>
        <w:ind w:left="2598" w:hanging="284"/>
      </w:pPr>
      <w:r w:rsidRPr="00767FC2">
        <w:t>–</w:t>
      </w:r>
      <w:r w:rsidRPr="00767FC2">
        <w:tab/>
      </w:r>
      <w:proofErr w:type="gramStart"/>
      <w:r w:rsidRPr="00767FC2">
        <w:t>all</w:t>
      </w:r>
      <w:proofErr w:type="gramEnd"/>
      <w:r w:rsidRPr="00767FC2">
        <w:t xml:space="preserve"> submissions received as a result of the public consultation</w:t>
      </w:r>
      <w:r w:rsidR="0062164F" w:rsidRPr="00767FC2">
        <w:t>, together with any advice received from the Regulator</w:t>
      </w:r>
      <w:r w:rsidRPr="00767FC2">
        <w:t>;</w:t>
      </w:r>
    </w:p>
    <w:p w14:paraId="6E63AEC2" w14:textId="77777777" w:rsidR="00E16703" w:rsidRPr="00767FC2" w:rsidRDefault="00E16703" w:rsidP="00E16703">
      <w:pPr>
        <w:pStyle w:val="nMain"/>
        <w:spacing w:before="40"/>
        <w:ind w:left="2598" w:hanging="284"/>
      </w:pPr>
      <w:r w:rsidRPr="00767FC2">
        <w:t>–</w:t>
      </w:r>
      <w:r w:rsidRPr="00767FC2">
        <w:tab/>
      </w:r>
      <w:proofErr w:type="gramStart"/>
      <w:r w:rsidRPr="00767FC2">
        <w:t>the</w:t>
      </w:r>
      <w:proofErr w:type="gramEnd"/>
      <w:r w:rsidRPr="00767FC2">
        <w:t xml:space="preserve"> scientific and technical rationale underlying the proposed modifications;</w:t>
      </w:r>
    </w:p>
    <w:p w14:paraId="01342E3C" w14:textId="77777777" w:rsidR="00E16703" w:rsidRPr="00767FC2" w:rsidRDefault="00E16703" w:rsidP="00E16703">
      <w:pPr>
        <w:pStyle w:val="nMain"/>
        <w:spacing w:before="40"/>
        <w:ind w:left="2598" w:hanging="284"/>
      </w:pPr>
      <w:r w:rsidRPr="00767FC2">
        <w:lastRenderedPageBreak/>
        <w:t>–</w:t>
      </w:r>
      <w:r w:rsidRPr="00767FC2">
        <w:tab/>
      </w:r>
      <w:proofErr w:type="gramStart"/>
      <w:r w:rsidRPr="00767FC2">
        <w:t>the</w:t>
      </w:r>
      <w:proofErr w:type="gramEnd"/>
      <w:r w:rsidRPr="00767FC2">
        <w:t xml:space="preserve"> impacts on project proponents (such as changes to regulatory burden) resulting from the proposed modifications;</w:t>
      </w:r>
    </w:p>
    <w:p w14:paraId="49DE5AAF" w14:textId="77777777" w:rsidR="00E16703" w:rsidRPr="00767FC2" w:rsidRDefault="00E16703" w:rsidP="00E16703">
      <w:pPr>
        <w:pStyle w:val="nMain"/>
        <w:spacing w:before="40"/>
        <w:ind w:left="2598" w:hanging="284"/>
      </w:pPr>
      <w:r w:rsidRPr="00767FC2">
        <w:t>–</w:t>
      </w:r>
      <w:r w:rsidRPr="00767FC2">
        <w:tab/>
      </w:r>
      <w:proofErr w:type="gramStart"/>
      <w:r w:rsidRPr="00767FC2">
        <w:t>the</w:t>
      </w:r>
      <w:proofErr w:type="gramEnd"/>
      <w:r w:rsidRPr="00767FC2">
        <w:t xml:space="preserve"> impact (if any) of the proposed modifications on the calculation of the net abatement amount;</w:t>
      </w:r>
    </w:p>
    <w:p w14:paraId="7249CFD4" w14:textId="77777777" w:rsidR="00E16703" w:rsidRPr="00767FC2" w:rsidRDefault="00E16703" w:rsidP="00E16703">
      <w:pPr>
        <w:pStyle w:val="nMain"/>
        <w:spacing w:before="40"/>
        <w:ind w:left="2598" w:hanging="284"/>
      </w:pPr>
      <w:r w:rsidRPr="00767FC2">
        <w:t>–</w:t>
      </w:r>
      <w:r w:rsidRPr="00767FC2">
        <w:tab/>
      </w:r>
      <w:proofErr w:type="gramStart"/>
      <w:r w:rsidRPr="00767FC2">
        <w:t>whether</w:t>
      </w:r>
      <w:proofErr w:type="gramEnd"/>
      <w:r w:rsidRPr="00767FC2">
        <w:t xml:space="preserve"> it would be appropriate for the proposed modifications to be peer reviewed.</w:t>
      </w:r>
    </w:p>
    <w:p w14:paraId="14B6DEAC" w14:textId="77777777" w:rsidR="00102BA4" w:rsidRPr="00767FC2" w:rsidRDefault="001626C4" w:rsidP="00102BA4">
      <w:pPr>
        <w:pStyle w:val="h5Section"/>
      </w:pPr>
      <w:bookmarkStart w:id="29" w:name="_Toc509567182"/>
      <w:proofErr w:type="gramStart"/>
      <w:r w:rsidRPr="00767FC2">
        <w:t>10</w:t>
      </w:r>
      <w:r w:rsidR="00102BA4" w:rsidRPr="00767FC2">
        <w:t xml:space="preserve">  References</w:t>
      </w:r>
      <w:proofErr w:type="gramEnd"/>
      <w:r w:rsidR="00102BA4" w:rsidRPr="00767FC2">
        <w:t xml:space="preserve"> to factors and parameters from external sources</w:t>
      </w:r>
      <w:bookmarkEnd w:id="25"/>
      <w:bookmarkEnd w:id="26"/>
      <w:bookmarkEnd w:id="29"/>
    </w:p>
    <w:p w14:paraId="46891A44" w14:textId="77777777" w:rsidR="00102BA4" w:rsidRPr="00767FC2" w:rsidRDefault="00102BA4" w:rsidP="00102BA4">
      <w:pPr>
        <w:pStyle w:val="tMain"/>
      </w:pPr>
      <w:r w:rsidRPr="00767FC2">
        <w:tab/>
      </w:r>
      <w:r w:rsidR="001626C4" w:rsidRPr="00767FC2">
        <w:t>(1)</w:t>
      </w:r>
      <w:r w:rsidRPr="00767FC2">
        <w:tab/>
        <w:t xml:space="preserve">If </w:t>
      </w:r>
      <w:proofErr w:type="spellStart"/>
      <w:r w:rsidRPr="00767FC2">
        <w:t>SavBAT</w:t>
      </w:r>
      <w:proofErr w:type="spellEnd"/>
      <w:r w:rsidRPr="00767FC2">
        <w:t> 3, or a calculation in this determination, includes a factor or parameter that is defined or calculated by reference to another instrument or writing, the factor or parameter to be used for a reporting period is the factor or parameter referred to in, or calculated by reference to, the instrument or writing as in force at the end of the reporting period.</w:t>
      </w:r>
    </w:p>
    <w:p w14:paraId="14C17BDF" w14:textId="77777777" w:rsidR="00102BA4" w:rsidRPr="00767FC2" w:rsidRDefault="00102BA4" w:rsidP="00102BA4">
      <w:pPr>
        <w:pStyle w:val="tMain"/>
      </w:pPr>
      <w:r w:rsidRPr="00767FC2">
        <w:tab/>
      </w:r>
      <w:r w:rsidR="001626C4" w:rsidRPr="00767FC2">
        <w:t>(2)</w:t>
      </w:r>
      <w:r w:rsidRPr="00767FC2">
        <w:tab/>
        <w:t>Subsection </w:t>
      </w:r>
      <w:r w:rsidR="00964086" w:rsidRPr="00767FC2">
        <w:t>(1)</w:t>
      </w:r>
      <w:r w:rsidRPr="00767FC2">
        <w:t xml:space="preserve"> does not apply if:</w:t>
      </w:r>
    </w:p>
    <w:p w14:paraId="5DB9D355" w14:textId="77777777" w:rsidR="00102BA4" w:rsidRPr="00767FC2" w:rsidRDefault="00102BA4" w:rsidP="00102BA4">
      <w:pPr>
        <w:pStyle w:val="tPara"/>
      </w:pPr>
      <w:r w:rsidRPr="00767FC2">
        <w:tab/>
      </w:r>
      <w:r w:rsidR="001626C4" w:rsidRPr="00767FC2">
        <w:t>(a)</w:t>
      </w:r>
      <w:r w:rsidRPr="00767FC2">
        <w:tab/>
      </w:r>
      <w:proofErr w:type="gramStart"/>
      <w:r w:rsidRPr="00767FC2">
        <w:t>the</w:t>
      </w:r>
      <w:proofErr w:type="gramEnd"/>
      <w:r w:rsidRPr="00767FC2">
        <w:t xml:space="preserve"> determination specifies otherwise; or</w:t>
      </w:r>
    </w:p>
    <w:p w14:paraId="3CED3BFF" w14:textId="77777777" w:rsidR="00102BA4" w:rsidRPr="00767FC2" w:rsidRDefault="00102BA4" w:rsidP="00102BA4">
      <w:pPr>
        <w:pStyle w:val="tPara"/>
      </w:pPr>
      <w:r w:rsidRPr="00767FC2">
        <w:tab/>
      </w:r>
      <w:r w:rsidR="001626C4" w:rsidRPr="00767FC2">
        <w:t>(b)</w:t>
      </w:r>
      <w:r w:rsidRPr="00767FC2">
        <w:tab/>
      </w:r>
      <w:proofErr w:type="gramStart"/>
      <w:r w:rsidRPr="00767FC2">
        <w:t>it</w:t>
      </w:r>
      <w:proofErr w:type="gramEnd"/>
      <w:r w:rsidRPr="00767FC2">
        <w:t xml:space="preserve"> is not possible to define or calculate the factor or parameter by reference to the instrument or writing as in force at the end of the reporting period.</w:t>
      </w:r>
    </w:p>
    <w:p w14:paraId="7423707D" w14:textId="77777777" w:rsidR="00380FB2" w:rsidRPr="00767FC2" w:rsidRDefault="001626C4" w:rsidP="00F74C1D">
      <w:pPr>
        <w:pStyle w:val="h2Part"/>
      </w:pPr>
      <w:bookmarkStart w:id="30" w:name="_Toc405889310"/>
      <w:bookmarkStart w:id="31" w:name="_Toc509567183"/>
      <w:r w:rsidRPr="00767FC2">
        <w:lastRenderedPageBreak/>
        <w:t>Part 2</w:t>
      </w:r>
      <w:r w:rsidR="00380FB2" w:rsidRPr="00767FC2">
        <w:t>—</w:t>
      </w:r>
      <w:bookmarkEnd w:id="30"/>
      <w:r w:rsidR="00504AE8" w:rsidRPr="00767FC2">
        <w:t xml:space="preserve">Savanna </w:t>
      </w:r>
      <w:r w:rsidR="008B1469" w:rsidRPr="00767FC2">
        <w:t>emissions avoidance</w:t>
      </w:r>
      <w:r w:rsidR="00504AE8" w:rsidRPr="00767FC2">
        <w:t xml:space="preserve"> project</w:t>
      </w:r>
      <w:r w:rsidR="00FC7795" w:rsidRPr="00767FC2">
        <w:t>s</w:t>
      </w:r>
      <w:bookmarkEnd w:id="31"/>
    </w:p>
    <w:p w14:paraId="0E9F56DC" w14:textId="77777777" w:rsidR="00380FB2" w:rsidRPr="00767FC2" w:rsidRDefault="001626C4" w:rsidP="00380FB2">
      <w:pPr>
        <w:pStyle w:val="h5Section"/>
      </w:pPr>
      <w:bookmarkStart w:id="32" w:name="_Toc405889311"/>
      <w:bookmarkStart w:id="33" w:name="_Toc509567184"/>
      <w:proofErr w:type="gramStart"/>
      <w:r w:rsidRPr="00767FC2">
        <w:t>11</w:t>
      </w:r>
      <w:r w:rsidR="00380FB2" w:rsidRPr="00767FC2">
        <w:t xml:space="preserve">  </w:t>
      </w:r>
      <w:bookmarkEnd w:id="32"/>
      <w:r w:rsidR="00504AE8" w:rsidRPr="00767FC2">
        <w:t>Savanna</w:t>
      </w:r>
      <w:proofErr w:type="gramEnd"/>
      <w:r w:rsidR="00504AE8" w:rsidRPr="00767FC2">
        <w:t xml:space="preserve"> </w:t>
      </w:r>
      <w:r w:rsidR="008B1469" w:rsidRPr="00767FC2">
        <w:t>emissions avoidance</w:t>
      </w:r>
      <w:r w:rsidR="00CF1AC4" w:rsidRPr="00767FC2">
        <w:t xml:space="preserve"> </w:t>
      </w:r>
      <w:r w:rsidR="00504AE8" w:rsidRPr="00767FC2">
        <w:t>project</w:t>
      </w:r>
      <w:r w:rsidR="00264DB9" w:rsidRPr="00767FC2">
        <w:t>s</w:t>
      </w:r>
      <w:bookmarkEnd w:id="33"/>
    </w:p>
    <w:p w14:paraId="11D3FBAF" w14:textId="77777777" w:rsidR="00AD7BE4" w:rsidRPr="00767FC2" w:rsidRDefault="000E2406" w:rsidP="000E2406">
      <w:pPr>
        <w:pStyle w:val="tMain"/>
      </w:pPr>
      <w:r w:rsidRPr="00767FC2">
        <w:tab/>
      </w:r>
      <w:r w:rsidR="001626C4" w:rsidRPr="00767FC2">
        <w:t>(1)</w:t>
      </w:r>
      <w:r w:rsidRPr="00767FC2">
        <w:tab/>
      </w:r>
      <w:r w:rsidR="00F4678D" w:rsidRPr="00767FC2">
        <w:t>For paragraph 106(1</w:t>
      </w:r>
      <w:proofErr w:type="gramStart"/>
      <w:r w:rsidR="00F4678D" w:rsidRPr="00767FC2">
        <w:t>)(</w:t>
      </w:r>
      <w:proofErr w:type="gramEnd"/>
      <w:r w:rsidR="00F4678D" w:rsidRPr="00767FC2">
        <w:t>a) of the Act, this determination applies to an offsets project that:</w:t>
      </w:r>
    </w:p>
    <w:p w14:paraId="0C6B202D" w14:textId="77777777" w:rsidR="00C85C37" w:rsidRPr="00767FC2" w:rsidRDefault="00F4678D" w:rsidP="00263FFC">
      <w:pPr>
        <w:pStyle w:val="tPara"/>
      </w:pPr>
      <w:r w:rsidRPr="00767FC2">
        <w:tab/>
      </w:r>
      <w:r w:rsidR="001626C4" w:rsidRPr="00767FC2">
        <w:t>(a)</w:t>
      </w:r>
      <w:r w:rsidRPr="00767FC2">
        <w:tab/>
      </w:r>
      <w:r w:rsidR="00A035A9" w:rsidRPr="00767FC2">
        <w:t xml:space="preserve">involves </w:t>
      </w:r>
      <w:r w:rsidR="00E16703" w:rsidRPr="00767FC2">
        <w:t xml:space="preserve">undertaking savanna fire management </w:t>
      </w:r>
      <w:r w:rsidR="00A035A9" w:rsidRPr="00767FC2">
        <w:t xml:space="preserve">with </w:t>
      </w:r>
      <w:r w:rsidR="00263FFC" w:rsidRPr="00767FC2">
        <w:t xml:space="preserve">the </w:t>
      </w:r>
      <w:r w:rsidR="00A035A9" w:rsidRPr="00767FC2">
        <w:t>objective</w:t>
      </w:r>
      <w:r w:rsidR="00263FFC" w:rsidRPr="00767FC2">
        <w:t xml:space="preserve"> of </w:t>
      </w:r>
      <w:r w:rsidRPr="00767FC2">
        <w:t>avoid</w:t>
      </w:r>
      <w:r w:rsidR="00A035A9" w:rsidRPr="00767FC2">
        <w:t>ing</w:t>
      </w:r>
      <w:r w:rsidRPr="00767FC2">
        <w:t xml:space="preserve"> the emission of methane and nitrous oxide from </w:t>
      </w:r>
      <w:r w:rsidR="00A035A9" w:rsidRPr="00767FC2">
        <w:t>the burning of savannas</w:t>
      </w:r>
      <w:r w:rsidR="00427740" w:rsidRPr="00767FC2">
        <w:t>,</w:t>
      </w:r>
      <w:r w:rsidR="00E764E4" w:rsidRPr="00767FC2">
        <w:t xml:space="preserve"> compared to the emissions during the baseline period</w:t>
      </w:r>
      <w:r w:rsidRPr="00767FC2">
        <w:t>;</w:t>
      </w:r>
      <w:r w:rsidR="00263FFC" w:rsidRPr="00767FC2">
        <w:t xml:space="preserve"> and</w:t>
      </w:r>
    </w:p>
    <w:p w14:paraId="04BE0949" w14:textId="77777777" w:rsidR="001D642F" w:rsidRPr="00767FC2" w:rsidRDefault="001D642F" w:rsidP="001D642F">
      <w:pPr>
        <w:pStyle w:val="tPara"/>
      </w:pPr>
      <w:r w:rsidRPr="00767FC2">
        <w:tab/>
      </w:r>
      <w:r w:rsidR="001626C4" w:rsidRPr="00767FC2">
        <w:t>(b)</w:t>
      </w:r>
      <w:r w:rsidRPr="00767FC2">
        <w:tab/>
      </w:r>
      <w:proofErr w:type="gramStart"/>
      <w:r w:rsidRPr="00767FC2">
        <w:t>does</w:t>
      </w:r>
      <w:proofErr w:type="gramEnd"/>
      <w:r w:rsidRPr="00767FC2">
        <w:t xml:space="preserve"> not result in an increase in:</w:t>
      </w:r>
    </w:p>
    <w:p w14:paraId="0976EC12" w14:textId="77777777" w:rsidR="001D642F" w:rsidRPr="00767FC2" w:rsidRDefault="001D642F" w:rsidP="001D642F">
      <w:pPr>
        <w:pStyle w:val="tSubpara"/>
      </w:pPr>
      <w:r w:rsidRPr="00767FC2">
        <w:tab/>
      </w:r>
      <w:r w:rsidR="001626C4" w:rsidRPr="00767FC2">
        <w:t>(</w:t>
      </w:r>
      <w:proofErr w:type="spellStart"/>
      <w:r w:rsidR="001626C4" w:rsidRPr="00767FC2">
        <w:t>i</w:t>
      </w:r>
      <w:proofErr w:type="spellEnd"/>
      <w:r w:rsidR="001626C4" w:rsidRPr="00767FC2">
        <w:t>)</w:t>
      </w:r>
      <w:r w:rsidRPr="00767FC2">
        <w:tab/>
      </w:r>
      <w:proofErr w:type="gramStart"/>
      <w:r w:rsidRPr="00767FC2">
        <w:t>greenhouse</w:t>
      </w:r>
      <w:proofErr w:type="gramEnd"/>
      <w:r w:rsidRPr="00767FC2">
        <w:t xml:space="preserve"> gas emissions from other sources such as livestock; or</w:t>
      </w:r>
    </w:p>
    <w:p w14:paraId="324B2B02" w14:textId="77777777" w:rsidR="001D642F" w:rsidRPr="00767FC2" w:rsidRDefault="001D642F" w:rsidP="001D642F">
      <w:pPr>
        <w:pStyle w:val="tSubpara"/>
      </w:pPr>
      <w:r w:rsidRPr="00767FC2">
        <w:tab/>
      </w:r>
      <w:r w:rsidR="001626C4" w:rsidRPr="00767FC2">
        <w:t>(ii)</w:t>
      </w:r>
      <w:r w:rsidRPr="00767FC2">
        <w:tab/>
      </w:r>
      <w:proofErr w:type="gramStart"/>
      <w:r w:rsidRPr="00767FC2">
        <w:t>the</w:t>
      </w:r>
      <w:proofErr w:type="gramEnd"/>
      <w:r w:rsidRPr="00767FC2">
        <w:t xml:space="preserve"> rate of decomposition of organic carbon; and</w:t>
      </w:r>
    </w:p>
    <w:p w14:paraId="08BDB59C" w14:textId="77777777" w:rsidR="00036F73" w:rsidRPr="00767FC2" w:rsidRDefault="00F4678D" w:rsidP="00036F73">
      <w:pPr>
        <w:pStyle w:val="tPara"/>
      </w:pPr>
      <w:r w:rsidRPr="00767FC2">
        <w:tab/>
      </w:r>
      <w:r w:rsidR="001626C4" w:rsidRPr="00767FC2">
        <w:t>(c)</w:t>
      </w:r>
      <w:r w:rsidRPr="00767FC2">
        <w:tab/>
      </w:r>
      <w:proofErr w:type="gramStart"/>
      <w:r w:rsidR="00036F73" w:rsidRPr="00767FC2">
        <w:t>is</w:t>
      </w:r>
      <w:proofErr w:type="gramEnd"/>
      <w:r w:rsidR="00036F73" w:rsidRPr="00767FC2">
        <w:t xml:space="preserve"> carried out </w:t>
      </w:r>
      <w:r w:rsidR="00263FFC" w:rsidRPr="00767FC2">
        <w:t xml:space="preserve">on </w:t>
      </w:r>
      <w:r w:rsidR="00ED1A6A" w:rsidRPr="00767FC2">
        <w:t xml:space="preserve">a </w:t>
      </w:r>
      <w:r w:rsidR="00036F73" w:rsidRPr="00767FC2">
        <w:t xml:space="preserve">savanna that </w:t>
      </w:r>
      <w:r w:rsidR="000B44FE" w:rsidRPr="00767FC2">
        <w:t xml:space="preserve">is </w:t>
      </w:r>
      <w:r w:rsidR="00036F73" w:rsidRPr="00767FC2">
        <w:t>in either or both of the following:</w:t>
      </w:r>
    </w:p>
    <w:p w14:paraId="70ECD8E4" w14:textId="77777777" w:rsidR="00036F73" w:rsidRPr="00767FC2" w:rsidRDefault="00036F73" w:rsidP="00036F73">
      <w:pPr>
        <w:pStyle w:val="tSubpara"/>
      </w:pPr>
      <w:r w:rsidRPr="00767FC2">
        <w:tab/>
      </w:r>
      <w:r w:rsidR="001626C4" w:rsidRPr="00767FC2">
        <w:t>(</w:t>
      </w:r>
      <w:proofErr w:type="spellStart"/>
      <w:r w:rsidR="001626C4" w:rsidRPr="00767FC2">
        <w:t>i</w:t>
      </w:r>
      <w:proofErr w:type="spellEnd"/>
      <w:r w:rsidR="001626C4" w:rsidRPr="00767FC2">
        <w:t>)</w:t>
      </w:r>
      <w:r w:rsidRPr="00767FC2">
        <w:tab/>
      </w:r>
      <w:proofErr w:type="gramStart"/>
      <w:r w:rsidRPr="00767FC2">
        <w:t>the</w:t>
      </w:r>
      <w:proofErr w:type="gramEnd"/>
      <w:r w:rsidRPr="00767FC2">
        <w:t xml:space="preserve"> high-rainfall zone;</w:t>
      </w:r>
    </w:p>
    <w:p w14:paraId="49499E03" w14:textId="77777777" w:rsidR="00F4678D" w:rsidRPr="00767FC2" w:rsidRDefault="00036F73" w:rsidP="00036F73">
      <w:pPr>
        <w:pStyle w:val="tSubpara"/>
      </w:pPr>
      <w:r w:rsidRPr="00767FC2">
        <w:tab/>
      </w:r>
      <w:r w:rsidR="001626C4" w:rsidRPr="00767FC2">
        <w:t>(ii)</w:t>
      </w:r>
      <w:r w:rsidRPr="00767FC2">
        <w:tab/>
      </w:r>
      <w:proofErr w:type="gramStart"/>
      <w:r w:rsidRPr="00767FC2">
        <w:t>the</w:t>
      </w:r>
      <w:proofErr w:type="gramEnd"/>
      <w:r w:rsidRPr="00767FC2">
        <w:t xml:space="preserve"> low-rainfall zone</w:t>
      </w:r>
      <w:r w:rsidR="00F4678D" w:rsidRPr="00767FC2">
        <w:t>; and</w:t>
      </w:r>
    </w:p>
    <w:p w14:paraId="283FA43F" w14:textId="77777777" w:rsidR="00F4678D" w:rsidRPr="00767FC2" w:rsidRDefault="00F4678D" w:rsidP="00F4678D">
      <w:pPr>
        <w:pStyle w:val="tPara"/>
      </w:pPr>
      <w:r w:rsidRPr="00767FC2">
        <w:tab/>
      </w:r>
      <w:r w:rsidR="001626C4" w:rsidRPr="00767FC2">
        <w:t>(d)</w:t>
      </w:r>
      <w:r w:rsidRPr="00767FC2">
        <w:tab/>
      </w:r>
      <w:proofErr w:type="gramStart"/>
      <w:r w:rsidRPr="00767FC2">
        <w:t>can</w:t>
      </w:r>
      <w:proofErr w:type="gramEnd"/>
      <w:r w:rsidRPr="00767FC2">
        <w:t xml:space="preserve"> reasonably be expected to result in eligible carbon abatement.</w:t>
      </w:r>
    </w:p>
    <w:p w14:paraId="2C8CBF7B" w14:textId="77777777" w:rsidR="008D1D11" w:rsidRPr="00767FC2" w:rsidRDefault="00F4678D" w:rsidP="00F4678D">
      <w:pPr>
        <w:pStyle w:val="tMain"/>
      </w:pPr>
      <w:r w:rsidRPr="00767FC2">
        <w:tab/>
      </w:r>
      <w:r w:rsidR="001626C4" w:rsidRPr="00767FC2">
        <w:t>(2)</w:t>
      </w:r>
      <w:r w:rsidRPr="00767FC2">
        <w:tab/>
        <w:t>A project covered by subsection </w:t>
      </w:r>
      <w:r w:rsidR="00964086" w:rsidRPr="00767FC2">
        <w:t>(1)</w:t>
      </w:r>
      <w:r w:rsidR="00036F73" w:rsidRPr="00767FC2">
        <w:t xml:space="preserve"> is a </w:t>
      </w:r>
      <w:r w:rsidR="00504AE8" w:rsidRPr="00767FC2">
        <w:rPr>
          <w:b/>
          <w:i/>
        </w:rPr>
        <w:t xml:space="preserve">savanna </w:t>
      </w:r>
      <w:r w:rsidR="008B1469" w:rsidRPr="00767FC2">
        <w:rPr>
          <w:b/>
          <w:i/>
        </w:rPr>
        <w:t>emissions avoidance</w:t>
      </w:r>
      <w:r w:rsidR="00CF1AC4" w:rsidRPr="00767FC2">
        <w:rPr>
          <w:b/>
          <w:i/>
        </w:rPr>
        <w:t xml:space="preserve"> </w:t>
      </w:r>
      <w:r w:rsidR="00504AE8" w:rsidRPr="00767FC2">
        <w:rPr>
          <w:b/>
          <w:i/>
        </w:rPr>
        <w:t>project</w:t>
      </w:r>
      <w:r w:rsidR="00036F73" w:rsidRPr="00767FC2">
        <w:t>.</w:t>
      </w:r>
    </w:p>
    <w:p w14:paraId="2E9AAD2C" w14:textId="77777777" w:rsidR="00263FFC" w:rsidRPr="00767FC2" w:rsidRDefault="00263FFC" w:rsidP="00263FFC">
      <w:pPr>
        <w:pStyle w:val="h6Subsec"/>
      </w:pPr>
      <w:r w:rsidRPr="00767FC2">
        <w:t>Projects not covered by this determination</w:t>
      </w:r>
    </w:p>
    <w:p w14:paraId="7EF24281" w14:textId="77777777" w:rsidR="00A47440" w:rsidRPr="00767FC2" w:rsidRDefault="00A47440" w:rsidP="00A47440">
      <w:pPr>
        <w:pStyle w:val="tMain"/>
      </w:pPr>
      <w:r w:rsidRPr="00767FC2">
        <w:tab/>
      </w:r>
      <w:r w:rsidR="001626C4" w:rsidRPr="00767FC2">
        <w:t>(3)</w:t>
      </w:r>
      <w:r w:rsidRPr="00767FC2">
        <w:tab/>
        <w:t xml:space="preserve">This determination does not apply to an offsets project whose applicable methodology determination is a savanna sequestration </w:t>
      </w:r>
      <w:r w:rsidR="00051DA1" w:rsidRPr="00767FC2">
        <w:t>determination</w:t>
      </w:r>
      <w:r w:rsidRPr="00767FC2">
        <w:t>.</w:t>
      </w:r>
    </w:p>
    <w:p w14:paraId="2EEE40AE" w14:textId="77777777" w:rsidR="00A47440" w:rsidRPr="00767FC2" w:rsidRDefault="00A47440" w:rsidP="00A47440">
      <w:pPr>
        <w:pStyle w:val="tMain"/>
      </w:pPr>
      <w:r w:rsidRPr="00767FC2">
        <w:tab/>
      </w:r>
      <w:r w:rsidR="001626C4" w:rsidRPr="00767FC2">
        <w:t>(4)</w:t>
      </w:r>
      <w:r w:rsidRPr="00767FC2">
        <w:tab/>
        <w:t xml:space="preserve">If the </w:t>
      </w:r>
      <w:r w:rsidRPr="00767FC2">
        <w:rPr>
          <w:i/>
        </w:rPr>
        <w:t xml:space="preserve">Carbon Credits (Carbon Farming Initiative) Amendment Act </w:t>
      </w:r>
      <w:r w:rsidR="00D32953" w:rsidRPr="00767FC2">
        <w:rPr>
          <w:i/>
        </w:rPr>
        <w:t>2018</w:t>
      </w:r>
      <w:r w:rsidRPr="00767FC2">
        <w:rPr>
          <w:i/>
        </w:rPr>
        <w:t xml:space="preserve"> </w:t>
      </w:r>
      <w:r w:rsidRPr="00767FC2">
        <w:t xml:space="preserve">commences, subsection </w:t>
      </w:r>
      <w:r w:rsidR="00964086" w:rsidRPr="00767FC2">
        <w:t>(3)</w:t>
      </w:r>
      <w:r w:rsidRPr="00767FC2">
        <w:t xml:space="preserve"> ceases to apply on </w:t>
      </w:r>
      <w:r w:rsidR="00263FFC" w:rsidRPr="00767FC2">
        <w:t xml:space="preserve">and after </w:t>
      </w:r>
      <w:r w:rsidRPr="00767FC2">
        <w:t xml:space="preserve">the </w:t>
      </w:r>
      <w:r w:rsidR="004572D4" w:rsidRPr="00767FC2">
        <w:t>date that it commences</w:t>
      </w:r>
      <w:r w:rsidRPr="00767FC2">
        <w:t>.</w:t>
      </w:r>
    </w:p>
    <w:p w14:paraId="053429C2" w14:textId="77777777" w:rsidR="00263FFC" w:rsidRPr="00767FC2" w:rsidRDefault="00263FFC" w:rsidP="00263FFC">
      <w:pPr>
        <w:pStyle w:val="nMain"/>
      </w:pPr>
      <w:r w:rsidRPr="00767FC2">
        <w:t>Note:</w:t>
      </w:r>
      <w:r w:rsidRPr="00767FC2">
        <w:tab/>
        <w:t>As a result of subsection </w:t>
      </w:r>
      <w:r w:rsidR="00964086" w:rsidRPr="00767FC2">
        <w:t>(3)</w:t>
      </w:r>
      <w:r w:rsidRPr="00767FC2">
        <w:t>, if a project proponent is running a project that is covered by a savanna sequestration determination, they cannot apply this determination to the project by making a request under section 128 of the Act. See section </w:t>
      </w:r>
      <w:r w:rsidR="00964086" w:rsidRPr="00767FC2">
        <w:t>23</w:t>
      </w:r>
      <w:r w:rsidRPr="00767FC2">
        <w:t xml:space="preserve"> for an outline of other ways of moving their project onto this determination.</w:t>
      </w:r>
    </w:p>
    <w:p w14:paraId="3D32A316" w14:textId="77777777" w:rsidR="00263FFC" w:rsidRPr="00767FC2" w:rsidRDefault="00263FFC" w:rsidP="00263FFC">
      <w:pPr>
        <w:pStyle w:val="nMain"/>
      </w:pPr>
      <w:r w:rsidRPr="00767FC2">
        <w:tab/>
        <w:t>As a result of subsection </w:t>
      </w:r>
      <w:r w:rsidR="00964086" w:rsidRPr="00767FC2">
        <w:t>(4)</w:t>
      </w:r>
      <w:r w:rsidRPr="00767FC2">
        <w:t xml:space="preserve">, however, after the </w:t>
      </w:r>
      <w:r w:rsidRPr="00767FC2">
        <w:rPr>
          <w:i/>
        </w:rPr>
        <w:t xml:space="preserve">Carbon Credits (Carbon Farming Initiative) Amendment Act </w:t>
      </w:r>
      <w:r w:rsidR="00D32953" w:rsidRPr="00767FC2">
        <w:rPr>
          <w:i/>
        </w:rPr>
        <w:t>2018</w:t>
      </w:r>
      <w:r w:rsidRPr="00767FC2">
        <w:rPr>
          <w:i/>
        </w:rPr>
        <w:t xml:space="preserve"> </w:t>
      </w:r>
      <w:r w:rsidRPr="00767FC2">
        <w:t>commences, project proponents will be able to apply this determination to such a project by making a request under section 128 of the Act, in addition to the other ways of moving a project onto this determination outlined in section </w:t>
      </w:r>
      <w:r w:rsidR="00964086" w:rsidRPr="00767FC2">
        <w:t>23</w:t>
      </w:r>
      <w:r w:rsidRPr="00767FC2">
        <w:t>.</w:t>
      </w:r>
    </w:p>
    <w:p w14:paraId="5AA751E4" w14:textId="77777777" w:rsidR="004B7665" w:rsidRPr="00767FC2" w:rsidRDefault="004B7665" w:rsidP="00F4678D">
      <w:pPr>
        <w:pStyle w:val="tMain"/>
      </w:pPr>
    </w:p>
    <w:p w14:paraId="5FFD7BEE" w14:textId="77777777" w:rsidR="005F07E3" w:rsidRPr="00767FC2" w:rsidRDefault="001626C4" w:rsidP="00C85C37">
      <w:pPr>
        <w:pStyle w:val="h2Part"/>
      </w:pPr>
      <w:bookmarkStart w:id="34" w:name="_Toc413155551"/>
      <w:bookmarkStart w:id="35" w:name="_Toc509567185"/>
      <w:r w:rsidRPr="00767FC2">
        <w:lastRenderedPageBreak/>
        <w:t>Part 3</w:t>
      </w:r>
      <w:r w:rsidR="005F07E3" w:rsidRPr="00767FC2">
        <w:t>—Project requirements</w:t>
      </w:r>
      <w:bookmarkEnd w:id="34"/>
      <w:bookmarkEnd w:id="35"/>
    </w:p>
    <w:p w14:paraId="1A884D14" w14:textId="77777777" w:rsidR="005F07E3" w:rsidRPr="00767FC2" w:rsidRDefault="001626C4" w:rsidP="005F07E3">
      <w:pPr>
        <w:pStyle w:val="h3Div"/>
      </w:pPr>
      <w:bookmarkStart w:id="36" w:name="_Toc405377017"/>
      <w:bookmarkStart w:id="37" w:name="_Toc413155552"/>
      <w:bookmarkStart w:id="38" w:name="_Toc509567186"/>
      <w:r w:rsidRPr="00767FC2">
        <w:t>Division 1</w:t>
      </w:r>
      <w:r w:rsidR="005F07E3" w:rsidRPr="00767FC2">
        <w:t>—General</w:t>
      </w:r>
      <w:bookmarkEnd w:id="36"/>
      <w:bookmarkEnd w:id="37"/>
      <w:bookmarkEnd w:id="38"/>
    </w:p>
    <w:p w14:paraId="7A01B627" w14:textId="77777777" w:rsidR="005F07E3" w:rsidRPr="00767FC2" w:rsidRDefault="001626C4" w:rsidP="005F07E3">
      <w:pPr>
        <w:pStyle w:val="h5Section"/>
      </w:pPr>
      <w:bookmarkStart w:id="39" w:name="_Toc405377018"/>
      <w:bookmarkStart w:id="40" w:name="_Toc413155553"/>
      <w:bookmarkStart w:id="41" w:name="_Toc509567187"/>
      <w:proofErr w:type="gramStart"/>
      <w:r w:rsidRPr="00767FC2">
        <w:t>12</w:t>
      </w:r>
      <w:r w:rsidR="005F07E3" w:rsidRPr="00767FC2">
        <w:t xml:space="preserve">  </w:t>
      </w:r>
      <w:bookmarkEnd w:id="39"/>
      <w:bookmarkEnd w:id="40"/>
      <w:r w:rsidR="0022619A" w:rsidRPr="00767FC2">
        <w:t>Operation</w:t>
      </w:r>
      <w:proofErr w:type="gramEnd"/>
      <w:r w:rsidR="0022619A" w:rsidRPr="00767FC2">
        <w:t xml:space="preserve"> of this Part</w:t>
      </w:r>
      <w:bookmarkEnd w:id="41"/>
    </w:p>
    <w:p w14:paraId="2EB5F7B8" w14:textId="77777777" w:rsidR="005F07E3" w:rsidRPr="00767FC2" w:rsidRDefault="005F07E3" w:rsidP="005F07E3">
      <w:pPr>
        <w:pStyle w:val="tMain"/>
      </w:pPr>
      <w:r w:rsidRPr="00767FC2">
        <w:tab/>
      </w:r>
      <w:r w:rsidRPr="00767FC2">
        <w:tab/>
        <w:t>For paragraph 106(1</w:t>
      </w:r>
      <w:proofErr w:type="gramStart"/>
      <w:r w:rsidRPr="00767FC2">
        <w:t>)(</w:t>
      </w:r>
      <w:proofErr w:type="gramEnd"/>
      <w:r w:rsidRPr="00767FC2">
        <w:t xml:space="preserve">b) of the Act, to be an eligible offsets project, a </w:t>
      </w:r>
      <w:r w:rsidR="00504AE8" w:rsidRPr="00767FC2">
        <w:t xml:space="preserve">savanna </w:t>
      </w:r>
      <w:r w:rsidR="008B1469" w:rsidRPr="00767FC2">
        <w:t>emissions avoidance</w:t>
      </w:r>
      <w:r w:rsidR="00CF1AC4" w:rsidRPr="00767FC2">
        <w:t xml:space="preserve"> </w:t>
      </w:r>
      <w:r w:rsidR="00504AE8" w:rsidRPr="00767FC2">
        <w:t>project</w:t>
      </w:r>
      <w:r w:rsidR="00C21FD9" w:rsidRPr="00767FC2">
        <w:t xml:space="preserve"> </w:t>
      </w:r>
      <w:r w:rsidRPr="00767FC2">
        <w:t>must meet the requirements in this Part.</w:t>
      </w:r>
    </w:p>
    <w:p w14:paraId="15ED29EF" w14:textId="77777777" w:rsidR="00741156" w:rsidRPr="00767FC2" w:rsidRDefault="001626C4" w:rsidP="00741156">
      <w:pPr>
        <w:pStyle w:val="h5Section"/>
      </w:pPr>
      <w:bookmarkStart w:id="42" w:name="_Toc509567188"/>
      <w:proofErr w:type="gramStart"/>
      <w:r w:rsidRPr="00767FC2">
        <w:t>13</w:t>
      </w:r>
      <w:r w:rsidR="00741156" w:rsidRPr="00767FC2">
        <w:t xml:space="preserve">  Information</w:t>
      </w:r>
      <w:proofErr w:type="gramEnd"/>
      <w:r w:rsidR="00741156" w:rsidRPr="00767FC2">
        <w:t xml:space="preserve"> to include in section 22 application</w:t>
      </w:r>
      <w:bookmarkEnd w:id="42"/>
    </w:p>
    <w:p w14:paraId="466E725E" w14:textId="77777777" w:rsidR="002847BC" w:rsidRPr="00767FC2" w:rsidRDefault="002847BC" w:rsidP="002847BC">
      <w:pPr>
        <w:pStyle w:val="tMain"/>
      </w:pPr>
      <w:r w:rsidRPr="00767FC2">
        <w:tab/>
      </w:r>
      <w:r w:rsidRPr="00767FC2">
        <w:tab/>
        <w:t xml:space="preserve">If one or more project areas of a savanna </w:t>
      </w:r>
      <w:r w:rsidR="008B1469" w:rsidRPr="00767FC2">
        <w:t>emissions avoidance</w:t>
      </w:r>
      <w:r w:rsidRPr="00767FC2">
        <w:t xml:space="preserve"> project will be transferring project areas, the section 22 application must include:</w:t>
      </w:r>
    </w:p>
    <w:p w14:paraId="16265100" w14:textId="77777777" w:rsidR="002847BC" w:rsidRPr="00767FC2" w:rsidRDefault="002847BC" w:rsidP="002847BC">
      <w:pPr>
        <w:pStyle w:val="tPara"/>
      </w:pPr>
      <w:r w:rsidRPr="00767FC2">
        <w:tab/>
      </w:r>
      <w:r w:rsidR="001626C4" w:rsidRPr="00767FC2">
        <w:t>(a)</w:t>
      </w:r>
      <w:r w:rsidRPr="00767FC2">
        <w:tab/>
      </w:r>
      <w:proofErr w:type="gramStart"/>
      <w:r w:rsidRPr="00767FC2">
        <w:t>a</w:t>
      </w:r>
      <w:proofErr w:type="gramEnd"/>
      <w:r w:rsidRPr="00767FC2">
        <w:t xml:space="preserve"> statement of that fact; and</w:t>
      </w:r>
    </w:p>
    <w:p w14:paraId="56FE201A" w14:textId="77777777" w:rsidR="002847BC" w:rsidRPr="00767FC2" w:rsidRDefault="002847BC" w:rsidP="002847BC">
      <w:pPr>
        <w:pStyle w:val="tPara"/>
      </w:pPr>
      <w:r w:rsidRPr="00767FC2">
        <w:tab/>
      </w:r>
      <w:r w:rsidR="001626C4" w:rsidRPr="00767FC2">
        <w:t>(b)</w:t>
      </w:r>
      <w:r w:rsidRPr="00767FC2">
        <w:tab/>
      </w:r>
      <w:proofErr w:type="gramStart"/>
      <w:r w:rsidRPr="00767FC2">
        <w:t>the</w:t>
      </w:r>
      <w:proofErr w:type="gramEnd"/>
      <w:r w:rsidRPr="00767FC2">
        <w:t xml:space="preserve"> identity of the transferring project areas; and</w:t>
      </w:r>
    </w:p>
    <w:p w14:paraId="6E225AA3" w14:textId="77777777" w:rsidR="002847BC" w:rsidRPr="00767FC2" w:rsidRDefault="002847BC" w:rsidP="002847BC">
      <w:pPr>
        <w:pStyle w:val="tPara"/>
      </w:pPr>
      <w:r w:rsidRPr="00767FC2">
        <w:tab/>
      </w:r>
      <w:r w:rsidR="001626C4" w:rsidRPr="00767FC2">
        <w:t>(c)</w:t>
      </w:r>
      <w:r w:rsidRPr="00767FC2">
        <w:tab/>
      </w:r>
      <w:proofErr w:type="gramStart"/>
      <w:r w:rsidRPr="00767FC2">
        <w:t>the</w:t>
      </w:r>
      <w:proofErr w:type="gramEnd"/>
      <w:r w:rsidRPr="00767FC2">
        <w:t xml:space="preserve"> unique project identifiers for the </w:t>
      </w:r>
      <w:r w:rsidR="00E2329C" w:rsidRPr="00767FC2">
        <w:t>project</w:t>
      </w:r>
      <w:r w:rsidR="00012F3D" w:rsidRPr="00767FC2">
        <w:t>s</w:t>
      </w:r>
      <w:r w:rsidR="00E2329C" w:rsidRPr="00767FC2">
        <w:t xml:space="preserve"> from which the project area</w:t>
      </w:r>
      <w:r w:rsidR="00012F3D" w:rsidRPr="00767FC2">
        <w:t>s</w:t>
      </w:r>
      <w:r w:rsidR="00E2329C" w:rsidRPr="00767FC2">
        <w:t xml:space="preserve"> will be transferring</w:t>
      </w:r>
      <w:r w:rsidRPr="00767FC2">
        <w:t>.</w:t>
      </w:r>
    </w:p>
    <w:p w14:paraId="36FC0D36" w14:textId="77777777" w:rsidR="00012F3D" w:rsidRPr="00767FC2" w:rsidRDefault="00012F3D" w:rsidP="00012F3D">
      <w:pPr>
        <w:pStyle w:val="nMain"/>
      </w:pPr>
      <w:bookmarkStart w:id="43" w:name="_Toc405377020"/>
      <w:bookmarkStart w:id="44" w:name="_Toc413155557"/>
      <w:r w:rsidRPr="00767FC2">
        <w:t>Note:</w:t>
      </w:r>
      <w:r w:rsidRPr="00767FC2">
        <w:tab/>
        <w:t>See section </w:t>
      </w:r>
      <w:r w:rsidR="00964086" w:rsidRPr="00767FC2">
        <w:t>24</w:t>
      </w:r>
      <w:r w:rsidRPr="00767FC2">
        <w:t xml:space="preserve"> for the meaning of ‘transferring project area’.</w:t>
      </w:r>
    </w:p>
    <w:p w14:paraId="7E939CF7" w14:textId="77777777" w:rsidR="005F07E3" w:rsidRPr="00767FC2" w:rsidRDefault="001626C4" w:rsidP="00880427">
      <w:pPr>
        <w:pStyle w:val="h3Div"/>
      </w:pPr>
      <w:bookmarkStart w:id="45" w:name="_Toc509567189"/>
      <w:r w:rsidRPr="00767FC2">
        <w:t>Division 2</w:t>
      </w:r>
      <w:r w:rsidR="00880427" w:rsidRPr="00767FC2">
        <w:t>—</w:t>
      </w:r>
      <w:r w:rsidR="005F07E3" w:rsidRPr="00767FC2">
        <w:t>Project area</w:t>
      </w:r>
      <w:bookmarkEnd w:id="43"/>
      <w:bookmarkEnd w:id="44"/>
      <w:bookmarkEnd w:id="45"/>
    </w:p>
    <w:p w14:paraId="7FF9B373" w14:textId="77777777" w:rsidR="00E252CD" w:rsidRPr="00767FC2" w:rsidRDefault="00E252CD" w:rsidP="00E252CD">
      <w:pPr>
        <w:pStyle w:val="ntoHeading"/>
      </w:pPr>
      <w:bookmarkStart w:id="46" w:name="_Toc413155558"/>
      <w:r w:rsidRPr="00767FC2">
        <w:t>Note:</w:t>
      </w:r>
      <w:r w:rsidRPr="00767FC2">
        <w:tab/>
        <w:t xml:space="preserve">A savanna emissions avoidance project may </w:t>
      </w:r>
      <w:r w:rsidR="008D0BAE" w:rsidRPr="00767FC2">
        <w:t xml:space="preserve">have </w:t>
      </w:r>
      <w:r w:rsidRPr="00767FC2">
        <w:t>one or more project areas.</w:t>
      </w:r>
    </w:p>
    <w:p w14:paraId="29664F92" w14:textId="77777777" w:rsidR="00E252CD" w:rsidRPr="00767FC2" w:rsidRDefault="00E252CD" w:rsidP="00E252CD">
      <w:pPr>
        <w:pStyle w:val="ntoHeading"/>
      </w:pPr>
      <w:r w:rsidRPr="00767FC2">
        <w:tab/>
        <w:t xml:space="preserve">If a project consists of 2 or more project areas, the project proponent may choose to divide the project for reporting purposes, with each reporting division consisting of one or more whole project areas—see section 77A of the Act and section </w:t>
      </w:r>
      <w:r w:rsidR="00964086" w:rsidRPr="00767FC2">
        <w:t>41</w:t>
      </w:r>
      <w:r w:rsidRPr="00767FC2">
        <w:t xml:space="preserve"> of this determination.  The divisions may have different reporting schedules, provided that they all satisfy the reporting period requirements under the Act.</w:t>
      </w:r>
    </w:p>
    <w:p w14:paraId="55075334" w14:textId="77777777" w:rsidR="00DD0657" w:rsidRPr="00767FC2" w:rsidRDefault="00DD0657" w:rsidP="00DD0657">
      <w:pPr>
        <w:pStyle w:val="ntoHeading"/>
      </w:pPr>
      <w:r w:rsidRPr="00767FC2">
        <w:tab/>
        <w:t>Whatever the reporting schedule for each project area, the method under this determination requires that the abatement calculations are made for each calendar year, and reported on in accordance with the project’s reporting schedule.</w:t>
      </w:r>
    </w:p>
    <w:p w14:paraId="150FD074" w14:textId="77777777" w:rsidR="008314E8" w:rsidRPr="00767FC2" w:rsidRDefault="001626C4" w:rsidP="001E4E09">
      <w:pPr>
        <w:pStyle w:val="h5Section"/>
      </w:pPr>
      <w:bookmarkStart w:id="47" w:name="_Toc509567190"/>
      <w:proofErr w:type="gramStart"/>
      <w:r w:rsidRPr="00767FC2">
        <w:t>14</w:t>
      </w:r>
      <w:r w:rsidR="001E4E09" w:rsidRPr="00767FC2">
        <w:t xml:space="preserve">  </w:t>
      </w:r>
      <w:r w:rsidR="008314E8" w:rsidRPr="00767FC2">
        <w:t>Requirements</w:t>
      </w:r>
      <w:proofErr w:type="gramEnd"/>
      <w:r w:rsidR="008314E8" w:rsidRPr="00767FC2">
        <w:t xml:space="preserve"> relating to project area</w:t>
      </w:r>
      <w:bookmarkEnd w:id="47"/>
    </w:p>
    <w:p w14:paraId="1ABCAE76" w14:textId="77777777" w:rsidR="005F07E3" w:rsidRPr="00767FC2" w:rsidRDefault="005F07E3" w:rsidP="008314E8">
      <w:pPr>
        <w:pStyle w:val="h6Subsec"/>
      </w:pPr>
      <w:r w:rsidRPr="00767FC2">
        <w:t>Requirement to be in high or low rainfall zone</w:t>
      </w:r>
      <w:bookmarkEnd w:id="46"/>
    </w:p>
    <w:p w14:paraId="537DA0CF" w14:textId="77777777" w:rsidR="00116C76" w:rsidRPr="00767FC2" w:rsidRDefault="00116C76" w:rsidP="00116C76">
      <w:pPr>
        <w:pStyle w:val="tMain"/>
      </w:pPr>
      <w:bookmarkStart w:id="48" w:name="_Toc405377022"/>
      <w:r w:rsidRPr="00767FC2">
        <w:tab/>
      </w:r>
      <w:r w:rsidR="001626C4" w:rsidRPr="00767FC2">
        <w:t>(1)</w:t>
      </w:r>
      <w:r w:rsidRPr="00767FC2">
        <w:tab/>
        <w:t xml:space="preserve">A project area must not include </w:t>
      </w:r>
      <w:r w:rsidR="00957BBD" w:rsidRPr="00767FC2">
        <w:t xml:space="preserve">an area of </w:t>
      </w:r>
      <w:r w:rsidRPr="00767FC2">
        <w:t xml:space="preserve">land that is </w:t>
      </w:r>
      <w:r w:rsidR="00C80E1E" w:rsidRPr="00767FC2">
        <w:t xml:space="preserve">in </w:t>
      </w:r>
      <w:r w:rsidRPr="00767FC2">
        <w:t>neither the high rainfall zone nor the low rainfall zone.</w:t>
      </w:r>
    </w:p>
    <w:p w14:paraId="158F0B08" w14:textId="77777777" w:rsidR="004161A2" w:rsidRPr="00767FC2" w:rsidRDefault="004161A2" w:rsidP="008314E8">
      <w:pPr>
        <w:pStyle w:val="h6Subsec"/>
      </w:pPr>
      <w:r w:rsidRPr="00767FC2">
        <w:t xml:space="preserve">Requirement to </w:t>
      </w:r>
      <w:r w:rsidR="00E630AC" w:rsidRPr="00767FC2">
        <w:t>maintain</w:t>
      </w:r>
      <w:r w:rsidR="00CF750E" w:rsidRPr="00767FC2">
        <w:t xml:space="preserve"> </w:t>
      </w:r>
      <w:r w:rsidRPr="00767FC2">
        <w:t>vegetation fuel types</w:t>
      </w:r>
    </w:p>
    <w:p w14:paraId="2BA6DF9D" w14:textId="77777777" w:rsidR="008D0BAE" w:rsidRPr="00767FC2" w:rsidRDefault="008D0BAE" w:rsidP="008D0BAE">
      <w:pPr>
        <w:pStyle w:val="tMain"/>
      </w:pPr>
      <w:r w:rsidRPr="00767FC2">
        <w:tab/>
      </w:r>
      <w:r w:rsidR="001626C4" w:rsidRPr="00767FC2">
        <w:t>(2)</w:t>
      </w:r>
      <w:r w:rsidRPr="00767FC2">
        <w:tab/>
        <w:t>A project area, or a project area part:</w:t>
      </w:r>
    </w:p>
    <w:p w14:paraId="3BDD5C3B" w14:textId="77777777" w:rsidR="008D0BAE" w:rsidRPr="00767FC2" w:rsidRDefault="008D0BAE" w:rsidP="008D0BAE">
      <w:pPr>
        <w:pStyle w:val="tPara"/>
      </w:pPr>
      <w:r w:rsidRPr="00767FC2">
        <w:tab/>
      </w:r>
      <w:r w:rsidR="001626C4" w:rsidRPr="00767FC2">
        <w:t>(a)</w:t>
      </w:r>
      <w:r w:rsidRPr="00767FC2">
        <w:tab/>
      </w:r>
      <w:proofErr w:type="gramStart"/>
      <w:r w:rsidRPr="00767FC2">
        <w:t>must</w:t>
      </w:r>
      <w:proofErr w:type="gramEnd"/>
      <w:r w:rsidRPr="00767FC2">
        <w:t xml:space="preserve"> include an area of land that contains a vegetation fuel type; and</w:t>
      </w:r>
    </w:p>
    <w:p w14:paraId="3628273D" w14:textId="77777777" w:rsidR="008D0BAE" w:rsidRPr="00767FC2" w:rsidRDefault="008D0BAE" w:rsidP="008D0BAE">
      <w:pPr>
        <w:pStyle w:val="tPara"/>
      </w:pPr>
      <w:r w:rsidRPr="00767FC2">
        <w:tab/>
      </w:r>
      <w:r w:rsidR="001626C4" w:rsidRPr="00767FC2">
        <w:t>(b)</w:t>
      </w:r>
      <w:r w:rsidRPr="00767FC2">
        <w:tab/>
      </w:r>
      <w:proofErr w:type="gramStart"/>
      <w:r w:rsidRPr="00767FC2">
        <w:t>must</w:t>
      </w:r>
      <w:proofErr w:type="gramEnd"/>
      <w:r w:rsidRPr="00767FC2">
        <w:t xml:space="preserve"> not include an area of land that:</w:t>
      </w:r>
    </w:p>
    <w:p w14:paraId="3D7626E7" w14:textId="77777777" w:rsidR="008D0BAE" w:rsidRPr="00767FC2" w:rsidRDefault="008D0BAE" w:rsidP="008D0BAE">
      <w:pPr>
        <w:pStyle w:val="tSubpara"/>
      </w:pPr>
      <w:r w:rsidRPr="00767FC2">
        <w:tab/>
      </w:r>
      <w:r w:rsidR="001626C4" w:rsidRPr="00767FC2">
        <w:t>(</w:t>
      </w:r>
      <w:proofErr w:type="spellStart"/>
      <w:r w:rsidR="001626C4" w:rsidRPr="00767FC2">
        <w:t>i</w:t>
      </w:r>
      <w:proofErr w:type="spellEnd"/>
      <w:r w:rsidR="001626C4" w:rsidRPr="00767FC2">
        <w:t>)</w:t>
      </w:r>
      <w:r w:rsidRPr="00767FC2">
        <w:tab/>
      </w:r>
      <w:proofErr w:type="gramStart"/>
      <w:r w:rsidRPr="00767FC2">
        <w:t>contains</w:t>
      </w:r>
      <w:proofErr w:type="gramEnd"/>
      <w:r w:rsidRPr="00767FC2">
        <w:t xml:space="preserve"> a relevant weed species; or</w:t>
      </w:r>
    </w:p>
    <w:p w14:paraId="78BF3A4A" w14:textId="77777777" w:rsidR="008D0BAE" w:rsidRPr="00767FC2" w:rsidRDefault="008D0BAE" w:rsidP="008D0BAE">
      <w:pPr>
        <w:pStyle w:val="tSubpara"/>
      </w:pPr>
      <w:r w:rsidRPr="00767FC2">
        <w:tab/>
      </w:r>
      <w:r w:rsidR="001626C4" w:rsidRPr="00767FC2">
        <w:t>(ii)</w:t>
      </w:r>
      <w:r w:rsidRPr="00767FC2">
        <w:tab/>
      </w:r>
      <w:proofErr w:type="gramStart"/>
      <w:r w:rsidRPr="00767FC2">
        <w:t>contained</w:t>
      </w:r>
      <w:proofErr w:type="gramEnd"/>
      <w:r w:rsidRPr="00767FC2">
        <w:t xml:space="preserve"> a vegetation fuel type at the relevant date, but no longer does; or</w:t>
      </w:r>
    </w:p>
    <w:p w14:paraId="5B2C28EF" w14:textId="77777777" w:rsidR="008D0BAE" w:rsidRPr="00767FC2" w:rsidRDefault="008D0BAE" w:rsidP="008D0BAE">
      <w:pPr>
        <w:pStyle w:val="tSubpara"/>
      </w:pPr>
      <w:r w:rsidRPr="00767FC2">
        <w:tab/>
      </w:r>
      <w:r w:rsidR="001626C4" w:rsidRPr="00767FC2">
        <w:t>(iii)</w:t>
      </w:r>
      <w:r w:rsidRPr="00767FC2">
        <w:tab/>
        <w:t>was previously part of the project, or another project under this determination</w:t>
      </w:r>
      <w:r w:rsidR="00FA2303" w:rsidRPr="00767FC2">
        <w:t>, an earlier savanna emissions avoidance determination, or a savanna sequestration determination</w:t>
      </w:r>
      <w:r w:rsidRPr="00767FC2">
        <w:t>, but was removed in accordance with subsection</w:t>
      </w:r>
      <w:r w:rsidR="00FA2303" w:rsidRPr="00767FC2">
        <w:t> </w:t>
      </w:r>
      <w:r w:rsidR="00964086" w:rsidRPr="00767FC2">
        <w:t>(3)</w:t>
      </w:r>
      <w:r w:rsidR="00DE5B58" w:rsidRPr="00767FC2">
        <w:t>,</w:t>
      </w:r>
      <w:r w:rsidR="00FB3597" w:rsidRPr="00767FC2">
        <w:t xml:space="preserve"> or the equivalent subsection of the </w:t>
      </w:r>
      <w:r w:rsidR="00FB3597" w:rsidRPr="00767FC2">
        <w:rPr>
          <w:i/>
        </w:rPr>
        <w:t xml:space="preserve">Carbon Credits (Carbon Farming Initiative—Savanna Fire Management—Sequestration and Emissions Avoidance) Methodology Determination </w:t>
      </w:r>
      <w:r w:rsidR="00D32953" w:rsidRPr="00767FC2">
        <w:rPr>
          <w:i/>
        </w:rPr>
        <w:t>2018</w:t>
      </w:r>
      <w:r w:rsidRPr="00767FC2">
        <w:t>.</w:t>
      </w:r>
    </w:p>
    <w:p w14:paraId="482B42FF" w14:textId="77777777" w:rsidR="007A6D36" w:rsidRPr="00767FC2" w:rsidRDefault="007A6D36" w:rsidP="007A6D36">
      <w:pPr>
        <w:pStyle w:val="nMain"/>
      </w:pPr>
      <w:r w:rsidRPr="00767FC2">
        <w:t>Note:</w:t>
      </w:r>
      <w:r w:rsidRPr="00767FC2">
        <w:tab/>
        <w:t>The eligibility requirement of subsection (2) applies regardless of whether the savanna technical guidance document specifies a method of monitoring for relevant weed species and, accordingly, regardless of whether project proponents are required to monitor for weeds in accordance with section 40.</w:t>
      </w:r>
    </w:p>
    <w:p w14:paraId="3EB6193D" w14:textId="77777777" w:rsidR="0018407D" w:rsidRPr="00767FC2" w:rsidRDefault="0018407D" w:rsidP="0018407D">
      <w:pPr>
        <w:pStyle w:val="tMain"/>
        <w:rPr>
          <w:rFonts w:eastAsia="Calibri"/>
          <w:sz w:val="20"/>
          <w:lang w:eastAsia="en-US"/>
        </w:rPr>
      </w:pPr>
      <w:r w:rsidRPr="00767FC2">
        <w:lastRenderedPageBreak/>
        <w:tab/>
        <w:t xml:space="preserve"> (3)</w:t>
      </w:r>
      <w:r w:rsidRPr="00767FC2">
        <w:tab/>
        <w:t>If an area of land in the project area is found to fit the description in subparagraph (2</w:t>
      </w:r>
      <w:proofErr w:type="gramStart"/>
      <w:r w:rsidRPr="00767FC2">
        <w:t>)(</w:t>
      </w:r>
      <w:proofErr w:type="gramEnd"/>
      <w:r w:rsidRPr="00767FC2">
        <w:t>b)(</w:t>
      </w:r>
      <w:proofErr w:type="spellStart"/>
      <w:r w:rsidRPr="00767FC2">
        <w:t>i</w:t>
      </w:r>
      <w:proofErr w:type="spellEnd"/>
      <w:r w:rsidRPr="00767FC2">
        <w:t>), (ii) or (iii)</w:t>
      </w:r>
      <w:r w:rsidR="00941501" w:rsidRPr="00767FC2">
        <w:t>, or if paragraph 25(3)(a) applies</w:t>
      </w:r>
      <w:r w:rsidRPr="00767FC2">
        <w:t>:</w:t>
      </w:r>
    </w:p>
    <w:p w14:paraId="6AF30283" w14:textId="77777777" w:rsidR="0018407D" w:rsidRPr="00767FC2" w:rsidRDefault="0018407D" w:rsidP="0018407D">
      <w:pPr>
        <w:pStyle w:val="tPara"/>
        <w:rPr>
          <w:szCs w:val="22"/>
        </w:rPr>
      </w:pPr>
      <w:r w:rsidRPr="00767FC2">
        <w:tab/>
        <w:t>(a)</w:t>
      </w:r>
      <w:r w:rsidRPr="00767FC2">
        <w:tab/>
      </w:r>
      <w:proofErr w:type="gramStart"/>
      <w:r w:rsidRPr="00767FC2">
        <w:t>the</w:t>
      </w:r>
      <w:proofErr w:type="gramEnd"/>
      <w:r w:rsidRPr="00767FC2">
        <w:t xml:space="preserve"> area may be removed from the project in accordance with section 15; and</w:t>
      </w:r>
    </w:p>
    <w:p w14:paraId="07B45521" w14:textId="77777777" w:rsidR="0018407D" w:rsidRPr="00767FC2" w:rsidRDefault="0018407D" w:rsidP="0018407D">
      <w:pPr>
        <w:pStyle w:val="tPara"/>
        <w:rPr>
          <w:rFonts w:eastAsia="Calibri"/>
          <w:sz w:val="20"/>
          <w:lang w:eastAsia="en-US"/>
        </w:rPr>
      </w:pPr>
      <w:r w:rsidRPr="00767FC2">
        <w:tab/>
        <w:t>(b)</w:t>
      </w:r>
      <w:r w:rsidRPr="00767FC2">
        <w:tab/>
      </w:r>
      <w:proofErr w:type="gramStart"/>
      <w:r w:rsidRPr="00767FC2">
        <w:t>for</w:t>
      </w:r>
      <w:proofErr w:type="gramEnd"/>
      <w:r w:rsidRPr="00767FC2">
        <w:t xml:space="preserve"> that purpose, the area may be treated as not having fitted that description before its removal from that project.</w:t>
      </w:r>
    </w:p>
    <w:p w14:paraId="2C327814" w14:textId="77777777" w:rsidR="0018407D" w:rsidRPr="00767FC2" w:rsidRDefault="0018407D" w:rsidP="0018407D">
      <w:pPr>
        <w:pStyle w:val="tMain"/>
      </w:pPr>
      <w:r w:rsidRPr="00767FC2">
        <w:tab/>
        <w:t>(4)</w:t>
      </w:r>
      <w:r w:rsidRPr="00767FC2">
        <w:tab/>
        <w:t>If an area of land in the project area was found to fit the description in subparagraph</w:t>
      </w:r>
      <w:r w:rsidR="00625975" w:rsidRPr="00767FC2">
        <w:t> </w:t>
      </w:r>
      <w:r w:rsidRPr="00767FC2">
        <w:t>(2</w:t>
      </w:r>
      <w:proofErr w:type="gramStart"/>
      <w:r w:rsidRPr="00767FC2">
        <w:t>)(</w:t>
      </w:r>
      <w:proofErr w:type="gramEnd"/>
      <w:r w:rsidRPr="00767FC2">
        <w:t>b)(</w:t>
      </w:r>
      <w:proofErr w:type="spellStart"/>
      <w:r w:rsidRPr="00767FC2">
        <w:t>i</w:t>
      </w:r>
      <w:proofErr w:type="spellEnd"/>
      <w:r w:rsidRPr="00767FC2">
        <w:t>), it is nevertheless taken at a later time not to have fitted the description if the relevant weed species:</w:t>
      </w:r>
    </w:p>
    <w:p w14:paraId="27356DBC" w14:textId="77777777" w:rsidR="0018407D" w:rsidRPr="00767FC2" w:rsidRDefault="0018407D" w:rsidP="0018407D">
      <w:pPr>
        <w:pStyle w:val="tPara"/>
      </w:pPr>
      <w:r w:rsidRPr="00767FC2">
        <w:tab/>
        <w:t>(a)</w:t>
      </w:r>
      <w:r w:rsidRPr="00767FC2">
        <w:tab/>
      </w:r>
      <w:proofErr w:type="gramStart"/>
      <w:r w:rsidRPr="00767FC2">
        <w:t>ha</w:t>
      </w:r>
      <w:r w:rsidR="00625975" w:rsidRPr="00767FC2">
        <w:t>s</w:t>
      </w:r>
      <w:proofErr w:type="gramEnd"/>
      <w:r w:rsidRPr="00767FC2">
        <w:t xml:space="preserve"> been permanently removed; and</w:t>
      </w:r>
    </w:p>
    <w:p w14:paraId="47BF904D" w14:textId="77777777" w:rsidR="0018407D" w:rsidRPr="00767FC2" w:rsidRDefault="0018407D" w:rsidP="0018407D">
      <w:pPr>
        <w:pStyle w:val="tPara"/>
      </w:pPr>
      <w:r w:rsidRPr="00767FC2">
        <w:tab/>
        <w:t>(b)</w:t>
      </w:r>
      <w:r w:rsidRPr="00767FC2">
        <w:tab/>
      </w:r>
      <w:proofErr w:type="gramStart"/>
      <w:r w:rsidRPr="00767FC2">
        <w:t>w</w:t>
      </w:r>
      <w:r w:rsidR="00625975" w:rsidRPr="00767FC2">
        <w:t>as</w:t>
      </w:r>
      <w:proofErr w:type="gramEnd"/>
      <w:r w:rsidRPr="00767FC2">
        <w:t xml:space="preserve"> not indicated as being present in the area of land by the latest monitoring for weeds under section 40.</w:t>
      </w:r>
    </w:p>
    <w:p w14:paraId="1B0FACFF" w14:textId="77777777" w:rsidR="0018407D" w:rsidRPr="00767FC2" w:rsidRDefault="0018407D" w:rsidP="0018407D">
      <w:pPr>
        <w:pStyle w:val="tMain"/>
      </w:pPr>
      <w:r w:rsidRPr="00767FC2">
        <w:tab/>
        <w:t>(5)</w:t>
      </w:r>
      <w:r w:rsidRPr="00767FC2">
        <w:tab/>
        <w:t>If the project proponent relies on subsection (3) or (4), the action under paragraph (3</w:t>
      </w:r>
      <w:proofErr w:type="gramStart"/>
      <w:r w:rsidRPr="00767FC2">
        <w:t>)(</w:t>
      </w:r>
      <w:proofErr w:type="gramEnd"/>
      <w:r w:rsidRPr="00767FC2">
        <w:t>a) or (4)(a) must be taken:</w:t>
      </w:r>
    </w:p>
    <w:p w14:paraId="436C7001" w14:textId="77777777" w:rsidR="0018407D" w:rsidRPr="00767FC2" w:rsidRDefault="0018407D" w:rsidP="0018407D">
      <w:pPr>
        <w:pStyle w:val="tPara"/>
      </w:pPr>
      <w:r w:rsidRPr="00767FC2">
        <w:tab/>
        <w:t>(</w:t>
      </w:r>
      <w:proofErr w:type="gramStart"/>
      <w:r w:rsidRPr="00767FC2">
        <w:t>a</w:t>
      </w:r>
      <w:proofErr w:type="gramEnd"/>
      <w:r w:rsidRPr="00767FC2">
        <w:t>)</w:t>
      </w:r>
      <w:r w:rsidRPr="00767FC2">
        <w:tab/>
        <w:t>as soon as practicable; and</w:t>
      </w:r>
    </w:p>
    <w:p w14:paraId="3211A723" w14:textId="77777777" w:rsidR="0018407D" w:rsidRPr="00767FC2" w:rsidRDefault="0018407D" w:rsidP="0018407D">
      <w:pPr>
        <w:pStyle w:val="tPara"/>
      </w:pPr>
      <w:r w:rsidRPr="00767FC2">
        <w:tab/>
        <w:t>(b)</w:t>
      </w:r>
      <w:r w:rsidRPr="00767FC2">
        <w:tab/>
      </w:r>
      <w:proofErr w:type="gramStart"/>
      <w:r w:rsidRPr="00767FC2">
        <w:t>no</w:t>
      </w:r>
      <w:proofErr w:type="gramEnd"/>
      <w:r w:rsidRPr="00767FC2">
        <w:t xml:space="preserve"> later than the end of the reporting period during which the issue came to the attention of the project proponent.</w:t>
      </w:r>
    </w:p>
    <w:p w14:paraId="6A45BC35" w14:textId="77777777" w:rsidR="008D0BAE" w:rsidRPr="00767FC2" w:rsidRDefault="008D0BAE" w:rsidP="008D0BAE">
      <w:pPr>
        <w:pStyle w:val="nMain"/>
      </w:pPr>
      <w:r w:rsidRPr="00767FC2">
        <w:t>Note:</w:t>
      </w:r>
      <w:r w:rsidRPr="00767FC2">
        <w:tab/>
        <w:t>The affected areas may be separated into a separate project area by subdividing under paragraph </w:t>
      </w:r>
      <w:r w:rsidR="00964086" w:rsidRPr="00767FC2">
        <w:t>15(1</w:t>
      </w:r>
      <w:proofErr w:type="gramStart"/>
      <w:r w:rsidR="00964086" w:rsidRPr="00767FC2">
        <w:t>)(</w:t>
      </w:r>
      <w:proofErr w:type="gramEnd"/>
      <w:r w:rsidR="00964086" w:rsidRPr="00767FC2">
        <w:t>b)</w:t>
      </w:r>
      <w:r w:rsidRPr="00767FC2">
        <w:t xml:space="preserve"> and then removed from the project under paragraph </w:t>
      </w:r>
      <w:r w:rsidR="00964086" w:rsidRPr="00767FC2">
        <w:t>15(1)(c)</w:t>
      </w:r>
      <w:r w:rsidRPr="00767FC2">
        <w:t>.</w:t>
      </w:r>
    </w:p>
    <w:p w14:paraId="10523CEF" w14:textId="77777777" w:rsidR="008D0BAE" w:rsidRPr="00767FC2" w:rsidRDefault="008D0BAE" w:rsidP="008D0BAE">
      <w:pPr>
        <w:pStyle w:val="tMain"/>
      </w:pPr>
      <w:r w:rsidRPr="00767FC2">
        <w:tab/>
      </w:r>
      <w:r w:rsidR="00511F93" w:rsidRPr="00767FC2">
        <w:t>(6)</w:t>
      </w:r>
      <w:r w:rsidRPr="00767FC2">
        <w:tab/>
        <w:t>For subparagraph </w:t>
      </w:r>
      <w:r w:rsidR="00964086" w:rsidRPr="00767FC2">
        <w:t>(2)(b)(ii)</w:t>
      </w:r>
      <w:r w:rsidRPr="00767FC2">
        <w:t xml:space="preserve">, the </w:t>
      </w:r>
      <w:r w:rsidRPr="00767FC2">
        <w:rPr>
          <w:b/>
          <w:i/>
        </w:rPr>
        <w:t xml:space="preserve">relevant date </w:t>
      </w:r>
      <w:r w:rsidRPr="00767FC2">
        <w:t>is the date of the section 22 application or section 29 application in which the project area is first identified.</w:t>
      </w:r>
    </w:p>
    <w:p w14:paraId="3DF86415" w14:textId="77777777" w:rsidR="008D0BAE" w:rsidRPr="00767FC2" w:rsidRDefault="008D0BAE" w:rsidP="008D0BAE">
      <w:pPr>
        <w:pStyle w:val="nMain"/>
      </w:pPr>
      <w:r w:rsidRPr="00767FC2">
        <w:t>Note:</w:t>
      </w:r>
      <w:r w:rsidRPr="00767FC2">
        <w:tab/>
      </w:r>
      <w:r w:rsidR="004F38EA" w:rsidRPr="00767FC2">
        <w:t>The operation of s</w:t>
      </w:r>
      <w:r w:rsidRPr="00767FC2">
        <w:t>ubsection </w:t>
      </w:r>
      <w:r w:rsidR="0018407D" w:rsidRPr="00767FC2">
        <w:t>(6)</w:t>
      </w:r>
      <w:r w:rsidRPr="00767FC2">
        <w:t xml:space="preserve"> is modified in some cases if the requirement in lieu of the newness requirement set out in paragraph </w:t>
      </w:r>
      <w:r w:rsidR="00964086" w:rsidRPr="00767FC2">
        <w:t>21(2</w:t>
      </w:r>
      <w:proofErr w:type="gramStart"/>
      <w:r w:rsidR="00964086" w:rsidRPr="00767FC2">
        <w:t>)(</w:t>
      </w:r>
      <w:proofErr w:type="gramEnd"/>
      <w:r w:rsidR="00964086" w:rsidRPr="00767FC2">
        <w:t>c)</w:t>
      </w:r>
      <w:r w:rsidRPr="00767FC2">
        <w:t xml:space="preserve"> was met. See paragraph </w:t>
      </w:r>
      <w:r w:rsidR="00964086" w:rsidRPr="00767FC2">
        <w:t>21(3</w:t>
      </w:r>
      <w:proofErr w:type="gramStart"/>
      <w:r w:rsidR="00964086" w:rsidRPr="00767FC2">
        <w:t>)(</w:t>
      </w:r>
      <w:proofErr w:type="gramEnd"/>
      <w:r w:rsidR="00964086" w:rsidRPr="00767FC2">
        <w:t>a)</w:t>
      </w:r>
      <w:r w:rsidRPr="00767FC2">
        <w:t>.</w:t>
      </w:r>
    </w:p>
    <w:p w14:paraId="7D244980" w14:textId="77777777" w:rsidR="005F07E3" w:rsidRPr="00767FC2" w:rsidRDefault="001626C4" w:rsidP="001E4E09">
      <w:pPr>
        <w:pStyle w:val="h5Section"/>
      </w:pPr>
      <w:bookmarkStart w:id="49" w:name="_Toc413155561"/>
      <w:bookmarkStart w:id="50" w:name="_Toc509567191"/>
      <w:bookmarkStart w:id="51" w:name="_Toc405377025"/>
      <w:bookmarkEnd w:id="48"/>
      <w:proofErr w:type="gramStart"/>
      <w:r w:rsidRPr="00767FC2">
        <w:t>15</w:t>
      </w:r>
      <w:r w:rsidR="001E4E09" w:rsidRPr="00767FC2">
        <w:t xml:space="preserve">  </w:t>
      </w:r>
      <w:r w:rsidR="005F07E3" w:rsidRPr="00767FC2">
        <w:t>Variations</w:t>
      </w:r>
      <w:proofErr w:type="gramEnd"/>
      <w:r w:rsidR="005F07E3" w:rsidRPr="00767FC2">
        <w:t xml:space="preserve"> to project areas</w:t>
      </w:r>
      <w:bookmarkEnd w:id="49"/>
      <w:bookmarkEnd w:id="50"/>
    </w:p>
    <w:p w14:paraId="7424A577" w14:textId="77777777" w:rsidR="0022619A" w:rsidRPr="00767FC2" w:rsidRDefault="0022619A" w:rsidP="0022619A">
      <w:pPr>
        <w:pStyle w:val="tMain"/>
      </w:pPr>
      <w:bookmarkStart w:id="52" w:name="_Toc405377040"/>
      <w:bookmarkStart w:id="53" w:name="_Toc413155570"/>
      <w:bookmarkEnd w:id="51"/>
      <w:r w:rsidRPr="00767FC2">
        <w:tab/>
      </w:r>
      <w:r w:rsidR="001626C4" w:rsidRPr="00767FC2">
        <w:t>(1)</w:t>
      </w:r>
      <w:r w:rsidRPr="00767FC2">
        <w:tab/>
        <w:t>Any variation of the section 27 declaration of a savanna emissions avoidance project so far as the declaration identifies the project area or areas after the start of the crediting period must be for one or more of the following only:</w:t>
      </w:r>
    </w:p>
    <w:p w14:paraId="3CECAAB6" w14:textId="77777777" w:rsidR="0022619A" w:rsidRPr="00767FC2" w:rsidRDefault="0022619A" w:rsidP="0022619A">
      <w:pPr>
        <w:pStyle w:val="tPara"/>
      </w:pPr>
      <w:r w:rsidRPr="00767FC2">
        <w:tab/>
      </w:r>
      <w:r w:rsidR="001626C4" w:rsidRPr="00767FC2">
        <w:t>(a)</w:t>
      </w:r>
      <w:r w:rsidRPr="00767FC2">
        <w:tab/>
      </w:r>
      <w:proofErr w:type="gramStart"/>
      <w:r w:rsidRPr="00767FC2">
        <w:t>to</w:t>
      </w:r>
      <w:proofErr w:type="gramEnd"/>
      <w:r w:rsidRPr="00767FC2">
        <w:t xml:space="preserve"> add an additional project area;</w:t>
      </w:r>
    </w:p>
    <w:p w14:paraId="5E5DD1EC" w14:textId="77777777" w:rsidR="0022619A" w:rsidRPr="00767FC2" w:rsidRDefault="0022619A" w:rsidP="0022619A">
      <w:pPr>
        <w:pStyle w:val="tPara"/>
      </w:pPr>
      <w:r w:rsidRPr="00767FC2">
        <w:tab/>
      </w:r>
      <w:r w:rsidR="001626C4" w:rsidRPr="00767FC2">
        <w:t>(b)</w:t>
      </w:r>
      <w:r w:rsidRPr="00767FC2">
        <w:tab/>
      </w:r>
      <w:proofErr w:type="gramStart"/>
      <w:r w:rsidRPr="00767FC2">
        <w:t>to</w:t>
      </w:r>
      <w:proofErr w:type="gramEnd"/>
      <w:r w:rsidRPr="00767FC2">
        <w:t xml:space="preserve"> remove an entire project area and replace it with subdivided project areas;</w:t>
      </w:r>
    </w:p>
    <w:p w14:paraId="504B215A" w14:textId="77777777" w:rsidR="0022619A" w:rsidRPr="00767FC2" w:rsidRDefault="0022619A" w:rsidP="0022619A">
      <w:pPr>
        <w:pStyle w:val="tPara"/>
      </w:pPr>
      <w:r w:rsidRPr="00767FC2">
        <w:tab/>
      </w:r>
      <w:r w:rsidR="001626C4" w:rsidRPr="00767FC2">
        <w:t>(c)</w:t>
      </w:r>
      <w:r w:rsidRPr="00767FC2">
        <w:tab/>
      </w:r>
      <w:proofErr w:type="gramStart"/>
      <w:r w:rsidRPr="00767FC2">
        <w:t>to</w:t>
      </w:r>
      <w:proofErr w:type="gramEnd"/>
      <w:r w:rsidRPr="00767FC2">
        <w:t xml:space="preserve"> remove an entire project area and not replace it.</w:t>
      </w:r>
    </w:p>
    <w:p w14:paraId="6D4B52A2" w14:textId="77777777" w:rsidR="00E630AC" w:rsidRPr="00767FC2" w:rsidRDefault="00E630AC" w:rsidP="00E630AC">
      <w:pPr>
        <w:pStyle w:val="nMain"/>
      </w:pPr>
      <w:r w:rsidRPr="00767FC2">
        <w:t>Note:</w:t>
      </w:r>
      <w:r w:rsidRPr="00767FC2">
        <w:tab/>
        <w:t xml:space="preserve">A project area cannot be increased in size. To remove part of a project area from the project, the </w:t>
      </w:r>
      <w:r w:rsidR="005C6E31" w:rsidRPr="00767FC2">
        <w:t xml:space="preserve">project </w:t>
      </w:r>
      <w:r w:rsidRPr="00767FC2">
        <w:t>area must first be subdivided so that the area to be removed now constitutes the whole of a (smaller) project area.</w:t>
      </w:r>
    </w:p>
    <w:p w14:paraId="7DAE01FD" w14:textId="77777777" w:rsidR="0022619A" w:rsidRPr="00767FC2" w:rsidRDefault="0022619A" w:rsidP="0022619A">
      <w:pPr>
        <w:pStyle w:val="tMain"/>
      </w:pPr>
      <w:r w:rsidRPr="00767FC2">
        <w:tab/>
      </w:r>
      <w:r w:rsidR="001626C4" w:rsidRPr="00767FC2">
        <w:t>(2)</w:t>
      </w:r>
      <w:r w:rsidRPr="00767FC2">
        <w:tab/>
        <w:t>For this determination, if:</w:t>
      </w:r>
    </w:p>
    <w:p w14:paraId="178F51E8" w14:textId="77777777" w:rsidR="0022619A" w:rsidRPr="00767FC2" w:rsidRDefault="0022619A" w:rsidP="0022619A">
      <w:pPr>
        <w:pStyle w:val="tPara"/>
      </w:pPr>
      <w:r w:rsidRPr="00767FC2">
        <w:tab/>
      </w:r>
      <w:r w:rsidR="001626C4" w:rsidRPr="00767FC2">
        <w:t>(a)</w:t>
      </w:r>
      <w:r w:rsidRPr="00767FC2">
        <w:tab/>
      </w:r>
      <w:proofErr w:type="gramStart"/>
      <w:r w:rsidRPr="00767FC2">
        <w:t>a</w:t>
      </w:r>
      <w:proofErr w:type="gramEnd"/>
      <w:r w:rsidRPr="00767FC2">
        <w:t xml:space="preserve"> project area (the </w:t>
      </w:r>
      <w:r w:rsidRPr="00767FC2">
        <w:rPr>
          <w:b/>
          <w:i/>
        </w:rPr>
        <w:t>original project area</w:t>
      </w:r>
      <w:r w:rsidRPr="00767FC2">
        <w:t>) is divided into 2 or more smaller project areas; and</w:t>
      </w:r>
    </w:p>
    <w:p w14:paraId="7045E2A8" w14:textId="77777777" w:rsidR="0022619A" w:rsidRPr="00767FC2" w:rsidRDefault="0022619A" w:rsidP="0022619A">
      <w:pPr>
        <w:pStyle w:val="tPara"/>
      </w:pPr>
      <w:r w:rsidRPr="00767FC2">
        <w:tab/>
      </w:r>
      <w:r w:rsidR="001626C4" w:rsidRPr="00767FC2">
        <w:t>(b)</w:t>
      </w:r>
      <w:r w:rsidRPr="00767FC2">
        <w:tab/>
      </w:r>
      <w:proofErr w:type="gramStart"/>
      <w:r w:rsidRPr="00767FC2">
        <w:t>the</w:t>
      </w:r>
      <w:proofErr w:type="gramEnd"/>
      <w:r w:rsidRPr="00767FC2">
        <w:t xml:space="preserve"> area made up of the areas of land covered by those smaller project areas, when taken together, is identical to the area of land covered by the original project area;</w:t>
      </w:r>
    </w:p>
    <w:p w14:paraId="44153BC5" w14:textId="77777777" w:rsidR="0022619A" w:rsidRPr="00767FC2" w:rsidRDefault="0022619A" w:rsidP="0022619A">
      <w:pPr>
        <w:pStyle w:val="subsectionsandwich"/>
      </w:pPr>
      <w:r w:rsidRPr="00767FC2">
        <w:tab/>
      </w:r>
      <w:r w:rsidRPr="00767FC2">
        <w:tab/>
      </w:r>
      <w:proofErr w:type="gramStart"/>
      <w:r w:rsidRPr="00767FC2">
        <w:t>each</w:t>
      </w:r>
      <w:proofErr w:type="gramEnd"/>
      <w:r w:rsidRPr="00767FC2">
        <w:t xml:space="preserve"> smaller project area is a </w:t>
      </w:r>
      <w:r w:rsidRPr="00767FC2">
        <w:rPr>
          <w:b/>
          <w:i/>
        </w:rPr>
        <w:t>subdivided project area</w:t>
      </w:r>
      <w:r w:rsidRPr="00767FC2">
        <w:t>.</w:t>
      </w:r>
    </w:p>
    <w:p w14:paraId="7DA2CE67" w14:textId="77777777" w:rsidR="00EE65A9" w:rsidRPr="00767FC2" w:rsidRDefault="001626C4" w:rsidP="00EE65A9">
      <w:pPr>
        <w:pStyle w:val="h3Div"/>
      </w:pPr>
      <w:bookmarkStart w:id="54" w:name="_Toc509567192"/>
      <w:r w:rsidRPr="00767FC2">
        <w:t>Division 3</w:t>
      </w:r>
      <w:r w:rsidR="00EE65A9" w:rsidRPr="00767FC2">
        <w:t>—Project activity</w:t>
      </w:r>
      <w:bookmarkEnd w:id="54"/>
    </w:p>
    <w:p w14:paraId="69D53D73" w14:textId="77777777" w:rsidR="00EE65A9" w:rsidRPr="00767FC2" w:rsidRDefault="001626C4" w:rsidP="00EE65A9">
      <w:pPr>
        <w:pStyle w:val="h5Section"/>
      </w:pPr>
      <w:bookmarkStart w:id="55" w:name="_Toc478739833"/>
      <w:bookmarkStart w:id="56" w:name="_Toc509567193"/>
      <w:proofErr w:type="gramStart"/>
      <w:r w:rsidRPr="00767FC2">
        <w:t>16</w:t>
      </w:r>
      <w:r w:rsidR="00EE65A9" w:rsidRPr="00767FC2">
        <w:t xml:space="preserve">  </w:t>
      </w:r>
      <w:bookmarkEnd w:id="55"/>
      <w:r w:rsidR="00E630AC" w:rsidRPr="00767FC2">
        <w:t>Requirement</w:t>
      </w:r>
      <w:proofErr w:type="gramEnd"/>
      <w:r w:rsidR="00E630AC" w:rsidRPr="00767FC2">
        <w:t xml:space="preserve"> to undertake savanna fire management</w:t>
      </w:r>
      <w:bookmarkEnd w:id="56"/>
    </w:p>
    <w:p w14:paraId="34A364AE" w14:textId="77777777" w:rsidR="005D5015" w:rsidRPr="00767FC2" w:rsidRDefault="005D5015" w:rsidP="005D5015">
      <w:pPr>
        <w:pStyle w:val="tMain"/>
      </w:pPr>
      <w:r w:rsidRPr="00767FC2">
        <w:tab/>
      </w:r>
      <w:r w:rsidR="001626C4" w:rsidRPr="00767FC2">
        <w:t>(1)</w:t>
      </w:r>
      <w:r w:rsidRPr="00767FC2">
        <w:tab/>
        <w:t xml:space="preserve">The project proponent must </w:t>
      </w:r>
      <w:r w:rsidR="00BF72F0" w:rsidRPr="00767FC2">
        <w:t xml:space="preserve">undertake savanna fire management by </w:t>
      </w:r>
      <w:r w:rsidRPr="00767FC2">
        <w:t>undertaking planned burning in each project area each calendar year.</w:t>
      </w:r>
    </w:p>
    <w:p w14:paraId="7B5A435F" w14:textId="77777777" w:rsidR="005D5015" w:rsidRPr="00767FC2" w:rsidRDefault="005D5015" w:rsidP="005D5015">
      <w:pPr>
        <w:pStyle w:val="tMain"/>
      </w:pPr>
      <w:r w:rsidRPr="00767FC2">
        <w:tab/>
      </w:r>
      <w:r w:rsidR="001626C4" w:rsidRPr="00767FC2">
        <w:t>(2)</w:t>
      </w:r>
      <w:r w:rsidRPr="00767FC2">
        <w:tab/>
        <w:t>The planned burning must be undertaken each year in such a way that the combination of:</w:t>
      </w:r>
    </w:p>
    <w:p w14:paraId="50D77D62" w14:textId="77777777" w:rsidR="005D5015" w:rsidRPr="00767FC2" w:rsidRDefault="005D5015" w:rsidP="005D5015">
      <w:pPr>
        <w:pStyle w:val="tPara"/>
      </w:pPr>
      <w:r w:rsidRPr="00767FC2">
        <w:lastRenderedPageBreak/>
        <w:tab/>
      </w:r>
      <w:r w:rsidR="001626C4" w:rsidRPr="00767FC2">
        <w:t>(a)</w:t>
      </w:r>
      <w:r w:rsidRPr="00767FC2">
        <w:tab/>
      </w:r>
      <w:proofErr w:type="gramStart"/>
      <w:r w:rsidRPr="00767FC2">
        <w:t>the</w:t>
      </w:r>
      <w:proofErr w:type="gramEnd"/>
      <w:r w:rsidRPr="00767FC2">
        <w:t xml:space="preserve"> pattern of planned and unplanned burning (if any) in all previous calendar years since the project commenced; and</w:t>
      </w:r>
    </w:p>
    <w:p w14:paraId="75F20BC3" w14:textId="77777777" w:rsidR="005D5015" w:rsidRPr="00767FC2" w:rsidRDefault="005D5015" w:rsidP="005D5015">
      <w:pPr>
        <w:pStyle w:val="tPara"/>
      </w:pPr>
      <w:r w:rsidRPr="00767FC2">
        <w:tab/>
      </w:r>
      <w:r w:rsidR="001626C4" w:rsidRPr="00767FC2">
        <w:t>(b)</w:t>
      </w:r>
      <w:r w:rsidRPr="00767FC2">
        <w:tab/>
      </w:r>
      <w:proofErr w:type="gramStart"/>
      <w:r w:rsidRPr="00767FC2">
        <w:t>the</w:t>
      </w:r>
      <w:proofErr w:type="gramEnd"/>
      <w:r w:rsidRPr="00767FC2">
        <w:t xml:space="preserve"> planned burning undertaken in that calendar year (if any); and</w:t>
      </w:r>
    </w:p>
    <w:p w14:paraId="61BA3F02" w14:textId="77777777" w:rsidR="005D5015" w:rsidRPr="00767FC2" w:rsidRDefault="005D5015" w:rsidP="005D5015">
      <w:pPr>
        <w:pStyle w:val="tPara"/>
      </w:pPr>
      <w:r w:rsidRPr="00767FC2">
        <w:tab/>
      </w:r>
      <w:r w:rsidR="001626C4" w:rsidRPr="00767FC2">
        <w:t>(c)</w:t>
      </w:r>
      <w:r w:rsidRPr="00767FC2">
        <w:tab/>
      </w:r>
      <w:proofErr w:type="gramStart"/>
      <w:r w:rsidRPr="00767FC2">
        <w:t>the</w:t>
      </w:r>
      <w:proofErr w:type="gramEnd"/>
      <w:r w:rsidRPr="00767FC2">
        <w:t xml:space="preserve"> planned burning that is proposed to be undertaken for the remainder of the </w:t>
      </w:r>
      <w:r w:rsidR="00136CD9" w:rsidRPr="00767FC2">
        <w:t xml:space="preserve">project’s crediting </w:t>
      </w:r>
      <w:r w:rsidRPr="00767FC2">
        <w:t>period;</w:t>
      </w:r>
    </w:p>
    <w:p w14:paraId="411023A4" w14:textId="77777777" w:rsidR="005D5015" w:rsidRPr="00767FC2" w:rsidRDefault="005D5015" w:rsidP="005D5015">
      <w:pPr>
        <w:pStyle w:val="subsectionsandwich"/>
      </w:pPr>
      <w:r w:rsidRPr="00767FC2">
        <w:tab/>
      </w:r>
      <w:r w:rsidRPr="00767FC2">
        <w:tab/>
        <w:t>in the project area together demonstrate a program of burning that meet</w:t>
      </w:r>
      <w:r w:rsidR="00190225" w:rsidRPr="00767FC2">
        <w:t>s</w:t>
      </w:r>
      <w:r w:rsidRPr="00767FC2">
        <w:t xml:space="preserve"> the objective referred to in paragraph </w:t>
      </w:r>
      <w:r w:rsidR="00964086" w:rsidRPr="00767FC2">
        <w:t>11(1)(a)</w:t>
      </w:r>
      <w:r w:rsidRPr="00767FC2">
        <w:t>.</w:t>
      </w:r>
    </w:p>
    <w:p w14:paraId="23342458" w14:textId="77777777" w:rsidR="00A978EF" w:rsidRPr="00767FC2" w:rsidRDefault="00A978EF" w:rsidP="00A978EF">
      <w:pPr>
        <w:pStyle w:val="tMain"/>
      </w:pPr>
      <w:r w:rsidRPr="00767FC2">
        <w:tab/>
      </w:r>
      <w:r w:rsidR="001626C4" w:rsidRPr="00767FC2">
        <w:t>(3)</w:t>
      </w:r>
      <w:r w:rsidRPr="00767FC2">
        <w:tab/>
        <w:t xml:space="preserve">Subsection </w:t>
      </w:r>
      <w:r w:rsidR="00964086" w:rsidRPr="00767FC2">
        <w:t>(1)</w:t>
      </w:r>
      <w:r w:rsidRPr="00767FC2">
        <w:t xml:space="preserve"> is not contravened by a failure to undertake planned burning in a particular project area in a particular calendar year if the failure resulted from circumstances beyond the project proponent’s reasonable control.</w:t>
      </w:r>
    </w:p>
    <w:p w14:paraId="22630EAD" w14:textId="77777777" w:rsidR="00190225" w:rsidRPr="00767FC2" w:rsidRDefault="00EE65A9" w:rsidP="00163303">
      <w:pPr>
        <w:pStyle w:val="tMain"/>
      </w:pPr>
      <w:r w:rsidRPr="00767FC2">
        <w:tab/>
      </w:r>
      <w:r w:rsidR="001626C4" w:rsidRPr="00767FC2">
        <w:t>(4)</w:t>
      </w:r>
      <w:r w:rsidRPr="00767FC2">
        <w:tab/>
        <w:t xml:space="preserve">If a project area is divided into 2 or more subdivided project areas on a particular date, for the purposes of this section, planned burning that was undertaken in any part of the original project area prior to that date </w:t>
      </w:r>
      <w:r w:rsidR="00E630AC" w:rsidRPr="00767FC2">
        <w:t xml:space="preserve">may be treated </w:t>
      </w:r>
      <w:r w:rsidRPr="00767FC2">
        <w:t xml:space="preserve">as having been undertaken </w:t>
      </w:r>
      <w:r w:rsidR="00E630AC" w:rsidRPr="00767FC2">
        <w:t xml:space="preserve">in </w:t>
      </w:r>
      <w:r w:rsidRPr="00767FC2">
        <w:t>any of the subdivided project areas.</w:t>
      </w:r>
    </w:p>
    <w:p w14:paraId="4D36B9FF" w14:textId="77777777" w:rsidR="00E410DE" w:rsidRPr="00767FC2" w:rsidRDefault="00163303" w:rsidP="00D802F3">
      <w:pPr>
        <w:pStyle w:val="nMain"/>
      </w:pPr>
      <w:r w:rsidRPr="00767FC2">
        <w:t>Note:</w:t>
      </w:r>
      <w:r w:rsidRPr="00767FC2">
        <w:tab/>
      </w:r>
      <w:bookmarkStart w:id="57" w:name="_Toc476044141"/>
      <w:bookmarkStart w:id="58" w:name="_Toc478739834"/>
      <w:r w:rsidR="00D802F3" w:rsidRPr="00767FC2">
        <w:t xml:space="preserve">In monitoring whether a project continues to meet the requirements of section 16, the Regulator will consider a range of information, including the project management plan and other information included in an offsets report under subsection 36(3), and the information in any </w:t>
      </w:r>
      <w:proofErr w:type="spellStart"/>
      <w:r w:rsidR="00D802F3" w:rsidRPr="00767FC2">
        <w:t>SavBAT</w:t>
      </w:r>
      <w:proofErr w:type="spellEnd"/>
      <w:r w:rsidR="00D802F3" w:rsidRPr="00767FC2">
        <w:t xml:space="preserve"> 3 reports relating to the project.</w:t>
      </w:r>
    </w:p>
    <w:p w14:paraId="478A397D" w14:textId="77777777" w:rsidR="00EE65A9" w:rsidRPr="00767FC2" w:rsidRDefault="00E410DE" w:rsidP="00E410DE">
      <w:pPr>
        <w:pStyle w:val="h5Section"/>
      </w:pPr>
      <w:bookmarkStart w:id="59" w:name="_Toc509567194"/>
      <w:proofErr w:type="gramStart"/>
      <w:r w:rsidRPr="00767FC2">
        <w:t xml:space="preserve">17  </w:t>
      </w:r>
      <w:r w:rsidR="00EE65A9" w:rsidRPr="00767FC2">
        <w:t>Project</w:t>
      </w:r>
      <w:proofErr w:type="gramEnd"/>
      <w:r w:rsidR="00EE65A9" w:rsidRPr="00767FC2">
        <w:t xml:space="preserve"> management plan</w:t>
      </w:r>
      <w:bookmarkEnd w:id="57"/>
      <w:bookmarkEnd w:id="58"/>
      <w:bookmarkEnd w:id="59"/>
    </w:p>
    <w:p w14:paraId="1CCC3FB0" w14:textId="77777777" w:rsidR="00EE65A9" w:rsidRPr="00767FC2" w:rsidRDefault="00EE65A9" w:rsidP="00EE65A9">
      <w:pPr>
        <w:pStyle w:val="h6Subsec"/>
      </w:pPr>
      <w:r w:rsidRPr="00767FC2">
        <w:t>Requirement to prepare project management plan</w:t>
      </w:r>
    </w:p>
    <w:p w14:paraId="62B3FD28" w14:textId="77777777" w:rsidR="00EE65A9" w:rsidRPr="00767FC2" w:rsidRDefault="00EE65A9" w:rsidP="00EE65A9">
      <w:pPr>
        <w:pStyle w:val="tMain"/>
      </w:pPr>
      <w:r w:rsidRPr="00767FC2">
        <w:tab/>
      </w:r>
      <w:r w:rsidR="001626C4" w:rsidRPr="00767FC2">
        <w:t>(1)</w:t>
      </w:r>
      <w:r w:rsidRPr="00767FC2">
        <w:tab/>
      </w:r>
      <w:r w:rsidR="005D5015" w:rsidRPr="00767FC2">
        <w:t>The project proponent must, each calendar year, prepare a plan that describes the planned burning that is intended to be undertaken in each project area for that year.</w:t>
      </w:r>
    </w:p>
    <w:p w14:paraId="2E03C68B" w14:textId="77777777" w:rsidR="00EE65A9" w:rsidRPr="00767FC2" w:rsidRDefault="00EE65A9" w:rsidP="00EE65A9">
      <w:pPr>
        <w:pStyle w:val="tMain"/>
      </w:pPr>
      <w:r w:rsidRPr="00767FC2">
        <w:tab/>
      </w:r>
      <w:r w:rsidR="001626C4" w:rsidRPr="00767FC2">
        <w:t>(2)</w:t>
      </w:r>
      <w:r w:rsidRPr="00767FC2">
        <w:tab/>
        <w:t xml:space="preserve">Such a plan is a </w:t>
      </w:r>
      <w:r w:rsidRPr="00767FC2">
        <w:rPr>
          <w:b/>
          <w:i/>
        </w:rPr>
        <w:t>project management plan</w:t>
      </w:r>
      <w:r w:rsidRPr="00767FC2">
        <w:t>.</w:t>
      </w:r>
    </w:p>
    <w:p w14:paraId="61E48242" w14:textId="77777777" w:rsidR="00EE65A9" w:rsidRPr="00767FC2" w:rsidRDefault="00EE65A9" w:rsidP="00EE65A9">
      <w:pPr>
        <w:pStyle w:val="h6Subsec"/>
      </w:pPr>
      <w:r w:rsidRPr="00767FC2">
        <w:t>Time for preparation of project management plan</w:t>
      </w:r>
    </w:p>
    <w:p w14:paraId="16660DEC" w14:textId="77777777" w:rsidR="00EE65A9" w:rsidRPr="00767FC2" w:rsidRDefault="00EE65A9" w:rsidP="00EE65A9">
      <w:pPr>
        <w:pStyle w:val="tMain"/>
      </w:pPr>
      <w:r w:rsidRPr="00767FC2">
        <w:tab/>
      </w:r>
      <w:r w:rsidR="001626C4" w:rsidRPr="00767FC2">
        <w:t>(3)</w:t>
      </w:r>
      <w:r w:rsidRPr="00767FC2">
        <w:tab/>
        <w:t>A project management plan that relates to a particular project area must be prepared before commencing planned burning in that project area in the year to which the plan relates.</w:t>
      </w:r>
    </w:p>
    <w:p w14:paraId="6430D872" w14:textId="77777777" w:rsidR="00EE65A9" w:rsidRPr="00767FC2" w:rsidRDefault="00EE65A9" w:rsidP="00EE65A9">
      <w:pPr>
        <w:pStyle w:val="h6Subsec"/>
      </w:pPr>
      <w:r w:rsidRPr="00767FC2">
        <w:t>Updating or revising project management plan</w:t>
      </w:r>
    </w:p>
    <w:p w14:paraId="40EC72B8" w14:textId="77777777" w:rsidR="00EE65A9" w:rsidRPr="00767FC2" w:rsidRDefault="00EE65A9" w:rsidP="00EE65A9">
      <w:pPr>
        <w:pStyle w:val="tMain"/>
      </w:pPr>
      <w:r w:rsidRPr="00767FC2">
        <w:tab/>
      </w:r>
      <w:r w:rsidR="001626C4" w:rsidRPr="00767FC2">
        <w:t>(4)</w:t>
      </w:r>
      <w:r w:rsidRPr="00767FC2">
        <w:tab/>
        <w:t>A project management plan may be revised or updated throughout the year to which it relates.</w:t>
      </w:r>
    </w:p>
    <w:p w14:paraId="49F9C67F" w14:textId="77777777" w:rsidR="00182A98" w:rsidRPr="00767FC2" w:rsidRDefault="00182A98" w:rsidP="00182A98">
      <w:pPr>
        <w:pStyle w:val="tMain"/>
      </w:pPr>
      <w:r w:rsidRPr="00767FC2">
        <w:tab/>
        <w:t>(5)</w:t>
      </w:r>
      <w:r w:rsidRPr="00767FC2">
        <w:tab/>
      </w:r>
      <w:r w:rsidR="009E576F" w:rsidRPr="00767FC2">
        <w:t xml:space="preserve">Any </w:t>
      </w:r>
      <w:r w:rsidR="00C62943" w:rsidRPr="00767FC2">
        <w:t>revision</w:t>
      </w:r>
      <w:r w:rsidR="009E576F" w:rsidRPr="00767FC2">
        <w:t xml:space="preserve"> or </w:t>
      </w:r>
      <w:r w:rsidR="00C62943" w:rsidRPr="00767FC2">
        <w:t>update</w:t>
      </w:r>
      <w:r w:rsidR="009E576F" w:rsidRPr="00767FC2">
        <w:t xml:space="preserve"> of the </w:t>
      </w:r>
      <w:r w:rsidRPr="00767FC2">
        <w:t xml:space="preserve">project management plan must </w:t>
      </w:r>
      <w:r w:rsidR="009E576F" w:rsidRPr="00767FC2">
        <w:t>include the date o</w:t>
      </w:r>
      <w:r w:rsidR="00C62943" w:rsidRPr="00767FC2">
        <w:t>f</w:t>
      </w:r>
      <w:r w:rsidR="009E576F" w:rsidRPr="00767FC2">
        <w:t xml:space="preserve"> the revision or update</w:t>
      </w:r>
      <w:r w:rsidRPr="00767FC2">
        <w:t>.</w:t>
      </w:r>
    </w:p>
    <w:p w14:paraId="0E40E52F" w14:textId="77777777" w:rsidR="00EE65A9" w:rsidRPr="00767FC2" w:rsidRDefault="00EE65A9" w:rsidP="00EE65A9">
      <w:pPr>
        <w:pStyle w:val="nMain"/>
      </w:pPr>
      <w:r w:rsidRPr="00767FC2">
        <w:t>Note 1:</w:t>
      </w:r>
      <w:r w:rsidRPr="00767FC2">
        <w:tab/>
        <w:t>See paragraph </w:t>
      </w:r>
      <w:r w:rsidR="00964086" w:rsidRPr="00767FC2">
        <w:t>36(3</w:t>
      </w:r>
      <w:proofErr w:type="gramStart"/>
      <w:r w:rsidR="00964086" w:rsidRPr="00767FC2">
        <w:t>)(</w:t>
      </w:r>
      <w:proofErr w:type="gramEnd"/>
      <w:r w:rsidR="00964086" w:rsidRPr="00767FC2">
        <w:t>c)</w:t>
      </w:r>
      <w:r w:rsidRPr="00767FC2">
        <w:t xml:space="preserve"> for a reporting requirement for project management plans.</w:t>
      </w:r>
    </w:p>
    <w:p w14:paraId="6AA4F6E4" w14:textId="77777777" w:rsidR="0018756D" w:rsidRPr="00767FC2" w:rsidRDefault="0018756D" w:rsidP="0018756D">
      <w:pPr>
        <w:pStyle w:val="nMain"/>
      </w:pPr>
      <w:r w:rsidRPr="00767FC2">
        <w:t>Note 2:</w:t>
      </w:r>
      <w:r w:rsidRPr="00767FC2">
        <w:tab/>
        <w:t>The project management plan will form part of the Regulator’s consideration of whether a project continues to meet the requirements of section 16.</w:t>
      </w:r>
    </w:p>
    <w:p w14:paraId="55A07938" w14:textId="77777777" w:rsidR="00EE65A9" w:rsidRPr="00767FC2" w:rsidRDefault="00EE65A9" w:rsidP="00EE65A9">
      <w:pPr>
        <w:pStyle w:val="nMain"/>
      </w:pPr>
      <w:r w:rsidRPr="00767FC2">
        <w:t xml:space="preserve">Note </w:t>
      </w:r>
      <w:r w:rsidR="0018756D" w:rsidRPr="00767FC2">
        <w:t>3</w:t>
      </w:r>
      <w:r w:rsidRPr="00767FC2">
        <w:t>:</w:t>
      </w:r>
      <w:r w:rsidRPr="00767FC2">
        <w:tab/>
        <w:t xml:space="preserve">The savanna technical guidance document might contain </w:t>
      </w:r>
      <w:r w:rsidR="00E40A85" w:rsidRPr="00767FC2">
        <w:t>recommended</w:t>
      </w:r>
      <w:r w:rsidRPr="00767FC2">
        <w:t xml:space="preserve"> guidelines for project management plans. A project proponent may, but need not, prepare project management plans in accordance with such guidelines.</w:t>
      </w:r>
    </w:p>
    <w:p w14:paraId="085744DF" w14:textId="77777777" w:rsidR="00EE65A9" w:rsidRPr="00767FC2" w:rsidRDefault="00EE65A9" w:rsidP="00EE65A9">
      <w:pPr>
        <w:pStyle w:val="nMain"/>
      </w:pPr>
      <w:r w:rsidRPr="00767FC2">
        <w:t xml:space="preserve">Note </w:t>
      </w:r>
      <w:r w:rsidR="0018756D" w:rsidRPr="00767FC2">
        <w:t>4</w:t>
      </w:r>
      <w:r w:rsidRPr="00767FC2">
        <w:t>:</w:t>
      </w:r>
      <w:r w:rsidRPr="00767FC2">
        <w:tab/>
        <w:t>A single project management plan may relate to one or more project areas.</w:t>
      </w:r>
    </w:p>
    <w:p w14:paraId="16F9C53A" w14:textId="77777777" w:rsidR="00FF3440" w:rsidRPr="00767FC2" w:rsidRDefault="001626C4" w:rsidP="00FF3440">
      <w:pPr>
        <w:pStyle w:val="h3Div"/>
      </w:pPr>
      <w:bookmarkStart w:id="60" w:name="_Toc509567195"/>
      <w:r w:rsidRPr="00767FC2">
        <w:lastRenderedPageBreak/>
        <w:t>Division 4</w:t>
      </w:r>
      <w:r w:rsidR="00FF3440" w:rsidRPr="00767FC2">
        <w:t>—Vegetation fuel type map</w:t>
      </w:r>
      <w:bookmarkEnd w:id="52"/>
      <w:bookmarkEnd w:id="53"/>
      <w:bookmarkEnd w:id="60"/>
    </w:p>
    <w:p w14:paraId="07100DFA" w14:textId="77777777" w:rsidR="00E86F02" w:rsidRPr="00767FC2" w:rsidRDefault="001626C4" w:rsidP="003050DC">
      <w:pPr>
        <w:pStyle w:val="h5Section"/>
        <w:tabs>
          <w:tab w:val="left" w:pos="5695"/>
        </w:tabs>
      </w:pPr>
      <w:bookmarkStart w:id="61" w:name="_Toc405377041"/>
      <w:bookmarkStart w:id="62" w:name="_Toc413155571"/>
      <w:bookmarkStart w:id="63" w:name="_Toc509567196"/>
      <w:proofErr w:type="gramStart"/>
      <w:r w:rsidRPr="00767FC2">
        <w:t>18</w:t>
      </w:r>
      <w:r w:rsidR="00FF3440" w:rsidRPr="00767FC2">
        <w:t xml:space="preserve">  Requirement</w:t>
      </w:r>
      <w:proofErr w:type="gramEnd"/>
      <w:r w:rsidR="00FF3440" w:rsidRPr="00767FC2">
        <w:t xml:space="preserve"> to create </w:t>
      </w:r>
      <w:r w:rsidR="00815954" w:rsidRPr="00767FC2">
        <w:t xml:space="preserve">and validate </w:t>
      </w:r>
      <w:r w:rsidR="00FF3440" w:rsidRPr="00767FC2">
        <w:t>vegetation fuel type map</w:t>
      </w:r>
      <w:bookmarkEnd w:id="61"/>
      <w:bookmarkEnd w:id="62"/>
      <w:bookmarkEnd w:id="63"/>
    </w:p>
    <w:p w14:paraId="0DF4E360" w14:textId="77777777" w:rsidR="002D1ACE" w:rsidRPr="00767FC2" w:rsidRDefault="002D1ACE" w:rsidP="002D1ACE">
      <w:pPr>
        <w:pStyle w:val="tMain"/>
      </w:pPr>
      <w:r w:rsidRPr="00767FC2">
        <w:tab/>
      </w:r>
      <w:r w:rsidR="001626C4" w:rsidRPr="00767FC2">
        <w:t>(1)</w:t>
      </w:r>
      <w:r w:rsidRPr="00767FC2">
        <w:tab/>
      </w:r>
      <w:r w:rsidR="0010351D" w:rsidRPr="00767FC2">
        <w:t>Subject to section </w:t>
      </w:r>
      <w:r w:rsidR="00964086" w:rsidRPr="00767FC2">
        <w:t>27</w:t>
      </w:r>
      <w:r w:rsidR="00E84C90" w:rsidRPr="00767FC2">
        <w:t xml:space="preserve"> (which deals with transferring project areas)</w:t>
      </w:r>
      <w:r w:rsidR="0010351D" w:rsidRPr="00767FC2">
        <w:t>, t</w:t>
      </w:r>
      <w:r w:rsidRPr="00767FC2">
        <w:t>his section applies:</w:t>
      </w:r>
    </w:p>
    <w:p w14:paraId="06C38C28" w14:textId="77777777" w:rsidR="002D1ACE" w:rsidRPr="00767FC2" w:rsidRDefault="002D1ACE" w:rsidP="002D1ACE">
      <w:pPr>
        <w:pStyle w:val="tPara"/>
      </w:pPr>
      <w:r w:rsidRPr="00767FC2">
        <w:tab/>
      </w:r>
      <w:r w:rsidR="001626C4" w:rsidRPr="00767FC2">
        <w:t>(a)</w:t>
      </w:r>
      <w:r w:rsidRPr="00767FC2">
        <w:tab/>
      </w:r>
      <w:proofErr w:type="gramStart"/>
      <w:r w:rsidRPr="00767FC2">
        <w:t>when</w:t>
      </w:r>
      <w:proofErr w:type="gramEnd"/>
      <w:r w:rsidRPr="00767FC2">
        <w:t xml:space="preserve"> a section 22 application is made; and</w:t>
      </w:r>
    </w:p>
    <w:p w14:paraId="16E48970" w14:textId="77777777" w:rsidR="002D1ACE" w:rsidRPr="00767FC2" w:rsidRDefault="002D1ACE" w:rsidP="002D1ACE">
      <w:pPr>
        <w:pStyle w:val="tPara"/>
      </w:pPr>
      <w:r w:rsidRPr="00767FC2">
        <w:tab/>
      </w:r>
      <w:r w:rsidR="001626C4" w:rsidRPr="00767FC2">
        <w:t>(b)</w:t>
      </w:r>
      <w:r w:rsidRPr="00767FC2">
        <w:tab/>
      </w:r>
      <w:proofErr w:type="gramStart"/>
      <w:r w:rsidRPr="00767FC2">
        <w:t>when</w:t>
      </w:r>
      <w:proofErr w:type="gramEnd"/>
      <w:r w:rsidRPr="00767FC2">
        <w:t xml:space="preserve"> a section 29 application is made to add one or more further project areas.</w:t>
      </w:r>
    </w:p>
    <w:p w14:paraId="58795C49" w14:textId="77777777" w:rsidR="000E3A73" w:rsidRPr="00767FC2" w:rsidRDefault="000E3A73" w:rsidP="000E3A73">
      <w:pPr>
        <w:pStyle w:val="nMain"/>
      </w:pPr>
      <w:r w:rsidRPr="00767FC2">
        <w:t>Note:</w:t>
      </w:r>
      <w:r w:rsidRPr="00767FC2">
        <w:tab/>
        <w:t xml:space="preserve">This section does not apply if a section 29 application does no more than divide one or more project areas as described in </w:t>
      </w:r>
      <w:r w:rsidR="00D75E85" w:rsidRPr="00767FC2">
        <w:t>paragraph </w:t>
      </w:r>
      <w:r w:rsidR="00964086" w:rsidRPr="00767FC2">
        <w:t>15(1</w:t>
      </w:r>
      <w:proofErr w:type="gramStart"/>
      <w:r w:rsidR="00964086" w:rsidRPr="00767FC2">
        <w:t>)(</w:t>
      </w:r>
      <w:proofErr w:type="gramEnd"/>
      <w:r w:rsidR="00964086" w:rsidRPr="00767FC2">
        <w:t>b)</w:t>
      </w:r>
      <w:r w:rsidR="00E40A85" w:rsidRPr="00767FC2">
        <w:t>.</w:t>
      </w:r>
      <w:r w:rsidR="002B5107" w:rsidRPr="00767FC2">
        <w:t xml:space="preserve"> See section </w:t>
      </w:r>
      <w:r w:rsidR="00964086" w:rsidRPr="00767FC2">
        <w:t>20</w:t>
      </w:r>
      <w:r w:rsidR="002B5107" w:rsidRPr="00767FC2">
        <w:t>.</w:t>
      </w:r>
    </w:p>
    <w:p w14:paraId="42D64B1D" w14:textId="77777777" w:rsidR="001958A6" w:rsidRPr="00767FC2" w:rsidRDefault="001958A6" w:rsidP="001958A6">
      <w:pPr>
        <w:pStyle w:val="tMain"/>
      </w:pPr>
      <w:r w:rsidRPr="00767FC2">
        <w:tab/>
      </w:r>
      <w:r w:rsidR="001626C4" w:rsidRPr="00767FC2">
        <w:t>(2)</w:t>
      </w:r>
      <w:r w:rsidRPr="00767FC2">
        <w:tab/>
        <w:t xml:space="preserve">The project proponent must create and validate a </w:t>
      </w:r>
      <w:r w:rsidR="00316BC1" w:rsidRPr="00767FC2">
        <w:t xml:space="preserve">vegetation fuel type map </w:t>
      </w:r>
      <w:r w:rsidRPr="00767FC2">
        <w:t>for:</w:t>
      </w:r>
    </w:p>
    <w:p w14:paraId="320C7546" w14:textId="77777777" w:rsidR="001958A6" w:rsidRPr="00767FC2" w:rsidRDefault="001958A6" w:rsidP="001958A6">
      <w:pPr>
        <w:pStyle w:val="tPara"/>
      </w:pPr>
      <w:r w:rsidRPr="00767FC2">
        <w:tab/>
      </w:r>
      <w:r w:rsidR="001626C4" w:rsidRPr="00767FC2">
        <w:t>(a)</w:t>
      </w:r>
      <w:r w:rsidRPr="00767FC2">
        <w:tab/>
      </w:r>
      <w:proofErr w:type="gramStart"/>
      <w:r w:rsidR="00F02D55" w:rsidRPr="00767FC2">
        <w:t>in</w:t>
      </w:r>
      <w:proofErr w:type="gramEnd"/>
      <w:r w:rsidR="00F02D55" w:rsidRPr="00767FC2">
        <w:t xml:space="preserve"> the case of</w:t>
      </w:r>
      <w:r w:rsidRPr="00767FC2">
        <w:t xml:space="preserve"> a section 22 application—each project area identified in the application; and</w:t>
      </w:r>
    </w:p>
    <w:p w14:paraId="22FBBAD3" w14:textId="77777777" w:rsidR="001958A6" w:rsidRPr="00767FC2" w:rsidRDefault="001958A6" w:rsidP="001958A6">
      <w:pPr>
        <w:pStyle w:val="tPara"/>
      </w:pPr>
      <w:r w:rsidRPr="00767FC2">
        <w:tab/>
      </w:r>
      <w:r w:rsidR="001626C4" w:rsidRPr="00767FC2">
        <w:t>(b)</w:t>
      </w:r>
      <w:r w:rsidRPr="00767FC2">
        <w:tab/>
      </w:r>
      <w:proofErr w:type="gramStart"/>
      <w:r w:rsidR="00F02D55" w:rsidRPr="00767FC2">
        <w:t>in</w:t>
      </w:r>
      <w:proofErr w:type="gramEnd"/>
      <w:r w:rsidR="00F02D55" w:rsidRPr="00767FC2">
        <w:t xml:space="preserve"> the case of </w:t>
      </w:r>
      <w:r w:rsidRPr="00767FC2">
        <w:t>a section 29 application—each added project area.</w:t>
      </w:r>
    </w:p>
    <w:p w14:paraId="2E3AF391" w14:textId="77777777" w:rsidR="00BD5611" w:rsidRPr="00767FC2" w:rsidRDefault="00BD5611" w:rsidP="00BD5611">
      <w:pPr>
        <w:pStyle w:val="tMain"/>
      </w:pPr>
      <w:r w:rsidRPr="00767FC2">
        <w:tab/>
      </w:r>
      <w:r w:rsidR="001626C4" w:rsidRPr="00767FC2">
        <w:t>(3)</w:t>
      </w:r>
      <w:r w:rsidRPr="00767FC2">
        <w:tab/>
        <w:t>The project proponent must:</w:t>
      </w:r>
    </w:p>
    <w:p w14:paraId="269EBD05" w14:textId="77777777" w:rsidR="00BD5611" w:rsidRPr="00767FC2" w:rsidRDefault="00BD5611" w:rsidP="00BD5611">
      <w:pPr>
        <w:pStyle w:val="tPara"/>
      </w:pPr>
      <w:r w:rsidRPr="00767FC2">
        <w:tab/>
      </w:r>
      <w:r w:rsidR="001626C4" w:rsidRPr="00767FC2">
        <w:t>(a)</w:t>
      </w:r>
      <w:r w:rsidRPr="00767FC2">
        <w:tab/>
      </w:r>
      <w:proofErr w:type="gramStart"/>
      <w:r w:rsidRPr="00767FC2">
        <w:t>create</w:t>
      </w:r>
      <w:proofErr w:type="gramEnd"/>
      <w:r w:rsidRPr="00767FC2">
        <w:t xml:space="preserve"> the map (including </w:t>
      </w:r>
      <w:r w:rsidR="00D7641B" w:rsidRPr="00767FC2">
        <w:t xml:space="preserve">selecting appropriate mapping units and </w:t>
      </w:r>
      <w:r w:rsidRPr="00767FC2">
        <w:t xml:space="preserve">assigning a code to each </w:t>
      </w:r>
      <w:r w:rsidR="00E764E4" w:rsidRPr="00767FC2">
        <w:t>mapping unit</w:t>
      </w:r>
      <w:r w:rsidRPr="00767FC2">
        <w:t xml:space="preserve"> of the map); and</w:t>
      </w:r>
    </w:p>
    <w:p w14:paraId="32C63D43" w14:textId="77777777" w:rsidR="00BD5611" w:rsidRPr="00767FC2" w:rsidRDefault="00BD5611" w:rsidP="00BD5611">
      <w:pPr>
        <w:pStyle w:val="tPara"/>
      </w:pPr>
      <w:r w:rsidRPr="00767FC2">
        <w:tab/>
      </w:r>
      <w:r w:rsidR="001626C4" w:rsidRPr="00767FC2">
        <w:t>(b)</w:t>
      </w:r>
      <w:r w:rsidRPr="00767FC2">
        <w:tab/>
      </w:r>
      <w:proofErr w:type="gramStart"/>
      <w:r w:rsidRPr="00767FC2">
        <w:t>validate</w:t>
      </w:r>
      <w:proofErr w:type="gramEnd"/>
      <w:r w:rsidRPr="00767FC2">
        <w:t xml:space="preserve"> the map;</w:t>
      </w:r>
    </w:p>
    <w:p w14:paraId="7A290203" w14:textId="77777777" w:rsidR="00BD5611" w:rsidRPr="00767FC2" w:rsidRDefault="00BD5611" w:rsidP="00BD5611">
      <w:pPr>
        <w:pStyle w:val="subsectionsandwich"/>
      </w:pPr>
      <w:r w:rsidRPr="00767FC2">
        <w:tab/>
      </w:r>
      <w:r w:rsidRPr="00767FC2">
        <w:tab/>
      </w:r>
      <w:proofErr w:type="gramStart"/>
      <w:r w:rsidRPr="00767FC2">
        <w:t>in</w:t>
      </w:r>
      <w:proofErr w:type="gramEnd"/>
      <w:r w:rsidRPr="00767FC2">
        <w:t xml:space="preserve"> accordance with the savanna technical guidance document.</w:t>
      </w:r>
    </w:p>
    <w:p w14:paraId="123F22A8" w14:textId="77777777" w:rsidR="00BD5611" w:rsidRPr="00767FC2" w:rsidRDefault="00BD5611" w:rsidP="00BD5611">
      <w:pPr>
        <w:pStyle w:val="nMain"/>
      </w:pPr>
      <w:r w:rsidRPr="00767FC2">
        <w:t>Note:</w:t>
      </w:r>
      <w:r w:rsidRPr="00767FC2">
        <w:tab/>
        <w:t xml:space="preserve">The savanna technical guidance document sets out how </w:t>
      </w:r>
      <w:r w:rsidR="00D704AC" w:rsidRPr="00767FC2">
        <w:t xml:space="preserve">to select appropriate mapping units, how </w:t>
      </w:r>
      <w:r w:rsidRPr="00767FC2">
        <w:t xml:space="preserve">to work out the appropriate vegetation fuel type for the area of land represented by a </w:t>
      </w:r>
      <w:r w:rsidR="00E764E4" w:rsidRPr="00767FC2">
        <w:t>mapping unit</w:t>
      </w:r>
      <w:r w:rsidRPr="00767FC2">
        <w:t xml:space="preserve">, and how to assess whether a </w:t>
      </w:r>
      <w:r w:rsidR="00E764E4" w:rsidRPr="00767FC2">
        <w:t>mapping unit</w:t>
      </w:r>
      <w:r w:rsidRPr="00767FC2">
        <w:t xml:space="preserve"> is ineligible. This assessment will take account of the type of vegetation (including relevant weed species) in the area of land </w:t>
      </w:r>
      <w:r w:rsidR="00E40A85" w:rsidRPr="00767FC2">
        <w:t>represented</w:t>
      </w:r>
      <w:r w:rsidRPr="00767FC2">
        <w:t xml:space="preserve"> by each </w:t>
      </w:r>
      <w:r w:rsidR="00E764E4" w:rsidRPr="00767FC2">
        <w:t>mapping unit</w:t>
      </w:r>
      <w:r w:rsidRPr="00767FC2">
        <w:t>. The savanna technical guidance document deals with the use of GIS and remote sensing in working out these matters.</w:t>
      </w:r>
    </w:p>
    <w:p w14:paraId="1B213A5C" w14:textId="77777777" w:rsidR="00261E5C" w:rsidRPr="00767FC2" w:rsidRDefault="00261E5C" w:rsidP="00261E5C">
      <w:pPr>
        <w:pStyle w:val="tMain"/>
      </w:pPr>
      <w:r w:rsidRPr="00767FC2">
        <w:tab/>
      </w:r>
      <w:r w:rsidR="001626C4" w:rsidRPr="00767FC2">
        <w:t>(4)</w:t>
      </w:r>
      <w:r w:rsidRPr="00767FC2">
        <w:tab/>
        <w:t xml:space="preserve">The creation and validation must be completed by the time the project proponent </w:t>
      </w:r>
      <w:r w:rsidR="00C34C23" w:rsidRPr="00767FC2">
        <w:t xml:space="preserve">first reports </w:t>
      </w:r>
      <w:r w:rsidRPr="00767FC2">
        <w:t>under this determination</w:t>
      </w:r>
      <w:r w:rsidR="000D40EB" w:rsidRPr="00767FC2">
        <w:t xml:space="preserve"> on the relevant project area</w:t>
      </w:r>
      <w:r w:rsidRPr="00767FC2">
        <w:t>.</w:t>
      </w:r>
    </w:p>
    <w:p w14:paraId="64C89F28" w14:textId="77777777" w:rsidR="00C86AC8" w:rsidRPr="00767FC2" w:rsidRDefault="001626C4" w:rsidP="00C86AC8">
      <w:pPr>
        <w:pStyle w:val="h5Section"/>
      </w:pPr>
      <w:bookmarkStart w:id="64" w:name="_Toc509567197"/>
      <w:proofErr w:type="gramStart"/>
      <w:r w:rsidRPr="00767FC2">
        <w:t>19</w:t>
      </w:r>
      <w:r w:rsidR="00C86AC8" w:rsidRPr="00767FC2">
        <w:t xml:space="preserve">  Revisions</w:t>
      </w:r>
      <w:proofErr w:type="gramEnd"/>
      <w:r w:rsidR="00C86AC8" w:rsidRPr="00767FC2">
        <w:t xml:space="preserve"> to vegetation fuel type map</w:t>
      </w:r>
      <w:bookmarkEnd w:id="64"/>
    </w:p>
    <w:p w14:paraId="7F8EA329" w14:textId="77777777" w:rsidR="00A978EF" w:rsidRPr="00767FC2" w:rsidRDefault="00A978EF" w:rsidP="00A978EF">
      <w:pPr>
        <w:pStyle w:val="h6Subsec"/>
      </w:pPr>
      <w:r w:rsidRPr="00767FC2">
        <w:t>When vegetation fuel type map must be revised</w:t>
      </w:r>
    </w:p>
    <w:p w14:paraId="1E164FBC" w14:textId="77777777" w:rsidR="00A978EF" w:rsidRPr="00767FC2" w:rsidRDefault="00A978EF" w:rsidP="00A978EF">
      <w:pPr>
        <w:pStyle w:val="tMain"/>
      </w:pPr>
      <w:r w:rsidRPr="00767FC2">
        <w:tab/>
      </w:r>
      <w:r w:rsidR="001626C4" w:rsidRPr="00767FC2">
        <w:t>(1)</w:t>
      </w:r>
      <w:r w:rsidRPr="00767FC2">
        <w:tab/>
        <w:t>If the project proponent becomes aware that:</w:t>
      </w:r>
    </w:p>
    <w:p w14:paraId="58FDB23E" w14:textId="77777777" w:rsidR="00A978EF" w:rsidRPr="00767FC2" w:rsidRDefault="00A978EF" w:rsidP="00A978EF">
      <w:pPr>
        <w:pStyle w:val="tPara"/>
      </w:pPr>
      <w:r w:rsidRPr="00767FC2">
        <w:tab/>
      </w:r>
      <w:r w:rsidR="001626C4" w:rsidRPr="00767FC2">
        <w:t>(a)</w:t>
      </w:r>
      <w:r w:rsidRPr="00767FC2">
        <w:tab/>
      </w:r>
      <w:proofErr w:type="gramStart"/>
      <w:r w:rsidRPr="00767FC2">
        <w:t>a</w:t>
      </w:r>
      <w:proofErr w:type="gramEnd"/>
      <w:r w:rsidRPr="00767FC2">
        <w:t xml:space="preserve"> </w:t>
      </w:r>
      <w:r w:rsidR="00E764E4" w:rsidRPr="00767FC2">
        <w:t>mapping unit</w:t>
      </w:r>
      <w:r w:rsidRPr="00767FC2">
        <w:t xml:space="preserve"> in the vegetation fuel type map was classified, in accordance with the savanna technical guidance document, with a vegetation fuel type; and</w:t>
      </w:r>
    </w:p>
    <w:p w14:paraId="17ABD14A" w14:textId="77777777" w:rsidR="00190225" w:rsidRPr="00767FC2" w:rsidRDefault="00A978EF" w:rsidP="00A978EF">
      <w:pPr>
        <w:pStyle w:val="tPara"/>
      </w:pPr>
      <w:r w:rsidRPr="00767FC2">
        <w:tab/>
      </w:r>
      <w:r w:rsidR="001626C4" w:rsidRPr="00767FC2">
        <w:t>(b)</w:t>
      </w:r>
      <w:r w:rsidRPr="00767FC2">
        <w:tab/>
      </w:r>
      <w:proofErr w:type="gramStart"/>
      <w:r w:rsidR="00190225" w:rsidRPr="00767FC2">
        <w:t>either</w:t>
      </w:r>
      <w:proofErr w:type="gramEnd"/>
      <w:r w:rsidR="00190225" w:rsidRPr="00767FC2">
        <w:t>:</w:t>
      </w:r>
    </w:p>
    <w:p w14:paraId="3588B26A" w14:textId="77777777" w:rsidR="00190225" w:rsidRPr="00767FC2" w:rsidRDefault="00190225" w:rsidP="00163303">
      <w:pPr>
        <w:pStyle w:val="tSubpara"/>
      </w:pPr>
      <w:r w:rsidRPr="00767FC2">
        <w:tab/>
        <w:t>(</w:t>
      </w:r>
      <w:proofErr w:type="spellStart"/>
      <w:r w:rsidRPr="00767FC2">
        <w:t>i</w:t>
      </w:r>
      <w:proofErr w:type="spellEnd"/>
      <w:r w:rsidRPr="00767FC2">
        <w:t>)</w:t>
      </w:r>
      <w:r w:rsidRPr="00767FC2">
        <w:tab/>
      </w:r>
      <w:proofErr w:type="gramStart"/>
      <w:r w:rsidRPr="00767FC2">
        <w:t>the</w:t>
      </w:r>
      <w:proofErr w:type="gramEnd"/>
      <w:r w:rsidRPr="00767FC2">
        <w:t xml:space="preserve"> classification was incorrect, and the mapping unit should have been classified as ineligible; or</w:t>
      </w:r>
    </w:p>
    <w:p w14:paraId="58315EA1" w14:textId="77777777" w:rsidR="00190225" w:rsidRPr="00767FC2" w:rsidRDefault="00190225" w:rsidP="00163303">
      <w:pPr>
        <w:pStyle w:val="tSubpara"/>
      </w:pPr>
      <w:r w:rsidRPr="00767FC2">
        <w:tab/>
        <w:t>(i</w:t>
      </w:r>
      <w:r w:rsidR="000004C6" w:rsidRPr="00767FC2">
        <w:t>i</w:t>
      </w:r>
      <w:r w:rsidRPr="00767FC2">
        <w:t>)</w:t>
      </w:r>
      <w:r w:rsidRPr="00767FC2">
        <w:tab/>
      </w:r>
      <w:proofErr w:type="gramStart"/>
      <w:r w:rsidR="005C1EE2" w:rsidRPr="00767FC2">
        <w:t>the</w:t>
      </w:r>
      <w:proofErr w:type="gramEnd"/>
      <w:r w:rsidR="005C1EE2" w:rsidRPr="00767FC2">
        <w:t xml:space="preserve"> mapping unit or </w:t>
      </w:r>
      <w:r w:rsidRPr="00767FC2">
        <w:t>the classification is not, or is no longer, in accordance with the savanna technical guidance document;</w:t>
      </w:r>
    </w:p>
    <w:p w14:paraId="79082352" w14:textId="77777777" w:rsidR="00A978EF" w:rsidRPr="00767FC2" w:rsidRDefault="00A978EF" w:rsidP="00A978EF">
      <w:pPr>
        <w:pStyle w:val="subsectionsandwich"/>
      </w:pPr>
      <w:r w:rsidRPr="00767FC2">
        <w:tab/>
      </w:r>
      <w:r w:rsidRPr="00767FC2">
        <w:tab/>
      </w:r>
      <w:proofErr w:type="gramStart"/>
      <w:r w:rsidRPr="00767FC2">
        <w:t>the</w:t>
      </w:r>
      <w:proofErr w:type="gramEnd"/>
      <w:r w:rsidRPr="00767FC2">
        <w:t xml:space="preserve"> project </w:t>
      </w:r>
      <w:r w:rsidR="00690800" w:rsidRPr="00767FC2">
        <w:t xml:space="preserve">proponent </w:t>
      </w:r>
      <w:r w:rsidRPr="00767FC2">
        <w:t>must revise the vegetation fuel type map accordingly.</w:t>
      </w:r>
    </w:p>
    <w:p w14:paraId="48400304" w14:textId="77777777" w:rsidR="00A978EF" w:rsidRPr="00767FC2" w:rsidRDefault="00A978EF" w:rsidP="00A978EF">
      <w:pPr>
        <w:pStyle w:val="h6Subsec"/>
      </w:pPr>
      <w:r w:rsidRPr="00767FC2">
        <w:t>When vegetation fuel type map may be revised</w:t>
      </w:r>
    </w:p>
    <w:p w14:paraId="5AC07E9A" w14:textId="77777777" w:rsidR="00A978EF" w:rsidRPr="00767FC2" w:rsidRDefault="00A978EF" w:rsidP="00163303">
      <w:pPr>
        <w:pStyle w:val="tMain"/>
      </w:pPr>
      <w:r w:rsidRPr="00767FC2">
        <w:tab/>
      </w:r>
      <w:r w:rsidR="001626C4" w:rsidRPr="00767FC2">
        <w:t>(2)</w:t>
      </w:r>
      <w:r w:rsidRPr="00767FC2">
        <w:tab/>
        <w:t>If</w:t>
      </w:r>
      <w:r w:rsidR="00190225" w:rsidRPr="00767FC2">
        <w:t xml:space="preserve"> the project proponent becomes aware that a mapping unit classified as ineligible may be classified with a vegetation fuel type in accordance with the savanna technical guidance document, the project proponent may revise the vegetation fuel type map accordingly.</w:t>
      </w:r>
    </w:p>
    <w:p w14:paraId="25C5C518" w14:textId="77777777" w:rsidR="00A978EF" w:rsidRPr="00767FC2" w:rsidRDefault="00A978EF" w:rsidP="00A978EF">
      <w:pPr>
        <w:pStyle w:val="h6Subsec"/>
      </w:pPr>
      <w:r w:rsidRPr="00767FC2">
        <w:lastRenderedPageBreak/>
        <w:t>How vegetation fuel type map is revised and validated</w:t>
      </w:r>
    </w:p>
    <w:p w14:paraId="2F26F9D2" w14:textId="77777777" w:rsidR="00A978EF" w:rsidRPr="00767FC2" w:rsidRDefault="00A978EF" w:rsidP="00A978EF">
      <w:pPr>
        <w:pStyle w:val="tMain"/>
      </w:pPr>
      <w:r w:rsidRPr="00767FC2">
        <w:tab/>
      </w:r>
      <w:r w:rsidR="001626C4" w:rsidRPr="00767FC2">
        <w:t>(3)</w:t>
      </w:r>
      <w:r w:rsidRPr="00767FC2">
        <w:tab/>
        <w:t xml:space="preserve">If </w:t>
      </w:r>
      <w:r w:rsidR="005C1EE2" w:rsidRPr="00767FC2">
        <w:t xml:space="preserve">a map is revised (for example, if </w:t>
      </w:r>
      <w:r w:rsidRPr="00767FC2">
        <w:t xml:space="preserve">another code is assigned to a </w:t>
      </w:r>
      <w:r w:rsidR="00E764E4" w:rsidRPr="00767FC2">
        <w:t>mapping unit</w:t>
      </w:r>
      <w:r w:rsidR="005C1EE2" w:rsidRPr="00767FC2">
        <w:t>)</w:t>
      </w:r>
      <w:r w:rsidRPr="00767FC2">
        <w:t xml:space="preserve"> under this section, the revised map must be validated as required by the savanna technical guidance document.</w:t>
      </w:r>
    </w:p>
    <w:p w14:paraId="054AA770" w14:textId="77777777" w:rsidR="00A978EF" w:rsidRPr="00767FC2" w:rsidRDefault="00A978EF" w:rsidP="00A978EF">
      <w:pPr>
        <w:pStyle w:val="nMain"/>
      </w:pPr>
      <w:r w:rsidRPr="00767FC2">
        <w:t>Note:</w:t>
      </w:r>
      <w:r w:rsidRPr="00767FC2">
        <w:tab/>
        <w:t xml:space="preserve">If the </w:t>
      </w:r>
      <w:r w:rsidR="00190225" w:rsidRPr="00767FC2">
        <w:t>area of land</w:t>
      </w:r>
      <w:r w:rsidRPr="00767FC2">
        <w:t xml:space="preserve"> </w:t>
      </w:r>
      <w:r w:rsidR="003045EF" w:rsidRPr="00767FC2">
        <w:t xml:space="preserve">represented by the mapping unit </w:t>
      </w:r>
      <w:r w:rsidR="004003E7" w:rsidRPr="00767FC2">
        <w:t xml:space="preserve">or units </w:t>
      </w:r>
      <w:r w:rsidR="003045EF" w:rsidRPr="00767FC2">
        <w:t xml:space="preserve">that </w:t>
      </w:r>
      <w:r w:rsidR="004003E7" w:rsidRPr="00767FC2">
        <w:t xml:space="preserve">are </w:t>
      </w:r>
      <w:r w:rsidRPr="00767FC2">
        <w:t xml:space="preserve">being </w:t>
      </w:r>
      <w:r w:rsidR="00570E04" w:rsidRPr="00767FC2">
        <w:t>revised</w:t>
      </w:r>
      <w:r w:rsidRPr="00767FC2">
        <w:t xml:space="preserve"> is a material proportion of the whole, the savanna technical guidance document may require validation of the entire revised map.</w:t>
      </w:r>
    </w:p>
    <w:p w14:paraId="1C06255E" w14:textId="77777777" w:rsidR="00A978EF" w:rsidRPr="00767FC2" w:rsidRDefault="00A978EF" w:rsidP="00A978EF">
      <w:pPr>
        <w:pStyle w:val="tMain"/>
      </w:pPr>
      <w:r w:rsidRPr="00767FC2">
        <w:tab/>
      </w:r>
      <w:r w:rsidR="001626C4" w:rsidRPr="00767FC2">
        <w:t>(4)</w:t>
      </w:r>
      <w:r w:rsidRPr="00767FC2">
        <w:tab/>
        <w:t xml:space="preserve">The revision and </w:t>
      </w:r>
      <w:r w:rsidR="00AA46B2" w:rsidRPr="00767FC2">
        <w:t xml:space="preserve">(if </w:t>
      </w:r>
      <w:r w:rsidR="00427068" w:rsidRPr="00767FC2">
        <w:t>necessary</w:t>
      </w:r>
      <w:r w:rsidR="00AA46B2" w:rsidRPr="00767FC2">
        <w:t xml:space="preserve">) </w:t>
      </w:r>
      <w:r w:rsidRPr="00767FC2">
        <w:t>validation must:</w:t>
      </w:r>
    </w:p>
    <w:p w14:paraId="32D44B09" w14:textId="77777777" w:rsidR="00A978EF" w:rsidRPr="00767FC2" w:rsidRDefault="00A978EF" w:rsidP="00A978EF">
      <w:pPr>
        <w:pStyle w:val="tPara"/>
      </w:pPr>
      <w:bookmarkStart w:id="65" w:name="_Ref457396139"/>
      <w:bookmarkEnd w:id="65"/>
      <w:r w:rsidRPr="00767FC2">
        <w:tab/>
      </w:r>
      <w:r w:rsidR="001626C4" w:rsidRPr="00767FC2">
        <w:t>(a)</w:t>
      </w:r>
      <w:r w:rsidRPr="00767FC2">
        <w:tab/>
      </w:r>
      <w:proofErr w:type="gramStart"/>
      <w:r w:rsidRPr="00767FC2">
        <w:t>be</w:t>
      </w:r>
      <w:proofErr w:type="gramEnd"/>
      <w:r w:rsidRPr="00767FC2">
        <w:t xml:space="preserve"> done in accordance with the savanna technical guidance document; and</w:t>
      </w:r>
    </w:p>
    <w:p w14:paraId="154F617A" w14:textId="77777777" w:rsidR="00AA46B2" w:rsidRPr="00767FC2" w:rsidRDefault="00A978EF" w:rsidP="00A978EF">
      <w:pPr>
        <w:pStyle w:val="tPara"/>
      </w:pPr>
      <w:r w:rsidRPr="00767FC2">
        <w:tab/>
      </w:r>
      <w:r w:rsidR="001626C4" w:rsidRPr="00767FC2">
        <w:t>(b)</w:t>
      </w:r>
      <w:r w:rsidRPr="00767FC2">
        <w:tab/>
      </w:r>
      <w:r w:rsidR="00690800" w:rsidRPr="00767FC2">
        <w:t>if the revision is required by subsection </w:t>
      </w:r>
      <w:r w:rsidR="00964086" w:rsidRPr="00767FC2">
        <w:t>(1)</w:t>
      </w:r>
      <w:r w:rsidR="00690800" w:rsidRPr="00767FC2">
        <w:t>—</w:t>
      </w:r>
      <w:r w:rsidRPr="00767FC2">
        <w:t>be completed</w:t>
      </w:r>
      <w:r w:rsidR="00190225" w:rsidRPr="00767FC2">
        <w:t xml:space="preserve"> before submitting an offsets report for</w:t>
      </w:r>
      <w:r w:rsidRPr="00767FC2">
        <w:t xml:space="preserve"> the reporting period in which the project proponent becomes aware of the matter referred to in </w:t>
      </w:r>
      <w:r w:rsidR="00690800" w:rsidRPr="00767FC2">
        <w:t>that subsection</w:t>
      </w:r>
      <w:r w:rsidR="00AA46B2" w:rsidRPr="00767FC2">
        <w:t>; and</w:t>
      </w:r>
    </w:p>
    <w:p w14:paraId="215B4A8E" w14:textId="77777777" w:rsidR="00A978EF" w:rsidRPr="00767FC2" w:rsidRDefault="00AA46B2" w:rsidP="00A978EF">
      <w:pPr>
        <w:pStyle w:val="tPara"/>
      </w:pPr>
      <w:r w:rsidRPr="00767FC2">
        <w:tab/>
      </w:r>
      <w:r w:rsidR="001626C4" w:rsidRPr="00767FC2">
        <w:t>(c)</w:t>
      </w:r>
      <w:r w:rsidRPr="00767FC2">
        <w:tab/>
      </w:r>
      <w:proofErr w:type="gramStart"/>
      <w:r w:rsidR="00427068" w:rsidRPr="00767FC2">
        <w:t>otherwise</w:t>
      </w:r>
      <w:r w:rsidRPr="00767FC2">
        <w:t>—</w:t>
      </w:r>
      <w:proofErr w:type="gramEnd"/>
      <w:r w:rsidRPr="00767FC2">
        <w:t>be completed before</w:t>
      </w:r>
      <w:r w:rsidR="00190225" w:rsidRPr="00767FC2">
        <w:t xml:space="preserve"> submitting an offsets report for</w:t>
      </w:r>
      <w:r w:rsidRPr="00767FC2">
        <w:t xml:space="preserve"> the first reporting period for which the revised map is used.</w:t>
      </w:r>
    </w:p>
    <w:p w14:paraId="4647FD22" w14:textId="77777777" w:rsidR="004520EE" w:rsidRPr="00767FC2" w:rsidRDefault="004520EE" w:rsidP="004520EE">
      <w:pPr>
        <w:pStyle w:val="nMain"/>
      </w:pPr>
      <w:r w:rsidRPr="00767FC2">
        <w:t>Note:</w:t>
      </w:r>
      <w:r w:rsidRPr="00767FC2">
        <w:tab/>
        <w:t>If, during a reporting period, the vegetation fuel type map is revised in accordance with this section, the version of the map as in force at the end of the reporting period is used for calculations of the net abatement amount for all years of the reporting period. See subsection 10(1).</w:t>
      </w:r>
    </w:p>
    <w:p w14:paraId="52C6C922" w14:textId="77777777" w:rsidR="000E3A73" w:rsidRPr="00767FC2" w:rsidRDefault="001626C4" w:rsidP="000E3A73">
      <w:pPr>
        <w:pStyle w:val="h5Section"/>
      </w:pPr>
      <w:bookmarkStart w:id="66" w:name="_Toc509567198"/>
      <w:proofErr w:type="gramStart"/>
      <w:r w:rsidRPr="00767FC2">
        <w:t>20</w:t>
      </w:r>
      <w:r w:rsidR="000E3A73" w:rsidRPr="00767FC2">
        <w:t xml:space="preserve">  Vegetation</w:t>
      </w:r>
      <w:proofErr w:type="gramEnd"/>
      <w:r w:rsidR="000E3A73" w:rsidRPr="00767FC2">
        <w:t xml:space="preserve"> fuel type map for</w:t>
      </w:r>
      <w:r w:rsidR="002B5107" w:rsidRPr="00767FC2">
        <w:t xml:space="preserve"> sub</w:t>
      </w:r>
      <w:r w:rsidR="000E3A73" w:rsidRPr="00767FC2">
        <w:t>divided project area</w:t>
      </w:r>
      <w:bookmarkEnd w:id="66"/>
    </w:p>
    <w:p w14:paraId="2F1EF7A4" w14:textId="77777777" w:rsidR="006A0343" w:rsidRPr="00767FC2" w:rsidRDefault="006A0343" w:rsidP="006A0343">
      <w:pPr>
        <w:pStyle w:val="tMain"/>
      </w:pPr>
      <w:r w:rsidRPr="00767FC2">
        <w:tab/>
      </w:r>
      <w:r w:rsidR="001626C4" w:rsidRPr="00767FC2">
        <w:t>(1)</w:t>
      </w:r>
      <w:r w:rsidRPr="00767FC2">
        <w:tab/>
        <w:t>This section applies if:</w:t>
      </w:r>
    </w:p>
    <w:p w14:paraId="520F23B2" w14:textId="77777777" w:rsidR="006A0343" w:rsidRPr="00767FC2" w:rsidRDefault="006A0343" w:rsidP="006A0343">
      <w:pPr>
        <w:pStyle w:val="tPara"/>
      </w:pPr>
      <w:r w:rsidRPr="00767FC2">
        <w:tab/>
      </w:r>
      <w:r w:rsidR="001626C4" w:rsidRPr="00767FC2">
        <w:t>(a)</w:t>
      </w:r>
      <w:r w:rsidRPr="00767FC2">
        <w:tab/>
        <w:t xml:space="preserve">a vegetation fuel type map for a particular project area has been created and validated </w:t>
      </w:r>
      <w:r w:rsidR="00A978EF" w:rsidRPr="00767FC2">
        <w:t xml:space="preserve">or revised and (if necessary) validated </w:t>
      </w:r>
      <w:r w:rsidRPr="00767FC2">
        <w:t>in accordance with this determination; and</w:t>
      </w:r>
    </w:p>
    <w:p w14:paraId="29D94AB1" w14:textId="77777777" w:rsidR="006A0343" w:rsidRPr="00767FC2" w:rsidRDefault="006A0343" w:rsidP="006A0343">
      <w:pPr>
        <w:pStyle w:val="tPara"/>
      </w:pPr>
      <w:r w:rsidRPr="00767FC2">
        <w:tab/>
      </w:r>
      <w:r w:rsidR="001626C4" w:rsidRPr="00767FC2">
        <w:t>(b)</w:t>
      </w:r>
      <w:r w:rsidRPr="00767FC2">
        <w:tab/>
      </w:r>
      <w:proofErr w:type="gramStart"/>
      <w:r w:rsidRPr="00767FC2">
        <w:t>the</w:t>
      </w:r>
      <w:proofErr w:type="gramEnd"/>
      <w:r w:rsidRPr="00767FC2">
        <w:t xml:space="preserve"> project area is divided into 2 or more subdivided project areas.</w:t>
      </w:r>
    </w:p>
    <w:p w14:paraId="101338C7" w14:textId="77777777" w:rsidR="006A0343" w:rsidRPr="00767FC2" w:rsidRDefault="006A0343" w:rsidP="006A0343">
      <w:pPr>
        <w:pStyle w:val="tMain"/>
      </w:pPr>
      <w:r w:rsidRPr="00767FC2">
        <w:tab/>
      </w:r>
      <w:r w:rsidR="001626C4" w:rsidRPr="00767FC2">
        <w:t>(2)</w:t>
      </w:r>
      <w:r w:rsidRPr="00767FC2">
        <w:tab/>
        <w:t>The vegetation fuel type map for the original project area is taken:</w:t>
      </w:r>
    </w:p>
    <w:p w14:paraId="4C75E0EA" w14:textId="77777777" w:rsidR="006A0343" w:rsidRPr="00767FC2" w:rsidRDefault="006A0343" w:rsidP="006A0343">
      <w:pPr>
        <w:pStyle w:val="tPara"/>
      </w:pPr>
      <w:r w:rsidRPr="00767FC2">
        <w:tab/>
      </w:r>
      <w:r w:rsidR="001626C4" w:rsidRPr="00767FC2">
        <w:t>(a)</w:t>
      </w:r>
      <w:r w:rsidRPr="00767FC2">
        <w:tab/>
      </w:r>
      <w:proofErr w:type="gramStart"/>
      <w:r w:rsidRPr="00767FC2">
        <w:t>to</w:t>
      </w:r>
      <w:proofErr w:type="gramEnd"/>
      <w:r w:rsidRPr="00767FC2">
        <w:t xml:space="preserve"> be a single map that relates to each subdivided project area; and</w:t>
      </w:r>
    </w:p>
    <w:p w14:paraId="61425ACE" w14:textId="77777777" w:rsidR="006A0343" w:rsidRPr="00767FC2" w:rsidRDefault="006A0343" w:rsidP="006A0343">
      <w:pPr>
        <w:pStyle w:val="tPara"/>
      </w:pPr>
      <w:r w:rsidRPr="00767FC2">
        <w:tab/>
      </w:r>
      <w:r w:rsidR="001626C4" w:rsidRPr="00767FC2">
        <w:t>(b)</w:t>
      </w:r>
      <w:r w:rsidRPr="00767FC2">
        <w:tab/>
      </w:r>
      <w:proofErr w:type="gramStart"/>
      <w:r w:rsidRPr="00767FC2">
        <w:t>to</w:t>
      </w:r>
      <w:proofErr w:type="gramEnd"/>
      <w:r w:rsidRPr="00767FC2">
        <w:t xml:space="preserve"> have been created and validated </w:t>
      </w:r>
      <w:r w:rsidR="00A978EF" w:rsidRPr="00767FC2">
        <w:t xml:space="preserve">or revised and (if necessary) validated </w:t>
      </w:r>
      <w:r w:rsidRPr="00767FC2">
        <w:t>in accordance with this determination.</w:t>
      </w:r>
    </w:p>
    <w:p w14:paraId="49A27CF5" w14:textId="77777777" w:rsidR="008A302E" w:rsidRPr="00767FC2" w:rsidRDefault="001626C4" w:rsidP="008A302E">
      <w:pPr>
        <w:pStyle w:val="h3Div"/>
      </w:pPr>
      <w:bookmarkStart w:id="67" w:name="_Toc413155554"/>
      <w:bookmarkStart w:id="68" w:name="_Toc509567199"/>
      <w:bookmarkStart w:id="69" w:name="_Toc413155564"/>
      <w:r w:rsidRPr="00767FC2">
        <w:t>Division 5</w:t>
      </w:r>
      <w:r w:rsidR="008A302E" w:rsidRPr="00767FC2">
        <w:t>—Additionality</w:t>
      </w:r>
      <w:bookmarkEnd w:id="67"/>
      <w:bookmarkEnd w:id="68"/>
    </w:p>
    <w:p w14:paraId="79A0A0F6" w14:textId="77777777" w:rsidR="008A302E" w:rsidRPr="00767FC2" w:rsidRDefault="001626C4" w:rsidP="008A302E">
      <w:pPr>
        <w:pStyle w:val="h5Section"/>
      </w:pPr>
      <w:bookmarkStart w:id="70" w:name="_Toc413155555"/>
      <w:bookmarkStart w:id="71" w:name="_Toc509567200"/>
      <w:proofErr w:type="gramStart"/>
      <w:r w:rsidRPr="00767FC2">
        <w:t>21</w:t>
      </w:r>
      <w:r w:rsidR="008A302E" w:rsidRPr="00767FC2">
        <w:t xml:space="preserve">  Requirement</w:t>
      </w:r>
      <w:proofErr w:type="gramEnd"/>
      <w:r w:rsidR="008A302E" w:rsidRPr="00767FC2">
        <w:t xml:space="preserve"> in lieu of newness requirement</w:t>
      </w:r>
      <w:bookmarkEnd w:id="70"/>
      <w:bookmarkEnd w:id="71"/>
    </w:p>
    <w:p w14:paraId="224BF508" w14:textId="77777777" w:rsidR="008A302E" w:rsidRPr="00767FC2" w:rsidRDefault="008A302E" w:rsidP="008A302E">
      <w:pPr>
        <w:pStyle w:val="tMain"/>
      </w:pPr>
      <w:r w:rsidRPr="00767FC2">
        <w:tab/>
      </w:r>
      <w:r w:rsidR="001626C4" w:rsidRPr="00767FC2">
        <w:t>(1)</w:t>
      </w:r>
      <w:r w:rsidRPr="00767FC2">
        <w:tab/>
        <w:t>For subparagraph 27(4A</w:t>
      </w:r>
      <w:proofErr w:type="gramStart"/>
      <w:r w:rsidRPr="00767FC2">
        <w:t>)(</w:t>
      </w:r>
      <w:proofErr w:type="gramEnd"/>
      <w:r w:rsidRPr="00767FC2">
        <w:t xml:space="preserve">a)(ii) of the Act, this section specifies a requirement in lieu of the newness requirement for a </w:t>
      </w:r>
      <w:r w:rsidR="00504AE8" w:rsidRPr="00767FC2">
        <w:t xml:space="preserve">savanna </w:t>
      </w:r>
      <w:r w:rsidR="008B1469" w:rsidRPr="00767FC2">
        <w:t>emissions avoidance</w:t>
      </w:r>
      <w:r w:rsidR="00CF1AC4" w:rsidRPr="00767FC2">
        <w:t xml:space="preserve"> </w:t>
      </w:r>
      <w:r w:rsidR="00504AE8" w:rsidRPr="00767FC2">
        <w:t>project</w:t>
      </w:r>
      <w:r w:rsidRPr="00767FC2">
        <w:t>.</w:t>
      </w:r>
    </w:p>
    <w:p w14:paraId="5703EA87" w14:textId="77777777" w:rsidR="004602EA" w:rsidRPr="00767FC2" w:rsidRDefault="004602EA" w:rsidP="004602EA">
      <w:pPr>
        <w:pStyle w:val="tMain"/>
      </w:pPr>
      <w:bookmarkStart w:id="72" w:name="_Toc405377019"/>
      <w:bookmarkStart w:id="73" w:name="_Toc413155556"/>
      <w:r w:rsidRPr="00767FC2">
        <w:tab/>
      </w:r>
      <w:r w:rsidR="001626C4" w:rsidRPr="00767FC2">
        <w:t>(2)</w:t>
      </w:r>
      <w:r w:rsidRPr="00767FC2">
        <w:tab/>
        <w:t>The requirement is that, for each project area:</w:t>
      </w:r>
    </w:p>
    <w:p w14:paraId="4C4926D7" w14:textId="77777777" w:rsidR="004602EA" w:rsidRPr="00767FC2" w:rsidRDefault="004602EA" w:rsidP="004602EA">
      <w:pPr>
        <w:pStyle w:val="tPara"/>
      </w:pPr>
      <w:r w:rsidRPr="00767FC2">
        <w:tab/>
      </w:r>
      <w:r w:rsidR="001626C4" w:rsidRPr="00767FC2">
        <w:t>(a)</w:t>
      </w:r>
      <w:r w:rsidRPr="00767FC2">
        <w:tab/>
      </w:r>
      <w:proofErr w:type="gramStart"/>
      <w:r w:rsidRPr="00767FC2">
        <w:t>the</w:t>
      </w:r>
      <w:proofErr w:type="gramEnd"/>
      <w:r w:rsidRPr="00767FC2">
        <w:t xml:space="preserve"> project area is a transferring project area; or</w:t>
      </w:r>
    </w:p>
    <w:p w14:paraId="2D63F23A" w14:textId="77777777" w:rsidR="00D94BAD" w:rsidRPr="00767FC2" w:rsidRDefault="004602EA" w:rsidP="00D94BAD">
      <w:pPr>
        <w:pStyle w:val="tPara"/>
      </w:pPr>
      <w:r w:rsidRPr="00767FC2">
        <w:tab/>
      </w:r>
      <w:r w:rsidR="001626C4" w:rsidRPr="00767FC2">
        <w:t>(b)</w:t>
      </w:r>
      <w:r w:rsidRPr="00767FC2">
        <w:tab/>
      </w:r>
      <w:proofErr w:type="gramStart"/>
      <w:r w:rsidRPr="00767FC2">
        <w:t>a</w:t>
      </w:r>
      <w:proofErr w:type="gramEnd"/>
      <w:r w:rsidRPr="00767FC2">
        <w:t xml:space="preserve"> project covered by </w:t>
      </w:r>
      <w:r w:rsidR="007C18CC" w:rsidRPr="00767FC2">
        <w:t xml:space="preserve">this determination, an earlier </w:t>
      </w:r>
      <w:r w:rsidRPr="00767FC2">
        <w:t xml:space="preserve">savanna emissions avoidance determination or </w:t>
      </w:r>
      <w:r w:rsidR="007C18CC" w:rsidRPr="00767FC2">
        <w:t xml:space="preserve">a savanna sequestration </w:t>
      </w:r>
      <w:r w:rsidRPr="00767FC2">
        <w:t>determination has not been undertaken in any part of the project area</w:t>
      </w:r>
      <w:r w:rsidR="00D94BAD" w:rsidRPr="00767FC2">
        <w:t>; or</w:t>
      </w:r>
    </w:p>
    <w:p w14:paraId="6E507907" w14:textId="77777777" w:rsidR="004602EA" w:rsidRPr="00767FC2" w:rsidRDefault="00D94BAD" w:rsidP="00D94BAD">
      <w:pPr>
        <w:pStyle w:val="tPara"/>
      </w:pPr>
      <w:r w:rsidRPr="00767FC2">
        <w:tab/>
      </w:r>
      <w:r w:rsidR="001626C4" w:rsidRPr="00767FC2">
        <w:t>(c)</w:t>
      </w:r>
      <w:r w:rsidRPr="00767FC2">
        <w:tab/>
      </w:r>
      <w:proofErr w:type="gramStart"/>
      <w:r w:rsidRPr="00767FC2">
        <w:t>such</w:t>
      </w:r>
      <w:proofErr w:type="gramEnd"/>
      <w:r w:rsidRPr="00767FC2">
        <w:t xml:space="preserve"> a project has been undertaken in the project area or part of the project area, but no Australian carbon credit units have been issued in relation to any part of the project area while the project was covered by any such methodology determination</w:t>
      </w:r>
      <w:r w:rsidR="004602EA" w:rsidRPr="00767FC2">
        <w:t>.</w:t>
      </w:r>
    </w:p>
    <w:p w14:paraId="203FF935" w14:textId="77777777" w:rsidR="00D94BAD" w:rsidRPr="00767FC2" w:rsidRDefault="00D94BAD" w:rsidP="00D94BAD">
      <w:pPr>
        <w:pStyle w:val="h6Subsec"/>
      </w:pPr>
      <w:r w:rsidRPr="00767FC2">
        <w:lastRenderedPageBreak/>
        <w:t>Modification</w:t>
      </w:r>
      <w:r w:rsidR="008B660E" w:rsidRPr="00767FC2">
        <w:t xml:space="preserve"> of operation of some provisions of </w:t>
      </w:r>
      <w:r w:rsidRPr="00767FC2">
        <w:t>this determination if paragraph </w:t>
      </w:r>
      <w:r w:rsidR="00964086" w:rsidRPr="00767FC2">
        <w:t>(2</w:t>
      </w:r>
      <w:proofErr w:type="gramStart"/>
      <w:r w:rsidR="00964086" w:rsidRPr="00767FC2">
        <w:t>)(</w:t>
      </w:r>
      <w:proofErr w:type="gramEnd"/>
      <w:r w:rsidR="00964086" w:rsidRPr="00767FC2">
        <w:t>c)</w:t>
      </w:r>
      <w:r w:rsidRPr="00767FC2">
        <w:t xml:space="preserve"> is met</w:t>
      </w:r>
    </w:p>
    <w:p w14:paraId="51481CE0" w14:textId="77777777" w:rsidR="006C64A0" w:rsidRPr="00767FC2" w:rsidRDefault="006C64A0" w:rsidP="006C64A0">
      <w:pPr>
        <w:pStyle w:val="ntoHeading"/>
      </w:pPr>
      <w:r w:rsidRPr="00767FC2">
        <w:t>Note:</w:t>
      </w:r>
      <w:r w:rsidRPr="00767FC2">
        <w:tab/>
        <w:t>For a project area that met the requirement of paragraph </w:t>
      </w:r>
      <w:r w:rsidR="00964086" w:rsidRPr="00767FC2">
        <w:t>(2</w:t>
      </w:r>
      <w:proofErr w:type="gramStart"/>
      <w:r w:rsidR="00964086" w:rsidRPr="00767FC2">
        <w:t>)(</w:t>
      </w:r>
      <w:proofErr w:type="gramEnd"/>
      <w:r w:rsidR="00964086" w:rsidRPr="00767FC2">
        <w:t>c)</w:t>
      </w:r>
      <w:r w:rsidRPr="00767FC2">
        <w:t>, some provisions of this determination will operate in a modified manner to account for the project that has been previously undertaken. Subsection </w:t>
      </w:r>
      <w:r w:rsidR="00964086" w:rsidRPr="00767FC2">
        <w:t>(3)</w:t>
      </w:r>
      <w:r w:rsidRPr="00767FC2">
        <w:t xml:space="preserve"> sets out these modifications.</w:t>
      </w:r>
    </w:p>
    <w:p w14:paraId="5688A72C" w14:textId="77777777" w:rsidR="00D94BAD" w:rsidRPr="00767FC2" w:rsidRDefault="00D94BAD" w:rsidP="00D94BAD">
      <w:pPr>
        <w:pStyle w:val="tMain"/>
      </w:pPr>
      <w:r w:rsidRPr="00767FC2">
        <w:tab/>
      </w:r>
      <w:r w:rsidR="001626C4" w:rsidRPr="00767FC2">
        <w:t>(3)</w:t>
      </w:r>
      <w:r w:rsidRPr="00767FC2">
        <w:tab/>
        <w:t>For a project area that met the requirement of paragraph </w:t>
      </w:r>
      <w:r w:rsidR="00964086" w:rsidRPr="00767FC2">
        <w:t>(2</w:t>
      </w:r>
      <w:proofErr w:type="gramStart"/>
      <w:r w:rsidR="00964086" w:rsidRPr="00767FC2">
        <w:t>)(</w:t>
      </w:r>
      <w:proofErr w:type="gramEnd"/>
      <w:r w:rsidR="00964086" w:rsidRPr="00767FC2">
        <w:t>c)</w:t>
      </w:r>
      <w:r w:rsidRPr="00767FC2">
        <w:t>:</w:t>
      </w:r>
    </w:p>
    <w:p w14:paraId="53822F1B" w14:textId="77777777" w:rsidR="00D94BAD" w:rsidRPr="00767FC2" w:rsidRDefault="00D94BAD" w:rsidP="00D94BAD">
      <w:pPr>
        <w:pStyle w:val="tPara"/>
      </w:pPr>
      <w:r w:rsidRPr="00767FC2">
        <w:tab/>
      </w:r>
      <w:r w:rsidR="001626C4" w:rsidRPr="00767FC2">
        <w:t>(a)</w:t>
      </w:r>
      <w:r w:rsidRPr="00767FC2">
        <w:tab/>
        <w:t>for the purposes of subsection </w:t>
      </w:r>
      <w:r w:rsidR="00964086" w:rsidRPr="00767FC2">
        <w:t>14</w:t>
      </w:r>
      <w:r w:rsidR="00511F93" w:rsidRPr="00767FC2">
        <w:t>(6)</w:t>
      </w:r>
      <w:r w:rsidRPr="00767FC2">
        <w:t xml:space="preserve">, disregard the section 22 application or the section 29 application in which </w:t>
      </w:r>
      <w:r w:rsidR="00B075A1" w:rsidRPr="00767FC2">
        <w:t xml:space="preserve">the </w:t>
      </w:r>
      <w:r w:rsidRPr="00767FC2">
        <w:t xml:space="preserve">project area </w:t>
      </w:r>
      <w:r w:rsidR="00B075A1" w:rsidRPr="00767FC2">
        <w:t xml:space="preserve">referred to in </w:t>
      </w:r>
      <w:r w:rsidRPr="00767FC2">
        <w:t>paragraph </w:t>
      </w:r>
      <w:r w:rsidR="00964086" w:rsidRPr="00767FC2">
        <w:t>(2)(c)</w:t>
      </w:r>
      <w:r w:rsidR="00B075A1" w:rsidRPr="00767FC2">
        <w:t xml:space="preserve"> was first identified</w:t>
      </w:r>
      <w:r w:rsidRPr="00767FC2">
        <w:t>; and</w:t>
      </w:r>
    </w:p>
    <w:p w14:paraId="4455FCC5" w14:textId="77777777" w:rsidR="00D94BAD" w:rsidRPr="00767FC2" w:rsidRDefault="00D94BAD" w:rsidP="00D94BAD">
      <w:pPr>
        <w:pStyle w:val="tPara"/>
      </w:pPr>
      <w:r w:rsidRPr="00767FC2">
        <w:tab/>
      </w:r>
      <w:r w:rsidR="001626C4" w:rsidRPr="00767FC2">
        <w:t>(b)</w:t>
      </w:r>
      <w:r w:rsidRPr="00767FC2">
        <w:tab/>
      </w:r>
      <w:proofErr w:type="gramStart"/>
      <w:r w:rsidRPr="00767FC2">
        <w:t>for</w:t>
      </w:r>
      <w:proofErr w:type="gramEnd"/>
      <w:r w:rsidRPr="00767FC2">
        <w:t xml:space="preserve"> the purposes of subsection </w:t>
      </w:r>
      <w:r w:rsidR="00964086" w:rsidRPr="00767FC2">
        <w:t>24(1)</w:t>
      </w:r>
      <w:r w:rsidRPr="00767FC2">
        <w:t>, disregard the project referred to in paragraph </w:t>
      </w:r>
      <w:r w:rsidR="00964086" w:rsidRPr="00767FC2">
        <w:t>(2)(c)</w:t>
      </w:r>
      <w:r w:rsidRPr="00767FC2">
        <w:t>; and</w:t>
      </w:r>
    </w:p>
    <w:p w14:paraId="31CEE2DD" w14:textId="77777777" w:rsidR="00D94BAD" w:rsidRPr="00767FC2" w:rsidRDefault="00D94BAD" w:rsidP="00D94BAD">
      <w:pPr>
        <w:pStyle w:val="tPara"/>
      </w:pPr>
      <w:r w:rsidRPr="00767FC2">
        <w:tab/>
      </w:r>
      <w:r w:rsidR="001626C4" w:rsidRPr="00767FC2">
        <w:t>(c)</w:t>
      </w:r>
      <w:r w:rsidRPr="00767FC2">
        <w:tab/>
        <w:t>for the purposes of subparagraph </w:t>
      </w:r>
      <w:r w:rsidR="00964086" w:rsidRPr="00767FC2">
        <w:t>26(2)(d)(</w:t>
      </w:r>
      <w:proofErr w:type="spellStart"/>
      <w:r w:rsidR="00964086" w:rsidRPr="00767FC2">
        <w:t>i</w:t>
      </w:r>
      <w:proofErr w:type="spellEnd"/>
      <w:r w:rsidR="00964086" w:rsidRPr="00767FC2">
        <w:t>)</w:t>
      </w:r>
      <w:r w:rsidRPr="00767FC2">
        <w:t>, in determining whether the project area was first added as a result of a section 29 application, disregard the addition of the project area referred to in paragraph </w:t>
      </w:r>
      <w:r w:rsidR="00964086" w:rsidRPr="00767FC2">
        <w:t>(2)(c)</w:t>
      </w:r>
      <w:r w:rsidRPr="00767FC2">
        <w:t>; and</w:t>
      </w:r>
    </w:p>
    <w:p w14:paraId="68E21532" w14:textId="77777777" w:rsidR="00D94BAD" w:rsidRPr="00767FC2" w:rsidRDefault="00D94BAD" w:rsidP="00D94BAD">
      <w:pPr>
        <w:pStyle w:val="tPara"/>
      </w:pPr>
      <w:r w:rsidRPr="00767FC2">
        <w:tab/>
      </w:r>
      <w:r w:rsidR="001626C4" w:rsidRPr="00767FC2">
        <w:t>(d)</w:t>
      </w:r>
      <w:r w:rsidRPr="00767FC2">
        <w:tab/>
        <w:t>for the purposes of paragraph </w:t>
      </w:r>
      <w:r w:rsidR="00964086" w:rsidRPr="00767FC2">
        <w:t>3(1)(a)</w:t>
      </w:r>
      <w:r w:rsidRPr="00767FC2">
        <w:t xml:space="preserve"> of Schedule 1, disregard any values that might have been calculated in relation to </w:t>
      </w:r>
      <w:r w:rsidR="00AD14C8" w:rsidRPr="00767FC2">
        <w:t>the project area referred to in paragraph </w:t>
      </w:r>
      <w:r w:rsidR="00964086" w:rsidRPr="00767FC2">
        <w:t>(2)(c)</w:t>
      </w:r>
      <w:r w:rsidRPr="00767FC2">
        <w:t>.</w:t>
      </w:r>
    </w:p>
    <w:p w14:paraId="445401FF" w14:textId="77777777" w:rsidR="008A302E" w:rsidRPr="00767FC2" w:rsidRDefault="001626C4" w:rsidP="008A302E">
      <w:pPr>
        <w:pStyle w:val="h5Section"/>
      </w:pPr>
      <w:bookmarkStart w:id="74" w:name="_Toc509567201"/>
      <w:proofErr w:type="gramStart"/>
      <w:r w:rsidRPr="00767FC2">
        <w:t>22</w:t>
      </w:r>
      <w:r w:rsidR="008A302E" w:rsidRPr="00767FC2">
        <w:t xml:space="preserve">  Requirement</w:t>
      </w:r>
      <w:proofErr w:type="gramEnd"/>
      <w:r w:rsidR="008A302E" w:rsidRPr="00767FC2">
        <w:t xml:space="preserve"> in lieu of regulatory additionality requirement</w:t>
      </w:r>
      <w:bookmarkEnd w:id="72"/>
      <w:bookmarkEnd w:id="73"/>
      <w:bookmarkEnd w:id="74"/>
    </w:p>
    <w:p w14:paraId="65DD5D84" w14:textId="77777777" w:rsidR="008A302E" w:rsidRPr="00767FC2" w:rsidRDefault="008A302E" w:rsidP="008A302E">
      <w:pPr>
        <w:pStyle w:val="tMain"/>
      </w:pPr>
      <w:r w:rsidRPr="00767FC2">
        <w:tab/>
      </w:r>
      <w:r w:rsidR="001626C4" w:rsidRPr="00767FC2">
        <w:t>(1)</w:t>
      </w:r>
      <w:r w:rsidRPr="00767FC2">
        <w:tab/>
        <w:t>For subparagraph 27(4A</w:t>
      </w:r>
      <w:proofErr w:type="gramStart"/>
      <w:r w:rsidRPr="00767FC2">
        <w:t>)(</w:t>
      </w:r>
      <w:proofErr w:type="gramEnd"/>
      <w:r w:rsidRPr="00767FC2">
        <w:t xml:space="preserve">b)(ii) of the Act, the requirement in subsection </w:t>
      </w:r>
      <w:r w:rsidR="00964086" w:rsidRPr="00767FC2">
        <w:t>(2)</w:t>
      </w:r>
      <w:r w:rsidRPr="00767FC2">
        <w:t xml:space="preserve"> is in lieu of the regulatory additionality requirement for a </w:t>
      </w:r>
      <w:r w:rsidR="00504AE8" w:rsidRPr="00767FC2">
        <w:t xml:space="preserve">savanna </w:t>
      </w:r>
      <w:r w:rsidR="008B1469" w:rsidRPr="00767FC2">
        <w:t>emissions avoidance</w:t>
      </w:r>
      <w:r w:rsidR="00CF1AC4" w:rsidRPr="00767FC2">
        <w:t xml:space="preserve"> </w:t>
      </w:r>
      <w:r w:rsidR="00504AE8" w:rsidRPr="00767FC2">
        <w:t>project</w:t>
      </w:r>
      <w:r w:rsidRPr="00767FC2">
        <w:t>.</w:t>
      </w:r>
    </w:p>
    <w:p w14:paraId="78596E89" w14:textId="77777777" w:rsidR="005B791D" w:rsidRPr="00767FC2" w:rsidRDefault="008A302E" w:rsidP="00A80006">
      <w:pPr>
        <w:pStyle w:val="tMain"/>
      </w:pPr>
      <w:r w:rsidRPr="00767FC2">
        <w:tab/>
      </w:r>
      <w:r w:rsidR="001626C4" w:rsidRPr="00767FC2">
        <w:t>(2)</w:t>
      </w:r>
      <w:r w:rsidRPr="00767FC2">
        <w:tab/>
        <w:t>A project area must not include land where fire management for the primary purpose of</w:t>
      </w:r>
      <w:r w:rsidR="00A80006" w:rsidRPr="00767FC2">
        <w:t xml:space="preserve"> </w:t>
      </w:r>
      <w:r w:rsidR="005B791D" w:rsidRPr="00767FC2">
        <w:t>either or both of the following:</w:t>
      </w:r>
    </w:p>
    <w:p w14:paraId="19F278F4" w14:textId="77777777" w:rsidR="005B791D" w:rsidRPr="00767FC2" w:rsidRDefault="005B791D" w:rsidP="005B791D">
      <w:pPr>
        <w:pStyle w:val="tPara"/>
      </w:pPr>
      <w:r w:rsidRPr="00767FC2">
        <w:tab/>
      </w:r>
      <w:r w:rsidR="001626C4" w:rsidRPr="00767FC2">
        <w:t>(a)</w:t>
      </w:r>
      <w:r w:rsidRPr="00767FC2">
        <w:tab/>
      </w:r>
      <w:proofErr w:type="gramStart"/>
      <w:r w:rsidR="008A302E" w:rsidRPr="00767FC2">
        <w:t>reducing</w:t>
      </w:r>
      <w:proofErr w:type="gramEnd"/>
      <w:r w:rsidR="008A302E" w:rsidRPr="00767FC2">
        <w:t xml:space="preserve"> emissions from fire</w:t>
      </w:r>
      <w:r w:rsidRPr="00767FC2">
        <w:t>;</w:t>
      </w:r>
    </w:p>
    <w:p w14:paraId="0616F3CC" w14:textId="77777777" w:rsidR="005B791D" w:rsidRPr="00767FC2" w:rsidRDefault="005B791D" w:rsidP="005B791D">
      <w:pPr>
        <w:pStyle w:val="tPara"/>
      </w:pPr>
      <w:r w:rsidRPr="00767FC2">
        <w:tab/>
      </w:r>
      <w:r w:rsidR="001626C4" w:rsidRPr="00767FC2">
        <w:t>(b)</w:t>
      </w:r>
      <w:r w:rsidRPr="00767FC2">
        <w:tab/>
      </w:r>
      <w:proofErr w:type="gramStart"/>
      <w:r w:rsidRPr="00767FC2">
        <w:t>sequestering</w:t>
      </w:r>
      <w:proofErr w:type="gramEnd"/>
      <w:r w:rsidRPr="00767FC2">
        <w:t xml:space="preserve"> carbon in dead organic matter;</w:t>
      </w:r>
    </w:p>
    <w:p w14:paraId="399393B4" w14:textId="77777777" w:rsidR="008A302E" w:rsidRPr="00767FC2" w:rsidRDefault="005B791D" w:rsidP="005B791D">
      <w:pPr>
        <w:pStyle w:val="subsectionsandwich"/>
      </w:pPr>
      <w:r w:rsidRPr="00767FC2">
        <w:tab/>
      </w:r>
      <w:r w:rsidRPr="00767FC2">
        <w:tab/>
      </w:r>
      <w:proofErr w:type="gramStart"/>
      <w:r w:rsidR="008A302E" w:rsidRPr="00767FC2">
        <w:t>is</w:t>
      </w:r>
      <w:proofErr w:type="gramEnd"/>
      <w:r w:rsidR="008A302E" w:rsidRPr="00767FC2">
        <w:t xml:space="preserve"> required to be carried out by or under a law of the Commonwealth, a State or a Territory.</w:t>
      </w:r>
    </w:p>
    <w:p w14:paraId="6D963BE0" w14:textId="77777777" w:rsidR="006821CA" w:rsidRPr="00767FC2" w:rsidRDefault="001626C4" w:rsidP="006821CA">
      <w:pPr>
        <w:pStyle w:val="h3Div"/>
      </w:pPr>
      <w:bookmarkStart w:id="75" w:name="_Toc509567202"/>
      <w:r w:rsidRPr="00767FC2">
        <w:t>Division 6</w:t>
      </w:r>
      <w:r w:rsidR="006821CA" w:rsidRPr="00767FC2">
        <w:t>—Projects that include transferring project areas</w:t>
      </w:r>
      <w:bookmarkEnd w:id="75"/>
    </w:p>
    <w:p w14:paraId="3783F843" w14:textId="77777777" w:rsidR="006821CA" w:rsidRPr="00767FC2" w:rsidRDefault="001626C4" w:rsidP="006821CA">
      <w:pPr>
        <w:pStyle w:val="h5Section"/>
      </w:pPr>
      <w:bookmarkStart w:id="76" w:name="_Toc483306125"/>
      <w:bookmarkStart w:id="77" w:name="_Toc509567203"/>
      <w:proofErr w:type="gramStart"/>
      <w:r w:rsidRPr="00767FC2">
        <w:t>23</w:t>
      </w:r>
      <w:r w:rsidR="006821CA" w:rsidRPr="00767FC2">
        <w:t xml:space="preserve">  Simplified</w:t>
      </w:r>
      <w:proofErr w:type="gramEnd"/>
      <w:r w:rsidR="006821CA" w:rsidRPr="00767FC2">
        <w:t xml:space="preserve"> outline of this Division</w:t>
      </w:r>
      <w:bookmarkEnd w:id="76"/>
      <w:bookmarkEnd w:id="77"/>
    </w:p>
    <w:p w14:paraId="5CD7EDCB" w14:textId="77777777" w:rsidR="006821CA" w:rsidRPr="00767FC2" w:rsidRDefault="006821CA" w:rsidP="006821CA">
      <w:pPr>
        <w:pStyle w:val="SOText"/>
      </w:pPr>
      <w:r w:rsidRPr="00767FC2">
        <w:t xml:space="preserve">This Division is relevant to a savanna </w:t>
      </w:r>
      <w:r w:rsidR="0022619A" w:rsidRPr="00767FC2">
        <w:t>emissions avoidance</w:t>
      </w:r>
      <w:r w:rsidRPr="00767FC2">
        <w:t xml:space="preserve"> project if it contains a project area that was previously part of a project covered by a</w:t>
      </w:r>
      <w:r w:rsidR="00634C76" w:rsidRPr="00767FC2">
        <w:t>n earlier</w:t>
      </w:r>
      <w:r w:rsidRPr="00767FC2">
        <w:t xml:space="preserve"> savanna emissions avoidance determination</w:t>
      </w:r>
      <w:r w:rsidR="00634C76" w:rsidRPr="00767FC2">
        <w:t>, a savanna sequestration determination,</w:t>
      </w:r>
      <w:r w:rsidRPr="00767FC2">
        <w:t xml:space="preserve"> or another project covered by this determination. Such a project area is a transferring project area.</w:t>
      </w:r>
    </w:p>
    <w:p w14:paraId="62CA5B36" w14:textId="77777777" w:rsidR="006821CA" w:rsidRPr="00767FC2" w:rsidRDefault="006821CA" w:rsidP="006821CA">
      <w:pPr>
        <w:pStyle w:val="SOText"/>
      </w:pPr>
      <w:r w:rsidRPr="00767FC2">
        <w:t>There are several ways of moving a transferring project area from its original project to a</w:t>
      </w:r>
      <w:r w:rsidR="004602EA" w:rsidRPr="00767FC2">
        <w:t>nother</w:t>
      </w:r>
      <w:r w:rsidRPr="00767FC2">
        <w:t xml:space="preserve"> project </w:t>
      </w:r>
      <w:r w:rsidR="004602EA" w:rsidRPr="00767FC2">
        <w:t xml:space="preserve">that is </w:t>
      </w:r>
      <w:r w:rsidRPr="00767FC2">
        <w:t>covered by this determination.</w:t>
      </w:r>
    </w:p>
    <w:p w14:paraId="081A17FD" w14:textId="77777777" w:rsidR="006821CA" w:rsidRPr="00767FC2" w:rsidRDefault="006821CA" w:rsidP="006821CA">
      <w:pPr>
        <w:pStyle w:val="SOText"/>
        <w:keepNext/>
        <w:rPr>
          <w:b/>
        </w:rPr>
      </w:pPr>
      <w:r w:rsidRPr="00767FC2">
        <w:rPr>
          <w:b/>
        </w:rPr>
        <w:t xml:space="preserve">Moving project areas between savanna </w:t>
      </w:r>
      <w:r w:rsidR="0022619A" w:rsidRPr="00767FC2">
        <w:rPr>
          <w:b/>
        </w:rPr>
        <w:t>emissions avoidance</w:t>
      </w:r>
      <w:r w:rsidRPr="00767FC2">
        <w:rPr>
          <w:b/>
        </w:rPr>
        <w:t xml:space="preserve"> projects</w:t>
      </w:r>
    </w:p>
    <w:p w14:paraId="6C16F191" w14:textId="77777777" w:rsidR="006821CA" w:rsidRPr="00767FC2" w:rsidRDefault="006821CA" w:rsidP="006821CA">
      <w:pPr>
        <w:pStyle w:val="SOText"/>
      </w:pPr>
      <w:r w:rsidRPr="00767FC2">
        <w:t xml:space="preserve">A project area may be moved from one savanna </w:t>
      </w:r>
      <w:r w:rsidR="0022619A" w:rsidRPr="00767FC2">
        <w:t>emissions avoidance</w:t>
      </w:r>
      <w:r w:rsidRPr="00767FC2">
        <w:t xml:space="preserve"> project to another savanna </w:t>
      </w:r>
      <w:r w:rsidR="0022619A" w:rsidRPr="00767FC2">
        <w:t xml:space="preserve">emissions avoidance </w:t>
      </w:r>
      <w:r w:rsidRPr="00767FC2">
        <w:t>project in accordance with section 23 of the CFI Rule. The project’s crediting period would be adjusted in accordance with section 53 of the CFI Rule.</w:t>
      </w:r>
    </w:p>
    <w:p w14:paraId="473E2B68" w14:textId="77777777" w:rsidR="006821CA" w:rsidRPr="00767FC2" w:rsidRDefault="006821CA" w:rsidP="006821CA">
      <w:pPr>
        <w:pStyle w:val="SOText"/>
        <w:keepNext/>
        <w:rPr>
          <w:b/>
        </w:rPr>
      </w:pPr>
      <w:r w:rsidRPr="00767FC2">
        <w:rPr>
          <w:b/>
        </w:rPr>
        <w:t xml:space="preserve">Moving project areas from </w:t>
      </w:r>
      <w:r w:rsidR="00634C76" w:rsidRPr="00767FC2">
        <w:rPr>
          <w:b/>
        </w:rPr>
        <w:t xml:space="preserve">sequestration </w:t>
      </w:r>
      <w:r w:rsidRPr="00767FC2">
        <w:rPr>
          <w:b/>
        </w:rPr>
        <w:t xml:space="preserve">project to </w:t>
      </w:r>
      <w:r w:rsidR="00634C76" w:rsidRPr="00767FC2">
        <w:rPr>
          <w:b/>
        </w:rPr>
        <w:t xml:space="preserve">emissions avoidance </w:t>
      </w:r>
      <w:r w:rsidRPr="00767FC2">
        <w:rPr>
          <w:b/>
        </w:rPr>
        <w:t>project</w:t>
      </w:r>
    </w:p>
    <w:p w14:paraId="371405A1" w14:textId="77777777" w:rsidR="006821CA" w:rsidRPr="00767FC2" w:rsidRDefault="006821CA" w:rsidP="006821CA">
      <w:pPr>
        <w:pStyle w:val="SOText"/>
      </w:pPr>
      <w:r w:rsidRPr="00767FC2">
        <w:t xml:space="preserve">If the original project is covered by a savanna </w:t>
      </w:r>
      <w:r w:rsidR="00CC73B8" w:rsidRPr="00767FC2">
        <w:t>sequestration</w:t>
      </w:r>
      <w:r w:rsidRPr="00767FC2">
        <w:t xml:space="preserve"> determination, there are several options.</w:t>
      </w:r>
    </w:p>
    <w:p w14:paraId="1628CAF5" w14:textId="77777777" w:rsidR="005E0A4E" w:rsidRPr="00767FC2" w:rsidRDefault="005E0A4E" w:rsidP="0056748C">
      <w:pPr>
        <w:pStyle w:val="SOText"/>
      </w:pPr>
      <w:r w:rsidRPr="00767FC2">
        <w:lastRenderedPageBreak/>
        <w:t xml:space="preserve">Before commencement </w:t>
      </w:r>
      <w:r w:rsidR="006821CA" w:rsidRPr="00767FC2">
        <w:t xml:space="preserve">of the </w:t>
      </w:r>
      <w:r w:rsidR="006821CA" w:rsidRPr="00767FC2">
        <w:rPr>
          <w:i/>
        </w:rPr>
        <w:t xml:space="preserve">Carbon Credits (Carbon Farming Initiative) Amendment Act </w:t>
      </w:r>
      <w:r w:rsidR="00D32953" w:rsidRPr="00767FC2">
        <w:rPr>
          <w:i/>
        </w:rPr>
        <w:t>2018</w:t>
      </w:r>
      <w:r w:rsidRPr="00767FC2">
        <w:t>:</w:t>
      </w:r>
    </w:p>
    <w:p w14:paraId="35FEC7D6" w14:textId="77777777" w:rsidR="006821CA" w:rsidRPr="00767FC2" w:rsidRDefault="005E0A4E" w:rsidP="00C11715">
      <w:pPr>
        <w:pStyle w:val="SOBullet"/>
        <w:spacing w:before="120"/>
      </w:pPr>
      <w:r w:rsidRPr="00767FC2">
        <w:t>●</w:t>
      </w:r>
      <w:r w:rsidRPr="00767FC2">
        <w:tab/>
      </w:r>
      <w:proofErr w:type="gramStart"/>
      <w:r w:rsidR="000F0170" w:rsidRPr="00767FC2">
        <w:t>One</w:t>
      </w:r>
      <w:proofErr w:type="gramEnd"/>
      <w:r w:rsidR="000F0170" w:rsidRPr="00767FC2">
        <w:t xml:space="preserve"> option is to </w:t>
      </w:r>
      <w:r w:rsidR="00880E4E" w:rsidRPr="00767FC2">
        <w:t xml:space="preserve">apply to </w:t>
      </w:r>
      <w:r w:rsidR="006821CA" w:rsidRPr="00767FC2">
        <w:t>move all of the original project’s project areas onto a project covered by this determination</w:t>
      </w:r>
      <w:r w:rsidR="00A27782" w:rsidRPr="00767FC2">
        <w:t xml:space="preserve">. This would involve </w:t>
      </w:r>
      <w:r w:rsidR="0056748C" w:rsidRPr="00767FC2">
        <w:t xml:space="preserve">seeking revocation of </w:t>
      </w:r>
      <w:r w:rsidR="006821CA" w:rsidRPr="00767FC2">
        <w:t>the original project’s section 27 declaration.</w:t>
      </w:r>
    </w:p>
    <w:p w14:paraId="0A452461" w14:textId="77777777" w:rsidR="000F0170" w:rsidRPr="00767FC2" w:rsidRDefault="000F0170" w:rsidP="00C11715">
      <w:pPr>
        <w:pStyle w:val="SOBullet"/>
        <w:spacing w:before="120"/>
      </w:pPr>
      <w:r w:rsidRPr="00767FC2">
        <w:t>●</w:t>
      </w:r>
      <w:r w:rsidRPr="00767FC2">
        <w:tab/>
      </w:r>
      <w:proofErr w:type="gramStart"/>
      <w:r w:rsidRPr="00767FC2">
        <w:t>Another</w:t>
      </w:r>
      <w:proofErr w:type="gramEnd"/>
      <w:r w:rsidRPr="00767FC2">
        <w:t xml:space="preserve"> option is to </w:t>
      </w:r>
      <w:r w:rsidR="00880E4E" w:rsidRPr="00767FC2">
        <w:t xml:space="preserve">apply to </w:t>
      </w:r>
      <w:r w:rsidRPr="00767FC2">
        <w:t>move only some of the original project’s project areas onto a project covered by this determination</w:t>
      </w:r>
      <w:r w:rsidR="00A27782" w:rsidRPr="00767FC2">
        <w:t>. This would involve</w:t>
      </w:r>
      <w:r w:rsidRPr="00767FC2">
        <w:t xml:space="preserve"> seeking a variation of the original </w:t>
      </w:r>
      <w:r w:rsidR="008B3E0E" w:rsidRPr="00767FC2">
        <w:t>project’s section 27 declaration to remove the transferring project area or areas.</w:t>
      </w:r>
    </w:p>
    <w:p w14:paraId="1991433B" w14:textId="77777777" w:rsidR="006821CA" w:rsidRPr="00767FC2" w:rsidRDefault="00923DA0" w:rsidP="006821CA">
      <w:pPr>
        <w:pStyle w:val="SOText"/>
      </w:pPr>
      <w:r w:rsidRPr="00767FC2">
        <w:t xml:space="preserve">In either case, a </w:t>
      </w:r>
      <w:r w:rsidR="006821CA" w:rsidRPr="00767FC2">
        <w:t xml:space="preserve">new </w:t>
      </w:r>
      <w:r w:rsidR="0022619A" w:rsidRPr="00767FC2">
        <w:t xml:space="preserve">emissions avoidance </w:t>
      </w:r>
      <w:r w:rsidRPr="00767FC2">
        <w:t xml:space="preserve">project </w:t>
      </w:r>
      <w:r w:rsidR="006821CA" w:rsidRPr="00767FC2">
        <w:t xml:space="preserve">would </w:t>
      </w:r>
      <w:r w:rsidR="00917A2C" w:rsidRPr="00767FC2">
        <w:t xml:space="preserve">need to </w:t>
      </w:r>
      <w:r w:rsidR="006821CA" w:rsidRPr="00767FC2">
        <w:t>be declared as an eligible offsets project. The new project would have a new crediting period, and would be a restarting transferring project.</w:t>
      </w:r>
    </w:p>
    <w:p w14:paraId="74CCE56E" w14:textId="77777777" w:rsidR="00C11715" w:rsidRPr="00767FC2" w:rsidRDefault="006821CA" w:rsidP="006821CA">
      <w:pPr>
        <w:pStyle w:val="SOText"/>
      </w:pPr>
      <w:r w:rsidRPr="00767FC2">
        <w:t xml:space="preserve">After commencement of the </w:t>
      </w:r>
      <w:r w:rsidRPr="00767FC2">
        <w:rPr>
          <w:i/>
        </w:rPr>
        <w:t xml:space="preserve">Carbon Credits (Carbon Farming Initiative) Amendment Act </w:t>
      </w:r>
      <w:r w:rsidR="00D32953" w:rsidRPr="00767FC2">
        <w:rPr>
          <w:i/>
        </w:rPr>
        <w:t>2018</w:t>
      </w:r>
      <w:r w:rsidR="00C11715" w:rsidRPr="00767FC2">
        <w:t>:</w:t>
      </w:r>
    </w:p>
    <w:p w14:paraId="738A933C" w14:textId="77777777" w:rsidR="00C11715" w:rsidRPr="00767FC2" w:rsidRDefault="00C11715" w:rsidP="00C11715">
      <w:pPr>
        <w:pStyle w:val="SOBullet"/>
        <w:spacing w:before="120"/>
      </w:pPr>
      <w:r w:rsidRPr="00767FC2">
        <w:t>●</w:t>
      </w:r>
      <w:r w:rsidRPr="00767FC2">
        <w:tab/>
      </w:r>
      <w:proofErr w:type="gramStart"/>
      <w:r w:rsidRPr="00767FC2">
        <w:t>A</w:t>
      </w:r>
      <w:proofErr w:type="gramEnd"/>
      <w:r w:rsidR="006821CA" w:rsidRPr="00767FC2">
        <w:t xml:space="preserve"> further option would be </w:t>
      </w:r>
      <w:r w:rsidR="00880E4E" w:rsidRPr="00767FC2">
        <w:t xml:space="preserve">to request </w:t>
      </w:r>
      <w:r w:rsidR="006821CA" w:rsidRPr="00767FC2">
        <w:t>the Regulator to approve the application of this determination to the original project, under section 130 of the Act. The project would retain the same project area or areas</w:t>
      </w:r>
      <w:r w:rsidRPr="00767FC2">
        <w:t>.</w:t>
      </w:r>
    </w:p>
    <w:p w14:paraId="263F62C1" w14:textId="77777777" w:rsidR="006821CA" w:rsidRPr="00767FC2" w:rsidRDefault="00C11715" w:rsidP="00C11715">
      <w:pPr>
        <w:pStyle w:val="SOText"/>
      </w:pPr>
      <w:r w:rsidRPr="00767FC2">
        <w:t>In that case, the project’s</w:t>
      </w:r>
      <w:r w:rsidR="006821CA" w:rsidRPr="00767FC2">
        <w:t xml:space="preserve"> existing crediting period would continue. The project would be a continuing transferring project.</w:t>
      </w:r>
    </w:p>
    <w:p w14:paraId="68BC46A0" w14:textId="77777777" w:rsidR="006821CA" w:rsidRPr="00767FC2" w:rsidRDefault="006821CA" w:rsidP="006821CA">
      <w:pPr>
        <w:pStyle w:val="SOText"/>
      </w:pPr>
      <w:r w:rsidRPr="00767FC2">
        <w:t xml:space="preserve">It is not possible to transfer a project area from a project covered by a savanna </w:t>
      </w:r>
      <w:r w:rsidR="00C11715" w:rsidRPr="00767FC2">
        <w:t xml:space="preserve">sequestration </w:t>
      </w:r>
      <w:r w:rsidRPr="00767FC2">
        <w:t xml:space="preserve">determination to </w:t>
      </w:r>
      <w:r w:rsidR="00C11715" w:rsidRPr="00767FC2">
        <w:t xml:space="preserve">savanna </w:t>
      </w:r>
      <w:r w:rsidR="0022619A" w:rsidRPr="00767FC2">
        <w:t xml:space="preserve">emissions avoidance </w:t>
      </w:r>
      <w:r w:rsidR="00C11715" w:rsidRPr="00767FC2">
        <w:t xml:space="preserve">project </w:t>
      </w:r>
      <w:r w:rsidRPr="00767FC2">
        <w:t>under section 23 of the CFI Rule.</w:t>
      </w:r>
    </w:p>
    <w:p w14:paraId="19EE5107" w14:textId="77777777" w:rsidR="006821CA" w:rsidRPr="00767FC2" w:rsidRDefault="006821CA" w:rsidP="006821CA">
      <w:pPr>
        <w:pStyle w:val="SOText"/>
        <w:keepNext/>
        <w:rPr>
          <w:b/>
        </w:rPr>
      </w:pPr>
      <w:r w:rsidRPr="00767FC2">
        <w:rPr>
          <w:b/>
        </w:rPr>
        <w:t>Projects that contain transferring project areas</w:t>
      </w:r>
    </w:p>
    <w:p w14:paraId="66A73868" w14:textId="77777777" w:rsidR="006821CA" w:rsidRPr="00767FC2" w:rsidRDefault="006821CA" w:rsidP="006821CA">
      <w:pPr>
        <w:pStyle w:val="SOText"/>
      </w:pPr>
      <w:r w:rsidRPr="00767FC2">
        <w:t xml:space="preserve">Some provisions of this determination apply special rules to projects that contain transferring project areas, and apply differently to restarting transferring projects and continuing transferring projects. These provisions are </w:t>
      </w:r>
      <w:r w:rsidR="001C6C61" w:rsidRPr="00767FC2">
        <w:t>principally</w:t>
      </w:r>
      <w:r w:rsidRPr="00767FC2">
        <w:t xml:space="preserve"> set out in this Division.</w:t>
      </w:r>
    </w:p>
    <w:p w14:paraId="382BD6D5" w14:textId="77777777" w:rsidR="006821CA" w:rsidRPr="00767FC2" w:rsidRDefault="001626C4" w:rsidP="006821CA">
      <w:pPr>
        <w:pStyle w:val="h5Section"/>
      </w:pPr>
      <w:bookmarkStart w:id="78" w:name="_Toc509567204"/>
      <w:proofErr w:type="gramStart"/>
      <w:r w:rsidRPr="00767FC2">
        <w:t>24</w:t>
      </w:r>
      <w:r w:rsidR="006821CA" w:rsidRPr="00767FC2">
        <w:t xml:space="preserve">  Meaning</w:t>
      </w:r>
      <w:proofErr w:type="gramEnd"/>
      <w:r w:rsidR="006821CA" w:rsidRPr="00767FC2">
        <w:t xml:space="preserve"> of </w:t>
      </w:r>
      <w:r w:rsidR="006821CA" w:rsidRPr="00767FC2">
        <w:rPr>
          <w:i/>
        </w:rPr>
        <w:t xml:space="preserve">transferring project area </w:t>
      </w:r>
      <w:r w:rsidR="006821CA" w:rsidRPr="00767FC2">
        <w:t>and related definitions</w:t>
      </w:r>
      <w:bookmarkEnd w:id="78"/>
    </w:p>
    <w:p w14:paraId="04DD762F" w14:textId="77777777" w:rsidR="00797534" w:rsidRPr="00767FC2" w:rsidRDefault="00797534" w:rsidP="00797534">
      <w:pPr>
        <w:pStyle w:val="ntoHeading"/>
      </w:pPr>
      <w:r w:rsidRPr="00767FC2">
        <w:t>Note:</w:t>
      </w:r>
      <w:r w:rsidRPr="00767FC2">
        <w:tab/>
        <w:t>This section sets out definitions for several terms that are relevant to:</w:t>
      </w:r>
    </w:p>
    <w:p w14:paraId="3F0BA385" w14:textId="77777777" w:rsidR="00797534" w:rsidRPr="00767FC2" w:rsidRDefault="00797534" w:rsidP="00797534">
      <w:pPr>
        <w:pStyle w:val="ntoHeading"/>
        <w:tabs>
          <w:tab w:val="left" w:pos="992"/>
        </w:tabs>
        <w:spacing w:before="40"/>
        <w:ind w:left="992" w:hanging="992"/>
      </w:pPr>
      <w:r w:rsidRPr="00767FC2">
        <w:tab/>
      </w:r>
      <w:r w:rsidRPr="00767FC2">
        <w:sym w:font="Symbol" w:char="F0B7"/>
      </w:r>
      <w:r w:rsidRPr="00767FC2">
        <w:tab/>
      </w:r>
      <w:proofErr w:type="gramStart"/>
      <w:r w:rsidRPr="00767FC2">
        <w:t>a</w:t>
      </w:r>
      <w:proofErr w:type="gramEnd"/>
      <w:r w:rsidRPr="00767FC2">
        <w:t xml:space="preserve"> project that was previously covered by:</w:t>
      </w:r>
    </w:p>
    <w:p w14:paraId="3C8CF2DE" w14:textId="77777777" w:rsidR="00797534" w:rsidRPr="00767FC2" w:rsidRDefault="00797534" w:rsidP="00797534">
      <w:pPr>
        <w:pStyle w:val="ntoHeading"/>
        <w:tabs>
          <w:tab w:val="left" w:pos="992"/>
          <w:tab w:val="left" w:pos="1276"/>
        </w:tabs>
        <w:spacing w:before="40"/>
        <w:ind w:left="992" w:hanging="992"/>
      </w:pPr>
      <w:r w:rsidRPr="00767FC2">
        <w:tab/>
      </w:r>
      <w:r w:rsidRPr="00767FC2">
        <w:tab/>
        <w:t>–</w:t>
      </w:r>
      <w:r w:rsidRPr="00767FC2">
        <w:tab/>
      </w:r>
      <w:proofErr w:type="gramStart"/>
      <w:r w:rsidRPr="00767FC2">
        <w:t>an</w:t>
      </w:r>
      <w:proofErr w:type="gramEnd"/>
      <w:r w:rsidRPr="00767FC2">
        <w:t xml:space="preserve"> earlier savanna emissions avoidance determination; or</w:t>
      </w:r>
    </w:p>
    <w:p w14:paraId="064E086B" w14:textId="77777777" w:rsidR="00797534" w:rsidRPr="00767FC2" w:rsidRDefault="00797534" w:rsidP="00797534">
      <w:pPr>
        <w:pStyle w:val="ntoHeading"/>
        <w:tabs>
          <w:tab w:val="left" w:pos="992"/>
          <w:tab w:val="left" w:pos="1276"/>
        </w:tabs>
        <w:spacing w:before="40"/>
        <w:ind w:left="992" w:hanging="992"/>
      </w:pPr>
      <w:r w:rsidRPr="00767FC2">
        <w:tab/>
      </w:r>
      <w:r w:rsidRPr="00767FC2">
        <w:tab/>
        <w:t>–</w:t>
      </w:r>
      <w:r w:rsidRPr="00767FC2">
        <w:tab/>
      </w:r>
      <w:proofErr w:type="gramStart"/>
      <w:r w:rsidRPr="00767FC2">
        <w:t>a</w:t>
      </w:r>
      <w:proofErr w:type="gramEnd"/>
      <w:r w:rsidRPr="00767FC2">
        <w:t xml:space="preserve"> savanna sequestration determination; or</w:t>
      </w:r>
    </w:p>
    <w:p w14:paraId="7AA59535" w14:textId="77777777" w:rsidR="00797534" w:rsidRPr="00767FC2" w:rsidRDefault="00797534" w:rsidP="00797534">
      <w:pPr>
        <w:pStyle w:val="ntoHeading"/>
        <w:tabs>
          <w:tab w:val="left" w:pos="992"/>
        </w:tabs>
        <w:spacing w:before="40"/>
        <w:ind w:left="992" w:hanging="992"/>
      </w:pPr>
      <w:r w:rsidRPr="00767FC2">
        <w:tab/>
      </w:r>
      <w:r w:rsidRPr="00767FC2">
        <w:sym w:font="Symbol" w:char="F0B7"/>
      </w:r>
      <w:r w:rsidRPr="00767FC2">
        <w:tab/>
      </w:r>
      <w:proofErr w:type="gramStart"/>
      <w:r w:rsidRPr="00767FC2">
        <w:t>a</w:t>
      </w:r>
      <w:proofErr w:type="gramEnd"/>
      <w:r w:rsidRPr="00767FC2">
        <w:t xml:space="preserve"> project that contains a project area that was previously part of:</w:t>
      </w:r>
    </w:p>
    <w:p w14:paraId="3D5A1621" w14:textId="77777777" w:rsidR="00797534" w:rsidRPr="00767FC2" w:rsidRDefault="00797534" w:rsidP="00797534">
      <w:pPr>
        <w:pStyle w:val="ntoHeading"/>
        <w:tabs>
          <w:tab w:val="left" w:pos="992"/>
          <w:tab w:val="left" w:pos="1276"/>
        </w:tabs>
        <w:spacing w:before="40"/>
        <w:ind w:left="992" w:hanging="992"/>
      </w:pPr>
      <w:r w:rsidRPr="00767FC2">
        <w:tab/>
      </w:r>
      <w:r w:rsidRPr="00767FC2">
        <w:tab/>
        <w:t>–</w:t>
      </w:r>
      <w:r w:rsidRPr="00767FC2">
        <w:tab/>
      </w:r>
      <w:proofErr w:type="gramStart"/>
      <w:r w:rsidRPr="00767FC2">
        <w:t>a</w:t>
      </w:r>
      <w:proofErr w:type="gramEnd"/>
      <w:r w:rsidRPr="00767FC2">
        <w:t xml:space="preserve"> project covered by a savanna sequestration determination; or</w:t>
      </w:r>
    </w:p>
    <w:p w14:paraId="440FBDD7" w14:textId="77777777" w:rsidR="00C1382B" w:rsidRPr="00767FC2" w:rsidRDefault="00797534" w:rsidP="00C1382B">
      <w:pPr>
        <w:pStyle w:val="ntoHeading"/>
        <w:tabs>
          <w:tab w:val="left" w:pos="992"/>
          <w:tab w:val="left" w:pos="1276"/>
        </w:tabs>
        <w:spacing w:before="40"/>
        <w:ind w:left="992" w:hanging="992"/>
      </w:pPr>
      <w:r w:rsidRPr="00767FC2">
        <w:tab/>
      </w:r>
      <w:r w:rsidRPr="00767FC2">
        <w:tab/>
      </w:r>
      <w:r w:rsidR="00C1382B" w:rsidRPr="00767FC2">
        <w:t>–</w:t>
      </w:r>
      <w:r w:rsidR="00C1382B" w:rsidRPr="00767FC2">
        <w:tab/>
      </w:r>
      <w:proofErr w:type="gramStart"/>
      <w:r w:rsidR="00C1382B" w:rsidRPr="00767FC2">
        <w:t>a</w:t>
      </w:r>
      <w:proofErr w:type="gramEnd"/>
      <w:r w:rsidR="00C1382B" w:rsidRPr="00767FC2">
        <w:t xml:space="preserve"> project covered by an earlier savanna emissions avoidance determination; or</w:t>
      </w:r>
    </w:p>
    <w:p w14:paraId="2AF2B062" w14:textId="77777777" w:rsidR="00797534" w:rsidRPr="00767FC2" w:rsidRDefault="00C1382B" w:rsidP="00797534">
      <w:pPr>
        <w:pStyle w:val="ntoHeading"/>
        <w:tabs>
          <w:tab w:val="left" w:pos="992"/>
          <w:tab w:val="left" w:pos="1276"/>
        </w:tabs>
        <w:spacing w:before="40"/>
        <w:ind w:left="992" w:hanging="992"/>
      </w:pPr>
      <w:r w:rsidRPr="00767FC2">
        <w:tab/>
      </w:r>
      <w:r w:rsidRPr="00767FC2">
        <w:tab/>
      </w:r>
      <w:r w:rsidR="00797534" w:rsidRPr="00767FC2">
        <w:t>–</w:t>
      </w:r>
      <w:r w:rsidR="00797534" w:rsidRPr="00767FC2">
        <w:tab/>
      </w:r>
      <w:proofErr w:type="gramStart"/>
      <w:r w:rsidR="00797534" w:rsidRPr="00767FC2">
        <w:t>another</w:t>
      </w:r>
      <w:proofErr w:type="gramEnd"/>
      <w:r w:rsidR="00797534" w:rsidRPr="00767FC2">
        <w:t xml:space="preserve"> project covered by this determination.</w:t>
      </w:r>
    </w:p>
    <w:p w14:paraId="3B6559D2" w14:textId="77777777" w:rsidR="00797534" w:rsidRPr="00767FC2" w:rsidRDefault="00797534" w:rsidP="00797534">
      <w:pPr>
        <w:pStyle w:val="ntoHeading"/>
      </w:pPr>
      <w:r w:rsidRPr="00767FC2">
        <w:tab/>
        <w:t xml:space="preserve">Each such project contains at least one </w:t>
      </w:r>
      <w:r w:rsidRPr="00767FC2">
        <w:rPr>
          <w:b/>
          <w:i/>
        </w:rPr>
        <w:t>transferring project area</w:t>
      </w:r>
      <w:r w:rsidRPr="00767FC2">
        <w:t>. This Division makes special rules for transferring project areas.</w:t>
      </w:r>
    </w:p>
    <w:p w14:paraId="3A33AC4C" w14:textId="77777777" w:rsidR="004D734A" w:rsidRPr="00767FC2" w:rsidRDefault="004D734A" w:rsidP="004D734A">
      <w:pPr>
        <w:pStyle w:val="ntoHeading"/>
      </w:pPr>
      <w:r w:rsidRPr="00767FC2">
        <w:tab/>
        <w:t xml:space="preserve">A project that contains a transferring project area might, depending on the circumstances, be a </w:t>
      </w:r>
      <w:r w:rsidRPr="00767FC2">
        <w:rPr>
          <w:b/>
          <w:i/>
        </w:rPr>
        <w:t>continuing transferring project</w:t>
      </w:r>
      <w:r w:rsidRPr="00767FC2">
        <w:t xml:space="preserve"> or a </w:t>
      </w:r>
      <w:r w:rsidRPr="00767FC2">
        <w:rPr>
          <w:b/>
          <w:i/>
        </w:rPr>
        <w:t>restarting transferring project</w:t>
      </w:r>
      <w:r w:rsidRPr="00767FC2">
        <w:t xml:space="preserve">, or it might be neither. This Division makes special rules </w:t>
      </w:r>
      <w:r w:rsidR="00AB3C72" w:rsidRPr="00767FC2">
        <w:t>for</w:t>
      </w:r>
      <w:r w:rsidRPr="00767FC2">
        <w:t xml:space="preserve"> continuing transferring projects and restarting transferring projects.</w:t>
      </w:r>
    </w:p>
    <w:p w14:paraId="6B65C5BC" w14:textId="77777777" w:rsidR="006821CA" w:rsidRPr="00767FC2" w:rsidRDefault="006821CA" w:rsidP="006821CA">
      <w:pPr>
        <w:pStyle w:val="h6Subsec"/>
        <w:rPr>
          <w:b/>
        </w:rPr>
      </w:pPr>
      <w:r w:rsidRPr="00767FC2">
        <w:lastRenderedPageBreak/>
        <w:t xml:space="preserve">Meaning of </w:t>
      </w:r>
      <w:r w:rsidRPr="00767FC2">
        <w:rPr>
          <w:b/>
        </w:rPr>
        <w:t xml:space="preserve">transferring project area </w:t>
      </w:r>
      <w:r w:rsidRPr="00767FC2">
        <w:t xml:space="preserve">and </w:t>
      </w:r>
      <w:r w:rsidRPr="00767FC2">
        <w:rPr>
          <w:b/>
        </w:rPr>
        <w:t>former determination</w:t>
      </w:r>
    </w:p>
    <w:p w14:paraId="3A5FAD3E" w14:textId="77777777" w:rsidR="006821CA" w:rsidRPr="00767FC2" w:rsidRDefault="006821CA" w:rsidP="006821CA">
      <w:pPr>
        <w:pStyle w:val="tMain"/>
      </w:pPr>
      <w:r w:rsidRPr="00767FC2">
        <w:tab/>
      </w:r>
      <w:r w:rsidR="001626C4" w:rsidRPr="00767FC2">
        <w:t>(1)</w:t>
      </w:r>
      <w:r w:rsidRPr="00767FC2">
        <w:tab/>
        <w:t xml:space="preserve">A project area of a savanna </w:t>
      </w:r>
      <w:r w:rsidR="00EE65A9" w:rsidRPr="00767FC2">
        <w:t xml:space="preserve">emissions avoidance </w:t>
      </w:r>
      <w:r w:rsidRPr="00767FC2">
        <w:t xml:space="preserve">project is a </w:t>
      </w:r>
      <w:r w:rsidRPr="00767FC2">
        <w:rPr>
          <w:b/>
          <w:i/>
        </w:rPr>
        <w:t xml:space="preserve">transferring project area </w:t>
      </w:r>
      <w:r w:rsidRPr="00767FC2">
        <w:t>if, immediately before it was a project area of a project covered by this determination, it was a project area of:</w:t>
      </w:r>
    </w:p>
    <w:p w14:paraId="0385E564" w14:textId="77777777" w:rsidR="006821CA" w:rsidRPr="00767FC2" w:rsidRDefault="006821CA" w:rsidP="006821CA">
      <w:pPr>
        <w:pStyle w:val="tPara"/>
      </w:pPr>
      <w:r w:rsidRPr="00767FC2">
        <w:tab/>
      </w:r>
      <w:r w:rsidR="001626C4" w:rsidRPr="00767FC2">
        <w:t>(a)</w:t>
      </w:r>
      <w:r w:rsidRPr="00767FC2">
        <w:tab/>
      </w:r>
      <w:proofErr w:type="gramStart"/>
      <w:r w:rsidRPr="00767FC2">
        <w:t>a</w:t>
      </w:r>
      <w:proofErr w:type="gramEnd"/>
      <w:r w:rsidRPr="00767FC2">
        <w:t xml:space="preserve"> project covered by a</w:t>
      </w:r>
      <w:r w:rsidR="00644BFC" w:rsidRPr="00767FC2">
        <w:t xml:space="preserve">n earlier </w:t>
      </w:r>
      <w:r w:rsidRPr="00767FC2">
        <w:t>savanna emissions avoidance determination; or</w:t>
      </w:r>
    </w:p>
    <w:p w14:paraId="42BDD3D7" w14:textId="77777777" w:rsidR="00644BFC" w:rsidRPr="00767FC2" w:rsidRDefault="00644BFC" w:rsidP="00644BFC">
      <w:pPr>
        <w:pStyle w:val="tPara"/>
      </w:pPr>
      <w:r w:rsidRPr="00767FC2">
        <w:tab/>
      </w:r>
      <w:r w:rsidR="001626C4" w:rsidRPr="00767FC2">
        <w:t>(b)</w:t>
      </w:r>
      <w:r w:rsidRPr="00767FC2">
        <w:tab/>
      </w:r>
      <w:proofErr w:type="gramStart"/>
      <w:r w:rsidRPr="00767FC2">
        <w:t>a</w:t>
      </w:r>
      <w:proofErr w:type="gramEnd"/>
      <w:r w:rsidRPr="00767FC2">
        <w:t xml:space="preserve"> project covered by a savanna sequestration determination; or</w:t>
      </w:r>
    </w:p>
    <w:p w14:paraId="0774C6E3" w14:textId="77777777" w:rsidR="006821CA" w:rsidRPr="00767FC2" w:rsidRDefault="006821CA" w:rsidP="006821CA">
      <w:pPr>
        <w:pStyle w:val="tPara"/>
      </w:pPr>
      <w:r w:rsidRPr="00767FC2">
        <w:tab/>
      </w:r>
      <w:r w:rsidR="001626C4" w:rsidRPr="00767FC2">
        <w:t>(c)</w:t>
      </w:r>
      <w:r w:rsidRPr="00767FC2">
        <w:tab/>
      </w:r>
      <w:proofErr w:type="gramStart"/>
      <w:r w:rsidRPr="00767FC2">
        <w:t>a</w:t>
      </w:r>
      <w:proofErr w:type="gramEnd"/>
      <w:r w:rsidRPr="00767FC2">
        <w:t xml:space="preserve"> different project covered by this determination.</w:t>
      </w:r>
    </w:p>
    <w:p w14:paraId="25FE9589" w14:textId="77777777" w:rsidR="00624735" w:rsidRPr="00767FC2" w:rsidRDefault="00624735" w:rsidP="00624735">
      <w:pPr>
        <w:pStyle w:val="nMain"/>
      </w:pPr>
      <w:r w:rsidRPr="00767FC2">
        <w:t>Note:</w:t>
      </w:r>
      <w:r w:rsidRPr="00767FC2">
        <w:tab/>
        <w:t>Subsection </w:t>
      </w:r>
      <w:r w:rsidR="00964086" w:rsidRPr="00767FC2">
        <w:t>(1)</w:t>
      </w:r>
      <w:r w:rsidRPr="00767FC2">
        <w:t xml:space="preserve"> is modified in some cases if the requirement in lieu of the newness requirement set out in paragraph </w:t>
      </w:r>
      <w:r w:rsidR="00964086" w:rsidRPr="00767FC2">
        <w:t>21(2</w:t>
      </w:r>
      <w:proofErr w:type="gramStart"/>
      <w:r w:rsidR="00964086" w:rsidRPr="00767FC2">
        <w:t>)(</w:t>
      </w:r>
      <w:proofErr w:type="gramEnd"/>
      <w:r w:rsidR="00964086" w:rsidRPr="00767FC2">
        <w:t>c)</w:t>
      </w:r>
      <w:r w:rsidRPr="00767FC2">
        <w:t xml:space="preserve"> was met. See paragraph </w:t>
      </w:r>
      <w:r w:rsidR="00964086" w:rsidRPr="00767FC2">
        <w:t>21(3</w:t>
      </w:r>
      <w:proofErr w:type="gramStart"/>
      <w:r w:rsidR="00964086" w:rsidRPr="00767FC2">
        <w:t>)(</w:t>
      </w:r>
      <w:proofErr w:type="gramEnd"/>
      <w:r w:rsidR="00964086" w:rsidRPr="00767FC2">
        <w:t>b)</w:t>
      </w:r>
      <w:r w:rsidRPr="00767FC2">
        <w:t>.</w:t>
      </w:r>
    </w:p>
    <w:p w14:paraId="32BB5C8C" w14:textId="77777777" w:rsidR="006821CA" w:rsidRPr="00767FC2" w:rsidRDefault="006821CA" w:rsidP="006821CA">
      <w:pPr>
        <w:pStyle w:val="tMain"/>
      </w:pPr>
      <w:r w:rsidRPr="00767FC2">
        <w:tab/>
      </w:r>
      <w:r w:rsidR="001626C4" w:rsidRPr="00767FC2">
        <w:t>(2)</w:t>
      </w:r>
      <w:r w:rsidRPr="00767FC2">
        <w:tab/>
        <w:t xml:space="preserve">The methodology determination that applied to the project to which the transferring project area </w:t>
      </w:r>
      <w:r w:rsidR="00CF2982" w:rsidRPr="00767FC2">
        <w:t xml:space="preserve">most recently </w:t>
      </w:r>
      <w:r w:rsidRPr="00767FC2">
        <w:t xml:space="preserve">belonged is the </w:t>
      </w:r>
      <w:r w:rsidRPr="00767FC2">
        <w:rPr>
          <w:b/>
          <w:i/>
        </w:rPr>
        <w:t xml:space="preserve">former determination </w:t>
      </w:r>
      <w:r w:rsidRPr="00767FC2">
        <w:t>for the transferring project area.</w:t>
      </w:r>
    </w:p>
    <w:p w14:paraId="58DA2E0A" w14:textId="77777777" w:rsidR="006821CA" w:rsidRPr="00767FC2" w:rsidRDefault="006821CA" w:rsidP="006821CA">
      <w:pPr>
        <w:pStyle w:val="h6Subsec"/>
        <w:rPr>
          <w:b/>
        </w:rPr>
      </w:pPr>
      <w:r w:rsidRPr="00767FC2">
        <w:t xml:space="preserve">Meaning of </w:t>
      </w:r>
      <w:r w:rsidRPr="00767FC2">
        <w:rPr>
          <w:b/>
        </w:rPr>
        <w:t>continuing transferring project</w:t>
      </w:r>
      <w:r w:rsidRPr="00767FC2">
        <w:t xml:space="preserve"> and</w:t>
      </w:r>
      <w:r w:rsidRPr="00767FC2">
        <w:rPr>
          <w:b/>
        </w:rPr>
        <w:t xml:space="preserve"> restarting transferring project</w:t>
      </w:r>
    </w:p>
    <w:p w14:paraId="452524E7" w14:textId="77777777" w:rsidR="006821CA" w:rsidRPr="00767FC2" w:rsidRDefault="006821CA" w:rsidP="006821CA">
      <w:pPr>
        <w:pStyle w:val="tMain"/>
      </w:pPr>
      <w:r w:rsidRPr="00767FC2">
        <w:tab/>
      </w:r>
      <w:r w:rsidR="001626C4" w:rsidRPr="00767FC2">
        <w:t>(3)</w:t>
      </w:r>
      <w:r w:rsidRPr="00767FC2">
        <w:tab/>
        <w:t>In this determination:</w:t>
      </w:r>
    </w:p>
    <w:p w14:paraId="3D0581A4" w14:textId="77777777" w:rsidR="006821CA" w:rsidRPr="00767FC2" w:rsidRDefault="006821CA" w:rsidP="006821CA">
      <w:pPr>
        <w:pStyle w:val="tDefn"/>
      </w:pPr>
      <w:proofErr w:type="gramStart"/>
      <w:r w:rsidRPr="00767FC2">
        <w:rPr>
          <w:b/>
          <w:i/>
        </w:rPr>
        <w:t>continuing</w:t>
      </w:r>
      <w:proofErr w:type="gramEnd"/>
      <w:r w:rsidRPr="00767FC2">
        <w:rPr>
          <w:b/>
          <w:i/>
        </w:rPr>
        <w:t xml:space="preserve"> transferring project</w:t>
      </w:r>
      <w:r w:rsidRPr="00767FC2">
        <w:t xml:space="preserve">: a savanna </w:t>
      </w:r>
      <w:r w:rsidR="00EE65A9" w:rsidRPr="00767FC2">
        <w:t xml:space="preserve">emissions avoidance </w:t>
      </w:r>
      <w:r w:rsidRPr="00767FC2">
        <w:t xml:space="preserve">project is a </w:t>
      </w:r>
      <w:r w:rsidRPr="00767FC2">
        <w:rPr>
          <w:b/>
          <w:i/>
        </w:rPr>
        <w:t>continuing transferring project</w:t>
      </w:r>
      <w:r w:rsidRPr="00767FC2">
        <w:t xml:space="preserve"> if:</w:t>
      </w:r>
    </w:p>
    <w:p w14:paraId="174B549C" w14:textId="77777777" w:rsidR="006821CA" w:rsidRPr="00767FC2" w:rsidRDefault="006821CA" w:rsidP="006821CA">
      <w:pPr>
        <w:pStyle w:val="tPara"/>
      </w:pPr>
      <w:r w:rsidRPr="00767FC2">
        <w:tab/>
        <w:t>(a)</w:t>
      </w:r>
      <w:r w:rsidRPr="00767FC2">
        <w:tab/>
      </w:r>
      <w:proofErr w:type="gramStart"/>
      <w:r w:rsidRPr="00767FC2">
        <w:t>when</w:t>
      </w:r>
      <w:proofErr w:type="gramEnd"/>
      <w:r w:rsidRPr="00767FC2">
        <w:t xml:space="preserve"> this determination first applied to the project, one of its project areas wa</w:t>
      </w:r>
      <w:r w:rsidR="00CF2982" w:rsidRPr="00767FC2">
        <w:t xml:space="preserve">s a transferring project area; </w:t>
      </w:r>
      <w:r w:rsidRPr="00767FC2">
        <w:t>and</w:t>
      </w:r>
    </w:p>
    <w:p w14:paraId="3FF9AAF4" w14:textId="77777777" w:rsidR="006821CA" w:rsidRPr="00767FC2" w:rsidRDefault="006821CA" w:rsidP="006821CA">
      <w:pPr>
        <w:pStyle w:val="tPara"/>
      </w:pPr>
      <w:r w:rsidRPr="00767FC2">
        <w:tab/>
        <w:t>(</w:t>
      </w:r>
      <w:r w:rsidR="00095B09" w:rsidRPr="00767FC2">
        <w:t>b</w:t>
      </w:r>
      <w:r w:rsidRPr="00767FC2">
        <w:t>)</w:t>
      </w:r>
      <w:r w:rsidRPr="00767FC2">
        <w:tab/>
      </w:r>
      <w:proofErr w:type="gramStart"/>
      <w:r w:rsidRPr="00767FC2">
        <w:t>the</w:t>
      </w:r>
      <w:proofErr w:type="gramEnd"/>
      <w:r w:rsidRPr="00767FC2">
        <w:t xml:space="preserve"> Regulator approved the application of this determination to the project under section 130 of the Act.</w:t>
      </w:r>
    </w:p>
    <w:p w14:paraId="68203B03" w14:textId="77777777" w:rsidR="00095B09" w:rsidRPr="00767FC2" w:rsidRDefault="00095B09" w:rsidP="00095B09">
      <w:pPr>
        <w:pStyle w:val="nMain"/>
        <w:rPr>
          <w:i/>
        </w:rPr>
      </w:pPr>
      <w:r w:rsidRPr="00767FC2">
        <w:t>Note:</w:t>
      </w:r>
      <w:r w:rsidRPr="00767FC2">
        <w:tab/>
        <w:t xml:space="preserve">Before the commencement of the </w:t>
      </w:r>
      <w:r w:rsidRPr="00767FC2">
        <w:rPr>
          <w:i/>
        </w:rPr>
        <w:t xml:space="preserve">Carbon Credits (Carbon Farming Initiative) Amendment Act </w:t>
      </w:r>
      <w:r w:rsidR="00D32953" w:rsidRPr="00767FC2">
        <w:rPr>
          <w:i/>
        </w:rPr>
        <w:t>2018</w:t>
      </w:r>
      <w:r w:rsidRPr="00767FC2">
        <w:t xml:space="preserve">, the former determination for the transferring project area can be </w:t>
      </w:r>
      <w:r w:rsidR="0026488C" w:rsidRPr="00767FC2">
        <w:t xml:space="preserve">only </w:t>
      </w:r>
      <w:r w:rsidRPr="00767FC2">
        <w:t>an earlier savanna emissions avoidance determination. After the commencement of that Act, the former determination can be either an earlier savanna emissions avoidance determination or a savanna sequestration determination. See subsections </w:t>
      </w:r>
      <w:r w:rsidR="00964086" w:rsidRPr="00767FC2">
        <w:t>11(3)</w:t>
      </w:r>
      <w:r w:rsidRPr="00767FC2">
        <w:t xml:space="preserve"> and </w:t>
      </w:r>
      <w:r w:rsidR="00964086" w:rsidRPr="00767FC2">
        <w:t>(4)</w:t>
      </w:r>
      <w:r w:rsidRPr="00767FC2">
        <w:t>.</w:t>
      </w:r>
    </w:p>
    <w:p w14:paraId="3784E344" w14:textId="77777777" w:rsidR="006821CA" w:rsidRPr="00767FC2" w:rsidRDefault="006821CA" w:rsidP="006821CA">
      <w:pPr>
        <w:pStyle w:val="tDefn"/>
      </w:pPr>
      <w:proofErr w:type="gramStart"/>
      <w:r w:rsidRPr="00767FC2">
        <w:rPr>
          <w:b/>
          <w:i/>
        </w:rPr>
        <w:t>restarting</w:t>
      </w:r>
      <w:proofErr w:type="gramEnd"/>
      <w:r w:rsidRPr="00767FC2">
        <w:rPr>
          <w:b/>
          <w:i/>
        </w:rPr>
        <w:t xml:space="preserve"> transferring project</w:t>
      </w:r>
      <w:r w:rsidRPr="00767FC2">
        <w:t xml:space="preserve">: a savanna </w:t>
      </w:r>
      <w:r w:rsidR="00EE65A9" w:rsidRPr="00767FC2">
        <w:t xml:space="preserve">emissions avoidance </w:t>
      </w:r>
      <w:r w:rsidRPr="00767FC2">
        <w:t xml:space="preserve">project is a </w:t>
      </w:r>
      <w:r w:rsidRPr="00767FC2">
        <w:rPr>
          <w:b/>
          <w:i/>
        </w:rPr>
        <w:t>restarting transferring project</w:t>
      </w:r>
      <w:r w:rsidRPr="00767FC2">
        <w:t xml:space="preserve"> if:</w:t>
      </w:r>
    </w:p>
    <w:p w14:paraId="000F873E" w14:textId="77777777" w:rsidR="006821CA" w:rsidRPr="00767FC2" w:rsidRDefault="006821CA" w:rsidP="006821CA">
      <w:pPr>
        <w:pStyle w:val="tPara"/>
      </w:pPr>
      <w:r w:rsidRPr="00767FC2">
        <w:tab/>
        <w:t>(a)</w:t>
      </w:r>
      <w:r w:rsidRPr="00767FC2">
        <w:tab/>
      </w:r>
      <w:proofErr w:type="gramStart"/>
      <w:r w:rsidRPr="00767FC2">
        <w:t>when</w:t>
      </w:r>
      <w:proofErr w:type="gramEnd"/>
      <w:r w:rsidRPr="00767FC2">
        <w:t xml:space="preserve"> the project was first declared eligible, one of its project areas was a transferring project area; and</w:t>
      </w:r>
    </w:p>
    <w:p w14:paraId="6EC3F956" w14:textId="77777777" w:rsidR="006821CA" w:rsidRPr="00767FC2" w:rsidRDefault="006821CA" w:rsidP="006821CA">
      <w:pPr>
        <w:pStyle w:val="tPara"/>
      </w:pPr>
      <w:r w:rsidRPr="00767FC2">
        <w:tab/>
        <w:t>(b)</w:t>
      </w:r>
      <w:r w:rsidRPr="00767FC2">
        <w:tab/>
      </w:r>
      <w:proofErr w:type="gramStart"/>
      <w:r w:rsidRPr="00767FC2">
        <w:t>the</w:t>
      </w:r>
      <w:proofErr w:type="gramEnd"/>
      <w:r w:rsidRPr="00767FC2">
        <w:t xml:space="preserve"> former determination for the project area was a savanna sequestration determination; and</w:t>
      </w:r>
    </w:p>
    <w:p w14:paraId="6F4151B3" w14:textId="77777777" w:rsidR="006821CA" w:rsidRPr="00767FC2" w:rsidRDefault="006821CA" w:rsidP="006821CA">
      <w:pPr>
        <w:pStyle w:val="tPara"/>
      </w:pPr>
      <w:r w:rsidRPr="00767FC2">
        <w:tab/>
        <w:t>(c)</w:t>
      </w:r>
      <w:r w:rsidRPr="00767FC2">
        <w:tab/>
      </w:r>
      <w:proofErr w:type="gramStart"/>
      <w:r w:rsidRPr="00767FC2">
        <w:t>before</w:t>
      </w:r>
      <w:proofErr w:type="gramEnd"/>
      <w:r w:rsidRPr="00767FC2">
        <w:t xml:space="preserve"> declaring the project an eligible offsets project, the Regulator </w:t>
      </w:r>
      <w:r w:rsidR="00A30E12" w:rsidRPr="00767FC2">
        <w:t xml:space="preserve">either </w:t>
      </w:r>
      <w:r w:rsidRPr="00767FC2">
        <w:t xml:space="preserve">revoked the section 27 declaration of the project </w:t>
      </w:r>
      <w:r w:rsidR="00BD0031" w:rsidRPr="00767FC2">
        <w:t>to which the project area previously belonged</w:t>
      </w:r>
      <w:r w:rsidRPr="00767FC2">
        <w:t>, or amended it to remove the transferring project area.</w:t>
      </w:r>
    </w:p>
    <w:p w14:paraId="37E83870" w14:textId="77777777" w:rsidR="006821CA" w:rsidRPr="00767FC2" w:rsidRDefault="001626C4" w:rsidP="006821CA">
      <w:pPr>
        <w:pStyle w:val="h5Section"/>
      </w:pPr>
      <w:bookmarkStart w:id="79" w:name="_Toc478739837"/>
      <w:bookmarkStart w:id="80" w:name="_Toc509567205"/>
      <w:proofErr w:type="gramStart"/>
      <w:r w:rsidRPr="00767FC2">
        <w:t>25</w:t>
      </w:r>
      <w:r w:rsidR="006821CA" w:rsidRPr="00767FC2">
        <w:t xml:space="preserve">  Eligibility</w:t>
      </w:r>
      <w:proofErr w:type="gramEnd"/>
      <w:r w:rsidR="006821CA" w:rsidRPr="00767FC2">
        <w:t xml:space="preserve"> requirements for projects with transferring project areas</w:t>
      </w:r>
      <w:bookmarkEnd w:id="79"/>
      <w:bookmarkEnd w:id="80"/>
    </w:p>
    <w:p w14:paraId="62C9F6A1" w14:textId="77777777" w:rsidR="006821CA" w:rsidRPr="00767FC2" w:rsidRDefault="006821CA" w:rsidP="006821CA">
      <w:pPr>
        <w:pStyle w:val="h6Subsec"/>
      </w:pPr>
      <w:r w:rsidRPr="00767FC2">
        <w:t>Eligibility requirements—all projects that have a transferring project area</w:t>
      </w:r>
    </w:p>
    <w:p w14:paraId="79076570" w14:textId="77777777" w:rsidR="00393814" w:rsidRPr="00767FC2" w:rsidRDefault="00393814" w:rsidP="00393814">
      <w:pPr>
        <w:pStyle w:val="tMain"/>
      </w:pPr>
      <w:r w:rsidRPr="00767FC2">
        <w:tab/>
      </w:r>
      <w:r w:rsidR="001626C4" w:rsidRPr="00767FC2">
        <w:t>(1)</w:t>
      </w:r>
      <w:r w:rsidRPr="00767FC2">
        <w:tab/>
        <w:t xml:space="preserve">If one or more project areas of a savanna </w:t>
      </w:r>
      <w:r w:rsidR="004A3A21" w:rsidRPr="00767FC2">
        <w:t xml:space="preserve">emissions avoidance </w:t>
      </w:r>
      <w:r w:rsidRPr="00767FC2">
        <w:t>project are transferring project areas, for each such project area, the following must be consecutive years:</w:t>
      </w:r>
    </w:p>
    <w:p w14:paraId="2BCB698F" w14:textId="77777777" w:rsidR="00393814" w:rsidRPr="00767FC2" w:rsidRDefault="00393814" w:rsidP="00393814">
      <w:pPr>
        <w:pStyle w:val="tPara"/>
      </w:pPr>
      <w:r w:rsidRPr="00767FC2">
        <w:tab/>
      </w:r>
      <w:r w:rsidR="001626C4" w:rsidRPr="00767FC2">
        <w:t>(a)</w:t>
      </w:r>
      <w:r w:rsidRPr="00767FC2">
        <w:tab/>
      </w:r>
      <w:proofErr w:type="gramStart"/>
      <w:r w:rsidRPr="00767FC2">
        <w:t>the</w:t>
      </w:r>
      <w:proofErr w:type="gramEnd"/>
      <w:r w:rsidRPr="00767FC2">
        <w:t xml:space="preserve"> final calendar year for which the project area was reported on under the former determination for the project area;</w:t>
      </w:r>
    </w:p>
    <w:p w14:paraId="359D4DC5" w14:textId="77777777" w:rsidR="00393814" w:rsidRPr="00767FC2" w:rsidRDefault="00393814" w:rsidP="00393814">
      <w:pPr>
        <w:pStyle w:val="tPara"/>
      </w:pPr>
      <w:r w:rsidRPr="00767FC2">
        <w:tab/>
      </w:r>
      <w:r w:rsidR="001626C4" w:rsidRPr="00767FC2">
        <w:t>(b)</w:t>
      </w:r>
      <w:r w:rsidRPr="00767FC2">
        <w:tab/>
      </w:r>
      <w:proofErr w:type="gramStart"/>
      <w:r w:rsidRPr="00767FC2">
        <w:t>the</w:t>
      </w:r>
      <w:proofErr w:type="gramEnd"/>
      <w:r w:rsidRPr="00767FC2">
        <w:t xml:space="preserve"> first calendar year for which the project area was reported on under this determination.</w:t>
      </w:r>
    </w:p>
    <w:p w14:paraId="6EBD4898" w14:textId="77777777" w:rsidR="006821CA" w:rsidRPr="00767FC2" w:rsidRDefault="006821CA" w:rsidP="006821CA">
      <w:pPr>
        <w:pStyle w:val="h6Subsec"/>
      </w:pPr>
      <w:r w:rsidRPr="00767FC2">
        <w:t>Eligibility requirements—restarting transferring projects</w:t>
      </w:r>
    </w:p>
    <w:p w14:paraId="6E96DABD" w14:textId="77777777" w:rsidR="006821CA" w:rsidRPr="00767FC2" w:rsidRDefault="006821CA" w:rsidP="006821CA">
      <w:pPr>
        <w:pStyle w:val="tMain"/>
      </w:pPr>
      <w:r w:rsidRPr="00767FC2">
        <w:tab/>
      </w:r>
      <w:r w:rsidR="001626C4" w:rsidRPr="00767FC2">
        <w:t>(2)</w:t>
      </w:r>
      <w:r w:rsidRPr="00767FC2">
        <w:tab/>
        <w:t>A savanna emissions avoidance project is not an eligible offsets project if:</w:t>
      </w:r>
    </w:p>
    <w:p w14:paraId="2C5277AD" w14:textId="77777777" w:rsidR="006821CA" w:rsidRPr="00767FC2" w:rsidRDefault="006821CA" w:rsidP="006821CA">
      <w:pPr>
        <w:pStyle w:val="tPara"/>
      </w:pPr>
      <w:r w:rsidRPr="00767FC2">
        <w:lastRenderedPageBreak/>
        <w:tab/>
      </w:r>
      <w:r w:rsidR="001626C4" w:rsidRPr="00767FC2">
        <w:t>(a)</w:t>
      </w:r>
      <w:r w:rsidRPr="00767FC2">
        <w:tab/>
      </w:r>
      <w:proofErr w:type="gramStart"/>
      <w:r w:rsidRPr="00767FC2">
        <w:t>the</w:t>
      </w:r>
      <w:proofErr w:type="gramEnd"/>
      <w:r w:rsidRPr="00767FC2">
        <w:t xml:space="preserve"> project is a restarting transferring project; and</w:t>
      </w:r>
    </w:p>
    <w:p w14:paraId="72C5FACA" w14:textId="77777777" w:rsidR="006821CA" w:rsidRPr="00767FC2" w:rsidRDefault="006821CA" w:rsidP="006821CA">
      <w:pPr>
        <w:pStyle w:val="tPara"/>
      </w:pPr>
      <w:r w:rsidRPr="00767FC2">
        <w:tab/>
      </w:r>
      <w:r w:rsidR="001626C4" w:rsidRPr="00767FC2">
        <w:t>(b)</w:t>
      </w:r>
      <w:r w:rsidRPr="00767FC2">
        <w:tab/>
      </w:r>
      <w:proofErr w:type="gramStart"/>
      <w:r w:rsidRPr="00767FC2">
        <w:t>for</w:t>
      </w:r>
      <w:proofErr w:type="gramEnd"/>
      <w:r w:rsidRPr="00767FC2">
        <w:t xml:space="preserve"> each transferring project area identified on the section 27 declaration when the project was declared eligible, the former determination is not a savanna sequestration determination.</w:t>
      </w:r>
    </w:p>
    <w:p w14:paraId="30331A82" w14:textId="77777777" w:rsidR="00941501" w:rsidRPr="00767FC2" w:rsidRDefault="00941501" w:rsidP="00941501">
      <w:pPr>
        <w:pStyle w:val="h6Subsec"/>
      </w:pPr>
      <w:bookmarkStart w:id="81" w:name="_Toc483306128"/>
      <w:r w:rsidRPr="00767FC2">
        <w:t>Eligibility requirements—requirements relating to project areas</w:t>
      </w:r>
    </w:p>
    <w:p w14:paraId="338CC245" w14:textId="77777777" w:rsidR="00941501" w:rsidRPr="00767FC2" w:rsidRDefault="00941501" w:rsidP="00941501">
      <w:pPr>
        <w:pStyle w:val="tMain"/>
      </w:pPr>
      <w:r w:rsidRPr="00767FC2">
        <w:tab/>
        <w:t>(3)</w:t>
      </w:r>
      <w:r w:rsidRPr="00767FC2">
        <w:tab/>
        <w:t>When a relevant decision on a transferring project area is made, paragraph 14(2</w:t>
      </w:r>
      <w:proofErr w:type="gramStart"/>
      <w:r w:rsidRPr="00767FC2">
        <w:t>)(</w:t>
      </w:r>
      <w:proofErr w:type="gramEnd"/>
      <w:r w:rsidRPr="00767FC2">
        <w:t>b) does not apply to an area of land within the transferring project area if the relevant application indicates either:</w:t>
      </w:r>
    </w:p>
    <w:p w14:paraId="3A05B120" w14:textId="77777777" w:rsidR="00941501" w:rsidRPr="00767FC2" w:rsidRDefault="00941501" w:rsidP="00941501">
      <w:pPr>
        <w:pStyle w:val="tPara"/>
      </w:pPr>
      <w:r w:rsidRPr="00767FC2">
        <w:tab/>
        <w:t>(a)</w:t>
      </w:r>
      <w:r w:rsidRPr="00767FC2">
        <w:tab/>
      </w:r>
      <w:proofErr w:type="gramStart"/>
      <w:r w:rsidRPr="00767FC2">
        <w:t>that</w:t>
      </w:r>
      <w:proofErr w:type="gramEnd"/>
      <w:r w:rsidRPr="00767FC2">
        <w:t xml:space="preserve"> the area of land:</w:t>
      </w:r>
    </w:p>
    <w:p w14:paraId="0768ED39" w14:textId="77777777" w:rsidR="00941501" w:rsidRPr="00767FC2" w:rsidRDefault="00941501" w:rsidP="00941501">
      <w:pPr>
        <w:pStyle w:val="tSubpara"/>
      </w:pPr>
      <w:r w:rsidRPr="00767FC2">
        <w:tab/>
        <w:t>(</w:t>
      </w:r>
      <w:proofErr w:type="spellStart"/>
      <w:r w:rsidRPr="00767FC2">
        <w:t>i</w:t>
      </w:r>
      <w:proofErr w:type="spellEnd"/>
      <w:r w:rsidRPr="00767FC2">
        <w:t>)</w:t>
      </w:r>
      <w:r w:rsidRPr="00767FC2">
        <w:tab/>
      </w:r>
      <w:proofErr w:type="gramStart"/>
      <w:r w:rsidRPr="00767FC2">
        <w:t>would</w:t>
      </w:r>
      <w:proofErr w:type="gramEnd"/>
      <w:r w:rsidRPr="00767FC2">
        <w:t>, apart from this subsection, fit the description of one of subparagraphs 14(2)(b)(</w:t>
      </w:r>
      <w:proofErr w:type="spellStart"/>
      <w:r w:rsidRPr="00767FC2">
        <w:t>i</w:t>
      </w:r>
      <w:proofErr w:type="spellEnd"/>
      <w:r w:rsidRPr="00767FC2">
        <w:t>), (ii) or (iii); and</w:t>
      </w:r>
    </w:p>
    <w:p w14:paraId="5F6159F4" w14:textId="77777777" w:rsidR="00941501" w:rsidRPr="00767FC2" w:rsidRDefault="00941501" w:rsidP="00941501">
      <w:pPr>
        <w:pStyle w:val="tSubpara"/>
      </w:pPr>
      <w:r w:rsidRPr="00767FC2">
        <w:tab/>
        <w:t>(ii)</w:t>
      </w:r>
      <w:r w:rsidRPr="00767FC2">
        <w:tab/>
      </w:r>
      <w:proofErr w:type="gramStart"/>
      <w:r w:rsidRPr="00767FC2">
        <w:t>will</w:t>
      </w:r>
      <w:proofErr w:type="gramEnd"/>
      <w:r w:rsidRPr="00767FC2">
        <w:t xml:space="preserve"> be removed from the project area in accordance with subsection 14(3); or</w:t>
      </w:r>
    </w:p>
    <w:p w14:paraId="34C4D2F6" w14:textId="77777777" w:rsidR="00941501" w:rsidRPr="00767FC2" w:rsidRDefault="00941501" w:rsidP="00941501">
      <w:pPr>
        <w:pStyle w:val="tPara"/>
      </w:pPr>
      <w:r w:rsidRPr="00767FC2">
        <w:tab/>
        <w:t>(b)</w:t>
      </w:r>
      <w:r w:rsidRPr="00767FC2">
        <w:tab/>
      </w:r>
      <w:proofErr w:type="gramStart"/>
      <w:r w:rsidRPr="00767FC2">
        <w:t>that</w:t>
      </w:r>
      <w:proofErr w:type="gramEnd"/>
      <w:r w:rsidRPr="00767FC2">
        <w:t>:</w:t>
      </w:r>
    </w:p>
    <w:p w14:paraId="7DDE01BA" w14:textId="77777777" w:rsidR="00941501" w:rsidRPr="00767FC2" w:rsidRDefault="00941501" w:rsidP="00941501">
      <w:pPr>
        <w:pStyle w:val="tSubpara"/>
      </w:pPr>
      <w:r w:rsidRPr="00767FC2">
        <w:tab/>
        <w:t>(</w:t>
      </w:r>
      <w:proofErr w:type="spellStart"/>
      <w:r w:rsidRPr="00767FC2">
        <w:t>i</w:t>
      </w:r>
      <w:proofErr w:type="spellEnd"/>
      <w:r w:rsidRPr="00767FC2">
        <w:t>)</w:t>
      </w:r>
      <w:r w:rsidRPr="00767FC2">
        <w:tab/>
      </w:r>
      <w:proofErr w:type="gramStart"/>
      <w:r w:rsidRPr="00767FC2">
        <w:t>the</w:t>
      </w:r>
      <w:proofErr w:type="gramEnd"/>
      <w:r w:rsidRPr="00767FC2">
        <w:t xml:space="preserve"> area of land would, apart from this subsection, fit the description of subparagraph 14(2)(b)(</w:t>
      </w:r>
      <w:proofErr w:type="spellStart"/>
      <w:r w:rsidRPr="00767FC2">
        <w:t>i</w:t>
      </w:r>
      <w:proofErr w:type="spellEnd"/>
      <w:r w:rsidRPr="00767FC2">
        <w:t>); and</w:t>
      </w:r>
    </w:p>
    <w:p w14:paraId="48F53F05" w14:textId="77777777" w:rsidR="00941501" w:rsidRPr="00767FC2" w:rsidRDefault="00941501" w:rsidP="00941501">
      <w:pPr>
        <w:pStyle w:val="tSubpara"/>
      </w:pPr>
      <w:r w:rsidRPr="00767FC2">
        <w:tab/>
        <w:t>(ii)</w:t>
      </w:r>
      <w:r w:rsidRPr="00767FC2">
        <w:tab/>
      </w:r>
      <w:proofErr w:type="gramStart"/>
      <w:r w:rsidRPr="00767FC2">
        <w:t>the</w:t>
      </w:r>
      <w:proofErr w:type="gramEnd"/>
      <w:r w:rsidRPr="00767FC2">
        <w:t xml:space="preserve"> weeds will be permanently removed:</w:t>
      </w:r>
    </w:p>
    <w:p w14:paraId="037F85CD" w14:textId="77777777" w:rsidR="00941501" w:rsidRPr="00767FC2" w:rsidRDefault="00941501" w:rsidP="00941501">
      <w:pPr>
        <w:pStyle w:val="tSubsub"/>
      </w:pPr>
      <w:r w:rsidRPr="00767FC2">
        <w:tab/>
        <w:t>(A)</w:t>
      </w:r>
      <w:r w:rsidRPr="00767FC2">
        <w:tab/>
        <w:t>as soon as practicable; and</w:t>
      </w:r>
    </w:p>
    <w:p w14:paraId="4E3CBAED" w14:textId="77777777" w:rsidR="00941501" w:rsidRPr="00767FC2" w:rsidRDefault="00941501" w:rsidP="00941501">
      <w:pPr>
        <w:pStyle w:val="tSubsub"/>
      </w:pPr>
      <w:r w:rsidRPr="00767FC2">
        <w:tab/>
        <w:t>(B)</w:t>
      </w:r>
      <w:r w:rsidRPr="00767FC2">
        <w:tab/>
      </w:r>
      <w:proofErr w:type="gramStart"/>
      <w:r w:rsidRPr="00767FC2">
        <w:t>no</w:t>
      </w:r>
      <w:proofErr w:type="gramEnd"/>
      <w:r w:rsidRPr="00767FC2">
        <w:t xml:space="preserve"> later than the end of the first reporting period in which the transferring project area is reported on.</w:t>
      </w:r>
    </w:p>
    <w:p w14:paraId="0ADBEB72" w14:textId="77777777" w:rsidR="00941501" w:rsidRPr="00767FC2" w:rsidRDefault="00941501" w:rsidP="00941501">
      <w:pPr>
        <w:pStyle w:val="tMain"/>
      </w:pPr>
      <w:r w:rsidRPr="00767FC2">
        <w:tab/>
        <w:t>(4)</w:t>
      </w:r>
      <w:r w:rsidRPr="00767FC2">
        <w:tab/>
        <w:t>In subsection (3):</w:t>
      </w:r>
    </w:p>
    <w:p w14:paraId="31E4239F" w14:textId="77777777" w:rsidR="00941501" w:rsidRPr="00767FC2" w:rsidRDefault="00941501" w:rsidP="00941501">
      <w:pPr>
        <w:pStyle w:val="tDefn"/>
      </w:pPr>
      <w:proofErr w:type="gramStart"/>
      <w:r w:rsidRPr="00767FC2">
        <w:rPr>
          <w:b/>
          <w:i/>
        </w:rPr>
        <w:t>relevant</w:t>
      </w:r>
      <w:proofErr w:type="gramEnd"/>
      <w:r w:rsidRPr="00767FC2">
        <w:rPr>
          <w:b/>
          <w:i/>
        </w:rPr>
        <w:t xml:space="preserve"> application</w:t>
      </w:r>
      <w:r w:rsidRPr="00767FC2">
        <w:t xml:space="preserve"> means a section 22 application, a section 29 application or an application under section 128 of the Act.</w:t>
      </w:r>
    </w:p>
    <w:p w14:paraId="18374EE0" w14:textId="77777777" w:rsidR="00941501" w:rsidRPr="00767FC2" w:rsidRDefault="00941501" w:rsidP="00941501">
      <w:pPr>
        <w:pStyle w:val="tDefn"/>
      </w:pPr>
      <w:r w:rsidRPr="00767FC2">
        <w:rPr>
          <w:b/>
          <w:i/>
        </w:rPr>
        <w:t xml:space="preserve">relevant decision on a transferring project area </w:t>
      </w:r>
      <w:r w:rsidRPr="00767FC2">
        <w:t>means a decision on a relevant application that would result in a transferring project area becoming a project area, or part of a project area, of a project covered by this determination.</w:t>
      </w:r>
    </w:p>
    <w:p w14:paraId="1CD99F20" w14:textId="77777777" w:rsidR="006821CA" w:rsidRPr="00767FC2" w:rsidRDefault="001626C4" w:rsidP="006821CA">
      <w:pPr>
        <w:pStyle w:val="h5Section"/>
      </w:pPr>
      <w:bookmarkStart w:id="82" w:name="_Toc509567206"/>
      <w:proofErr w:type="gramStart"/>
      <w:r w:rsidRPr="00767FC2">
        <w:t>26</w:t>
      </w:r>
      <w:r w:rsidR="006821CA" w:rsidRPr="00767FC2">
        <w:t xml:space="preserve">  Baseline</w:t>
      </w:r>
      <w:proofErr w:type="gramEnd"/>
      <w:r w:rsidR="006821CA" w:rsidRPr="00767FC2">
        <w:t xml:space="preserve"> period—transferring project area</w:t>
      </w:r>
      <w:bookmarkEnd w:id="81"/>
      <w:bookmarkEnd w:id="82"/>
    </w:p>
    <w:p w14:paraId="63BA477E" w14:textId="77777777" w:rsidR="006821CA" w:rsidRPr="00767FC2" w:rsidRDefault="006821CA" w:rsidP="006821CA">
      <w:pPr>
        <w:pStyle w:val="tMain"/>
      </w:pPr>
      <w:r w:rsidRPr="00767FC2">
        <w:tab/>
      </w:r>
      <w:r w:rsidR="001626C4" w:rsidRPr="00767FC2">
        <w:t>(1)</w:t>
      </w:r>
      <w:r w:rsidRPr="00767FC2">
        <w:tab/>
        <w:t>This section specifies the baseline period for an area of land in a transferring project area.</w:t>
      </w:r>
    </w:p>
    <w:p w14:paraId="7C55A7CD" w14:textId="77777777" w:rsidR="006821CA" w:rsidRPr="00767FC2" w:rsidRDefault="006821CA" w:rsidP="006821CA">
      <w:pPr>
        <w:pStyle w:val="nMain"/>
      </w:pPr>
      <w:r w:rsidRPr="00767FC2">
        <w:t>Note:</w:t>
      </w:r>
      <w:r w:rsidRPr="00767FC2">
        <w:tab/>
        <w:t>Section </w:t>
      </w:r>
      <w:r w:rsidR="00964086" w:rsidRPr="00767FC2">
        <w:t>8</w:t>
      </w:r>
      <w:r w:rsidRPr="00767FC2">
        <w:t xml:space="preserve"> specifies the baseline period for an area of land that is not in a transferring project area.</w:t>
      </w:r>
    </w:p>
    <w:p w14:paraId="7D136D6A" w14:textId="77777777" w:rsidR="00634C76" w:rsidRPr="00767FC2" w:rsidRDefault="00634C76" w:rsidP="00634C76">
      <w:pPr>
        <w:pStyle w:val="tMain"/>
      </w:pPr>
      <w:r w:rsidRPr="00767FC2">
        <w:tab/>
      </w:r>
      <w:r w:rsidR="001626C4" w:rsidRPr="00767FC2">
        <w:t>(2)</w:t>
      </w:r>
      <w:r w:rsidRPr="00767FC2">
        <w:tab/>
        <w:t>If:</w:t>
      </w:r>
    </w:p>
    <w:p w14:paraId="6D5964C8" w14:textId="77777777" w:rsidR="00634C76" w:rsidRPr="00767FC2" w:rsidRDefault="00634C76" w:rsidP="00634C76">
      <w:pPr>
        <w:pStyle w:val="tPara"/>
      </w:pPr>
      <w:r w:rsidRPr="00767FC2">
        <w:tab/>
      </w:r>
      <w:r w:rsidR="001626C4" w:rsidRPr="00767FC2">
        <w:t>(a)</w:t>
      </w:r>
      <w:r w:rsidRPr="00767FC2">
        <w:tab/>
      </w:r>
      <w:proofErr w:type="gramStart"/>
      <w:r w:rsidRPr="00767FC2">
        <w:t>the</w:t>
      </w:r>
      <w:proofErr w:type="gramEnd"/>
      <w:r w:rsidRPr="00767FC2">
        <w:t xml:space="preserve"> former determination</w:t>
      </w:r>
      <w:r w:rsidR="00AB3C72" w:rsidRPr="00767FC2">
        <w:t xml:space="preserve"> for the transferring project area </w:t>
      </w:r>
      <w:r w:rsidRPr="00767FC2">
        <w:t xml:space="preserve">was the </w:t>
      </w:r>
      <w:r w:rsidRPr="00767FC2">
        <w:rPr>
          <w:i/>
        </w:rPr>
        <w:t>Carbon Credits (Carbon Farming Initiative—Emissions Abatement through Savanna Fire Management) Methodology Determination 2015</w:t>
      </w:r>
      <w:r w:rsidRPr="00767FC2">
        <w:t>; and</w:t>
      </w:r>
    </w:p>
    <w:p w14:paraId="197C2E71" w14:textId="77777777" w:rsidR="00634C76" w:rsidRPr="00767FC2" w:rsidRDefault="00634C76" w:rsidP="00634C76">
      <w:pPr>
        <w:pStyle w:val="tPara"/>
      </w:pPr>
      <w:r w:rsidRPr="00767FC2">
        <w:tab/>
      </w:r>
      <w:r w:rsidR="001626C4" w:rsidRPr="00767FC2">
        <w:t>(b)</w:t>
      </w:r>
      <w:r w:rsidRPr="00767FC2">
        <w:tab/>
      </w:r>
      <w:proofErr w:type="gramStart"/>
      <w:r w:rsidRPr="00767FC2">
        <w:t>the</w:t>
      </w:r>
      <w:proofErr w:type="gramEnd"/>
      <w:r w:rsidRPr="00767FC2">
        <w:t xml:space="preserve"> project area includes land in the high rainfall zone and land in the low rainfall zone;</w:t>
      </w:r>
    </w:p>
    <w:p w14:paraId="4C0E5A2D" w14:textId="77777777" w:rsidR="00634C76" w:rsidRPr="00767FC2" w:rsidRDefault="00634C76" w:rsidP="00634C76">
      <w:pPr>
        <w:pStyle w:val="tMain"/>
        <w:spacing w:before="40"/>
      </w:pPr>
      <w:r w:rsidRPr="00767FC2">
        <w:tab/>
      </w:r>
      <w:r w:rsidRPr="00767FC2">
        <w:tab/>
      </w:r>
      <w:proofErr w:type="gramStart"/>
      <w:r w:rsidRPr="00767FC2">
        <w:t>then</w:t>
      </w:r>
      <w:proofErr w:type="gramEnd"/>
      <w:r w:rsidRPr="00767FC2">
        <w:t>:</w:t>
      </w:r>
    </w:p>
    <w:p w14:paraId="5DA641DE" w14:textId="77777777" w:rsidR="00634C76" w:rsidRPr="00767FC2" w:rsidRDefault="00634C76" w:rsidP="00634C76">
      <w:pPr>
        <w:pStyle w:val="tPara"/>
      </w:pPr>
      <w:r w:rsidRPr="00767FC2">
        <w:tab/>
      </w:r>
      <w:r w:rsidR="001626C4" w:rsidRPr="00767FC2">
        <w:t>(c)</w:t>
      </w:r>
      <w:r w:rsidRPr="00767FC2">
        <w:tab/>
        <w:t xml:space="preserve">the </w:t>
      </w:r>
      <w:r w:rsidRPr="00767FC2">
        <w:rPr>
          <w:b/>
          <w:i/>
        </w:rPr>
        <w:t>baseline period</w:t>
      </w:r>
      <w:r w:rsidRPr="00767FC2">
        <w:t xml:space="preserve"> for an area of land in the project area is the period referred to in paragraph </w:t>
      </w:r>
      <w:r w:rsidR="00964086" w:rsidRPr="00767FC2">
        <w:t>8(1)(a)</w:t>
      </w:r>
      <w:r w:rsidRPr="00767FC2">
        <w:t xml:space="preserve"> or </w:t>
      </w:r>
      <w:r w:rsidR="00964086" w:rsidRPr="00767FC2">
        <w:t>(b)</w:t>
      </w:r>
      <w:r w:rsidRPr="00767FC2">
        <w:t>, as appropriate; and</w:t>
      </w:r>
    </w:p>
    <w:p w14:paraId="4E39D377" w14:textId="77777777" w:rsidR="00634C76" w:rsidRPr="00767FC2" w:rsidRDefault="00634C76" w:rsidP="00634C76">
      <w:pPr>
        <w:pStyle w:val="tPara"/>
      </w:pPr>
      <w:r w:rsidRPr="00767FC2">
        <w:tab/>
      </w:r>
      <w:r w:rsidR="001626C4" w:rsidRPr="00767FC2">
        <w:t>(d)</w:t>
      </w:r>
      <w:r w:rsidRPr="00767FC2">
        <w:tab/>
      </w:r>
      <w:proofErr w:type="gramStart"/>
      <w:r w:rsidRPr="00767FC2">
        <w:t>the</w:t>
      </w:r>
      <w:proofErr w:type="gramEnd"/>
      <w:r w:rsidRPr="00767FC2">
        <w:t xml:space="preserve"> last year of the </w:t>
      </w:r>
      <w:r w:rsidRPr="00767FC2">
        <w:rPr>
          <w:b/>
          <w:i/>
        </w:rPr>
        <w:t>baseline period</w:t>
      </w:r>
      <w:r w:rsidRPr="00767FC2">
        <w:t xml:space="preserve"> is:</w:t>
      </w:r>
    </w:p>
    <w:p w14:paraId="1B7252B3" w14:textId="77777777" w:rsidR="00634C76" w:rsidRPr="00767FC2" w:rsidRDefault="00634C76" w:rsidP="00634C76">
      <w:pPr>
        <w:pStyle w:val="tSubpara"/>
      </w:pPr>
      <w:r w:rsidRPr="00767FC2">
        <w:tab/>
      </w:r>
      <w:r w:rsidR="001626C4" w:rsidRPr="00767FC2">
        <w:t>(</w:t>
      </w:r>
      <w:proofErr w:type="spellStart"/>
      <w:r w:rsidR="001626C4" w:rsidRPr="00767FC2">
        <w:t>i</w:t>
      </w:r>
      <w:proofErr w:type="spellEnd"/>
      <w:r w:rsidR="001626C4" w:rsidRPr="00767FC2">
        <w:t>)</w:t>
      </w:r>
      <w:r w:rsidRPr="00767FC2">
        <w:tab/>
        <w:t>if the project area was first added to a project covered by an earlier savanna emissions avoidance determination as a result of a section 29 application—</w:t>
      </w:r>
      <w:r w:rsidR="00D84240" w:rsidRPr="00767FC2">
        <w:t xml:space="preserve"> the calendar year before the day on which the project area was added</w:t>
      </w:r>
      <w:r w:rsidRPr="00767FC2">
        <w:t>; and</w:t>
      </w:r>
    </w:p>
    <w:p w14:paraId="0BDB6809" w14:textId="77777777" w:rsidR="00634C76" w:rsidRPr="00767FC2" w:rsidRDefault="00634C76" w:rsidP="00634C76">
      <w:pPr>
        <w:pStyle w:val="tSubpara"/>
      </w:pPr>
      <w:r w:rsidRPr="00767FC2">
        <w:tab/>
      </w:r>
      <w:r w:rsidR="001626C4" w:rsidRPr="00767FC2">
        <w:t>(ii)</w:t>
      </w:r>
      <w:r w:rsidRPr="00767FC2">
        <w:tab/>
      </w:r>
      <w:proofErr w:type="gramStart"/>
      <w:r w:rsidRPr="00767FC2">
        <w:t>otherwise—</w:t>
      </w:r>
      <w:proofErr w:type="gramEnd"/>
      <w:r w:rsidRPr="00767FC2">
        <w:t>the calendar year before project commencement (within the meaning of the former determination).</w:t>
      </w:r>
    </w:p>
    <w:p w14:paraId="7B32CDEC" w14:textId="77777777" w:rsidR="00E02E7A" w:rsidRPr="00767FC2" w:rsidRDefault="00E02E7A" w:rsidP="00E02E7A">
      <w:pPr>
        <w:pStyle w:val="nMain"/>
      </w:pPr>
      <w:r w:rsidRPr="00767FC2">
        <w:t>Note:</w:t>
      </w:r>
      <w:r w:rsidRPr="00767FC2">
        <w:tab/>
        <w:t>Subparagraph </w:t>
      </w:r>
      <w:r w:rsidR="00964086" w:rsidRPr="00767FC2">
        <w:t>26(2</w:t>
      </w:r>
      <w:proofErr w:type="gramStart"/>
      <w:r w:rsidR="00964086" w:rsidRPr="00767FC2">
        <w:t>)(</w:t>
      </w:r>
      <w:proofErr w:type="gramEnd"/>
      <w:r w:rsidR="00964086" w:rsidRPr="00767FC2">
        <w:t>d)(</w:t>
      </w:r>
      <w:proofErr w:type="spellStart"/>
      <w:r w:rsidR="00964086" w:rsidRPr="00767FC2">
        <w:t>i</w:t>
      </w:r>
      <w:proofErr w:type="spellEnd"/>
      <w:r w:rsidR="00964086" w:rsidRPr="00767FC2">
        <w:t>)</w:t>
      </w:r>
      <w:r w:rsidRPr="00767FC2">
        <w:t xml:space="preserve"> is modified in some cases if the requirement in lieu of the newness requirement set out in paragraph </w:t>
      </w:r>
      <w:r w:rsidR="00964086" w:rsidRPr="00767FC2">
        <w:t>21(2)(c)</w:t>
      </w:r>
      <w:r w:rsidRPr="00767FC2">
        <w:t xml:space="preserve"> was met. See paragraph </w:t>
      </w:r>
      <w:r w:rsidR="00964086" w:rsidRPr="00767FC2">
        <w:t>21(3</w:t>
      </w:r>
      <w:proofErr w:type="gramStart"/>
      <w:r w:rsidR="00964086" w:rsidRPr="00767FC2">
        <w:t>)(</w:t>
      </w:r>
      <w:proofErr w:type="gramEnd"/>
      <w:r w:rsidR="00964086" w:rsidRPr="00767FC2">
        <w:t>c)</w:t>
      </w:r>
      <w:r w:rsidRPr="00767FC2">
        <w:t>.</w:t>
      </w:r>
    </w:p>
    <w:p w14:paraId="6712E0D3" w14:textId="77777777" w:rsidR="006821CA" w:rsidRPr="00767FC2" w:rsidRDefault="006821CA" w:rsidP="006821CA">
      <w:pPr>
        <w:pStyle w:val="tMain"/>
      </w:pPr>
      <w:r w:rsidRPr="00767FC2">
        <w:lastRenderedPageBreak/>
        <w:tab/>
      </w:r>
      <w:r w:rsidR="001626C4" w:rsidRPr="00767FC2">
        <w:t>(3)</w:t>
      </w:r>
      <w:r w:rsidRPr="00767FC2">
        <w:tab/>
      </w:r>
      <w:r w:rsidR="00634C76" w:rsidRPr="00767FC2">
        <w:t>In any other case</w:t>
      </w:r>
      <w:r w:rsidRPr="00767FC2">
        <w:t xml:space="preserve">, the </w:t>
      </w:r>
      <w:r w:rsidRPr="00767FC2">
        <w:rPr>
          <w:b/>
          <w:i/>
        </w:rPr>
        <w:t xml:space="preserve">baseline period </w:t>
      </w:r>
      <w:r w:rsidRPr="00767FC2">
        <w:t>for the project area, or an area of land in the project area, is the same as the baseline period under the former determination for the project area.</w:t>
      </w:r>
    </w:p>
    <w:p w14:paraId="5A47F5DD" w14:textId="77777777" w:rsidR="006821CA" w:rsidRPr="00767FC2" w:rsidRDefault="001626C4" w:rsidP="006821CA">
      <w:pPr>
        <w:pStyle w:val="h5Section"/>
      </w:pPr>
      <w:bookmarkStart w:id="83" w:name="_Toc509567207"/>
      <w:proofErr w:type="gramStart"/>
      <w:r w:rsidRPr="00767FC2">
        <w:t>27</w:t>
      </w:r>
      <w:r w:rsidR="006821CA" w:rsidRPr="00767FC2">
        <w:t xml:space="preserve">  Vegetation</w:t>
      </w:r>
      <w:proofErr w:type="gramEnd"/>
      <w:r w:rsidR="006821CA" w:rsidRPr="00767FC2">
        <w:t xml:space="preserve"> fuel type map for transferring project area</w:t>
      </w:r>
      <w:bookmarkEnd w:id="83"/>
    </w:p>
    <w:p w14:paraId="15AFF8C1" w14:textId="77777777" w:rsidR="006821CA" w:rsidRPr="00767FC2" w:rsidRDefault="006821CA" w:rsidP="006821CA">
      <w:pPr>
        <w:pStyle w:val="tMain"/>
      </w:pPr>
      <w:r w:rsidRPr="00767FC2">
        <w:tab/>
      </w:r>
      <w:r w:rsidR="001626C4" w:rsidRPr="00767FC2">
        <w:t>(1)</w:t>
      </w:r>
      <w:r w:rsidRPr="00767FC2">
        <w:tab/>
        <w:t>This section applies if:</w:t>
      </w:r>
    </w:p>
    <w:p w14:paraId="1AE6B2F2" w14:textId="77777777" w:rsidR="006821CA" w:rsidRPr="00767FC2" w:rsidRDefault="006821CA" w:rsidP="006821CA">
      <w:pPr>
        <w:pStyle w:val="tPara"/>
      </w:pPr>
      <w:r w:rsidRPr="00767FC2">
        <w:tab/>
      </w:r>
      <w:r w:rsidR="001626C4" w:rsidRPr="00767FC2">
        <w:t>(a)</w:t>
      </w:r>
      <w:r w:rsidRPr="00767FC2">
        <w:tab/>
      </w:r>
      <w:proofErr w:type="gramStart"/>
      <w:r w:rsidRPr="00767FC2">
        <w:t>a</w:t>
      </w:r>
      <w:proofErr w:type="gramEnd"/>
      <w:r w:rsidRPr="00767FC2">
        <w:t xml:space="preserve"> project area of a savanna emissions avoidance project is a transferring project area; and</w:t>
      </w:r>
    </w:p>
    <w:p w14:paraId="1F6BB58C" w14:textId="77777777" w:rsidR="006821CA" w:rsidRPr="00767FC2" w:rsidRDefault="006821CA" w:rsidP="006821CA">
      <w:pPr>
        <w:pStyle w:val="tPara"/>
      </w:pPr>
      <w:r w:rsidRPr="00767FC2">
        <w:tab/>
      </w:r>
      <w:r w:rsidR="001626C4" w:rsidRPr="00767FC2">
        <w:t>(b)</w:t>
      </w:r>
      <w:r w:rsidRPr="00767FC2">
        <w:tab/>
      </w:r>
      <w:proofErr w:type="gramStart"/>
      <w:r w:rsidRPr="00767FC2">
        <w:t>a</w:t>
      </w:r>
      <w:proofErr w:type="gramEnd"/>
      <w:r w:rsidRPr="00767FC2">
        <w:t xml:space="preserve"> vegetation map or a vegetation fuel type map has been created and validated for the transferring project area in accordance with the former determination.</w:t>
      </w:r>
    </w:p>
    <w:p w14:paraId="02208837" w14:textId="77777777" w:rsidR="006821CA" w:rsidRPr="00767FC2" w:rsidRDefault="006821CA" w:rsidP="006821CA">
      <w:pPr>
        <w:pStyle w:val="tMain"/>
      </w:pPr>
      <w:r w:rsidRPr="00767FC2">
        <w:tab/>
      </w:r>
      <w:r w:rsidR="001626C4" w:rsidRPr="00767FC2">
        <w:t>(2)</w:t>
      </w:r>
      <w:r w:rsidRPr="00767FC2">
        <w:tab/>
        <w:t>The map is taken to be a vegetation fuel type map for the project area that has been created and validated in accordance with this determination</w:t>
      </w:r>
      <w:r w:rsidR="00360B84" w:rsidRPr="00767FC2">
        <w:t>, and the pixels of the map are taken to be mapping units</w:t>
      </w:r>
      <w:r w:rsidRPr="00767FC2">
        <w:t>.</w:t>
      </w:r>
    </w:p>
    <w:p w14:paraId="35165CFB" w14:textId="77777777" w:rsidR="00985CB9" w:rsidRPr="00767FC2" w:rsidRDefault="006821CA" w:rsidP="006821CA">
      <w:pPr>
        <w:pStyle w:val="tMain"/>
      </w:pPr>
      <w:r w:rsidRPr="00767FC2">
        <w:tab/>
      </w:r>
      <w:r w:rsidR="001626C4" w:rsidRPr="00767FC2">
        <w:t>(3)</w:t>
      </w:r>
      <w:r w:rsidRPr="00767FC2">
        <w:tab/>
      </w:r>
      <w:r w:rsidR="00985CB9" w:rsidRPr="00767FC2">
        <w:t>A reference to a vegetation class on a map that was created under an earlier savanna emissions avoidance determination is taken to be a reference to the corresponding vegetation fuel type for the purposes of this determination in accordance with the savanna technical guidance document.</w:t>
      </w:r>
    </w:p>
    <w:p w14:paraId="35F9C91A" w14:textId="77777777" w:rsidR="006821CA" w:rsidRPr="00767FC2" w:rsidRDefault="001626C4" w:rsidP="006821CA">
      <w:pPr>
        <w:pStyle w:val="h5Section"/>
      </w:pPr>
      <w:bookmarkStart w:id="84" w:name="_Toc456101114"/>
      <w:bookmarkStart w:id="85" w:name="_Toc509567208"/>
      <w:proofErr w:type="gramStart"/>
      <w:r w:rsidRPr="00767FC2">
        <w:t>28</w:t>
      </w:r>
      <w:r w:rsidR="006821CA" w:rsidRPr="00767FC2">
        <w:t xml:space="preserve">  Crediting</w:t>
      </w:r>
      <w:proofErr w:type="gramEnd"/>
      <w:r w:rsidR="006821CA" w:rsidRPr="00767FC2">
        <w:t xml:space="preserve"> period for</w:t>
      </w:r>
      <w:r w:rsidR="00944B3C" w:rsidRPr="00767FC2">
        <w:t xml:space="preserve"> some</w:t>
      </w:r>
      <w:r w:rsidR="006821CA" w:rsidRPr="00767FC2">
        <w:t xml:space="preserve"> project</w:t>
      </w:r>
      <w:r w:rsidR="00944B3C" w:rsidRPr="00767FC2">
        <w:t>s that include</w:t>
      </w:r>
      <w:r w:rsidR="006821CA" w:rsidRPr="00767FC2">
        <w:t xml:space="preserve"> transferring project area</w:t>
      </w:r>
      <w:bookmarkEnd w:id="84"/>
      <w:r w:rsidR="00944B3C" w:rsidRPr="00767FC2">
        <w:t>s</w:t>
      </w:r>
      <w:bookmarkEnd w:id="85"/>
    </w:p>
    <w:p w14:paraId="4AA4B29A" w14:textId="77777777" w:rsidR="006821CA" w:rsidRPr="00767FC2" w:rsidRDefault="006821CA" w:rsidP="006821CA">
      <w:pPr>
        <w:pStyle w:val="ntoHeading"/>
      </w:pPr>
      <w:r w:rsidRPr="00767FC2">
        <w:t>Note:</w:t>
      </w:r>
      <w:r w:rsidRPr="00767FC2">
        <w:tab/>
        <w:t>Subsection 69(2) of the Act sets out the basic rule for the crediting period for a project that became an eligible offsets project after the commencement of Part 5 of the Act (13 December 2014). Generally, for such a project covered by this determination, the crediting period will be the period of 25 years given by paragraph 69(2)(a) of the Act.</w:t>
      </w:r>
    </w:p>
    <w:p w14:paraId="2B6494B7" w14:textId="77777777" w:rsidR="0026488C" w:rsidRPr="00767FC2" w:rsidRDefault="0026488C" w:rsidP="0026488C">
      <w:pPr>
        <w:pStyle w:val="ntoHeading"/>
      </w:pPr>
      <w:r w:rsidRPr="00767FC2">
        <w:tab/>
        <w:t>Under paragraph 69(2</w:t>
      </w:r>
      <w:proofErr w:type="gramStart"/>
      <w:r w:rsidRPr="00767FC2">
        <w:t>)(</w:t>
      </w:r>
      <w:proofErr w:type="gramEnd"/>
      <w:r w:rsidRPr="00767FC2">
        <w:t>b) of the Act, if another period is specified in the applicable methodology determination for the project, that period is the project’s crediting period. Subsection </w:t>
      </w:r>
      <w:r w:rsidR="00964086" w:rsidRPr="00767FC2">
        <w:t>(1)</w:t>
      </w:r>
      <w:r w:rsidRPr="00767FC2">
        <w:t xml:space="preserve"> specifies a shorter period for certain restarting transferring projects.</w:t>
      </w:r>
    </w:p>
    <w:p w14:paraId="4CA9F0FE" w14:textId="77777777" w:rsidR="00743C14" w:rsidRPr="00767FC2" w:rsidRDefault="00743C14" w:rsidP="00743C14">
      <w:pPr>
        <w:pStyle w:val="ntoHeading"/>
      </w:pPr>
      <w:r w:rsidRPr="00767FC2">
        <w:tab/>
        <w:t>Section 70 of the Act specifies the crediting period for certain projects that were eligible offsets projects immediately before the commencement of Part 5 of the Act, and will apply to some continuing transferring projects. Under section 70 of the Act, if a period is specified in the applicable methodology determination for the purposes of subparagraph 70(2)(b)(ii) of the Act, the project’s second crediting period is that period, beginning on the commencement of Part 5 of the Act (13 December 2014). Subsection </w:t>
      </w:r>
      <w:r w:rsidR="00964086" w:rsidRPr="00767FC2">
        <w:t>(4)</w:t>
      </w:r>
      <w:r w:rsidRPr="00767FC2">
        <w:t xml:space="preserve"> specifies another period for the purposes of this subparagraph.</w:t>
      </w:r>
    </w:p>
    <w:p w14:paraId="2E8F292D" w14:textId="77777777" w:rsidR="00443127" w:rsidRPr="00767FC2" w:rsidRDefault="00443127" w:rsidP="00443127">
      <w:pPr>
        <w:pStyle w:val="h6Subsec"/>
      </w:pPr>
      <w:r w:rsidRPr="00767FC2">
        <w:t>Crediting period for some restarting transferring projects</w:t>
      </w:r>
    </w:p>
    <w:p w14:paraId="452B6236" w14:textId="77777777" w:rsidR="004404DA" w:rsidRPr="00767FC2" w:rsidRDefault="0004673E" w:rsidP="004404DA">
      <w:pPr>
        <w:pStyle w:val="tMain"/>
      </w:pPr>
      <w:r w:rsidRPr="00767FC2">
        <w:tab/>
      </w:r>
      <w:r w:rsidR="001626C4" w:rsidRPr="00767FC2">
        <w:t>(1)</w:t>
      </w:r>
      <w:r w:rsidRPr="00767FC2">
        <w:tab/>
      </w:r>
      <w:r w:rsidR="00535E0F" w:rsidRPr="00767FC2">
        <w:t>For paragraph 69(2)(b) of the Act, if</w:t>
      </w:r>
      <w:r w:rsidR="000F5438" w:rsidRPr="00767FC2">
        <w:t xml:space="preserve"> </w:t>
      </w:r>
      <w:r w:rsidR="00535E0F" w:rsidRPr="00767FC2">
        <w:t>a savanna emissions avoidance project is a restarting transferring project</w:t>
      </w:r>
      <w:r w:rsidR="000F5438" w:rsidRPr="00767FC2">
        <w:t xml:space="preserve">, </w:t>
      </w:r>
      <w:r w:rsidR="00535E0F" w:rsidRPr="00767FC2">
        <w:t>the period of 25 – N years is specified, where N is</w:t>
      </w:r>
      <w:r w:rsidR="004404DA" w:rsidRPr="00767FC2">
        <w:t xml:space="preserve"> the largest value of N</w:t>
      </w:r>
      <w:r w:rsidR="004404DA" w:rsidRPr="00767FC2">
        <w:rPr>
          <w:vertAlign w:val="subscript"/>
        </w:rPr>
        <w:t>TPA</w:t>
      </w:r>
      <w:r w:rsidR="004404DA" w:rsidRPr="00767FC2">
        <w:t xml:space="preserve"> for the transferring project areas.</w:t>
      </w:r>
    </w:p>
    <w:p w14:paraId="2C639AAB" w14:textId="77777777" w:rsidR="004404DA" w:rsidRPr="00767FC2" w:rsidRDefault="004404DA" w:rsidP="004404DA">
      <w:pPr>
        <w:pStyle w:val="tMain"/>
      </w:pPr>
      <w:r w:rsidRPr="00767FC2">
        <w:tab/>
      </w:r>
      <w:r w:rsidR="001626C4" w:rsidRPr="00767FC2">
        <w:t>(2)</w:t>
      </w:r>
      <w:r w:rsidRPr="00767FC2">
        <w:tab/>
        <w:t xml:space="preserve">For a transferring project area, </w:t>
      </w:r>
      <w:r w:rsidRPr="00767FC2">
        <w:rPr>
          <w:b/>
          <w:i/>
        </w:rPr>
        <w:t>N</w:t>
      </w:r>
      <w:r w:rsidRPr="00767FC2">
        <w:rPr>
          <w:b/>
          <w:i/>
          <w:vertAlign w:val="subscript"/>
        </w:rPr>
        <w:t>TPA</w:t>
      </w:r>
      <w:r w:rsidRPr="00767FC2">
        <w:t xml:space="preserve"> is the sum of the following:</w:t>
      </w:r>
    </w:p>
    <w:p w14:paraId="04315EED" w14:textId="77777777" w:rsidR="004404DA" w:rsidRPr="00767FC2" w:rsidRDefault="004404DA" w:rsidP="004404DA">
      <w:pPr>
        <w:pStyle w:val="tPara"/>
      </w:pPr>
      <w:r w:rsidRPr="00767FC2">
        <w:tab/>
      </w:r>
      <w:r w:rsidR="001626C4" w:rsidRPr="00767FC2">
        <w:t>(a)</w:t>
      </w:r>
      <w:r w:rsidRPr="00767FC2">
        <w:tab/>
      </w:r>
      <w:proofErr w:type="gramStart"/>
      <w:r w:rsidRPr="00767FC2">
        <w:t>the</w:t>
      </w:r>
      <w:proofErr w:type="gramEnd"/>
      <w:r w:rsidRPr="00767FC2">
        <w:t xml:space="preserve"> number of calendar years for which that project area was reported on while the former determination was the applicable methodology determination;</w:t>
      </w:r>
    </w:p>
    <w:p w14:paraId="7513648A" w14:textId="77777777" w:rsidR="004404DA" w:rsidRPr="00767FC2" w:rsidRDefault="004404DA" w:rsidP="004404DA">
      <w:pPr>
        <w:pStyle w:val="tPara"/>
      </w:pPr>
      <w:r w:rsidRPr="00767FC2">
        <w:tab/>
      </w:r>
      <w:r w:rsidR="001626C4" w:rsidRPr="00767FC2">
        <w:t>(b)</w:t>
      </w:r>
      <w:r w:rsidRPr="00767FC2">
        <w:tab/>
      </w:r>
      <w:proofErr w:type="gramStart"/>
      <w:r w:rsidRPr="00767FC2">
        <w:t>the</w:t>
      </w:r>
      <w:proofErr w:type="gramEnd"/>
      <w:r w:rsidRPr="00767FC2">
        <w:t xml:space="preserve"> number of calendar years (if any) for which that project area was reported on while any other methodology determination was the applicable methodology determination.</w:t>
      </w:r>
    </w:p>
    <w:p w14:paraId="0404F60D" w14:textId="77777777" w:rsidR="006821CA" w:rsidRPr="00767FC2" w:rsidRDefault="0004673E" w:rsidP="0004673E">
      <w:pPr>
        <w:pStyle w:val="tMain"/>
      </w:pPr>
      <w:r w:rsidRPr="00767FC2">
        <w:tab/>
      </w:r>
      <w:r w:rsidR="001626C4" w:rsidRPr="00767FC2">
        <w:t>(3)</w:t>
      </w:r>
      <w:r w:rsidRPr="00767FC2">
        <w:tab/>
      </w:r>
      <w:r w:rsidR="006821CA" w:rsidRPr="00767FC2">
        <w:t>For subsection </w:t>
      </w:r>
      <w:r w:rsidR="00964086" w:rsidRPr="00767FC2">
        <w:t>(1)</w:t>
      </w:r>
      <w:r w:rsidR="006821CA" w:rsidRPr="00767FC2">
        <w:t xml:space="preserve">, if </w:t>
      </w:r>
      <w:r w:rsidR="00586644" w:rsidRPr="00767FC2">
        <w:t>a</w:t>
      </w:r>
      <w:r w:rsidR="006821CA" w:rsidRPr="00767FC2">
        <w:t xml:space="preserve"> project to which the transferring project area previously belonged had 2 crediting periods as a result of subsection 70(4) of the Act, disregard the first crediting period.</w:t>
      </w:r>
    </w:p>
    <w:p w14:paraId="4D600433" w14:textId="77777777" w:rsidR="00743C14" w:rsidRPr="00767FC2" w:rsidRDefault="00743C14" w:rsidP="00743C14">
      <w:pPr>
        <w:pStyle w:val="h6Subsec"/>
      </w:pPr>
      <w:r w:rsidRPr="00767FC2">
        <w:t>Crediting period for some continuing transferring projects</w:t>
      </w:r>
    </w:p>
    <w:p w14:paraId="778DEA32" w14:textId="77777777" w:rsidR="00743C14" w:rsidRPr="00767FC2" w:rsidRDefault="00743C14" w:rsidP="00743C14">
      <w:pPr>
        <w:pStyle w:val="tMain"/>
      </w:pPr>
      <w:r w:rsidRPr="00767FC2">
        <w:tab/>
      </w:r>
      <w:r w:rsidR="001626C4" w:rsidRPr="00767FC2">
        <w:t>(4)</w:t>
      </w:r>
      <w:r w:rsidRPr="00767FC2">
        <w:tab/>
        <w:t>For subparagraph 70(2</w:t>
      </w:r>
      <w:proofErr w:type="gramStart"/>
      <w:r w:rsidRPr="00767FC2">
        <w:t>)(</w:t>
      </w:r>
      <w:proofErr w:type="gramEnd"/>
      <w:r w:rsidRPr="00767FC2">
        <w:t>b)(ii) of the Act, if:</w:t>
      </w:r>
    </w:p>
    <w:p w14:paraId="1A5E7FEB" w14:textId="77777777" w:rsidR="00743C14" w:rsidRPr="00767FC2" w:rsidRDefault="00743C14" w:rsidP="00743C14">
      <w:pPr>
        <w:pStyle w:val="tPara"/>
      </w:pPr>
      <w:r w:rsidRPr="00767FC2">
        <w:lastRenderedPageBreak/>
        <w:tab/>
      </w:r>
      <w:r w:rsidR="001626C4" w:rsidRPr="00767FC2">
        <w:t>(a)</w:t>
      </w:r>
      <w:r w:rsidRPr="00767FC2">
        <w:tab/>
      </w:r>
      <w:proofErr w:type="gramStart"/>
      <w:r w:rsidRPr="00767FC2">
        <w:t>a</w:t>
      </w:r>
      <w:proofErr w:type="gramEnd"/>
      <w:r w:rsidRPr="00767FC2">
        <w:t xml:space="preserve"> savanna </w:t>
      </w:r>
      <w:r w:rsidR="0026488C" w:rsidRPr="00767FC2">
        <w:t>emissions avoidance</w:t>
      </w:r>
      <w:r w:rsidRPr="00767FC2">
        <w:t xml:space="preserve"> project is a continuing transferring project; and</w:t>
      </w:r>
    </w:p>
    <w:p w14:paraId="365E28AC" w14:textId="77777777" w:rsidR="00743C14" w:rsidRPr="00767FC2" w:rsidRDefault="00743C14" w:rsidP="00743C14">
      <w:pPr>
        <w:pStyle w:val="tPara"/>
      </w:pPr>
      <w:r w:rsidRPr="00767FC2">
        <w:tab/>
      </w:r>
      <w:r w:rsidR="001626C4" w:rsidRPr="00767FC2">
        <w:t>(b)</w:t>
      </w:r>
      <w:r w:rsidRPr="00767FC2">
        <w:tab/>
      </w:r>
      <w:proofErr w:type="gramStart"/>
      <w:r w:rsidRPr="00767FC2">
        <w:t>the</w:t>
      </w:r>
      <w:proofErr w:type="gramEnd"/>
      <w:r w:rsidRPr="00767FC2">
        <w:t xml:space="preserve"> project was an eligible offsets project immediately before the commencement of Part 5 of the Act;</w:t>
      </w:r>
    </w:p>
    <w:p w14:paraId="554B2134" w14:textId="77777777" w:rsidR="00743C14" w:rsidRPr="00767FC2" w:rsidRDefault="00743C14" w:rsidP="00743C14">
      <w:pPr>
        <w:pStyle w:val="subsectionsandwich"/>
      </w:pPr>
      <w:r w:rsidRPr="00767FC2">
        <w:tab/>
      </w:r>
      <w:r w:rsidRPr="00767FC2">
        <w:tab/>
      </w:r>
      <w:proofErr w:type="gramStart"/>
      <w:r w:rsidRPr="00767FC2">
        <w:t>the</w:t>
      </w:r>
      <w:proofErr w:type="gramEnd"/>
      <w:r w:rsidRPr="00767FC2">
        <w:t xml:space="preserve"> period of 25 years and 18 days is specified.</w:t>
      </w:r>
    </w:p>
    <w:p w14:paraId="3E45B61C" w14:textId="77777777" w:rsidR="00743C14" w:rsidRPr="00767FC2" w:rsidRDefault="00743C14" w:rsidP="00743C14">
      <w:pPr>
        <w:pStyle w:val="nMain"/>
      </w:pPr>
      <w:r w:rsidRPr="00767FC2">
        <w:t>Note 1:</w:t>
      </w:r>
      <w:r w:rsidRPr="00767FC2">
        <w:tab/>
        <w:t>Part 5 of the Act commenced on 13 December 2014.</w:t>
      </w:r>
    </w:p>
    <w:p w14:paraId="1368316F" w14:textId="77777777" w:rsidR="00743C14" w:rsidRPr="00767FC2" w:rsidRDefault="00743C14" w:rsidP="00743C14">
      <w:pPr>
        <w:pStyle w:val="nMain"/>
      </w:pPr>
      <w:r w:rsidRPr="00767FC2">
        <w:t>Note 2:</w:t>
      </w:r>
      <w:r w:rsidRPr="00767FC2">
        <w:tab/>
        <w:t>For continuing transferring projects that became eligible offsets projects after that date, see section 69 of the Act.</w:t>
      </w:r>
    </w:p>
    <w:p w14:paraId="1F3D19F6" w14:textId="77777777" w:rsidR="00FE7BCB" w:rsidRPr="00767FC2" w:rsidRDefault="00FE7BCB" w:rsidP="00FE7BCB">
      <w:pPr>
        <w:pStyle w:val="tMain"/>
      </w:pPr>
      <w:r w:rsidRPr="00767FC2">
        <w:tab/>
      </w:r>
      <w:r w:rsidR="001626C4" w:rsidRPr="00767FC2">
        <w:t>(5)</w:t>
      </w:r>
      <w:r w:rsidRPr="00767FC2">
        <w:tab/>
        <w:t>For paragraph 69(2</w:t>
      </w:r>
      <w:proofErr w:type="gramStart"/>
      <w:r w:rsidRPr="00767FC2">
        <w:t>)(</w:t>
      </w:r>
      <w:proofErr w:type="gramEnd"/>
      <w:r w:rsidRPr="00767FC2">
        <w:t>b) of the Act, if:</w:t>
      </w:r>
    </w:p>
    <w:p w14:paraId="0619B369" w14:textId="77777777" w:rsidR="00FE7BCB" w:rsidRPr="00767FC2" w:rsidRDefault="00FE7BCB" w:rsidP="00FE7BCB">
      <w:pPr>
        <w:pStyle w:val="tPara"/>
      </w:pPr>
      <w:r w:rsidRPr="00767FC2">
        <w:tab/>
      </w:r>
      <w:r w:rsidR="001626C4" w:rsidRPr="00767FC2">
        <w:t>(a)</w:t>
      </w:r>
      <w:r w:rsidRPr="00767FC2">
        <w:tab/>
      </w:r>
      <w:proofErr w:type="gramStart"/>
      <w:r w:rsidRPr="00767FC2">
        <w:t>a</w:t>
      </w:r>
      <w:proofErr w:type="gramEnd"/>
      <w:r w:rsidRPr="00767FC2">
        <w:t xml:space="preserve"> savanna emissions avoidance project is a </w:t>
      </w:r>
      <w:r w:rsidR="0037647F" w:rsidRPr="00767FC2">
        <w:t xml:space="preserve">continuing </w:t>
      </w:r>
      <w:r w:rsidRPr="00767FC2">
        <w:t>transferring project; and</w:t>
      </w:r>
    </w:p>
    <w:p w14:paraId="230469BC" w14:textId="77777777" w:rsidR="004F1CBC" w:rsidRPr="00767FC2" w:rsidRDefault="0037647F" w:rsidP="004F1CBC">
      <w:pPr>
        <w:pStyle w:val="tPara"/>
      </w:pPr>
      <w:r w:rsidRPr="00767FC2">
        <w:tab/>
      </w:r>
      <w:r w:rsidR="001626C4" w:rsidRPr="00767FC2">
        <w:t>(b)</w:t>
      </w:r>
      <w:r w:rsidRPr="00767FC2">
        <w:tab/>
      </w:r>
      <w:proofErr w:type="gramStart"/>
      <w:r w:rsidRPr="00767FC2">
        <w:t>the</w:t>
      </w:r>
      <w:proofErr w:type="gramEnd"/>
      <w:r w:rsidRPr="00767FC2">
        <w:t xml:space="preserve"> </w:t>
      </w:r>
      <w:r w:rsidR="000B781D" w:rsidRPr="00767FC2">
        <w:t>methodology</w:t>
      </w:r>
      <w:r w:rsidRPr="00767FC2">
        <w:t xml:space="preserve"> determination </w:t>
      </w:r>
      <w:r w:rsidR="000B781D" w:rsidRPr="00767FC2">
        <w:t xml:space="preserve">that applied to the project immediately before this determination was </w:t>
      </w:r>
      <w:r w:rsidRPr="00767FC2">
        <w:t>a savanna sequestration determination</w:t>
      </w:r>
      <w:r w:rsidR="00592452" w:rsidRPr="00767FC2">
        <w:t xml:space="preserve"> (the </w:t>
      </w:r>
      <w:r w:rsidR="00592452" w:rsidRPr="00767FC2">
        <w:rPr>
          <w:b/>
          <w:i/>
        </w:rPr>
        <w:t>previous determination</w:t>
      </w:r>
      <w:r w:rsidR="00592452" w:rsidRPr="00767FC2">
        <w:t>)</w:t>
      </w:r>
      <w:r w:rsidRPr="00767FC2">
        <w:t>;</w:t>
      </w:r>
      <w:r w:rsidR="004F1CBC" w:rsidRPr="00767FC2">
        <w:t xml:space="preserve"> and</w:t>
      </w:r>
    </w:p>
    <w:p w14:paraId="7B5919AD" w14:textId="77777777" w:rsidR="004F1CBC" w:rsidRPr="00767FC2" w:rsidRDefault="004F1CBC" w:rsidP="004F1CBC">
      <w:pPr>
        <w:pStyle w:val="tPara"/>
      </w:pPr>
      <w:r w:rsidRPr="00767FC2">
        <w:tab/>
      </w:r>
      <w:r w:rsidR="001626C4" w:rsidRPr="00767FC2">
        <w:t>(c)</w:t>
      </w:r>
      <w:r w:rsidRPr="00767FC2">
        <w:tab/>
      </w:r>
      <w:r w:rsidR="00C23C9B" w:rsidRPr="00767FC2">
        <w:t xml:space="preserve">while </w:t>
      </w:r>
      <w:r w:rsidR="00592452" w:rsidRPr="00767FC2">
        <w:t xml:space="preserve">the previous </w:t>
      </w:r>
      <w:r w:rsidR="00C23C9B" w:rsidRPr="00767FC2">
        <w:t xml:space="preserve">determination applied to the project, </w:t>
      </w:r>
      <w:r w:rsidR="00CA4001" w:rsidRPr="00767FC2">
        <w:t xml:space="preserve">the project’s crediting period was </w:t>
      </w:r>
      <w:r w:rsidR="00C23C9B" w:rsidRPr="00767FC2">
        <w:t xml:space="preserve">not </w:t>
      </w:r>
      <w:r w:rsidR="00CA4001" w:rsidRPr="00767FC2">
        <w:t xml:space="preserve">calculated in accordance with subsection 28(1) of </w:t>
      </w:r>
      <w:r w:rsidR="00592452" w:rsidRPr="00767FC2">
        <w:t xml:space="preserve">the previous </w:t>
      </w:r>
      <w:r w:rsidR="00CA4001" w:rsidRPr="00767FC2">
        <w:t>determination</w:t>
      </w:r>
      <w:r w:rsidR="009A3538" w:rsidRPr="00767FC2">
        <w:t xml:space="preserve"> (that is, the length of the project’s crediting period was 25 years)</w:t>
      </w:r>
      <w:r w:rsidRPr="00767FC2">
        <w:t>;</w:t>
      </w:r>
    </w:p>
    <w:p w14:paraId="243AED86" w14:textId="77777777" w:rsidR="0004673E" w:rsidRPr="00767FC2" w:rsidRDefault="00C23C9B" w:rsidP="00C23C9B">
      <w:pPr>
        <w:pStyle w:val="subsectionsandwich"/>
      </w:pPr>
      <w:r w:rsidRPr="00767FC2">
        <w:tab/>
      </w:r>
      <w:r w:rsidRPr="00767FC2">
        <w:tab/>
        <w:t xml:space="preserve">the </w:t>
      </w:r>
      <w:r w:rsidR="0004673E" w:rsidRPr="00767FC2">
        <w:t xml:space="preserve">period of 25 </w:t>
      </w:r>
      <w:r w:rsidR="00BE175F" w:rsidRPr="00767FC2">
        <w:t>–</w:t>
      </w:r>
      <w:r w:rsidR="0004673E" w:rsidRPr="00767FC2">
        <w:softHyphen/>
        <w:t xml:space="preserve"> N years is specified, where N is calculated in accordance with paragraph 28(1)(c)</w:t>
      </w:r>
      <w:r w:rsidR="00BE175F" w:rsidRPr="00767FC2">
        <w:t xml:space="preserve"> or paragraph 28(1)(d)</w:t>
      </w:r>
      <w:r w:rsidR="0004673E" w:rsidRPr="00767FC2">
        <w:t xml:space="preserve"> of </w:t>
      </w:r>
      <w:r w:rsidR="00592452" w:rsidRPr="00767FC2">
        <w:t>the previous</w:t>
      </w:r>
      <w:r w:rsidR="0004673E" w:rsidRPr="00767FC2">
        <w:t xml:space="preserve"> determination</w:t>
      </w:r>
      <w:r w:rsidR="00BE175F" w:rsidRPr="00767FC2">
        <w:t xml:space="preserve">, as appropriate, as if, while </w:t>
      </w:r>
      <w:r w:rsidR="00592452" w:rsidRPr="00767FC2">
        <w:t>the previous</w:t>
      </w:r>
      <w:r w:rsidR="00BE175F" w:rsidRPr="00767FC2">
        <w:t xml:space="preserve"> determination had applied to the project, its crediting period </w:t>
      </w:r>
      <w:r w:rsidR="009A3538" w:rsidRPr="00767FC2">
        <w:t xml:space="preserve">had </w:t>
      </w:r>
      <w:r w:rsidR="00BE175F" w:rsidRPr="00767FC2">
        <w:t>been calculated in accordance with</w:t>
      </w:r>
      <w:r w:rsidR="00592452" w:rsidRPr="00767FC2">
        <w:t xml:space="preserve"> subsection 28(1)</w:t>
      </w:r>
      <w:r w:rsidR="0004673E" w:rsidRPr="00767FC2">
        <w:t>.</w:t>
      </w:r>
    </w:p>
    <w:p w14:paraId="03B6E1E9" w14:textId="77777777" w:rsidR="00A55758" w:rsidRPr="00767FC2" w:rsidRDefault="002A0AEB" w:rsidP="003F06C8">
      <w:pPr>
        <w:pStyle w:val="nMain"/>
      </w:pPr>
      <w:r w:rsidRPr="00767FC2">
        <w:t>Note:</w:t>
      </w:r>
      <w:r w:rsidRPr="00767FC2">
        <w:tab/>
        <w:t>Subsection </w:t>
      </w:r>
      <w:r w:rsidR="00964086" w:rsidRPr="00767FC2">
        <w:t>(5)</w:t>
      </w:r>
      <w:r w:rsidRPr="00767FC2">
        <w:t xml:space="preserve"> will apply only after the commencement of the </w:t>
      </w:r>
      <w:r w:rsidRPr="00767FC2">
        <w:rPr>
          <w:i/>
        </w:rPr>
        <w:t xml:space="preserve">Carbon Credits (Carbon Farming Initiative) Amendment Act </w:t>
      </w:r>
      <w:r w:rsidR="00D32953" w:rsidRPr="00767FC2">
        <w:rPr>
          <w:i/>
        </w:rPr>
        <w:t>2018</w:t>
      </w:r>
      <w:r w:rsidRPr="00767FC2">
        <w:t>. Until that Act commences, it will not be possible for a continuing transferring project to have as its former determination a savanna sequestration determination.</w:t>
      </w:r>
    </w:p>
    <w:p w14:paraId="1A054BEA" w14:textId="77777777" w:rsidR="00404FA5" w:rsidRPr="00767FC2" w:rsidRDefault="001626C4" w:rsidP="00404FA5">
      <w:pPr>
        <w:pStyle w:val="h2Part"/>
      </w:pPr>
      <w:bookmarkStart w:id="86" w:name="_Toc509567209"/>
      <w:r w:rsidRPr="00767FC2">
        <w:lastRenderedPageBreak/>
        <w:t>Part 4</w:t>
      </w:r>
      <w:r w:rsidR="00404FA5" w:rsidRPr="00767FC2">
        <w:t>—Net abatement amount</w:t>
      </w:r>
      <w:bookmarkEnd w:id="69"/>
      <w:bookmarkEnd w:id="86"/>
    </w:p>
    <w:p w14:paraId="583E0030" w14:textId="77777777" w:rsidR="00404FA5" w:rsidRPr="00767FC2" w:rsidRDefault="001626C4" w:rsidP="0016321D">
      <w:pPr>
        <w:pStyle w:val="h3Div"/>
      </w:pPr>
      <w:bookmarkStart w:id="87" w:name="_Toc405377032"/>
      <w:bookmarkStart w:id="88" w:name="_Toc413155565"/>
      <w:bookmarkStart w:id="89" w:name="_Toc509567210"/>
      <w:r w:rsidRPr="00767FC2">
        <w:t>Division 1</w:t>
      </w:r>
      <w:r w:rsidR="00404FA5" w:rsidRPr="00767FC2">
        <w:t>—Preliminary</w:t>
      </w:r>
      <w:bookmarkEnd w:id="87"/>
      <w:bookmarkEnd w:id="88"/>
      <w:bookmarkEnd w:id="89"/>
    </w:p>
    <w:p w14:paraId="5D9A0368" w14:textId="77777777" w:rsidR="00404FA5" w:rsidRPr="00767FC2" w:rsidRDefault="001626C4" w:rsidP="0016321D">
      <w:pPr>
        <w:pStyle w:val="h5Section"/>
      </w:pPr>
      <w:bookmarkStart w:id="90" w:name="_Toc405377033"/>
      <w:bookmarkStart w:id="91" w:name="_Toc413155566"/>
      <w:bookmarkStart w:id="92" w:name="_Toc509567211"/>
      <w:proofErr w:type="gramStart"/>
      <w:r w:rsidRPr="00767FC2">
        <w:t>29</w:t>
      </w:r>
      <w:r w:rsidR="0016321D" w:rsidRPr="00767FC2">
        <w:t xml:space="preserve">  </w:t>
      </w:r>
      <w:r w:rsidR="00404FA5" w:rsidRPr="00767FC2">
        <w:t>Operation</w:t>
      </w:r>
      <w:proofErr w:type="gramEnd"/>
      <w:r w:rsidR="00404FA5" w:rsidRPr="00767FC2">
        <w:t xml:space="preserve"> of this Part</w:t>
      </w:r>
      <w:bookmarkEnd w:id="90"/>
      <w:bookmarkEnd w:id="91"/>
      <w:bookmarkEnd w:id="92"/>
    </w:p>
    <w:p w14:paraId="7881A20A" w14:textId="77777777" w:rsidR="00404FA5" w:rsidRPr="00767FC2" w:rsidRDefault="00404FA5" w:rsidP="00404FA5">
      <w:pPr>
        <w:pStyle w:val="tMain"/>
      </w:pPr>
      <w:r w:rsidRPr="00767FC2">
        <w:tab/>
      </w:r>
      <w:r w:rsidRPr="00767FC2">
        <w:tab/>
        <w:t xml:space="preserve">For paragraph 106(1)(c) of the Act, this Part specifies the method for working out the net abatement amount for a reporting period for a </w:t>
      </w:r>
      <w:r w:rsidR="00504AE8" w:rsidRPr="00767FC2">
        <w:t xml:space="preserve">savanna </w:t>
      </w:r>
      <w:r w:rsidR="008B1469" w:rsidRPr="00767FC2">
        <w:t>emissions avoidance</w:t>
      </w:r>
      <w:r w:rsidR="00CF1AC4" w:rsidRPr="00767FC2">
        <w:t xml:space="preserve"> </w:t>
      </w:r>
      <w:r w:rsidR="00504AE8" w:rsidRPr="00767FC2">
        <w:t>project</w:t>
      </w:r>
      <w:r w:rsidR="00C21FD9" w:rsidRPr="00767FC2">
        <w:t xml:space="preserve"> </w:t>
      </w:r>
      <w:r w:rsidRPr="00767FC2">
        <w:t>that is an eligible offsets project.</w:t>
      </w:r>
    </w:p>
    <w:p w14:paraId="2032641A" w14:textId="77777777" w:rsidR="006821CA" w:rsidRPr="00767FC2" w:rsidRDefault="001626C4" w:rsidP="006821CA">
      <w:pPr>
        <w:pStyle w:val="h5Section"/>
      </w:pPr>
      <w:bookmarkStart w:id="93" w:name="_Toc483306134"/>
      <w:bookmarkStart w:id="94" w:name="_Toc509567212"/>
      <w:proofErr w:type="gramStart"/>
      <w:r w:rsidRPr="00767FC2">
        <w:t>30</w:t>
      </w:r>
      <w:r w:rsidR="006821CA" w:rsidRPr="00767FC2">
        <w:t xml:space="preserve">  Simplified</w:t>
      </w:r>
      <w:proofErr w:type="gramEnd"/>
      <w:r w:rsidR="006821CA" w:rsidRPr="00767FC2">
        <w:t xml:space="preserve"> outline of this Part</w:t>
      </w:r>
      <w:bookmarkEnd w:id="93"/>
      <w:bookmarkEnd w:id="94"/>
    </w:p>
    <w:p w14:paraId="483706B2" w14:textId="77777777" w:rsidR="00E11BE5" w:rsidRPr="00767FC2" w:rsidRDefault="00E11BE5" w:rsidP="00E11BE5">
      <w:pPr>
        <w:pStyle w:val="SOText"/>
      </w:pPr>
      <w:r w:rsidRPr="00767FC2">
        <w:t xml:space="preserve">This determination accounts for carbon abatement from undertaking </w:t>
      </w:r>
      <w:r w:rsidR="00912798" w:rsidRPr="00767FC2">
        <w:t xml:space="preserve">savanna fire management </w:t>
      </w:r>
      <w:r w:rsidRPr="00767FC2">
        <w:t>in accordance with this determination, crediting abatement from the avoidance of emissions of greenh</w:t>
      </w:r>
      <w:r w:rsidR="00652F9B" w:rsidRPr="00767FC2">
        <w:t>ouse gases into the atmosphere.</w:t>
      </w:r>
    </w:p>
    <w:p w14:paraId="0208BEEC" w14:textId="77777777" w:rsidR="00E11BE5" w:rsidRPr="00767FC2" w:rsidRDefault="00E11BE5" w:rsidP="00E11BE5">
      <w:pPr>
        <w:pStyle w:val="SOText"/>
      </w:pPr>
      <w:r w:rsidRPr="00767FC2">
        <w:t>A project covered by this determination is an emissions avoidance offsets project.</w:t>
      </w:r>
    </w:p>
    <w:p w14:paraId="24911890" w14:textId="77777777" w:rsidR="008F3972" w:rsidRPr="00767FC2" w:rsidRDefault="008F3972" w:rsidP="008F3972">
      <w:pPr>
        <w:pStyle w:val="SOText"/>
      </w:pPr>
      <w:r w:rsidRPr="00767FC2">
        <w:t xml:space="preserve">To ascertain the net abatement amount in relation to a reporting period for a savanna </w:t>
      </w:r>
      <w:r w:rsidR="00652F9B" w:rsidRPr="00767FC2">
        <w:t xml:space="preserve">emissions avoidance </w:t>
      </w:r>
      <w:r w:rsidRPr="00767FC2">
        <w:t xml:space="preserve">project under this determination, the project proponent calculates the adjusted </w:t>
      </w:r>
      <w:r w:rsidR="00652F9B" w:rsidRPr="00767FC2">
        <w:t>contribution</w:t>
      </w:r>
      <w:r w:rsidRPr="00767FC2">
        <w:t xml:space="preserve"> from emissions avoidance</w:t>
      </w:r>
      <w:r w:rsidR="00652F9B" w:rsidRPr="00767FC2">
        <w:t xml:space="preserve"> for each calendar year that ends during </w:t>
      </w:r>
      <w:r w:rsidR="001377E8" w:rsidRPr="00767FC2">
        <w:t>the</w:t>
      </w:r>
      <w:r w:rsidR="00652F9B" w:rsidRPr="00767FC2">
        <w:t xml:space="preserve"> reporting period</w:t>
      </w:r>
      <w:r w:rsidRPr="00767FC2">
        <w:t>. Th</w:t>
      </w:r>
      <w:r w:rsidR="001377E8" w:rsidRPr="00767FC2">
        <w:t>es</w:t>
      </w:r>
      <w:r w:rsidRPr="00767FC2">
        <w:t xml:space="preserve">e calculations may be performed using </w:t>
      </w:r>
      <w:proofErr w:type="spellStart"/>
      <w:r w:rsidRPr="00767FC2">
        <w:t>SavBAT</w:t>
      </w:r>
      <w:proofErr w:type="spellEnd"/>
      <w:r w:rsidRPr="00767FC2">
        <w:t> 3, or in accordance with Schedule 1.</w:t>
      </w:r>
    </w:p>
    <w:p w14:paraId="6D6801F6" w14:textId="77777777" w:rsidR="008F3972" w:rsidRPr="00767FC2" w:rsidRDefault="008F3972" w:rsidP="008F3972">
      <w:pPr>
        <w:pStyle w:val="SOText"/>
      </w:pPr>
      <w:r w:rsidRPr="00767FC2">
        <w:t>If the project has 2 or more project areas, adjusted contributions to the net abatement amount are calculated separately for each project area and added together.</w:t>
      </w:r>
    </w:p>
    <w:p w14:paraId="4A202D4F" w14:textId="77777777" w:rsidR="008F3972" w:rsidRPr="00767FC2" w:rsidRDefault="008F3972" w:rsidP="008F3972">
      <w:pPr>
        <w:pStyle w:val="SOText"/>
      </w:pPr>
      <w:r w:rsidRPr="00767FC2">
        <w:t>When calculating the contribution to the net abatement amount from emissions avoidance, the calculations account for all fuel size classes (that is, shrub fuel, fine fuel, coarse fuel and heavy fuel).</w:t>
      </w:r>
    </w:p>
    <w:p w14:paraId="4F76FBC0" w14:textId="77777777" w:rsidR="00030B9D" w:rsidRPr="00767FC2" w:rsidRDefault="001626C4" w:rsidP="00030B9D">
      <w:pPr>
        <w:pStyle w:val="h5Section"/>
      </w:pPr>
      <w:bookmarkStart w:id="95" w:name="_Toc509567213"/>
      <w:proofErr w:type="gramStart"/>
      <w:r w:rsidRPr="00767FC2">
        <w:t>31</w:t>
      </w:r>
      <w:r w:rsidR="00030B9D" w:rsidRPr="00767FC2">
        <w:t xml:space="preserve">  Use</w:t>
      </w:r>
      <w:proofErr w:type="gramEnd"/>
      <w:r w:rsidR="00030B9D" w:rsidRPr="00767FC2">
        <w:t xml:space="preserve"> of </w:t>
      </w:r>
      <w:proofErr w:type="spellStart"/>
      <w:r w:rsidR="00030B9D" w:rsidRPr="00767FC2">
        <w:t>SavBAT</w:t>
      </w:r>
      <w:proofErr w:type="spellEnd"/>
      <w:r w:rsidR="00030B9D" w:rsidRPr="00767FC2">
        <w:t> 3</w:t>
      </w:r>
      <w:bookmarkEnd w:id="95"/>
    </w:p>
    <w:p w14:paraId="22A4DC9A" w14:textId="77777777" w:rsidR="009F47CD" w:rsidRPr="00767FC2" w:rsidRDefault="005428E8" w:rsidP="009F47CD">
      <w:pPr>
        <w:pStyle w:val="tMain"/>
      </w:pPr>
      <w:r w:rsidRPr="00767FC2">
        <w:tab/>
      </w:r>
      <w:r w:rsidRPr="00767FC2">
        <w:tab/>
      </w:r>
      <w:r w:rsidR="00030B9D" w:rsidRPr="00767FC2">
        <w:t xml:space="preserve">If a calculation is undertaken using </w:t>
      </w:r>
      <w:proofErr w:type="spellStart"/>
      <w:r w:rsidR="00030B9D" w:rsidRPr="00767FC2">
        <w:t>SavBAT</w:t>
      </w:r>
      <w:proofErr w:type="spellEnd"/>
      <w:r w:rsidR="00030B9D" w:rsidRPr="00767FC2">
        <w:t xml:space="preserve"> 3 for the purposes of this determination, </w:t>
      </w:r>
      <w:proofErr w:type="spellStart"/>
      <w:r w:rsidR="007D3704" w:rsidRPr="00767FC2">
        <w:t>SavBAT</w:t>
      </w:r>
      <w:proofErr w:type="spellEnd"/>
      <w:r w:rsidR="007D3704" w:rsidRPr="00767FC2">
        <w:t xml:space="preserve"> 3 </w:t>
      </w:r>
      <w:r w:rsidR="00E609C5" w:rsidRPr="00767FC2">
        <w:t xml:space="preserve">must be used </w:t>
      </w:r>
      <w:r w:rsidR="00030B9D" w:rsidRPr="00767FC2">
        <w:t>in accordance with</w:t>
      </w:r>
      <w:r w:rsidR="007953BC" w:rsidRPr="00767FC2">
        <w:t xml:space="preserve"> </w:t>
      </w:r>
      <w:bookmarkStart w:id="96" w:name="_Toc405377034"/>
      <w:bookmarkStart w:id="97" w:name="_Toc413155568"/>
      <w:r w:rsidR="009F47CD" w:rsidRPr="00767FC2">
        <w:t xml:space="preserve">any guidance material on the </w:t>
      </w:r>
      <w:proofErr w:type="spellStart"/>
      <w:r w:rsidR="009F47CD" w:rsidRPr="00767FC2">
        <w:t>SavBAT</w:t>
      </w:r>
      <w:proofErr w:type="spellEnd"/>
      <w:r w:rsidR="009F47CD" w:rsidRPr="00767FC2">
        <w:t xml:space="preserve"> website.</w:t>
      </w:r>
    </w:p>
    <w:p w14:paraId="29AFD058" w14:textId="77777777" w:rsidR="009F47CD" w:rsidRPr="00767FC2" w:rsidRDefault="009F47CD" w:rsidP="009F47CD">
      <w:pPr>
        <w:pStyle w:val="nMain"/>
      </w:pPr>
      <w:r w:rsidRPr="00767FC2">
        <w:t>Note:</w:t>
      </w:r>
      <w:r w:rsidRPr="00767FC2">
        <w:tab/>
        <w:t xml:space="preserve">In </w:t>
      </w:r>
      <w:r w:rsidR="00D32953" w:rsidRPr="00767FC2">
        <w:t>2018</w:t>
      </w:r>
      <w:r w:rsidRPr="00767FC2">
        <w:t xml:space="preserve">, the </w:t>
      </w:r>
      <w:proofErr w:type="spellStart"/>
      <w:r w:rsidRPr="00767FC2">
        <w:t>SavBAT</w:t>
      </w:r>
      <w:proofErr w:type="spellEnd"/>
      <w:r w:rsidRPr="00767FC2">
        <w:t xml:space="preserve"> website was </w:t>
      </w:r>
      <w:r w:rsidRPr="00767FC2">
        <w:rPr>
          <w:lang w:eastAsia="en-NZ"/>
        </w:rPr>
        <w:t>https://savbat.net.au/</w:t>
      </w:r>
      <w:r w:rsidRPr="00767FC2">
        <w:t>.</w:t>
      </w:r>
    </w:p>
    <w:p w14:paraId="58D895FC" w14:textId="77777777" w:rsidR="00404FA5" w:rsidRPr="00767FC2" w:rsidRDefault="001626C4" w:rsidP="0016321D">
      <w:pPr>
        <w:pStyle w:val="h5Section"/>
      </w:pPr>
      <w:bookmarkStart w:id="98" w:name="_Toc509567214"/>
      <w:proofErr w:type="gramStart"/>
      <w:r w:rsidRPr="00767FC2">
        <w:t>33</w:t>
      </w:r>
      <w:r w:rsidR="0016321D" w:rsidRPr="00767FC2">
        <w:t xml:space="preserve">  </w:t>
      </w:r>
      <w:r w:rsidR="00404FA5" w:rsidRPr="00767FC2">
        <w:t>Overview</w:t>
      </w:r>
      <w:proofErr w:type="gramEnd"/>
      <w:r w:rsidR="00404FA5" w:rsidRPr="00767FC2">
        <w:t xml:space="preserve"> of gases accounted for in abatement calculations</w:t>
      </w:r>
      <w:bookmarkEnd w:id="96"/>
      <w:bookmarkEnd w:id="97"/>
      <w:bookmarkEnd w:id="98"/>
    </w:p>
    <w:p w14:paraId="07FED278" w14:textId="77777777" w:rsidR="002A0263" w:rsidRPr="00767FC2" w:rsidRDefault="002A0263" w:rsidP="002A0263">
      <w:pPr>
        <w:pStyle w:val="tMain"/>
      </w:pPr>
      <w:r w:rsidRPr="00767FC2">
        <w:tab/>
      </w:r>
      <w:r w:rsidRPr="00767FC2">
        <w:tab/>
        <w:t>The following table provides an overview of the emissions sources, and the associated greenhouse gases, that are relevant to working out the net abatement amount for a savanna emissions avoidance project.</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559"/>
        <w:gridCol w:w="3544"/>
        <w:gridCol w:w="2070"/>
      </w:tblGrid>
      <w:tr w:rsidR="00767FC2" w:rsidRPr="00767FC2" w14:paraId="1BFAFA4E" w14:textId="77777777" w:rsidTr="0055719D">
        <w:tc>
          <w:tcPr>
            <w:tcW w:w="7882" w:type="dxa"/>
            <w:gridSpan w:val="4"/>
            <w:tcBorders>
              <w:top w:val="single" w:sz="12" w:space="0" w:color="auto"/>
              <w:bottom w:val="single" w:sz="2" w:space="0" w:color="auto"/>
            </w:tcBorders>
          </w:tcPr>
          <w:p w14:paraId="55DD0AFA" w14:textId="77777777" w:rsidR="002A0263" w:rsidRPr="00767FC2" w:rsidRDefault="002A0263" w:rsidP="0055719D">
            <w:pPr>
              <w:pStyle w:val="TableHeading"/>
              <w:jc w:val="center"/>
            </w:pPr>
            <w:r w:rsidRPr="00767FC2">
              <w:t>Overview of gases accounted for in abatement calculations</w:t>
            </w:r>
          </w:p>
        </w:tc>
      </w:tr>
      <w:tr w:rsidR="00767FC2" w:rsidRPr="00767FC2" w14:paraId="158C3950" w14:textId="77777777" w:rsidTr="002A0263">
        <w:tc>
          <w:tcPr>
            <w:tcW w:w="709" w:type="dxa"/>
            <w:tcBorders>
              <w:top w:val="single" w:sz="2" w:space="0" w:color="auto"/>
              <w:bottom w:val="single" w:sz="12" w:space="0" w:color="auto"/>
            </w:tcBorders>
          </w:tcPr>
          <w:p w14:paraId="066141E1" w14:textId="77777777" w:rsidR="002A0263" w:rsidRPr="00767FC2" w:rsidRDefault="002A0263" w:rsidP="0055719D">
            <w:pPr>
              <w:pStyle w:val="TableHeading"/>
            </w:pPr>
            <w:r w:rsidRPr="00767FC2">
              <w:t>Item</w:t>
            </w:r>
          </w:p>
        </w:tc>
        <w:tc>
          <w:tcPr>
            <w:tcW w:w="5103" w:type="dxa"/>
            <w:gridSpan w:val="2"/>
            <w:tcBorders>
              <w:top w:val="single" w:sz="2" w:space="0" w:color="auto"/>
              <w:bottom w:val="single" w:sz="12" w:space="0" w:color="auto"/>
            </w:tcBorders>
          </w:tcPr>
          <w:p w14:paraId="5C290969" w14:textId="77777777" w:rsidR="002A0263" w:rsidRPr="00767FC2" w:rsidRDefault="002A0263" w:rsidP="0055719D">
            <w:pPr>
              <w:pStyle w:val="TableHeading"/>
            </w:pPr>
            <w:r w:rsidRPr="00767FC2">
              <w:t>Relevant carbon pool or emission source</w:t>
            </w:r>
          </w:p>
        </w:tc>
        <w:tc>
          <w:tcPr>
            <w:tcW w:w="2070" w:type="dxa"/>
            <w:tcBorders>
              <w:top w:val="single" w:sz="2" w:space="0" w:color="auto"/>
              <w:bottom w:val="single" w:sz="12" w:space="0" w:color="auto"/>
            </w:tcBorders>
          </w:tcPr>
          <w:p w14:paraId="2D5AF596" w14:textId="77777777" w:rsidR="002A0263" w:rsidRPr="00767FC2" w:rsidRDefault="002A0263" w:rsidP="0055719D">
            <w:pPr>
              <w:pStyle w:val="TableHeading"/>
            </w:pPr>
            <w:r w:rsidRPr="00767FC2">
              <w:t>Greenhouse gas</w:t>
            </w:r>
          </w:p>
        </w:tc>
      </w:tr>
      <w:tr w:rsidR="00767FC2" w:rsidRPr="00767FC2" w14:paraId="0CB4B3C8" w14:textId="77777777" w:rsidTr="002A0263">
        <w:tc>
          <w:tcPr>
            <w:tcW w:w="709" w:type="dxa"/>
            <w:tcBorders>
              <w:top w:val="single" w:sz="12" w:space="0" w:color="auto"/>
              <w:bottom w:val="single" w:sz="12" w:space="0" w:color="auto"/>
            </w:tcBorders>
          </w:tcPr>
          <w:p w14:paraId="3F7F5FEB" w14:textId="77777777" w:rsidR="002A0263" w:rsidRPr="00767FC2" w:rsidRDefault="002A0263" w:rsidP="0055719D">
            <w:pPr>
              <w:pStyle w:val="Tabletext"/>
            </w:pPr>
            <w:r w:rsidRPr="00767FC2">
              <w:t>1</w:t>
            </w:r>
          </w:p>
        </w:tc>
        <w:tc>
          <w:tcPr>
            <w:tcW w:w="1559" w:type="dxa"/>
            <w:tcBorders>
              <w:top w:val="single" w:sz="12" w:space="0" w:color="auto"/>
              <w:bottom w:val="single" w:sz="12" w:space="0" w:color="auto"/>
            </w:tcBorders>
          </w:tcPr>
          <w:p w14:paraId="148F9A82" w14:textId="77777777" w:rsidR="002A0263" w:rsidRPr="00767FC2" w:rsidRDefault="002A0263" w:rsidP="0055719D">
            <w:pPr>
              <w:pStyle w:val="Tabletext"/>
            </w:pPr>
            <w:r w:rsidRPr="00767FC2">
              <w:t>Emission source</w:t>
            </w:r>
          </w:p>
        </w:tc>
        <w:tc>
          <w:tcPr>
            <w:tcW w:w="3544" w:type="dxa"/>
            <w:tcBorders>
              <w:top w:val="single" w:sz="12" w:space="0" w:color="auto"/>
              <w:bottom w:val="single" w:sz="12" w:space="0" w:color="auto"/>
            </w:tcBorders>
          </w:tcPr>
          <w:p w14:paraId="6427226C" w14:textId="77777777" w:rsidR="002A0263" w:rsidRPr="00767FC2" w:rsidRDefault="002A0263" w:rsidP="0055719D">
            <w:pPr>
              <w:pStyle w:val="Tabletext"/>
            </w:pPr>
            <w:r w:rsidRPr="00767FC2">
              <w:t>Fire</w:t>
            </w:r>
          </w:p>
        </w:tc>
        <w:tc>
          <w:tcPr>
            <w:tcW w:w="2070" w:type="dxa"/>
            <w:tcBorders>
              <w:top w:val="single" w:sz="12" w:space="0" w:color="auto"/>
              <w:bottom w:val="single" w:sz="12" w:space="0" w:color="auto"/>
            </w:tcBorders>
          </w:tcPr>
          <w:p w14:paraId="4C608816" w14:textId="77777777" w:rsidR="002A0263" w:rsidRPr="00767FC2" w:rsidRDefault="002A0263" w:rsidP="0055719D">
            <w:pPr>
              <w:pStyle w:val="Tabletext"/>
            </w:pPr>
            <w:r w:rsidRPr="00767FC2">
              <w:t>Methane (CH</w:t>
            </w:r>
            <w:r w:rsidRPr="00767FC2">
              <w:rPr>
                <w:vertAlign w:val="subscript"/>
              </w:rPr>
              <w:t>4</w:t>
            </w:r>
            <w:r w:rsidRPr="00767FC2">
              <w:t>)</w:t>
            </w:r>
          </w:p>
          <w:p w14:paraId="2E51A1B0" w14:textId="77777777" w:rsidR="002A0263" w:rsidRPr="00767FC2" w:rsidRDefault="002A0263" w:rsidP="0055719D">
            <w:pPr>
              <w:pStyle w:val="Tabletext"/>
            </w:pPr>
            <w:r w:rsidRPr="00767FC2">
              <w:t>Nitrous oxide (N</w:t>
            </w:r>
            <w:r w:rsidRPr="00767FC2">
              <w:rPr>
                <w:vertAlign w:val="subscript"/>
              </w:rPr>
              <w:t>2</w:t>
            </w:r>
            <w:r w:rsidRPr="00767FC2">
              <w:t>O)</w:t>
            </w:r>
          </w:p>
        </w:tc>
      </w:tr>
    </w:tbl>
    <w:p w14:paraId="0B61C724" w14:textId="77777777" w:rsidR="0019385C" w:rsidRPr="00767FC2" w:rsidRDefault="001626C4" w:rsidP="0019385C">
      <w:pPr>
        <w:pStyle w:val="h3Div"/>
      </w:pPr>
      <w:bookmarkStart w:id="99" w:name="_Toc405377051"/>
      <w:bookmarkStart w:id="100" w:name="_Toc413155574"/>
      <w:bookmarkStart w:id="101" w:name="_Toc509567215"/>
      <w:r w:rsidRPr="00767FC2">
        <w:lastRenderedPageBreak/>
        <w:t>Division 2</w:t>
      </w:r>
      <w:r w:rsidR="0019385C" w:rsidRPr="00767FC2">
        <w:t>—Calculation</w:t>
      </w:r>
      <w:bookmarkEnd w:id="99"/>
      <w:r w:rsidR="0019385C" w:rsidRPr="00767FC2">
        <w:t xml:space="preserve"> of net abatement amount</w:t>
      </w:r>
      <w:bookmarkEnd w:id="100"/>
      <w:bookmarkEnd w:id="101"/>
    </w:p>
    <w:p w14:paraId="41216E7E" w14:textId="77777777" w:rsidR="0019385C" w:rsidRPr="00767FC2" w:rsidRDefault="001626C4" w:rsidP="0019385C">
      <w:pPr>
        <w:pStyle w:val="h5Section"/>
        <w:rPr>
          <w:i/>
        </w:rPr>
      </w:pPr>
      <w:bookmarkStart w:id="102" w:name="_Toc509567216"/>
      <w:proofErr w:type="gramStart"/>
      <w:r w:rsidRPr="00767FC2">
        <w:t>34</w:t>
      </w:r>
      <w:r w:rsidR="0019385C" w:rsidRPr="00767FC2">
        <w:t xml:space="preserve">  The</w:t>
      </w:r>
      <w:proofErr w:type="gramEnd"/>
      <w:r w:rsidR="0019385C" w:rsidRPr="00767FC2">
        <w:t xml:space="preserve"> net abatement amount</w:t>
      </w:r>
      <w:r w:rsidR="00C928C5" w:rsidRPr="00767FC2">
        <w:t xml:space="preserve">, </w:t>
      </w:r>
      <w:r w:rsidR="00C928C5" w:rsidRPr="00767FC2">
        <w:rPr>
          <w:i/>
        </w:rPr>
        <w:t>A</w:t>
      </w:r>
      <w:bookmarkEnd w:id="102"/>
    </w:p>
    <w:p w14:paraId="3A98BD60" w14:textId="77777777" w:rsidR="00827781" w:rsidRPr="00767FC2" w:rsidRDefault="00827781" w:rsidP="00827781">
      <w:pPr>
        <w:pStyle w:val="tMain"/>
      </w:pPr>
      <w:r w:rsidRPr="00767FC2">
        <w:tab/>
      </w:r>
      <w:r w:rsidR="001626C4" w:rsidRPr="00767FC2">
        <w:t>(1)</w:t>
      </w:r>
      <w:r w:rsidRPr="00767FC2">
        <w:tab/>
        <w:t xml:space="preserve">For paragraph 106(1)(c) of the Act, the net abatement amount for a reporting period, </w:t>
      </w:r>
      <w:r w:rsidRPr="00767FC2">
        <w:rPr>
          <w:b/>
          <w:i/>
        </w:rPr>
        <w:t>A</w:t>
      </w:r>
      <w:r w:rsidRPr="00767FC2">
        <w:t>, in tonnes CO</w:t>
      </w:r>
      <w:r w:rsidRPr="00767FC2">
        <w:rPr>
          <w:vertAlign w:val="subscript"/>
        </w:rPr>
        <w:t>2</w:t>
      </w:r>
      <w:r w:rsidRPr="00767FC2">
        <w:noBreakHyphen/>
        <w:t>e, is, subject to subsection </w:t>
      </w:r>
      <w:r w:rsidR="00964086" w:rsidRPr="00767FC2">
        <w:t>(2)</w:t>
      </w:r>
      <w:r w:rsidRPr="00767FC2">
        <w:t>, given by the following equation:</w:t>
      </w:r>
    </w:p>
    <w:tbl>
      <w:tblPr>
        <w:tblStyle w:val="TableGrid"/>
        <w:tblW w:w="0" w:type="auto"/>
        <w:tblInd w:w="1129" w:type="dxa"/>
        <w:tblLook w:val="04A0" w:firstRow="1" w:lastRow="0" w:firstColumn="1" w:lastColumn="0" w:noHBand="0" w:noVBand="1"/>
      </w:tblPr>
      <w:tblGrid>
        <w:gridCol w:w="6350"/>
        <w:gridCol w:w="1537"/>
      </w:tblGrid>
      <w:tr w:rsidR="00767FC2" w:rsidRPr="00767FC2" w14:paraId="0C1F8B81" w14:textId="77777777" w:rsidTr="00827781">
        <w:trPr>
          <w:trHeight w:val="1108"/>
        </w:trPr>
        <w:tc>
          <w:tcPr>
            <w:tcW w:w="6350" w:type="dxa"/>
            <w:vAlign w:val="center"/>
          </w:tcPr>
          <w:p w14:paraId="10A5F168" w14:textId="77777777" w:rsidR="00827781" w:rsidRPr="00767FC2" w:rsidRDefault="00827781" w:rsidP="00827781">
            <m:oMathPara>
              <m:oMath>
                <m:r>
                  <w:rPr>
                    <w:rFonts w:ascii="Cambria Math" w:hAnsi="Cambria Math"/>
                  </w:rPr>
                  <m:t>A=</m:t>
                </m:r>
                <m:nary>
                  <m:naryPr>
                    <m:chr m:val="∑"/>
                    <m:limLoc m:val="undOvr"/>
                    <m:ctrlPr>
                      <w:rPr>
                        <w:rFonts w:ascii="Cambria Math" w:hAnsi="Cambria Math"/>
                        <w:i/>
                      </w:rPr>
                    </m:ctrlPr>
                  </m:naryPr>
                  <m:sub>
                    <m:r>
                      <w:rPr>
                        <w:rFonts w:ascii="Cambria Math" w:hAnsi="Cambria Math"/>
                      </w:rPr>
                      <m:t>y=1</m:t>
                    </m:r>
                  </m:sub>
                  <m:sup>
                    <m:r>
                      <w:rPr>
                        <w:rFonts w:ascii="Cambria Math" w:hAnsi="Cambria Math"/>
                      </w:rPr>
                      <m:t>N</m:t>
                    </m:r>
                  </m:sup>
                  <m:e>
                    <m:sSub>
                      <m:sSubPr>
                        <m:ctrlPr>
                          <w:rPr>
                            <w:rFonts w:ascii="Cambria Math" w:hAnsi="Cambria Math"/>
                            <w:i/>
                          </w:rPr>
                        </m:ctrlPr>
                      </m:sSubPr>
                      <m:e>
                        <m:r>
                          <w:rPr>
                            <w:rFonts w:ascii="Cambria Math" w:hAnsi="Cambria Math"/>
                          </w:rPr>
                          <m:t>A</m:t>
                        </m:r>
                      </m:e>
                      <m:sub>
                        <m:r>
                          <w:rPr>
                            <w:rFonts w:ascii="Cambria Math" w:hAnsi="Cambria Math"/>
                          </w:rPr>
                          <m:t>EA,adj,y</m:t>
                        </m:r>
                      </m:sub>
                    </m:sSub>
                  </m:e>
                </m:nary>
              </m:oMath>
            </m:oMathPara>
          </w:p>
        </w:tc>
        <w:tc>
          <w:tcPr>
            <w:tcW w:w="1537" w:type="dxa"/>
            <w:vAlign w:val="center"/>
          </w:tcPr>
          <w:p w14:paraId="492ADAFA" w14:textId="77777777" w:rsidR="00827781" w:rsidRPr="00767FC2" w:rsidRDefault="00827781" w:rsidP="00827781">
            <w:pPr>
              <w:pStyle w:val="Tabletext"/>
            </w:pPr>
            <w:bookmarkStart w:id="103" w:name="_Ref441669182"/>
            <w:r w:rsidRPr="00767FC2">
              <w:t xml:space="preserve">equation </w:t>
            </w:r>
            <w:r w:rsidR="00964086" w:rsidRPr="00767FC2">
              <w:rPr>
                <w:noProof/>
              </w:rPr>
              <w:t>1</w:t>
            </w:r>
            <w:bookmarkEnd w:id="103"/>
          </w:p>
        </w:tc>
      </w:tr>
    </w:tbl>
    <w:p w14:paraId="31378FCF" w14:textId="77777777" w:rsidR="00827781" w:rsidRPr="00767FC2" w:rsidRDefault="00827781" w:rsidP="00827781">
      <w:pPr>
        <w:pStyle w:val="tMain"/>
      </w:pPr>
      <w:r w:rsidRPr="00767FC2">
        <w:tab/>
      </w:r>
      <w:r w:rsidRPr="00767FC2">
        <w:tab/>
      </w:r>
      <w:proofErr w:type="gramStart"/>
      <w:r w:rsidRPr="00767FC2">
        <w:t>where</w:t>
      </w:r>
      <w:proofErr w:type="gramEnd"/>
      <w:r w:rsidRPr="00767FC2">
        <w:t>:</w:t>
      </w:r>
    </w:p>
    <w:p w14:paraId="3B94B7AA" w14:textId="77777777" w:rsidR="00BF5F09" w:rsidRPr="00767FC2" w:rsidRDefault="00BF5F09" w:rsidP="00827781">
      <w:pPr>
        <w:pStyle w:val="tDefn"/>
      </w:pPr>
      <w:proofErr w:type="gramStart"/>
      <w:r w:rsidRPr="00767FC2">
        <w:rPr>
          <w:b/>
          <w:i/>
        </w:rPr>
        <w:t>y</w:t>
      </w:r>
      <w:proofErr w:type="gramEnd"/>
      <w:r w:rsidRPr="00767FC2">
        <w:rPr>
          <w:b/>
          <w:i/>
        </w:rPr>
        <w:t xml:space="preserve"> </w:t>
      </w:r>
      <w:r w:rsidRPr="00767FC2">
        <w:t>is a calendar year that ends during the reporting period.</w:t>
      </w:r>
    </w:p>
    <w:p w14:paraId="5356C8D4" w14:textId="77777777" w:rsidR="00827781" w:rsidRPr="00767FC2" w:rsidRDefault="00827781" w:rsidP="00827781">
      <w:pPr>
        <w:pStyle w:val="tDefn"/>
      </w:pPr>
      <w:r w:rsidRPr="00767FC2">
        <w:rPr>
          <w:b/>
          <w:i/>
        </w:rPr>
        <w:t>N</w:t>
      </w:r>
      <w:r w:rsidRPr="00767FC2">
        <w:t xml:space="preserve"> is the number of calendar years that end during the reporting period (1</w:t>
      </w:r>
      <w:r w:rsidR="00BF5F09" w:rsidRPr="00767FC2">
        <w:t xml:space="preserve"> or </w:t>
      </w:r>
      <w:r w:rsidRPr="00767FC2">
        <w:t>2).</w:t>
      </w:r>
    </w:p>
    <w:p w14:paraId="43633F36" w14:textId="77777777" w:rsidR="00827781" w:rsidRPr="00767FC2" w:rsidRDefault="00827781" w:rsidP="00827781">
      <w:pPr>
        <w:pStyle w:val="tDefn"/>
      </w:pPr>
      <w:proofErr w:type="spellStart"/>
      <w:r w:rsidRPr="00767FC2">
        <w:rPr>
          <w:b/>
          <w:i/>
        </w:rPr>
        <w:t>A</w:t>
      </w:r>
      <w:r w:rsidRPr="00767FC2">
        <w:rPr>
          <w:b/>
          <w:i/>
          <w:vertAlign w:val="subscript"/>
        </w:rPr>
        <w:t>EA</w:t>
      </w:r>
      <w:proofErr w:type="gramStart"/>
      <w:r w:rsidRPr="00767FC2">
        <w:rPr>
          <w:b/>
          <w:i/>
          <w:vertAlign w:val="subscript"/>
        </w:rPr>
        <w:t>,adj,y</w:t>
      </w:r>
      <w:proofErr w:type="spellEnd"/>
      <w:proofErr w:type="gramEnd"/>
      <w:r w:rsidRPr="00767FC2">
        <w:t xml:space="preserve"> is the adjusted contribution to the net abatement amount from emissions avoidance for calendar year </w:t>
      </w:r>
      <w:r w:rsidRPr="00767FC2">
        <w:rPr>
          <w:i/>
        </w:rPr>
        <w:t>y</w:t>
      </w:r>
      <w:r w:rsidRPr="00767FC2">
        <w:t>, in tonnes CO</w:t>
      </w:r>
      <w:r w:rsidRPr="00767FC2">
        <w:rPr>
          <w:vertAlign w:val="subscript"/>
        </w:rPr>
        <w:t>2</w:t>
      </w:r>
      <w:r w:rsidRPr="00767FC2">
        <w:noBreakHyphen/>
        <w:t>e, and:</w:t>
      </w:r>
    </w:p>
    <w:p w14:paraId="517CDE6C" w14:textId="77777777" w:rsidR="00BF5F09" w:rsidRPr="00767FC2" w:rsidRDefault="00BF5F09" w:rsidP="00BF5F09">
      <w:pPr>
        <w:pStyle w:val="tPara"/>
      </w:pPr>
      <w:r w:rsidRPr="00767FC2">
        <w:tab/>
        <w:t>(a)</w:t>
      </w:r>
      <w:r w:rsidRPr="00767FC2">
        <w:tab/>
      </w:r>
      <w:proofErr w:type="gramStart"/>
      <w:r w:rsidRPr="00767FC2">
        <w:t>is</w:t>
      </w:r>
      <w:proofErr w:type="gramEnd"/>
      <w:r w:rsidRPr="00767FC2">
        <w:t xml:space="preserve"> calculated using </w:t>
      </w:r>
      <w:proofErr w:type="spellStart"/>
      <w:r w:rsidRPr="00767FC2">
        <w:t>SavBAT</w:t>
      </w:r>
      <w:proofErr w:type="spellEnd"/>
      <w:r w:rsidRPr="00767FC2">
        <w:t> 3; or</w:t>
      </w:r>
    </w:p>
    <w:p w14:paraId="3E6DACFA" w14:textId="77777777" w:rsidR="00BF5F09" w:rsidRPr="00767FC2" w:rsidRDefault="00BF5F09" w:rsidP="00BF5F09">
      <w:pPr>
        <w:pStyle w:val="tPara"/>
      </w:pPr>
      <w:r w:rsidRPr="00767FC2">
        <w:tab/>
        <w:t>(b)</w:t>
      </w:r>
      <w:r w:rsidRPr="00767FC2">
        <w:tab/>
      </w:r>
      <w:proofErr w:type="gramStart"/>
      <w:r w:rsidRPr="00767FC2">
        <w:t>is</w:t>
      </w:r>
      <w:proofErr w:type="gramEnd"/>
      <w:r w:rsidRPr="00767FC2">
        <w:t xml:space="preserve"> given by the amount </w:t>
      </w:r>
      <w:proofErr w:type="spellStart"/>
      <w:r w:rsidRPr="00767FC2">
        <w:rPr>
          <w:i/>
        </w:rPr>
        <w:t>A</w:t>
      </w:r>
      <w:r w:rsidRPr="00767FC2">
        <w:rPr>
          <w:i/>
          <w:vertAlign w:val="subscript"/>
        </w:rPr>
        <w:t>EA,adj</w:t>
      </w:r>
      <w:proofErr w:type="spellEnd"/>
      <w:r w:rsidRPr="00767FC2">
        <w:t xml:space="preserve"> as calculated for calendar year </w:t>
      </w:r>
      <w:r w:rsidRPr="00767FC2">
        <w:rPr>
          <w:i/>
        </w:rPr>
        <w:t>y</w:t>
      </w:r>
      <w:r w:rsidRPr="00767FC2">
        <w:t xml:space="preserve"> in accordance with Schedule 1.</w:t>
      </w:r>
    </w:p>
    <w:p w14:paraId="1091C133" w14:textId="77777777" w:rsidR="00827781" w:rsidRPr="00767FC2" w:rsidRDefault="00827781" w:rsidP="00827781">
      <w:pPr>
        <w:pStyle w:val="nMain"/>
      </w:pPr>
      <w:r w:rsidRPr="00767FC2">
        <w:t>Note:</w:t>
      </w:r>
      <w:r w:rsidRPr="00767FC2">
        <w:tab/>
        <w:t>For paragraph (b), see section </w:t>
      </w:r>
      <w:r w:rsidR="00964086" w:rsidRPr="00767FC2">
        <w:t>2</w:t>
      </w:r>
      <w:r w:rsidRPr="00767FC2">
        <w:rPr>
          <w:noProof/>
        </w:rPr>
        <w:t xml:space="preserve"> of Schedule 1.</w:t>
      </w:r>
    </w:p>
    <w:p w14:paraId="42AD74DA" w14:textId="77777777" w:rsidR="00827781" w:rsidRPr="00767FC2" w:rsidRDefault="00827781" w:rsidP="00827781">
      <w:pPr>
        <w:pStyle w:val="h6Subsec"/>
      </w:pPr>
      <w:r w:rsidRPr="00767FC2">
        <w:rPr>
          <w:noProof/>
        </w:rPr>
        <w:t>Adjustments to calculations—</w:t>
      </w:r>
      <w:r w:rsidRPr="00767FC2">
        <w:t>multiple project areas</w:t>
      </w:r>
    </w:p>
    <w:p w14:paraId="1368B94C" w14:textId="77777777" w:rsidR="00827781" w:rsidRPr="00767FC2" w:rsidRDefault="00827781" w:rsidP="00827781">
      <w:pPr>
        <w:pStyle w:val="tMain"/>
      </w:pPr>
      <w:r w:rsidRPr="00767FC2">
        <w:tab/>
      </w:r>
      <w:r w:rsidR="001626C4" w:rsidRPr="00767FC2">
        <w:t>(2)</w:t>
      </w:r>
      <w:r w:rsidRPr="00767FC2">
        <w:tab/>
        <w:t>If a project includes more than one project area, the net abatement amount for the project is ascertained by:</w:t>
      </w:r>
    </w:p>
    <w:p w14:paraId="339953E1" w14:textId="77777777" w:rsidR="00827781" w:rsidRPr="00767FC2" w:rsidRDefault="00827781" w:rsidP="00827781">
      <w:pPr>
        <w:pStyle w:val="tPara"/>
      </w:pPr>
      <w:r w:rsidRPr="00767FC2">
        <w:tab/>
      </w:r>
      <w:r w:rsidR="001626C4" w:rsidRPr="00767FC2">
        <w:t>(a)</w:t>
      </w:r>
      <w:r w:rsidRPr="00767FC2">
        <w:tab/>
      </w:r>
      <w:proofErr w:type="gramStart"/>
      <w:r w:rsidRPr="00767FC2">
        <w:t>calculating</w:t>
      </w:r>
      <w:proofErr w:type="gramEnd"/>
      <w:r w:rsidRPr="00767FC2">
        <w:t xml:space="preserve"> a value of </w:t>
      </w:r>
      <w:r w:rsidRPr="00767FC2">
        <w:rPr>
          <w:i/>
        </w:rPr>
        <w:t xml:space="preserve">A </w:t>
      </w:r>
      <w:r w:rsidRPr="00767FC2">
        <w:t>in tonnes CO</w:t>
      </w:r>
      <w:r w:rsidRPr="00767FC2">
        <w:rPr>
          <w:vertAlign w:val="subscript"/>
        </w:rPr>
        <w:t>2</w:t>
      </w:r>
      <w:r w:rsidRPr="00767FC2">
        <w:noBreakHyphen/>
        <w:t xml:space="preserve">e in accordance with </w:t>
      </w:r>
      <w:r w:rsidR="00964086" w:rsidRPr="00767FC2">
        <w:t xml:space="preserve">equation </w:t>
      </w:r>
      <w:r w:rsidR="00964086" w:rsidRPr="00767FC2">
        <w:rPr>
          <w:noProof/>
        </w:rPr>
        <w:t>1</w:t>
      </w:r>
      <w:r w:rsidRPr="00767FC2">
        <w:t xml:space="preserve"> for each project area individually; and</w:t>
      </w:r>
    </w:p>
    <w:p w14:paraId="1C33AC37" w14:textId="77777777" w:rsidR="00827781" w:rsidRPr="00767FC2" w:rsidRDefault="00827781" w:rsidP="00827781">
      <w:pPr>
        <w:pStyle w:val="tPara"/>
      </w:pPr>
      <w:r w:rsidRPr="00767FC2">
        <w:tab/>
      </w:r>
      <w:r w:rsidR="001626C4" w:rsidRPr="00767FC2">
        <w:t>(b)</w:t>
      </w:r>
      <w:r w:rsidRPr="00767FC2">
        <w:tab/>
      </w:r>
      <w:proofErr w:type="gramStart"/>
      <w:r w:rsidRPr="00767FC2">
        <w:t>summing</w:t>
      </w:r>
      <w:proofErr w:type="gramEnd"/>
      <w:r w:rsidRPr="00767FC2">
        <w:t xml:space="preserve"> the values so calculated.</w:t>
      </w:r>
    </w:p>
    <w:p w14:paraId="05628CC8" w14:textId="77777777" w:rsidR="00346A90" w:rsidRPr="00767FC2" w:rsidRDefault="00346A90" w:rsidP="00346A90">
      <w:pPr>
        <w:pStyle w:val="h6Subsec"/>
      </w:pPr>
      <w:r w:rsidRPr="00767FC2">
        <w:t>Documents on which calculations are based</w:t>
      </w:r>
    </w:p>
    <w:p w14:paraId="30BF7D1E" w14:textId="77777777" w:rsidR="00346A90" w:rsidRPr="00767FC2" w:rsidRDefault="00346A90" w:rsidP="00346A90">
      <w:pPr>
        <w:pStyle w:val="tMain"/>
      </w:pPr>
      <w:r w:rsidRPr="00767FC2">
        <w:tab/>
      </w:r>
      <w:r w:rsidR="001626C4" w:rsidRPr="00767FC2">
        <w:t>(3)</w:t>
      </w:r>
      <w:r w:rsidRPr="00767FC2">
        <w:tab/>
        <w:t>When calculating the adjusted contributions to the net abatement amount for a particular calendar year of the reporting period, if, as a result of paragraph </w:t>
      </w:r>
      <w:r w:rsidR="00964086" w:rsidRPr="00767FC2">
        <w:t>7(3</w:t>
      </w:r>
      <w:proofErr w:type="gramStart"/>
      <w:r w:rsidR="00964086" w:rsidRPr="00767FC2">
        <w:t>)(</w:t>
      </w:r>
      <w:proofErr w:type="gramEnd"/>
      <w:r w:rsidR="00964086" w:rsidRPr="00767FC2">
        <w:t>a)</w:t>
      </w:r>
      <w:r w:rsidRPr="00767FC2">
        <w:t>, later versions of either or both of the following:</w:t>
      </w:r>
    </w:p>
    <w:p w14:paraId="3D2FC509" w14:textId="77777777" w:rsidR="00346A90" w:rsidRPr="00767FC2" w:rsidRDefault="00346A90" w:rsidP="00346A90">
      <w:pPr>
        <w:pStyle w:val="tPara"/>
      </w:pPr>
      <w:r w:rsidRPr="00767FC2">
        <w:tab/>
      </w:r>
      <w:r w:rsidR="001626C4" w:rsidRPr="00767FC2">
        <w:t>(a)</w:t>
      </w:r>
      <w:r w:rsidRPr="00767FC2">
        <w:tab/>
      </w:r>
      <w:proofErr w:type="gramStart"/>
      <w:r w:rsidRPr="00767FC2">
        <w:t>the</w:t>
      </w:r>
      <w:proofErr w:type="gramEnd"/>
      <w:r w:rsidRPr="00767FC2">
        <w:t xml:space="preserve"> Savanna Fire Management LDS Start Date spatial data layer;</w:t>
      </w:r>
    </w:p>
    <w:p w14:paraId="6CA6BBA4" w14:textId="77777777" w:rsidR="00346A90" w:rsidRPr="00767FC2" w:rsidRDefault="00346A90" w:rsidP="00346A90">
      <w:pPr>
        <w:pStyle w:val="tPara"/>
      </w:pPr>
      <w:r w:rsidRPr="00767FC2">
        <w:tab/>
      </w:r>
      <w:r w:rsidR="001626C4" w:rsidRPr="00767FC2">
        <w:t>(b)</w:t>
      </w:r>
      <w:r w:rsidRPr="00767FC2">
        <w:tab/>
      </w:r>
      <w:proofErr w:type="gramStart"/>
      <w:r w:rsidRPr="00767FC2">
        <w:t>the</w:t>
      </w:r>
      <w:proofErr w:type="gramEnd"/>
      <w:r w:rsidRPr="00767FC2">
        <w:t xml:space="preserve"> Savanna Fire Management LDS End Date spatial data layer;</w:t>
      </w:r>
    </w:p>
    <w:p w14:paraId="53796675" w14:textId="77777777" w:rsidR="00346A90" w:rsidRPr="00767FC2" w:rsidRDefault="00346A90" w:rsidP="00346A90">
      <w:pPr>
        <w:pStyle w:val="subsectionsandwich"/>
      </w:pPr>
      <w:r w:rsidRPr="00767FC2">
        <w:tab/>
      </w:r>
      <w:r w:rsidRPr="00767FC2">
        <w:tab/>
      </w:r>
      <w:proofErr w:type="gramStart"/>
      <w:r w:rsidRPr="00767FC2">
        <w:t>are</w:t>
      </w:r>
      <w:proofErr w:type="gramEnd"/>
      <w:r w:rsidRPr="00767FC2">
        <w:t xml:space="preserve"> applicable in relation to the calendar year, apply those later versions to each calendar year of the baseline period.</w:t>
      </w:r>
    </w:p>
    <w:p w14:paraId="735C7549" w14:textId="77777777" w:rsidR="00346A90" w:rsidRPr="00767FC2" w:rsidRDefault="00346A90" w:rsidP="00346A90">
      <w:pPr>
        <w:pStyle w:val="nMain"/>
      </w:pPr>
      <w:r w:rsidRPr="00767FC2">
        <w:t>Note:</w:t>
      </w:r>
      <w:r w:rsidRPr="00767FC2">
        <w:tab/>
        <w:t xml:space="preserve">Otherwise, calculations are based on instruments or writings (including </w:t>
      </w:r>
      <w:r w:rsidR="000C5634" w:rsidRPr="00767FC2">
        <w:t xml:space="preserve">the savanna technical guidance document, </w:t>
      </w:r>
      <w:proofErr w:type="spellStart"/>
      <w:r w:rsidR="000C5634" w:rsidRPr="00767FC2">
        <w:t>SavBAT</w:t>
      </w:r>
      <w:proofErr w:type="spellEnd"/>
      <w:r w:rsidR="000C5634" w:rsidRPr="00767FC2">
        <w:t xml:space="preserve"> 3, the National Inventory Report, and </w:t>
      </w:r>
      <w:r w:rsidRPr="00767FC2">
        <w:t>vegetation fuel type maps) as in force at the end of the reporting period. See subsection </w:t>
      </w:r>
      <w:r w:rsidR="00964086" w:rsidRPr="00767FC2">
        <w:t>10(1)</w:t>
      </w:r>
      <w:r w:rsidRPr="00767FC2">
        <w:t>.</w:t>
      </w:r>
    </w:p>
    <w:p w14:paraId="3D0C691B" w14:textId="77777777" w:rsidR="00242363" w:rsidRPr="00767FC2" w:rsidRDefault="001626C4" w:rsidP="00A808F1">
      <w:pPr>
        <w:pStyle w:val="h2Part"/>
      </w:pPr>
      <w:bookmarkStart w:id="104" w:name="_Toc509567217"/>
      <w:r w:rsidRPr="00767FC2">
        <w:lastRenderedPageBreak/>
        <w:t>Part 5</w:t>
      </w:r>
      <w:r w:rsidR="00242363" w:rsidRPr="00767FC2">
        <w:t>—</w:t>
      </w:r>
      <w:r w:rsidR="00961120" w:rsidRPr="00767FC2">
        <w:t>Reporting</w:t>
      </w:r>
      <w:r w:rsidR="00B94E1C" w:rsidRPr="00767FC2">
        <w:t>, record</w:t>
      </w:r>
      <w:r w:rsidR="00B94E1C" w:rsidRPr="00767FC2">
        <w:noBreakHyphen/>
        <w:t>keeping</w:t>
      </w:r>
      <w:r w:rsidR="00961120" w:rsidRPr="00767FC2">
        <w:t xml:space="preserve"> and monitoring requirements</w:t>
      </w:r>
      <w:bookmarkEnd w:id="104"/>
    </w:p>
    <w:p w14:paraId="202906C1" w14:textId="77777777" w:rsidR="00961120" w:rsidRPr="00767FC2" w:rsidRDefault="001626C4" w:rsidP="00961120">
      <w:pPr>
        <w:pStyle w:val="h3Div"/>
      </w:pPr>
      <w:bookmarkStart w:id="105" w:name="_Toc509567218"/>
      <w:r w:rsidRPr="00767FC2">
        <w:t>Division 1</w:t>
      </w:r>
      <w:r w:rsidR="00961120" w:rsidRPr="00767FC2">
        <w:t>—Offset</w:t>
      </w:r>
      <w:r w:rsidR="00D30B5B" w:rsidRPr="00767FC2">
        <w:t>s</w:t>
      </w:r>
      <w:r w:rsidR="00961120" w:rsidRPr="00767FC2">
        <w:t xml:space="preserve"> report requirements</w:t>
      </w:r>
      <w:bookmarkEnd w:id="105"/>
      <w:r w:rsidR="00961120" w:rsidRPr="00767FC2">
        <w:t xml:space="preserve"> </w:t>
      </w:r>
    </w:p>
    <w:p w14:paraId="60F4DAB3" w14:textId="77777777" w:rsidR="00242363" w:rsidRPr="00767FC2" w:rsidRDefault="001626C4" w:rsidP="00242363">
      <w:pPr>
        <w:pStyle w:val="h5Section"/>
        <w:rPr>
          <w:rFonts w:eastAsiaTheme="minorHAnsi"/>
        </w:rPr>
      </w:pPr>
      <w:bookmarkStart w:id="106" w:name="_Toc405377084"/>
      <w:bookmarkStart w:id="107" w:name="_Toc413155623"/>
      <w:bookmarkStart w:id="108" w:name="_Toc509567219"/>
      <w:proofErr w:type="gramStart"/>
      <w:r w:rsidRPr="00767FC2">
        <w:rPr>
          <w:rFonts w:eastAsiaTheme="minorHAnsi"/>
        </w:rPr>
        <w:t>35</w:t>
      </w:r>
      <w:r w:rsidR="00242363" w:rsidRPr="00767FC2">
        <w:rPr>
          <w:rFonts w:eastAsiaTheme="minorHAnsi"/>
        </w:rPr>
        <w:t xml:space="preserve">  Operation</w:t>
      </w:r>
      <w:proofErr w:type="gramEnd"/>
      <w:r w:rsidR="00242363" w:rsidRPr="00767FC2">
        <w:rPr>
          <w:rFonts w:eastAsiaTheme="minorHAnsi"/>
        </w:rPr>
        <w:t xml:space="preserve"> of this </w:t>
      </w:r>
      <w:bookmarkEnd w:id="106"/>
      <w:bookmarkEnd w:id="107"/>
      <w:r w:rsidR="00961120" w:rsidRPr="00767FC2">
        <w:rPr>
          <w:rFonts w:eastAsiaTheme="minorHAnsi"/>
        </w:rPr>
        <w:t>Division</w:t>
      </w:r>
      <w:bookmarkEnd w:id="108"/>
    </w:p>
    <w:p w14:paraId="2C76F4E6" w14:textId="77777777" w:rsidR="00242363" w:rsidRPr="00767FC2" w:rsidRDefault="00242363" w:rsidP="00242363">
      <w:pPr>
        <w:pStyle w:val="tMain"/>
        <w:rPr>
          <w:rFonts w:eastAsiaTheme="minorHAnsi"/>
          <w:lang w:eastAsia="en-US"/>
        </w:rPr>
      </w:pPr>
      <w:r w:rsidRPr="00767FC2">
        <w:rPr>
          <w:rFonts w:eastAsiaTheme="minorHAnsi"/>
          <w:lang w:eastAsia="en-US"/>
        </w:rPr>
        <w:tab/>
      </w:r>
      <w:r w:rsidRPr="00767FC2">
        <w:rPr>
          <w:rFonts w:eastAsiaTheme="minorHAnsi"/>
          <w:lang w:eastAsia="en-US"/>
        </w:rPr>
        <w:tab/>
        <w:t>For paragraph 106(3</w:t>
      </w:r>
      <w:proofErr w:type="gramStart"/>
      <w:r w:rsidRPr="00767FC2">
        <w:rPr>
          <w:rFonts w:eastAsiaTheme="minorHAnsi"/>
          <w:lang w:eastAsia="en-US"/>
        </w:rPr>
        <w:t>)(</w:t>
      </w:r>
      <w:proofErr w:type="gramEnd"/>
      <w:r w:rsidRPr="00767FC2">
        <w:rPr>
          <w:rFonts w:eastAsiaTheme="minorHAnsi"/>
          <w:lang w:eastAsia="en-US"/>
        </w:rPr>
        <w:t xml:space="preserve">a) of the Act, this </w:t>
      </w:r>
      <w:r w:rsidR="00961120" w:rsidRPr="00767FC2">
        <w:rPr>
          <w:rFonts w:eastAsiaTheme="minorHAnsi"/>
          <w:lang w:eastAsia="en-US"/>
        </w:rPr>
        <w:t xml:space="preserve">Division </w:t>
      </w:r>
      <w:r w:rsidRPr="00767FC2">
        <w:rPr>
          <w:rFonts w:eastAsiaTheme="minorHAnsi"/>
          <w:lang w:eastAsia="en-US"/>
        </w:rPr>
        <w:t xml:space="preserve">sets out information that must be included in an offsets report about a </w:t>
      </w:r>
      <w:r w:rsidR="00504AE8" w:rsidRPr="00767FC2">
        <w:rPr>
          <w:rFonts w:eastAsiaTheme="minorHAnsi"/>
          <w:lang w:eastAsia="en-US"/>
        </w:rPr>
        <w:t xml:space="preserve">savanna </w:t>
      </w:r>
      <w:r w:rsidR="008B1469" w:rsidRPr="00767FC2">
        <w:rPr>
          <w:rFonts w:eastAsiaTheme="minorHAnsi"/>
          <w:lang w:eastAsia="en-US"/>
        </w:rPr>
        <w:t>emissions avoidance</w:t>
      </w:r>
      <w:r w:rsidR="00CF1AC4" w:rsidRPr="00767FC2">
        <w:rPr>
          <w:rFonts w:eastAsiaTheme="minorHAnsi"/>
          <w:lang w:eastAsia="en-US"/>
        </w:rPr>
        <w:t xml:space="preserve"> </w:t>
      </w:r>
      <w:r w:rsidR="00504AE8" w:rsidRPr="00767FC2">
        <w:rPr>
          <w:rFonts w:eastAsiaTheme="minorHAnsi"/>
          <w:lang w:eastAsia="en-US"/>
        </w:rPr>
        <w:t>project</w:t>
      </w:r>
      <w:r w:rsidRPr="00767FC2">
        <w:rPr>
          <w:rFonts w:eastAsiaTheme="minorHAnsi"/>
          <w:lang w:eastAsia="en-US"/>
        </w:rPr>
        <w:t xml:space="preserve"> that is an eligible offsets project. </w:t>
      </w:r>
    </w:p>
    <w:p w14:paraId="6A9DD64C" w14:textId="77777777" w:rsidR="00242363" w:rsidRPr="00767FC2" w:rsidRDefault="00242363" w:rsidP="00242363">
      <w:pPr>
        <w:pStyle w:val="nMain"/>
        <w:rPr>
          <w:rFonts w:eastAsiaTheme="minorHAnsi"/>
        </w:rPr>
      </w:pPr>
      <w:r w:rsidRPr="00767FC2">
        <w:rPr>
          <w:rFonts w:eastAsiaTheme="minorHAnsi"/>
        </w:rPr>
        <w:t>Note:</w:t>
      </w:r>
      <w:r w:rsidRPr="00767FC2">
        <w:rPr>
          <w:rFonts w:eastAsiaTheme="minorHAnsi"/>
        </w:rPr>
        <w:tab/>
        <w:t xml:space="preserve">Other reporting requirements are set out in </w:t>
      </w:r>
      <w:r w:rsidR="00B91455" w:rsidRPr="00767FC2">
        <w:rPr>
          <w:rFonts w:eastAsiaTheme="minorHAnsi"/>
        </w:rPr>
        <w:t>the CFI Rule</w:t>
      </w:r>
      <w:r w:rsidRPr="00767FC2">
        <w:rPr>
          <w:rFonts w:eastAsiaTheme="minorHAnsi"/>
        </w:rPr>
        <w:t>.</w:t>
      </w:r>
    </w:p>
    <w:p w14:paraId="44330B09" w14:textId="77777777" w:rsidR="00242363" w:rsidRPr="00767FC2" w:rsidRDefault="001626C4" w:rsidP="00242363">
      <w:pPr>
        <w:pStyle w:val="h5Section"/>
        <w:rPr>
          <w:rFonts w:eastAsiaTheme="minorHAnsi"/>
        </w:rPr>
      </w:pPr>
      <w:bookmarkStart w:id="109" w:name="_Toc413155624"/>
      <w:bookmarkStart w:id="110" w:name="_Toc509567220"/>
      <w:proofErr w:type="gramStart"/>
      <w:r w:rsidRPr="00767FC2">
        <w:rPr>
          <w:rFonts w:eastAsiaTheme="minorHAnsi"/>
        </w:rPr>
        <w:t>36</w:t>
      </w:r>
      <w:r w:rsidR="00242363" w:rsidRPr="00767FC2">
        <w:rPr>
          <w:rFonts w:eastAsiaTheme="minorHAnsi"/>
        </w:rPr>
        <w:t xml:space="preserve">  Information</w:t>
      </w:r>
      <w:proofErr w:type="gramEnd"/>
      <w:r w:rsidR="00242363" w:rsidRPr="00767FC2">
        <w:rPr>
          <w:rFonts w:eastAsiaTheme="minorHAnsi"/>
        </w:rPr>
        <w:t xml:space="preserve"> that must be included in offsets reports</w:t>
      </w:r>
      <w:bookmarkEnd w:id="109"/>
      <w:bookmarkEnd w:id="110"/>
    </w:p>
    <w:p w14:paraId="753B218C" w14:textId="77777777" w:rsidR="00777BED" w:rsidRPr="00767FC2" w:rsidRDefault="00777BED" w:rsidP="00777BED">
      <w:pPr>
        <w:pStyle w:val="tMain"/>
      </w:pPr>
      <w:r w:rsidRPr="00767FC2">
        <w:tab/>
      </w:r>
      <w:r w:rsidR="001626C4" w:rsidRPr="00767FC2">
        <w:t>(1)</w:t>
      </w:r>
      <w:r w:rsidRPr="00767FC2">
        <w:tab/>
        <w:t>For each project area reported on, the offsets report must include the following:</w:t>
      </w:r>
    </w:p>
    <w:p w14:paraId="7882EA6C" w14:textId="77777777" w:rsidR="00777BED" w:rsidRPr="00767FC2" w:rsidRDefault="00777BED" w:rsidP="00777BED">
      <w:pPr>
        <w:pStyle w:val="tPara"/>
      </w:pPr>
      <w:r w:rsidRPr="00767FC2">
        <w:tab/>
      </w:r>
      <w:r w:rsidR="001626C4" w:rsidRPr="00767FC2">
        <w:t>(a)</w:t>
      </w:r>
      <w:r w:rsidRPr="00767FC2">
        <w:tab/>
      </w:r>
      <w:proofErr w:type="gramStart"/>
      <w:r w:rsidRPr="00767FC2">
        <w:t>a</w:t>
      </w:r>
      <w:proofErr w:type="gramEnd"/>
      <w:r w:rsidRPr="00767FC2">
        <w:t xml:space="preserve"> statement that the project area was not varied, and did not result from a project area that was varied, other than in accordance with section </w:t>
      </w:r>
      <w:r w:rsidR="00964086" w:rsidRPr="00767FC2">
        <w:t>15</w:t>
      </w:r>
      <w:r w:rsidRPr="00767FC2">
        <w:t>;</w:t>
      </w:r>
    </w:p>
    <w:p w14:paraId="51682719" w14:textId="77777777" w:rsidR="00777BED" w:rsidRPr="00767FC2" w:rsidRDefault="00777BED" w:rsidP="00777BED">
      <w:pPr>
        <w:pStyle w:val="tPara"/>
      </w:pPr>
      <w:r w:rsidRPr="00767FC2">
        <w:tab/>
      </w:r>
      <w:r w:rsidR="001626C4" w:rsidRPr="00767FC2">
        <w:t>(b)</w:t>
      </w:r>
      <w:r w:rsidRPr="00767FC2">
        <w:tab/>
      </w:r>
      <w:proofErr w:type="gramStart"/>
      <w:r w:rsidRPr="00767FC2">
        <w:t>if</w:t>
      </w:r>
      <w:proofErr w:type="gramEnd"/>
      <w:r w:rsidRPr="00767FC2">
        <w:t xml:space="preserve"> the project area was added </w:t>
      </w:r>
      <w:r w:rsidR="008808ED" w:rsidRPr="00767FC2">
        <w:t>to the project as the result of a variation to the section 27 declaration and is being reported on for the first time</w:t>
      </w:r>
      <w:r w:rsidRPr="00767FC2">
        <w:t>—a statement of that fact;</w:t>
      </w:r>
    </w:p>
    <w:p w14:paraId="23B0B949" w14:textId="77777777" w:rsidR="00777BED" w:rsidRPr="00767FC2" w:rsidRDefault="00777BED" w:rsidP="00777BED">
      <w:pPr>
        <w:pStyle w:val="tPara"/>
      </w:pPr>
      <w:r w:rsidRPr="00767FC2">
        <w:tab/>
      </w:r>
      <w:r w:rsidR="001626C4" w:rsidRPr="00767FC2">
        <w:t>(c)</w:t>
      </w:r>
      <w:r w:rsidRPr="00767FC2">
        <w:tab/>
      </w:r>
      <w:proofErr w:type="gramStart"/>
      <w:r w:rsidRPr="00767FC2">
        <w:t>if</w:t>
      </w:r>
      <w:proofErr w:type="gramEnd"/>
      <w:r w:rsidRPr="00767FC2">
        <w:t xml:space="preserve"> the project area is a subdivided project area that is first reported on during that reporting period</w:t>
      </w:r>
      <w:r w:rsidR="00476F3A" w:rsidRPr="00767FC2">
        <w:t>:</w:t>
      </w:r>
    </w:p>
    <w:p w14:paraId="4DC0D8C5" w14:textId="77777777" w:rsidR="00476F3A" w:rsidRPr="00767FC2" w:rsidRDefault="00476F3A" w:rsidP="00476F3A">
      <w:pPr>
        <w:pStyle w:val="tSubpara"/>
      </w:pPr>
      <w:r w:rsidRPr="00767FC2">
        <w:tab/>
      </w:r>
      <w:r w:rsidR="001626C4" w:rsidRPr="00767FC2">
        <w:t>(</w:t>
      </w:r>
      <w:proofErr w:type="spellStart"/>
      <w:r w:rsidR="001626C4" w:rsidRPr="00767FC2">
        <w:t>i</w:t>
      </w:r>
      <w:proofErr w:type="spellEnd"/>
      <w:r w:rsidR="001626C4" w:rsidRPr="00767FC2">
        <w:t>)</w:t>
      </w:r>
      <w:r w:rsidRPr="00767FC2">
        <w:tab/>
      </w:r>
      <w:proofErr w:type="gramStart"/>
      <w:r w:rsidRPr="00767FC2">
        <w:t>a</w:t>
      </w:r>
      <w:proofErr w:type="gramEnd"/>
      <w:r w:rsidRPr="00767FC2">
        <w:t xml:space="preserve"> statement of that fact; and</w:t>
      </w:r>
    </w:p>
    <w:p w14:paraId="7A48E0B1" w14:textId="77777777" w:rsidR="00476F3A" w:rsidRPr="00767FC2" w:rsidRDefault="00476F3A" w:rsidP="00476F3A">
      <w:pPr>
        <w:pStyle w:val="tSubpara"/>
      </w:pPr>
      <w:r w:rsidRPr="00767FC2">
        <w:tab/>
      </w:r>
      <w:r w:rsidR="001626C4" w:rsidRPr="00767FC2">
        <w:t>(ii)</w:t>
      </w:r>
      <w:r w:rsidRPr="00767FC2">
        <w:tab/>
      </w:r>
      <w:proofErr w:type="gramStart"/>
      <w:r w:rsidRPr="00767FC2">
        <w:t>the</w:t>
      </w:r>
      <w:proofErr w:type="gramEnd"/>
      <w:r w:rsidRPr="00767FC2">
        <w:t xml:space="preserve"> date on which the </w:t>
      </w:r>
      <w:r w:rsidR="00E84DAB" w:rsidRPr="00767FC2">
        <w:t>relevant variation of the section 27 declaration took effect</w:t>
      </w:r>
      <w:r w:rsidRPr="00767FC2">
        <w:t>;</w:t>
      </w:r>
    </w:p>
    <w:p w14:paraId="58E0F26A" w14:textId="77777777" w:rsidR="00F80CF2" w:rsidRPr="00767FC2" w:rsidRDefault="00777BED" w:rsidP="00F80CF2">
      <w:pPr>
        <w:pStyle w:val="tPara"/>
      </w:pPr>
      <w:r w:rsidRPr="00767FC2">
        <w:tab/>
      </w:r>
      <w:r w:rsidR="001626C4" w:rsidRPr="00767FC2">
        <w:t>(d)</w:t>
      </w:r>
      <w:r w:rsidRPr="00767FC2">
        <w:tab/>
      </w:r>
      <w:proofErr w:type="gramStart"/>
      <w:r w:rsidR="00F80CF2" w:rsidRPr="00767FC2">
        <w:t>if</w:t>
      </w:r>
      <w:proofErr w:type="gramEnd"/>
      <w:r w:rsidR="00F80CF2" w:rsidRPr="00767FC2">
        <w:t xml:space="preserve"> the project proponent used </w:t>
      </w:r>
      <w:proofErr w:type="spellStart"/>
      <w:r w:rsidR="00F80CF2" w:rsidRPr="00767FC2">
        <w:t>SavBAT</w:t>
      </w:r>
      <w:proofErr w:type="spellEnd"/>
      <w:r w:rsidR="00F80CF2" w:rsidRPr="00767FC2">
        <w:t> 3 to calculate the net abatement amount for the project area—a copy of:</w:t>
      </w:r>
    </w:p>
    <w:p w14:paraId="48C0C01F" w14:textId="77777777" w:rsidR="00F80CF2" w:rsidRPr="00767FC2" w:rsidRDefault="00F80CF2" w:rsidP="00F80CF2">
      <w:pPr>
        <w:pStyle w:val="tSubpara"/>
      </w:pPr>
      <w:r w:rsidRPr="00767FC2">
        <w:tab/>
      </w:r>
      <w:r w:rsidR="001626C4" w:rsidRPr="00767FC2">
        <w:t>(</w:t>
      </w:r>
      <w:proofErr w:type="spellStart"/>
      <w:r w:rsidR="001626C4" w:rsidRPr="00767FC2">
        <w:t>i</w:t>
      </w:r>
      <w:proofErr w:type="spellEnd"/>
      <w:r w:rsidR="001626C4" w:rsidRPr="00767FC2">
        <w:t>)</w:t>
      </w:r>
      <w:r w:rsidRPr="00767FC2">
        <w:tab/>
      </w:r>
      <w:proofErr w:type="gramStart"/>
      <w:r w:rsidRPr="00767FC2">
        <w:t>each</w:t>
      </w:r>
      <w:proofErr w:type="gramEnd"/>
      <w:r w:rsidRPr="00767FC2">
        <w:t xml:space="preserve"> abatement report; and</w:t>
      </w:r>
    </w:p>
    <w:p w14:paraId="25974985" w14:textId="77777777" w:rsidR="00F80CF2" w:rsidRPr="00767FC2" w:rsidRDefault="00F80CF2" w:rsidP="00F80CF2">
      <w:pPr>
        <w:pStyle w:val="tSubpara"/>
      </w:pPr>
      <w:r w:rsidRPr="00767FC2">
        <w:tab/>
      </w:r>
      <w:r w:rsidR="001626C4" w:rsidRPr="00767FC2">
        <w:t>(ii)</w:t>
      </w:r>
      <w:r w:rsidRPr="00767FC2">
        <w:tab/>
      </w:r>
      <w:proofErr w:type="gramStart"/>
      <w:r w:rsidRPr="00767FC2">
        <w:t>if</w:t>
      </w:r>
      <w:proofErr w:type="gramEnd"/>
      <w:r w:rsidRPr="00767FC2">
        <w:t xml:space="preserve"> the project area is a subdivided project area that is first reported on during the reporting period—</w:t>
      </w:r>
      <w:r w:rsidR="00680FB2" w:rsidRPr="00767FC2">
        <w:t xml:space="preserve">the </w:t>
      </w:r>
      <w:r w:rsidRPr="00767FC2">
        <w:t>subdivision report;</w:t>
      </w:r>
    </w:p>
    <w:p w14:paraId="37EC2824" w14:textId="77777777" w:rsidR="00777BED" w:rsidRPr="00767FC2" w:rsidRDefault="00F80CF2" w:rsidP="00F80CF2">
      <w:pPr>
        <w:pStyle w:val="tPara"/>
      </w:pPr>
      <w:r w:rsidRPr="00767FC2">
        <w:tab/>
      </w:r>
      <w:r w:rsidRPr="00767FC2">
        <w:tab/>
      </w:r>
      <w:proofErr w:type="gramStart"/>
      <w:r w:rsidRPr="00767FC2">
        <w:t>produced</w:t>
      </w:r>
      <w:proofErr w:type="gramEnd"/>
      <w:r w:rsidRPr="00767FC2">
        <w:t xml:space="preserve"> by </w:t>
      </w:r>
      <w:proofErr w:type="spellStart"/>
      <w:r w:rsidRPr="00767FC2">
        <w:t>SavBAT</w:t>
      </w:r>
      <w:proofErr w:type="spellEnd"/>
      <w:r w:rsidRPr="00767FC2">
        <w:t> 3 for the reporting period;</w:t>
      </w:r>
    </w:p>
    <w:p w14:paraId="79CCC916" w14:textId="77777777" w:rsidR="00777BED" w:rsidRPr="00767FC2" w:rsidRDefault="00777BED" w:rsidP="00777BED">
      <w:pPr>
        <w:pStyle w:val="tPara"/>
      </w:pPr>
      <w:r w:rsidRPr="00767FC2">
        <w:tab/>
      </w:r>
      <w:r w:rsidR="001626C4" w:rsidRPr="00767FC2">
        <w:t>(e)</w:t>
      </w:r>
      <w:r w:rsidRPr="00767FC2">
        <w:tab/>
      </w:r>
      <w:proofErr w:type="gramStart"/>
      <w:r w:rsidRPr="00767FC2">
        <w:t>if</w:t>
      </w:r>
      <w:proofErr w:type="gramEnd"/>
      <w:r w:rsidRPr="00767FC2">
        <w:t xml:space="preserve"> the project proponent calculated the net abatement amount for the project area without using </w:t>
      </w:r>
      <w:proofErr w:type="spellStart"/>
      <w:r w:rsidRPr="00767FC2">
        <w:t>SavBAT</w:t>
      </w:r>
      <w:proofErr w:type="spellEnd"/>
      <w:r w:rsidRPr="00767FC2">
        <w:t> 3:</w:t>
      </w:r>
    </w:p>
    <w:p w14:paraId="404B534B" w14:textId="77777777" w:rsidR="00777BED" w:rsidRPr="00767FC2" w:rsidRDefault="00777BED" w:rsidP="00777BED">
      <w:pPr>
        <w:pStyle w:val="tSubpara"/>
      </w:pPr>
      <w:r w:rsidRPr="00767FC2">
        <w:tab/>
      </w:r>
      <w:r w:rsidR="001626C4" w:rsidRPr="00767FC2">
        <w:t>(</w:t>
      </w:r>
      <w:proofErr w:type="spellStart"/>
      <w:r w:rsidR="001626C4" w:rsidRPr="00767FC2">
        <w:t>i</w:t>
      </w:r>
      <w:proofErr w:type="spellEnd"/>
      <w:r w:rsidR="001626C4" w:rsidRPr="00767FC2">
        <w:t>)</w:t>
      </w:r>
      <w:r w:rsidRPr="00767FC2">
        <w:tab/>
      </w:r>
      <w:proofErr w:type="gramStart"/>
      <w:r w:rsidRPr="00767FC2">
        <w:t>copies</w:t>
      </w:r>
      <w:proofErr w:type="gramEnd"/>
      <w:r w:rsidRPr="00767FC2">
        <w:t xml:space="preserve"> of each seasonal fire map prepared in accordance with the savanna technical guidance document; and</w:t>
      </w:r>
    </w:p>
    <w:p w14:paraId="24C7394B" w14:textId="77777777" w:rsidR="00777BED" w:rsidRPr="00767FC2" w:rsidRDefault="00777BED" w:rsidP="00777BED">
      <w:pPr>
        <w:pStyle w:val="tSubpara"/>
      </w:pPr>
      <w:r w:rsidRPr="00767FC2">
        <w:tab/>
      </w:r>
      <w:r w:rsidR="001626C4" w:rsidRPr="00767FC2">
        <w:t>(ii)</w:t>
      </w:r>
      <w:r w:rsidRPr="00767FC2">
        <w:tab/>
        <w:t xml:space="preserve">for each monthly fire map </w:t>
      </w:r>
      <w:r w:rsidR="00476F3A" w:rsidRPr="00767FC2">
        <w:t>that the project proponent produced in accordance with the savanna technical guidance document</w:t>
      </w:r>
      <w:r w:rsidRPr="00767FC2">
        <w:t>—any ERF audit report relating to the validation of the seasonal fire map for which that monthly fire map was used; and</w:t>
      </w:r>
    </w:p>
    <w:p w14:paraId="09EDABF2" w14:textId="77777777" w:rsidR="008E2BA8" w:rsidRPr="00767FC2" w:rsidRDefault="00777BED" w:rsidP="00F80CF2">
      <w:pPr>
        <w:pStyle w:val="tSubpara"/>
      </w:pPr>
      <w:r w:rsidRPr="00767FC2">
        <w:tab/>
      </w:r>
      <w:r w:rsidR="001626C4" w:rsidRPr="00767FC2">
        <w:t>(iii)</w:t>
      </w:r>
      <w:r w:rsidRPr="00767FC2">
        <w:tab/>
      </w:r>
      <w:r w:rsidR="008E2BA8" w:rsidRPr="00767FC2">
        <w:t>the value of each amount that was calculated in accordance with an equation set out in Schedule 1 for the purpose of calculating the net abatement amount; and</w:t>
      </w:r>
    </w:p>
    <w:p w14:paraId="7DEA1124" w14:textId="77777777" w:rsidR="00F80CF2" w:rsidRPr="00767FC2" w:rsidRDefault="00F80CF2" w:rsidP="00F80CF2">
      <w:pPr>
        <w:pStyle w:val="tSubpara"/>
      </w:pPr>
      <w:r w:rsidRPr="00767FC2">
        <w:tab/>
      </w:r>
      <w:r w:rsidR="001626C4" w:rsidRPr="00767FC2">
        <w:t>(iv)</w:t>
      </w:r>
      <w:r w:rsidRPr="00767FC2">
        <w:tab/>
        <w:t>if the project area is a subdivided project area that is first reported on during the reporting period</w:t>
      </w:r>
      <w:r w:rsidR="00404FF9" w:rsidRPr="00767FC2">
        <w:rPr>
          <w:noProof/>
        </w:rPr>
        <w:t>—</w:t>
      </w:r>
      <w:r w:rsidR="00680FB2" w:rsidRPr="00767FC2">
        <w:rPr>
          <w:noProof/>
        </w:rPr>
        <w:t xml:space="preserve">the values of the variables that were used to calculate </w:t>
      </w:r>
      <w:r w:rsidR="002C178E" w:rsidRPr="00767FC2">
        <w:rPr>
          <w:noProof/>
        </w:rPr>
        <w:t xml:space="preserve">the amount given by </w:t>
      </w:r>
      <w:r w:rsidR="00964086" w:rsidRPr="00767FC2">
        <w:t xml:space="preserve">equation </w:t>
      </w:r>
      <w:r w:rsidR="00964086" w:rsidRPr="00767FC2">
        <w:rPr>
          <w:noProof/>
        </w:rPr>
        <w:t>13</w:t>
      </w:r>
      <w:r w:rsidR="002C178E" w:rsidRPr="00767FC2">
        <w:rPr>
          <w:noProof/>
        </w:rPr>
        <w:t xml:space="preserve"> (in addition to that amount)</w:t>
      </w:r>
      <w:r w:rsidRPr="00767FC2">
        <w:t>;</w:t>
      </w:r>
    </w:p>
    <w:p w14:paraId="17A0950E" w14:textId="77777777" w:rsidR="00777BED" w:rsidRPr="00767FC2" w:rsidRDefault="00777BED" w:rsidP="00F80CF2">
      <w:pPr>
        <w:pStyle w:val="tPara"/>
      </w:pPr>
      <w:r w:rsidRPr="00767FC2">
        <w:tab/>
      </w:r>
      <w:r w:rsidR="001626C4" w:rsidRPr="00767FC2">
        <w:t>(f)</w:t>
      </w:r>
      <w:r w:rsidRPr="00767FC2">
        <w:tab/>
      </w:r>
      <w:proofErr w:type="gramStart"/>
      <w:r w:rsidRPr="00767FC2">
        <w:t>if</w:t>
      </w:r>
      <w:proofErr w:type="gramEnd"/>
      <w:r w:rsidRPr="00767FC2">
        <w:t xml:space="preserve"> the project proponent is required to monitor the project area in accordance with section </w:t>
      </w:r>
      <w:r w:rsidR="00964086" w:rsidRPr="00767FC2">
        <w:t>40</w:t>
      </w:r>
      <w:r w:rsidRPr="00767FC2">
        <w:t>—the results of the monitoring;</w:t>
      </w:r>
    </w:p>
    <w:p w14:paraId="0683010C" w14:textId="77777777" w:rsidR="000F5202" w:rsidRPr="00767FC2" w:rsidRDefault="000F5202" w:rsidP="000F5202">
      <w:pPr>
        <w:pStyle w:val="tPara"/>
      </w:pPr>
      <w:r w:rsidRPr="00767FC2">
        <w:tab/>
        <w:t>(g)</w:t>
      </w:r>
      <w:r w:rsidRPr="00767FC2">
        <w:tab/>
      </w:r>
      <w:proofErr w:type="gramStart"/>
      <w:r w:rsidRPr="00767FC2">
        <w:t>if</w:t>
      </w:r>
      <w:proofErr w:type="gramEnd"/>
      <w:r w:rsidRPr="00767FC2">
        <w:t xml:space="preserve"> the project proponent is not required to monitor the project area in accordance with section 40—</w:t>
      </w:r>
      <w:r w:rsidR="00585C60" w:rsidRPr="00767FC2">
        <w:t xml:space="preserve">a statement as to </w:t>
      </w:r>
      <w:r w:rsidRPr="00767FC2">
        <w:t>whether, to the best of the project proponent’s knowledge, any relevant weed species is present in the project area;</w:t>
      </w:r>
    </w:p>
    <w:p w14:paraId="6ACBDD5B" w14:textId="77777777" w:rsidR="004238DE" w:rsidRPr="00767FC2" w:rsidRDefault="00777BED" w:rsidP="004238DE">
      <w:pPr>
        <w:pStyle w:val="tPara"/>
      </w:pPr>
      <w:r w:rsidRPr="00767FC2">
        <w:tab/>
      </w:r>
      <w:r w:rsidR="001626C4" w:rsidRPr="00767FC2">
        <w:t>(</w:t>
      </w:r>
      <w:r w:rsidR="000F5202" w:rsidRPr="00767FC2">
        <w:t>h</w:t>
      </w:r>
      <w:r w:rsidR="001626C4" w:rsidRPr="00767FC2">
        <w:t>)</w:t>
      </w:r>
      <w:r w:rsidRPr="00767FC2">
        <w:tab/>
      </w:r>
      <w:proofErr w:type="gramStart"/>
      <w:r w:rsidRPr="00767FC2">
        <w:t>a</w:t>
      </w:r>
      <w:proofErr w:type="gramEnd"/>
      <w:r w:rsidRPr="00767FC2">
        <w:t xml:space="preserve"> declaration to the effect that the density of livestock in the project area has not increased </w:t>
      </w:r>
      <w:r w:rsidR="004238DE" w:rsidRPr="00767FC2">
        <w:t>as a consequence of the project;</w:t>
      </w:r>
    </w:p>
    <w:p w14:paraId="29F7EE83" w14:textId="77777777" w:rsidR="004238DE" w:rsidRPr="00767FC2" w:rsidRDefault="004238DE" w:rsidP="003A5B91">
      <w:pPr>
        <w:pStyle w:val="tPara"/>
      </w:pPr>
      <w:r w:rsidRPr="00767FC2">
        <w:lastRenderedPageBreak/>
        <w:tab/>
        <w:t>(</w:t>
      </w:r>
      <w:proofErr w:type="spellStart"/>
      <w:r w:rsidR="000F5202" w:rsidRPr="00767FC2">
        <w:t>i</w:t>
      </w:r>
      <w:proofErr w:type="spellEnd"/>
      <w:r w:rsidRPr="00767FC2">
        <w:t>)</w:t>
      </w:r>
      <w:r w:rsidRPr="00767FC2">
        <w:tab/>
      </w:r>
      <w:proofErr w:type="gramStart"/>
      <w:r w:rsidRPr="00767FC2">
        <w:t>if</w:t>
      </w:r>
      <w:proofErr w:type="gramEnd"/>
      <w:r w:rsidRPr="00767FC2">
        <w:t xml:space="preserve"> </w:t>
      </w:r>
      <w:r w:rsidR="008D4EB3" w:rsidRPr="00767FC2">
        <w:t>subsection</w:t>
      </w:r>
      <w:r w:rsidRPr="00767FC2">
        <w:t xml:space="preserve"> 14(</w:t>
      </w:r>
      <w:r w:rsidR="008D4EB3" w:rsidRPr="00767FC2">
        <w:t>4</w:t>
      </w:r>
      <w:r w:rsidRPr="00767FC2">
        <w:t xml:space="preserve">) </w:t>
      </w:r>
      <w:r w:rsidR="00941501" w:rsidRPr="00767FC2">
        <w:t xml:space="preserve">or paragraph 25(3)(b) </w:t>
      </w:r>
      <w:r w:rsidRPr="00767FC2">
        <w:t xml:space="preserve">applied to the project </w:t>
      </w:r>
      <w:r w:rsidR="00941501" w:rsidRPr="00767FC2">
        <w:t xml:space="preserve">in relation to </w:t>
      </w:r>
      <w:r w:rsidRPr="00767FC2">
        <w:t>the reporting period—a map of the area impacted by relevant weed species and evidence that the weeds were permanently removed from that area</w:t>
      </w:r>
      <w:r w:rsidR="003A5B91" w:rsidRPr="00767FC2">
        <w:t>.</w:t>
      </w:r>
    </w:p>
    <w:p w14:paraId="2785D435" w14:textId="77777777" w:rsidR="00777BED" w:rsidRPr="00767FC2" w:rsidRDefault="00777BED" w:rsidP="00777BED">
      <w:pPr>
        <w:pStyle w:val="tMain"/>
      </w:pPr>
      <w:r w:rsidRPr="00767FC2">
        <w:tab/>
      </w:r>
      <w:r w:rsidR="001626C4" w:rsidRPr="00767FC2">
        <w:t>(2)</w:t>
      </w:r>
      <w:r w:rsidRPr="00767FC2">
        <w:tab/>
        <w:t>For subparagraph </w:t>
      </w:r>
      <w:r w:rsidR="00964086" w:rsidRPr="00767FC2">
        <w:t>(1</w:t>
      </w:r>
      <w:proofErr w:type="gramStart"/>
      <w:r w:rsidR="00964086" w:rsidRPr="00767FC2">
        <w:t>)(</w:t>
      </w:r>
      <w:proofErr w:type="gramEnd"/>
      <w:r w:rsidR="00964086" w:rsidRPr="00767FC2">
        <w:t>e)(</w:t>
      </w:r>
      <w:proofErr w:type="spellStart"/>
      <w:r w:rsidR="00964086" w:rsidRPr="00767FC2">
        <w:t>i</w:t>
      </w:r>
      <w:proofErr w:type="spellEnd"/>
      <w:r w:rsidR="00964086" w:rsidRPr="00767FC2">
        <w:t>)</w:t>
      </w:r>
      <w:r w:rsidRPr="00767FC2">
        <w:t>, if each fire season is uniquely identified, a single map may show the area burnt in both fire seasons in a calendar year.</w:t>
      </w:r>
    </w:p>
    <w:p w14:paraId="542ACD12" w14:textId="77777777" w:rsidR="00777BED" w:rsidRPr="00767FC2" w:rsidRDefault="00777BED" w:rsidP="00777BED">
      <w:pPr>
        <w:pStyle w:val="tMain"/>
      </w:pPr>
      <w:r w:rsidRPr="00767FC2">
        <w:tab/>
      </w:r>
      <w:r w:rsidR="001626C4" w:rsidRPr="00767FC2">
        <w:t>(3)</w:t>
      </w:r>
      <w:r w:rsidRPr="00767FC2">
        <w:tab/>
        <w:t xml:space="preserve">For each project area being reported on, and for each </w:t>
      </w:r>
      <w:r w:rsidR="00827781" w:rsidRPr="00767FC2">
        <w:t>calendar</w:t>
      </w:r>
      <w:r w:rsidRPr="00767FC2">
        <w:t xml:space="preserve"> year of the reporting period, the offsets report must include the following:</w:t>
      </w:r>
    </w:p>
    <w:p w14:paraId="090A00E3" w14:textId="77777777" w:rsidR="00777BED" w:rsidRPr="00767FC2" w:rsidRDefault="00777BED" w:rsidP="00777BED">
      <w:pPr>
        <w:pStyle w:val="tPara"/>
      </w:pPr>
      <w:r w:rsidRPr="00767FC2">
        <w:tab/>
      </w:r>
      <w:r w:rsidR="001626C4" w:rsidRPr="00767FC2">
        <w:t>(a)</w:t>
      </w:r>
      <w:r w:rsidRPr="00767FC2">
        <w:tab/>
      </w:r>
      <w:proofErr w:type="gramStart"/>
      <w:r w:rsidRPr="00767FC2">
        <w:t>if</w:t>
      </w:r>
      <w:proofErr w:type="gramEnd"/>
      <w:r w:rsidRPr="00767FC2">
        <w:t xml:space="preserve"> planned burning was undertaken:</w:t>
      </w:r>
    </w:p>
    <w:p w14:paraId="5FD0B3AB" w14:textId="77777777" w:rsidR="00777BED" w:rsidRPr="00767FC2" w:rsidRDefault="00777BED" w:rsidP="00777BED">
      <w:pPr>
        <w:pStyle w:val="tSubpara"/>
      </w:pPr>
      <w:r w:rsidRPr="00767FC2">
        <w:tab/>
      </w:r>
      <w:r w:rsidR="001626C4" w:rsidRPr="00767FC2">
        <w:t>(</w:t>
      </w:r>
      <w:proofErr w:type="spellStart"/>
      <w:r w:rsidR="001626C4" w:rsidRPr="00767FC2">
        <w:t>i</w:t>
      </w:r>
      <w:proofErr w:type="spellEnd"/>
      <w:r w:rsidR="001626C4" w:rsidRPr="00767FC2">
        <w:t>)</w:t>
      </w:r>
      <w:r w:rsidRPr="00767FC2">
        <w:tab/>
      </w:r>
      <w:proofErr w:type="gramStart"/>
      <w:r w:rsidRPr="00767FC2">
        <w:t>a</w:t>
      </w:r>
      <w:proofErr w:type="gramEnd"/>
      <w:r w:rsidRPr="00767FC2">
        <w:t xml:space="preserve"> statement of that fact; and</w:t>
      </w:r>
    </w:p>
    <w:p w14:paraId="64899198" w14:textId="77777777" w:rsidR="00777BED" w:rsidRPr="00767FC2" w:rsidRDefault="00777BED" w:rsidP="00777BED">
      <w:pPr>
        <w:pStyle w:val="tSubpara"/>
      </w:pPr>
      <w:r w:rsidRPr="00767FC2">
        <w:tab/>
      </w:r>
      <w:r w:rsidR="001626C4" w:rsidRPr="00767FC2">
        <w:t>(ii)</w:t>
      </w:r>
      <w:r w:rsidRPr="00767FC2">
        <w:tab/>
      </w:r>
      <w:proofErr w:type="gramStart"/>
      <w:r w:rsidRPr="00767FC2">
        <w:t>a</w:t>
      </w:r>
      <w:proofErr w:type="gramEnd"/>
      <w:r w:rsidRPr="00767FC2">
        <w:t xml:space="preserve"> description of the </w:t>
      </w:r>
      <w:r w:rsidR="00391585" w:rsidRPr="00767FC2">
        <w:t xml:space="preserve">location, timing and extent of that </w:t>
      </w:r>
      <w:r w:rsidRPr="00767FC2">
        <w:t>planned burning; and</w:t>
      </w:r>
    </w:p>
    <w:p w14:paraId="0CA35255" w14:textId="77777777" w:rsidR="00777BED" w:rsidRPr="00767FC2" w:rsidRDefault="00777BED" w:rsidP="00777BED">
      <w:pPr>
        <w:pStyle w:val="tSubpara"/>
      </w:pPr>
      <w:r w:rsidRPr="00767FC2">
        <w:tab/>
      </w:r>
      <w:r w:rsidR="001626C4" w:rsidRPr="00767FC2">
        <w:t>(iii)</w:t>
      </w:r>
      <w:r w:rsidRPr="00767FC2">
        <w:tab/>
      </w:r>
      <w:proofErr w:type="gramStart"/>
      <w:r w:rsidRPr="00767FC2">
        <w:t>an</w:t>
      </w:r>
      <w:proofErr w:type="gramEnd"/>
      <w:r w:rsidRPr="00767FC2">
        <w:t xml:space="preserve"> indication of whether, and the extent to which, that planned burning satisfied section </w:t>
      </w:r>
      <w:r w:rsidR="00964086" w:rsidRPr="00767FC2">
        <w:t>16</w:t>
      </w:r>
      <w:r w:rsidRPr="00767FC2">
        <w:t>;</w:t>
      </w:r>
    </w:p>
    <w:p w14:paraId="709A3FBF" w14:textId="77777777" w:rsidR="00777BED" w:rsidRPr="00767FC2" w:rsidRDefault="00777BED" w:rsidP="00777BED">
      <w:pPr>
        <w:pStyle w:val="tPara"/>
      </w:pPr>
      <w:r w:rsidRPr="00767FC2">
        <w:tab/>
      </w:r>
      <w:r w:rsidR="001626C4" w:rsidRPr="00767FC2">
        <w:t>(b)</w:t>
      </w:r>
      <w:r w:rsidRPr="00767FC2">
        <w:tab/>
      </w:r>
      <w:proofErr w:type="gramStart"/>
      <w:r w:rsidRPr="00767FC2">
        <w:t>if</w:t>
      </w:r>
      <w:proofErr w:type="gramEnd"/>
      <w:r w:rsidRPr="00767FC2">
        <w:t xml:space="preserve"> planned burning was not undertaken:</w:t>
      </w:r>
    </w:p>
    <w:p w14:paraId="688C7D6B" w14:textId="77777777" w:rsidR="00777BED" w:rsidRPr="00767FC2" w:rsidRDefault="00777BED" w:rsidP="00777BED">
      <w:pPr>
        <w:pStyle w:val="tSubpara"/>
      </w:pPr>
      <w:r w:rsidRPr="00767FC2">
        <w:tab/>
      </w:r>
      <w:r w:rsidR="001626C4" w:rsidRPr="00767FC2">
        <w:t>(</w:t>
      </w:r>
      <w:proofErr w:type="spellStart"/>
      <w:r w:rsidR="001626C4" w:rsidRPr="00767FC2">
        <w:t>i</w:t>
      </w:r>
      <w:proofErr w:type="spellEnd"/>
      <w:r w:rsidR="001626C4" w:rsidRPr="00767FC2">
        <w:t>)</w:t>
      </w:r>
      <w:r w:rsidRPr="00767FC2">
        <w:tab/>
      </w:r>
      <w:proofErr w:type="gramStart"/>
      <w:r w:rsidRPr="00767FC2">
        <w:t>a</w:t>
      </w:r>
      <w:proofErr w:type="gramEnd"/>
      <w:r w:rsidRPr="00767FC2">
        <w:t xml:space="preserve"> statement of that fact; and</w:t>
      </w:r>
    </w:p>
    <w:p w14:paraId="70B45599" w14:textId="77777777" w:rsidR="00777BED" w:rsidRPr="00767FC2" w:rsidRDefault="00777BED" w:rsidP="00777BED">
      <w:pPr>
        <w:pStyle w:val="tSubpara"/>
      </w:pPr>
      <w:r w:rsidRPr="00767FC2">
        <w:tab/>
      </w:r>
      <w:r w:rsidR="001626C4" w:rsidRPr="00767FC2">
        <w:t>(ii)</w:t>
      </w:r>
      <w:r w:rsidRPr="00767FC2">
        <w:tab/>
      </w:r>
      <w:proofErr w:type="gramStart"/>
      <w:r w:rsidRPr="00767FC2">
        <w:t>the</w:t>
      </w:r>
      <w:proofErr w:type="gramEnd"/>
      <w:r w:rsidRPr="00767FC2">
        <w:t xml:space="preserve"> reasons why planned burning was not undertaken;</w:t>
      </w:r>
    </w:p>
    <w:p w14:paraId="5144C5B8" w14:textId="77777777" w:rsidR="00182A98" w:rsidRPr="00767FC2" w:rsidRDefault="00777BED" w:rsidP="00182A98">
      <w:pPr>
        <w:pStyle w:val="tPara"/>
      </w:pPr>
      <w:r w:rsidRPr="00767FC2">
        <w:tab/>
      </w:r>
      <w:r w:rsidR="001626C4" w:rsidRPr="00767FC2">
        <w:t>(c)</w:t>
      </w:r>
      <w:r w:rsidRPr="00767FC2">
        <w:tab/>
      </w:r>
      <w:proofErr w:type="gramStart"/>
      <w:r w:rsidRPr="00767FC2">
        <w:t>a</w:t>
      </w:r>
      <w:proofErr w:type="gramEnd"/>
      <w:r w:rsidRPr="00767FC2">
        <w:t xml:space="preserve"> copy of</w:t>
      </w:r>
      <w:r w:rsidR="00182A98" w:rsidRPr="00767FC2">
        <w:t>:</w:t>
      </w:r>
    </w:p>
    <w:p w14:paraId="5661F67D" w14:textId="77777777" w:rsidR="00182A98" w:rsidRPr="00767FC2" w:rsidRDefault="00182A98" w:rsidP="00182A98">
      <w:pPr>
        <w:pStyle w:val="tSubpara"/>
      </w:pPr>
      <w:r w:rsidRPr="00767FC2">
        <w:tab/>
        <w:t>(</w:t>
      </w:r>
      <w:proofErr w:type="spellStart"/>
      <w:r w:rsidRPr="00767FC2">
        <w:t>i</w:t>
      </w:r>
      <w:proofErr w:type="spellEnd"/>
      <w:r w:rsidRPr="00767FC2">
        <w:t>)</w:t>
      </w:r>
      <w:r w:rsidRPr="00767FC2">
        <w:tab/>
      </w:r>
      <w:proofErr w:type="gramStart"/>
      <w:r w:rsidRPr="00767FC2">
        <w:t>the</w:t>
      </w:r>
      <w:proofErr w:type="gramEnd"/>
      <w:r w:rsidRPr="00767FC2">
        <w:t xml:space="preserve"> project management plan that was prepared for the year; and</w:t>
      </w:r>
    </w:p>
    <w:p w14:paraId="073A00AA" w14:textId="77777777" w:rsidR="00182A98" w:rsidRPr="00767FC2" w:rsidRDefault="00182A98" w:rsidP="00182A98">
      <w:pPr>
        <w:pStyle w:val="tSubpara"/>
      </w:pPr>
      <w:r w:rsidRPr="00767FC2">
        <w:tab/>
        <w:t>(ii)</w:t>
      </w:r>
      <w:r w:rsidRPr="00767FC2">
        <w:tab/>
      </w:r>
      <w:proofErr w:type="gramStart"/>
      <w:r w:rsidRPr="00767FC2">
        <w:t>if</w:t>
      </w:r>
      <w:proofErr w:type="gramEnd"/>
      <w:r w:rsidRPr="00767FC2">
        <w:t xml:space="preserve"> the project management plan was revised or updated</w:t>
      </w:r>
      <w:r w:rsidR="00C62943" w:rsidRPr="00767FC2">
        <w:t xml:space="preserve"> during the year</w:t>
      </w:r>
      <w:r w:rsidRPr="00767FC2">
        <w:t>—either the revisions or updates, or the revised or updated plan.</w:t>
      </w:r>
    </w:p>
    <w:p w14:paraId="573838C5" w14:textId="77777777" w:rsidR="00777BED" w:rsidRPr="00767FC2" w:rsidRDefault="00777BED" w:rsidP="00777BED">
      <w:pPr>
        <w:pStyle w:val="tMain"/>
      </w:pPr>
      <w:r w:rsidRPr="00767FC2">
        <w:tab/>
      </w:r>
      <w:r w:rsidR="001626C4" w:rsidRPr="00767FC2">
        <w:t>(4)</w:t>
      </w:r>
      <w:r w:rsidRPr="00767FC2">
        <w:tab/>
        <w:t xml:space="preserve">If the project proponent was required or elected, under </w:t>
      </w:r>
      <w:r w:rsidR="00964086" w:rsidRPr="00767FC2">
        <w:t>Division 4</w:t>
      </w:r>
      <w:r w:rsidRPr="00767FC2">
        <w:t xml:space="preserve"> of </w:t>
      </w:r>
      <w:r w:rsidR="00964086" w:rsidRPr="00767FC2">
        <w:t>Part 3</w:t>
      </w:r>
      <w:r w:rsidRPr="00767FC2">
        <w:t>, to create or revise a vegetation fuel type map during the reporting period, the offsets report must include the following:</w:t>
      </w:r>
    </w:p>
    <w:p w14:paraId="22E6D48E" w14:textId="77777777" w:rsidR="00777BED" w:rsidRPr="00767FC2" w:rsidRDefault="00777BED" w:rsidP="00777BED">
      <w:pPr>
        <w:pStyle w:val="tPara"/>
      </w:pPr>
      <w:r w:rsidRPr="00767FC2">
        <w:tab/>
      </w:r>
      <w:r w:rsidR="001626C4" w:rsidRPr="00767FC2">
        <w:t>(a)</w:t>
      </w:r>
      <w:r w:rsidRPr="00767FC2">
        <w:tab/>
      </w:r>
      <w:proofErr w:type="gramStart"/>
      <w:r w:rsidRPr="00767FC2">
        <w:t>a</w:t>
      </w:r>
      <w:proofErr w:type="gramEnd"/>
      <w:r w:rsidRPr="00767FC2">
        <w:t xml:space="preserve"> statement of that fact;</w:t>
      </w:r>
    </w:p>
    <w:p w14:paraId="0C751026" w14:textId="77777777" w:rsidR="00777BED" w:rsidRPr="00767FC2" w:rsidRDefault="00777BED" w:rsidP="00777BED">
      <w:pPr>
        <w:pStyle w:val="tPara"/>
      </w:pPr>
      <w:r w:rsidRPr="00767FC2">
        <w:tab/>
      </w:r>
      <w:r w:rsidR="001626C4" w:rsidRPr="00767FC2">
        <w:t>(b)</w:t>
      </w:r>
      <w:r w:rsidRPr="00767FC2">
        <w:tab/>
      </w:r>
      <w:proofErr w:type="gramStart"/>
      <w:r w:rsidRPr="00767FC2">
        <w:t>an</w:t>
      </w:r>
      <w:proofErr w:type="gramEnd"/>
      <w:r w:rsidRPr="00767FC2">
        <w:t xml:space="preserve"> indication of which map or maps were revised;</w:t>
      </w:r>
    </w:p>
    <w:p w14:paraId="01F93D01" w14:textId="77777777" w:rsidR="00777BED" w:rsidRPr="00767FC2" w:rsidRDefault="00777BED" w:rsidP="00777BED">
      <w:pPr>
        <w:pStyle w:val="tPara"/>
      </w:pPr>
      <w:r w:rsidRPr="00767FC2">
        <w:tab/>
      </w:r>
      <w:r w:rsidR="001626C4" w:rsidRPr="00767FC2">
        <w:t>(c)</w:t>
      </w:r>
      <w:r w:rsidRPr="00767FC2">
        <w:tab/>
      </w:r>
      <w:proofErr w:type="gramStart"/>
      <w:r w:rsidRPr="00767FC2">
        <w:t>for</w:t>
      </w:r>
      <w:proofErr w:type="gramEnd"/>
      <w:r w:rsidRPr="00767FC2">
        <w:t xml:space="preserve"> each such map:</w:t>
      </w:r>
    </w:p>
    <w:p w14:paraId="51A5EF82" w14:textId="77777777" w:rsidR="00777BED" w:rsidRPr="00767FC2" w:rsidRDefault="00777BED" w:rsidP="00777BED">
      <w:pPr>
        <w:pStyle w:val="tSubpara"/>
      </w:pPr>
      <w:r w:rsidRPr="00767FC2">
        <w:tab/>
      </w:r>
      <w:r w:rsidR="001626C4" w:rsidRPr="00767FC2">
        <w:t>(</w:t>
      </w:r>
      <w:proofErr w:type="spellStart"/>
      <w:r w:rsidR="001626C4" w:rsidRPr="00767FC2">
        <w:t>i</w:t>
      </w:r>
      <w:proofErr w:type="spellEnd"/>
      <w:r w:rsidR="001626C4" w:rsidRPr="00767FC2">
        <w:t>)</w:t>
      </w:r>
      <w:r w:rsidRPr="00767FC2">
        <w:tab/>
      </w:r>
      <w:proofErr w:type="gramStart"/>
      <w:r w:rsidRPr="00767FC2">
        <w:t>a</w:t>
      </w:r>
      <w:proofErr w:type="gramEnd"/>
      <w:r w:rsidRPr="00767FC2">
        <w:t xml:space="preserve"> copy of the map that was created and validated or revised and </w:t>
      </w:r>
      <w:r w:rsidR="00261788" w:rsidRPr="00767FC2">
        <w:t xml:space="preserve">(if necessary) </w:t>
      </w:r>
      <w:r w:rsidRPr="00767FC2">
        <w:t>validated in accordance with that Division; and</w:t>
      </w:r>
    </w:p>
    <w:p w14:paraId="65E22525" w14:textId="77777777" w:rsidR="00777BED" w:rsidRPr="00767FC2" w:rsidRDefault="00777BED" w:rsidP="00777BED">
      <w:pPr>
        <w:pStyle w:val="tSubpara"/>
      </w:pPr>
      <w:r w:rsidRPr="00767FC2">
        <w:tab/>
      </w:r>
      <w:r w:rsidR="001626C4" w:rsidRPr="00767FC2">
        <w:t>(ii)</w:t>
      </w:r>
      <w:r w:rsidRPr="00767FC2">
        <w:tab/>
        <w:t>if the map was created—a map combining that map and the spatial data layers referred to in section </w:t>
      </w:r>
      <w:r w:rsidR="00964086" w:rsidRPr="00767FC2">
        <w:t>6</w:t>
      </w:r>
      <w:r w:rsidRPr="00767FC2">
        <w:t xml:space="preserve"> showing in which rainfall zone or zones each area to which the map relates is located; and</w:t>
      </w:r>
    </w:p>
    <w:p w14:paraId="2FB7E1E5" w14:textId="77777777" w:rsidR="00777BED" w:rsidRPr="00767FC2" w:rsidRDefault="00777BED" w:rsidP="00777BED">
      <w:pPr>
        <w:pStyle w:val="tSubpara"/>
      </w:pPr>
      <w:r w:rsidRPr="00767FC2">
        <w:tab/>
      </w:r>
      <w:r w:rsidR="001626C4" w:rsidRPr="00767FC2">
        <w:t>(iii)</w:t>
      </w:r>
      <w:r w:rsidRPr="00767FC2">
        <w:tab/>
      </w:r>
      <w:proofErr w:type="gramStart"/>
      <w:r w:rsidRPr="00767FC2">
        <w:t>if</w:t>
      </w:r>
      <w:proofErr w:type="gramEnd"/>
      <w:r w:rsidRPr="00767FC2">
        <w:t xml:space="preserve"> the map was revised—a statement of the reasons for which the map was revised; and</w:t>
      </w:r>
    </w:p>
    <w:p w14:paraId="3C61E5C8" w14:textId="77777777" w:rsidR="00777BED" w:rsidRPr="00767FC2" w:rsidRDefault="00777BED" w:rsidP="00777BED">
      <w:pPr>
        <w:pStyle w:val="tSubpara"/>
      </w:pPr>
      <w:r w:rsidRPr="00767FC2">
        <w:tab/>
      </w:r>
      <w:r w:rsidR="001626C4" w:rsidRPr="00767FC2">
        <w:t>(iv)</w:t>
      </w:r>
      <w:r w:rsidRPr="00767FC2">
        <w:tab/>
      </w:r>
      <w:proofErr w:type="gramStart"/>
      <w:r w:rsidRPr="00767FC2">
        <w:t>in</w:t>
      </w:r>
      <w:proofErr w:type="gramEnd"/>
      <w:r w:rsidRPr="00767FC2">
        <w:t xml:space="preserve"> either case—any ERF audit report relating to the validation of the map.</w:t>
      </w:r>
    </w:p>
    <w:p w14:paraId="12B91076" w14:textId="77777777" w:rsidR="00D30B5B" w:rsidRPr="00767FC2" w:rsidRDefault="00D30B5B" w:rsidP="00D30B5B">
      <w:pPr>
        <w:pStyle w:val="tMain"/>
      </w:pPr>
      <w:r w:rsidRPr="00767FC2">
        <w:tab/>
      </w:r>
      <w:r w:rsidR="001626C4" w:rsidRPr="00767FC2">
        <w:t>(5)</w:t>
      </w:r>
      <w:r w:rsidRPr="00767FC2">
        <w:tab/>
        <w:t>If, during the reporting period, any project area (including a subdivided project area) was removed from the project as a result of subparagraph </w:t>
      </w:r>
      <w:r w:rsidR="00964086" w:rsidRPr="00767FC2">
        <w:t>14(2)(b)(</w:t>
      </w:r>
      <w:proofErr w:type="spellStart"/>
      <w:r w:rsidR="00964086" w:rsidRPr="00767FC2">
        <w:t>i</w:t>
      </w:r>
      <w:proofErr w:type="spellEnd"/>
      <w:r w:rsidR="00964086" w:rsidRPr="00767FC2">
        <w:t>)</w:t>
      </w:r>
      <w:r w:rsidRPr="00767FC2">
        <w:t xml:space="preserve"> or </w:t>
      </w:r>
      <w:r w:rsidR="00964086" w:rsidRPr="00767FC2">
        <w:t>(ii)</w:t>
      </w:r>
      <w:r w:rsidRPr="00767FC2">
        <w:t>, the offsets report must include, for each such project area, a statement of that fact.</w:t>
      </w:r>
    </w:p>
    <w:p w14:paraId="60B93A6F" w14:textId="77777777" w:rsidR="00242363" w:rsidRPr="00767FC2" w:rsidRDefault="00C40584" w:rsidP="00C40584">
      <w:pPr>
        <w:pStyle w:val="tMain"/>
      </w:pPr>
      <w:r w:rsidRPr="00767FC2">
        <w:tab/>
      </w:r>
      <w:r w:rsidR="001626C4" w:rsidRPr="00767FC2">
        <w:t>(6)</w:t>
      </w:r>
      <w:r w:rsidRPr="00767FC2">
        <w:tab/>
      </w:r>
      <w:r w:rsidR="00242363" w:rsidRPr="00767FC2">
        <w:t>If, in the circumstances described in paragraph </w:t>
      </w:r>
      <w:r w:rsidR="00964086" w:rsidRPr="00767FC2">
        <w:t>10(2</w:t>
      </w:r>
      <w:proofErr w:type="gramStart"/>
      <w:r w:rsidR="00964086" w:rsidRPr="00767FC2">
        <w:t>)(</w:t>
      </w:r>
      <w:proofErr w:type="gramEnd"/>
      <w:r w:rsidR="00964086" w:rsidRPr="00767FC2">
        <w:t>b)</w:t>
      </w:r>
      <w:r w:rsidR="00242363" w:rsidRPr="00767FC2">
        <w:t>, a factor or parameter is defined or calculated for a reporting period by reference to an instrument or writing as in force from time to time, the offsets report about the project for the reporting period must include the following information for the factor or parameter:</w:t>
      </w:r>
    </w:p>
    <w:p w14:paraId="3D039DAD" w14:textId="77777777" w:rsidR="00242363" w:rsidRPr="00767FC2" w:rsidRDefault="00C40584" w:rsidP="00C40584">
      <w:pPr>
        <w:pStyle w:val="tPara"/>
      </w:pPr>
      <w:r w:rsidRPr="00767FC2">
        <w:tab/>
      </w:r>
      <w:r w:rsidR="001626C4" w:rsidRPr="00767FC2">
        <w:t>(a)</w:t>
      </w:r>
      <w:r w:rsidRPr="00767FC2">
        <w:tab/>
      </w:r>
      <w:proofErr w:type="gramStart"/>
      <w:r w:rsidR="00242363" w:rsidRPr="00767FC2">
        <w:t>the</w:t>
      </w:r>
      <w:proofErr w:type="gramEnd"/>
      <w:r w:rsidR="00242363" w:rsidRPr="00767FC2">
        <w:t xml:space="preserve"> versions of the instrument or writing used;</w:t>
      </w:r>
    </w:p>
    <w:p w14:paraId="4EC4B829" w14:textId="77777777" w:rsidR="00242363" w:rsidRPr="00767FC2" w:rsidRDefault="00C40584" w:rsidP="00C40584">
      <w:pPr>
        <w:pStyle w:val="tPara"/>
      </w:pPr>
      <w:r w:rsidRPr="00767FC2">
        <w:tab/>
      </w:r>
      <w:r w:rsidR="001626C4" w:rsidRPr="00767FC2">
        <w:t>(b)</w:t>
      </w:r>
      <w:r w:rsidRPr="00767FC2">
        <w:tab/>
      </w:r>
      <w:proofErr w:type="gramStart"/>
      <w:r w:rsidR="00242363" w:rsidRPr="00767FC2">
        <w:t>the</w:t>
      </w:r>
      <w:proofErr w:type="gramEnd"/>
      <w:r w:rsidR="00242363" w:rsidRPr="00767FC2">
        <w:t xml:space="preserve"> start and end dates of each use;</w:t>
      </w:r>
    </w:p>
    <w:p w14:paraId="6BD9CD37" w14:textId="77777777" w:rsidR="00242363" w:rsidRPr="00767FC2" w:rsidRDefault="00C40584" w:rsidP="00C40584">
      <w:pPr>
        <w:pStyle w:val="tPara"/>
      </w:pPr>
      <w:r w:rsidRPr="00767FC2">
        <w:tab/>
      </w:r>
      <w:r w:rsidR="001626C4" w:rsidRPr="00767FC2">
        <w:t>(c)</w:t>
      </w:r>
      <w:r w:rsidRPr="00767FC2">
        <w:tab/>
      </w:r>
      <w:proofErr w:type="gramStart"/>
      <w:r w:rsidR="00242363" w:rsidRPr="00767FC2">
        <w:t>the</w:t>
      </w:r>
      <w:proofErr w:type="gramEnd"/>
      <w:r w:rsidR="00242363" w:rsidRPr="00767FC2">
        <w:t xml:space="preserve"> reasons why it was not possible to define or calculate the factor or parameter by reference to the instrument or writing as in force at the end of the reporting period.</w:t>
      </w:r>
    </w:p>
    <w:p w14:paraId="1DA2AC65" w14:textId="77777777" w:rsidR="00242363" w:rsidRPr="00767FC2" w:rsidRDefault="00C40584" w:rsidP="00C40584">
      <w:pPr>
        <w:pStyle w:val="tMain"/>
      </w:pPr>
      <w:r w:rsidRPr="00767FC2">
        <w:tab/>
      </w:r>
      <w:r w:rsidR="001626C4" w:rsidRPr="00767FC2">
        <w:t>(7)</w:t>
      </w:r>
      <w:r w:rsidRPr="00767FC2">
        <w:tab/>
      </w:r>
      <w:r w:rsidR="00242363" w:rsidRPr="00767FC2">
        <w:t xml:space="preserve">For this section, </w:t>
      </w:r>
      <w:r w:rsidR="00242363" w:rsidRPr="00767FC2">
        <w:rPr>
          <w:b/>
          <w:i/>
        </w:rPr>
        <w:t>ERF audit report</w:t>
      </w:r>
      <w:r w:rsidR="00242363" w:rsidRPr="00767FC2">
        <w:rPr>
          <w:b/>
        </w:rPr>
        <w:t xml:space="preserve"> </w:t>
      </w:r>
      <w:r w:rsidR="00242363" w:rsidRPr="00767FC2">
        <w:t xml:space="preserve">has the same meaning as it has in the </w:t>
      </w:r>
      <w:r w:rsidR="00242363" w:rsidRPr="00767FC2">
        <w:rPr>
          <w:i/>
        </w:rPr>
        <w:t>National Greenhouse and Energy Reporting Act 2007</w:t>
      </w:r>
      <w:r w:rsidR="00242363" w:rsidRPr="00767FC2">
        <w:t>.</w:t>
      </w:r>
    </w:p>
    <w:p w14:paraId="04BC6A73" w14:textId="77777777" w:rsidR="005B4AC7" w:rsidRPr="00767FC2" w:rsidRDefault="001626C4" w:rsidP="005B4AC7">
      <w:pPr>
        <w:pStyle w:val="h3Div"/>
      </w:pPr>
      <w:bookmarkStart w:id="111" w:name="_Toc509567221"/>
      <w:r w:rsidRPr="00767FC2">
        <w:lastRenderedPageBreak/>
        <w:t>Division 2</w:t>
      </w:r>
      <w:r w:rsidR="005B4AC7" w:rsidRPr="00767FC2">
        <w:t>—Record</w:t>
      </w:r>
      <w:r w:rsidR="005B4AC7" w:rsidRPr="00767FC2">
        <w:noBreakHyphen/>
        <w:t>keeping requirements</w:t>
      </w:r>
      <w:bookmarkEnd w:id="111"/>
    </w:p>
    <w:p w14:paraId="4B4C6364" w14:textId="77777777" w:rsidR="005B4AC7" w:rsidRPr="00767FC2" w:rsidRDefault="001626C4" w:rsidP="005B4AC7">
      <w:pPr>
        <w:pStyle w:val="h5Section"/>
        <w:rPr>
          <w:rFonts w:eastAsiaTheme="minorHAnsi"/>
        </w:rPr>
      </w:pPr>
      <w:bookmarkStart w:id="112" w:name="_Toc509567222"/>
      <w:proofErr w:type="gramStart"/>
      <w:r w:rsidRPr="00767FC2">
        <w:rPr>
          <w:rFonts w:eastAsiaTheme="minorHAnsi"/>
        </w:rPr>
        <w:t>37</w:t>
      </w:r>
      <w:r w:rsidR="005B4AC7" w:rsidRPr="00767FC2">
        <w:rPr>
          <w:rFonts w:eastAsiaTheme="minorHAnsi"/>
        </w:rPr>
        <w:t xml:space="preserve">  Operation</w:t>
      </w:r>
      <w:proofErr w:type="gramEnd"/>
      <w:r w:rsidR="005B4AC7" w:rsidRPr="00767FC2">
        <w:rPr>
          <w:rFonts w:eastAsiaTheme="minorHAnsi"/>
        </w:rPr>
        <w:t xml:space="preserve"> of this Division</w:t>
      </w:r>
      <w:bookmarkEnd w:id="112"/>
    </w:p>
    <w:p w14:paraId="4C8DD436" w14:textId="77777777" w:rsidR="005B4AC7" w:rsidRPr="00767FC2" w:rsidRDefault="005B4AC7" w:rsidP="005B4AC7">
      <w:pPr>
        <w:pStyle w:val="tMain"/>
        <w:rPr>
          <w:rFonts w:eastAsiaTheme="minorHAnsi"/>
          <w:lang w:eastAsia="en-US"/>
        </w:rPr>
      </w:pPr>
      <w:r w:rsidRPr="00767FC2">
        <w:rPr>
          <w:rFonts w:eastAsiaTheme="minorHAnsi"/>
          <w:lang w:eastAsia="en-US"/>
        </w:rPr>
        <w:tab/>
      </w:r>
      <w:r w:rsidRPr="00767FC2">
        <w:rPr>
          <w:rFonts w:eastAsiaTheme="minorHAnsi"/>
          <w:lang w:eastAsia="en-US"/>
        </w:rPr>
        <w:tab/>
        <w:t>For paragraph 106(3</w:t>
      </w:r>
      <w:proofErr w:type="gramStart"/>
      <w:r w:rsidRPr="00767FC2">
        <w:rPr>
          <w:rFonts w:eastAsiaTheme="minorHAnsi"/>
          <w:lang w:eastAsia="en-US"/>
        </w:rPr>
        <w:t>)(</w:t>
      </w:r>
      <w:proofErr w:type="gramEnd"/>
      <w:r w:rsidRPr="00767FC2">
        <w:rPr>
          <w:rFonts w:eastAsiaTheme="minorHAnsi"/>
          <w:lang w:eastAsia="en-US"/>
        </w:rPr>
        <w:t>c) of the Act, this Division sets out record</w:t>
      </w:r>
      <w:r w:rsidRPr="00767FC2">
        <w:rPr>
          <w:rFonts w:eastAsiaTheme="minorHAnsi"/>
          <w:lang w:eastAsia="en-US"/>
        </w:rPr>
        <w:noBreakHyphen/>
        <w:t xml:space="preserve">keeping requirements for a savanna </w:t>
      </w:r>
      <w:r w:rsidR="008B1469" w:rsidRPr="00767FC2">
        <w:rPr>
          <w:rFonts w:eastAsiaTheme="minorHAnsi"/>
          <w:lang w:eastAsia="en-US"/>
        </w:rPr>
        <w:t>emissions avoidance</w:t>
      </w:r>
      <w:r w:rsidRPr="00767FC2">
        <w:rPr>
          <w:rFonts w:eastAsiaTheme="minorHAnsi"/>
          <w:lang w:eastAsia="en-US"/>
        </w:rPr>
        <w:t xml:space="preserve"> project that is an eligible offsets project.</w:t>
      </w:r>
    </w:p>
    <w:p w14:paraId="7812F022" w14:textId="77777777" w:rsidR="005B4AC7" w:rsidRPr="00767FC2" w:rsidRDefault="005B4AC7" w:rsidP="005B4AC7">
      <w:pPr>
        <w:pStyle w:val="nMain"/>
        <w:rPr>
          <w:rFonts w:eastAsiaTheme="minorHAnsi"/>
        </w:rPr>
      </w:pPr>
      <w:r w:rsidRPr="00767FC2">
        <w:rPr>
          <w:rFonts w:eastAsiaTheme="minorHAnsi"/>
        </w:rPr>
        <w:t>Note:</w:t>
      </w:r>
      <w:r w:rsidRPr="00767FC2">
        <w:rPr>
          <w:rFonts w:eastAsiaTheme="minorHAnsi"/>
        </w:rPr>
        <w:tab/>
        <w:t>Other record</w:t>
      </w:r>
      <w:r w:rsidRPr="00767FC2">
        <w:rPr>
          <w:rFonts w:eastAsiaTheme="minorHAnsi"/>
        </w:rPr>
        <w:noBreakHyphen/>
        <w:t xml:space="preserve">keeping requirements are set out in </w:t>
      </w:r>
      <w:r w:rsidR="00273B72" w:rsidRPr="00767FC2">
        <w:rPr>
          <w:rFonts w:eastAsiaTheme="minorHAnsi"/>
        </w:rPr>
        <w:t>the CFI Rule</w:t>
      </w:r>
      <w:r w:rsidRPr="00767FC2">
        <w:rPr>
          <w:rFonts w:eastAsiaTheme="minorHAnsi"/>
        </w:rPr>
        <w:t>.</w:t>
      </w:r>
    </w:p>
    <w:p w14:paraId="0993445D" w14:textId="77777777" w:rsidR="005B4AC7" w:rsidRPr="00767FC2" w:rsidRDefault="001626C4" w:rsidP="005B4AC7">
      <w:pPr>
        <w:pStyle w:val="h5Section"/>
        <w:rPr>
          <w:rFonts w:eastAsiaTheme="minorHAnsi"/>
        </w:rPr>
      </w:pPr>
      <w:bookmarkStart w:id="113" w:name="_Toc509567223"/>
      <w:proofErr w:type="gramStart"/>
      <w:r w:rsidRPr="00767FC2">
        <w:rPr>
          <w:rFonts w:eastAsiaTheme="minorHAnsi"/>
        </w:rPr>
        <w:t>38</w:t>
      </w:r>
      <w:r w:rsidR="005B4AC7" w:rsidRPr="00767FC2">
        <w:rPr>
          <w:rFonts w:eastAsiaTheme="minorHAnsi"/>
        </w:rPr>
        <w:t xml:space="preserve">  Record</w:t>
      </w:r>
      <w:proofErr w:type="gramEnd"/>
      <w:r w:rsidR="00C55DD7" w:rsidRPr="00767FC2">
        <w:rPr>
          <w:rFonts w:eastAsiaTheme="minorHAnsi"/>
        </w:rPr>
        <w:noBreakHyphen/>
        <w:t>keeping requirement</w:t>
      </w:r>
      <w:r w:rsidR="005B4AC7" w:rsidRPr="00767FC2">
        <w:rPr>
          <w:rFonts w:eastAsiaTheme="minorHAnsi"/>
        </w:rPr>
        <w:t>s</w:t>
      </w:r>
      <w:bookmarkEnd w:id="113"/>
    </w:p>
    <w:p w14:paraId="71B24892" w14:textId="77777777" w:rsidR="00A100F3" w:rsidRPr="00767FC2" w:rsidRDefault="00D24632" w:rsidP="00D24632">
      <w:pPr>
        <w:pStyle w:val="tMain"/>
      </w:pPr>
      <w:r w:rsidRPr="00767FC2">
        <w:tab/>
      </w:r>
      <w:r w:rsidR="001626C4" w:rsidRPr="00767FC2">
        <w:t>(1)</w:t>
      </w:r>
      <w:r w:rsidRPr="00767FC2">
        <w:tab/>
      </w:r>
      <w:r w:rsidR="00A100F3" w:rsidRPr="00767FC2">
        <w:t xml:space="preserve">If the project proponent used </w:t>
      </w:r>
      <w:proofErr w:type="spellStart"/>
      <w:r w:rsidR="00A100F3" w:rsidRPr="00767FC2">
        <w:t>SavBAT</w:t>
      </w:r>
      <w:proofErr w:type="spellEnd"/>
      <w:r w:rsidR="00A100F3" w:rsidRPr="00767FC2">
        <w:t> 3 to calculate the net abatement amount, the project proponent must retain records of:</w:t>
      </w:r>
    </w:p>
    <w:p w14:paraId="5F97105C" w14:textId="77777777" w:rsidR="00A100F3" w:rsidRPr="00767FC2" w:rsidRDefault="00A100F3" w:rsidP="00A100F3">
      <w:pPr>
        <w:pStyle w:val="tPara"/>
      </w:pPr>
      <w:r w:rsidRPr="00767FC2">
        <w:tab/>
      </w:r>
      <w:r w:rsidR="001626C4" w:rsidRPr="00767FC2">
        <w:t>(a)</w:t>
      </w:r>
      <w:r w:rsidRPr="00767FC2">
        <w:tab/>
      </w:r>
      <w:proofErr w:type="gramStart"/>
      <w:r w:rsidR="00583C44" w:rsidRPr="00767FC2">
        <w:t>each</w:t>
      </w:r>
      <w:proofErr w:type="gramEnd"/>
      <w:r w:rsidRPr="00767FC2">
        <w:t xml:space="preserve"> </w:t>
      </w:r>
      <w:proofErr w:type="spellStart"/>
      <w:r w:rsidRPr="00767FC2">
        <w:t>SavBAT</w:t>
      </w:r>
      <w:proofErr w:type="spellEnd"/>
      <w:r w:rsidRPr="00767FC2">
        <w:t xml:space="preserve"> 3 record</w:t>
      </w:r>
      <w:r w:rsidRPr="00767FC2">
        <w:noBreakHyphen/>
        <w:t>keeping report; and</w:t>
      </w:r>
    </w:p>
    <w:p w14:paraId="415B750F" w14:textId="77777777" w:rsidR="00A100F3" w:rsidRPr="00767FC2" w:rsidRDefault="00A100F3" w:rsidP="00A100F3">
      <w:pPr>
        <w:pStyle w:val="tPara"/>
      </w:pPr>
      <w:r w:rsidRPr="00767FC2">
        <w:tab/>
      </w:r>
      <w:r w:rsidR="001626C4" w:rsidRPr="00767FC2">
        <w:t>(b)</w:t>
      </w:r>
      <w:r w:rsidRPr="00767FC2">
        <w:tab/>
      </w:r>
      <w:proofErr w:type="gramStart"/>
      <w:r w:rsidRPr="00767FC2">
        <w:t>all</w:t>
      </w:r>
      <w:proofErr w:type="gramEnd"/>
      <w:r w:rsidRPr="00767FC2">
        <w:t xml:space="preserve"> data files that were used when calculating the net abatement amount.</w:t>
      </w:r>
    </w:p>
    <w:p w14:paraId="6CA69FE8" w14:textId="77777777" w:rsidR="00D24632" w:rsidRPr="00767FC2" w:rsidRDefault="00D24632" w:rsidP="00D24632">
      <w:pPr>
        <w:pStyle w:val="tMain"/>
      </w:pPr>
      <w:r w:rsidRPr="00767FC2">
        <w:tab/>
      </w:r>
      <w:r w:rsidR="001626C4" w:rsidRPr="00767FC2">
        <w:t>(2)</w:t>
      </w:r>
      <w:r w:rsidRPr="00767FC2">
        <w:tab/>
        <w:t xml:space="preserve">If the project proponent did not use </w:t>
      </w:r>
      <w:proofErr w:type="spellStart"/>
      <w:r w:rsidRPr="00767FC2">
        <w:t>SavBAT</w:t>
      </w:r>
      <w:proofErr w:type="spellEnd"/>
      <w:r w:rsidRPr="00767FC2">
        <w:t> 3 to calculate the net abatement amount, the project proponent must retain records of all calculations that were undertaken in order to calculate that amount.</w:t>
      </w:r>
    </w:p>
    <w:p w14:paraId="4F5170DB" w14:textId="77777777" w:rsidR="002C1FE5" w:rsidRPr="00767FC2" w:rsidRDefault="001626C4" w:rsidP="002C1FE5">
      <w:pPr>
        <w:pStyle w:val="h3Div"/>
      </w:pPr>
      <w:bookmarkStart w:id="114" w:name="_Toc456077553"/>
      <w:bookmarkStart w:id="115" w:name="_Toc509567224"/>
      <w:r w:rsidRPr="00767FC2">
        <w:t>Division 3</w:t>
      </w:r>
      <w:r w:rsidR="002C1FE5" w:rsidRPr="00767FC2">
        <w:t>—Monitoring requirements</w:t>
      </w:r>
      <w:bookmarkEnd w:id="114"/>
      <w:bookmarkEnd w:id="115"/>
    </w:p>
    <w:p w14:paraId="026358DB" w14:textId="77777777" w:rsidR="002C1FE5" w:rsidRPr="00767FC2" w:rsidRDefault="001626C4" w:rsidP="002C1FE5">
      <w:pPr>
        <w:pStyle w:val="h5Section"/>
        <w:rPr>
          <w:rFonts w:eastAsiaTheme="minorHAnsi"/>
        </w:rPr>
      </w:pPr>
      <w:bookmarkStart w:id="116" w:name="_Toc456077554"/>
      <w:bookmarkStart w:id="117" w:name="_Toc509567225"/>
      <w:proofErr w:type="gramStart"/>
      <w:r w:rsidRPr="00767FC2">
        <w:rPr>
          <w:rFonts w:eastAsiaTheme="minorHAnsi"/>
        </w:rPr>
        <w:t>39</w:t>
      </w:r>
      <w:r w:rsidR="002C1FE5" w:rsidRPr="00767FC2">
        <w:rPr>
          <w:rFonts w:eastAsiaTheme="minorHAnsi"/>
        </w:rPr>
        <w:t xml:space="preserve">  Operation</w:t>
      </w:r>
      <w:proofErr w:type="gramEnd"/>
      <w:r w:rsidR="002C1FE5" w:rsidRPr="00767FC2">
        <w:rPr>
          <w:rFonts w:eastAsiaTheme="minorHAnsi"/>
        </w:rPr>
        <w:t xml:space="preserve"> of this Division</w:t>
      </w:r>
      <w:bookmarkEnd w:id="116"/>
      <w:bookmarkEnd w:id="117"/>
    </w:p>
    <w:p w14:paraId="38546E20" w14:textId="77777777" w:rsidR="002C1FE5" w:rsidRPr="00767FC2" w:rsidRDefault="002C1FE5" w:rsidP="002C1FE5">
      <w:pPr>
        <w:pStyle w:val="tMain"/>
        <w:rPr>
          <w:rFonts w:eastAsiaTheme="minorHAnsi"/>
          <w:lang w:eastAsia="en-US"/>
        </w:rPr>
      </w:pPr>
      <w:r w:rsidRPr="00767FC2">
        <w:rPr>
          <w:rFonts w:eastAsiaTheme="minorHAnsi"/>
          <w:lang w:eastAsia="en-US"/>
        </w:rPr>
        <w:tab/>
      </w:r>
      <w:r w:rsidRPr="00767FC2">
        <w:rPr>
          <w:rFonts w:eastAsiaTheme="minorHAnsi"/>
          <w:lang w:eastAsia="en-US"/>
        </w:rPr>
        <w:tab/>
        <w:t>For paragraph 106(3</w:t>
      </w:r>
      <w:proofErr w:type="gramStart"/>
      <w:r w:rsidRPr="00767FC2">
        <w:rPr>
          <w:rFonts w:eastAsiaTheme="minorHAnsi"/>
          <w:lang w:eastAsia="en-US"/>
        </w:rPr>
        <w:t>)(</w:t>
      </w:r>
      <w:proofErr w:type="gramEnd"/>
      <w:r w:rsidR="00CB778A" w:rsidRPr="00767FC2">
        <w:rPr>
          <w:rFonts w:eastAsiaTheme="minorHAnsi"/>
          <w:lang w:eastAsia="en-US"/>
        </w:rPr>
        <w:t>d</w:t>
      </w:r>
      <w:r w:rsidRPr="00767FC2">
        <w:rPr>
          <w:rFonts w:eastAsiaTheme="minorHAnsi"/>
          <w:lang w:eastAsia="en-US"/>
        </w:rPr>
        <w:t xml:space="preserve">) of the Act, this Division sets out monitoring requirements for a savanna </w:t>
      </w:r>
      <w:r w:rsidR="008B1469" w:rsidRPr="00767FC2">
        <w:rPr>
          <w:rFonts w:eastAsiaTheme="minorHAnsi"/>
          <w:lang w:eastAsia="en-US"/>
        </w:rPr>
        <w:t>emissions avoidance</w:t>
      </w:r>
      <w:r w:rsidRPr="00767FC2">
        <w:rPr>
          <w:rFonts w:eastAsiaTheme="minorHAnsi"/>
          <w:lang w:eastAsia="en-US"/>
        </w:rPr>
        <w:t xml:space="preserve"> project that is an eligible off</w:t>
      </w:r>
      <w:r w:rsidR="005A0CED" w:rsidRPr="00767FC2">
        <w:rPr>
          <w:rFonts w:eastAsiaTheme="minorHAnsi"/>
          <w:lang w:eastAsia="en-US"/>
        </w:rPr>
        <w:t>sets project.</w:t>
      </w:r>
    </w:p>
    <w:p w14:paraId="1A118DAF" w14:textId="77777777" w:rsidR="005A0CED" w:rsidRPr="00767FC2" w:rsidRDefault="005A0CED" w:rsidP="005A0CED">
      <w:pPr>
        <w:pStyle w:val="nMain"/>
        <w:rPr>
          <w:rFonts w:eastAsiaTheme="minorHAnsi"/>
        </w:rPr>
      </w:pPr>
      <w:r w:rsidRPr="00767FC2">
        <w:rPr>
          <w:rFonts w:eastAsiaTheme="minorHAnsi"/>
        </w:rPr>
        <w:t>Note:</w:t>
      </w:r>
      <w:r w:rsidRPr="00767FC2">
        <w:rPr>
          <w:rFonts w:eastAsiaTheme="minorHAnsi"/>
        </w:rPr>
        <w:tab/>
        <w:t xml:space="preserve">Other monitoring requirements are set out in </w:t>
      </w:r>
      <w:r w:rsidR="00273B72" w:rsidRPr="00767FC2">
        <w:rPr>
          <w:rFonts w:eastAsiaTheme="minorHAnsi"/>
        </w:rPr>
        <w:t>the CFI Rule</w:t>
      </w:r>
      <w:r w:rsidRPr="00767FC2">
        <w:rPr>
          <w:rFonts w:eastAsiaTheme="minorHAnsi"/>
        </w:rPr>
        <w:t>.</w:t>
      </w:r>
    </w:p>
    <w:p w14:paraId="2E7524B4" w14:textId="77777777" w:rsidR="00B300DF" w:rsidRPr="00767FC2" w:rsidRDefault="001626C4" w:rsidP="00B300DF">
      <w:pPr>
        <w:pStyle w:val="h5Section"/>
        <w:rPr>
          <w:rFonts w:eastAsiaTheme="minorHAnsi"/>
        </w:rPr>
      </w:pPr>
      <w:bookmarkStart w:id="118" w:name="_Toc456971258"/>
      <w:bookmarkStart w:id="119" w:name="_Toc509567226"/>
      <w:proofErr w:type="gramStart"/>
      <w:r w:rsidRPr="00767FC2">
        <w:rPr>
          <w:rFonts w:eastAsiaTheme="minorHAnsi"/>
        </w:rPr>
        <w:t>40</w:t>
      </w:r>
      <w:r w:rsidR="00B300DF" w:rsidRPr="00767FC2">
        <w:rPr>
          <w:rFonts w:eastAsiaTheme="minorHAnsi"/>
        </w:rPr>
        <w:t xml:space="preserve">  Monitoring</w:t>
      </w:r>
      <w:proofErr w:type="gramEnd"/>
      <w:r w:rsidR="00B300DF" w:rsidRPr="00767FC2">
        <w:rPr>
          <w:rFonts w:eastAsiaTheme="minorHAnsi"/>
        </w:rPr>
        <w:t xml:space="preserve"> </w:t>
      </w:r>
      <w:bookmarkEnd w:id="118"/>
      <w:r w:rsidR="00B300DF" w:rsidRPr="00767FC2">
        <w:rPr>
          <w:rFonts w:eastAsiaTheme="minorHAnsi"/>
        </w:rPr>
        <w:t>requirements</w:t>
      </w:r>
      <w:bookmarkEnd w:id="119"/>
    </w:p>
    <w:p w14:paraId="5F0DD4B9" w14:textId="77777777" w:rsidR="00B300DF" w:rsidRPr="00767FC2" w:rsidRDefault="00B300DF" w:rsidP="00583C44">
      <w:pPr>
        <w:pStyle w:val="tMain"/>
        <w:spacing w:after="120"/>
      </w:pPr>
      <w:r w:rsidRPr="00767FC2">
        <w:tab/>
      </w:r>
      <w:r w:rsidRPr="00767FC2">
        <w:tab/>
        <w:t xml:space="preserve">The project proponent for a savanna </w:t>
      </w:r>
      <w:r w:rsidR="008B1469" w:rsidRPr="00767FC2">
        <w:t>emissions avoidance</w:t>
      </w:r>
      <w:r w:rsidRPr="00767FC2">
        <w:t xml:space="preserve"> project must comply with the monitoring requirements set out in the following table in accordance with the instructions given in the table.</w:t>
      </w:r>
    </w:p>
    <w:tbl>
      <w:tblPr>
        <w:tblW w:w="0" w:type="auto"/>
        <w:tblInd w:w="113" w:type="dxa"/>
        <w:tblBorders>
          <w:top w:val="single" w:sz="4" w:space="0" w:color="auto"/>
          <w:bottom w:val="single" w:sz="2" w:space="0" w:color="auto"/>
          <w:insideH w:val="single" w:sz="4" w:space="0" w:color="auto"/>
        </w:tblBorders>
        <w:tblLook w:val="0000" w:firstRow="0" w:lastRow="0" w:firstColumn="0" w:lastColumn="0" w:noHBand="0" w:noVBand="0"/>
      </w:tblPr>
      <w:tblGrid>
        <w:gridCol w:w="616"/>
        <w:gridCol w:w="1823"/>
        <w:gridCol w:w="3544"/>
        <w:gridCol w:w="2930"/>
      </w:tblGrid>
      <w:tr w:rsidR="00767FC2" w:rsidRPr="00767FC2" w14:paraId="018A7E35" w14:textId="77777777" w:rsidTr="00F67369">
        <w:trPr>
          <w:tblHeader/>
        </w:trPr>
        <w:tc>
          <w:tcPr>
            <w:tcW w:w="0" w:type="auto"/>
            <w:gridSpan w:val="4"/>
            <w:tcBorders>
              <w:top w:val="single" w:sz="12" w:space="0" w:color="auto"/>
              <w:bottom w:val="single" w:sz="6" w:space="0" w:color="auto"/>
            </w:tcBorders>
            <w:shd w:val="clear" w:color="auto" w:fill="auto"/>
          </w:tcPr>
          <w:p w14:paraId="30A6940D" w14:textId="77777777" w:rsidR="00C06CBF" w:rsidRPr="00767FC2" w:rsidRDefault="000239EF" w:rsidP="00F67369">
            <w:pPr>
              <w:pStyle w:val="TableHeading"/>
            </w:pPr>
            <w:r w:rsidRPr="00767FC2">
              <w:t>Monitoring requirements</w:t>
            </w:r>
          </w:p>
        </w:tc>
      </w:tr>
      <w:tr w:rsidR="00767FC2" w:rsidRPr="00767FC2" w14:paraId="7CE4CB82" w14:textId="77777777" w:rsidTr="00E0572C">
        <w:trPr>
          <w:tblHeader/>
        </w:trPr>
        <w:tc>
          <w:tcPr>
            <w:tcW w:w="0" w:type="auto"/>
            <w:tcBorders>
              <w:top w:val="single" w:sz="6" w:space="0" w:color="auto"/>
              <w:bottom w:val="single" w:sz="12" w:space="0" w:color="auto"/>
            </w:tcBorders>
            <w:shd w:val="clear" w:color="auto" w:fill="auto"/>
          </w:tcPr>
          <w:p w14:paraId="391875AC" w14:textId="77777777" w:rsidR="00C06CBF" w:rsidRPr="00767FC2" w:rsidRDefault="00C06CBF" w:rsidP="00F67369">
            <w:pPr>
              <w:pStyle w:val="TableHeading"/>
            </w:pPr>
            <w:r w:rsidRPr="00767FC2">
              <w:t>Item</w:t>
            </w:r>
          </w:p>
        </w:tc>
        <w:tc>
          <w:tcPr>
            <w:tcW w:w="1823" w:type="dxa"/>
            <w:tcBorders>
              <w:top w:val="single" w:sz="6" w:space="0" w:color="auto"/>
              <w:bottom w:val="single" w:sz="12" w:space="0" w:color="auto"/>
            </w:tcBorders>
            <w:shd w:val="clear" w:color="auto" w:fill="auto"/>
          </w:tcPr>
          <w:p w14:paraId="7A6706B9" w14:textId="77777777" w:rsidR="00C06CBF" w:rsidRPr="00767FC2" w:rsidRDefault="000239EF" w:rsidP="00F67369">
            <w:pPr>
              <w:pStyle w:val="TableHeading"/>
            </w:pPr>
            <w:r w:rsidRPr="00767FC2">
              <w:t>R</w:t>
            </w:r>
            <w:r w:rsidR="00C06CBF" w:rsidRPr="00767FC2">
              <w:t>equirement</w:t>
            </w:r>
          </w:p>
        </w:tc>
        <w:tc>
          <w:tcPr>
            <w:tcW w:w="3544" w:type="dxa"/>
            <w:tcBorders>
              <w:top w:val="single" w:sz="6" w:space="0" w:color="auto"/>
              <w:bottom w:val="single" w:sz="12" w:space="0" w:color="auto"/>
            </w:tcBorders>
            <w:shd w:val="clear" w:color="auto" w:fill="auto"/>
          </w:tcPr>
          <w:p w14:paraId="5D79D833" w14:textId="77777777" w:rsidR="00C06CBF" w:rsidRPr="00767FC2" w:rsidRDefault="00C06CBF" w:rsidP="00F67369">
            <w:pPr>
              <w:pStyle w:val="TableHeading"/>
            </w:pPr>
            <w:r w:rsidRPr="00767FC2">
              <w:t>How monitoring must be done</w:t>
            </w:r>
          </w:p>
        </w:tc>
        <w:tc>
          <w:tcPr>
            <w:tcW w:w="2930" w:type="dxa"/>
            <w:tcBorders>
              <w:top w:val="single" w:sz="6" w:space="0" w:color="auto"/>
              <w:bottom w:val="single" w:sz="12" w:space="0" w:color="auto"/>
            </w:tcBorders>
            <w:shd w:val="clear" w:color="auto" w:fill="auto"/>
          </w:tcPr>
          <w:p w14:paraId="2667F312" w14:textId="77777777" w:rsidR="00C06CBF" w:rsidRPr="00767FC2" w:rsidRDefault="00C06CBF" w:rsidP="00F67369">
            <w:pPr>
              <w:pStyle w:val="TableHeading"/>
            </w:pPr>
            <w:r w:rsidRPr="00767FC2">
              <w:t>Other instructions</w:t>
            </w:r>
          </w:p>
        </w:tc>
      </w:tr>
      <w:tr w:rsidR="00767FC2" w:rsidRPr="00767FC2" w14:paraId="61616B75" w14:textId="77777777" w:rsidTr="00F87CE6">
        <w:trPr>
          <w:cantSplit/>
        </w:trPr>
        <w:tc>
          <w:tcPr>
            <w:tcW w:w="0" w:type="auto"/>
            <w:tcBorders>
              <w:top w:val="single" w:sz="12" w:space="0" w:color="auto"/>
              <w:bottom w:val="single" w:sz="12" w:space="0" w:color="auto"/>
            </w:tcBorders>
            <w:shd w:val="clear" w:color="auto" w:fill="auto"/>
          </w:tcPr>
          <w:p w14:paraId="70602F7D" w14:textId="77777777" w:rsidR="003D360F" w:rsidRPr="00767FC2" w:rsidRDefault="003D360F" w:rsidP="003D360F">
            <w:pPr>
              <w:pStyle w:val="Tabletext"/>
            </w:pPr>
            <w:r w:rsidRPr="00767FC2">
              <w:t>1</w:t>
            </w:r>
          </w:p>
        </w:tc>
        <w:tc>
          <w:tcPr>
            <w:tcW w:w="1823" w:type="dxa"/>
            <w:tcBorders>
              <w:top w:val="single" w:sz="12" w:space="0" w:color="auto"/>
              <w:bottom w:val="single" w:sz="12" w:space="0" w:color="auto"/>
            </w:tcBorders>
            <w:shd w:val="clear" w:color="auto" w:fill="auto"/>
          </w:tcPr>
          <w:p w14:paraId="350AB297" w14:textId="77777777" w:rsidR="003D360F" w:rsidRPr="00767FC2" w:rsidRDefault="003D360F" w:rsidP="003D360F">
            <w:pPr>
              <w:pStyle w:val="Tabletext"/>
            </w:pPr>
            <w:r w:rsidRPr="00767FC2">
              <w:t>The project proponent must monitor for the presence of each relevant weed species in each project area.</w:t>
            </w:r>
          </w:p>
        </w:tc>
        <w:tc>
          <w:tcPr>
            <w:tcW w:w="3544" w:type="dxa"/>
            <w:tcBorders>
              <w:top w:val="single" w:sz="12" w:space="0" w:color="auto"/>
              <w:bottom w:val="single" w:sz="12" w:space="0" w:color="auto"/>
            </w:tcBorders>
            <w:shd w:val="clear" w:color="auto" w:fill="auto"/>
          </w:tcPr>
          <w:p w14:paraId="76721F26" w14:textId="77777777" w:rsidR="003D360F" w:rsidRPr="00767FC2" w:rsidRDefault="003D360F" w:rsidP="003D360F">
            <w:pPr>
              <w:pStyle w:val="Tabletext"/>
            </w:pPr>
            <w:r w:rsidRPr="00767FC2">
              <w:t>The monitoring must be done:</w:t>
            </w:r>
          </w:p>
          <w:p w14:paraId="1321DBE9" w14:textId="77777777" w:rsidR="003D360F" w:rsidRPr="00767FC2" w:rsidRDefault="003D360F" w:rsidP="003D360F">
            <w:pPr>
              <w:pStyle w:val="Tablea"/>
            </w:pPr>
            <w:r w:rsidRPr="00767FC2">
              <w:t>(a)</w:t>
            </w:r>
            <w:r w:rsidRPr="00767FC2">
              <w:tab/>
              <w:t>using the methods specified in the savanna technical guidance document for the weed species; and</w:t>
            </w:r>
          </w:p>
          <w:p w14:paraId="14FE2ABA" w14:textId="77777777" w:rsidR="003D360F" w:rsidRPr="00767FC2" w:rsidRDefault="003D360F" w:rsidP="003D360F">
            <w:pPr>
              <w:pStyle w:val="Tablea"/>
            </w:pPr>
            <w:r w:rsidRPr="00767FC2">
              <w:t>(b)</w:t>
            </w:r>
            <w:r w:rsidRPr="00767FC2">
              <w:tab/>
              <w:t>at the frequencies ascertained in accordance with either or both of the following</w:t>
            </w:r>
          </w:p>
          <w:p w14:paraId="75B9D412" w14:textId="77777777" w:rsidR="003D360F" w:rsidRPr="00767FC2" w:rsidRDefault="003D360F" w:rsidP="003D360F">
            <w:pPr>
              <w:pStyle w:val="Tablei"/>
              <w:ind w:left="709"/>
            </w:pPr>
            <w:r w:rsidRPr="00767FC2">
              <w:t>(</w:t>
            </w:r>
            <w:proofErr w:type="spellStart"/>
            <w:r w:rsidRPr="00767FC2">
              <w:t>i</w:t>
            </w:r>
            <w:proofErr w:type="spellEnd"/>
            <w:r w:rsidRPr="00767FC2">
              <w:t>)</w:t>
            </w:r>
            <w:r w:rsidRPr="00767FC2">
              <w:tab/>
              <w:t xml:space="preserve">the savanna technical guidance document; </w:t>
            </w:r>
          </w:p>
          <w:p w14:paraId="7509A0B6" w14:textId="77777777" w:rsidR="003D360F" w:rsidRPr="00767FC2" w:rsidRDefault="003D360F" w:rsidP="003D360F">
            <w:pPr>
              <w:pStyle w:val="Tablei"/>
              <w:ind w:left="709"/>
            </w:pPr>
            <w:r w:rsidRPr="00767FC2">
              <w:t>(ii)</w:t>
            </w:r>
            <w:r w:rsidRPr="00767FC2">
              <w:tab/>
              <w:t>the Relevant Weeds Risk spatial data layer;</w:t>
            </w:r>
          </w:p>
          <w:p w14:paraId="0D674ECC" w14:textId="77777777" w:rsidR="003D360F" w:rsidRPr="00767FC2" w:rsidRDefault="003D360F" w:rsidP="003D360F">
            <w:pPr>
              <w:pStyle w:val="Tablea"/>
            </w:pPr>
            <w:r w:rsidRPr="00767FC2">
              <w:t xml:space="preserve"> </w:t>
            </w:r>
            <w:r w:rsidRPr="00767FC2">
              <w:tab/>
            </w:r>
            <w:proofErr w:type="gramStart"/>
            <w:r w:rsidRPr="00767FC2">
              <w:t>for</w:t>
            </w:r>
            <w:proofErr w:type="gramEnd"/>
            <w:r w:rsidRPr="00767FC2">
              <w:t xml:space="preserve"> the weed species and the area of land that constitutes the project area.</w:t>
            </w:r>
          </w:p>
        </w:tc>
        <w:tc>
          <w:tcPr>
            <w:tcW w:w="2930" w:type="dxa"/>
            <w:tcBorders>
              <w:top w:val="single" w:sz="12" w:space="0" w:color="auto"/>
              <w:bottom w:val="single" w:sz="12" w:space="0" w:color="auto"/>
            </w:tcBorders>
            <w:shd w:val="clear" w:color="auto" w:fill="auto"/>
          </w:tcPr>
          <w:p w14:paraId="4F469225" w14:textId="77777777" w:rsidR="003D360F" w:rsidRPr="00767FC2" w:rsidRDefault="003D360F" w:rsidP="003D360F">
            <w:pPr>
              <w:pStyle w:val="Tabletext"/>
            </w:pPr>
            <w:r w:rsidRPr="00767FC2">
              <w:t>Monitoring of a particular weed species in accordance with this item is required only if the savanna technical guidance document specifies one or more methods for monitoring for the weed species for the purposes of this item.</w:t>
            </w:r>
          </w:p>
        </w:tc>
      </w:tr>
    </w:tbl>
    <w:p w14:paraId="7164556C" w14:textId="77777777" w:rsidR="00242363" w:rsidRPr="00767FC2" w:rsidRDefault="001626C4" w:rsidP="00A808F1">
      <w:pPr>
        <w:pStyle w:val="h2Part"/>
      </w:pPr>
      <w:bookmarkStart w:id="120" w:name="_Toc413155628"/>
      <w:bookmarkStart w:id="121" w:name="_Toc509567227"/>
      <w:r w:rsidRPr="00767FC2">
        <w:lastRenderedPageBreak/>
        <w:t>Part 6</w:t>
      </w:r>
      <w:r w:rsidR="00242363" w:rsidRPr="00767FC2">
        <w:t>—Partial reporting</w:t>
      </w:r>
      <w:bookmarkEnd w:id="120"/>
      <w:bookmarkEnd w:id="121"/>
    </w:p>
    <w:p w14:paraId="312DFBFC" w14:textId="77777777" w:rsidR="00242363" w:rsidRPr="00767FC2" w:rsidRDefault="001626C4" w:rsidP="00C41C65">
      <w:pPr>
        <w:pStyle w:val="h5Section"/>
      </w:pPr>
      <w:bookmarkStart w:id="122" w:name="_Toc413155629"/>
      <w:bookmarkStart w:id="123" w:name="_Toc509567228"/>
      <w:proofErr w:type="gramStart"/>
      <w:r w:rsidRPr="00767FC2">
        <w:t>41</w:t>
      </w:r>
      <w:r w:rsidR="00C41C65" w:rsidRPr="00767FC2">
        <w:t xml:space="preserve">  </w:t>
      </w:r>
      <w:r w:rsidR="00242363" w:rsidRPr="00767FC2">
        <w:t>Partial</w:t>
      </w:r>
      <w:proofErr w:type="gramEnd"/>
      <w:r w:rsidR="00242363" w:rsidRPr="00767FC2">
        <w:t xml:space="preserve"> reporting</w:t>
      </w:r>
      <w:bookmarkEnd w:id="122"/>
      <w:bookmarkEnd w:id="123"/>
    </w:p>
    <w:p w14:paraId="4C28ADD1" w14:textId="77777777" w:rsidR="00242363" w:rsidRPr="00767FC2" w:rsidRDefault="00242363" w:rsidP="00242363">
      <w:pPr>
        <w:pStyle w:val="tMain"/>
      </w:pPr>
      <w:r w:rsidRPr="00767FC2">
        <w:tab/>
      </w:r>
      <w:r w:rsidRPr="00767FC2">
        <w:tab/>
        <w:t>For section 77A of the Act, an overall project may only be divided into parts that consist of one or more whole project areas.</w:t>
      </w:r>
    </w:p>
    <w:p w14:paraId="4FA0F867" w14:textId="77777777" w:rsidR="00E11BE5" w:rsidRPr="00767FC2" w:rsidRDefault="00E11BE5" w:rsidP="00E11BE5">
      <w:pPr>
        <w:pStyle w:val="tMain"/>
        <w:sectPr w:rsidR="00E11BE5" w:rsidRPr="00767FC2" w:rsidSect="00E20ED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titlePg/>
          <w:docGrid w:linePitch="360"/>
        </w:sectPr>
      </w:pPr>
    </w:p>
    <w:p w14:paraId="6D665A36" w14:textId="77777777" w:rsidR="00E11BE5" w:rsidRPr="00767FC2" w:rsidRDefault="00E11BE5" w:rsidP="00E11BE5">
      <w:pPr>
        <w:pStyle w:val="ActHead6"/>
        <w:rPr>
          <w:i/>
        </w:rPr>
      </w:pPr>
      <w:bookmarkStart w:id="124" w:name="_Toc456340550"/>
      <w:bookmarkStart w:id="125" w:name="_Toc483306154"/>
      <w:bookmarkStart w:id="126" w:name="_Toc509567229"/>
      <w:bookmarkStart w:id="127" w:name="opcAmSched"/>
      <w:bookmarkStart w:id="128" w:name="opcCurrentFind"/>
      <w:r w:rsidRPr="00767FC2">
        <w:lastRenderedPageBreak/>
        <w:t>Schedule 1—</w:t>
      </w:r>
      <w:bookmarkEnd w:id="124"/>
      <w:r w:rsidRPr="00767FC2">
        <w:t xml:space="preserve">Emissions avoidance—calculation of adjusted contribution to net abatement amount for </w:t>
      </w:r>
      <w:r w:rsidR="003D360F" w:rsidRPr="00767FC2">
        <w:t xml:space="preserve">a calendar </w:t>
      </w:r>
      <w:r w:rsidRPr="00767FC2">
        <w:t>year</w:t>
      </w:r>
      <w:bookmarkEnd w:id="125"/>
      <w:bookmarkEnd w:id="126"/>
    </w:p>
    <w:p w14:paraId="0A9FBECF" w14:textId="77777777" w:rsidR="00E11BE5" w:rsidRPr="00767FC2" w:rsidRDefault="001626C4" w:rsidP="00F1130C">
      <w:pPr>
        <w:pStyle w:val="h3Div"/>
      </w:pPr>
      <w:bookmarkStart w:id="129" w:name="_Toc483306155"/>
      <w:bookmarkStart w:id="130" w:name="_Toc509567230"/>
      <w:r w:rsidRPr="00767FC2">
        <w:t>Division 1</w:t>
      </w:r>
      <w:r w:rsidR="00E11BE5" w:rsidRPr="00767FC2">
        <w:t>—Preliminary</w:t>
      </w:r>
      <w:bookmarkEnd w:id="129"/>
      <w:bookmarkEnd w:id="130"/>
    </w:p>
    <w:p w14:paraId="2D67C1F9" w14:textId="77777777" w:rsidR="00E11BE5" w:rsidRPr="00767FC2" w:rsidRDefault="001626C4" w:rsidP="00F1130C">
      <w:pPr>
        <w:pStyle w:val="h5Section"/>
      </w:pPr>
      <w:bookmarkStart w:id="131" w:name="_Toc483306156"/>
      <w:bookmarkStart w:id="132" w:name="_Toc509567231"/>
      <w:bookmarkEnd w:id="127"/>
      <w:bookmarkEnd w:id="128"/>
      <w:proofErr w:type="gramStart"/>
      <w:r w:rsidRPr="00767FC2">
        <w:t>1</w:t>
      </w:r>
      <w:r w:rsidR="00E11BE5" w:rsidRPr="00767FC2">
        <w:t xml:space="preserve">  Simplified</w:t>
      </w:r>
      <w:proofErr w:type="gramEnd"/>
      <w:r w:rsidR="00E11BE5" w:rsidRPr="00767FC2">
        <w:t xml:space="preserve"> outline of</w:t>
      </w:r>
      <w:r w:rsidR="00D30B5B" w:rsidRPr="00767FC2">
        <w:t xml:space="preserve"> this </w:t>
      </w:r>
      <w:r w:rsidR="00E11BE5" w:rsidRPr="00767FC2">
        <w:t>Schedule</w:t>
      </w:r>
      <w:bookmarkEnd w:id="131"/>
      <w:bookmarkEnd w:id="132"/>
    </w:p>
    <w:p w14:paraId="00893ED5" w14:textId="77777777" w:rsidR="003D360F" w:rsidRPr="00767FC2" w:rsidRDefault="003D360F" w:rsidP="003D360F">
      <w:pPr>
        <w:pStyle w:val="SOText"/>
      </w:pPr>
      <w:r w:rsidRPr="00767FC2">
        <w:t xml:space="preserve">If the project proponent elects to calculate the adjusted contribution to the net abatement amount for the project area from emissions avoidance for calendar year </w:t>
      </w:r>
      <w:r w:rsidRPr="00767FC2">
        <w:rPr>
          <w:i/>
        </w:rPr>
        <w:t xml:space="preserve">y </w:t>
      </w:r>
      <w:r w:rsidRPr="00767FC2">
        <w:t xml:space="preserve">of the reporting period, </w:t>
      </w:r>
      <w:proofErr w:type="spellStart"/>
      <w:r w:rsidRPr="00767FC2">
        <w:rPr>
          <w:i/>
        </w:rPr>
        <w:t>A</w:t>
      </w:r>
      <w:r w:rsidRPr="00767FC2">
        <w:rPr>
          <w:i/>
          <w:vertAlign w:val="subscript"/>
        </w:rPr>
        <w:t>EA</w:t>
      </w:r>
      <w:proofErr w:type="gramStart"/>
      <w:r w:rsidRPr="00767FC2">
        <w:rPr>
          <w:i/>
          <w:vertAlign w:val="subscript"/>
        </w:rPr>
        <w:t>,adj,y</w:t>
      </w:r>
      <w:proofErr w:type="spellEnd"/>
      <w:proofErr w:type="gramEnd"/>
      <w:r w:rsidRPr="00767FC2">
        <w:t xml:space="preserve"> in </w:t>
      </w:r>
      <w:r w:rsidR="00964086" w:rsidRPr="00767FC2">
        <w:t xml:space="preserve">equation </w:t>
      </w:r>
      <w:r w:rsidR="00964086" w:rsidRPr="00767FC2">
        <w:rPr>
          <w:noProof/>
        </w:rPr>
        <w:t>1</w:t>
      </w:r>
      <w:r w:rsidRPr="00767FC2">
        <w:t xml:space="preserve">, without using </w:t>
      </w:r>
      <w:proofErr w:type="spellStart"/>
      <w:r w:rsidRPr="00767FC2">
        <w:t>SavBAT</w:t>
      </w:r>
      <w:proofErr w:type="spellEnd"/>
      <w:r w:rsidRPr="00767FC2">
        <w:t> 3, the amount is calculated as follows.</w:t>
      </w:r>
    </w:p>
    <w:p w14:paraId="2C3C2EE6" w14:textId="77777777" w:rsidR="003D360F" w:rsidRPr="00767FC2" w:rsidRDefault="003D360F" w:rsidP="003D360F">
      <w:pPr>
        <w:pStyle w:val="SOText"/>
      </w:pPr>
      <w:r w:rsidRPr="00767FC2">
        <w:t xml:space="preserve">First, the contribution to the net abatement amount for the project area from emissions avoidance in the project area for the calendar year, </w:t>
      </w:r>
      <w:r w:rsidRPr="00767FC2">
        <w:rPr>
          <w:i/>
        </w:rPr>
        <w:t>A</w:t>
      </w:r>
      <w:r w:rsidRPr="00767FC2">
        <w:rPr>
          <w:i/>
          <w:vertAlign w:val="subscript"/>
        </w:rPr>
        <w:t>EA</w:t>
      </w:r>
      <w:r w:rsidRPr="00767FC2">
        <w:t xml:space="preserve">, is calculated. This is </w:t>
      </w:r>
      <w:r w:rsidR="003B1314" w:rsidRPr="00767FC2">
        <w:t>calculated</w:t>
      </w:r>
      <w:r w:rsidRPr="00767FC2">
        <w:t xml:space="preserve"> as the difference between the </w:t>
      </w:r>
      <w:r w:rsidR="003B1314" w:rsidRPr="00767FC2">
        <w:t xml:space="preserve">mean </w:t>
      </w:r>
      <w:r w:rsidRPr="00767FC2">
        <w:t xml:space="preserve">annual emissions from savanna burning over the baseline period, and the emissions from </w:t>
      </w:r>
      <w:r w:rsidR="00227E93" w:rsidRPr="00767FC2">
        <w:t xml:space="preserve">savanna burning </w:t>
      </w:r>
      <w:r w:rsidRPr="00767FC2">
        <w:t>during that year. The calculations are based on the vegetation fuel type map, factors taken from the National Inventory Report</w:t>
      </w:r>
      <w:r w:rsidR="00227E93" w:rsidRPr="00767FC2">
        <w:t xml:space="preserve"> and the savanna technical guidance document</w:t>
      </w:r>
      <w:r w:rsidRPr="00767FC2">
        <w:t>, and various factors calculated from seasonal fire maps.</w:t>
      </w:r>
      <w:r w:rsidR="001E56F5" w:rsidRPr="00767FC2">
        <w:t xml:space="preserve"> Calculations of annual fuel loads in the project area take account of dead organic matter that accumulates each year in the project area as a result of undertaking the project.</w:t>
      </w:r>
    </w:p>
    <w:p w14:paraId="1BDFE5E8" w14:textId="77777777" w:rsidR="003D360F" w:rsidRPr="00767FC2" w:rsidRDefault="003D360F" w:rsidP="003D360F">
      <w:pPr>
        <w:pStyle w:val="SOText"/>
      </w:pPr>
      <w:r w:rsidRPr="00767FC2">
        <w:t xml:space="preserve">Then, from </w:t>
      </w:r>
      <w:r w:rsidRPr="00767FC2">
        <w:rPr>
          <w:i/>
        </w:rPr>
        <w:t>A</w:t>
      </w:r>
      <w:r w:rsidRPr="00767FC2">
        <w:rPr>
          <w:i/>
          <w:vertAlign w:val="subscript"/>
        </w:rPr>
        <w:t>EA</w:t>
      </w:r>
      <w:r w:rsidRPr="00767FC2">
        <w:t xml:space="preserve">, the adjusted contribution to the net abatement amount for the calendar year, </w:t>
      </w:r>
      <w:proofErr w:type="spellStart"/>
      <w:r w:rsidRPr="00767FC2">
        <w:rPr>
          <w:i/>
        </w:rPr>
        <w:t>A</w:t>
      </w:r>
      <w:r w:rsidRPr="00767FC2">
        <w:rPr>
          <w:i/>
          <w:vertAlign w:val="subscript"/>
        </w:rPr>
        <w:t>EA</w:t>
      </w:r>
      <w:proofErr w:type="gramStart"/>
      <w:r w:rsidRPr="00767FC2">
        <w:rPr>
          <w:i/>
          <w:vertAlign w:val="subscript"/>
        </w:rPr>
        <w:t>,adj</w:t>
      </w:r>
      <w:proofErr w:type="spellEnd"/>
      <w:proofErr w:type="gramEnd"/>
      <w:r w:rsidRPr="00767FC2">
        <w:t xml:space="preserve">, is calculated. The adjustment manages the risk of the project containing some years in which emissions are higher than the </w:t>
      </w:r>
      <w:r w:rsidR="003B1314" w:rsidRPr="00767FC2">
        <w:t xml:space="preserve">mean </w:t>
      </w:r>
      <w:r w:rsidRPr="00767FC2">
        <w:t xml:space="preserve">annual baseline emissions, and involves apportioning the amount </w:t>
      </w:r>
      <w:r w:rsidRPr="00767FC2">
        <w:rPr>
          <w:i/>
        </w:rPr>
        <w:t>A</w:t>
      </w:r>
      <w:r w:rsidRPr="00767FC2">
        <w:rPr>
          <w:i/>
          <w:vertAlign w:val="subscript"/>
        </w:rPr>
        <w:t>EA</w:t>
      </w:r>
      <w:r w:rsidRPr="00767FC2">
        <w:rPr>
          <w:i/>
        </w:rPr>
        <w:t xml:space="preserve"> </w:t>
      </w:r>
      <w:r w:rsidRPr="00767FC2">
        <w:t xml:space="preserve">between the adjusted contribution </w:t>
      </w:r>
      <w:proofErr w:type="spellStart"/>
      <w:r w:rsidRPr="00767FC2">
        <w:rPr>
          <w:i/>
        </w:rPr>
        <w:t>A</w:t>
      </w:r>
      <w:r w:rsidRPr="00767FC2">
        <w:rPr>
          <w:i/>
          <w:vertAlign w:val="subscript"/>
        </w:rPr>
        <w:t>EA,adj</w:t>
      </w:r>
      <w:proofErr w:type="spellEnd"/>
      <w:r w:rsidRPr="00767FC2">
        <w:t xml:space="preserve"> and an ‘uncertainty buffer’. Generally, the uncertainty buffer starts at zero (unless the project area is a transferring project area). The uncertainty buffer is capped at a maximum, </w:t>
      </w:r>
      <w:proofErr w:type="spellStart"/>
      <w:r w:rsidRPr="00767FC2">
        <w:rPr>
          <w:i/>
        </w:rPr>
        <w:t>B</w:t>
      </w:r>
      <w:r w:rsidR="00227E93" w:rsidRPr="00767FC2">
        <w:rPr>
          <w:i/>
          <w:vertAlign w:val="subscript"/>
        </w:rPr>
        <w:t>U</w:t>
      </w:r>
      <w:proofErr w:type="gramStart"/>
      <w:r w:rsidR="00227E93" w:rsidRPr="00767FC2">
        <w:rPr>
          <w:i/>
          <w:vertAlign w:val="subscript"/>
        </w:rPr>
        <w:t>,</w:t>
      </w:r>
      <w:r w:rsidRPr="00767FC2">
        <w:rPr>
          <w:i/>
          <w:vertAlign w:val="subscript"/>
        </w:rPr>
        <w:t>Cap</w:t>
      </w:r>
      <w:proofErr w:type="spellEnd"/>
      <w:proofErr w:type="gramEnd"/>
      <w:r w:rsidRPr="00767FC2">
        <w:rPr>
          <w:szCs w:val="22"/>
          <w:lang w:eastAsia="en-US"/>
        </w:rPr>
        <w:t>,</w:t>
      </w:r>
      <w:r w:rsidRPr="00767FC2">
        <w:t xml:space="preserve"> which is equal to 5 per cent of the </w:t>
      </w:r>
      <w:r w:rsidR="003B1314" w:rsidRPr="00767FC2">
        <w:t xml:space="preserve">mean </w:t>
      </w:r>
      <w:r w:rsidRPr="00767FC2">
        <w:t>annual baseline emissions</w:t>
      </w:r>
      <w:r w:rsidRPr="00767FC2">
        <w:rPr>
          <w:szCs w:val="22"/>
          <w:lang w:eastAsia="en-US"/>
        </w:rPr>
        <w:t xml:space="preserve">. The uncertainty buffer is </w:t>
      </w:r>
      <w:r w:rsidRPr="00767FC2">
        <w:t xml:space="preserve">subtracted from in years in which </w:t>
      </w:r>
      <w:r w:rsidRPr="00767FC2">
        <w:rPr>
          <w:i/>
        </w:rPr>
        <w:t>A</w:t>
      </w:r>
      <w:r w:rsidRPr="00767FC2">
        <w:rPr>
          <w:i/>
          <w:vertAlign w:val="subscript"/>
        </w:rPr>
        <w:t>EA</w:t>
      </w:r>
      <w:r w:rsidRPr="00767FC2">
        <w:t xml:space="preserve"> is less than zero. For years in which </w:t>
      </w:r>
      <w:r w:rsidRPr="00767FC2">
        <w:rPr>
          <w:i/>
        </w:rPr>
        <w:t>A</w:t>
      </w:r>
      <w:r w:rsidRPr="00767FC2">
        <w:rPr>
          <w:i/>
          <w:vertAlign w:val="subscript"/>
        </w:rPr>
        <w:t>EA</w:t>
      </w:r>
      <w:r w:rsidRPr="00767FC2">
        <w:t xml:space="preserve"> is greater than zero, the uncertainty buffer is generally added to, subject to its reaching the maximum, </w:t>
      </w:r>
      <w:proofErr w:type="spellStart"/>
      <w:r w:rsidRPr="00767FC2">
        <w:rPr>
          <w:i/>
        </w:rPr>
        <w:t>B</w:t>
      </w:r>
      <w:r w:rsidR="00227E93" w:rsidRPr="00767FC2">
        <w:rPr>
          <w:i/>
          <w:vertAlign w:val="subscript"/>
        </w:rPr>
        <w:t>U</w:t>
      </w:r>
      <w:proofErr w:type="gramStart"/>
      <w:r w:rsidR="00227E93" w:rsidRPr="00767FC2">
        <w:rPr>
          <w:i/>
          <w:vertAlign w:val="subscript"/>
        </w:rPr>
        <w:t>,</w:t>
      </w:r>
      <w:r w:rsidRPr="00767FC2">
        <w:rPr>
          <w:i/>
          <w:vertAlign w:val="subscript"/>
        </w:rPr>
        <w:t>Cap</w:t>
      </w:r>
      <w:proofErr w:type="spellEnd"/>
      <w:proofErr w:type="gramEnd"/>
      <w:r w:rsidRPr="00767FC2">
        <w:t>.</w:t>
      </w:r>
    </w:p>
    <w:p w14:paraId="7783A4AC" w14:textId="77777777" w:rsidR="003D360F" w:rsidRPr="00767FC2" w:rsidRDefault="003D360F" w:rsidP="003D360F">
      <w:pPr>
        <w:pStyle w:val="SOText"/>
      </w:pPr>
      <w:r w:rsidRPr="00767FC2">
        <w:t xml:space="preserve">The value of the uncertainty buffer cap, </w:t>
      </w:r>
      <w:proofErr w:type="spellStart"/>
      <w:r w:rsidRPr="00767FC2">
        <w:rPr>
          <w:i/>
        </w:rPr>
        <w:t>B</w:t>
      </w:r>
      <w:r w:rsidR="00351470" w:rsidRPr="00767FC2">
        <w:rPr>
          <w:i/>
          <w:vertAlign w:val="subscript"/>
        </w:rPr>
        <w:t>U</w:t>
      </w:r>
      <w:proofErr w:type="gramStart"/>
      <w:r w:rsidR="00351470" w:rsidRPr="00767FC2">
        <w:rPr>
          <w:i/>
          <w:vertAlign w:val="subscript"/>
        </w:rPr>
        <w:t>,</w:t>
      </w:r>
      <w:r w:rsidRPr="00767FC2">
        <w:rPr>
          <w:i/>
          <w:vertAlign w:val="subscript"/>
        </w:rPr>
        <w:t>Cap</w:t>
      </w:r>
      <w:proofErr w:type="spellEnd"/>
      <w:proofErr w:type="gramEnd"/>
      <w:r w:rsidRPr="00767FC2">
        <w:t xml:space="preserve">, </w:t>
      </w:r>
      <w:r w:rsidR="00351470" w:rsidRPr="00767FC2">
        <w:t>and values relating to the baseline period, are</w:t>
      </w:r>
      <w:r w:rsidRPr="00767FC2">
        <w:t xml:space="preserve"> </w:t>
      </w:r>
      <w:r w:rsidR="00351470" w:rsidRPr="00767FC2">
        <w:t>re</w:t>
      </w:r>
      <w:r w:rsidR="00351470" w:rsidRPr="00767FC2">
        <w:noBreakHyphen/>
      </w:r>
      <w:r w:rsidRPr="00767FC2">
        <w:t>calculated each year, and will potentially change from</w:t>
      </w:r>
      <w:r w:rsidRPr="00767FC2">
        <w:rPr>
          <w:b/>
        </w:rPr>
        <w:t xml:space="preserve"> </w:t>
      </w:r>
      <w:r w:rsidRPr="00767FC2">
        <w:t>year to year.</w:t>
      </w:r>
      <w:r w:rsidR="00351470" w:rsidRPr="00767FC2">
        <w:t xml:space="preserve"> Changes to these values </w:t>
      </w:r>
      <w:r w:rsidR="00924AD0" w:rsidRPr="00767FC2">
        <w:t>might</w:t>
      </w:r>
      <w:r w:rsidR="00351470" w:rsidRPr="00767FC2">
        <w:t xml:space="preserve"> arise, for example, if documents that are referred to as in</w:t>
      </w:r>
      <w:r w:rsidR="00924AD0" w:rsidRPr="00767FC2">
        <w:t xml:space="preserve"> </w:t>
      </w:r>
      <w:r w:rsidR="00351470" w:rsidRPr="00767FC2">
        <w:t>force from time to time are modified, if the vegetation fuel type map is revised, or if project areas are divided.</w:t>
      </w:r>
    </w:p>
    <w:p w14:paraId="10514333" w14:textId="77777777" w:rsidR="003D360F" w:rsidRPr="00767FC2" w:rsidRDefault="001626C4" w:rsidP="003D360F">
      <w:pPr>
        <w:pStyle w:val="h3Div"/>
      </w:pPr>
      <w:bookmarkStart w:id="133" w:name="_Toc485640294"/>
      <w:bookmarkStart w:id="134" w:name="_Toc509567232"/>
      <w:r w:rsidRPr="00767FC2">
        <w:t>Division 2</w:t>
      </w:r>
      <w:r w:rsidR="003D360F" w:rsidRPr="00767FC2">
        <w:t>—Calculations</w:t>
      </w:r>
      <w:bookmarkEnd w:id="133"/>
      <w:bookmarkEnd w:id="134"/>
    </w:p>
    <w:p w14:paraId="188BBC31" w14:textId="77777777" w:rsidR="003D360F" w:rsidRPr="00767FC2" w:rsidRDefault="001626C4" w:rsidP="003D360F">
      <w:pPr>
        <w:pStyle w:val="h5Section"/>
        <w:rPr>
          <w:i/>
          <w:vertAlign w:val="subscript"/>
        </w:rPr>
      </w:pPr>
      <w:bookmarkStart w:id="135" w:name="_Toc485640295"/>
      <w:bookmarkStart w:id="136" w:name="_Toc509567233"/>
      <w:proofErr w:type="gramStart"/>
      <w:r w:rsidRPr="00767FC2">
        <w:t>2</w:t>
      </w:r>
      <w:r w:rsidR="003D360F" w:rsidRPr="00767FC2">
        <w:t xml:space="preserve">  Calculation</w:t>
      </w:r>
      <w:proofErr w:type="gramEnd"/>
      <w:r w:rsidR="003D360F" w:rsidRPr="00767FC2">
        <w:t xml:space="preserve"> of adjusted contribution to net abatement amount from emissions avoidance for a calendar year, </w:t>
      </w:r>
      <w:proofErr w:type="spellStart"/>
      <w:r w:rsidR="003D360F" w:rsidRPr="00767FC2">
        <w:rPr>
          <w:i/>
        </w:rPr>
        <w:t>A</w:t>
      </w:r>
      <w:r w:rsidR="003D360F" w:rsidRPr="00767FC2">
        <w:rPr>
          <w:i/>
          <w:vertAlign w:val="subscript"/>
        </w:rPr>
        <w:t>EA,adj</w:t>
      </w:r>
      <w:bookmarkEnd w:id="135"/>
      <w:bookmarkEnd w:id="136"/>
      <w:proofErr w:type="spellEnd"/>
    </w:p>
    <w:p w14:paraId="43BF7446" w14:textId="77777777" w:rsidR="003D360F" w:rsidRPr="00767FC2" w:rsidRDefault="003D360F" w:rsidP="003D360F">
      <w:pPr>
        <w:pStyle w:val="tMain"/>
      </w:pPr>
      <w:r w:rsidRPr="00767FC2">
        <w:tab/>
      </w:r>
      <w:r w:rsidRPr="00767FC2">
        <w:tab/>
        <w:t xml:space="preserve">For paragraph (b) of the definition of </w:t>
      </w:r>
      <w:proofErr w:type="spellStart"/>
      <w:r w:rsidRPr="00767FC2">
        <w:rPr>
          <w:i/>
        </w:rPr>
        <w:t>A</w:t>
      </w:r>
      <w:r w:rsidRPr="00767FC2">
        <w:rPr>
          <w:i/>
          <w:vertAlign w:val="subscript"/>
        </w:rPr>
        <w:t>EA</w:t>
      </w:r>
      <w:proofErr w:type="gramStart"/>
      <w:r w:rsidRPr="00767FC2">
        <w:rPr>
          <w:i/>
          <w:vertAlign w:val="subscript"/>
        </w:rPr>
        <w:t>,adj,y</w:t>
      </w:r>
      <w:proofErr w:type="spellEnd"/>
      <w:proofErr w:type="gramEnd"/>
      <w:r w:rsidRPr="00767FC2">
        <w:t xml:space="preserve"> in subsection </w:t>
      </w:r>
      <w:r w:rsidR="00964086" w:rsidRPr="00767FC2">
        <w:t>34(1)</w:t>
      </w:r>
      <w:r w:rsidRPr="00767FC2">
        <w:t xml:space="preserve"> of this determination, the adjusted contribution to the net abatement amount from emissions avoidance for a </w:t>
      </w:r>
      <w:r w:rsidR="00D30B5B" w:rsidRPr="00767FC2">
        <w:t xml:space="preserve">particular project area and for a </w:t>
      </w:r>
      <w:r w:rsidRPr="00767FC2">
        <w:t>particular calendar year,</w:t>
      </w:r>
      <w:r w:rsidRPr="00767FC2">
        <w:rPr>
          <w:i/>
        </w:rPr>
        <w:t xml:space="preserve"> </w:t>
      </w:r>
      <w:proofErr w:type="spellStart"/>
      <w:r w:rsidRPr="00767FC2">
        <w:rPr>
          <w:i/>
        </w:rPr>
        <w:t>A</w:t>
      </w:r>
      <w:r w:rsidRPr="00767FC2">
        <w:rPr>
          <w:i/>
          <w:vertAlign w:val="subscript"/>
        </w:rPr>
        <w:t>EA,adj</w:t>
      </w:r>
      <w:proofErr w:type="spellEnd"/>
      <w:r w:rsidRPr="00767FC2">
        <w:t>, in tonnes CO</w:t>
      </w:r>
      <w:r w:rsidRPr="00767FC2">
        <w:rPr>
          <w:vertAlign w:val="subscript"/>
        </w:rPr>
        <w:t>2</w:t>
      </w:r>
      <w:r w:rsidRPr="00767FC2">
        <w:noBreakHyphen/>
        <w:t>e, is calculated by:</w:t>
      </w:r>
    </w:p>
    <w:p w14:paraId="22DC7E6B" w14:textId="77777777" w:rsidR="003D360F" w:rsidRPr="00767FC2" w:rsidRDefault="003D360F" w:rsidP="003D360F">
      <w:pPr>
        <w:pStyle w:val="tPara"/>
      </w:pPr>
      <w:r w:rsidRPr="00767FC2">
        <w:tab/>
      </w:r>
      <w:r w:rsidR="001626C4" w:rsidRPr="00767FC2">
        <w:t>(a)</w:t>
      </w:r>
      <w:r w:rsidRPr="00767FC2">
        <w:tab/>
        <w:t xml:space="preserve">calculating the previous year’s uncertainty buffer for the project area, </w:t>
      </w:r>
      <w:proofErr w:type="spellStart"/>
      <w:r w:rsidRPr="00767FC2">
        <w:rPr>
          <w:b/>
          <w:i/>
        </w:rPr>
        <w:t>B</w:t>
      </w:r>
      <w:r w:rsidRPr="00767FC2">
        <w:rPr>
          <w:b/>
          <w:i/>
          <w:vertAlign w:val="subscript"/>
        </w:rPr>
        <w:t>U,Prev</w:t>
      </w:r>
      <w:proofErr w:type="spellEnd"/>
      <w:r w:rsidRPr="00767FC2">
        <w:t>, in tonnes CO</w:t>
      </w:r>
      <w:r w:rsidRPr="00767FC2">
        <w:rPr>
          <w:vertAlign w:val="subscript"/>
        </w:rPr>
        <w:t>2</w:t>
      </w:r>
      <w:r w:rsidRPr="00767FC2">
        <w:noBreakHyphen/>
        <w:t xml:space="preserve">e, in accordance with section </w:t>
      </w:r>
      <w:r w:rsidR="00964086" w:rsidRPr="00767FC2">
        <w:t>3</w:t>
      </w:r>
      <w:r w:rsidRPr="00767FC2">
        <w:t xml:space="preserve"> of this Schedule; and</w:t>
      </w:r>
    </w:p>
    <w:p w14:paraId="7FEA924E" w14:textId="77777777" w:rsidR="003D360F" w:rsidRPr="00767FC2" w:rsidRDefault="003D360F" w:rsidP="003D360F">
      <w:pPr>
        <w:pStyle w:val="tPara"/>
      </w:pPr>
      <w:r w:rsidRPr="00767FC2">
        <w:lastRenderedPageBreak/>
        <w:tab/>
      </w:r>
      <w:r w:rsidR="001626C4" w:rsidRPr="00767FC2">
        <w:t>(b)</w:t>
      </w:r>
      <w:r w:rsidRPr="00767FC2">
        <w:tab/>
        <w:t xml:space="preserve">calculating the contribution to the net abatement amount from emissions avoidance for the project area for the calendar year, </w:t>
      </w:r>
      <w:r w:rsidRPr="00767FC2">
        <w:rPr>
          <w:b/>
          <w:i/>
        </w:rPr>
        <w:t>A</w:t>
      </w:r>
      <w:r w:rsidRPr="00767FC2">
        <w:rPr>
          <w:b/>
          <w:i/>
          <w:vertAlign w:val="subscript"/>
        </w:rPr>
        <w:t>EA</w:t>
      </w:r>
      <w:r w:rsidRPr="00767FC2">
        <w:t>, in tonnes CO</w:t>
      </w:r>
      <w:r w:rsidRPr="00767FC2">
        <w:rPr>
          <w:vertAlign w:val="subscript"/>
        </w:rPr>
        <w:t>2</w:t>
      </w:r>
      <w:r w:rsidRPr="00767FC2">
        <w:noBreakHyphen/>
        <w:t>e, in accordance with section </w:t>
      </w:r>
      <w:r w:rsidR="00964086" w:rsidRPr="00767FC2">
        <w:t>4</w:t>
      </w:r>
      <w:r w:rsidRPr="00767FC2">
        <w:t xml:space="preserve"> of this Schedule; and</w:t>
      </w:r>
    </w:p>
    <w:p w14:paraId="64FBA675" w14:textId="77777777" w:rsidR="003D360F" w:rsidRPr="00767FC2" w:rsidRDefault="003D360F" w:rsidP="003D360F">
      <w:pPr>
        <w:pStyle w:val="tPara"/>
      </w:pPr>
      <w:r w:rsidRPr="00767FC2">
        <w:tab/>
      </w:r>
      <w:r w:rsidR="001626C4" w:rsidRPr="00767FC2">
        <w:t>(c)</w:t>
      </w:r>
      <w:r w:rsidRPr="00767FC2">
        <w:tab/>
        <w:t>calculating the uncertainty buffer cap for the project area</w:t>
      </w:r>
      <w:r w:rsidR="003F3869" w:rsidRPr="00767FC2">
        <w:t xml:space="preserve"> for the calendar year</w:t>
      </w:r>
      <w:r w:rsidRPr="00767FC2">
        <w:t xml:space="preserve">, </w:t>
      </w:r>
      <w:proofErr w:type="spellStart"/>
      <w:r w:rsidRPr="00767FC2">
        <w:rPr>
          <w:b/>
          <w:i/>
        </w:rPr>
        <w:t>B</w:t>
      </w:r>
      <w:r w:rsidR="00924AD0" w:rsidRPr="00767FC2">
        <w:rPr>
          <w:b/>
          <w:i/>
          <w:vertAlign w:val="subscript"/>
        </w:rPr>
        <w:t>U,</w:t>
      </w:r>
      <w:r w:rsidRPr="00767FC2">
        <w:rPr>
          <w:b/>
          <w:i/>
          <w:vertAlign w:val="subscript"/>
        </w:rPr>
        <w:t>Cap</w:t>
      </w:r>
      <w:proofErr w:type="spellEnd"/>
      <w:r w:rsidRPr="00767FC2">
        <w:t>, in tonnes CO</w:t>
      </w:r>
      <w:r w:rsidRPr="00767FC2">
        <w:rPr>
          <w:vertAlign w:val="subscript"/>
        </w:rPr>
        <w:t>2</w:t>
      </w:r>
      <w:r w:rsidRPr="00767FC2">
        <w:noBreakHyphen/>
        <w:t>e, in accordance with section </w:t>
      </w:r>
      <w:r w:rsidR="00964086" w:rsidRPr="00767FC2">
        <w:t>5</w:t>
      </w:r>
      <w:r w:rsidRPr="00767FC2">
        <w:t xml:space="preserve"> of this Schedule; and</w:t>
      </w:r>
    </w:p>
    <w:p w14:paraId="252DB48A" w14:textId="77777777" w:rsidR="003D360F" w:rsidRPr="00767FC2" w:rsidRDefault="003D360F" w:rsidP="003D360F">
      <w:pPr>
        <w:pStyle w:val="tPara"/>
      </w:pPr>
      <w:r w:rsidRPr="00767FC2">
        <w:tab/>
      </w:r>
      <w:r w:rsidR="001626C4" w:rsidRPr="00767FC2">
        <w:t>(d)</w:t>
      </w:r>
      <w:r w:rsidRPr="00767FC2">
        <w:tab/>
        <w:t>determining which set of conditions set out in the table below is satisfied in relation to the project area for the calendar year; and</w:t>
      </w:r>
    </w:p>
    <w:p w14:paraId="6573EA65" w14:textId="77777777" w:rsidR="003D360F" w:rsidRPr="00767FC2" w:rsidRDefault="003D360F" w:rsidP="003D360F">
      <w:pPr>
        <w:pStyle w:val="tPara"/>
      </w:pPr>
      <w:r w:rsidRPr="00767FC2">
        <w:tab/>
      </w:r>
      <w:r w:rsidR="001626C4" w:rsidRPr="00767FC2">
        <w:t>(e)</w:t>
      </w:r>
      <w:r w:rsidRPr="00767FC2">
        <w:tab/>
      </w:r>
      <w:proofErr w:type="gramStart"/>
      <w:r w:rsidRPr="00767FC2">
        <w:t>calculating</w:t>
      </w:r>
      <w:proofErr w:type="gramEnd"/>
      <w:r w:rsidRPr="00767FC2">
        <w:t>,</w:t>
      </w:r>
      <w:r w:rsidRPr="00767FC2">
        <w:rPr>
          <w:i/>
        </w:rPr>
        <w:t xml:space="preserve"> </w:t>
      </w:r>
      <w:r w:rsidRPr="00767FC2">
        <w:t>in accordance with the corresponding row of the table:</w:t>
      </w:r>
    </w:p>
    <w:p w14:paraId="2AF423D9" w14:textId="77777777" w:rsidR="003D360F" w:rsidRPr="00767FC2" w:rsidRDefault="003D360F" w:rsidP="003D360F">
      <w:pPr>
        <w:pStyle w:val="tSubpara"/>
      </w:pPr>
      <w:r w:rsidRPr="00767FC2">
        <w:tab/>
      </w:r>
      <w:r w:rsidR="001626C4" w:rsidRPr="00767FC2">
        <w:t>(</w:t>
      </w:r>
      <w:proofErr w:type="spellStart"/>
      <w:r w:rsidR="001626C4" w:rsidRPr="00767FC2">
        <w:t>i</w:t>
      </w:r>
      <w:proofErr w:type="spellEnd"/>
      <w:r w:rsidR="001626C4" w:rsidRPr="00767FC2">
        <w:t>)</w:t>
      </w:r>
      <w:r w:rsidRPr="00767FC2">
        <w:tab/>
      </w:r>
      <w:proofErr w:type="gramStart"/>
      <w:r w:rsidRPr="00767FC2">
        <w:t>the</w:t>
      </w:r>
      <w:proofErr w:type="gramEnd"/>
      <w:r w:rsidRPr="00767FC2">
        <w:t xml:space="preserve"> adjusted contribution to the net abatement amount from emissions avoidance </w:t>
      </w:r>
      <w:r w:rsidR="003F3869" w:rsidRPr="00767FC2">
        <w:t xml:space="preserve">for the project area and </w:t>
      </w:r>
      <w:r w:rsidRPr="00767FC2">
        <w:t xml:space="preserve">for the calendar year, </w:t>
      </w:r>
      <w:proofErr w:type="spellStart"/>
      <w:r w:rsidRPr="00767FC2">
        <w:rPr>
          <w:b/>
          <w:i/>
        </w:rPr>
        <w:t>A</w:t>
      </w:r>
      <w:r w:rsidRPr="00767FC2">
        <w:rPr>
          <w:b/>
          <w:i/>
          <w:vertAlign w:val="subscript"/>
        </w:rPr>
        <w:t>EA,adj</w:t>
      </w:r>
      <w:proofErr w:type="spellEnd"/>
      <w:r w:rsidRPr="00767FC2">
        <w:t>, in tonnes CO</w:t>
      </w:r>
      <w:r w:rsidRPr="00767FC2">
        <w:rPr>
          <w:vertAlign w:val="subscript"/>
        </w:rPr>
        <w:t>2</w:t>
      </w:r>
      <w:r w:rsidRPr="00767FC2">
        <w:noBreakHyphen/>
        <w:t>e; and</w:t>
      </w:r>
    </w:p>
    <w:p w14:paraId="730FF8AC" w14:textId="77777777" w:rsidR="003D360F" w:rsidRPr="00767FC2" w:rsidRDefault="003D360F" w:rsidP="003D360F">
      <w:pPr>
        <w:pStyle w:val="tSubpara"/>
        <w:spacing w:after="120"/>
      </w:pPr>
      <w:r w:rsidRPr="00767FC2">
        <w:tab/>
      </w:r>
      <w:r w:rsidR="001626C4" w:rsidRPr="00767FC2">
        <w:t>(ii)</w:t>
      </w:r>
      <w:r w:rsidRPr="00767FC2">
        <w:tab/>
      </w:r>
      <w:proofErr w:type="gramStart"/>
      <w:r w:rsidRPr="00767FC2">
        <w:t>the</w:t>
      </w:r>
      <w:proofErr w:type="gramEnd"/>
      <w:r w:rsidRPr="00767FC2">
        <w:t xml:space="preserve"> </w:t>
      </w:r>
      <w:r w:rsidR="00C07CF9" w:rsidRPr="00767FC2">
        <w:t xml:space="preserve">current year’s </w:t>
      </w:r>
      <w:r w:rsidRPr="00767FC2">
        <w:t xml:space="preserve">uncertainty buffer for the project area, </w:t>
      </w:r>
      <w:proofErr w:type="spellStart"/>
      <w:r w:rsidRPr="00767FC2">
        <w:rPr>
          <w:b/>
          <w:i/>
        </w:rPr>
        <w:t>B</w:t>
      </w:r>
      <w:r w:rsidRPr="00767FC2">
        <w:rPr>
          <w:b/>
          <w:i/>
          <w:vertAlign w:val="subscript"/>
        </w:rPr>
        <w:t>U,Curr</w:t>
      </w:r>
      <w:proofErr w:type="spellEnd"/>
      <w:r w:rsidRPr="00767FC2">
        <w:t>,</w:t>
      </w:r>
      <w:r w:rsidRPr="00767FC2">
        <w:rPr>
          <w:i/>
        </w:rPr>
        <w:t xml:space="preserve"> </w:t>
      </w:r>
      <w:r w:rsidRPr="00767FC2">
        <w:t>in tonnes CO</w:t>
      </w:r>
      <w:r w:rsidRPr="00767FC2">
        <w:rPr>
          <w:vertAlign w:val="subscript"/>
        </w:rPr>
        <w:t>2</w:t>
      </w:r>
      <w:r w:rsidRPr="00767FC2">
        <w:noBreakHyphen/>
        <w:t>e.</w:t>
      </w:r>
    </w:p>
    <w:tbl>
      <w:tblPr>
        <w:tblStyle w:val="TableGrid"/>
        <w:tblW w:w="9528" w:type="dxa"/>
        <w:tblInd w:w="-30" w:type="dxa"/>
        <w:tblBorders>
          <w:left w:val="none" w:sz="0" w:space="0" w:color="auto"/>
          <w:right w:val="none" w:sz="0" w:space="0" w:color="auto"/>
          <w:insideV w:val="none" w:sz="0" w:space="0" w:color="auto"/>
        </w:tblBorders>
        <w:tblLayout w:type="fixed"/>
        <w:tblCellMar>
          <w:top w:w="57" w:type="dxa"/>
          <w:left w:w="28" w:type="dxa"/>
          <w:bottom w:w="57" w:type="dxa"/>
          <w:right w:w="28" w:type="dxa"/>
        </w:tblCellMar>
        <w:tblLook w:val="04A0" w:firstRow="1" w:lastRow="0" w:firstColumn="1" w:lastColumn="0" w:noHBand="0" w:noVBand="1"/>
      </w:tblPr>
      <w:tblGrid>
        <w:gridCol w:w="456"/>
        <w:gridCol w:w="708"/>
        <w:gridCol w:w="993"/>
        <w:gridCol w:w="1417"/>
        <w:gridCol w:w="2410"/>
        <w:gridCol w:w="1843"/>
        <w:gridCol w:w="1701"/>
      </w:tblGrid>
      <w:tr w:rsidR="00767FC2" w:rsidRPr="00767FC2" w14:paraId="16D5A95D" w14:textId="77777777" w:rsidTr="002F5F71">
        <w:trPr>
          <w:tblHeader/>
        </w:trPr>
        <w:tc>
          <w:tcPr>
            <w:tcW w:w="456" w:type="dxa"/>
            <w:tcBorders>
              <w:top w:val="single" w:sz="18" w:space="0" w:color="auto"/>
              <w:bottom w:val="single" w:sz="4" w:space="0" w:color="auto"/>
            </w:tcBorders>
          </w:tcPr>
          <w:p w14:paraId="46C3CB35" w14:textId="77777777" w:rsidR="002F5F71" w:rsidRPr="00767FC2" w:rsidRDefault="002F5F71" w:rsidP="002F5F71">
            <w:pPr>
              <w:pStyle w:val="TableHeading"/>
              <w:jc w:val="center"/>
            </w:pPr>
          </w:p>
        </w:tc>
        <w:tc>
          <w:tcPr>
            <w:tcW w:w="9072" w:type="dxa"/>
            <w:gridSpan w:val="6"/>
            <w:tcBorders>
              <w:top w:val="single" w:sz="18" w:space="0" w:color="auto"/>
              <w:bottom w:val="single" w:sz="4" w:space="0" w:color="auto"/>
            </w:tcBorders>
          </w:tcPr>
          <w:p w14:paraId="6057794F" w14:textId="77777777" w:rsidR="002F5F71" w:rsidRPr="00767FC2" w:rsidRDefault="002F5F71" w:rsidP="002F5F71">
            <w:pPr>
              <w:pStyle w:val="TableHeading"/>
              <w:jc w:val="center"/>
            </w:pPr>
            <w:r w:rsidRPr="00767FC2">
              <w:t xml:space="preserve">Calculation of adjusted contribution to net abatement amount from emissions avoidance </w:t>
            </w:r>
          </w:p>
        </w:tc>
      </w:tr>
      <w:tr w:rsidR="00767FC2" w:rsidRPr="00767FC2" w14:paraId="60E2E1FD" w14:textId="77777777" w:rsidTr="002F5F71">
        <w:trPr>
          <w:tblHeader/>
        </w:trPr>
        <w:tc>
          <w:tcPr>
            <w:tcW w:w="456" w:type="dxa"/>
            <w:tcBorders>
              <w:top w:val="single" w:sz="4" w:space="0" w:color="auto"/>
              <w:bottom w:val="single" w:sz="18" w:space="0" w:color="auto"/>
              <w:right w:val="nil"/>
            </w:tcBorders>
          </w:tcPr>
          <w:p w14:paraId="1DCF0A36" w14:textId="77777777" w:rsidR="002F5F71" w:rsidRPr="00767FC2" w:rsidRDefault="002F5F71" w:rsidP="002F5F71">
            <w:pPr>
              <w:pStyle w:val="TableHeading"/>
            </w:pPr>
            <w:r w:rsidRPr="00767FC2">
              <w:t>Item</w:t>
            </w:r>
          </w:p>
        </w:tc>
        <w:tc>
          <w:tcPr>
            <w:tcW w:w="5528" w:type="dxa"/>
            <w:gridSpan w:val="4"/>
            <w:tcBorders>
              <w:top w:val="single" w:sz="4" w:space="0" w:color="auto"/>
              <w:bottom w:val="single" w:sz="18" w:space="0" w:color="auto"/>
              <w:right w:val="nil"/>
            </w:tcBorders>
          </w:tcPr>
          <w:p w14:paraId="2AC780A7" w14:textId="77777777" w:rsidR="002F5F71" w:rsidRPr="00767FC2" w:rsidRDefault="002F5F71" w:rsidP="002F5F71">
            <w:pPr>
              <w:pStyle w:val="TableHeading"/>
            </w:pPr>
            <w:r w:rsidRPr="00767FC2">
              <w:t>Conditions</w:t>
            </w:r>
          </w:p>
        </w:tc>
        <w:tc>
          <w:tcPr>
            <w:tcW w:w="1843" w:type="dxa"/>
            <w:tcBorders>
              <w:top w:val="single" w:sz="4" w:space="0" w:color="auto"/>
              <w:left w:val="nil"/>
              <w:bottom w:val="single" w:sz="18" w:space="0" w:color="auto"/>
              <w:right w:val="nil"/>
            </w:tcBorders>
          </w:tcPr>
          <w:p w14:paraId="429F41A3" w14:textId="77777777" w:rsidR="002F5F71" w:rsidRPr="00767FC2" w:rsidRDefault="002F5F71" w:rsidP="002F5F71">
            <w:pPr>
              <w:pStyle w:val="TableHeading"/>
              <w:rPr>
                <w:i/>
                <w:vertAlign w:val="subscript"/>
              </w:rPr>
            </w:pPr>
            <w:proofErr w:type="spellStart"/>
            <w:r w:rsidRPr="00767FC2">
              <w:rPr>
                <w:i/>
              </w:rPr>
              <w:t>A</w:t>
            </w:r>
            <w:r w:rsidRPr="00767FC2">
              <w:rPr>
                <w:i/>
                <w:vertAlign w:val="subscript"/>
              </w:rPr>
              <w:t>EA,adj</w:t>
            </w:r>
            <w:proofErr w:type="spellEnd"/>
          </w:p>
        </w:tc>
        <w:tc>
          <w:tcPr>
            <w:tcW w:w="1701" w:type="dxa"/>
            <w:tcBorders>
              <w:top w:val="single" w:sz="4" w:space="0" w:color="auto"/>
              <w:left w:val="nil"/>
              <w:bottom w:val="single" w:sz="18" w:space="0" w:color="auto"/>
            </w:tcBorders>
          </w:tcPr>
          <w:p w14:paraId="72A5E22E" w14:textId="77777777" w:rsidR="002F5F71" w:rsidRPr="00767FC2" w:rsidRDefault="002F5F71" w:rsidP="002F5F71">
            <w:pPr>
              <w:pStyle w:val="TableHeading"/>
              <w:rPr>
                <w:i/>
                <w:vertAlign w:val="subscript"/>
              </w:rPr>
            </w:pPr>
            <w:proofErr w:type="spellStart"/>
            <w:r w:rsidRPr="00767FC2">
              <w:rPr>
                <w:i/>
              </w:rPr>
              <w:t>B</w:t>
            </w:r>
            <w:r w:rsidRPr="00767FC2">
              <w:rPr>
                <w:i/>
                <w:vertAlign w:val="subscript"/>
              </w:rPr>
              <w:t>U,Curr</w:t>
            </w:r>
            <w:proofErr w:type="spellEnd"/>
          </w:p>
        </w:tc>
      </w:tr>
      <w:tr w:rsidR="00767FC2" w:rsidRPr="00767FC2" w14:paraId="6EDA8BEB" w14:textId="77777777" w:rsidTr="002F5F71">
        <w:tc>
          <w:tcPr>
            <w:tcW w:w="456" w:type="dxa"/>
            <w:tcBorders>
              <w:top w:val="single" w:sz="18" w:space="0" w:color="auto"/>
              <w:left w:val="nil"/>
              <w:bottom w:val="single" w:sz="2" w:space="0" w:color="auto"/>
            </w:tcBorders>
          </w:tcPr>
          <w:p w14:paraId="7B049AAC" w14:textId="77777777" w:rsidR="002F5F71" w:rsidRPr="00767FC2" w:rsidRDefault="002F5F71" w:rsidP="002F5F71">
            <w:pPr>
              <w:pStyle w:val="Tabletext"/>
            </w:pPr>
            <w:r w:rsidRPr="00767FC2">
              <w:t>1</w:t>
            </w:r>
          </w:p>
        </w:tc>
        <w:tc>
          <w:tcPr>
            <w:tcW w:w="708" w:type="dxa"/>
            <w:tcBorders>
              <w:top w:val="single" w:sz="18" w:space="0" w:color="auto"/>
              <w:left w:val="nil"/>
              <w:bottom w:val="single" w:sz="2" w:space="0" w:color="auto"/>
            </w:tcBorders>
          </w:tcPr>
          <w:p w14:paraId="7AAEAAAC" w14:textId="77777777" w:rsidR="002F5F71" w:rsidRPr="00767FC2" w:rsidRDefault="002F5F71" w:rsidP="002F5F71">
            <w:pPr>
              <w:pStyle w:val="Tabletext"/>
              <w:rPr>
                <w:i/>
                <w:vertAlign w:val="subscript"/>
              </w:rPr>
            </w:pPr>
            <w:r w:rsidRPr="00767FC2">
              <w:rPr>
                <w:i/>
              </w:rPr>
              <w:t>A</w:t>
            </w:r>
            <w:r w:rsidRPr="00767FC2">
              <w:rPr>
                <w:i/>
                <w:vertAlign w:val="subscript"/>
              </w:rPr>
              <w:t>EA</w:t>
            </w:r>
            <w:r w:rsidRPr="00767FC2">
              <w:rPr>
                <w:rFonts w:eastAsia="NSimSun"/>
                <w:i/>
              </w:rPr>
              <w:t xml:space="preserve"> </w:t>
            </w:r>
            <w:r w:rsidRPr="00767FC2">
              <w:rPr>
                <w:rFonts w:eastAsia="NSimSun"/>
              </w:rPr>
              <w:sym w:font="Symbol" w:char="F0A3"/>
            </w:r>
            <w:r w:rsidRPr="00767FC2">
              <w:rPr>
                <w:i/>
              </w:rPr>
              <w:t xml:space="preserve"> </w:t>
            </w:r>
            <w:r w:rsidRPr="00767FC2">
              <w:t>0,</w:t>
            </w:r>
          </w:p>
        </w:tc>
        <w:tc>
          <w:tcPr>
            <w:tcW w:w="993" w:type="dxa"/>
            <w:tcBorders>
              <w:top w:val="single" w:sz="18" w:space="0" w:color="auto"/>
              <w:bottom w:val="single" w:sz="2" w:space="0" w:color="auto"/>
            </w:tcBorders>
          </w:tcPr>
          <w:p w14:paraId="19D681CC" w14:textId="77777777" w:rsidR="002F5F71" w:rsidRPr="00767FC2" w:rsidRDefault="002F5F71" w:rsidP="002F5F71">
            <w:pPr>
              <w:pStyle w:val="Tabletext"/>
              <w:rPr>
                <w:i/>
              </w:rPr>
            </w:pPr>
          </w:p>
        </w:tc>
        <w:tc>
          <w:tcPr>
            <w:tcW w:w="1417" w:type="dxa"/>
            <w:tcBorders>
              <w:top w:val="single" w:sz="18" w:space="0" w:color="auto"/>
              <w:bottom w:val="single" w:sz="2" w:space="0" w:color="auto"/>
              <w:right w:val="nil"/>
            </w:tcBorders>
          </w:tcPr>
          <w:p w14:paraId="553E2595" w14:textId="77777777" w:rsidR="002F5F71" w:rsidRPr="00767FC2" w:rsidRDefault="002F5F71" w:rsidP="002F5F71">
            <w:pPr>
              <w:pStyle w:val="Tabletext"/>
              <w:rPr>
                <w:i/>
                <w:vertAlign w:val="subscript"/>
              </w:rPr>
            </w:pPr>
          </w:p>
        </w:tc>
        <w:tc>
          <w:tcPr>
            <w:tcW w:w="2410" w:type="dxa"/>
            <w:tcBorders>
              <w:top w:val="single" w:sz="18" w:space="0" w:color="auto"/>
              <w:left w:val="nil"/>
              <w:bottom w:val="single" w:sz="2" w:space="0" w:color="auto"/>
              <w:right w:val="double" w:sz="4" w:space="0" w:color="auto"/>
            </w:tcBorders>
          </w:tcPr>
          <w:p w14:paraId="4C34A0FE" w14:textId="77777777" w:rsidR="002F5F71" w:rsidRPr="00767FC2" w:rsidRDefault="002F5F71" w:rsidP="002F5F71">
            <w:pPr>
              <w:pStyle w:val="Tabletext"/>
              <w:rPr>
                <w:i/>
                <w:vertAlign w:val="subscript"/>
              </w:rPr>
            </w:pPr>
            <w:r w:rsidRPr="00767FC2">
              <w:rPr>
                <w:i/>
              </w:rPr>
              <w:t>A</w:t>
            </w:r>
            <w:r w:rsidRPr="00767FC2">
              <w:rPr>
                <w:i/>
                <w:vertAlign w:val="subscript"/>
              </w:rPr>
              <w:t>EA</w:t>
            </w:r>
            <w:r w:rsidRPr="00767FC2">
              <w:rPr>
                <w:i/>
              </w:rPr>
              <w:t xml:space="preserve"> </w:t>
            </w:r>
            <w:r w:rsidRPr="00767FC2">
              <w:t xml:space="preserve">+ </w:t>
            </w:r>
            <w:proofErr w:type="spellStart"/>
            <w:r w:rsidRPr="00767FC2">
              <w:rPr>
                <w:i/>
              </w:rPr>
              <w:t>B</w:t>
            </w:r>
            <w:r w:rsidRPr="00767FC2">
              <w:rPr>
                <w:i/>
                <w:vertAlign w:val="subscript"/>
              </w:rPr>
              <w:t>U,Prev</w:t>
            </w:r>
            <w:proofErr w:type="spellEnd"/>
            <w:r w:rsidRPr="00767FC2">
              <w:rPr>
                <w:i/>
                <w:vertAlign w:val="subscript"/>
              </w:rPr>
              <w:t xml:space="preserve"> </w:t>
            </w:r>
            <w:r w:rsidRPr="00767FC2">
              <w:rPr>
                <w:rFonts w:eastAsia="NSimSun"/>
              </w:rPr>
              <w:t>&lt;</w:t>
            </w:r>
            <w:r w:rsidRPr="00767FC2">
              <w:t xml:space="preserve"> </w:t>
            </w:r>
            <w:proofErr w:type="spellStart"/>
            <w:r w:rsidRPr="00767FC2">
              <w:rPr>
                <w:i/>
              </w:rPr>
              <w:t>B</w:t>
            </w:r>
            <w:r w:rsidRPr="00767FC2">
              <w:rPr>
                <w:i/>
                <w:vertAlign w:val="subscript"/>
              </w:rPr>
              <w:t>U,Cap</w:t>
            </w:r>
            <w:proofErr w:type="spellEnd"/>
          </w:p>
        </w:tc>
        <w:tc>
          <w:tcPr>
            <w:tcW w:w="1843" w:type="dxa"/>
            <w:tcBorders>
              <w:top w:val="single" w:sz="18" w:space="0" w:color="auto"/>
              <w:left w:val="double" w:sz="4" w:space="0" w:color="auto"/>
              <w:bottom w:val="single" w:sz="2" w:space="0" w:color="auto"/>
              <w:right w:val="single" w:sz="2" w:space="0" w:color="auto"/>
            </w:tcBorders>
          </w:tcPr>
          <w:p w14:paraId="1A10FE47" w14:textId="77777777" w:rsidR="002F5F71" w:rsidRPr="00767FC2" w:rsidRDefault="002F5F71" w:rsidP="002F5F71">
            <w:pPr>
              <w:pStyle w:val="Tabletext"/>
            </w:pPr>
            <w:r w:rsidRPr="00767FC2">
              <w:t>0</w:t>
            </w:r>
          </w:p>
        </w:tc>
        <w:tc>
          <w:tcPr>
            <w:tcW w:w="1701" w:type="dxa"/>
            <w:tcBorders>
              <w:top w:val="single" w:sz="18" w:space="0" w:color="auto"/>
              <w:left w:val="single" w:sz="2" w:space="0" w:color="auto"/>
              <w:bottom w:val="single" w:sz="2" w:space="0" w:color="auto"/>
            </w:tcBorders>
          </w:tcPr>
          <w:p w14:paraId="18F7A0A5" w14:textId="77777777" w:rsidR="002F5F71" w:rsidRPr="00767FC2" w:rsidRDefault="002F5F71" w:rsidP="002F5F71">
            <w:pPr>
              <w:pStyle w:val="Tabletext"/>
            </w:pPr>
            <w:r w:rsidRPr="00767FC2">
              <w:rPr>
                <w:i/>
              </w:rPr>
              <w:t>A</w:t>
            </w:r>
            <w:r w:rsidRPr="00767FC2">
              <w:rPr>
                <w:i/>
                <w:vertAlign w:val="subscript"/>
              </w:rPr>
              <w:t>EA</w:t>
            </w:r>
            <w:r w:rsidRPr="00767FC2">
              <w:t xml:space="preserve"> + </w:t>
            </w:r>
            <w:proofErr w:type="spellStart"/>
            <w:r w:rsidRPr="00767FC2">
              <w:rPr>
                <w:i/>
              </w:rPr>
              <w:t>B</w:t>
            </w:r>
            <w:r w:rsidRPr="00767FC2">
              <w:rPr>
                <w:i/>
                <w:vertAlign w:val="subscript"/>
              </w:rPr>
              <w:t>U,Prev</w:t>
            </w:r>
            <w:proofErr w:type="spellEnd"/>
          </w:p>
        </w:tc>
      </w:tr>
      <w:tr w:rsidR="00767FC2" w:rsidRPr="00767FC2" w14:paraId="3AEA8912" w14:textId="77777777" w:rsidTr="002F5F71">
        <w:tc>
          <w:tcPr>
            <w:tcW w:w="456" w:type="dxa"/>
            <w:tcBorders>
              <w:top w:val="single" w:sz="2" w:space="0" w:color="auto"/>
              <w:left w:val="nil"/>
              <w:bottom w:val="single" w:sz="2" w:space="0" w:color="auto"/>
            </w:tcBorders>
          </w:tcPr>
          <w:p w14:paraId="51369621" w14:textId="77777777" w:rsidR="002F5F71" w:rsidRPr="00767FC2" w:rsidRDefault="002F5F71" w:rsidP="002F5F71">
            <w:pPr>
              <w:pStyle w:val="Tabletext"/>
            </w:pPr>
            <w:r w:rsidRPr="00767FC2">
              <w:t>2</w:t>
            </w:r>
          </w:p>
        </w:tc>
        <w:tc>
          <w:tcPr>
            <w:tcW w:w="708" w:type="dxa"/>
            <w:tcBorders>
              <w:top w:val="single" w:sz="2" w:space="0" w:color="auto"/>
              <w:left w:val="nil"/>
              <w:bottom w:val="single" w:sz="2" w:space="0" w:color="auto"/>
            </w:tcBorders>
          </w:tcPr>
          <w:p w14:paraId="362A4F39" w14:textId="77777777" w:rsidR="002F5F71" w:rsidRPr="00767FC2" w:rsidRDefault="002F5F71" w:rsidP="002F5F71">
            <w:pPr>
              <w:pStyle w:val="Tabletext"/>
              <w:rPr>
                <w:i/>
              </w:rPr>
            </w:pPr>
            <w:r w:rsidRPr="00767FC2">
              <w:rPr>
                <w:i/>
              </w:rPr>
              <w:t>A</w:t>
            </w:r>
            <w:r w:rsidRPr="00767FC2">
              <w:rPr>
                <w:i/>
                <w:vertAlign w:val="subscript"/>
              </w:rPr>
              <w:t>EA</w:t>
            </w:r>
            <w:r w:rsidRPr="00767FC2">
              <w:rPr>
                <w:rFonts w:eastAsia="NSimSun"/>
                <w:i/>
              </w:rPr>
              <w:t xml:space="preserve"> </w:t>
            </w:r>
            <w:r w:rsidRPr="00767FC2">
              <w:rPr>
                <w:rFonts w:eastAsia="NSimSun"/>
              </w:rPr>
              <w:sym w:font="Symbol" w:char="F0A3"/>
            </w:r>
            <w:r w:rsidRPr="00767FC2">
              <w:rPr>
                <w:i/>
              </w:rPr>
              <w:t xml:space="preserve"> </w:t>
            </w:r>
            <w:r w:rsidRPr="00767FC2">
              <w:t>0,</w:t>
            </w:r>
          </w:p>
        </w:tc>
        <w:tc>
          <w:tcPr>
            <w:tcW w:w="993" w:type="dxa"/>
            <w:tcBorders>
              <w:top w:val="single" w:sz="2" w:space="0" w:color="auto"/>
              <w:bottom w:val="single" w:sz="2" w:space="0" w:color="auto"/>
            </w:tcBorders>
          </w:tcPr>
          <w:p w14:paraId="102E1261" w14:textId="77777777" w:rsidR="002F5F71" w:rsidRPr="00767FC2" w:rsidRDefault="002F5F71" w:rsidP="002F5F71">
            <w:pPr>
              <w:pStyle w:val="Tabletext"/>
              <w:rPr>
                <w:i/>
              </w:rPr>
            </w:pPr>
          </w:p>
        </w:tc>
        <w:tc>
          <w:tcPr>
            <w:tcW w:w="1417" w:type="dxa"/>
            <w:tcBorders>
              <w:top w:val="single" w:sz="2" w:space="0" w:color="auto"/>
              <w:bottom w:val="single" w:sz="2" w:space="0" w:color="auto"/>
              <w:right w:val="nil"/>
            </w:tcBorders>
          </w:tcPr>
          <w:p w14:paraId="5283D074" w14:textId="77777777" w:rsidR="002F5F71" w:rsidRPr="00767FC2" w:rsidRDefault="002F5F71" w:rsidP="002F5F71">
            <w:pPr>
              <w:pStyle w:val="Tabletext"/>
            </w:pPr>
          </w:p>
        </w:tc>
        <w:tc>
          <w:tcPr>
            <w:tcW w:w="2410" w:type="dxa"/>
            <w:tcBorders>
              <w:top w:val="single" w:sz="2" w:space="0" w:color="auto"/>
              <w:left w:val="nil"/>
              <w:bottom w:val="single" w:sz="2" w:space="0" w:color="auto"/>
              <w:right w:val="double" w:sz="4" w:space="0" w:color="auto"/>
            </w:tcBorders>
          </w:tcPr>
          <w:p w14:paraId="25E0DB58" w14:textId="77777777" w:rsidR="002F5F71" w:rsidRPr="00767FC2" w:rsidRDefault="002F5F71" w:rsidP="002F5F71">
            <w:pPr>
              <w:pStyle w:val="Tabletext"/>
            </w:pPr>
            <w:r w:rsidRPr="00767FC2">
              <w:rPr>
                <w:i/>
              </w:rPr>
              <w:t>A</w:t>
            </w:r>
            <w:r w:rsidRPr="00767FC2">
              <w:rPr>
                <w:i/>
                <w:vertAlign w:val="subscript"/>
              </w:rPr>
              <w:t>EA</w:t>
            </w:r>
            <w:r w:rsidRPr="00767FC2">
              <w:rPr>
                <w:i/>
              </w:rPr>
              <w:t xml:space="preserve"> </w:t>
            </w:r>
            <w:r w:rsidRPr="00767FC2">
              <w:t xml:space="preserve">+ </w:t>
            </w:r>
            <w:proofErr w:type="spellStart"/>
            <w:r w:rsidRPr="00767FC2">
              <w:rPr>
                <w:i/>
              </w:rPr>
              <w:t>B</w:t>
            </w:r>
            <w:r w:rsidRPr="00767FC2">
              <w:rPr>
                <w:i/>
                <w:vertAlign w:val="subscript"/>
              </w:rPr>
              <w:t>U,Prev</w:t>
            </w:r>
            <w:proofErr w:type="spellEnd"/>
            <w:r w:rsidRPr="00767FC2">
              <w:rPr>
                <w:i/>
                <w:vertAlign w:val="subscript"/>
              </w:rPr>
              <w:t xml:space="preserve"> </w:t>
            </w:r>
            <w:r w:rsidRPr="00767FC2">
              <w:sym w:font="Symbol" w:char="F0B3"/>
            </w:r>
            <w:r w:rsidRPr="00767FC2">
              <w:t xml:space="preserve"> </w:t>
            </w:r>
            <w:proofErr w:type="spellStart"/>
            <w:r w:rsidRPr="00767FC2">
              <w:rPr>
                <w:i/>
              </w:rPr>
              <w:t>B</w:t>
            </w:r>
            <w:r w:rsidRPr="00767FC2">
              <w:rPr>
                <w:i/>
                <w:vertAlign w:val="subscript"/>
              </w:rPr>
              <w:t>U,Cap</w:t>
            </w:r>
            <w:proofErr w:type="spellEnd"/>
          </w:p>
        </w:tc>
        <w:tc>
          <w:tcPr>
            <w:tcW w:w="1843" w:type="dxa"/>
            <w:tcBorders>
              <w:top w:val="single" w:sz="2" w:space="0" w:color="auto"/>
              <w:left w:val="double" w:sz="4" w:space="0" w:color="auto"/>
              <w:bottom w:val="single" w:sz="2" w:space="0" w:color="auto"/>
              <w:right w:val="single" w:sz="2" w:space="0" w:color="auto"/>
            </w:tcBorders>
          </w:tcPr>
          <w:p w14:paraId="3E4B7358" w14:textId="77777777" w:rsidR="002F5F71" w:rsidRPr="00767FC2" w:rsidRDefault="002F5F71" w:rsidP="002F5F71">
            <w:pPr>
              <w:pStyle w:val="Tabletext"/>
            </w:pPr>
            <w:r w:rsidRPr="00767FC2">
              <w:rPr>
                <w:i/>
              </w:rPr>
              <w:t>A</w:t>
            </w:r>
            <w:r w:rsidRPr="00767FC2">
              <w:rPr>
                <w:i/>
                <w:vertAlign w:val="subscript"/>
              </w:rPr>
              <w:t>EA</w:t>
            </w:r>
            <w:r w:rsidRPr="00767FC2">
              <w:t xml:space="preserve"> + </w:t>
            </w:r>
            <w:proofErr w:type="spellStart"/>
            <w:r w:rsidRPr="00767FC2">
              <w:rPr>
                <w:i/>
              </w:rPr>
              <w:t>B</w:t>
            </w:r>
            <w:r w:rsidRPr="00767FC2">
              <w:rPr>
                <w:i/>
                <w:vertAlign w:val="subscript"/>
              </w:rPr>
              <w:t>U,Prev</w:t>
            </w:r>
            <w:proofErr w:type="spellEnd"/>
            <w:r w:rsidRPr="00767FC2">
              <w:rPr>
                <w:i/>
              </w:rPr>
              <w:t xml:space="preserve"> – </w:t>
            </w:r>
            <w:proofErr w:type="spellStart"/>
            <w:r w:rsidRPr="00767FC2">
              <w:rPr>
                <w:i/>
              </w:rPr>
              <w:t>B</w:t>
            </w:r>
            <w:r w:rsidRPr="00767FC2">
              <w:rPr>
                <w:i/>
                <w:vertAlign w:val="subscript"/>
              </w:rPr>
              <w:t>U,Cap</w:t>
            </w:r>
            <w:proofErr w:type="spellEnd"/>
          </w:p>
        </w:tc>
        <w:tc>
          <w:tcPr>
            <w:tcW w:w="1701" w:type="dxa"/>
            <w:tcBorders>
              <w:top w:val="single" w:sz="2" w:space="0" w:color="auto"/>
              <w:left w:val="single" w:sz="2" w:space="0" w:color="auto"/>
              <w:bottom w:val="single" w:sz="2" w:space="0" w:color="auto"/>
            </w:tcBorders>
          </w:tcPr>
          <w:p w14:paraId="6F94CF88" w14:textId="77777777" w:rsidR="002F5F71" w:rsidRPr="00767FC2" w:rsidRDefault="002F5F71" w:rsidP="002F5F71">
            <w:pPr>
              <w:pStyle w:val="Tabletext"/>
              <w:rPr>
                <w:i/>
              </w:rPr>
            </w:pPr>
            <w:proofErr w:type="spellStart"/>
            <w:r w:rsidRPr="00767FC2">
              <w:rPr>
                <w:i/>
              </w:rPr>
              <w:t>B</w:t>
            </w:r>
            <w:r w:rsidRPr="00767FC2">
              <w:rPr>
                <w:i/>
                <w:vertAlign w:val="subscript"/>
              </w:rPr>
              <w:t>U,Cap</w:t>
            </w:r>
            <w:proofErr w:type="spellEnd"/>
          </w:p>
        </w:tc>
      </w:tr>
      <w:tr w:rsidR="00767FC2" w:rsidRPr="00767FC2" w14:paraId="20F7EB00" w14:textId="77777777" w:rsidTr="002F5F71">
        <w:tc>
          <w:tcPr>
            <w:tcW w:w="456" w:type="dxa"/>
            <w:tcBorders>
              <w:top w:val="single" w:sz="2" w:space="0" w:color="auto"/>
              <w:left w:val="nil"/>
              <w:bottom w:val="single" w:sz="2" w:space="0" w:color="auto"/>
            </w:tcBorders>
          </w:tcPr>
          <w:p w14:paraId="52994A56" w14:textId="77777777" w:rsidR="002F5F71" w:rsidRPr="00767FC2" w:rsidRDefault="002F5F71" w:rsidP="002F5F71">
            <w:pPr>
              <w:pStyle w:val="Tabletext"/>
            </w:pPr>
            <w:r w:rsidRPr="00767FC2">
              <w:t>3</w:t>
            </w:r>
          </w:p>
        </w:tc>
        <w:tc>
          <w:tcPr>
            <w:tcW w:w="708" w:type="dxa"/>
            <w:tcBorders>
              <w:top w:val="single" w:sz="2" w:space="0" w:color="auto"/>
              <w:left w:val="nil"/>
              <w:bottom w:val="single" w:sz="2" w:space="0" w:color="auto"/>
            </w:tcBorders>
          </w:tcPr>
          <w:p w14:paraId="5DC59411" w14:textId="77777777" w:rsidR="002F5F71" w:rsidRPr="00767FC2" w:rsidRDefault="002F5F71" w:rsidP="002F5F71">
            <w:pPr>
              <w:pStyle w:val="Tabletext"/>
            </w:pPr>
            <w:r w:rsidRPr="00767FC2">
              <w:rPr>
                <w:i/>
              </w:rPr>
              <w:t>A</w:t>
            </w:r>
            <w:r w:rsidRPr="00767FC2">
              <w:rPr>
                <w:i/>
                <w:vertAlign w:val="subscript"/>
              </w:rPr>
              <w:t>EA</w:t>
            </w:r>
            <w:r w:rsidRPr="00767FC2">
              <w:rPr>
                <w:rFonts w:eastAsia="NSimSun"/>
                <w:i/>
              </w:rPr>
              <w:t xml:space="preserve"> </w:t>
            </w:r>
            <w:r w:rsidRPr="00767FC2">
              <w:sym w:font="Symbol" w:char="F03E"/>
            </w:r>
            <w:r w:rsidRPr="00767FC2">
              <w:rPr>
                <w:i/>
              </w:rPr>
              <w:t xml:space="preserve"> </w:t>
            </w:r>
            <w:r w:rsidRPr="00767FC2">
              <w:t>0,</w:t>
            </w:r>
          </w:p>
        </w:tc>
        <w:tc>
          <w:tcPr>
            <w:tcW w:w="993" w:type="dxa"/>
            <w:tcBorders>
              <w:top w:val="single" w:sz="2" w:space="0" w:color="auto"/>
              <w:bottom w:val="single" w:sz="2" w:space="0" w:color="auto"/>
            </w:tcBorders>
          </w:tcPr>
          <w:p w14:paraId="7FCE2D4F" w14:textId="77777777" w:rsidR="002F5F71" w:rsidRPr="00767FC2" w:rsidRDefault="002F5F71" w:rsidP="002F5F71">
            <w:pPr>
              <w:pStyle w:val="Tabletext"/>
            </w:pPr>
            <w:proofErr w:type="spellStart"/>
            <w:r w:rsidRPr="00767FC2">
              <w:rPr>
                <w:i/>
              </w:rPr>
              <w:t>B</w:t>
            </w:r>
            <w:r w:rsidRPr="00767FC2">
              <w:rPr>
                <w:i/>
                <w:vertAlign w:val="subscript"/>
              </w:rPr>
              <w:t>U,Prev</w:t>
            </w:r>
            <w:proofErr w:type="spellEnd"/>
            <w:r w:rsidRPr="00767FC2">
              <w:t xml:space="preserve"> </w:t>
            </w:r>
            <w:r w:rsidRPr="00767FC2">
              <w:rPr>
                <w:rFonts w:eastAsia="NSimSun"/>
              </w:rPr>
              <w:t>&lt; 0,</w:t>
            </w:r>
          </w:p>
        </w:tc>
        <w:tc>
          <w:tcPr>
            <w:tcW w:w="1417" w:type="dxa"/>
            <w:tcBorders>
              <w:top w:val="single" w:sz="2" w:space="0" w:color="auto"/>
              <w:bottom w:val="single" w:sz="2" w:space="0" w:color="auto"/>
              <w:right w:val="nil"/>
            </w:tcBorders>
          </w:tcPr>
          <w:p w14:paraId="23AD2770" w14:textId="77777777" w:rsidR="002F5F71" w:rsidRPr="00767FC2" w:rsidRDefault="002F5F71" w:rsidP="002F5F71">
            <w:pPr>
              <w:pStyle w:val="Tabletext"/>
            </w:pPr>
            <w:r w:rsidRPr="00767FC2">
              <w:rPr>
                <w:i/>
              </w:rPr>
              <w:t>A</w:t>
            </w:r>
            <w:r w:rsidRPr="00767FC2">
              <w:rPr>
                <w:i/>
                <w:vertAlign w:val="subscript"/>
              </w:rPr>
              <w:t>EA</w:t>
            </w:r>
            <w:r w:rsidRPr="00767FC2">
              <w:rPr>
                <w:i/>
              </w:rPr>
              <w:t xml:space="preserve"> </w:t>
            </w:r>
            <w:r w:rsidRPr="00767FC2">
              <w:t xml:space="preserve">+ </w:t>
            </w:r>
            <w:proofErr w:type="spellStart"/>
            <w:r w:rsidRPr="00767FC2">
              <w:rPr>
                <w:i/>
              </w:rPr>
              <w:t>B</w:t>
            </w:r>
            <w:r w:rsidRPr="00767FC2">
              <w:rPr>
                <w:i/>
                <w:vertAlign w:val="subscript"/>
              </w:rPr>
              <w:t>U,Prev</w:t>
            </w:r>
            <w:proofErr w:type="spellEnd"/>
            <w:r w:rsidRPr="00767FC2">
              <w:rPr>
                <w:i/>
                <w:vertAlign w:val="subscript"/>
              </w:rPr>
              <w:t xml:space="preserve"> </w:t>
            </w:r>
            <w:r w:rsidRPr="00767FC2">
              <w:rPr>
                <w:rFonts w:eastAsia="NSimSun"/>
              </w:rPr>
              <w:t>&lt;</w:t>
            </w:r>
            <w:r w:rsidRPr="00767FC2">
              <w:t xml:space="preserve"> </w:t>
            </w:r>
            <w:r w:rsidRPr="00767FC2">
              <w:rPr>
                <w:rFonts w:eastAsia="NSimSun"/>
              </w:rPr>
              <w:t>0</w:t>
            </w:r>
          </w:p>
        </w:tc>
        <w:tc>
          <w:tcPr>
            <w:tcW w:w="2410" w:type="dxa"/>
            <w:tcBorders>
              <w:top w:val="single" w:sz="2" w:space="0" w:color="auto"/>
              <w:left w:val="nil"/>
              <w:bottom w:val="single" w:sz="2" w:space="0" w:color="auto"/>
              <w:right w:val="double" w:sz="4" w:space="0" w:color="auto"/>
            </w:tcBorders>
          </w:tcPr>
          <w:p w14:paraId="44CEB15B" w14:textId="77777777" w:rsidR="002F5F71" w:rsidRPr="00767FC2" w:rsidRDefault="002F5F71" w:rsidP="002F5F71">
            <w:pPr>
              <w:pStyle w:val="Tabletext"/>
            </w:pPr>
          </w:p>
        </w:tc>
        <w:tc>
          <w:tcPr>
            <w:tcW w:w="1843" w:type="dxa"/>
            <w:tcBorders>
              <w:top w:val="single" w:sz="2" w:space="0" w:color="auto"/>
              <w:left w:val="double" w:sz="4" w:space="0" w:color="auto"/>
              <w:bottom w:val="single" w:sz="2" w:space="0" w:color="auto"/>
              <w:right w:val="single" w:sz="2" w:space="0" w:color="auto"/>
            </w:tcBorders>
          </w:tcPr>
          <w:p w14:paraId="4876B657" w14:textId="77777777" w:rsidR="002F5F71" w:rsidRPr="00767FC2" w:rsidRDefault="002F5F71" w:rsidP="002F5F71">
            <w:pPr>
              <w:pStyle w:val="Tabletext"/>
            </w:pPr>
            <w:r w:rsidRPr="00767FC2">
              <w:t>0</w:t>
            </w:r>
          </w:p>
        </w:tc>
        <w:tc>
          <w:tcPr>
            <w:tcW w:w="1701" w:type="dxa"/>
            <w:tcBorders>
              <w:top w:val="single" w:sz="2" w:space="0" w:color="auto"/>
              <w:left w:val="single" w:sz="2" w:space="0" w:color="auto"/>
              <w:bottom w:val="single" w:sz="2" w:space="0" w:color="auto"/>
            </w:tcBorders>
          </w:tcPr>
          <w:p w14:paraId="0D3E0FFC" w14:textId="77777777" w:rsidR="002F5F71" w:rsidRPr="00767FC2" w:rsidRDefault="002F5F71" w:rsidP="002F5F71">
            <w:pPr>
              <w:pStyle w:val="Tabletext"/>
            </w:pPr>
            <w:r w:rsidRPr="00767FC2">
              <w:rPr>
                <w:i/>
              </w:rPr>
              <w:t>A</w:t>
            </w:r>
            <w:r w:rsidRPr="00767FC2">
              <w:rPr>
                <w:i/>
                <w:vertAlign w:val="subscript"/>
              </w:rPr>
              <w:t>EA</w:t>
            </w:r>
            <w:r w:rsidRPr="00767FC2">
              <w:t xml:space="preserve"> + </w:t>
            </w:r>
            <w:proofErr w:type="spellStart"/>
            <w:r w:rsidRPr="00767FC2">
              <w:rPr>
                <w:i/>
              </w:rPr>
              <w:t>B</w:t>
            </w:r>
            <w:r w:rsidRPr="00767FC2">
              <w:rPr>
                <w:i/>
                <w:vertAlign w:val="subscript"/>
              </w:rPr>
              <w:t>U,Prev</w:t>
            </w:r>
            <w:proofErr w:type="spellEnd"/>
          </w:p>
        </w:tc>
      </w:tr>
      <w:tr w:rsidR="00767FC2" w:rsidRPr="00767FC2" w14:paraId="187E179D" w14:textId="77777777" w:rsidTr="002F5F71">
        <w:tc>
          <w:tcPr>
            <w:tcW w:w="456" w:type="dxa"/>
            <w:tcBorders>
              <w:top w:val="single" w:sz="2" w:space="0" w:color="auto"/>
              <w:left w:val="nil"/>
              <w:bottom w:val="single" w:sz="2" w:space="0" w:color="auto"/>
            </w:tcBorders>
          </w:tcPr>
          <w:p w14:paraId="61FF182B" w14:textId="77777777" w:rsidR="002F5F71" w:rsidRPr="00767FC2" w:rsidRDefault="002F5F71" w:rsidP="002F5F71">
            <w:pPr>
              <w:rPr>
                <w:sz w:val="20"/>
              </w:rPr>
            </w:pPr>
            <w:r w:rsidRPr="00767FC2">
              <w:rPr>
                <w:sz w:val="20"/>
              </w:rPr>
              <w:t>4</w:t>
            </w:r>
          </w:p>
        </w:tc>
        <w:tc>
          <w:tcPr>
            <w:tcW w:w="708" w:type="dxa"/>
            <w:tcBorders>
              <w:top w:val="single" w:sz="2" w:space="0" w:color="auto"/>
              <w:left w:val="nil"/>
              <w:bottom w:val="single" w:sz="2" w:space="0" w:color="auto"/>
            </w:tcBorders>
          </w:tcPr>
          <w:p w14:paraId="124F1A2B" w14:textId="77777777" w:rsidR="002F5F71" w:rsidRPr="00767FC2" w:rsidRDefault="002F5F71" w:rsidP="002F5F71">
            <w:pPr>
              <w:rPr>
                <w:sz w:val="20"/>
              </w:rPr>
            </w:pPr>
            <w:r w:rsidRPr="00767FC2">
              <w:rPr>
                <w:i/>
                <w:sz w:val="20"/>
              </w:rPr>
              <w:t>A</w:t>
            </w:r>
            <w:r w:rsidRPr="00767FC2">
              <w:rPr>
                <w:i/>
                <w:sz w:val="20"/>
                <w:vertAlign w:val="subscript"/>
              </w:rPr>
              <w:t>EA</w:t>
            </w:r>
            <w:r w:rsidRPr="00767FC2">
              <w:rPr>
                <w:rFonts w:eastAsia="NSimSun"/>
                <w:i/>
                <w:sz w:val="20"/>
              </w:rPr>
              <w:t xml:space="preserve"> </w:t>
            </w:r>
            <w:r w:rsidRPr="00767FC2">
              <w:rPr>
                <w:sz w:val="20"/>
              </w:rPr>
              <w:sym w:font="Symbol" w:char="F03E"/>
            </w:r>
            <w:r w:rsidRPr="00767FC2">
              <w:rPr>
                <w:i/>
                <w:sz w:val="20"/>
              </w:rPr>
              <w:t xml:space="preserve"> </w:t>
            </w:r>
            <w:r w:rsidRPr="00767FC2">
              <w:rPr>
                <w:sz w:val="20"/>
              </w:rPr>
              <w:t>0,</w:t>
            </w:r>
          </w:p>
        </w:tc>
        <w:tc>
          <w:tcPr>
            <w:tcW w:w="993" w:type="dxa"/>
            <w:tcBorders>
              <w:top w:val="single" w:sz="2" w:space="0" w:color="auto"/>
              <w:bottom w:val="single" w:sz="2" w:space="0" w:color="auto"/>
            </w:tcBorders>
          </w:tcPr>
          <w:p w14:paraId="7FAB905A" w14:textId="77777777" w:rsidR="002F5F71" w:rsidRPr="00767FC2" w:rsidRDefault="002F5F71" w:rsidP="002F5F71">
            <w:pPr>
              <w:pStyle w:val="Tabletext"/>
            </w:pPr>
            <w:proofErr w:type="spellStart"/>
            <w:r w:rsidRPr="00767FC2">
              <w:rPr>
                <w:i/>
              </w:rPr>
              <w:t>B</w:t>
            </w:r>
            <w:r w:rsidRPr="00767FC2">
              <w:rPr>
                <w:i/>
                <w:vertAlign w:val="subscript"/>
              </w:rPr>
              <w:t>U,Prev</w:t>
            </w:r>
            <w:proofErr w:type="spellEnd"/>
            <w:r w:rsidRPr="00767FC2">
              <w:t xml:space="preserve"> </w:t>
            </w:r>
            <w:r w:rsidRPr="00767FC2">
              <w:rPr>
                <w:rFonts w:eastAsia="NSimSun"/>
              </w:rPr>
              <w:t>&lt; 0,</w:t>
            </w:r>
          </w:p>
        </w:tc>
        <w:tc>
          <w:tcPr>
            <w:tcW w:w="1417" w:type="dxa"/>
            <w:tcBorders>
              <w:top w:val="single" w:sz="2" w:space="0" w:color="auto"/>
              <w:bottom w:val="single" w:sz="2" w:space="0" w:color="auto"/>
              <w:right w:val="nil"/>
            </w:tcBorders>
          </w:tcPr>
          <w:p w14:paraId="73CDB764" w14:textId="77777777" w:rsidR="002F5F71" w:rsidRPr="00767FC2" w:rsidRDefault="002F5F71" w:rsidP="002F5F71">
            <w:pPr>
              <w:tabs>
                <w:tab w:val="left" w:pos="475"/>
              </w:tabs>
              <w:rPr>
                <w:sz w:val="20"/>
              </w:rPr>
            </w:pPr>
            <w:r w:rsidRPr="00767FC2">
              <w:rPr>
                <w:i/>
                <w:sz w:val="20"/>
              </w:rPr>
              <w:t>A</w:t>
            </w:r>
            <w:r w:rsidRPr="00767FC2">
              <w:rPr>
                <w:i/>
                <w:sz w:val="20"/>
                <w:vertAlign w:val="subscript"/>
              </w:rPr>
              <w:t>EA</w:t>
            </w:r>
            <w:r w:rsidRPr="00767FC2">
              <w:rPr>
                <w:i/>
                <w:sz w:val="20"/>
              </w:rPr>
              <w:t xml:space="preserve"> </w:t>
            </w:r>
            <w:r w:rsidRPr="00767FC2">
              <w:rPr>
                <w:sz w:val="20"/>
              </w:rPr>
              <w:t xml:space="preserve">+ </w:t>
            </w:r>
            <w:proofErr w:type="spellStart"/>
            <w:r w:rsidRPr="00767FC2">
              <w:rPr>
                <w:i/>
                <w:sz w:val="20"/>
              </w:rPr>
              <w:t>B</w:t>
            </w:r>
            <w:r w:rsidRPr="00767FC2">
              <w:rPr>
                <w:i/>
                <w:sz w:val="20"/>
                <w:vertAlign w:val="subscript"/>
              </w:rPr>
              <w:t>U,Prev</w:t>
            </w:r>
            <w:proofErr w:type="spellEnd"/>
            <w:r w:rsidRPr="00767FC2">
              <w:rPr>
                <w:i/>
                <w:sz w:val="20"/>
                <w:vertAlign w:val="subscript"/>
              </w:rPr>
              <w:t xml:space="preserve"> </w:t>
            </w:r>
            <w:r w:rsidRPr="00767FC2">
              <w:rPr>
                <w:sz w:val="20"/>
              </w:rPr>
              <w:sym w:font="Symbol" w:char="F0B3"/>
            </w:r>
            <w:r w:rsidRPr="00767FC2">
              <w:rPr>
                <w:sz w:val="20"/>
              </w:rPr>
              <w:t xml:space="preserve"> 0,</w:t>
            </w:r>
          </w:p>
        </w:tc>
        <w:tc>
          <w:tcPr>
            <w:tcW w:w="2410" w:type="dxa"/>
            <w:tcBorders>
              <w:top w:val="single" w:sz="2" w:space="0" w:color="auto"/>
              <w:left w:val="nil"/>
              <w:bottom w:val="single" w:sz="2" w:space="0" w:color="auto"/>
              <w:right w:val="double" w:sz="4" w:space="0" w:color="auto"/>
            </w:tcBorders>
          </w:tcPr>
          <w:p w14:paraId="36016A58" w14:textId="77777777" w:rsidR="002F5F71" w:rsidRPr="00767FC2" w:rsidRDefault="002F5F71" w:rsidP="002F5F71">
            <w:pPr>
              <w:tabs>
                <w:tab w:val="left" w:pos="475"/>
              </w:tabs>
              <w:rPr>
                <w:sz w:val="20"/>
              </w:rPr>
            </w:pPr>
            <w:r w:rsidRPr="00767FC2">
              <w:rPr>
                <w:sz w:val="20"/>
              </w:rPr>
              <w:t xml:space="preserve">0.1 </w:t>
            </w:r>
            <w:r w:rsidRPr="00767FC2">
              <w:rPr>
                <w:sz w:val="20"/>
              </w:rPr>
              <w:sym w:font="Symbol" w:char="F0B4"/>
            </w:r>
            <w:r w:rsidRPr="00767FC2">
              <w:rPr>
                <w:sz w:val="20"/>
              </w:rPr>
              <w:t xml:space="preserve"> (</w:t>
            </w:r>
            <w:r w:rsidRPr="00767FC2">
              <w:rPr>
                <w:i/>
                <w:sz w:val="20"/>
              </w:rPr>
              <w:t>A</w:t>
            </w:r>
            <w:r w:rsidRPr="00767FC2">
              <w:rPr>
                <w:i/>
                <w:sz w:val="20"/>
                <w:vertAlign w:val="subscript"/>
              </w:rPr>
              <w:t>EA</w:t>
            </w:r>
            <w:r w:rsidRPr="00767FC2">
              <w:rPr>
                <w:i/>
                <w:sz w:val="20"/>
              </w:rPr>
              <w:t xml:space="preserve"> </w:t>
            </w:r>
            <w:r w:rsidRPr="00767FC2">
              <w:rPr>
                <w:sz w:val="20"/>
              </w:rPr>
              <w:t xml:space="preserve">+ </w:t>
            </w:r>
            <w:proofErr w:type="spellStart"/>
            <w:r w:rsidRPr="00767FC2">
              <w:rPr>
                <w:i/>
                <w:sz w:val="20"/>
              </w:rPr>
              <w:t>B</w:t>
            </w:r>
            <w:r w:rsidRPr="00767FC2">
              <w:rPr>
                <w:i/>
                <w:sz w:val="20"/>
                <w:vertAlign w:val="subscript"/>
              </w:rPr>
              <w:t>U,Prev</w:t>
            </w:r>
            <w:proofErr w:type="spellEnd"/>
            <w:r w:rsidRPr="00767FC2">
              <w:rPr>
                <w:sz w:val="20"/>
              </w:rPr>
              <w:t xml:space="preserve">) </w:t>
            </w:r>
            <w:r w:rsidRPr="00767FC2">
              <w:rPr>
                <w:rFonts w:eastAsia="NSimSun"/>
                <w:sz w:val="20"/>
              </w:rPr>
              <w:t xml:space="preserve">&lt; </w:t>
            </w:r>
            <w:proofErr w:type="spellStart"/>
            <w:r w:rsidRPr="00767FC2">
              <w:rPr>
                <w:i/>
                <w:sz w:val="20"/>
              </w:rPr>
              <w:t>B</w:t>
            </w:r>
            <w:r w:rsidRPr="00767FC2">
              <w:rPr>
                <w:i/>
                <w:sz w:val="20"/>
                <w:vertAlign w:val="subscript"/>
              </w:rPr>
              <w:t>U,Cap</w:t>
            </w:r>
            <w:proofErr w:type="spellEnd"/>
          </w:p>
        </w:tc>
        <w:tc>
          <w:tcPr>
            <w:tcW w:w="1843" w:type="dxa"/>
            <w:tcBorders>
              <w:top w:val="single" w:sz="2" w:space="0" w:color="auto"/>
              <w:left w:val="double" w:sz="4" w:space="0" w:color="auto"/>
              <w:bottom w:val="single" w:sz="2" w:space="0" w:color="auto"/>
              <w:right w:val="single" w:sz="2" w:space="0" w:color="auto"/>
            </w:tcBorders>
          </w:tcPr>
          <w:p w14:paraId="6F5984E9" w14:textId="77777777" w:rsidR="002F5F71" w:rsidRPr="00767FC2" w:rsidRDefault="002F5F71" w:rsidP="002F5F71">
            <w:pPr>
              <w:pStyle w:val="Tabletext"/>
            </w:pPr>
            <w:r w:rsidRPr="00767FC2">
              <w:t xml:space="preserve">0.9 </w:t>
            </w:r>
            <w:r w:rsidRPr="00767FC2">
              <w:sym w:font="Symbol" w:char="F0B4"/>
            </w:r>
            <w:r w:rsidRPr="00767FC2">
              <w:t xml:space="preserve"> (</w:t>
            </w:r>
            <w:r w:rsidRPr="00767FC2">
              <w:rPr>
                <w:i/>
              </w:rPr>
              <w:t>A</w:t>
            </w:r>
            <w:r w:rsidRPr="00767FC2">
              <w:rPr>
                <w:i/>
                <w:vertAlign w:val="subscript"/>
              </w:rPr>
              <w:t>EA</w:t>
            </w:r>
            <w:r w:rsidRPr="00767FC2">
              <w:t xml:space="preserve"> + </w:t>
            </w:r>
            <w:proofErr w:type="spellStart"/>
            <w:r w:rsidRPr="00767FC2">
              <w:rPr>
                <w:i/>
              </w:rPr>
              <w:t>B</w:t>
            </w:r>
            <w:r w:rsidRPr="00767FC2">
              <w:rPr>
                <w:i/>
                <w:vertAlign w:val="subscript"/>
              </w:rPr>
              <w:t>U,Prev</w:t>
            </w:r>
            <w:proofErr w:type="spellEnd"/>
            <w:r w:rsidRPr="00767FC2">
              <w:t>)</w:t>
            </w:r>
          </w:p>
        </w:tc>
        <w:tc>
          <w:tcPr>
            <w:tcW w:w="1701" w:type="dxa"/>
            <w:tcBorders>
              <w:top w:val="single" w:sz="2" w:space="0" w:color="auto"/>
              <w:left w:val="single" w:sz="2" w:space="0" w:color="auto"/>
              <w:bottom w:val="single" w:sz="2" w:space="0" w:color="auto"/>
            </w:tcBorders>
          </w:tcPr>
          <w:p w14:paraId="584CE1C5" w14:textId="77777777" w:rsidR="002F5F71" w:rsidRPr="00767FC2" w:rsidRDefault="002F5F71" w:rsidP="002F5F71">
            <w:pPr>
              <w:pStyle w:val="Tabletext"/>
            </w:pPr>
            <w:r w:rsidRPr="00767FC2">
              <w:t xml:space="preserve">0.1 </w:t>
            </w:r>
            <w:r w:rsidRPr="00767FC2">
              <w:sym w:font="Symbol" w:char="F0B4"/>
            </w:r>
            <w:r w:rsidRPr="00767FC2">
              <w:t xml:space="preserve"> (</w:t>
            </w:r>
            <w:r w:rsidRPr="00767FC2">
              <w:rPr>
                <w:i/>
              </w:rPr>
              <w:t>A</w:t>
            </w:r>
            <w:r w:rsidRPr="00767FC2">
              <w:rPr>
                <w:i/>
                <w:vertAlign w:val="subscript"/>
              </w:rPr>
              <w:t>EA</w:t>
            </w:r>
            <w:r w:rsidRPr="00767FC2">
              <w:rPr>
                <w:i/>
              </w:rPr>
              <w:t xml:space="preserve"> </w:t>
            </w:r>
            <w:r w:rsidRPr="00767FC2">
              <w:t xml:space="preserve">+ </w:t>
            </w:r>
            <w:proofErr w:type="spellStart"/>
            <w:r w:rsidRPr="00767FC2">
              <w:rPr>
                <w:i/>
              </w:rPr>
              <w:t>B</w:t>
            </w:r>
            <w:r w:rsidRPr="00767FC2">
              <w:rPr>
                <w:i/>
                <w:vertAlign w:val="subscript"/>
              </w:rPr>
              <w:t>U,Prev</w:t>
            </w:r>
            <w:proofErr w:type="spellEnd"/>
            <w:r w:rsidRPr="00767FC2">
              <w:t>)</w:t>
            </w:r>
          </w:p>
        </w:tc>
      </w:tr>
      <w:tr w:rsidR="00767FC2" w:rsidRPr="00767FC2" w14:paraId="1E40EEC6" w14:textId="77777777" w:rsidTr="002F5F71">
        <w:tc>
          <w:tcPr>
            <w:tcW w:w="456" w:type="dxa"/>
            <w:tcBorders>
              <w:top w:val="single" w:sz="2" w:space="0" w:color="auto"/>
              <w:left w:val="nil"/>
              <w:bottom w:val="single" w:sz="2" w:space="0" w:color="auto"/>
            </w:tcBorders>
          </w:tcPr>
          <w:p w14:paraId="385C9BBB" w14:textId="77777777" w:rsidR="002F5F71" w:rsidRPr="00767FC2" w:rsidRDefault="002F5F71" w:rsidP="002F5F71">
            <w:pPr>
              <w:rPr>
                <w:sz w:val="20"/>
              </w:rPr>
            </w:pPr>
            <w:r w:rsidRPr="00767FC2">
              <w:rPr>
                <w:sz w:val="20"/>
              </w:rPr>
              <w:t>5</w:t>
            </w:r>
          </w:p>
        </w:tc>
        <w:tc>
          <w:tcPr>
            <w:tcW w:w="708" w:type="dxa"/>
            <w:tcBorders>
              <w:top w:val="single" w:sz="2" w:space="0" w:color="auto"/>
              <w:left w:val="nil"/>
              <w:bottom w:val="single" w:sz="2" w:space="0" w:color="auto"/>
            </w:tcBorders>
          </w:tcPr>
          <w:p w14:paraId="53CF2987" w14:textId="77777777" w:rsidR="002F5F71" w:rsidRPr="00767FC2" w:rsidRDefault="002F5F71" w:rsidP="002F5F71">
            <w:pPr>
              <w:rPr>
                <w:sz w:val="20"/>
              </w:rPr>
            </w:pPr>
            <w:r w:rsidRPr="00767FC2">
              <w:rPr>
                <w:i/>
                <w:sz w:val="20"/>
              </w:rPr>
              <w:t>A</w:t>
            </w:r>
            <w:r w:rsidRPr="00767FC2">
              <w:rPr>
                <w:i/>
                <w:sz w:val="20"/>
                <w:vertAlign w:val="subscript"/>
              </w:rPr>
              <w:t>EA</w:t>
            </w:r>
            <w:r w:rsidRPr="00767FC2">
              <w:rPr>
                <w:rFonts w:eastAsia="NSimSun"/>
                <w:i/>
                <w:sz w:val="20"/>
              </w:rPr>
              <w:t xml:space="preserve"> </w:t>
            </w:r>
            <w:r w:rsidRPr="00767FC2">
              <w:rPr>
                <w:sz w:val="20"/>
              </w:rPr>
              <w:sym w:font="Symbol" w:char="F03E"/>
            </w:r>
            <w:r w:rsidRPr="00767FC2">
              <w:rPr>
                <w:i/>
                <w:sz w:val="20"/>
              </w:rPr>
              <w:t xml:space="preserve"> </w:t>
            </w:r>
            <w:r w:rsidRPr="00767FC2">
              <w:rPr>
                <w:sz w:val="20"/>
              </w:rPr>
              <w:t>0,</w:t>
            </w:r>
          </w:p>
        </w:tc>
        <w:tc>
          <w:tcPr>
            <w:tcW w:w="993" w:type="dxa"/>
            <w:tcBorders>
              <w:top w:val="single" w:sz="2" w:space="0" w:color="auto"/>
              <w:bottom w:val="single" w:sz="2" w:space="0" w:color="auto"/>
            </w:tcBorders>
          </w:tcPr>
          <w:p w14:paraId="4D78FCA7" w14:textId="77777777" w:rsidR="002F5F71" w:rsidRPr="00767FC2" w:rsidRDefault="002F5F71" w:rsidP="002F5F71">
            <w:pPr>
              <w:rPr>
                <w:sz w:val="20"/>
              </w:rPr>
            </w:pPr>
            <w:proofErr w:type="spellStart"/>
            <w:r w:rsidRPr="00767FC2">
              <w:rPr>
                <w:i/>
                <w:sz w:val="20"/>
              </w:rPr>
              <w:t>B</w:t>
            </w:r>
            <w:r w:rsidRPr="00767FC2">
              <w:rPr>
                <w:i/>
                <w:sz w:val="20"/>
                <w:vertAlign w:val="subscript"/>
              </w:rPr>
              <w:t>U,Prev</w:t>
            </w:r>
            <w:proofErr w:type="spellEnd"/>
            <w:r w:rsidRPr="00767FC2">
              <w:rPr>
                <w:sz w:val="20"/>
              </w:rPr>
              <w:t xml:space="preserve"> </w:t>
            </w:r>
            <w:r w:rsidRPr="00767FC2">
              <w:rPr>
                <w:rFonts w:eastAsia="NSimSun"/>
                <w:sz w:val="20"/>
              </w:rPr>
              <w:t>&lt; 0,</w:t>
            </w:r>
          </w:p>
        </w:tc>
        <w:tc>
          <w:tcPr>
            <w:tcW w:w="1417" w:type="dxa"/>
            <w:tcBorders>
              <w:top w:val="single" w:sz="2" w:space="0" w:color="auto"/>
              <w:bottom w:val="single" w:sz="2" w:space="0" w:color="auto"/>
              <w:right w:val="nil"/>
            </w:tcBorders>
          </w:tcPr>
          <w:p w14:paraId="35817FFD" w14:textId="77777777" w:rsidR="002F5F71" w:rsidRPr="00767FC2" w:rsidRDefault="002F5F71" w:rsidP="002F5F71">
            <w:pPr>
              <w:rPr>
                <w:i/>
                <w:sz w:val="20"/>
              </w:rPr>
            </w:pPr>
            <w:r w:rsidRPr="00767FC2">
              <w:rPr>
                <w:i/>
                <w:sz w:val="20"/>
              </w:rPr>
              <w:t>A</w:t>
            </w:r>
            <w:r w:rsidRPr="00767FC2">
              <w:rPr>
                <w:i/>
                <w:sz w:val="20"/>
                <w:vertAlign w:val="subscript"/>
              </w:rPr>
              <w:t>EA</w:t>
            </w:r>
            <w:r w:rsidRPr="00767FC2">
              <w:rPr>
                <w:i/>
                <w:sz w:val="20"/>
              </w:rPr>
              <w:t xml:space="preserve"> </w:t>
            </w:r>
            <w:r w:rsidRPr="00767FC2">
              <w:rPr>
                <w:sz w:val="20"/>
              </w:rPr>
              <w:t xml:space="preserve">+ </w:t>
            </w:r>
            <w:proofErr w:type="spellStart"/>
            <w:r w:rsidRPr="00767FC2">
              <w:rPr>
                <w:i/>
                <w:sz w:val="20"/>
              </w:rPr>
              <w:t>B</w:t>
            </w:r>
            <w:r w:rsidRPr="00767FC2">
              <w:rPr>
                <w:i/>
                <w:sz w:val="20"/>
                <w:vertAlign w:val="subscript"/>
              </w:rPr>
              <w:t>U,Prev</w:t>
            </w:r>
            <w:proofErr w:type="spellEnd"/>
            <w:r w:rsidRPr="00767FC2">
              <w:rPr>
                <w:i/>
                <w:sz w:val="20"/>
                <w:vertAlign w:val="subscript"/>
              </w:rPr>
              <w:t xml:space="preserve"> </w:t>
            </w:r>
            <w:r w:rsidRPr="00767FC2">
              <w:rPr>
                <w:sz w:val="20"/>
              </w:rPr>
              <w:sym w:font="Symbol" w:char="F0B3"/>
            </w:r>
            <w:r w:rsidRPr="00767FC2">
              <w:rPr>
                <w:sz w:val="20"/>
              </w:rPr>
              <w:t xml:space="preserve"> 0,</w:t>
            </w:r>
          </w:p>
        </w:tc>
        <w:tc>
          <w:tcPr>
            <w:tcW w:w="2410" w:type="dxa"/>
            <w:tcBorders>
              <w:top w:val="single" w:sz="2" w:space="0" w:color="auto"/>
              <w:left w:val="nil"/>
              <w:bottom w:val="single" w:sz="2" w:space="0" w:color="auto"/>
              <w:right w:val="double" w:sz="4" w:space="0" w:color="auto"/>
            </w:tcBorders>
          </w:tcPr>
          <w:p w14:paraId="4417E746" w14:textId="77777777" w:rsidR="002F5F71" w:rsidRPr="00767FC2" w:rsidRDefault="002F5F71" w:rsidP="002F5F71">
            <w:pPr>
              <w:rPr>
                <w:i/>
                <w:sz w:val="20"/>
              </w:rPr>
            </w:pPr>
            <w:r w:rsidRPr="00767FC2">
              <w:rPr>
                <w:sz w:val="20"/>
              </w:rPr>
              <w:t xml:space="preserve">0.1 </w:t>
            </w:r>
            <w:r w:rsidRPr="00767FC2">
              <w:rPr>
                <w:sz w:val="20"/>
              </w:rPr>
              <w:sym w:font="Symbol" w:char="F0B4"/>
            </w:r>
            <w:r w:rsidRPr="00767FC2">
              <w:rPr>
                <w:sz w:val="20"/>
              </w:rPr>
              <w:t xml:space="preserve"> (</w:t>
            </w:r>
            <w:r w:rsidRPr="00767FC2">
              <w:rPr>
                <w:i/>
                <w:sz w:val="20"/>
              </w:rPr>
              <w:t>A</w:t>
            </w:r>
            <w:r w:rsidRPr="00767FC2">
              <w:rPr>
                <w:i/>
                <w:sz w:val="20"/>
                <w:vertAlign w:val="subscript"/>
              </w:rPr>
              <w:t>EA</w:t>
            </w:r>
            <w:r w:rsidRPr="00767FC2">
              <w:rPr>
                <w:i/>
                <w:sz w:val="20"/>
              </w:rPr>
              <w:t xml:space="preserve"> </w:t>
            </w:r>
            <w:r w:rsidRPr="00767FC2">
              <w:rPr>
                <w:sz w:val="20"/>
              </w:rPr>
              <w:t xml:space="preserve">+ </w:t>
            </w:r>
            <w:proofErr w:type="spellStart"/>
            <w:r w:rsidRPr="00767FC2">
              <w:rPr>
                <w:i/>
                <w:sz w:val="20"/>
              </w:rPr>
              <w:t>B</w:t>
            </w:r>
            <w:r w:rsidRPr="00767FC2">
              <w:rPr>
                <w:i/>
                <w:sz w:val="20"/>
                <w:vertAlign w:val="subscript"/>
              </w:rPr>
              <w:t>U,Prev</w:t>
            </w:r>
            <w:proofErr w:type="spellEnd"/>
            <w:r w:rsidRPr="00767FC2">
              <w:rPr>
                <w:sz w:val="20"/>
              </w:rPr>
              <w:t xml:space="preserve">) </w:t>
            </w:r>
            <w:r w:rsidRPr="00767FC2">
              <w:rPr>
                <w:sz w:val="20"/>
              </w:rPr>
              <w:sym w:font="Symbol" w:char="F0B3"/>
            </w:r>
            <w:r w:rsidRPr="00767FC2">
              <w:rPr>
                <w:rFonts w:eastAsia="NSimSun"/>
                <w:sz w:val="20"/>
              </w:rPr>
              <w:t xml:space="preserve"> </w:t>
            </w:r>
            <w:proofErr w:type="spellStart"/>
            <w:r w:rsidRPr="00767FC2">
              <w:rPr>
                <w:i/>
                <w:sz w:val="20"/>
              </w:rPr>
              <w:t>B</w:t>
            </w:r>
            <w:r w:rsidRPr="00767FC2">
              <w:rPr>
                <w:i/>
                <w:sz w:val="20"/>
                <w:vertAlign w:val="subscript"/>
              </w:rPr>
              <w:t>U,Cap</w:t>
            </w:r>
            <w:proofErr w:type="spellEnd"/>
          </w:p>
        </w:tc>
        <w:tc>
          <w:tcPr>
            <w:tcW w:w="1843" w:type="dxa"/>
            <w:tcBorders>
              <w:top w:val="single" w:sz="2" w:space="0" w:color="auto"/>
              <w:left w:val="double" w:sz="4" w:space="0" w:color="auto"/>
              <w:bottom w:val="single" w:sz="2" w:space="0" w:color="auto"/>
              <w:right w:val="single" w:sz="2" w:space="0" w:color="auto"/>
            </w:tcBorders>
          </w:tcPr>
          <w:p w14:paraId="64104484" w14:textId="77777777" w:rsidR="002F5F71" w:rsidRPr="00767FC2" w:rsidRDefault="002F5F71" w:rsidP="002F5F71">
            <w:pPr>
              <w:pStyle w:val="Tabletext"/>
            </w:pPr>
            <w:r w:rsidRPr="00767FC2">
              <w:rPr>
                <w:i/>
              </w:rPr>
              <w:t>A</w:t>
            </w:r>
            <w:r w:rsidRPr="00767FC2">
              <w:rPr>
                <w:i/>
                <w:vertAlign w:val="subscript"/>
              </w:rPr>
              <w:t>EA</w:t>
            </w:r>
            <w:r w:rsidRPr="00767FC2">
              <w:t xml:space="preserve"> + </w:t>
            </w:r>
            <w:proofErr w:type="spellStart"/>
            <w:r w:rsidRPr="00767FC2">
              <w:rPr>
                <w:i/>
              </w:rPr>
              <w:t>B</w:t>
            </w:r>
            <w:r w:rsidRPr="00767FC2">
              <w:rPr>
                <w:i/>
                <w:vertAlign w:val="subscript"/>
              </w:rPr>
              <w:t>U,Prev</w:t>
            </w:r>
            <w:proofErr w:type="spellEnd"/>
            <w:r w:rsidRPr="00767FC2">
              <w:rPr>
                <w:i/>
              </w:rPr>
              <w:t xml:space="preserve"> – </w:t>
            </w:r>
            <w:proofErr w:type="spellStart"/>
            <w:r w:rsidRPr="00767FC2">
              <w:rPr>
                <w:i/>
              </w:rPr>
              <w:t>B</w:t>
            </w:r>
            <w:r w:rsidRPr="00767FC2">
              <w:rPr>
                <w:i/>
                <w:vertAlign w:val="subscript"/>
              </w:rPr>
              <w:t>U,Cap</w:t>
            </w:r>
            <w:proofErr w:type="spellEnd"/>
          </w:p>
        </w:tc>
        <w:tc>
          <w:tcPr>
            <w:tcW w:w="1701" w:type="dxa"/>
            <w:tcBorders>
              <w:top w:val="single" w:sz="2" w:space="0" w:color="auto"/>
              <w:left w:val="single" w:sz="2" w:space="0" w:color="auto"/>
              <w:bottom w:val="single" w:sz="2" w:space="0" w:color="auto"/>
            </w:tcBorders>
          </w:tcPr>
          <w:p w14:paraId="5F215EDB" w14:textId="77777777" w:rsidR="002F5F71" w:rsidRPr="00767FC2" w:rsidRDefault="002F5F71" w:rsidP="002F5F71">
            <w:pPr>
              <w:pStyle w:val="Tabletext"/>
            </w:pPr>
            <w:proofErr w:type="spellStart"/>
            <w:r w:rsidRPr="00767FC2">
              <w:rPr>
                <w:i/>
              </w:rPr>
              <w:t>B</w:t>
            </w:r>
            <w:r w:rsidRPr="00767FC2">
              <w:rPr>
                <w:i/>
                <w:vertAlign w:val="subscript"/>
              </w:rPr>
              <w:t>U,Cap</w:t>
            </w:r>
            <w:proofErr w:type="spellEnd"/>
          </w:p>
        </w:tc>
      </w:tr>
      <w:tr w:rsidR="00767FC2" w:rsidRPr="00767FC2" w14:paraId="0BC5206B" w14:textId="77777777" w:rsidTr="002F5F71">
        <w:tc>
          <w:tcPr>
            <w:tcW w:w="456" w:type="dxa"/>
            <w:tcBorders>
              <w:top w:val="single" w:sz="2" w:space="0" w:color="auto"/>
              <w:left w:val="nil"/>
              <w:bottom w:val="single" w:sz="2" w:space="0" w:color="auto"/>
            </w:tcBorders>
          </w:tcPr>
          <w:p w14:paraId="3C14D508" w14:textId="77777777" w:rsidR="002F5F71" w:rsidRPr="00767FC2" w:rsidRDefault="002F5F71" w:rsidP="002F5F71">
            <w:pPr>
              <w:rPr>
                <w:sz w:val="20"/>
              </w:rPr>
            </w:pPr>
            <w:r w:rsidRPr="00767FC2">
              <w:rPr>
                <w:sz w:val="20"/>
              </w:rPr>
              <w:t>6</w:t>
            </w:r>
          </w:p>
        </w:tc>
        <w:tc>
          <w:tcPr>
            <w:tcW w:w="708" w:type="dxa"/>
            <w:tcBorders>
              <w:top w:val="single" w:sz="2" w:space="0" w:color="auto"/>
              <w:left w:val="nil"/>
              <w:bottom w:val="single" w:sz="2" w:space="0" w:color="auto"/>
            </w:tcBorders>
          </w:tcPr>
          <w:p w14:paraId="063D691B" w14:textId="77777777" w:rsidR="002F5F71" w:rsidRPr="00767FC2" w:rsidRDefault="002F5F71" w:rsidP="002F5F71">
            <w:pPr>
              <w:rPr>
                <w:sz w:val="20"/>
              </w:rPr>
            </w:pPr>
            <w:r w:rsidRPr="00767FC2">
              <w:rPr>
                <w:i/>
                <w:sz w:val="20"/>
              </w:rPr>
              <w:t>A</w:t>
            </w:r>
            <w:r w:rsidRPr="00767FC2">
              <w:rPr>
                <w:i/>
                <w:sz w:val="20"/>
                <w:vertAlign w:val="subscript"/>
              </w:rPr>
              <w:t>EA</w:t>
            </w:r>
            <w:r w:rsidRPr="00767FC2">
              <w:rPr>
                <w:rFonts w:eastAsia="NSimSun"/>
                <w:i/>
                <w:sz w:val="20"/>
              </w:rPr>
              <w:t xml:space="preserve"> </w:t>
            </w:r>
            <w:r w:rsidRPr="00767FC2">
              <w:rPr>
                <w:sz w:val="20"/>
              </w:rPr>
              <w:sym w:font="Symbol" w:char="F03E"/>
            </w:r>
            <w:r w:rsidRPr="00767FC2">
              <w:rPr>
                <w:i/>
                <w:sz w:val="20"/>
              </w:rPr>
              <w:t xml:space="preserve"> </w:t>
            </w:r>
            <w:r w:rsidRPr="00767FC2">
              <w:rPr>
                <w:sz w:val="20"/>
              </w:rPr>
              <w:t>0,</w:t>
            </w:r>
          </w:p>
        </w:tc>
        <w:tc>
          <w:tcPr>
            <w:tcW w:w="993" w:type="dxa"/>
            <w:tcBorders>
              <w:top w:val="single" w:sz="2" w:space="0" w:color="auto"/>
              <w:bottom w:val="single" w:sz="2" w:space="0" w:color="auto"/>
            </w:tcBorders>
          </w:tcPr>
          <w:p w14:paraId="7CF5D213" w14:textId="77777777" w:rsidR="002F5F71" w:rsidRPr="00767FC2" w:rsidRDefault="002F5F71" w:rsidP="002F5F71">
            <w:pPr>
              <w:rPr>
                <w:sz w:val="20"/>
              </w:rPr>
            </w:pPr>
            <w:proofErr w:type="spellStart"/>
            <w:r w:rsidRPr="00767FC2">
              <w:rPr>
                <w:i/>
                <w:sz w:val="20"/>
              </w:rPr>
              <w:t>B</w:t>
            </w:r>
            <w:r w:rsidRPr="00767FC2">
              <w:rPr>
                <w:i/>
                <w:sz w:val="20"/>
                <w:vertAlign w:val="subscript"/>
              </w:rPr>
              <w:t>U,Prev</w:t>
            </w:r>
            <w:proofErr w:type="spellEnd"/>
            <w:r w:rsidRPr="00767FC2">
              <w:rPr>
                <w:sz w:val="20"/>
              </w:rPr>
              <w:t xml:space="preserve"> </w:t>
            </w:r>
            <w:r w:rsidRPr="00767FC2">
              <w:rPr>
                <w:sz w:val="20"/>
              </w:rPr>
              <w:sym w:font="Symbol" w:char="F0B3"/>
            </w:r>
            <w:r w:rsidRPr="00767FC2">
              <w:rPr>
                <w:rFonts w:eastAsia="NSimSun"/>
                <w:sz w:val="20"/>
              </w:rPr>
              <w:t xml:space="preserve"> 0,</w:t>
            </w:r>
          </w:p>
        </w:tc>
        <w:tc>
          <w:tcPr>
            <w:tcW w:w="1417" w:type="dxa"/>
            <w:tcBorders>
              <w:top w:val="single" w:sz="2" w:space="0" w:color="auto"/>
              <w:bottom w:val="single" w:sz="2" w:space="0" w:color="auto"/>
              <w:right w:val="nil"/>
            </w:tcBorders>
          </w:tcPr>
          <w:p w14:paraId="7D89159D" w14:textId="77777777" w:rsidR="002F5F71" w:rsidRPr="00767FC2" w:rsidRDefault="002F5F71" w:rsidP="002F5F71">
            <w:pPr>
              <w:pStyle w:val="Tabletext"/>
              <w:rPr>
                <w:i/>
              </w:rPr>
            </w:pPr>
          </w:p>
        </w:tc>
        <w:tc>
          <w:tcPr>
            <w:tcW w:w="2410" w:type="dxa"/>
            <w:tcBorders>
              <w:top w:val="single" w:sz="2" w:space="0" w:color="auto"/>
              <w:left w:val="nil"/>
              <w:bottom w:val="single" w:sz="2" w:space="0" w:color="auto"/>
              <w:right w:val="double" w:sz="4" w:space="0" w:color="auto"/>
            </w:tcBorders>
          </w:tcPr>
          <w:p w14:paraId="0F0F2BD6" w14:textId="77777777" w:rsidR="002F5F71" w:rsidRPr="00767FC2" w:rsidRDefault="002F5F71" w:rsidP="002F5F71">
            <w:pPr>
              <w:pStyle w:val="Tabletext"/>
              <w:rPr>
                <w:i/>
              </w:rPr>
            </w:pPr>
            <w:r w:rsidRPr="00767FC2">
              <w:t xml:space="preserve">(0.1 </w:t>
            </w:r>
            <w:r w:rsidRPr="00767FC2">
              <w:sym w:font="Symbol" w:char="F0B4"/>
            </w:r>
            <w:r w:rsidRPr="00767FC2">
              <w:t xml:space="preserve"> </w:t>
            </w:r>
            <w:r w:rsidRPr="00767FC2">
              <w:rPr>
                <w:i/>
              </w:rPr>
              <w:t>A</w:t>
            </w:r>
            <w:r w:rsidRPr="00767FC2">
              <w:rPr>
                <w:i/>
                <w:vertAlign w:val="subscript"/>
              </w:rPr>
              <w:t>EA</w:t>
            </w:r>
            <w:r w:rsidRPr="00767FC2">
              <w:t xml:space="preserve">) + </w:t>
            </w:r>
            <w:proofErr w:type="spellStart"/>
            <w:r w:rsidRPr="00767FC2">
              <w:rPr>
                <w:i/>
              </w:rPr>
              <w:t>B</w:t>
            </w:r>
            <w:r w:rsidRPr="00767FC2">
              <w:rPr>
                <w:i/>
                <w:vertAlign w:val="subscript"/>
              </w:rPr>
              <w:t>U,Prev</w:t>
            </w:r>
            <w:proofErr w:type="spellEnd"/>
            <w:r w:rsidRPr="00767FC2">
              <w:t xml:space="preserve"> </w:t>
            </w:r>
            <w:r w:rsidRPr="00767FC2">
              <w:rPr>
                <w:rFonts w:eastAsia="NSimSun"/>
              </w:rPr>
              <w:t xml:space="preserve">&lt; </w:t>
            </w:r>
            <w:proofErr w:type="spellStart"/>
            <w:r w:rsidRPr="00767FC2">
              <w:rPr>
                <w:i/>
              </w:rPr>
              <w:t>B</w:t>
            </w:r>
            <w:r w:rsidRPr="00767FC2">
              <w:rPr>
                <w:i/>
                <w:vertAlign w:val="subscript"/>
              </w:rPr>
              <w:t>U,Cap</w:t>
            </w:r>
            <w:proofErr w:type="spellEnd"/>
          </w:p>
        </w:tc>
        <w:tc>
          <w:tcPr>
            <w:tcW w:w="1843" w:type="dxa"/>
            <w:tcBorders>
              <w:top w:val="single" w:sz="2" w:space="0" w:color="auto"/>
              <w:left w:val="double" w:sz="4" w:space="0" w:color="auto"/>
              <w:bottom w:val="single" w:sz="2" w:space="0" w:color="auto"/>
              <w:right w:val="single" w:sz="2" w:space="0" w:color="auto"/>
            </w:tcBorders>
          </w:tcPr>
          <w:p w14:paraId="541177B3" w14:textId="77777777" w:rsidR="002F5F71" w:rsidRPr="00767FC2" w:rsidRDefault="002F5F71" w:rsidP="002F5F71">
            <w:pPr>
              <w:pStyle w:val="Tabletext"/>
            </w:pPr>
            <w:r w:rsidRPr="00767FC2">
              <w:t xml:space="preserve">0.9 </w:t>
            </w:r>
            <w:r w:rsidRPr="00767FC2">
              <w:sym w:font="Symbol" w:char="F0B4"/>
            </w:r>
            <w:r w:rsidRPr="00767FC2">
              <w:t xml:space="preserve"> </w:t>
            </w:r>
            <w:r w:rsidRPr="00767FC2">
              <w:rPr>
                <w:i/>
              </w:rPr>
              <w:t>A</w:t>
            </w:r>
            <w:r w:rsidRPr="00767FC2">
              <w:rPr>
                <w:i/>
                <w:vertAlign w:val="subscript"/>
              </w:rPr>
              <w:t>EA</w:t>
            </w:r>
          </w:p>
        </w:tc>
        <w:tc>
          <w:tcPr>
            <w:tcW w:w="1701" w:type="dxa"/>
            <w:tcBorders>
              <w:top w:val="single" w:sz="2" w:space="0" w:color="auto"/>
              <w:left w:val="single" w:sz="2" w:space="0" w:color="auto"/>
              <w:bottom w:val="single" w:sz="2" w:space="0" w:color="auto"/>
            </w:tcBorders>
          </w:tcPr>
          <w:p w14:paraId="3D29E864" w14:textId="77777777" w:rsidR="002F5F71" w:rsidRPr="00767FC2" w:rsidRDefault="002F5F71" w:rsidP="002F5F71">
            <w:pPr>
              <w:pStyle w:val="Tabletext"/>
              <w:rPr>
                <w:i/>
              </w:rPr>
            </w:pPr>
            <w:r w:rsidRPr="00767FC2">
              <w:t xml:space="preserve">(0.1 </w:t>
            </w:r>
            <w:r w:rsidRPr="00767FC2">
              <w:sym w:font="Symbol" w:char="F0B4"/>
            </w:r>
            <w:r w:rsidRPr="00767FC2">
              <w:t xml:space="preserve"> </w:t>
            </w:r>
            <w:r w:rsidRPr="00767FC2">
              <w:rPr>
                <w:i/>
              </w:rPr>
              <w:t>A</w:t>
            </w:r>
            <w:r w:rsidRPr="00767FC2">
              <w:rPr>
                <w:i/>
                <w:vertAlign w:val="subscript"/>
              </w:rPr>
              <w:t>EA</w:t>
            </w:r>
            <w:r w:rsidRPr="00767FC2">
              <w:t>)</w:t>
            </w:r>
            <w:r w:rsidRPr="00767FC2">
              <w:rPr>
                <w:i/>
              </w:rPr>
              <w:t xml:space="preserve"> </w:t>
            </w:r>
            <w:r w:rsidRPr="00767FC2">
              <w:t xml:space="preserve">+ </w:t>
            </w:r>
            <w:proofErr w:type="spellStart"/>
            <w:r w:rsidRPr="00767FC2">
              <w:rPr>
                <w:i/>
              </w:rPr>
              <w:t>B</w:t>
            </w:r>
            <w:r w:rsidRPr="00767FC2">
              <w:rPr>
                <w:i/>
                <w:vertAlign w:val="subscript"/>
              </w:rPr>
              <w:t>U,Prev</w:t>
            </w:r>
            <w:proofErr w:type="spellEnd"/>
          </w:p>
        </w:tc>
      </w:tr>
      <w:tr w:rsidR="00767FC2" w:rsidRPr="00767FC2" w14:paraId="334FD346" w14:textId="77777777" w:rsidTr="002F5F71">
        <w:trPr>
          <w:trHeight w:val="251"/>
        </w:trPr>
        <w:tc>
          <w:tcPr>
            <w:tcW w:w="456" w:type="dxa"/>
            <w:tcBorders>
              <w:top w:val="single" w:sz="2" w:space="0" w:color="auto"/>
              <w:left w:val="nil"/>
              <w:bottom w:val="single" w:sz="18" w:space="0" w:color="auto"/>
            </w:tcBorders>
          </w:tcPr>
          <w:p w14:paraId="2479656A" w14:textId="77777777" w:rsidR="002F5F71" w:rsidRPr="00767FC2" w:rsidRDefault="002F5F71" w:rsidP="002F5F71">
            <w:pPr>
              <w:rPr>
                <w:sz w:val="20"/>
              </w:rPr>
            </w:pPr>
            <w:r w:rsidRPr="00767FC2">
              <w:rPr>
                <w:sz w:val="20"/>
              </w:rPr>
              <w:t>7</w:t>
            </w:r>
          </w:p>
        </w:tc>
        <w:tc>
          <w:tcPr>
            <w:tcW w:w="708" w:type="dxa"/>
            <w:tcBorders>
              <w:top w:val="single" w:sz="2" w:space="0" w:color="auto"/>
              <w:left w:val="nil"/>
              <w:bottom w:val="single" w:sz="18" w:space="0" w:color="auto"/>
            </w:tcBorders>
          </w:tcPr>
          <w:p w14:paraId="6034645B" w14:textId="77777777" w:rsidR="002F5F71" w:rsidRPr="00767FC2" w:rsidRDefault="002F5F71" w:rsidP="002F5F71">
            <w:pPr>
              <w:rPr>
                <w:sz w:val="20"/>
              </w:rPr>
            </w:pPr>
            <w:r w:rsidRPr="00767FC2">
              <w:rPr>
                <w:i/>
                <w:sz w:val="20"/>
              </w:rPr>
              <w:t>A</w:t>
            </w:r>
            <w:r w:rsidRPr="00767FC2">
              <w:rPr>
                <w:i/>
                <w:sz w:val="20"/>
                <w:vertAlign w:val="subscript"/>
              </w:rPr>
              <w:t>EA</w:t>
            </w:r>
            <w:r w:rsidRPr="00767FC2">
              <w:rPr>
                <w:rFonts w:eastAsia="NSimSun"/>
                <w:i/>
                <w:sz w:val="20"/>
              </w:rPr>
              <w:t xml:space="preserve"> </w:t>
            </w:r>
            <w:r w:rsidRPr="00767FC2">
              <w:rPr>
                <w:sz w:val="20"/>
              </w:rPr>
              <w:sym w:font="Symbol" w:char="F03E"/>
            </w:r>
            <w:r w:rsidRPr="00767FC2">
              <w:rPr>
                <w:i/>
                <w:sz w:val="20"/>
              </w:rPr>
              <w:t xml:space="preserve"> </w:t>
            </w:r>
            <w:r w:rsidRPr="00767FC2">
              <w:rPr>
                <w:sz w:val="20"/>
              </w:rPr>
              <w:t>0,</w:t>
            </w:r>
          </w:p>
        </w:tc>
        <w:tc>
          <w:tcPr>
            <w:tcW w:w="993" w:type="dxa"/>
            <w:tcBorders>
              <w:top w:val="single" w:sz="2" w:space="0" w:color="auto"/>
              <w:bottom w:val="single" w:sz="18" w:space="0" w:color="auto"/>
            </w:tcBorders>
          </w:tcPr>
          <w:p w14:paraId="54FAD086" w14:textId="77777777" w:rsidR="002F5F71" w:rsidRPr="00767FC2" w:rsidRDefault="002F5F71" w:rsidP="002F5F71">
            <w:pPr>
              <w:rPr>
                <w:sz w:val="20"/>
              </w:rPr>
            </w:pPr>
            <w:proofErr w:type="spellStart"/>
            <w:r w:rsidRPr="00767FC2">
              <w:rPr>
                <w:i/>
                <w:sz w:val="20"/>
              </w:rPr>
              <w:t>B</w:t>
            </w:r>
            <w:r w:rsidRPr="00767FC2">
              <w:rPr>
                <w:i/>
                <w:sz w:val="20"/>
                <w:vertAlign w:val="subscript"/>
              </w:rPr>
              <w:t>U,Prev</w:t>
            </w:r>
            <w:proofErr w:type="spellEnd"/>
            <w:r w:rsidRPr="00767FC2">
              <w:rPr>
                <w:sz w:val="20"/>
              </w:rPr>
              <w:t xml:space="preserve"> </w:t>
            </w:r>
            <w:r w:rsidRPr="00767FC2">
              <w:rPr>
                <w:sz w:val="20"/>
              </w:rPr>
              <w:sym w:font="Symbol" w:char="F0B3"/>
            </w:r>
            <w:r w:rsidRPr="00767FC2">
              <w:rPr>
                <w:rFonts w:eastAsia="NSimSun"/>
                <w:sz w:val="20"/>
              </w:rPr>
              <w:t xml:space="preserve"> 0,</w:t>
            </w:r>
          </w:p>
        </w:tc>
        <w:tc>
          <w:tcPr>
            <w:tcW w:w="1417" w:type="dxa"/>
            <w:tcBorders>
              <w:top w:val="single" w:sz="2" w:space="0" w:color="auto"/>
              <w:bottom w:val="single" w:sz="18" w:space="0" w:color="auto"/>
              <w:right w:val="nil"/>
            </w:tcBorders>
          </w:tcPr>
          <w:p w14:paraId="351E79E0" w14:textId="77777777" w:rsidR="002F5F71" w:rsidRPr="00767FC2" w:rsidRDefault="002F5F71" w:rsidP="002F5F71">
            <w:pPr>
              <w:pStyle w:val="Tabletext"/>
              <w:rPr>
                <w:i/>
              </w:rPr>
            </w:pPr>
          </w:p>
        </w:tc>
        <w:tc>
          <w:tcPr>
            <w:tcW w:w="2410" w:type="dxa"/>
            <w:tcBorders>
              <w:top w:val="single" w:sz="2" w:space="0" w:color="auto"/>
              <w:left w:val="nil"/>
              <w:bottom w:val="single" w:sz="18" w:space="0" w:color="auto"/>
              <w:right w:val="double" w:sz="4" w:space="0" w:color="auto"/>
            </w:tcBorders>
          </w:tcPr>
          <w:p w14:paraId="6D364E01" w14:textId="77777777" w:rsidR="002F5F71" w:rsidRPr="00767FC2" w:rsidRDefault="002F5F71" w:rsidP="002F5F71">
            <w:pPr>
              <w:pStyle w:val="Tabletext"/>
              <w:rPr>
                <w:i/>
              </w:rPr>
            </w:pPr>
            <w:r w:rsidRPr="00767FC2">
              <w:t xml:space="preserve">(0.1 </w:t>
            </w:r>
            <w:r w:rsidRPr="00767FC2">
              <w:sym w:font="Symbol" w:char="F0B4"/>
            </w:r>
            <w:r w:rsidRPr="00767FC2">
              <w:t xml:space="preserve"> </w:t>
            </w:r>
            <w:r w:rsidRPr="00767FC2">
              <w:rPr>
                <w:i/>
              </w:rPr>
              <w:t>A</w:t>
            </w:r>
            <w:r w:rsidRPr="00767FC2">
              <w:rPr>
                <w:i/>
                <w:vertAlign w:val="subscript"/>
              </w:rPr>
              <w:t>EA</w:t>
            </w:r>
            <w:r w:rsidRPr="00767FC2">
              <w:t>)</w:t>
            </w:r>
            <w:r w:rsidRPr="00767FC2">
              <w:rPr>
                <w:i/>
              </w:rPr>
              <w:t xml:space="preserve"> </w:t>
            </w:r>
            <w:r w:rsidRPr="00767FC2">
              <w:t xml:space="preserve">+ </w:t>
            </w:r>
            <w:proofErr w:type="spellStart"/>
            <w:r w:rsidRPr="00767FC2">
              <w:rPr>
                <w:i/>
              </w:rPr>
              <w:t>B</w:t>
            </w:r>
            <w:r w:rsidRPr="00767FC2">
              <w:rPr>
                <w:i/>
                <w:vertAlign w:val="subscript"/>
              </w:rPr>
              <w:t>U,Prev</w:t>
            </w:r>
            <w:proofErr w:type="spellEnd"/>
            <w:r w:rsidRPr="00767FC2">
              <w:t xml:space="preserve"> </w:t>
            </w:r>
            <w:r w:rsidRPr="00767FC2">
              <w:sym w:font="Symbol" w:char="F0B3"/>
            </w:r>
            <w:r w:rsidRPr="00767FC2">
              <w:rPr>
                <w:rFonts w:eastAsia="NSimSun"/>
              </w:rPr>
              <w:t xml:space="preserve"> </w:t>
            </w:r>
            <w:proofErr w:type="spellStart"/>
            <w:r w:rsidRPr="00767FC2">
              <w:rPr>
                <w:i/>
              </w:rPr>
              <w:t>B</w:t>
            </w:r>
            <w:r w:rsidRPr="00767FC2">
              <w:rPr>
                <w:i/>
                <w:vertAlign w:val="subscript"/>
              </w:rPr>
              <w:t>U,Cap</w:t>
            </w:r>
            <w:proofErr w:type="spellEnd"/>
          </w:p>
        </w:tc>
        <w:tc>
          <w:tcPr>
            <w:tcW w:w="1843" w:type="dxa"/>
            <w:tcBorders>
              <w:top w:val="single" w:sz="2" w:space="0" w:color="auto"/>
              <w:left w:val="double" w:sz="4" w:space="0" w:color="auto"/>
              <w:bottom w:val="single" w:sz="18" w:space="0" w:color="auto"/>
              <w:right w:val="single" w:sz="2" w:space="0" w:color="auto"/>
            </w:tcBorders>
          </w:tcPr>
          <w:p w14:paraId="575B6F14" w14:textId="77777777" w:rsidR="002F5F71" w:rsidRPr="00767FC2" w:rsidRDefault="002F5F71" w:rsidP="002F5F71">
            <w:pPr>
              <w:pStyle w:val="Tabletext"/>
            </w:pPr>
            <w:r w:rsidRPr="00767FC2">
              <w:rPr>
                <w:i/>
              </w:rPr>
              <w:t>A</w:t>
            </w:r>
            <w:r w:rsidRPr="00767FC2">
              <w:rPr>
                <w:i/>
                <w:vertAlign w:val="subscript"/>
              </w:rPr>
              <w:t>EA</w:t>
            </w:r>
            <w:r w:rsidRPr="00767FC2">
              <w:t xml:space="preserve"> + </w:t>
            </w:r>
            <w:proofErr w:type="spellStart"/>
            <w:r w:rsidRPr="00767FC2">
              <w:rPr>
                <w:i/>
              </w:rPr>
              <w:t>B</w:t>
            </w:r>
            <w:r w:rsidRPr="00767FC2">
              <w:rPr>
                <w:i/>
                <w:vertAlign w:val="subscript"/>
              </w:rPr>
              <w:t>U,Prev</w:t>
            </w:r>
            <w:proofErr w:type="spellEnd"/>
            <w:r w:rsidRPr="00767FC2">
              <w:rPr>
                <w:i/>
              </w:rPr>
              <w:t xml:space="preserve"> – </w:t>
            </w:r>
            <w:proofErr w:type="spellStart"/>
            <w:r w:rsidRPr="00767FC2">
              <w:rPr>
                <w:i/>
              </w:rPr>
              <w:t>B</w:t>
            </w:r>
            <w:r w:rsidRPr="00767FC2">
              <w:rPr>
                <w:i/>
                <w:vertAlign w:val="subscript"/>
              </w:rPr>
              <w:t>U,Cap</w:t>
            </w:r>
            <w:proofErr w:type="spellEnd"/>
          </w:p>
        </w:tc>
        <w:tc>
          <w:tcPr>
            <w:tcW w:w="1701" w:type="dxa"/>
            <w:tcBorders>
              <w:top w:val="single" w:sz="2" w:space="0" w:color="auto"/>
              <w:left w:val="single" w:sz="2" w:space="0" w:color="auto"/>
              <w:bottom w:val="single" w:sz="18" w:space="0" w:color="auto"/>
            </w:tcBorders>
          </w:tcPr>
          <w:p w14:paraId="69C12FB3" w14:textId="77777777" w:rsidR="002F5F71" w:rsidRPr="00767FC2" w:rsidRDefault="002F5F71" w:rsidP="002F5F71">
            <w:pPr>
              <w:pStyle w:val="Tabletext"/>
              <w:rPr>
                <w:i/>
              </w:rPr>
            </w:pPr>
            <w:proofErr w:type="spellStart"/>
            <w:r w:rsidRPr="00767FC2">
              <w:rPr>
                <w:i/>
              </w:rPr>
              <w:t>B</w:t>
            </w:r>
            <w:r w:rsidRPr="00767FC2">
              <w:rPr>
                <w:i/>
                <w:vertAlign w:val="subscript"/>
              </w:rPr>
              <w:t>U,Cap</w:t>
            </w:r>
            <w:proofErr w:type="spellEnd"/>
          </w:p>
        </w:tc>
      </w:tr>
    </w:tbl>
    <w:p w14:paraId="1868F7D4" w14:textId="77777777" w:rsidR="003D360F" w:rsidRPr="00767FC2" w:rsidRDefault="003D360F" w:rsidP="003D360F">
      <w:pPr>
        <w:pStyle w:val="nMain"/>
      </w:pPr>
      <w:r w:rsidRPr="00767FC2">
        <w:t>Note</w:t>
      </w:r>
      <w:r w:rsidR="002030B5" w:rsidRPr="00767FC2">
        <w:t xml:space="preserve"> 1</w:t>
      </w:r>
      <w:r w:rsidRPr="00767FC2">
        <w:t>:</w:t>
      </w:r>
      <w:r w:rsidRPr="00767FC2">
        <w:tab/>
      </w:r>
      <w:r w:rsidR="00964086" w:rsidRPr="00767FC2">
        <w:t>Division 3</w:t>
      </w:r>
      <w:r w:rsidRPr="00767FC2">
        <w:t xml:space="preserve"> of this Schedule sets out adjustments to these calculations, which apply:</w:t>
      </w:r>
    </w:p>
    <w:p w14:paraId="0DF839DD" w14:textId="77777777" w:rsidR="003D360F" w:rsidRPr="00767FC2" w:rsidRDefault="003D360F" w:rsidP="003D360F">
      <w:pPr>
        <w:pStyle w:val="nMain"/>
        <w:spacing w:before="40"/>
        <w:ind w:left="2314" w:hanging="284"/>
      </w:pPr>
      <w:r w:rsidRPr="00767FC2">
        <w:sym w:font="Symbol" w:char="00B7"/>
      </w:r>
      <w:r w:rsidRPr="00767FC2">
        <w:tab/>
      </w:r>
      <w:proofErr w:type="gramStart"/>
      <w:r w:rsidRPr="00767FC2">
        <w:t>if</w:t>
      </w:r>
      <w:proofErr w:type="gramEnd"/>
      <w:r w:rsidRPr="00767FC2">
        <w:t xml:space="preserve"> a project area spans both rainfall zones (see section </w:t>
      </w:r>
      <w:r w:rsidR="00964086" w:rsidRPr="00767FC2">
        <w:t>10</w:t>
      </w:r>
      <w:r w:rsidRPr="00767FC2">
        <w:t xml:space="preserve"> of this Schedule); and</w:t>
      </w:r>
    </w:p>
    <w:p w14:paraId="06D08F75" w14:textId="77777777" w:rsidR="003D360F" w:rsidRPr="00767FC2" w:rsidRDefault="003D360F" w:rsidP="003D360F">
      <w:pPr>
        <w:pStyle w:val="nMain"/>
        <w:spacing w:before="40"/>
        <w:ind w:left="2314" w:hanging="284"/>
      </w:pPr>
      <w:r w:rsidRPr="00767FC2">
        <w:sym w:font="Symbol" w:char="00B7"/>
      </w:r>
      <w:r w:rsidRPr="00767FC2">
        <w:tab/>
      </w:r>
      <w:proofErr w:type="gramStart"/>
      <w:r w:rsidRPr="00767FC2">
        <w:t>if</w:t>
      </w:r>
      <w:proofErr w:type="gramEnd"/>
      <w:r w:rsidR="0063115E" w:rsidRPr="00767FC2">
        <w:t xml:space="preserve"> </w:t>
      </w:r>
      <w:r w:rsidRPr="00767FC2">
        <w:t>a project area is divided into 2 or more subdivided project areas (see section </w:t>
      </w:r>
      <w:r w:rsidR="00964086" w:rsidRPr="00767FC2">
        <w:t>12</w:t>
      </w:r>
      <w:r w:rsidRPr="00767FC2">
        <w:t xml:space="preserve"> of this Schedule).</w:t>
      </w:r>
    </w:p>
    <w:p w14:paraId="0A1C2983" w14:textId="77777777" w:rsidR="002030B5" w:rsidRPr="00767FC2" w:rsidRDefault="002030B5" w:rsidP="002030B5">
      <w:pPr>
        <w:pStyle w:val="nMain"/>
      </w:pPr>
      <w:r w:rsidRPr="00767FC2">
        <w:t>Note 2:</w:t>
      </w:r>
      <w:r w:rsidRPr="00767FC2">
        <w:tab/>
      </w:r>
      <w:r w:rsidR="00FE55FD" w:rsidRPr="00767FC2">
        <w:t>If, during a reporting period, the vegetation fuel type map is revised in accordance with section </w:t>
      </w:r>
      <w:r w:rsidR="00964086" w:rsidRPr="00767FC2">
        <w:t>19</w:t>
      </w:r>
      <w:r w:rsidR="00FE55FD" w:rsidRPr="00767FC2">
        <w:t xml:space="preserve"> of this determination, the version of the map as in force at the end of the reporting period is used for calculations for all years of the reporting period (including for the calculation of the current year’s uncertainty buffer and the uncertainty buffer cap</w:t>
      </w:r>
      <w:r w:rsidR="00F92C2C" w:rsidRPr="00767FC2">
        <w:t>, and amounts that relate to the baseline period</w:t>
      </w:r>
      <w:r w:rsidR="00FE55FD" w:rsidRPr="00767FC2">
        <w:t>). See subsection </w:t>
      </w:r>
      <w:r w:rsidR="00964086" w:rsidRPr="00767FC2">
        <w:t>10(1)</w:t>
      </w:r>
      <w:r w:rsidR="00FE55FD" w:rsidRPr="00767FC2">
        <w:t xml:space="preserve"> of this determination. However, a previous year’s uncertainty buffer that was calculated on the basis of an earlier version of the vegetation fuel type map is not revised on the basis of the revised map.</w:t>
      </w:r>
    </w:p>
    <w:p w14:paraId="75714E4B" w14:textId="77777777" w:rsidR="003D360F" w:rsidRPr="00767FC2" w:rsidRDefault="001626C4" w:rsidP="003D360F">
      <w:pPr>
        <w:pStyle w:val="h5Section"/>
        <w:rPr>
          <w:i/>
          <w:vertAlign w:val="subscript"/>
        </w:rPr>
      </w:pPr>
      <w:bookmarkStart w:id="137" w:name="_Toc485640296"/>
      <w:bookmarkStart w:id="138" w:name="_Toc509567234"/>
      <w:proofErr w:type="gramStart"/>
      <w:r w:rsidRPr="00767FC2">
        <w:t>3</w:t>
      </w:r>
      <w:r w:rsidR="003D360F" w:rsidRPr="00767FC2">
        <w:t xml:space="preserve">  The</w:t>
      </w:r>
      <w:proofErr w:type="gramEnd"/>
      <w:r w:rsidR="003D360F" w:rsidRPr="00767FC2">
        <w:t xml:space="preserve"> previous year’s uncertainty buffer, </w:t>
      </w:r>
      <w:proofErr w:type="spellStart"/>
      <w:r w:rsidR="003D360F" w:rsidRPr="00767FC2">
        <w:rPr>
          <w:i/>
        </w:rPr>
        <w:t>B</w:t>
      </w:r>
      <w:r w:rsidR="003D360F" w:rsidRPr="00767FC2">
        <w:rPr>
          <w:i/>
          <w:vertAlign w:val="subscript"/>
        </w:rPr>
        <w:t>U,Prev</w:t>
      </w:r>
      <w:bookmarkEnd w:id="137"/>
      <w:bookmarkEnd w:id="138"/>
      <w:proofErr w:type="spellEnd"/>
    </w:p>
    <w:p w14:paraId="16D58CEF" w14:textId="77777777" w:rsidR="003D360F" w:rsidRPr="00767FC2" w:rsidRDefault="003D360F" w:rsidP="003D360F">
      <w:pPr>
        <w:pStyle w:val="tMain"/>
      </w:pPr>
      <w:r w:rsidRPr="00767FC2">
        <w:tab/>
      </w:r>
      <w:r w:rsidR="001626C4" w:rsidRPr="00767FC2">
        <w:t>(1)</w:t>
      </w:r>
      <w:r w:rsidRPr="00767FC2">
        <w:tab/>
        <w:t>For paragraph </w:t>
      </w:r>
      <w:r w:rsidR="00964086" w:rsidRPr="00767FC2">
        <w:t>2(a)</w:t>
      </w:r>
      <w:r w:rsidRPr="00767FC2">
        <w:t xml:space="preserve"> of this Schedule, and subject to section </w:t>
      </w:r>
      <w:r w:rsidR="00964086" w:rsidRPr="00767FC2">
        <w:t>12</w:t>
      </w:r>
      <w:r w:rsidRPr="00767FC2">
        <w:t xml:space="preserve"> of this Schedule (which deals with subdivided project areas), the previous year’s uncertainty buffer for the project area, </w:t>
      </w:r>
      <w:proofErr w:type="spellStart"/>
      <w:r w:rsidRPr="00767FC2">
        <w:rPr>
          <w:i/>
        </w:rPr>
        <w:t>B</w:t>
      </w:r>
      <w:r w:rsidRPr="00767FC2">
        <w:rPr>
          <w:i/>
          <w:vertAlign w:val="subscript"/>
        </w:rPr>
        <w:t>U</w:t>
      </w:r>
      <w:proofErr w:type="gramStart"/>
      <w:r w:rsidRPr="00767FC2">
        <w:rPr>
          <w:i/>
          <w:vertAlign w:val="subscript"/>
        </w:rPr>
        <w:t>,Prev</w:t>
      </w:r>
      <w:proofErr w:type="spellEnd"/>
      <w:proofErr w:type="gramEnd"/>
      <w:r w:rsidRPr="00767FC2">
        <w:t>, in tonnes CO</w:t>
      </w:r>
      <w:r w:rsidRPr="00767FC2">
        <w:rPr>
          <w:vertAlign w:val="subscript"/>
        </w:rPr>
        <w:t>2</w:t>
      </w:r>
      <w:r w:rsidRPr="00767FC2">
        <w:noBreakHyphen/>
        <w:t>e, is:</w:t>
      </w:r>
    </w:p>
    <w:p w14:paraId="198C5FB4" w14:textId="77777777" w:rsidR="003D360F" w:rsidRPr="00767FC2" w:rsidRDefault="003D360F" w:rsidP="003D360F">
      <w:pPr>
        <w:pStyle w:val="tPara"/>
      </w:pPr>
      <w:r w:rsidRPr="00767FC2">
        <w:tab/>
      </w:r>
      <w:r w:rsidR="001626C4" w:rsidRPr="00767FC2">
        <w:t>(a)</w:t>
      </w:r>
      <w:r w:rsidRPr="00767FC2">
        <w:tab/>
        <w:t xml:space="preserve">if, for the previous calendar year, </w:t>
      </w:r>
      <w:r w:rsidR="002B4BFF" w:rsidRPr="00767FC2">
        <w:t xml:space="preserve">an </w:t>
      </w:r>
      <w:r w:rsidRPr="00767FC2">
        <w:t>uncertainty buffer was calculated for the project area in accordance with the methodology determination that applied to the project to which the project area belonged in that year</w:t>
      </w:r>
      <w:r w:rsidRPr="00767FC2">
        <w:rPr>
          <w:i/>
        </w:rPr>
        <w:t>—</w:t>
      </w:r>
      <w:r w:rsidRPr="00767FC2">
        <w:t>equal to the value of the uncertainty buffer so calculated; and</w:t>
      </w:r>
    </w:p>
    <w:p w14:paraId="39403CAE" w14:textId="77777777" w:rsidR="003D360F" w:rsidRPr="00767FC2" w:rsidRDefault="003D360F" w:rsidP="003D360F">
      <w:pPr>
        <w:pStyle w:val="tPara"/>
      </w:pPr>
      <w:r w:rsidRPr="00767FC2">
        <w:tab/>
      </w:r>
      <w:r w:rsidR="001626C4" w:rsidRPr="00767FC2">
        <w:t>(b)</w:t>
      </w:r>
      <w:r w:rsidRPr="00767FC2">
        <w:tab/>
      </w:r>
      <w:proofErr w:type="gramStart"/>
      <w:r w:rsidRPr="00767FC2">
        <w:t>otherwise</w:t>
      </w:r>
      <w:r w:rsidRPr="00767FC2">
        <w:rPr>
          <w:i/>
        </w:rPr>
        <w:t>—</w:t>
      </w:r>
      <w:proofErr w:type="gramEnd"/>
      <w:r w:rsidRPr="00767FC2">
        <w:t>equal to zero.</w:t>
      </w:r>
    </w:p>
    <w:p w14:paraId="7064B334" w14:textId="77777777" w:rsidR="002B4BFF" w:rsidRPr="00767FC2" w:rsidRDefault="002B4BFF" w:rsidP="002B4BFF">
      <w:pPr>
        <w:pStyle w:val="nMain"/>
      </w:pPr>
      <w:r w:rsidRPr="00767FC2">
        <w:t>Note:</w:t>
      </w:r>
      <w:r w:rsidRPr="00767FC2">
        <w:tab/>
        <w:t>For paragraph </w:t>
      </w:r>
      <w:r w:rsidR="00964086" w:rsidRPr="00767FC2">
        <w:t>(a)</w:t>
      </w:r>
      <w:r w:rsidRPr="00767FC2">
        <w:t xml:space="preserve">, the uncertainty buffer might have been calculated as the current year’s uncertainty buffer </w:t>
      </w:r>
      <w:proofErr w:type="spellStart"/>
      <w:r w:rsidRPr="00767FC2">
        <w:rPr>
          <w:i/>
        </w:rPr>
        <w:t>B</w:t>
      </w:r>
      <w:r w:rsidRPr="00767FC2">
        <w:rPr>
          <w:i/>
          <w:vertAlign w:val="subscript"/>
        </w:rPr>
        <w:t>U</w:t>
      </w:r>
      <w:proofErr w:type="gramStart"/>
      <w:r w:rsidRPr="00767FC2">
        <w:rPr>
          <w:i/>
          <w:vertAlign w:val="subscript"/>
        </w:rPr>
        <w:t>,Curr</w:t>
      </w:r>
      <w:proofErr w:type="spellEnd"/>
      <w:proofErr w:type="gramEnd"/>
      <w:r w:rsidRPr="00767FC2">
        <w:t xml:space="preserve"> under this determination or the </w:t>
      </w:r>
      <w:r w:rsidRPr="00767FC2">
        <w:rPr>
          <w:i/>
        </w:rPr>
        <w:t xml:space="preserve">Carbon Credits (Carbon Farming Initiative—Savanna Fire Management—Sequestration and Emissions Avoidance) Methodology </w:t>
      </w:r>
      <w:r w:rsidRPr="00767FC2">
        <w:rPr>
          <w:i/>
        </w:rPr>
        <w:lastRenderedPageBreak/>
        <w:t xml:space="preserve">Determination </w:t>
      </w:r>
      <w:r w:rsidR="00D32953" w:rsidRPr="00767FC2">
        <w:rPr>
          <w:i/>
        </w:rPr>
        <w:t>2018</w:t>
      </w:r>
      <w:r w:rsidRPr="00767FC2">
        <w:t xml:space="preserve">, or as the amount </w:t>
      </w:r>
      <w:r w:rsidRPr="00767FC2">
        <w:rPr>
          <w:i/>
        </w:rPr>
        <w:t>R</w:t>
      </w:r>
      <w:r w:rsidRPr="00767FC2">
        <w:rPr>
          <w:i/>
          <w:vertAlign w:val="subscript"/>
        </w:rPr>
        <w:t>y</w:t>
      </w:r>
      <w:r w:rsidRPr="00767FC2">
        <w:t xml:space="preserve"> under the </w:t>
      </w:r>
      <w:r w:rsidRPr="00767FC2">
        <w:rPr>
          <w:i/>
        </w:rPr>
        <w:t>Carbon Credits (Carbon Farming Initiative—Emissions Abatement through Savanna Fire Management) Methodology Determination 2015</w:t>
      </w:r>
      <w:r w:rsidRPr="00767FC2">
        <w:t>.</w:t>
      </w:r>
    </w:p>
    <w:p w14:paraId="623BC37B" w14:textId="77777777" w:rsidR="003D360F" w:rsidRPr="00767FC2" w:rsidRDefault="003D360F" w:rsidP="002030B5">
      <w:pPr>
        <w:pStyle w:val="tMain"/>
      </w:pPr>
      <w:r w:rsidRPr="00767FC2">
        <w:tab/>
      </w:r>
      <w:r w:rsidR="001626C4" w:rsidRPr="00767FC2">
        <w:t>(2)</w:t>
      </w:r>
      <w:r w:rsidRPr="00767FC2">
        <w:tab/>
        <w:t>For paragraph </w:t>
      </w:r>
      <w:r w:rsidR="00964086" w:rsidRPr="00767FC2">
        <w:t>(1</w:t>
      </w:r>
      <w:proofErr w:type="gramStart"/>
      <w:r w:rsidR="00964086" w:rsidRPr="00767FC2">
        <w:t>)(</w:t>
      </w:r>
      <w:proofErr w:type="gramEnd"/>
      <w:r w:rsidR="00964086" w:rsidRPr="00767FC2">
        <w:t>a)</w:t>
      </w:r>
      <w:r w:rsidRPr="00767FC2">
        <w:t>,</w:t>
      </w:r>
      <w:r w:rsidR="002030B5" w:rsidRPr="00767FC2">
        <w:t xml:space="preserve"> </w:t>
      </w:r>
      <w:r w:rsidRPr="00767FC2">
        <w:t>if the project was reported on for that year, the relevant value is the value reported in the offsets report.</w:t>
      </w:r>
    </w:p>
    <w:p w14:paraId="29C72D9C" w14:textId="77777777" w:rsidR="001C5DE1" w:rsidRPr="00767FC2" w:rsidRDefault="001C5DE1" w:rsidP="001C5DE1">
      <w:pPr>
        <w:pStyle w:val="nMain"/>
      </w:pPr>
      <w:r w:rsidRPr="00767FC2">
        <w:t>Note:</w:t>
      </w:r>
      <w:r w:rsidRPr="00767FC2">
        <w:tab/>
        <w:t>Paragraph </w:t>
      </w:r>
      <w:r w:rsidR="00964086" w:rsidRPr="00767FC2">
        <w:t>(1</w:t>
      </w:r>
      <w:proofErr w:type="gramStart"/>
      <w:r w:rsidR="00964086" w:rsidRPr="00767FC2">
        <w:t>)(</w:t>
      </w:r>
      <w:proofErr w:type="gramEnd"/>
      <w:r w:rsidR="00964086" w:rsidRPr="00767FC2">
        <w:t>a)</w:t>
      </w:r>
      <w:r w:rsidRPr="00767FC2">
        <w:t xml:space="preserve"> is modified in some cases if the requirement in lieu of the newness requirement set out in paragraph </w:t>
      </w:r>
      <w:r w:rsidR="00964086" w:rsidRPr="00767FC2">
        <w:t>21(2)(c)</w:t>
      </w:r>
      <w:r w:rsidRPr="00767FC2">
        <w:t xml:space="preserve"> </w:t>
      </w:r>
      <w:r w:rsidR="00AD14C8" w:rsidRPr="00767FC2">
        <w:t xml:space="preserve">of this determination </w:t>
      </w:r>
      <w:r w:rsidRPr="00767FC2">
        <w:t>was met. See paragraph </w:t>
      </w:r>
      <w:r w:rsidR="00964086" w:rsidRPr="00767FC2">
        <w:t>21(3</w:t>
      </w:r>
      <w:proofErr w:type="gramStart"/>
      <w:r w:rsidR="00964086" w:rsidRPr="00767FC2">
        <w:t>)(</w:t>
      </w:r>
      <w:proofErr w:type="gramEnd"/>
      <w:r w:rsidR="00964086" w:rsidRPr="00767FC2">
        <w:t>d)</w:t>
      </w:r>
      <w:r w:rsidRPr="00767FC2">
        <w:t xml:space="preserve"> of this determination.</w:t>
      </w:r>
    </w:p>
    <w:p w14:paraId="592D9109" w14:textId="77777777" w:rsidR="003D360F" w:rsidRPr="00767FC2" w:rsidRDefault="001626C4" w:rsidP="003D360F">
      <w:pPr>
        <w:pStyle w:val="h5Section"/>
        <w:rPr>
          <w:i/>
          <w:vertAlign w:val="subscript"/>
        </w:rPr>
      </w:pPr>
      <w:bookmarkStart w:id="139" w:name="_Toc485640297"/>
      <w:bookmarkStart w:id="140" w:name="_Toc509567235"/>
      <w:proofErr w:type="gramStart"/>
      <w:r w:rsidRPr="00767FC2">
        <w:t>4</w:t>
      </w:r>
      <w:r w:rsidR="003D360F" w:rsidRPr="00767FC2">
        <w:t xml:space="preserve">  The</w:t>
      </w:r>
      <w:proofErr w:type="gramEnd"/>
      <w:r w:rsidR="003D360F" w:rsidRPr="00767FC2">
        <w:t xml:space="preserve"> contribution to the net abatement amount from emissions avoidance for a calendar year, </w:t>
      </w:r>
      <w:r w:rsidR="003D360F" w:rsidRPr="00767FC2">
        <w:rPr>
          <w:i/>
        </w:rPr>
        <w:t>A</w:t>
      </w:r>
      <w:r w:rsidR="003D360F" w:rsidRPr="00767FC2">
        <w:rPr>
          <w:i/>
          <w:vertAlign w:val="subscript"/>
        </w:rPr>
        <w:t>EA</w:t>
      </w:r>
      <w:bookmarkEnd w:id="139"/>
      <w:bookmarkEnd w:id="140"/>
    </w:p>
    <w:p w14:paraId="4421FE88" w14:textId="77777777" w:rsidR="003D360F" w:rsidRPr="00767FC2" w:rsidRDefault="003D360F" w:rsidP="003D360F">
      <w:pPr>
        <w:pStyle w:val="tMain"/>
        <w:spacing w:after="120"/>
      </w:pPr>
      <w:r w:rsidRPr="00767FC2">
        <w:tab/>
      </w:r>
      <w:r w:rsidRPr="00767FC2">
        <w:tab/>
        <w:t>For paragraph </w:t>
      </w:r>
      <w:r w:rsidR="00964086" w:rsidRPr="00767FC2">
        <w:t>2(b)</w:t>
      </w:r>
      <w:r w:rsidRPr="00767FC2">
        <w:t xml:space="preserve"> of this Schedule, the contribution to the net abatement amount from emissions avoidance for </w:t>
      </w:r>
      <w:r w:rsidR="00C07CF9" w:rsidRPr="00767FC2">
        <w:t>a</w:t>
      </w:r>
      <w:r w:rsidRPr="00767FC2">
        <w:t xml:space="preserve"> project area for </w:t>
      </w:r>
      <w:r w:rsidR="00273B72" w:rsidRPr="00767FC2">
        <w:t>a</w:t>
      </w:r>
      <w:r w:rsidR="00C07CF9" w:rsidRPr="00767FC2">
        <w:t xml:space="preserve"> </w:t>
      </w:r>
      <w:r w:rsidRPr="00767FC2">
        <w:t xml:space="preserve">calendar year, </w:t>
      </w:r>
      <w:r w:rsidRPr="00767FC2">
        <w:rPr>
          <w:i/>
        </w:rPr>
        <w:t>A</w:t>
      </w:r>
      <w:r w:rsidRPr="00767FC2">
        <w:rPr>
          <w:i/>
          <w:vertAlign w:val="subscript"/>
        </w:rPr>
        <w:t>EA</w:t>
      </w:r>
      <w:r w:rsidRPr="00767FC2">
        <w:t>, in tonnes CO</w:t>
      </w:r>
      <w:r w:rsidRPr="00767FC2">
        <w:rPr>
          <w:vertAlign w:val="subscript"/>
        </w:rPr>
        <w:t>2</w:t>
      </w:r>
      <w:r w:rsidRPr="00767FC2">
        <w:noBreakHyphen/>
        <w:t>e, is given by the following equation:</w:t>
      </w:r>
    </w:p>
    <w:tbl>
      <w:tblPr>
        <w:tblStyle w:val="TableGrid"/>
        <w:tblW w:w="0" w:type="auto"/>
        <w:tblInd w:w="1134" w:type="dxa"/>
        <w:tblLook w:val="04A0" w:firstRow="1" w:lastRow="0" w:firstColumn="1" w:lastColumn="0" w:noHBand="0" w:noVBand="1"/>
      </w:tblPr>
      <w:tblGrid>
        <w:gridCol w:w="6516"/>
        <w:gridCol w:w="1366"/>
      </w:tblGrid>
      <w:tr w:rsidR="00767FC2" w:rsidRPr="00767FC2" w14:paraId="6407AE78" w14:textId="77777777" w:rsidTr="00B653A0">
        <w:trPr>
          <w:trHeight w:val="1108"/>
        </w:trPr>
        <w:tc>
          <w:tcPr>
            <w:tcW w:w="6516" w:type="dxa"/>
            <w:vAlign w:val="center"/>
          </w:tcPr>
          <w:p w14:paraId="672E6F56" w14:textId="77777777" w:rsidR="003D360F" w:rsidRPr="00767FC2" w:rsidRDefault="008928CA" w:rsidP="00B653A0">
            <m:oMathPara>
              <m:oMath>
                <m:sSub>
                  <m:sSubPr>
                    <m:ctrlPr>
                      <w:rPr>
                        <w:rFonts w:ascii="Cambria Math" w:eastAsiaTheme="minorHAnsi" w:hAnsi="Cambria Math" w:cstheme="minorBidi"/>
                        <w:i/>
                        <w:szCs w:val="22"/>
                      </w:rPr>
                    </m:ctrlPr>
                  </m:sSubPr>
                  <m:e>
                    <m:r>
                      <w:rPr>
                        <w:rFonts w:ascii="Cambria Math" w:hAnsi="Cambria Math"/>
                      </w:rPr>
                      <m:t>A</m:t>
                    </m:r>
                  </m:e>
                  <m:sub>
                    <m:r>
                      <w:rPr>
                        <w:rFonts w:ascii="Cambria Math" w:hAnsi="Cambria Math"/>
                      </w:rPr>
                      <m:t>EA</m:t>
                    </m:r>
                  </m:sub>
                </m:sSub>
                <m:r>
                  <w:rPr>
                    <w:rFonts w:ascii="Cambria Math" w:hAnsi="Cambria Math"/>
                  </w:rPr>
                  <m:t xml:space="preserve">= </m:t>
                </m:r>
                <m:sSub>
                  <m:sSubPr>
                    <m:ctrlPr>
                      <w:rPr>
                        <w:rFonts w:ascii="Cambria Math" w:eastAsiaTheme="minorHAnsi" w:hAnsi="Cambria Math" w:cstheme="minorBidi"/>
                        <w:i/>
                        <w:szCs w:val="22"/>
                      </w:rPr>
                    </m:ctrlPr>
                  </m:sSubPr>
                  <m:e>
                    <m:acc>
                      <m:accPr>
                        <m:chr m:val="̅"/>
                        <m:ctrlPr>
                          <w:rPr>
                            <w:rFonts w:ascii="Cambria Math" w:eastAsiaTheme="minorHAnsi" w:hAnsi="Cambria Math" w:cstheme="minorBidi"/>
                            <w:i/>
                            <w:szCs w:val="22"/>
                          </w:rPr>
                        </m:ctrlPr>
                      </m:accPr>
                      <m:e>
                        <m:r>
                          <w:rPr>
                            <w:rFonts w:ascii="Cambria Math" w:hAnsi="Cambria Math"/>
                          </w:rPr>
                          <m:t>E</m:t>
                        </m:r>
                      </m:e>
                    </m:acc>
                  </m:e>
                  <m:sub>
                    <m:r>
                      <w:rPr>
                        <w:rFonts w:ascii="Cambria Math" w:hAnsi="Cambria Math"/>
                      </w:rPr>
                      <m:t>B</m:t>
                    </m:r>
                  </m:sub>
                </m:sSub>
                <m:r>
                  <w:rPr>
                    <w:rFonts w:ascii="Cambria Math" w:hAnsi="Cambria Math"/>
                  </w:rPr>
                  <m:t xml:space="preserve">- </m:t>
                </m:r>
                <m:sSub>
                  <m:sSubPr>
                    <m:ctrlPr>
                      <w:rPr>
                        <w:rFonts w:ascii="Cambria Math" w:eastAsiaTheme="minorHAnsi" w:hAnsi="Cambria Math" w:cstheme="minorBidi"/>
                        <w:i/>
                        <w:szCs w:val="22"/>
                      </w:rPr>
                    </m:ctrlPr>
                  </m:sSubPr>
                  <m:e>
                    <m:r>
                      <w:rPr>
                        <w:rFonts w:ascii="Cambria Math" w:hAnsi="Cambria Math"/>
                      </w:rPr>
                      <m:t>E</m:t>
                    </m:r>
                  </m:e>
                  <m:sub>
                    <m:r>
                      <w:rPr>
                        <w:rFonts w:ascii="Cambria Math" w:hAnsi="Cambria Math"/>
                      </w:rPr>
                      <m:t>F</m:t>
                    </m:r>
                  </m:sub>
                </m:sSub>
              </m:oMath>
            </m:oMathPara>
          </w:p>
        </w:tc>
        <w:tc>
          <w:tcPr>
            <w:tcW w:w="1366" w:type="dxa"/>
            <w:vAlign w:val="center"/>
          </w:tcPr>
          <w:p w14:paraId="7B721E77" w14:textId="77777777" w:rsidR="003D360F" w:rsidRPr="00767FC2" w:rsidRDefault="003D360F" w:rsidP="00B653A0">
            <w:pPr>
              <w:pStyle w:val="Tabletext"/>
            </w:pPr>
            <w:bookmarkStart w:id="141" w:name="_Ref442864519"/>
            <w:r w:rsidRPr="00767FC2">
              <w:t xml:space="preserve">equation </w:t>
            </w:r>
            <w:r w:rsidR="00964086" w:rsidRPr="00767FC2">
              <w:rPr>
                <w:noProof/>
              </w:rPr>
              <w:t>2</w:t>
            </w:r>
            <w:bookmarkEnd w:id="141"/>
          </w:p>
        </w:tc>
      </w:tr>
    </w:tbl>
    <w:p w14:paraId="15BD1986" w14:textId="77777777" w:rsidR="003D360F" w:rsidRPr="00767FC2" w:rsidRDefault="003D360F" w:rsidP="003D360F">
      <w:pPr>
        <w:pStyle w:val="tMain"/>
      </w:pPr>
      <w:r w:rsidRPr="00767FC2">
        <w:tab/>
      </w:r>
      <w:r w:rsidRPr="00767FC2">
        <w:tab/>
      </w:r>
      <w:proofErr w:type="gramStart"/>
      <w:r w:rsidRPr="00767FC2">
        <w:t>where</w:t>
      </w:r>
      <w:proofErr w:type="gramEnd"/>
      <w:r w:rsidRPr="00767FC2">
        <w:t>:</w:t>
      </w:r>
    </w:p>
    <w:p w14:paraId="1288DAB0" w14:textId="77777777" w:rsidR="003D360F" w:rsidRPr="00767FC2" w:rsidRDefault="008928CA" w:rsidP="003D360F">
      <w:pPr>
        <w:pStyle w:val="tDefn"/>
      </w:pPr>
      <m:oMath>
        <m:sSub>
          <m:sSubPr>
            <m:ctrlPr>
              <w:rPr>
                <w:rFonts w:ascii="Cambria Math" w:eastAsiaTheme="minorHAnsi" w:hAnsi="Cambria Math" w:cstheme="minorBidi"/>
                <w:b/>
                <w:i/>
                <w:szCs w:val="22"/>
                <w:lang w:eastAsia="en-US"/>
              </w:rPr>
            </m:ctrlPr>
          </m:sSubPr>
          <m:e>
            <m:acc>
              <m:accPr>
                <m:chr m:val="̅"/>
                <m:ctrlPr>
                  <w:rPr>
                    <w:rFonts w:ascii="Cambria Math" w:eastAsiaTheme="minorHAnsi" w:hAnsi="Cambria Math" w:cstheme="minorBidi"/>
                    <w:b/>
                    <w:i/>
                    <w:szCs w:val="22"/>
                    <w:lang w:eastAsia="en-US"/>
                  </w:rPr>
                </m:ctrlPr>
              </m:accPr>
              <m:e>
                <m:r>
                  <m:rPr>
                    <m:sty m:val="bi"/>
                  </m:rPr>
                  <w:rPr>
                    <w:rFonts w:ascii="Cambria Math" w:hAnsi="Cambria Math"/>
                  </w:rPr>
                  <m:t>E</m:t>
                </m:r>
              </m:e>
            </m:acc>
          </m:e>
          <m:sub>
            <m:r>
              <m:rPr>
                <m:sty m:val="bi"/>
              </m:rPr>
              <w:rPr>
                <w:rFonts w:ascii="Cambria Math" w:hAnsi="Cambria Math"/>
              </w:rPr>
              <m:t>B</m:t>
            </m:r>
          </m:sub>
        </m:sSub>
      </m:oMath>
      <w:r w:rsidR="003D360F" w:rsidRPr="00767FC2">
        <w:rPr>
          <w:b/>
        </w:rPr>
        <w:t xml:space="preserve"> </w:t>
      </w:r>
      <w:proofErr w:type="gramStart"/>
      <w:r w:rsidR="003D360F" w:rsidRPr="00767FC2">
        <w:t>is</w:t>
      </w:r>
      <w:proofErr w:type="gramEnd"/>
      <w:r w:rsidR="003D360F" w:rsidRPr="00767FC2">
        <w:rPr>
          <w:b/>
        </w:rPr>
        <w:t xml:space="preserve"> </w:t>
      </w:r>
      <w:r w:rsidR="003D360F" w:rsidRPr="00767FC2">
        <w:t>the</w:t>
      </w:r>
      <w:r w:rsidR="003D360F" w:rsidRPr="00767FC2">
        <w:rPr>
          <w:b/>
        </w:rPr>
        <w:t xml:space="preserve"> </w:t>
      </w:r>
      <w:r w:rsidR="003B1314" w:rsidRPr="00767FC2">
        <w:t xml:space="preserve">mean </w:t>
      </w:r>
      <w:r w:rsidR="003D360F" w:rsidRPr="00767FC2">
        <w:t>annual baseline fire emissions for the project area, in tonnes CO</w:t>
      </w:r>
      <w:r w:rsidR="003D360F" w:rsidRPr="00767FC2">
        <w:rPr>
          <w:vertAlign w:val="subscript"/>
        </w:rPr>
        <w:t>2</w:t>
      </w:r>
      <w:r w:rsidR="003D360F" w:rsidRPr="00767FC2">
        <w:noBreakHyphen/>
        <w:t xml:space="preserve">e—from </w:t>
      </w:r>
      <w:r w:rsidR="00964086" w:rsidRPr="00767FC2">
        <w:t xml:space="preserve">equation </w:t>
      </w:r>
      <w:r w:rsidR="00964086" w:rsidRPr="00767FC2">
        <w:rPr>
          <w:noProof/>
        </w:rPr>
        <w:t>4</w:t>
      </w:r>
      <w:r w:rsidR="003D360F" w:rsidRPr="00767FC2">
        <w:t>.</w:t>
      </w:r>
    </w:p>
    <w:p w14:paraId="273A3D79" w14:textId="77777777" w:rsidR="003D360F" w:rsidRPr="00767FC2" w:rsidRDefault="003D360F" w:rsidP="003D360F">
      <w:pPr>
        <w:pStyle w:val="tDefn"/>
      </w:pPr>
      <w:bookmarkStart w:id="142" w:name="_Toc405377063"/>
      <w:bookmarkStart w:id="143" w:name="_Toc413155593"/>
      <w:r w:rsidRPr="00767FC2">
        <w:rPr>
          <w:b/>
          <w:i/>
        </w:rPr>
        <w:t>E</w:t>
      </w:r>
      <w:r w:rsidRPr="00767FC2">
        <w:rPr>
          <w:b/>
          <w:i/>
          <w:vertAlign w:val="subscript"/>
        </w:rPr>
        <w:t>F</w:t>
      </w:r>
      <w:r w:rsidRPr="00767FC2">
        <w:rPr>
          <w:b/>
          <w:i/>
        </w:rPr>
        <w:t xml:space="preserve"> </w:t>
      </w:r>
      <w:r w:rsidRPr="00767FC2">
        <w:t xml:space="preserve">is the fire emissions for </w:t>
      </w:r>
      <w:r w:rsidR="00C07CF9" w:rsidRPr="00767FC2">
        <w:t>the</w:t>
      </w:r>
      <w:r w:rsidRPr="00767FC2">
        <w:t xml:space="preserve"> project area for </w:t>
      </w:r>
      <w:r w:rsidR="00C07CF9" w:rsidRPr="00767FC2">
        <w:t xml:space="preserve">the </w:t>
      </w:r>
      <w:r w:rsidRPr="00767FC2">
        <w:t>calendar year, in tonnes CO</w:t>
      </w:r>
      <w:r w:rsidRPr="00767FC2">
        <w:rPr>
          <w:vertAlign w:val="subscript"/>
        </w:rPr>
        <w:t>2</w:t>
      </w:r>
      <w:r w:rsidRPr="00767FC2">
        <w:noBreakHyphen/>
        <w:t xml:space="preserve">e, and is given by the amount </w:t>
      </w:r>
      <w:r w:rsidRPr="00767FC2">
        <w:rPr>
          <w:i/>
        </w:rPr>
        <w:t>E</w:t>
      </w:r>
      <w:r w:rsidRPr="00767FC2">
        <w:rPr>
          <w:i/>
          <w:vertAlign w:val="subscript"/>
        </w:rPr>
        <w:t>F</w:t>
      </w:r>
      <w:r w:rsidRPr="00767FC2">
        <w:rPr>
          <w:i/>
        </w:rPr>
        <w:t xml:space="preserve"> </w:t>
      </w:r>
      <w:r w:rsidRPr="00767FC2">
        <w:t xml:space="preserve">as calculated in accordance with </w:t>
      </w:r>
      <w:r w:rsidR="00964086" w:rsidRPr="00767FC2">
        <w:t xml:space="preserve">equation </w:t>
      </w:r>
      <w:r w:rsidR="00964086" w:rsidRPr="00767FC2">
        <w:rPr>
          <w:noProof/>
        </w:rPr>
        <w:t>5</w:t>
      </w:r>
      <w:r w:rsidRPr="00767FC2">
        <w:rPr>
          <w:noProof/>
        </w:rPr>
        <w:t xml:space="preserve"> for the calendar year</w:t>
      </w:r>
      <w:r w:rsidRPr="00767FC2">
        <w:t>.</w:t>
      </w:r>
    </w:p>
    <w:p w14:paraId="005512E4" w14:textId="77777777" w:rsidR="003D360F" w:rsidRPr="00767FC2" w:rsidRDefault="001626C4" w:rsidP="003D360F">
      <w:pPr>
        <w:pStyle w:val="h5Section"/>
        <w:rPr>
          <w:i/>
          <w:vertAlign w:val="subscript"/>
        </w:rPr>
      </w:pPr>
      <w:bookmarkStart w:id="144" w:name="_Toc485640298"/>
      <w:bookmarkStart w:id="145" w:name="_Toc509567236"/>
      <w:proofErr w:type="gramStart"/>
      <w:r w:rsidRPr="00767FC2">
        <w:t>5</w:t>
      </w:r>
      <w:r w:rsidR="003D360F" w:rsidRPr="00767FC2">
        <w:t xml:space="preserve">  The</w:t>
      </w:r>
      <w:proofErr w:type="gramEnd"/>
      <w:r w:rsidR="003D360F" w:rsidRPr="00767FC2">
        <w:t xml:space="preserve"> uncertainty buffer cap for a calendar year, </w:t>
      </w:r>
      <w:proofErr w:type="spellStart"/>
      <w:r w:rsidR="003D360F" w:rsidRPr="00767FC2">
        <w:rPr>
          <w:i/>
        </w:rPr>
        <w:t>B</w:t>
      </w:r>
      <w:r w:rsidR="00C07CF9" w:rsidRPr="00767FC2">
        <w:rPr>
          <w:i/>
          <w:vertAlign w:val="subscript"/>
        </w:rPr>
        <w:t>U,</w:t>
      </w:r>
      <w:r w:rsidR="003D360F" w:rsidRPr="00767FC2">
        <w:rPr>
          <w:i/>
          <w:vertAlign w:val="subscript"/>
        </w:rPr>
        <w:t>Cap</w:t>
      </w:r>
      <w:bookmarkEnd w:id="144"/>
      <w:bookmarkEnd w:id="145"/>
      <w:proofErr w:type="spellEnd"/>
    </w:p>
    <w:p w14:paraId="5AC276B0" w14:textId="77777777" w:rsidR="003D360F" w:rsidRPr="00767FC2" w:rsidRDefault="003D360F" w:rsidP="003D360F">
      <w:pPr>
        <w:pStyle w:val="tMain"/>
        <w:spacing w:after="120"/>
      </w:pPr>
      <w:r w:rsidRPr="00767FC2">
        <w:tab/>
      </w:r>
      <w:r w:rsidRPr="00767FC2">
        <w:tab/>
        <w:t>For paragraph </w:t>
      </w:r>
      <w:r w:rsidR="00964086" w:rsidRPr="00767FC2">
        <w:t>2(c)</w:t>
      </w:r>
      <w:r w:rsidRPr="00767FC2">
        <w:t xml:space="preserve"> of this Schedule, the uncertainty buffer cap for the project area</w:t>
      </w:r>
      <w:r w:rsidR="00EB4C3A" w:rsidRPr="00767FC2">
        <w:t xml:space="preserve"> for a </w:t>
      </w:r>
      <w:r w:rsidR="00834B77" w:rsidRPr="00767FC2">
        <w:t>calendar</w:t>
      </w:r>
      <w:r w:rsidR="00EB4C3A" w:rsidRPr="00767FC2">
        <w:t xml:space="preserve"> year</w:t>
      </w:r>
      <w:r w:rsidRPr="00767FC2">
        <w:t xml:space="preserve">, </w:t>
      </w:r>
      <w:proofErr w:type="spellStart"/>
      <w:r w:rsidRPr="00767FC2">
        <w:rPr>
          <w:i/>
        </w:rPr>
        <w:t>B</w:t>
      </w:r>
      <w:r w:rsidR="00EB4C3A" w:rsidRPr="00767FC2">
        <w:rPr>
          <w:i/>
          <w:vertAlign w:val="subscript"/>
        </w:rPr>
        <w:t>U</w:t>
      </w:r>
      <w:proofErr w:type="gramStart"/>
      <w:r w:rsidR="00EB4C3A" w:rsidRPr="00767FC2">
        <w:rPr>
          <w:i/>
          <w:vertAlign w:val="subscript"/>
        </w:rPr>
        <w:t>,</w:t>
      </w:r>
      <w:r w:rsidRPr="00767FC2">
        <w:rPr>
          <w:i/>
          <w:vertAlign w:val="subscript"/>
        </w:rPr>
        <w:t>Cap</w:t>
      </w:r>
      <w:proofErr w:type="spellEnd"/>
      <w:proofErr w:type="gramEnd"/>
      <w:r w:rsidRPr="00767FC2">
        <w:t>, in tonnes CO</w:t>
      </w:r>
      <w:r w:rsidRPr="00767FC2">
        <w:rPr>
          <w:vertAlign w:val="subscript"/>
        </w:rPr>
        <w:t>2</w:t>
      </w:r>
      <w:r w:rsidRPr="00767FC2">
        <w:noBreakHyphen/>
        <w:t>e, is given by the following equation:</w:t>
      </w:r>
    </w:p>
    <w:tbl>
      <w:tblPr>
        <w:tblStyle w:val="TableGrid"/>
        <w:tblW w:w="0" w:type="auto"/>
        <w:tblInd w:w="1134" w:type="dxa"/>
        <w:tblLook w:val="04A0" w:firstRow="1" w:lastRow="0" w:firstColumn="1" w:lastColumn="0" w:noHBand="0" w:noVBand="1"/>
      </w:tblPr>
      <w:tblGrid>
        <w:gridCol w:w="6516"/>
        <w:gridCol w:w="1366"/>
      </w:tblGrid>
      <w:tr w:rsidR="00767FC2" w:rsidRPr="00767FC2" w14:paraId="1924434D" w14:textId="77777777" w:rsidTr="00B653A0">
        <w:trPr>
          <w:trHeight w:val="1108"/>
        </w:trPr>
        <w:tc>
          <w:tcPr>
            <w:tcW w:w="6516" w:type="dxa"/>
            <w:vAlign w:val="center"/>
          </w:tcPr>
          <w:p w14:paraId="7150312D" w14:textId="77777777" w:rsidR="003D360F" w:rsidRPr="00767FC2" w:rsidRDefault="008928CA" w:rsidP="00B653A0">
            <m:oMathPara>
              <m:oMath>
                <m:sSub>
                  <m:sSubPr>
                    <m:ctrlPr>
                      <w:rPr>
                        <w:rFonts w:ascii="Cambria Math" w:eastAsiaTheme="minorHAnsi" w:hAnsi="Cambria Math" w:cstheme="minorBidi"/>
                        <w:i/>
                        <w:szCs w:val="22"/>
                      </w:rPr>
                    </m:ctrlPr>
                  </m:sSubPr>
                  <m:e>
                    <m:r>
                      <w:rPr>
                        <w:rFonts w:ascii="Cambria Math" w:hAnsi="Cambria Math"/>
                      </w:rPr>
                      <m:t>B</m:t>
                    </m:r>
                  </m:e>
                  <m:sub>
                    <m:r>
                      <w:rPr>
                        <w:rFonts w:ascii="Cambria Math" w:hAnsi="Cambria Math"/>
                      </w:rPr>
                      <m:t>U,Cap</m:t>
                    </m:r>
                  </m:sub>
                </m:sSub>
                <m:r>
                  <w:rPr>
                    <w:rFonts w:ascii="Cambria Math" w:hAnsi="Cambria Math"/>
                  </w:rPr>
                  <m:t xml:space="preserve">= </m:t>
                </m:r>
                <m:sSub>
                  <m:sSubPr>
                    <m:ctrlPr>
                      <w:rPr>
                        <w:rFonts w:ascii="Cambria Math" w:eastAsiaTheme="minorHAnsi" w:hAnsi="Cambria Math" w:cstheme="minorBidi"/>
                        <w:i/>
                        <w:szCs w:val="22"/>
                      </w:rPr>
                    </m:ctrlPr>
                  </m:sSubPr>
                  <m:e>
                    <m:f>
                      <m:fPr>
                        <m:ctrlPr>
                          <w:rPr>
                            <w:rFonts w:ascii="Cambria Math" w:eastAsiaTheme="minorHAnsi" w:hAnsi="Cambria Math" w:cstheme="minorBidi"/>
                            <w:i/>
                            <w:szCs w:val="22"/>
                          </w:rPr>
                        </m:ctrlPr>
                      </m:fPr>
                      <m:num>
                        <m:r>
                          <w:rPr>
                            <w:rFonts w:ascii="Cambria Math" w:eastAsiaTheme="minorHAnsi" w:hAnsi="Cambria Math" w:cstheme="minorBidi"/>
                            <w:szCs w:val="22"/>
                          </w:rPr>
                          <m:t>5</m:t>
                        </m:r>
                      </m:num>
                      <m:den>
                        <m:r>
                          <w:rPr>
                            <w:rFonts w:ascii="Cambria Math" w:eastAsiaTheme="minorHAnsi" w:hAnsi="Cambria Math" w:cstheme="minorBidi"/>
                            <w:szCs w:val="22"/>
                          </w:rPr>
                          <m:t>100</m:t>
                        </m:r>
                      </m:den>
                    </m:f>
                    <m:r>
                      <w:rPr>
                        <w:rFonts w:ascii="Cambria Math" w:eastAsiaTheme="minorHAnsi" w:hAnsi="Cambria Math" w:cstheme="minorBidi"/>
                        <w:szCs w:val="22"/>
                      </w:rPr>
                      <m:t>×</m:t>
                    </m:r>
                    <m:acc>
                      <m:accPr>
                        <m:chr m:val="̅"/>
                        <m:ctrlPr>
                          <w:rPr>
                            <w:rFonts w:ascii="Cambria Math" w:eastAsiaTheme="minorHAnsi" w:hAnsi="Cambria Math" w:cstheme="minorBidi"/>
                            <w:i/>
                            <w:szCs w:val="22"/>
                          </w:rPr>
                        </m:ctrlPr>
                      </m:accPr>
                      <m:e>
                        <m:r>
                          <w:rPr>
                            <w:rFonts w:ascii="Cambria Math" w:hAnsi="Cambria Math"/>
                          </w:rPr>
                          <m:t>E</m:t>
                        </m:r>
                      </m:e>
                    </m:acc>
                  </m:e>
                  <m:sub>
                    <m:r>
                      <w:rPr>
                        <w:rFonts w:ascii="Cambria Math" w:hAnsi="Cambria Math"/>
                      </w:rPr>
                      <m:t>B</m:t>
                    </m:r>
                  </m:sub>
                </m:sSub>
              </m:oMath>
            </m:oMathPara>
          </w:p>
        </w:tc>
        <w:tc>
          <w:tcPr>
            <w:tcW w:w="1366" w:type="dxa"/>
            <w:vAlign w:val="center"/>
          </w:tcPr>
          <w:p w14:paraId="2C7B8183" w14:textId="77777777" w:rsidR="003D360F" w:rsidRPr="00767FC2" w:rsidRDefault="003D360F" w:rsidP="00B653A0">
            <w:pPr>
              <w:pStyle w:val="Tabletext"/>
            </w:pPr>
            <w:bookmarkStart w:id="146" w:name="_Ref481399344"/>
            <w:r w:rsidRPr="00767FC2">
              <w:t xml:space="preserve">equation </w:t>
            </w:r>
            <w:r w:rsidR="00964086" w:rsidRPr="00767FC2">
              <w:rPr>
                <w:noProof/>
              </w:rPr>
              <w:t>3</w:t>
            </w:r>
            <w:bookmarkEnd w:id="146"/>
          </w:p>
        </w:tc>
      </w:tr>
    </w:tbl>
    <w:p w14:paraId="1F36AA1B" w14:textId="77777777" w:rsidR="003D360F" w:rsidRPr="00767FC2" w:rsidRDefault="003D360F" w:rsidP="003D360F">
      <w:pPr>
        <w:pStyle w:val="tMain"/>
      </w:pPr>
      <w:r w:rsidRPr="00767FC2">
        <w:tab/>
      </w:r>
      <w:r w:rsidRPr="00767FC2">
        <w:tab/>
      </w:r>
      <w:proofErr w:type="gramStart"/>
      <w:r w:rsidRPr="00767FC2">
        <w:t>where</w:t>
      </w:r>
      <w:proofErr w:type="gramEnd"/>
      <w:r w:rsidRPr="00767FC2">
        <w:t>:</w:t>
      </w:r>
    </w:p>
    <w:p w14:paraId="0F288C14" w14:textId="77777777" w:rsidR="003D360F" w:rsidRPr="00767FC2" w:rsidRDefault="008928CA" w:rsidP="003D360F">
      <w:pPr>
        <w:pStyle w:val="tDefn"/>
      </w:pPr>
      <m:oMath>
        <m:sSub>
          <m:sSubPr>
            <m:ctrlPr>
              <w:rPr>
                <w:rFonts w:ascii="Cambria Math" w:eastAsiaTheme="minorHAnsi" w:hAnsi="Cambria Math" w:cstheme="minorBidi"/>
                <w:b/>
                <w:i/>
                <w:szCs w:val="22"/>
                <w:lang w:eastAsia="en-US"/>
              </w:rPr>
            </m:ctrlPr>
          </m:sSubPr>
          <m:e>
            <m:acc>
              <m:accPr>
                <m:chr m:val="̅"/>
                <m:ctrlPr>
                  <w:rPr>
                    <w:rFonts w:ascii="Cambria Math" w:eastAsiaTheme="minorHAnsi" w:hAnsi="Cambria Math" w:cstheme="minorBidi"/>
                    <w:b/>
                    <w:i/>
                    <w:szCs w:val="22"/>
                    <w:lang w:eastAsia="en-US"/>
                  </w:rPr>
                </m:ctrlPr>
              </m:accPr>
              <m:e>
                <m:r>
                  <m:rPr>
                    <m:sty m:val="bi"/>
                  </m:rPr>
                  <w:rPr>
                    <w:rFonts w:ascii="Cambria Math" w:hAnsi="Cambria Math"/>
                  </w:rPr>
                  <m:t>E</m:t>
                </m:r>
              </m:e>
            </m:acc>
          </m:e>
          <m:sub>
            <m:r>
              <m:rPr>
                <m:sty m:val="bi"/>
              </m:rPr>
              <w:rPr>
                <w:rFonts w:ascii="Cambria Math" w:hAnsi="Cambria Math"/>
              </w:rPr>
              <m:t>B</m:t>
            </m:r>
          </m:sub>
        </m:sSub>
      </m:oMath>
      <w:r w:rsidR="003D360F" w:rsidRPr="00767FC2">
        <w:rPr>
          <w:b/>
        </w:rPr>
        <w:t xml:space="preserve"> </w:t>
      </w:r>
      <w:proofErr w:type="gramStart"/>
      <w:r w:rsidR="003D360F" w:rsidRPr="00767FC2">
        <w:t>is</w:t>
      </w:r>
      <w:proofErr w:type="gramEnd"/>
      <w:r w:rsidR="003D360F" w:rsidRPr="00767FC2">
        <w:rPr>
          <w:b/>
        </w:rPr>
        <w:t xml:space="preserve"> </w:t>
      </w:r>
      <w:r w:rsidR="003D360F" w:rsidRPr="00767FC2">
        <w:t>the</w:t>
      </w:r>
      <w:r w:rsidR="003D360F" w:rsidRPr="00767FC2">
        <w:rPr>
          <w:b/>
        </w:rPr>
        <w:t xml:space="preserve"> </w:t>
      </w:r>
      <w:r w:rsidR="003B1314" w:rsidRPr="00767FC2">
        <w:t xml:space="preserve">mean </w:t>
      </w:r>
      <w:r w:rsidR="003D360F" w:rsidRPr="00767FC2">
        <w:t>annual baseline fire emissions for the project area, in tonnes CO</w:t>
      </w:r>
      <w:r w:rsidR="003D360F" w:rsidRPr="00767FC2">
        <w:rPr>
          <w:vertAlign w:val="subscript"/>
        </w:rPr>
        <w:t>2</w:t>
      </w:r>
      <w:r w:rsidR="003D360F" w:rsidRPr="00767FC2">
        <w:noBreakHyphen/>
        <w:t xml:space="preserve">e—from </w:t>
      </w:r>
      <w:r w:rsidR="00964086" w:rsidRPr="00767FC2">
        <w:t xml:space="preserve">equation </w:t>
      </w:r>
      <w:r w:rsidR="00964086" w:rsidRPr="00767FC2">
        <w:rPr>
          <w:noProof/>
        </w:rPr>
        <w:t>4</w:t>
      </w:r>
      <w:r w:rsidR="003D360F" w:rsidRPr="00767FC2">
        <w:t>.</w:t>
      </w:r>
    </w:p>
    <w:p w14:paraId="21928C92" w14:textId="77777777" w:rsidR="003D360F" w:rsidRPr="00767FC2" w:rsidRDefault="001626C4" w:rsidP="003D360F">
      <w:pPr>
        <w:pStyle w:val="h5Section"/>
        <w:rPr>
          <w:i/>
        </w:rPr>
      </w:pPr>
      <w:bookmarkStart w:id="147" w:name="_Toc485640299"/>
      <w:bookmarkStart w:id="148" w:name="_Toc509567237"/>
      <w:proofErr w:type="gramStart"/>
      <w:r w:rsidRPr="00767FC2">
        <w:t>6</w:t>
      </w:r>
      <w:r w:rsidR="003D360F" w:rsidRPr="00767FC2">
        <w:t xml:space="preserve">  </w:t>
      </w:r>
      <w:r w:rsidR="003B1314" w:rsidRPr="00767FC2">
        <w:t>Mean</w:t>
      </w:r>
      <w:proofErr w:type="gramEnd"/>
      <w:r w:rsidR="003B1314" w:rsidRPr="00767FC2">
        <w:t xml:space="preserve"> </w:t>
      </w:r>
      <w:r w:rsidR="003D360F" w:rsidRPr="00767FC2">
        <w:t>annual baseline fire emissions</w:t>
      </w:r>
      <w:bookmarkEnd w:id="142"/>
      <w:bookmarkEnd w:id="143"/>
      <w:bookmarkEnd w:id="147"/>
      <w:bookmarkEnd w:id="148"/>
    </w:p>
    <w:p w14:paraId="0E278473" w14:textId="77777777" w:rsidR="003D360F" w:rsidRPr="00767FC2" w:rsidRDefault="003D360F" w:rsidP="003D360F">
      <w:pPr>
        <w:pStyle w:val="tMain"/>
        <w:spacing w:after="120"/>
      </w:pPr>
      <w:r w:rsidRPr="00767FC2">
        <w:tab/>
      </w:r>
      <w:r w:rsidRPr="00767FC2">
        <w:tab/>
        <w:t xml:space="preserve">For </w:t>
      </w:r>
      <w:r w:rsidRPr="00767FC2">
        <w:rPr>
          <w:szCs w:val="22"/>
          <w:lang w:eastAsia="en-US"/>
        </w:rPr>
        <w:t>sections</w:t>
      </w:r>
      <w:r w:rsidRPr="00767FC2">
        <w:rPr>
          <w:b/>
          <w:szCs w:val="22"/>
          <w:lang w:eastAsia="en-US"/>
        </w:rPr>
        <w:t> </w:t>
      </w:r>
      <w:r w:rsidR="00964086" w:rsidRPr="00767FC2">
        <w:t>4</w:t>
      </w:r>
      <w:r w:rsidRPr="00767FC2">
        <w:t xml:space="preserve"> and </w:t>
      </w:r>
      <w:r w:rsidR="00964086" w:rsidRPr="00767FC2">
        <w:t>5</w:t>
      </w:r>
      <w:r w:rsidRPr="00767FC2">
        <w:t xml:space="preserve"> of this Schedule, the </w:t>
      </w:r>
      <w:r w:rsidR="003B1314" w:rsidRPr="00767FC2">
        <w:t xml:space="preserve">mean </w:t>
      </w:r>
      <w:r w:rsidRPr="00767FC2">
        <w:t>annual baseline fire emissions</w:t>
      </w:r>
      <w:proofErr w:type="gramStart"/>
      <w:r w:rsidRPr="00767FC2">
        <w:t xml:space="preserve">, </w:t>
      </w:r>
      <w:proofErr w:type="gramEnd"/>
      <m:oMath>
        <m:sSub>
          <m:sSubPr>
            <m:ctrlPr>
              <w:rPr>
                <w:rFonts w:ascii="Cambria Math" w:eastAsiaTheme="minorHAnsi" w:hAnsi="Cambria Math" w:cstheme="minorBidi"/>
                <w:i/>
                <w:szCs w:val="22"/>
                <w:lang w:eastAsia="en-US"/>
              </w:rPr>
            </m:ctrlPr>
          </m:sSubPr>
          <m:e>
            <m:acc>
              <m:accPr>
                <m:chr m:val="̅"/>
                <m:ctrlPr>
                  <w:rPr>
                    <w:rFonts w:ascii="Cambria Math" w:eastAsiaTheme="minorHAnsi" w:hAnsi="Cambria Math" w:cstheme="minorBidi"/>
                    <w:i/>
                    <w:szCs w:val="22"/>
                    <w:lang w:eastAsia="en-US"/>
                  </w:rPr>
                </m:ctrlPr>
              </m:accPr>
              <m:e>
                <m:r>
                  <w:rPr>
                    <w:rFonts w:ascii="Cambria Math" w:hAnsi="Cambria Math"/>
                  </w:rPr>
                  <m:t>E</m:t>
                </m:r>
              </m:e>
            </m:acc>
          </m:e>
          <m:sub>
            <m:r>
              <w:rPr>
                <w:rFonts w:ascii="Cambria Math" w:hAnsi="Cambria Math"/>
              </w:rPr>
              <m:t>B</m:t>
            </m:r>
          </m:sub>
        </m:sSub>
      </m:oMath>
      <w:r w:rsidRPr="00767FC2">
        <w:t>, is given by the following equation:</w:t>
      </w:r>
    </w:p>
    <w:tbl>
      <w:tblPr>
        <w:tblStyle w:val="TableGrid"/>
        <w:tblW w:w="0" w:type="auto"/>
        <w:tblInd w:w="1247" w:type="dxa"/>
        <w:tblLook w:val="04A0" w:firstRow="1" w:lastRow="0" w:firstColumn="1" w:lastColumn="0" w:noHBand="0" w:noVBand="1"/>
      </w:tblPr>
      <w:tblGrid>
        <w:gridCol w:w="6412"/>
        <w:gridCol w:w="1357"/>
      </w:tblGrid>
      <w:tr w:rsidR="00767FC2" w:rsidRPr="00767FC2" w14:paraId="46F0E41D" w14:textId="77777777" w:rsidTr="00B653A0">
        <w:trPr>
          <w:trHeight w:val="1108"/>
        </w:trPr>
        <w:tc>
          <w:tcPr>
            <w:tcW w:w="6412" w:type="dxa"/>
            <w:vAlign w:val="center"/>
          </w:tcPr>
          <w:p w14:paraId="1D10E73A" w14:textId="77777777" w:rsidR="003D360F" w:rsidRPr="00767FC2" w:rsidRDefault="003D360F" w:rsidP="00B653A0">
            <m:oMathPara>
              <m:oMath>
                <m:r>
                  <w:rPr>
                    <w:rFonts w:ascii="Cambria Math" w:hAnsi="Cambria Math"/>
                  </w:rPr>
                  <m:t xml:space="preserve"> </m:t>
                </m:r>
                <m:sSub>
                  <m:sSubPr>
                    <m:ctrlPr>
                      <w:rPr>
                        <w:rFonts w:ascii="Cambria Math" w:eastAsiaTheme="minorHAnsi" w:hAnsi="Cambria Math" w:cstheme="minorBidi"/>
                        <w:i/>
                        <w:szCs w:val="22"/>
                      </w:rPr>
                    </m:ctrlPr>
                  </m:sSubPr>
                  <m:e>
                    <m:acc>
                      <m:accPr>
                        <m:chr m:val="̅"/>
                        <m:ctrlPr>
                          <w:rPr>
                            <w:rFonts w:ascii="Cambria Math" w:eastAsiaTheme="minorHAnsi" w:hAnsi="Cambria Math" w:cstheme="minorBidi"/>
                            <w:i/>
                            <w:szCs w:val="22"/>
                          </w:rPr>
                        </m:ctrlPr>
                      </m:accPr>
                      <m:e>
                        <m:r>
                          <w:rPr>
                            <w:rFonts w:ascii="Cambria Math" w:hAnsi="Cambria Math"/>
                          </w:rPr>
                          <m:t>E</m:t>
                        </m:r>
                      </m:e>
                    </m:acc>
                  </m:e>
                  <m:sub>
                    <m:r>
                      <w:rPr>
                        <w:rFonts w:ascii="Cambria Math" w:hAnsi="Cambria Math"/>
                      </w:rPr>
                      <m:t>B</m:t>
                    </m:r>
                  </m:sub>
                </m:sSub>
                <m:r>
                  <w:rPr>
                    <w:rFonts w:ascii="Cambria Math" w:eastAsiaTheme="minorHAnsi" w:hAnsi="Cambria Math" w:cstheme="minorBidi"/>
                    <w:szCs w:val="22"/>
                  </w:rPr>
                  <m:t>=</m:t>
                </m:r>
                <m:f>
                  <m:fPr>
                    <m:ctrlPr>
                      <w:rPr>
                        <w:rFonts w:ascii="Cambria Math" w:eastAsiaTheme="minorHAnsi" w:hAnsi="Cambria Math" w:cstheme="minorBidi"/>
                        <w:i/>
                        <w:szCs w:val="22"/>
                      </w:rPr>
                    </m:ctrlPr>
                  </m:fPr>
                  <m:num>
                    <m:r>
                      <w:rPr>
                        <w:rFonts w:ascii="Cambria Math" w:eastAsiaTheme="minorHAnsi" w:hAnsi="Cambria Math" w:cstheme="minorBidi"/>
                        <w:szCs w:val="22"/>
                      </w:rPr>
                      <m:t>1</m:t>
                    </m:r>
                  </m:num>
                  <m:den>
                    <m:sSub>
                      <m:sSubPr>
                        <m:ctrlPr>
                          <w:rPr>
                            <w:rFonts w:ascii="Cambria Math" w:eastAsiaTheme="minorHAnsi" w:hAnsi="Cambria Math" w:cstheme="minorBidi"/>
                            <w:i/>
                            <w:szCs w:val="22"/>
                          </w:rPr>
                        </m:ctrlPr>
                      </m:sSubPr>
                      <m:e>
                        <m:r>
                          <w:rPr>
                            <w:rFonts w:ascii="Cambria Math" w:eastAsiaTheme="minorHAnsi" w:hAnsi="Cambria Math" w:cstheme="minorBidi"/>
                            <w:szCs w:val="22"/>
                          </w:rPr>
                          <m:t>Y</m:t>
                        </m:r>
                      </m:e>
                      <m:sub>
                        <m:r>
                          <w:rPr>
                            <w:rFonts w:ascii="Cambria Math" w:eastAsiaTheme="minorHAnsi" w:hAnsi="Cambria Math" w:cstheme="minorBidi"/>
                            <w:szCs w:val="22"/>
                          </w:rPr>
                          <m:t>B</m:t>
                        </m:r>
                      </m:sub>
                    </m:sSub>
                  </m:den>
                </m:f>
                <m:r>
                  <w:rPr>
                    <w:rFonts w:ascii="Cambria Math" w:eastAsiaTheme="minorHAnsi" w:hAnsi="Cambria Math" w:cstheme="minorBidi"/>
                    <w:szCs w:val="22"/>
                  </w:rPr>
                  <m:t>×</m:t>
                </m:r>
                <m:nary>
                  <m:naryPr>
                    <m:chr m:val="∑"/>
                    <m:limLoc m:val="undOvr"/>
                    <m:ctrlPr>
                      <w:rPr>
                        <w:rFonts w:ascii="Cambria Math" w:eastAsiaTheme="minorHAnsi" w:hAnsi="Cambria Math" w:cstheme="minorBidi"/>
                        <w:i/>
                        <w:szCs w:val="22"/>
                      </w:rPr>
                    </m:ctrlPr>
                  </m:naryPr>
                  <m:sub>
                    <m:r>
                      <w:rPr>
                        <w:rFonts w:ascii="Cambria Math" w:eastAsiaTheme="minorHAnsi" w:hAnsi="Cambria Math" w:cstheme="minorBidi"/>
                        <w:szCs w:val="22"/>
                      </w:rPr>
                      <m:t>y=1</m:t>
                    </m:r>
                  </m:sub>
                  <m:sup>
                    <m:sSub>
                      <m:sSubPr>
                        <m:ctrlPr>
                          <w:rPr>
                            <w:rFonts w:ascii="Cambria Math" w:eastAsiaTheme="minorHAnsi" w:hAnsi="Cambria Math" w:cstheme="minorBidi"/>
                            <w:i/>
                            <w:szCs w:val="22"/>
                          </w:rPr>
                        </m:ctrlPr>
                      </m:sSubPr>
                      <m:e>
                        <m:r>
                          <w:rPr>
                            <w:rFonts w:ascii="Cambria Math" w:eastAsiaTheme="minorHAnsi" w:hAnsi="Cambria Math" w:cstheme="minorBidi"/>
                            <w:szCs w:val="22"/>
                          </w:rPr>
                          <m:t>Y</m:t>
                        </m:r>
                      </m:e>
                      <m:sub>
                        <m:r>
                          <w:rPr>
                            <w:rFonts w:ascii="Cambria Math" w:eastAsiaTheme="minorHAnsi" w:hAnsi="Cambria Math" w:cstheme="minorBidi"/>
                            <w:szCs w:val="22"/>
                          </w:rPr>
                          <m:t>B</m:t>
                        </m:r>
                      </m:sub>
                    </m:sSub>
                  </m:sup>
                  <m:e>
                    <m:sSub>
                      <m:sSubPr>
                        <m:ctrlPr>
                          <w:rPr>
                            <w:rFonts w:ascii="Cambria Math" w:eastAsiaTheme="minorHAnsi" w:hAnsi="Cambria Math" w:cstheme="minorBidi"/>
                            <w:i/>
                            <w:szCs w:val="22"/>
                          </w:rPr>
                        </m:ctrlPr>
                      </m:sSubPr>
                      <m:e>
                        <m:r>
                          <w:rPr>
                            <w:rFonts w:ascii="Cambria Math" w:eastAsiaTheme="minorHAnsi" w:hAnsi="Cambria Math" w:cstheme="minorBidi"/>
                            <w:szCs w:val="22"/>
                          </w:rPr>
                          <m:t>E</m:t>
                        </m:r>
                      </m:e>
                      <m:sub>
                        <m:r>
                          <w:rPr>
                            <w:rFonts w:ascii="Cambria Math" w:eastAsiaTheme="minorHAnsi" w:hAnsi="Cambria Math" w:cstheme="minorBidi"/>
                            <w:szCs w:val="22"/>
                          </w:rPr>
                          <m:t>F,y</m:t>
                        </m:r>
                      </m:sub>
                    </m:sSub>
                  </m:e>
                </m:nary>
              </m:oMath>
            </m:oMathPara>
          </w:p>
        </w:tc>
        <w:tc>
          <w:tcPr>
            <w:tcW w:w="1357" w:type="dxa"/>
            <w:vAlign w:val="center"/>
          </w:tcPr>
          <w:p w14:paraId="2C835F6F" w14:textId="77777777" w:rsidR="003D360F" w:rsidRPr="00767FC2" w:rsidRDefault="003D360F" w:rsidP="00B653A0">
            <w:pPr>
              <w:pStyle w:val="Tabletext"/>
            </w:pPr>
            <w:bookmarkStart w:id="149" w:name="_Ref441670518"/>
            <w:r w:rsidRPr="00767FC2">
              <w:t xml:space="preserve">equation </w:t>
            </w:r>
            <w:r w:rsidR="00964086" w:rsidRPr="00767FC2">
              <w:rPr>
                <w:noProof/>
              </w:rPr>
              <w:t>4</w:t>
            </w:r>
            <w:bookmarkEnd w:id="149"/>
          </w:p>
        </w:tc>
      </w:tr>
    </w:tbl>
    <w:p w14:paraId="226C0E9E" w14:textId="77777777" w:rsidR="003D360F" w:rsidRPr="00767FC2" w:rsidRDefault="003D360F" w:rsidP="003D360F">
      <w:pPr>
        <w:pStyle w:val="tMain"/>
      </w:pPr>
      <w:r w:rsidRPr="00767FC2">
        <w:tab/>
      </w:r>
      <w:r w:rsidRPr="00767FC2">
        <w:tab/>
      </w:r>
      <w:proofErr w:type="gramStart"/>
      <w:r w:rsidRPr="00767FC2">
        <w:t>where</w:t>
      </w:r>
      <w:proofErr w:type="gramEnd"/>
      <w:r w:rsidRPr="00767FC2">
        <w:t>:</w:t>
      </w:r>
    </w:p>
    <w:p w14:paraId="26799453" w14:textId="77777777" w:rsidR="003D360F" w:rsidRPr="00767FC2" w:rsidRDefault="003D360F" w:rsidP="003D360F">
      <w:pPr>
        <w:pStyle w:val="tDefn"/>
      </w:pPr>
      <w:r w:rsidRPr="00767FC2">
        <w:rPr>
          <w:b/>
          <w:i/>
        </w:rPr>
        <w:t>Y</w:t>
      </w:r>
      <w:r w:rsidRPr="00767FC2">
        <w:rPr>
          <w:b/>
          <w:i/>
          <w:vertAlign w:val="subscript"/>
        </w:rPr>
        <w:t>B</w:t>
      </w:r>
      <w:r w:rsidRPr="00767FC2">
        <w:t xml:space="preserve"> is the number of years in the baseline period for the project area (either 10 or 15).</w:t>
      </w:r>
    </w:p>
    <w:p w14:paraId="213BEE39" w14:textId="77777777" w:rsidR="003D360F" w:rsidRPr="00767FC2" w:rsidRDefault="003D360F" w:rsidP="003D360F">
      <w:pPr>
        <w:pStyle w:val="tDefn"/>
      </w:pPr>
      <w:proofErr w:type="gramStart"/>
      <w:r w:rsidRPr="00767FC2">
        <w:rPr>
          <w:b/>
          <w:i/>
        </w:rPr>
        <w:lastRenderedPageBreak/>
        <w:t>y</w:t>
      </w:r>
      <w:proofErr w:type="gramEnd"/>
      <w:r w:rsidRPr="00767FC2">
        <w:rPr>
          <w:b/>
          <w:i/>
        </w:rPr>
        <w:t xml:space="preserve"> </w:t>
      </w:r>
      <w:r w:rsidRPr="00767FC2">
        <w:t>is a calendar year of the baseline period.</w:t>
      </w:r>
    </w:p>
    <w:p w14:paraId="132ED1C8" w14:textId="77777777" w:rsidR="003D360F" w:rsidRPr="00767FC2" w:rsidRDefault="00EB4C3A" w:rsidP="003D360F">
      <w:pPr>
        <w:pStyle w:val="tDefn"/>
      </w:pPr>
      <w:proofErr w:type="spellStart"/>
      <w:r w:rsidRPr="00767FC2">
        <w:rPr>
          <w:b/>
          <w:i/>
        </w:rPr>
        <w:t>E</w:t>
      </w:r>
      <w:r w:rsidRPr="00767FC2">
        <w:rPr>
          <w:b/>
          <w:i/>
          <w:vertAlign w:val="subscript"/>
        </w:rPr>
        <w:t>F</w:t>
      </w:r>
      <w:proofErr w:type="gramStart"/>
      <w:r w:rsidRPr="00767FC2">
        <w:rPr>
          <w:b/>
          <w:i/>
          <w:vertAlign w:val="subscript"/>
        </w:rPr>
        <w:t>,y</w:t>
      </w:r>
      <w:proofErr w:type="spellEnd"/>
      <w:proofErr w:type="gramEnd"/>
      <w:r w:rsidRPr="00767FC2">
        <w:rPr>
          <w:b/>
          <w:i/>
        </w:rPr>
        <w:t xml:space="preserve"> </w:t>
      </w:r>
      <w:r w:rsidR="003D360F" w:rsidRPr="00767FC2">
        <w:t>is the fire emissions for the project area</w:t>
      </w:r>
      <w:r w:rsidRPr="00767FC2">
        <w:t xml:space="preserve"> for calendar year </w:t>
      </w:r>
      <w:r w:rsidRPr="00767FC2">
        <w:rPr>
          <w:i/>
        </w:rPr>
        <w:t>y</w:t>
      </w:r>
      <w:r w:rsidR="003D360F" w:rsidRPr="00767FC2">
        <w:t>, in tonnes CO</w:t>
      </w:r>
      <w:r w:rsidR="003D360F" w:rsidRPr="00767FC2">
        <w:rPr>
          <w:vertAlign w:val="subscript"/>
        </w:rPr>
        <w:t>2</w:t>
      </w:r>
      <w:r w:rsidR="003D360F" w:rsidRPr="00767FC2">
        <w:noBreakHyphen/>
        <w:t xml:space="preserve">e—calculated as </w:t>
      </w:r>
      <w:r w:rsidR="003D360F" w:rsidRPr="00767FC2">
        <w:rPr>
          <w:b/>
          <w:i/>
        </w:rPr>
        <w:t>E</w:t>
      </w:r>
      <w:r w:rsidR="003D360F" w:rsidRPr="00767FC2">
        <w:rPr>
          <w:b/>
          <w:i/>
          <w:vertAlign w:val="subscript"/>
        </w:rPr>
        <w:t>F</w:t>
      </w:r>
      <w:r w:rsidR="003D360F" w:rsidRPr="00767FC2">
        <w:rPr>
          <w:b/>
          <w:i/>
        </w:rPr>
        <w:t xml:space="preserve"> </w:t>
      </w:r>
      <w:r w:rsidR="003D360F" w:rsidRPr="00767FC2">
        <w:t xml:space="preserve">for that year using </w:t>
      </w:r>
      <w:r w:rsidR="00964086" w:rsidRPr="00767FC2">
        <w:t xml:space="preserve">equation </w:t>
      </w:r>
      <w:r w:rsidR="00964086" w:rsidRPr="00767FC2">
        <w:rPr>
          <w:noProof/>
        </w:rPr>
        <w:t>5</w:t>
      </w:r>
      <w:r w:rsidR="003D360F" w:rsidRPr="00767FC2">
        <w:t>.</w:t>
      </w:r>
    </w:p>
    <w:p w14:paraId="0632ADAB" w14:textId="77777777" w:rsidR="003D360F" w:rsidRPr="00767FC2" w:rsidRDefault="001626C4" w:rsidP="003D360F">
      <w:pPr>
        <w:pStyle w:val="h5Section"/>
        <w:rPr>
          <w:i/>
          <w:vertAlign w:val="subscript"/>
        </w:rPr>
      </w:pPr>
      <w:bookmarkStart w:id="150" w:name="_Toc405377066"/>
      <w:bookmarkStart w:id="151" w:name="_Toc409184196"/>
      <w:bookmarkStart w:id="152" w:name="_Toc413155597"/>
      <w:bookmarkStart w:id="153" w:name="_Toc485640300"/>
      <w:bookmarkStart w:id="154" w:name="_Toc509567238"/>
      <w:proofErr w:type="gramStart"/>
      <w:r w:rsidRPr="00767FC2">
        <w:t>7</w:t>
      </w:r>
      <w:r w:rsidR="003D360F" w:rsidRPr="00767FC2">
        <w:t xml:space="preserve">  Fire</w:t>
      </w:r>
      <w:proofErr w:type="gramEnd"/>
      <w:r w:rsidR="003D360F" w:rsidRPr="00767FC2">
        <w:t xml:space="preserve"> emissions</w:t>
      </w:r>
      <w:bookmarkEnd w:id="150"/>
      <w:bookmarkEnd w:id="151"/>
      <w:bookmarkEnd w:id="152"/>
      <w:r w:rsidR="003D360F" w:rsidRPr="00767FC2">
        <w:t xml:space="preserve"> for a calendar year, </w:t>
      </w:r>
      <w:r w:rsidR="003D360F" w:rsidRPr="00767FC2">
        <w:rPr>
          <w:i/>
        </w:rPr>
        <w:t>E</w:t>
      </w:r>
      <w:r w:rsidR="003D360F" w:rsidRPr="00767FC2">
        <w:rPr>
          <w:i/>
          <w:vertAlign w:val="subscript"/>
        </w:rPr>
        <w:t>F</w:t>
      </w:r>
      <w:bookmarkEnd w:id="153"/>
      <w:bookmarkEnd w:id="154"/>
    </w:p>
    <w:p w14:paraId="613D1B96" w14:textId="77777777" w:rsidR="003D360F" w:rsidRPr="00767FC2" w:rsidRDefault="003D360F" w:rsidP="003D360F">
      <w:pPr>
        <w:pStyle w:val="h6Subsec"/>
      </w:pPr>
      <w:r w:rsidRPr="00767FC2">
        <w:t>Fire emissions</w:t>
      </w:r>
    </w:p>
    <w:p w14:paraId="0058389D" w14:textId="77777777" w:rsidR="003D360F" w:rsidRPr="00767FC2" w:rsidRDefault="003D360F" w:rsidP="003D360F">
      <w:pPr>
        <w:pStyle w:val="tMain"/>
        <w:spacing w:after="120"/>
      </w:pPr>
      <w:r w:rsidRPr="00767FC2">
        <w:tab/>
      </w:r>
      <w:r w:rsidR="001626C4" w:rsidRPr="00767FC2">
        <w:t>(1)</w:t>
      </w:r>
      <w:r w:rsidRPr="00767FC2">
        <w:tab/>
        <w:t xml:space="preserve">For the definitions of </w:t>
      </w:r>
      <w:r w:rsidRPr="00767FC2">
        <w:rPr>
          <w:i/>
        </w:rPr>
        <w:t>E</w:t>
      </w:r>
      <w:r w:rsidRPr="00767FC2">
        <w:rPr>
          <w:i/>
          <w:vertAlign w:val="subscript"/>
        </w:rPr>
        <w:t>F</w:t>
      </w:r>
      <w:r w:rsidRPr="00767FC2">
        <w:t xml:space="preserve"> in section </w:t>
      </w:r>
      <w:r w:rsidR="00964086" w:rsidRPr="00767FC2">
        <w:t>4</w:t>
      </w:r>
      <w:r w:rsidRPr="00767FC2">
        <w:t xml:space="preserve"> of this Schedule and </w:t>
      </w:r>
      <w:proofErr w:type="spellStart"/>
      <w:r w:rsidRPr="00767FC2">
        <w:rPr>
          <w:i/>
        </w:rPr>
        <w:t>E</w:t>
      </w:r>
      <w:r w:rsidRPr="00767FC2">
        <w:rPr>
          <w:i/>
          <w:vertAlign w:val="subscript"/>
        </w:rPr>
        <w:t>F</w:t>
      </w:r>
      <w:proofErr w:type="gramStart"/>
      <w:r w:rsidRPr="00767FC2">
        <w:rPr>
          <w:i/>
          <w:vertAlign w:val="subscript"/>
        </w:rPr>
        <w:t>,y</w:t>
      </w:r>
      <w:proofErr w:type="spellEnd"/>
      <w:proofErr w:type="gramEnd"/>
      <w:r w:rsidRPr="00767FC2">
        <w:t xml:space="preserve"> in section </w:t>
      </w:r>
      <w:r w:rsidR="00964086" w:rsidRPr="00767FC2">
        <w:t>6</w:t>
      </w:r>
      <w:r w:rsidRPr="00767FC2">
        <w:t xml:space="preserve"> of this Schedule, </w:t>
      </w:r>
      <w:r w:rsidR="00EB4C3A" w:rsidRPr="00767FC2">
        <w:t xml:space="preserve">the fire emissions for a project area in a particular calendar year is given by the following </w:t>
      </w:r>
      <w:r w:rsidRPr="00767FC2">
        <w:t>equation:</w:t>
      </w:r>
    </w:p>
    <w:tbl>
      <w:tblPr>
        <w:tblStyle w:val="TableGrid"/>
        <w:tblW w:w="0" w:type="auto"/>
        <w:tblInd w:w="1134" w:type="dxa"/>
        <w:tblLook w:val="04A0" w:firstRow="1" w:lastRow="0" w:firstColumn="1" w:lastColumn="0" w:noHBand="0" w:noVBand="1"/>
      </w:tblPr>
      <w:tblGrid>
        <w:gridCol w:w="6516"/>
        <w:gridCol w:w="1366"/>
      </w:tblGrid>
      <w:tr w:rsidR="00767FC2" w:rsidRPr="00767FC2" w14:paraId="77385C3B" w14:textId="77777777" w:rsidTr="00B653A0">
        <w:trPr>
          <w:trHeight w:val="1108"/>
        </w:trPr>
        <w:tc>
          <w:tcPr>
            <w:tcW w:w="6516" w:type="dxa"/>
            <w:vAlign w:val="center"/>
          </w:tcPr>
          <w:p w14:paraId="5380A0D2" w14:textId="77777777" w:rsidR="003D360F" w:rsidRPr="00767FC2" w:rsidRDefault="008928CA" w:rsidP="00B653A0">
            <m:oMathPara>
              <m:oMath>
                <m:sSub>
                  <m:sSubPr>
                    <m:ctrlPr>
                      <w:rPr>
                        <w:rFonts w:ascii="Cambria Math" w:eastAsiaTheme="minorHAnsi" w:hAnsi="Cambria Math" w:cstheme="minorBidi"/>
                        <w:i/>
                        <w:szCs w:val="22"/>
                      </w:rPr>
                    </m:ctrlPr>
                  </m:sSubPr>
                  <m:e>
                    <m:r>
                      <w:rPr>
                        <w:rFonts w:ascii="Cambria Math" w:hAnsi="Cambria Math"/>
                      </w:rPr>
                      <m:t>E</m:t>
                    </m:r>
                  </m:e>
                  <m:sub>
                    <m:r>
                      <w:rPr>
                        <w:rFonts w:ascii="Cambria Math" w:hAnsi="Cambria Math"/>
                      </w:rPr>
                      <m:t>F</m:t>
                    </m:r>
                  </m:sub>
                </m:sSub>
                <m:r>
                  <w:rPr>
                    <w:rFonts w:ascii="Cambria Math" w:hAnsi="Cambria Math"/>
                  </w:rPr>
                  <m:t xml:space="preserve">= </m:t>
                </m:r>
                <m:nary>
                  <m:naryPr>
                    <m:chr m:val="∑"/>
                    <m:limLoc m:val="undOvr"/>
                    <m:supHide m:val="1"/>
                    <m:ctrlPr>
                      <w:rPr>
                        <w:rFonts w:ascii="Cambria Math" w:eastAsiaTheme="minorHAnsi" w:hAnsi="Cambria Math" w:cstheme="minorBidi"/>
                        <w:i/>
                        <w:szCs w:val="22"/>
                      </w:rPr>
                    </m:ctrlPr>
                  </m:naryPr>
                  <m:sub>
                    <m:r>
                      <w:rPr>
                        <w:rFonts w:ascii="Cambria Math" w:hAnsi="Cambria Math"/>
                      </w:rPr>
                      <m:t>v</m:t>
                    </m:r>
                  </m:sub>
                  <m:sup/>
                  <m:e>
                    <m:nary>
                      <m:naryPr>
                        <m:chr m:val="∑"/>
                        <m:limLoc m:val="undOvr"/>
                        <m:supHide m:val="1"/>
                        <m:ctrlPr>
                          <w:rPr>
                            <w:rFonts w:ascii="Cambria Math" w:hAnsi="Cambria Math"/>
                            <w:i/>
                          </w:rPr>
                        </m:ctrlPr>
                      </m:naryPr>
                      <m:sub>
                        <m:r>
                          <w:rPr>
                            <w:rFonts w:ascii="Cambria Math" w:hAnsi="Cambria Math"/>
                          </w:rPr>
                          <m:t>s</m:t>
                        </m:r>
                      </m:sub>
                      <m:sup/>
                      <m:e>
                        <m:d>
                          <m:dPr>
                            <m:ctrlPr>
                              <w:rPr>
                                <w:rFonts w:ascii="Cambria Math" w:eastAsiaTheme="minorHAnsi" w:hAnsi="Cambria Math" w:cstheme="minorBidi"/>
                                <w:i/>
                                <w:szCs w:val="22"/>
                              </w:rPr>
                            </m:ctrlPr>
                          </m:dPr>
                          <m:e>
                            <m:sSub>
                              <m:sSubPr>
                                <m:ctrlPr>
                                  <w:rPr>
                                    <w:rFonts w:ascii="Cambria Math" w:eastAsiaTheme="minorHAnsi" w:hAnsi="Cambria Math" w:cstheme="minorBidi"/>
                                    <w:i/>
                                    <w:szCs w:val="22"/>
                                  </w:rPr>
                                </m:ctrlPr>
                              </m:sSubPr>
                              <m:e>
                                <m:r>
                                  <w:rPr>
                                    <w:rFonts w:ascii="Cambria Math" w:hAnsi="Cambria Math"/>
                                  </w:rPr>
                                  <m:t>CE</m:t>
                                </m:r>
                              </m:e>
                              <m:sub>
                                <m:r>
                                  <w:rPr>
                                    <w:rFonts w:ascii="Cambria Math" w:hAnsi="Cambria Math"/>
                                  </w:rPr>
                                  <m:t>v,s</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FS,v,s</m:t>
                                </m:r>
                              </m:sub>
                            </m:sSub>
                            <m:r>
                              <w:rPr>
                                <w:rFonts w:ascii="Cambria Math" w:hAnsi="Cambria Math"/>
                                <w:szCs w:val="22"/>
                              </w:rPr>
                              <m:t>×</m:t>
                            </m:r>
                            <m:sSub>
                              <m:sSubPr>
                                <m:ctrlPr>
                                  <w:rPr>
                                    <w:rFonts w:ascii="Cambria Math" w:hAnsi="Cambria Math"/>
                                    <w:i/>
                                    <w:szCs w:val="22"/>
                                  </w:rPr>
                                </m:ctrlPr>
                              </m:sSubPr>
                              <m:e>
                                <m:r>
                                  <w:rPr>
                                    <w:rFonts w:ascii="Cambria Math" w:hAnsi="Cambria Math"/>
                                    <w:szCs w:val="22"/>
                                  </w:rPr>
                                  <m:t>P</m:t>
                                </m:r>
                              </m:e>
                              <m:sub>
                                <m:r>
                                  <w:rPr>
                                    <w:rFonts w:ascii="Cambria Math" w:hAnsi="Cambria Math"/>
                                    <w:szCs w:val="22"/>
                                  </w:rPr>
                                  <m:t>s</m:t>
                                </m:r>
                              </m:sub>
                            </m:sSub>
                          </m:e>
                        </m:d>
                      </m:e>
                    </m:nary>
                  </m:e>
                </m:nary>
              </m:oMath>
            </m:oMathPara>
          </w:p>
        </w:tc>
        <w:tc>
          <w:tcPr>
            <w:tcW w:w="1366" w:type="dxa"/>
            <w:vAlign w:val="center"/>
          </w:tcPr>
          <w:p w14:paraId="08A68491" w14:textId="77777777" w:rsidR="003D360F" w:rsidRPr="00767FC2" w:rsidRDefault="003D360F" w:rsidP="00B653A0">
            <w:pPr>
              <w:pStyle w:val="Tabletext"/>
            </w:pPr>
            <w:bookmarkStart w:id="155" w:name="_Ref441671454"/>
            <w:r w:rsidRPr="00767FC2">
              <w:t xml:space="preserve">equation </w:t>
            </w:r>
            <w:r w:rsidR="00964086" w:rsidRPr="00767FC2">
              <w:rPr>
                <w:noProof/>
              </w:rPr>
              <w:t>5</w:t>
            </w:r>
            <w:bookmarkEnd w:id="155"/>
          </w:p>
        </w:tc>
      </w:tr>
    </w:tbl>
    <w:p w14:paraId="48372E0E" w14:textId="77777777" w:rsidR="003D360F" w:rsidRPr="00767FC2" w:rsidRDefault="003D360F" w:rsidP="003D360F">
      <w:pPr>
        <w:pStyle w:val="tMain"/>
      </w:pPr>
      <w:r w:rsidRPr="00767FC2">
        <w:tab/>
      </w:r>
      <w:r w:rsidRPr="00767FC2">
        <w:tab/>
      </w:r>
      <w:proofErr w:type="gramStart"/>
      <w:r w:rsidRPr="00767FC2">
        <w:t>where</w:t>
      </w:r>
      <w:proofErr w:type="gramEnd"/>
      <w:r w:rsidRPr="00767FC2">
        <w:t>:</w:t>
      </w:r>
    </w:p>
    <w:p w14:paraId="07EEBB36" w14:textId="77777777" w:rsidR="003D360F" w:rsidRPr="00767FC2" w:rsidRDefault="003D360F" w:rsidP="003D360F">
      <w:pPr>
        <w:pStyle w:val="tDefn"/>
      </w:pPr>
      <w:bookmarkStart w:id="156" w:name="_Toc405377073"/>
      <w:bookmarkStart w:id="157" w:name="_Toc409184203"/>
      <w:bookmarkStart w:id="158" w:name="_Toc413155599"/>
      <w:proofErr w:type="gramStart"/>
      <w:r w:rsidRPr="00767FC2">
        <w:rPr>
          <w:b/>
          <w:i/>
        </w:rPr>
        <w:t>v</w:t>
      </w:r>
      <w:proofErr w:type="gramEnd"/>
      <w:r w:rsidRPr="00767FC2">
        <w:rPr>
          <w:b/>
          <w:i/>
        </w:rPr>
        <w:t xml:space="preserve"> </w:t>
      </w:r>
      <w:r w:rsidRPr="00767FC2">
        <w:t>is a</w:t>
      </w:r>
      <w:r w:rsidRPr="00767FC2">
        <w:rPr>
          <w:b/>
        </w:rPr>
        <w:t xml:space="preserve"> </w:t>
      </w:r>
      <w:r w:rsidRPr="00767FC2">
        <w:t>vegetation fuel type on the vegetation fuel type map for the project area.</w:t>
      </w:r>
    </w:p>
    <w:p w14:paraId="6C90BE36" w14:textId="77777777" w:rsidR="003D360F" w:rsidRPr="00767FC2" w:rsidRDefault="003D360F" w:rsidP="003D360F">
      <w:pPr>
        <w:pStyle w:val="tDefn"/>
        <w:rPr>
          <w:b/>
        </w:rPr>
      </w:pPr>
      <w:proofErr w:type="gramStart"/>
      <w:r w:rsidRPr="00767FC2">
        <w:rPr>
          <w:b/>
          <w:i/>
        </w:rPr>
        <w:t>s</w:t>
      </w:r>
      <w:proofErr w:type="gramEnd"/>
      <w:r w:rsidRPr="00767FC2">
        <w:rPr>
          <w:i/>
        </w:rPr>
        <w:t xml:space="preserve"> </w:t>
      </w:r>
      <w:r w:rsidRPr="00767FC2">
        <w:t>is</w:t>
      </w:r>
      <w:r w:rsidRPr="00767FC2">
        <w:rPr>
          <w:b/>
        </w:rPr>
        <w:t xml:space="preserve"> </w:t>
      </w:r>
      <w:r w:rsidRPr="00767FC2">
        <w:t>the fire season, and takes on the values early dry season and late dry season.</w:t>
      </w:r>
    </w:p>
    <w:p w14:paraId="07DE1548" w14:textId="77777777" w:rsidR="003D360F" w:rsidRPr="00767FC2" w:rsidRDefault="003D360F" w:rsidP="003D360F">
      <w:pPr>
        <w:pStyle w:val="tDefn"/>
      </w:pPr>
      <w:proofErr w:type="spellStart"/>
      <w:r w:rsidRPr="00767FC2">
        <w:rPr>
          <w:b/>
          <w:i/>
        </w:rPr>
        <w:t>CE</w:t>
      </w:r>
      <w:r w:rsidRPr="00767FC2">
        <w:rPr>
          <w:b/>
          <w:i/>
          <w:vertAlign w:val="subscript"/>
        </w:rPr>
        <w:t>v,s</w:t>
      </w:r>
      <w:proofErr w:type="spellEnd"/>
      <w:r w:rsidRPr="00767FC2">
        <w:t xml:space="preserve"> is the carbon emissions </w:t>
      </w:r>
      <w:r w:rsidRPr="00767FC2" w:rsidDel="003B1314">
        <w:t xml:space="preserve">per </w:t>
      </w:r>
      <w:r w:rsidR="00613A18" w:rsidRPr="00767FC2">
        <w:t>hectare</w:t>
      </w:r>
      <w:r w:rsidRPr="00767FC2" w:rsidDel="003B1314">
        <w:t xml:space="preserve"> </w:t>
      </w:r>
      <w:r w:rsidRPr="00767FC2">
        <w:t xml:space="preserve">of a fire </w:t>
      </w:r>
      <w:r w:rsidR="00516E7D" w:rsidRPr="00767FC2">
        <w:t xml:space="preserve">in the project area </w:t>
      </w:r>
      <w:r w:rsidRPr="00767FC2">
        <w:t xml:space="preserve">that burns a hectare of vegetation fuel type </w:t>
      </w:r>
      <w:r w:rsidRPr="00767FC2">
        <w:rPr>
          <w:i/>
        </w:rPr>
        <w:t xml:space="preserve">v </w:t>
      </w:r>
      <w:r w:rsidRPr="00767FC2">
        <w:t xml:space="preserve">in fire season </w:t>
      </w:r>
      <w:r w:rsidRPr="00767FC2">
        <w:rPr>
          <w:i/>
        </w:rPr>
        <w:t xml:space="preserve">s </w:t>
      </w:r>
      <w:r w:rsidR="00516E7D" w:rsidRPr="00767FC2">
        <w:t xml:space="preserve">of </w:t>
      </w:r>
      <w:r w:rsidRPr="00767FC2">
        <w:t>the calendar year, in tonnes CO</w:t>
      </w:r>
      <w:r w:rsidRPr="00767FC2">
        <w:rPr>
          <w:vertAlign w:val="subscript"/>
        </w:rPr>
        <w:t>2</w:t>
      </w:r>
      <w:r w:rsidRPr="00767FC2">
        <w:t xml:space="preserve">-e per hectare—from </w:t>
      </w:r>
      <w:r w:rsidR="00964086" w:rsidRPr="00767FC2">
        <w:t xml:space="preserve">equation </w:t>
      </w:r>
      <w:r w:rsidR="00964086" w:rsidRPr="00767FC2">
        <w:rPr>
          <w:noProof/>
        </w:rPr>
        <w:t>6</w:t>
      </w:r>
      <w:r w:rsidRPr="00767FC2">
        <w:t>.</w:t>
      </w:r>
    </w:p>
    <w:bookmarkEnd w:id="156"/>
    <w:bookmarkEnd w:id="157"/>
    <w:bookmarkEnd w:id="158"/>
    <w:p w14:paraId="6DE321C7" w14:textId="77777777" w:rsidR="003D360F" w:rsidRPr="00767FC2" w:rsidRDefault="003D360F" w:rsidP="003D360F">
      <w:pPr>
        <w:pStyle w:val="tDefn"/>
      </w:pPr>
      <w:proofErr w:type="spellStart"/>
      <w:r w:rsidRPr="00767FC2">
        <w:rPr>
          <w:b/>
          <w:i/>
          <w:szCs w:val="22"/>
          <w:lang w:eastAsia="en-US"/>
        </w:rPr>
        <w:t>S</w:t>
      </w:r>
      <w:r w:rsidRPr="00767FC2">
        <w:rPr>
          <w:b/>
          <w:i/>
          <w:szCs w:val="22"/>
          <w:vertAlign w:val="subscript"/>
          <w:lang w:eastAsia="en-US"/>
        </w:rPr>
        <w:t>FS</w:t>
      </w:r>
      <w:proofErr w:type="gramStart"/>
      <w:r w:rsidRPr="00767FC2">
        <w:rPr>
          <w:b/>
          <w:i/>
          <w:szCs w:val="22"/>
          <w:vertAlign w:val="subscript"/>
          <w:lang w:eastAsia="en-US"/>
        </w:rPr>
        <w:t>,v,s</w:t>
      </w:r>
      <w:proofErr w:type="spellEnd"/>
      <w:proofErr w:type="gramEnd"/>
      <w:r w:rsidRPr="00767FC2">
        <w:rPr>
          <w:szCs w:val="22"/>
          <w:lang w:eastAsia="en-US"/>
        </w:rPr>
        <w:t xml:space="preserve"> is the fire scar </w:t>
      </w:r>
      <w:r w:rsidRPr="00767FC2">
        <w:t>area</w:t>
      </w:r>
      <w:r w:rsidR="00221954" w:rsidRPr="00767FC2">
        <w:t xml:space="preserve"> for the project area</w:t>
      </w:r>
      <w:r w:rsidRPr="00767FC2">
        <w:t xml:space="preserve">, in hectares, for vegetation fuel type </w:t>
      </w:r>
      <w:r w:rsidRPr="00767FC2">
        <w:rPr>
          <w:i/>
        </w:rPr>
        <w:t>v</w:t>
      </w:r>
      <w:r w:rsidRPr="00767FC2">
        <w:t xml:space="preserve"> </w:t>
      </w:r>
      <w:r w:rsidR="00221954" w:rsidRPr="00767FC2">
        <w:t>in</w:t>
      </w:r>
      <w:r w:rsidRPr="00767FC2">
        <w:t xml:space="preserve"> fire season </w:t>
      </w:r>
      <w:r w:rsidRPr="00767FC2">
        <w:rPr>
          <w:i/>
        </w:rPr>
        <w:t xml:space="preserve">s </w:t>
      </w:r>
      <w:r w:rsidR="00516E7D" w:rsidRPr="00767FC2">
        <w:t>of the calendar year</w:t>
      </w:r>
      <w:r w:rsidRPr="00767FC2">
        <w:t>, and is calculated, using GIS software, by:</w:t>
      </w:r>
    </w:p>
    <w:p w14:paraId="3D93B918" w14:textId="77777777" w:rsidR="003D360F" w:rsidRPr="00767FC2" w:rsidRDefault="003D360F" w:rsidP="003D360F">
      <w:pPr>
        <w:pStyle w:val="tPara"/>
      </w:pPr>
      <w:r w:rsidRPr="00767FC2">
        <w:tab/>
        <w:t>(a)</w:t>
      </w:r>
      <w:r w:rsidRPr="00767FC2">
        <w:tab/>
      </w:r>
      <w:proofErr w:type="gramStart"/>
      <w:r w:rsidRPr="00767FC2">
        <w:t>overlaying</w:t>
      </w:r>
      <w:proofErr w:type="gramEnd"/>
      <w:r w:rsidRPr="00767FC2">
        <w:t xml:space="preserve"> the vegetation fuel type map with the seasonal fire map for fire season </w:t>
      </w:r>
      <w:r w:rsidRPr="00767FC2">
        <w:rPr>
          <w:i/>
        </w:rPr>
        <w:t>s</w:t>
      </w:r>
      <w:r w:rsidRPr="00767FC2">
        <w:t xml:space="preserve"> of the calendar year; and</w:t>
      </w:r>
    </w:p>
    <w:p w14:paraId="6730937A" w14:textId="77777777" w:rsidR="00DB5267" w:rsidRPr="00767FC2" w:rsidRDefault="00DB5267" w:rsidP="003D360F">
      <w:pPr>
        <w:pStyle w:val="tPara"/>
      </w:pPr>
      <w:r w:rsidRPr="00767FC2">
        <w:tab/>
        <w:t>(b)</w:t>
      </w:r>
      <w:r w:rsidRPr="00767FC2">
        <w:tab/>
      </w:r>
      <w:proofErr w:type="gramStart"/>
      <w:r w:rsidRPr="00767FC2">
        <w:t>from</w:t>
      </w:r>
      <w:proofErr w:type="gramEnd"/>
      <w:r w:rsidRPr="00767FC2">
        <w:t xml:space="preserve"> that combined map, </w:t>
      </w:r>
      <w:r w:rsidR="00AF67B5" w:rsidRPr="00767FC2">
        <w:t xml:space="preserve">for each vegetation fuel type </w:t>
      </w:r>
      <w:r w:rsidR="00AF67B5" w:rsidRPr="00767FC2">
        <w:rPr>
          <w:i/>
        </w:rPr>
        <w:t>v</w:t>
      </w:r>
      <w:r w:rsidR="00AF67B5" w:rsidRPr="00767FC2">
        <w:t>,</w:t>
      </w:r>
      <w:r w:rsidR="00AF67B5" w:rsidRPr="00767FC2">
        <w:rPr>
          <w:i/>
        </w:rPr>
        <w:t xml:space="preserve"> </w:t>
      </w:r>
      <w:r w:rsidRPr="00767FC2">
        <w:t xml:space="preserve">calculating the area </w:t>
      </w:r>
      <w:r w:rsidR="00AF67B5" w:rsidRPr="00767FC2">
        <w:t xml:space="preserve">that was burnt during the fire season </w:t>
      </w:r>
      <w:r w:rsidR="00AF67B5" w:rsidRPr="00767FC2">
        <w:rPr>
          <w:i/>
        </w:rPr>
        <w:t>s</w:t>
      </w:r>
      <w:r w:rsidR="00AF67B5" w:rsidRPr="00767FC2">
        <w:t>.</w:t>
      </w:r>
    </w:p>
    <w:p w14:paraId="4D968D48" w14:textId="77777777" w:rsidR="003D360F" w:rsidRPr="00767FC2" w:rsidRDefault="003D360F" w:rsidP="003D360F">
      <w:pPr>
        <w:pStyle w:val="nMain"/>
      </w:pPr>
      <w:r w:rsidRPr="00767FC2">
        <w:t>Note:</w:t>
      </w:r>
      <w:r w:rsidRPr="00767FC2">
        <w:rPr>
          <w:i/>
          <w:vertAlign w:val="subscript"/>
        </w:rPr>
        <w:tab/>
      </w:r>
      <w:r w:rsidRPr="00767FC2">
        <w:t>The savanna technical guidance document provides for how to create the seasonal fire map</w:t>
      </w:r>
      <w:r w:rsidR="00667ED6" w:rsidRPr="00767FC2">
        <w:t>s</w:t>
      </w:r>
      <w:r w:rsidRPr="00767FC2">
        <w:t>.</w:t>
      </w:r>
    </w:p>
    <w:p w14:paraId="23B6D475" w14:textId="77777777" w:rsidR="003D360F" w:rsidRPr="00767FC2" w:rsidRDefault="003D360F" w:rsidP="003D360F">
      <w:pPr>
        <w:pStyle w:val="tDefn"/>
      </w:pPr>
      <w:bookmarkStart w:id="159" w:name="_Toc405377068"/>
      <w:bookmarkStart w:id="160" w:name="_Toc413155609"/>
      <w:r w:rsidRPr="00767FC2">
        <w:rPr>
          <w:b/>
          <w:i/>
        </w:rPr>
        <w:t>P</w:t>
      </w:r>
      <w:r w:rsidRPr="00767FC2">
        <w:rPr>
          <w:b/>
          <w:i/>
          <w:vertAlign w:val="subscript"/>
        </w:rPr>
        <w:t>s</w:t>
      </w:r>
      <w:r w:rsidRPr="00767FC2">
        <w:t xml:space="preserve"> is the patchiness for fire season </w:t>
      </w:r>
      <w:r w:rsidRPr="00767FC2">
        <w:rPr>
          <w:i/>
        </w:rPr>
        <w:t>s</w:t>
      </w:r>
      <w:r w:rsidRPr="00767FC2">
        <w:t>, from the National Inventory Report.</w:t>
      </w:r>
    </w:p>
    <w:bookmarkEnd w:id="159"/>
    <w:bookmarkEnd w:id="160"/>
    <w:p w14:paraId="3801430D" w14:textId="77777777" w:rsidR="003D360F" w:rsidRPr="00767FC2" w:rsidRDefault="003D360F" w:rsidP="003D360F">
      <w:pPr>
        <w:pStyle w:val="h6Subsec"/>
      </w:pPr>
      <w:r w:rsidRPr="00767FC2">
        <w:t xml:space="preserve">Carbon emissions per </w:t>
      </w:r>
      <w:r w:rsidR="00613A18" w:rsidRPr="00767FC2">
        <w:t>hectare</w:t>
      </w:r>
    </w:p>
    <w:p w14:paraId="23762C8E" w14:textId="77777777" w:rsidR="003D360F" w:rsidRPr="00767FC2" w:rsidRDefault="003D360F" w:rsidP="003D360F">
      <w:pPr>
        <w:pStyle w:val="tMain"/>
        <w:spacing w:after="120"/>
      </w:pPr>
      <w:r w:rsidRPr="00767FC2">
        <w:tab/>
      </w:r>
      <w:r w:rsidR="001626C4" w:rsidRPr="00767FC2">
        <w:t>(2)</w:t>
      </w:r>
      <w:r w:rsidRPr="00767FC2">
        <w:tab/>
        <w:t>For subsection </w:t>
      </w:r>
      <w:r w:rsidR="00964086" w:rsidRPr="00767FC2">
        <w:t>(1)</w:t>
      </w:r>
      <w:r w:rsidRPr="00767FC2">
        <w:t xml:space="preserve">, the carbon emissions </w:t>
      </w:r>
      <w:r w:rsidRPr="00767FC2" w:rsidDel="003B1314">
        <w:t xml:space="preserve">per </w:t>
      </w:r>
      <w:r w:rsidR="00613A18" w:rsidRPr="00767FC2">
        <w:t>hectare</w:t>
      </w:r>
      <w:r w:rsidRPr="00767FC2" w:rsidDel="003B1314">
        <w:t xml:space="preserve"> </w:t>
      </w:r>
      <w:r w:rsidRPr="00767FC2">
        <w:t xml:space="preserve">of a fire </w:t>
      </w:r>
      <w:r w:rsidR="006F35BF" w:rsidRPr="00767FC2">
        <w:t xml:space="preserve">in the project area </w:t>
      </w:r>
      <w:r w:rsidRPr="00767FC2">
        <w:t xml:space="preserve">that burns a hectare of vegetation fuel type </w:t>
      </w:r>
      <w:r w:rsidRPr="00767FC2">
        <w:rPr>
          <w:i/>
        </w:rPr>
        <w:t xml:space="preserve">v </w:t>
      </w:r>
      <w:r w:rsidRPr="00767FC2">
        <w:t xml:space="preserve">in fire season </w:t>
      </w:r>
      <w:r w:rsidRPr="00767FC2">
        <w:rPr>
          <w:i/>
        </w:rPr>
        <w:t xml:space="preserve">s </w:t>
      </w:r>
      <w:r w:rsidRPr="00767FC2">
        <w:t xml:space="preserve">of </w:t>
      </w:r>
      <w:r w:rsidR="006F35BF" w:rsidRPr="00767FC2">
        <w:t xml:space="preserve">a calendar </w:t>
      </w:r>
      <w:r w:rsidRPr="00767FC2">
        <w:t>year, in tonnes CO</w:t>
      </w:r>
      <w:r w:rsidRPr="00767FC2">
        <w:rPr>
          <w:vertAlign w:val="subscript"/>
        </w:rPr>
        <w:t>2</w:t>
      </w:r>
      <w:r w:rsidRPr="00767FC2">
        <w:t xml:space="preserve">-e per hectare, </w:t>
      </w:r>
      <w:proofErr w:type="spellStart"/>
      <w:r w:rsidRPr="00767FC2">
        <w:rPr>
          <w:i/>
        </w:rPr>
        <w:t>CE</w:t>
      </w:r>
      <w:r w:rsidRPr="00767FC2">
        <w:rPr>
          <w:i/>
          <w:vertAlign w:val="subscript"/>
        </w:rPr>
        <w:t>v</w:t>
      </w:r>
      <w:proofErr w:type="gramStart"/>
      <w:r w:rsidRPr="00767FC2">
        <w:rPr>
          <w:i/>
          <w:vertAlign w:val="subscript"/>
        </w:rPr>
        <w:t>,s</w:t>
      </w:r>
      <w:proofErr w:type="spellEnd"/>
      <w:proofErr w:type="gramEnd"/>
      <w:r w:rsidRPr="00767FC2">
        <w:rPr>
          <w:szCs w:val="22"/>
        </w:rPr>
        <w:t xml:space="preserve">, is given by </w:t>
      </w:r>
      <w:r w:rsidRPr="00767FC2">
        <w:t>the following equation:</w:t>
      </w:r>
    </w:p>
    <w:tbl>
      <w:tblPr>
        <w:tblStyle w:val="TableGrid"/>
        <w:tblW w:w="0" w:type="auto"/>
        <w:tblInd w:w="421" w:type="dxa"/>
        <w:tblLook w:val="04A0" w:firstRow="1" w:lastRow="0" w:firstColumn="1" w:lastColumn="0" w:noHBand="0" w:noVBand="1"/>
      </w:tblPr>
      <w:tblGrid>
        <w:gridCol w:w="7229"/>
        <w:gridCol w:w="1366"/>
      </w:tblGrid>
      <w:tr w:rsidR="00767FC2" w:rsidRPr="00767FC2" w14:paraId="6EBA05BE" w14:textId="77777777" w:rsidTr="00B653A0">
        <w:trPr>
          <w:trHeight w:val="1108"/>
        </w:trPr>
        <w:tc>
          <w:tcPr>
            <w:tcW w:w="7229" w:type="dxa"/>
            <w:vAlign w:val="center"/>
          </w:tcPr>
          <w:p w14:paraId="07980D78" w14:textId="77777777" w:rsidR="003D360F" w:rsidRPr="00767FC2" w:rsidRDefault="008928CA" w:rsidP="00B653A0">
            <m:oMathPara>
              <m:oMath>
                <m:sSub>
                  <m:sSubPr>
                    <m:ctrlPr>
                      <w:rPr>
                        <w:rFonts w:ascii="Cambria Math" w:eastAsiaTheme="minorHAnsi" w:hAnsi="Cambria Math" w:cstheme="minorBidi"/>
                        <w:i/>
                        <w:szCs w:val="22"/>
                      </w:rPr>
                    </m:ctrlPr>
                  </m:sSubPr>
                  <m:e>
                    <m:r>
                      <w:rPr>
                        <w:rFonts w:ascii="Cambria Math" w:hAnsi="Cambria Math"/>
                      </w:rPr>
                      <m:t>CE</m:t>
                    </m:r>
                  </m:e>
                  <m:sub>
                    <m:r>
                      <w:rPr>
                        <w:rFonts w:ascii="Cambria Math" w:hAnsi="Cambria Math"/>
                      </w:rPr>
                      <m:t>v,s</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g</m:t>
                    </m:r>
                  </m:sub>
                  <m:sup/>
                  <m:e>
                    <m:nary>
                      <m:naryPr>
                        <m:chr m:val="∑"/>
                        <m:limLoc m:val="undOvr"/>
                        <m:supHide m:val="1"/>
                        <m:ctrlPr>
                          <w:rPr>
                            <w:rFonts w:ascii="Cambria Math" w:eastAsiaTheme="minorHAnsi" w:hAnsi="Cambria Math" w:cstheme="minorBidi"/>
                            <w:i/>
                            <w:szCs w:val="22"/>
                          </w:rPr>
                        </m:ctrlPr>
                      </m:naryPr>
                      <m:sub>
                        <m:r>
                          <w:rPr>
                            <w:rFonts w:ascii="Cambria Math" w:eastAsiaTheme="minorHAnsi" w:hAnsi="Cambria Math" w:cstheme="minorBidi"/>
                            <w:szCs w:val="22"/>
                          </w:rPr>
                          <m:t>f</m:t>
                        </m:r>
                      </m:sub>
                      <m:sup/>
                      <m:e>
                        <m:d>
                          <m:dPr>
                            <m:ctrlPr>
                              <w:rPr>
                                <w:rFonts w:ascii="Cambria Math" w:eastAsiaTheme="minorHAnsi" w:hAnsi="Cambria Math" w:cstheme="minorBidi"/>
                                <w:i/>
                                <w:szCs w:val="22"/>
                              </w:rPr>
                            </m:ctrlPr>
                          </m:dPr>
                          <m:e>
                            <m:sSub>
                              <m:sSubPr>
                                <m:ctrlPr>
                                  <w:rPr>
                                    <w:rFonts w:ascii="Cambria Math" w:eastAsiaTheme="minorHAnsi" w:hAnsi="Cambria Math" w:cstheme="minorBidi"/>
                                    <w:i/>
                                    <w:szCs w:val="22"/>
                                  </w:rPr>
                                </m:ctrlPr>
                              </m:sSubPr>
                              <m:e>
                                <m:r>
                                  <w:rPr>
                                    <w:rFonts w:ascii="Cambria Math" w:hAnsi="Cambria Math"/>
                                  </w:rPr>
                                  <m:t>BE</m:t>
                                </m:r>
                              </m:e>
                              <m:sub>
                                <m:r>
                                  <w:rPr>
                                    <w:rFonts w:ascii="Cambria Math" w:hAnsi="Cambria Math"/>
                                  </w:rPr>
                                  <m:t>f,s</m:t>
                                </m:r>
                              </m:sub>
                            </m:sSub>
                            <m:r>
                              <w:rPr>
                                <w:rFonts w:ascii="Cambria Math" w:eastAsiaTheme="minorHAnsi" w:hAnsi="Cambria Math" w:cstheme="minorBidi"/>
                                <w:szCs w:val="22"/>
                              </w:rPr>
                              <m:t>×</m:t>
                            </m:r>
                            <m:sSub>
                              <m:sSubPr>
                                <m:ctrlPr>
                                  <w:rPr>
                                    <w:rFonts w:ascii="Cambria Math" w:hAnsi="Cambria Math"/>
                                    <w:i/>
                                  </w:rPr>
                                </m:ctrlPr>
                              </m:sSubPr>
                              <m:e>
                                <m:r>
                                  <w:rPr>
                                    <w:rFonts w:ascii="Cambria Math" w:hAnsi="Cambria Math"/>
                                  </w:rPr>
                                  <m:t>FL</m:t>
                                </m:r>
                              </m:e>
                              <m:sub>
                                <m:r>
                                  <w:rPr>
                                    <w:rFonts w:ascii="Cambria Math" w:hAnsi="Cambria Math"/>
                                  </w:rPr>
                                  <m:t>f,v,s</m:t>
                                </m:r>
                              </m:sub>
                            </m:sSub>
                            <m:r>
                              <w:rPr>
                                <w:rFonts w:ascii="Cambria Math" w:hAnsi="Cambria Math"/>
                              </w:rPr>
                              <m:t>×</m:t>
                            </m:r>
                            <m:sSub>
                              <m:sSubPr>
                                <m:ctrlPr>
                                  <w:rPr>
                                    <w:rFonts w:ascii="Cambria Math" w:eastAsiaTheme="minorHAnsi" w:hAnsi="Cambria Math" w:cstheme="minorBidi"/>
                                    <w:i/>
                                    <w:szCs w:val="22"/>
                                  </w:rPr>
                                </m:ctrlPr>
                              </m:sSubPr>
                              <m:e>
                                <m:r>
                                  <w:rPr>
                                    <w:rFonts w:ascii="Cambria Math" w:hAnsi="Cambria Math"/>
                                  </w:rPr>
                                  <m:t>EF</m:t>
                                </m:r>
                              </m:e>
                              <m:sub>
                                <m:r>
                                  <w:rPr>
                                    <w:rFonts w:ascii="Cambria Math" w:hAnsi="Cambria Math"/>
                                  </w:rPr>
                                  <m:t>g,f,v</m:t>
                                </m:r>
                              </m:sub>
                            </m:sSub>
                            <m:r>
                              <w:rPr>
                                <w:rFonts w:ascii="Cambria Math" w:hAnsi="Cambria Math"/>
                              </w:rPr>
                              <m:t>×</m:t>
                            </m:r>
                            <m:sSub>
                              <m:sSubPr>
                                <m:ctrlPr>
                                  <w:rPr>
                                    <w:rFonts w:ascii="Cambria Math" w:eastAsiaTheme="minorHAnsi" w:hAnsi="Cambria Math" w:cstheme="minorBidi"/>
                                    <w:i/>
                                    <w:szCs w:val="22"/>
                                  </w:rPr>
                                </m:ctrlPr>
                              </m:sSubPr>
                              <m:e>
                                <m:r>
                                  <w:rPr>
                                    <w:rFonts w:ascii="Cambria Math" w:hAnsi="Cambria Math"/>
                                  </w:rPr>
                                  <m:t>CC</m:t>
                                </m:r>
                              </m:e>
                              <m:sub>
                                <m:r>
                                  <w:rPr>
                                    <w:rFonts w:ascii="Cambria Math" w:hAnsi="Cambria Math"/>
                                  </w:rPr>
                                  <m:t>f,v</m:t>
                                </m:r>
                              </m:sub>
                            </m:sSub>
                            <m:r>
                              <w:rPr>
                                <w:rFonts w:ascii="Cambria Math" w:eastAsiaTheme="minorHAnsi" w:hAnsi="Cambria Math" w:cstheme="minorBidi"/>
                                <w:szCs w:val="22"/>
                              </w:rPr>
                              <m:t>×</m:t>
                            </m:r>
                            <m:sSub>
                              <m:sSubPr>
                                <m:ctrlPr>
                                  <w:rPr>
                                    <w:rFonts w:ascii="Cambria Math" w:eastAsiaTheme="minorHAnsi" w:hAnsi="Cambria Math" w:cstheme="minorBidi"/>
                                    <w:i/>
                                    <w:szCs w:val="22"/>
                                  </w:rPr>
                                </m:ctrlPr>
                              </m:sSubPr>
                              <m:e>
                                <m:r>
                                  <w:rPr>
                                    <w:rFonts w:ascii="Cambria Math" w:eastAsiaTheme="minorHAnsi" w:hAnsi="Cambria Math" w:cstheme="minorBidi"/>
                                    <w:szCs w:val="22"/>
                                  </w:rPr>
                                  <m:t>NC</m:t>
                                </m:r>
                              </m:e>
                              <m:sub>
                                <m:r>
                                  <w:rPr>
                                    <w:rFonts w:ascii="Cambria Math" w:eastAsiaTheme="minorHAnsi" w:hAnsi="Cambria Math" w:cstheme="minorBidi"/>
                                    <w:szCs w:val="22"/>
                                  </w:rPr>
                                  <m:t>g,f,v</m:t>
                                </m:r>
                              </m:sub>
                            </m:sSub>
                            <m:r>
                              <w:rPr>
                                <w:rFonts w:ascii="Cambria Math" w:eastAsiaTheme="minorHAnsi" w:hAnsi="Cambria Math" w:cstheme="minorBidi"/>
                                <w:szCs w:val="22"/>
                              </w:rPr>
                              <m:t>×</m:t>
                            </m:r>
                            <m:sSub>
                              <m:sSubPr>
                                <m:ctrlPr>
                                  <w:rPr>
                                    <w:rFonts w:ascii="Cambria Math" w:eastAsiaTheme="minorHAnsi" w:hAnsi="Cambria Math" w:cstheme="minorBidi"/>
                                    <w:i/>
                                    <w:szCs w:val="22"/>
                                  </w:rPr>
                                </m:ctrlPr>
                              </m:sSubPr>
                              <m:e>
                                <m:r>
                                  <w:rPr>
                                    <w:rFonts w:ascii="Cambria Math" w:eastAsiaTheme="minorHAnsi" w:hAnsi="Cambria Math" w:cstheme="minorBidi"/>
                                    <w:szCs w:val="22"/>
                                  </w:rPr>
                                  <m:t>MR</m:t>
                                </m:r>
                              </m:e>
                              <m:sub>
                                <m:r>
                                  <w:rPr>
                                    <w:rFonts w:ascii="Cambria Math" w:eastAsiaTheme="minorHAnsi" w:hAnsi="Cambria Math" w:cstheme="minorBidi"/>
                                    <w:szCs w:val="22"/>
                                  </w:rPr>
                                  <m:t>g</m:t>
                                </m:r>
                              </m:sub>
                            </m:sSub>
                            <m:r>
                              <w:rPr>
                                <w:rFonts w:ascii="Cambria Math" w:eastAsiaTheme="minorHAnsi" w:hAnsi="Cambria Math" w:cstheme="minorBidi"/>
                                <w:szCs w:val="22"/>
                              </w:rPr>
                              <m:t>×</m:t>
                            </m:r>
                            <m:sSub>
                              <m:sSubPr>
                                <m:ctrlPr>
                                  <w:rPr>
                                    <w:rFonts w:ascii="Cambria Math" w:eastAsiaTheme="minorHAnsi" w:hAnsi="Cambria Math" w:cstheme="minorBidi"/>
                                    <w:i/>
                                    <w:szCs w:val="22"/>
                                  </w:rPr>
                                </m:ctrlPr>
                              </m:sSubPr>
                              <m:e>
                                <m:r>
                                  <w:rPr>
                                    <w:rFonts w:ascii="Cambria Math" w:eastAsiaTheme="minorHAnsi" w:hAnsi="Cambria Math" w:cstheme="minorBidi"/>
                                    <w:szCs w:val="22"/>
                                  </w:rPr>
                                  <m:t>GWP</m:t>
                                </m:r>
                              </m:e>
                              <m:sub>
                                <m:r>
                                  <w:rPr>
                                    <w:rFonts w:ascii="Cambria Math" w:eastAsiaTheme="minorHAnsi" w:hAnsi="Cambria Math" w:cstheme="minorBidi"/>
                                    <w:szCs w:val="22"/>
                                  </w:rPr>
                                  <m:t>g</m:t>
                                </m:r>
                              </m:sub>
                            </m:sSub>
                          </m:e>
                        </m:d>
                      </m:e>
                    </m:nary>
                  </m:e>
                </m:nary>
              </m:oMath>
            </m:oMathPara>
          </w:p>
        </w:tc>
        <w:tc>
          <w:tcPr>
            <w:tcW w:w="1366" w:type="dxa"/>
            <w:vAlign w:val="center"/>
          </w:tcPr>
          <w:p w14:paraId="6F496BD0" w14:textId="77777777" w:rsidR="003D360F" w:rsidRPr="00767FC2" w:rsidRDefault="003D360F" w:rsidP="00B653A0">
            <w:pPr>
              <w:pStyle w:val="Tabletext"/>
            </w:pPr>
            <w:bookmarkStart w:id="161" w:name="_Ref441675171"/>
            <w:r w:rsidRPr="00767FC2">
              <w:t xml:space="preserve">equation </w:t>
            </w:r>
            <w:r w:rsidR="00964086" w:rsidRPr="00767FC2">
              <w:rPr>
                <w:noProof/>
              </w:rPr>
              <w:t>6</w:t>
            </w:r>
            <w:bookmarkEnd w:id="161"/>
          </w:p>
        </w:tc>
      </w:tr>
    </w:tbl>
    <w:p w14:paraId="717B3B8A" w14:textId="77777777" w:rsidR="003D360F" w:rsidRPr="00767FC2" w:rsidRDefault="003D360F" w:rsidP="003D360F">
      <w:pPr>
        <w:pStyle w:val="tMain"/>
      </w:pPr>
      <w:r w:rsidRPr="00767FC2">
        <w:tab/>
      </w:r>
      <w:r w:rsidRPr="00767FC2">
        <w:tab/>
      </w:r>
      <w:proofErr w:type="gramStart"/>
      <w:r w:rsidRPr="00767FC2">
        <w:t>where</w:t>
      </w:r>
      <w:proofErr w:type="gramEnd"/>
      <w:r w:rsidRPr="00767FC2">
        <w:t>:</w:t>
      </w:r>
    </w:p>
    <w:p w14:paraId="1FA7FE2B" w14:textId="77777777" w:rsidR="003D360F" w:rsidRPr="00767FC2" w:rsidRDefault="003D360F" w:rsidP="003D360F">
      <w:pPr>
        <w:pStyle w:val="tDefn"/>
      </w:pPr>
      <w:proofErr w:type="gramStart"/>
      <w:r w:rsidRPr="00767FC2">
        <w:rPr>
          <w:b/>
          <w:i/>
        </w:rPr>
        <w:t>g</w:t>
      </w:r>
      <w:proofErr w:type="gramEnd"/>
      <w:r w:rsidRPr="00767FC2">
        <w:rPr>
          <w:b/>
          <w:i/>
        </w:rPr>
        <w:t xml:space="preserve"> </w:t>
      </w:r>
      <w:r w:rsidRPr="00767FC2">
        <w:t>is a greenhouse gas, and takes on the values methane (CH</w:t>
      </w:r>
      <w:r w:rsidRPr="00767FC2">
        <w:rPr>
          <w:vertAlign w:val="subscript"/>
        </w:rPr>
        <w:t>4</w:t>
      </w:r>
      <w:r w:rsidRPr="00767FC2">
        <w:t>) and nitrous oxide (N</w:t>
      </w:r>
      <w:r w:rsidRPr="00767FC2">
        <w:rPr>
          <w:vertAlign w:val="subscript"/>
        </w:rPr>
        <w:t>2</w:t>
      </w:r>
      <w:r w:rsidRPr="00767FC2">
        <w:t>O).</w:t>
      </w:r>
    </w:p>
    <w:p w14:paraId="0ACE73CB" w14:textId="77777777" w:rsidR="003D360F" w:rsidRPr="00767FC2" w:rsidRDefault="003D360F" w:rsidP="003D360F">
      <w:pPr>
        <w:pStyle w:val="tDefn"/>
      </w:pPr>
      <w:proofErr w:type="gramStart"/>
      <w:r w:rsidRPr="00767FC2">
        <w:rPr>
          <w:b/>
          <w:i/>
        </w:rPr>
        <w:t>f</w:t>
      </w:r>
      <w:proofErr w:type="gramEnd"/>
      <w:r w:rsidRPr="00767FC2">
        <w:rPr>
          <w:b/>
        </w:rPr>
        <w:t xml:space="preserve"> </w:t>
      </w:r>
      <w:r w:rsidRPr="00767FC2">
        <w:t>is a</w:t>
      </w:r>
      <w:r w:rsidRPr="00767FC2">
        <w:rPr>
          <w:b/>
        </w:rPr>
        <w:t xml:space="preserve"> </w:t>
      </w:r>
      <w:r w:rsidRPr="00767FC2">
        <w:t>fuel size class, and takes on the values of each of the fuel size classes.</w:t>
      </w:r>
    </w:p>
    <w:p w14:paraId="2D3CE0C1" w14:textId="77777777" w:rsidR="003D360F" w:rsidRPr="00767FC2" w:rsidRDefault="003D360F" w:rsidP="003D360F">
      <w:pPr>
        <w:pStyle w:val="tDefn"/>
      </w:pPr>
      <w:proofErr w:type="spellStart"/>
      <w:r w:rsidRPr="00767FC2">
        <w:rPr>
          <w:b/>
          <w:i/>
        </w:rPr>
        <w:t>BE</w:t>
      </w:r>
      <w:r w:rsidRPr="00767FC2">
        <w:rPr>
          <w:b/>
          <w:i/>
          <w:vertAlign w:val="subscript"/>
        </w:rPr>
        <w:t>f</w:t>
      </w:r>
      <w:proofErr w:type="gramStart"/>
      <w:r w:rsidRPr="00767FC2">
        <w:rPr>
          <w:b/>
          <w:i/>
          <w:vertAlign w:val="subscript"/>
        </w:rPr>
        <w:t>,s</w:t>
      </w:r>
      <w:proofErr w:type="spellEnd"/>
      <w:proofErr w:type="gramEnd"/>
      <w:r w:rsidRPr="00767FC2">
        <w:t xml:space="preserve"> is the burning efficiency of fuel of fuel size class </w:t>
      </w:r>
      <w:r w:rsidRPr="00767FC2">
        <w:rPr>
          <w:i/>
        </w:rPr>
        <w:t>f</w:t>
      </w:r>
      <w:r w:rsidRPr="00767FC2">
        <w:t xml:space="preserve"> in fire season </w:t>
      </w:r>
      <w:r w:rsidRPr="00767FC2">
        <w:rPr>
          <w:i/>
        </w:rPr>
        <w:t>s</w:t>
      </w:r>
      <w:r w:rsidRPr="00767FC2">
        <w:t>—from the National Inventory Report.</w:t>
      </w:r>
      <w:bookmarkStart w:id="162" w:name="_GoBack"/>
      <w:bookmarkEnd w:id="162"/>
    </w:p>
    <w:p w14:paraId="138713D3" w14:textId="77777777" w:rsidR="00945B91" w:rsidRPr="00767FC2" w:rsidRDefault="003D360F" w:rsidP="003D360F">
      <w:pPr>
        <w:pStyle w:val="tDefn"/>
      </w:pPr>
      <w:proofErr w:type="spellStart"/>
      <w:r w:rsidRPr="00767FC2">
        <w:rPr>
          <w:b/>
          <w:i/>
        </w:rPr>
        <w:lastRenderedPageBreak/>
        <w:t>FL</w:t>
      </w:r>
      <w:r w:rsidRPr="00767FC2">
        <w:rPr>
          <w:b/>
          <w:i/>
          <w:vertAlign w:val="subscript"/>
        </w:rPr>
        <w:t>f</w:t>
      </w:r>
      <w:proofErr w:type="gramStart"/>
      <w:r w:rsidRPr="00767FC2">
        <w:rPr>
          <w:b/>
          <w:i/>
          <w:vertAlign w:val="subscript"/>
        </w:rPr>
        <w:t>,v,s</w:t>
      </w:r>
      <w:proofErr w:type="spellEnd"/>
      <w:proofErr w:type="gramEnd"/>
      <w:r w:rsidRPr="00767FC2">
        <w:t xml:space="preserve"> is the fuel load for the project area, in tonnes</w:t>
      </w:r>
      <w:r w:rsidR="007B4BBE" w:rsidRPr="00767FC2">
        <w:t xml:space="preserve"> of biomass </w:t>
      </w:r>
      <w:r w:rsidRPr="00767FC2">
        <w:t xml:space="preserve">per hectare, of fuel size class </w:t>
      </w:r>
      <w:r w:rsidRPr="00767FC2">
        <w:rPr>
          <w:i/>
        </w:rPr>
        <w:t xml:space="preserve">f </w:t>
      </w:r>
      <w:r w:rsidRPr="00767FC2">
        <w:t xml:space="preserve">of vegetation fuel type </w:t>
      </w:r>
      <w:r w:rsidRPr="00767FC2">
        <w:rPr>
          <w:i/>
        </w:rPr>
        <w:t>v</w:t>
      </w:r>
      <w:r w:rsidRPr="00767FC2">
        <w:t xml:space="preserve"> for fire season </w:t>
      </w:r>
      <w:r w:rsidRPr="00767FC2">
        <w:rPr>
          <w:i/>
        </w:rPr>
        <w:t xml:space="preserve">s </w:t>
      </w:r>
      <w:r w:rsidRPr="00767FC2">
        <w:t>of the calendar year, and is calculated in accordance with</w:t>
      </w:r>
      <w:r w:rsidR="00945B91" w:rsidRPr="00767FC2">
        <w:t>:</w:t>
      </w:r>
    </w:p>
    <w:p w14:paraId="4010329C" w14:textId="77777777" w:rsidR="00945B91" w:rsidRPr="00767FC2" w:rsidRDefault="00945B91" w:rsidP="00945B91">
      <w:pPr>
        <w:pStyle w:val="tPara"/>
      </w:pPr>
      <w:r w:rsidRPr="00767FC2">
        <w:tab/>
        <w:t>(a)</w:t>
      </w:r>
      <w:r w:rsidRPr="00767FC2">
        <w:tab/>
      </w:r>
      <w:proofErr w:type="gramStart"/>
      <w:r w:rsidRPr="00767FC2">
        <w:t>for</w:t>
      </w:r>
      <w:proofErr w:type="gramEnd"/>
      <w:r w:rsidRPr="00767FC2">
        <w:t xml:space="preserve"> </w:t>
      </w:r>
      <w:r w:rsidR="007F25E8" w:rsidRPr="00767FC2">
        <w:t xml:space="preserve">shrub </w:t>
      </w:r>
      <w:r w:rsidRPr="00767FC2">
        <w:t xml:space="preserve">fuel and </w:t>
      </w:r>
      <w:r w:rsidR="007F25E8" w:rsidRPr="00767FC2">
        <w:t xml:space="preserve">fine </w:t>
      </w:r>
      <w:r w:rsidRPr="00767FC2">
        <w:t>fuel—</w:t>
      </w:r>
      <w:r w:rsidR="0042534E" w:rsidRPr="00767FC2">
        <w:t>section </w:t>
      </w:r>
      <w:r w:rsidR="00964086" w:rsidRPr="00767FC2">
        <w:t>8</w:t>
      </w:r>
      <w:r w:rsidRPr="00767FC2">
        <w:t>; and</w:t>
      </w:r>
    </w:p>
    <w:p w14:paraId="487263E9" w14:textId="77777777" w:rsidR="00945B91" w:rsidRPr="00767FC2" w:rsidRDefault="00945B91" w:rsidP="00945B91">
      <w:pPr>
        <w:pStyle w:val="tPara"/>
      </w:pPr>
      <w:r w:rsidRPr="00767FC2">
        <w:tab/>
        <w:t>(b)</w:t>
      </w:r>
      <w:r w:rsidRPr="00767FC2">
        <w:tab/>
      </w:r>
      <w:proofErr w:type="gramStart"/>
      <w:r w:rsidRPr="00767FC2">
        <w:t>for</w:t>
      </w:r>
      <w:proofErr w:type="gramEnd"/>
      <w:r w:rsidRPr="00767FC2">
        <w:t xml:space="preserve"> coarse fuel and heavy fuel</w:t>
      </w:r>
      <w:r w:rsidR="0042534E" w:rsidRPr="00767FC2">
        <w:t xml:space="preserve">—section </w:t>
      </w:r>
      <w:r w:rsidR="00964086" w:rsidRPr="00767FC2">
        <w:t>9</w:t>
      </w:r>
      <w:r w:rsidR="0042534E" w:rsidRPr="00767FC2">
        <w:t>.</w:t>
      </w:r>
    </w:p>
    <w:p w14:paraId="676FC84B" w14:textId="77777777" w:rsidR="00D77F66" w:rsidRPr="00767FC2" w:rsidRDefault="00D77F66" w:rsidP="00D77F66">
      <w:pPr>
        <w:pStyle w:val="nMain"/>
        <w:rPr>
          <w:b/>
          <w:i/>
        </w:rPr>
      </w:pPr>
      <w:r w:rsidRPr="00767FC2">
        <w:t>Note:</w:t>
      </w:r>
      <w:r w:rsidRPr="00767FC2">
        <w:tab/>
      </w:r>
      <w:r w:rsidR="005F2B6D" w:rsidRPr="00767FC2">
        <w:t>For coarse fuel and heavy fuel, t</w:t>
      </w:r>
      <w:r w:rsidRPr="00767FC2">
        <w:t xml:space="preserve">he fuel load </w:t>
      </w:r>
      <w:proofErr w:type="spellStart"/>
      <w:r w:rsidRPr="00767FC2">
        <w:rPr>
          <w:i/>
        </w:rPr>
        <w:t>FL</w:t>
      </w:r>
      <w:r w:rsidRPr="00767FC2">
        <w:rPr>
          <w:i/>
          <w:vertAlign w:val="subscript"/>
        </w:rPr>
        <w:t>f</w:t>
      </w:r>
      <w:proofErr w:type="gramStart"/>
      <w:r w:rsidRPr="00767FC2">
        <w:rPr>
          <w:i/>
          <w:vertAlign w:val="subscript"/>
        </w:rPr>
        <w:t>,v,s</w:t>
      </w:r>
      <w:proofErr w:type="spellEnd"/>
      <w:proofErr w:type="gramEnd"/>
      <w:r w:rsidRPr="00767FC2">
        <w:t xml:space="preserve"> will be the same for both fire seasons </w:t>
      </w:r>
      <w:r w:rsidR="00F75AD4" w:rsidRPr="00767FC2">
        <w:rPr>
          <w:i/>
        </w:rPr>
        <w:t>s</w:t>
      </w:r>
      <w:r w:rsidR="00F75AD4" w:rsidRPr="00767FC2">
        <w:t>.</w:t>
      </w:r>
    </w:p>
    <w:p w14:paraId="4663DF9B" w14:textId="77777777" w:rsidR="003D360F" w:rsidRPr="00767FC2" w:rsidRDefault="003D360F" w:rsidP="00D77F66">
      <w:pPr>
        <w:pStyle w:val="tDefn"/>
      </w:pPr>
      <w:proofErr w:type="spellStart"/>
      <w:r w:rsidRPr="00767FC2">
        <w:rPr>
          <w:b/>
          <w:i/>
        </w:rPr>
        <w:t>EF</w:t>
      </w:r>
      <w:r w:rsidRPr="00767FC2">
        <w:rPr>
          <w:b/>
          <w:i/>
          <w:vertAlign w:val="subscript"/>
        </w:rPr>
        <w:t>g</w:t>
      </w:r>
      <w:proofErr w:type="gramStart"/>
      <w:r w:rsidRPr="00767FC2">
        <w:rPr>
          <w:b/>
          <w:i/>
          <w:vertAlign w:val="subscript"/>
        </w:rPr>
        <w:t>,f,v</w:t>
      </w:r>
      <w:proofErr w:type="spellEnd"/>
      <w:proofErr w:type="gramEnd"/>
      <w:r w:rsidRPr="00767FC2">
        <w:t xml:space="preserve"> is the emission factor for greenhouse gas </w:t>
      </w:r>
      <w:r w:rsidRPr="00767FC2">
        <w:rPr>
          <w:i/>
        </w:rPr>
        <w:t xml:space="preserve">g </w:t>
      </w:r>
      <w:r w:rsidRPr="00767FC2">
        <w:t xml:space="preserve">for fuel size class </w:t>
      </w:r>
      <w:r w:rsidRPr="00767FC2">
        <w:rPr>
          <w:i/>
        </w:rPr>
        <w:t xml:space="preserve">f </w:t>
      </w:r>
      <w:r w:rsidRPr="00767FC2">
        <w:t xml:space="preserve">of vegetation fuel type </w:t>
      </w:r>
      <w:r w:rsidRPr="00767FC2">
        <w:rPr>
          <w:i/>
        </w:rPr>
        <w:t>v</w:t>
      </w:r>
      <w:r w:rsidRPr="00767FC2">
        <w:t>—from the National Inventory Report.</w:t>
      </w:r>
    </w:p>
    <w:p w14:paraId="0086088A" w14:textId="77777777" w:rsidR="003D360F" w:rsidRPr="00767FC2" w:rsidRDefault="003D360F" w:rsidP="003D360F">
      <w:pPr>
        <w:pStyle w:val="tDefn"/>
      </w:pPr>
      <w:proofErr w:type="spellStart"/>
      <w:r w:rsidRPr="00767FC2">
        <w:rPr>
          <w:b/>
          <w:i/>
        </w:rPr>
        <w:t>CC</w:t>
      </w:r>
      <w:r w:rsidRPr="00767FC2">
        <w:rPr>
          <w:b/>
          <w:i/>
          <w:vertAlign w:val="subscript"/>
        </w:rPr>
        <w:t>f</w:t>
      </w:r>
      <w:proofErr w:type="gramStart"/>
      <w:r w:rsidRPr="00767FC2">
        <w:rPr>
          <w:b/>
          <w:i/>
          <w:vertAlign w:val="subscript"/>
        </w:rPr>
        <w:t>,v</w:t>
      </w:r>
      <w:proofErr w:type="spellEnd"/>
      <w:proofErr w:type="gramEnd"/>
      <w:r w:rsidRPr="00767FC2">
        <w:t xml:space="preserve"> is the carbon content for fuel size class </w:t>
      </w:r>
      <w:r w:rsidRPr="00767FC2">
        <w:rPr>
          <w:i/>
        </w:rPr>
        <w:t xml:space="preserve">f </w:t>
      </w:r>
      <w:r w:rsidRPr="00767FC2">
        <w:t xml:space="preserve">of vegetation fuel type </w:t>
      </w:r>
      <w:r w:rsidRPr="00767FC2">
        <w:rPr>
          <w:i/>
        </w:rPr>
        <w:t>v</w:t>
      </w:r>
      <w:r w:rsidR="001457E3" w:rsidRPr="00767FC2">
        <w:t xml:space="preserve">, in tonnes </w:t>
      </w:r>
      <w:r w:rsidR="003D28F5" w:rsidRPr="00767FC2">
        <w:t xml:space="preserve">of </w:t>
      </w:r>
      <w:r w:rsidR="001457E3" w:rsidRPr="00767FC2">
        <w:t>carbon per tonne of biomass</w:t>
      </w:r>
      <w:r w:rsidRPr="00767FC2">
        <w:t>—from the National Inventory Report.</w:t>
      </w:r>
    </w:p>
    <w:p w14:paraId="310257B2" w14:textId="77777777" w:rsidR="003D360F" w:rsidRPr="00767FC2" w:rsidRDefault="003D360F" w:rsidP="003D360F">
      <w:pPr>
        <w:pStyle w:val="tDefn"/>
      </w:pPr>
      <w:proofErr w:type="spellStart"/>
      <w:r w:rsidRPr="00767FC2">
        <w:rPr>
          <w:b/>
          <w:i/>
        </w:rPr>
        <w:t>NC</w:t>
      </w:r>
      <w:r w:rsidRPr="00767FC2">
        <w:rPr>
          <w:b/>
          <w:i/>
          <w:vertAlign w:val="subscript"/>
        </w:rPr>
        <w:t>g</w:t>
      </w:r>
      <w:proofErr w:type="gramStart"/>
      <w:r w:rsidRPr="00767FC2">
        <w:rPr>
          <w:b/>
          <w:i/>
          <w:vertAlign w:val="subscript"/>
        </w:rPr>
        <w:t>,f,v</w:t>
      </w:r>
      <w:proofErr w:type="spellEnd"/>
      <w:proofErr w:type="gramEnd"/>
      <w:r w:rsidRPr="00767FC2">
        <w:t xml:space="preserve"> is the nitrogen to carbon ratio in relation to greenhouse gas </w:t>
      </w:r>
      <w:r w:rsidRPr="00767FC2">
        <w:rPr>
          <w:i/>
        </w:rPr>
        <w:t>g</w:t>
      </w:r>
      <w:r w:rsidRPr="00767FC2">
        <w:t xml:space="preserve"> for fuel size class </w:t>
      </w:r>
      <w:r w:rsidRPr="00767FC2">
        <w:rPr>
          <w:i/>
        </w:rPr>
        <w:t xml:space="preserve">f </w:t>
      </w:r>
      <w:r w:rsidRPr="00767FC2">
        <w:t xml:space="preserve">of vegetation fuel type </w:t>
      </w:r>
      <w:r w:rsidRPr="00767FC2">
        <w:rPr>
          <w:i/>
        </w:rPr>
        <w:t>v</w:t>
      </w:r>
      <w:r w:rsidRPr="00767FC2">
        <w:t>, and is:</w:t>
      </w:r>
    </w:p>
    <w:p w14:paraId="41EB1F08" w14:textId="77777777" w:rsidR="003D360F" w:rsidRPr="00767FC2" w:rsidRDefault="003D360F" w:rsidP="003D360F">
      <w:pPr>
        <w:pStyle w:val="tPara"/>
      </w:pPr>
      <w:r w:rsidRPr="00767FC2">
        <w:tab/>
        <w:t>(a)</w:t>
      </w:r>
      <w:r w:rsidRPr="00767FC2">
        <w:tab/>
      </w:r>
      <w:proofErr w:type="gramStart"/>
      <w:r w:rsidRPr="00767FC2">
        <w:t>for</w:t>
      </w:r>
      <w:proofErr w:type="gramEnd"/>
      <w:r w:rsidRPr="00767FC2">
        <w:t xml:space="preserve"> methane (CH</w:t>
      </w:r>
      <w:r w:rsidRPr="00767FC2">
        <w:rPr>
          <w:vertAlign w:val="subscript"/>
        </w:rPr>
        <w:t>4</w:t>
      </w:r>
      <w:r w:rsidRPr="00767FC2">
        <w:t>)—equal to 1; and</w:t>
      </w:r>
    </w:p>
    <w:p w14:paraId="7412534D" w14:textId="77777777" w:rsidR="003D360F" w:rsidRPr="00767FC2" w:rsidRDefault="003D360F" w:rsidP="003D360F">
      <w:pPr>
        <w:pStyle w:val="tPara"/>
      </w:pPr>
      <w:r w:rsidRPr="00767FC2">
        <w:tab/>
        <w:t>(b)</w:t>
      </w:r>
      <w:r w:rsidRPr="00767FC2">
        <w:tab/>
      </w:r>
      <w:proofErr w:type="gramStart"/>
      <w:r w:rsidRPr="00767FC2">
        <w:t>for</w:t>
      </w:r>
      <w:proofErr w:type="gramEnd"/>
      <w:r w:rsidRPr="00767FC2">
        <w:t xml:space="preserve"> nitrous oxide (N</w:t>
      </w:r>
      <w:r w:rsidRPr="00767FC2">
        <w:rPr>
          <w:vertAlign w:val="subscript"/>
        </w:rPr>
        <w:t>2</w:t>
      </w:r>
      <w:r w:rsidRPr="00767FC2">
        <w:t>O)—from the National Inventory Report.</w:t>
      </w:r>
    </w:p>
    <w:p w14:paraId="7E12ADF3" w14:textId="77777777" w:rsidR="003D360F" w:rsidRPr="00767FC2" w:rsidRDefault="003D360F" w:rsidP="003D360F">
      <w:pPr>
        <w:pStyle w:val="tDefn"/>
      </w:pPr>
      <w:proofErr w:type="spellStart"/>
      <w:r w:rsidRPr="00767FC2">
        <w:rPr>
          <w:b/>
          <w:i/>
        </w:rPr>
        <w:t>MR</w:t>
      </w:r>
      <w:r w:rsidRPr="00767FC2">
        <w:rPr>
          <w:b/>
          <w:i/>
          <w:vertAlign w:val="subscript"/>
        </w:rPr>
        <w:t>g</w:t>
      </w:r>
      <w:proofErr w:type="spellEnd"/>
      <w:r w:rsidRPr="00767FC2">
        <w:t xml:space="preserve"> is the ratio of the molecular mass to elemental mass for greenhouse gas </w:t>
      </w:r>
      <w:r w:rsidRPr="00767FC2">
        <w:rPr>
          <w:i/>
        </w:rPr>
        <w:t>g</w:t>
      </w:r>
      <w:r w:rsidRPr="00767FC2">
        <w:t>, and is equal to:</w:t>
      </w:r>
    </w:p>
    <w:p w14:paraId="2DA84295" w14:textId="77777777" w:rsidR="003D360F" w:rsidRPr="00767FC2" w:rsidRDefault="003D360F" w:rsidP="003D360F">
      <w:pPr>
        <w:pStyle w:val="tPara"/>
      </w:pPr>
      <w:r w:rsidRPr="00767FC2">
        <w:tab/>
        <w:t>(a)</w:t>
      </w:r>
      <w:r w:rsidRPr="00767FC2">
        <w:tab/>
      </w:r>
      <w:proofErr w:type="gramStart"/>
      <w:r w:rsidRPr="00767FC2">
        <w:t>for</w:t>
      </w:r>
      <w:proofErr w:type="gramEnd"/>
      <w:r w:rsidRPr="00767FC2">
        <w:t xml:space="preserve"> methane (CH</w:t>
      </w:r>
      <w:r w:rsidRPr="00767FC2">
        <w:rPr>
          <w:vertAlign w:val="subscript"/>
        </w:rPr>
        <w:t>4</w:t>
      </w:r>
      <w:r w:rsidRPr="00767FC2">
        <w:t>)—1.3333; and</w:t>
      </w:r>
    </w:p>
    <w:p w14:paraId="2B0F18FC" w14:textId="77777777" w:rsidR="003D360F" w:rsidRPr="00767FC2" w:rsidRDefault="003D360F" w:rsidP="003D360F">
      <w:pPr>
        <w:pStyle w:val="tPara"/>
      </w:pPr>
      <w:r w:rsidRPr="00767FC2">
        <w:tab/>
        <w:t>(b)</w:t>
      </w:r>
      <w:r w:rsidRPr="00767FC2">
        <w:tab/>
      </w:r>
      <w:proofErr w:type="gramStart"/>
      <w:r w:rsidRPr="00767FC2">
        <w:t>for</w:t>
      </w:r>
      <w:proofErr w:type="gramEnd"/>
      <w:r w:rsidRPr="00767FC2">
        <w:t xml:space="preserve"> nitrous oxide (N</w:t>
      </w:r>
      <w:r w:rsidRPr="00767FC2">
        <w:rPr>
          <w:vertAlign w:val="subscript"/>
        </w:rPr>
        <w:t>2</w:t>
      </w:r>
      <w:r w:rsidRPr="00767FC2">
        <w:t>O)—1.5714.</w:t>
      </w:r>
    </w:p>
    <w:p w14:paraId="7D3E40A1" w14:textId="77777777" w:rsidR="003D360F" w:rsidRPr="00767FC2" w:rsidRDefault="003D360F" w:rsidP="003D360F">
      <w:pPr>
        <w:pStyle w:val="tDefn"/>
      </w:pPr>
      <w:proofErr w:type="spellStart"/>
      <w:r w:rsidRPr="00767FC2">
        <w:rPr>
          <w:b/>
          <w:i/>
        </w:rPr>
        <w:t>GWP</w:t>
      </w:r>
      <w:r w:rsidRPr="00767FC2">
        <w:rPr>
          <w:b/>
          <w:i/>
          <w:vertAlign w:val="subscript"/>
        </w:rPr>
        <w:t>g</w:t>
      </w:r>
      <w:proofErr w:type="spellEnd"/>
      <w:r w:rsidRPr="00767FC2">
        <w:t xml:space="preserve"> is the global warming potential of greenhouse gas </w:t>
      </w:r>
      <w:r w:rsidRPr="00767FC2">
        <w:rPr>
          <w:i/>
        </w:rPr>
        <w:t>g</w:t>
      </w:r>
      <w:r w:rsidR="003D28F5" w:rsidRPr="00767FC2">
        <w:t>, in tonnes of CO</w:t>
      </w:r>
      <w:r w:rsidR="003D28F5" w:rsidRPr="00767FC2">
        <w:rPr>
          <w:vertAlign w:val="subscript"/>
        </w:rPr>
        <w:t>2</w:t>
      </w:r>
      <w:r w:rsidR="003D28F5" w:rsidRPr="00767FC2">
        <w:noBreakHyphen/>
        <w:t>e per tonne of carbon</w:t>
      </w:r>
      <w:r w:rsidRPr="00767FC2">
        <w:t xml:space="preserve">—from the </w:t>
      </w:r>
      <w:r w:rsidRPr="00767FC2">
        <w:rPr>
          <w:i/>
        </w:rPr>
        <w:t>National Greenhouse and Energy Reporting Regulations 2008</w:t>
      </w:r>
      <w:r w:rsidRPr="00767FC2">
        <w:t>.</w:t>
      </w:r>
    </w:p>
    <w:p w14:paraId="58424C75" w14:textId="77777777" w:rsidR="003D360F" w:rsidRPr="00767FC2" w:rsidRDefault="001626C4" w:rsidP="0042534E">
      <w:pPr>
        <w:pStyle w:val="h5Section"/>
      </w:pPr>
      <w:bookmarkStart w:id="163" w:name="_Toc413155615"/>
      <w:bookmarkStart w:id="164" w:name="_Toc509567239"/>
      <w:proofErr w:type="gramStart"/>
      <w:r w:rsidRPr="00767FC2">
        <w:t>8</w:t>
      </w:r>
      <w:r w:rsidR="0042534E" w:rsidRPr="00767FC2">
        <w:t xml:space="preserve">  </w:t>
      </w:r>
      <w:r w:rsidR="003D360F" w:rsidRPr="00767FC2">
        <w:t>Fuel</w:t>
      </w:r>
      <w:proofErr w:type="gramEnd"/>
      <w:r w:rsidR="003D360F" w:rsidRPr="00767FC2">
        <w:t xml:space="preserve"> </w:t>
      </w:r>
      <w:bookmarkEnd w:id="163"/>
      <w:r w:rsidR="003D360F" w:rsidRPr="00767FC2">
        <w:t>loads</w:t>
      </w:r>
      <w:r w:rsidR="00945B91" w:rsidRPr="00767FC2">
        <w:t>—</w:t>
      </w:r>
      <w:r w:rsidR="007F25E8" w:rsidRPr="00767FC2">
        <w:t>shrub</w:t>
      </w:r>
      <w:r w:rsidR="00945B91" w:rsidRPr="00767FC2">
        <w:t xml:space="preserve"> fuel and </w:t>
      </w:r>
      <w:r w:rsidR="007F25E8" w:rsidRPr="00767FC2">
        <w:t xml:space="preserve">fine </w:t>
      </w:r>
      <w:r w:rsidR="00945B91" w:rsidRPr="00767FC2">
        <w:t>fuel</w:t>
      </w:r>
      <w:bookmarkEnd w:id="164"/>
    </w:p>
    <w:p w14:paraId="027C1AF8" w14:textId="77777777" w:rsidR="00944227" w:rsidRPr="00767FC2" w:rsidRDefault="003D360F" w:rsidP="003D360F">
      <w:pPr>
        <w:pStyle w:val="tMain"/>
      </w:pPr>
      <w:r w:rsidRPr="00767FC2">
        <w:tab/>
      </w:r>
      <w:r w:rsidR="001626C4" w:rsidRPr="00767FC2">
        <w:t>(1)</w:t>
      </w:r>
      <w:r w:rsidRPr="00767FC2">
        <w:tab/>
        <w:t>T</w:t>
      </w:r>
      <w:r w:rsidR="007B46F4" w:rsidRPr="00767FC2">
        <w:t>his section sets out how t</w:t>
      </w:r>
      <w:r w:rsidRPr="00767FC2">
        <w:t xml:space="preserve">o calculate the fuel loads for the project area </w:t>
      </w:r>
      <w:r w:rsidR="008E6A87" w:rsidRPr="00767FC2">
        <w:t xml:space="preserve">for a calendar year </w:t>
      </w:r>
      <w:r w:rsidR="005F2B6D" w:rsidRPr="00767FC2">
        <w:t xml:space="preserve">for shrub fuel and fine fuel </w:t>
      </w:r>
      <w:r w:rsidRPr="00767FC2">
        <w:t xml:space="preserve">for the definition of </w:t>
      </w:r>
      <w:proofErr w:type="spellStart"/>
      <w:r w:rsidRPr="00767FC2">
        <w:rPr>
          <w:i/>
        </w:rPr>
        <w:t>FL</w:t>
      </w:r>
      <w:r w:rsidRPr="00767FC2">
        <w:rPr>
          <w:i/>
          <w:vertAlign w:val="subscript"/>
        </w:rPr>
        <w:t>f</w:t>
      </w:r>
      <w:proofErr w:type="gramStart"/>
      <w:r w:rsidRPr="00767FC2">
        <w:rPr>
          <w:i/>
          <w:vertAlign w:val="subscript"/>
        </w:rPr>
        <w:t>,v,s</w:t>
      </w:r>
      <w:proofErr w:type="spellEnd"/>
      <w:proofErr w:type="gramEnd"/>
      <w:r w:rsidRPr="00767FC2">
        <w:t xml:space="preserve"> for subsection </w:t>
      </w:r>
      <w:r w:rsidR="00964086" w:rsidRPr="00767FC2">
        <w:t>7(2)</w:t>
      </w:r>
      <w:r w:rsidR="00944227" w:rsidRPr="00767FC2">
        <w:t>.</w:t>
      </w:r>
    </w:p>
    <w:p w14:paraId="6E23563C" w14:textId="77777777" w:rsidR="003D360F" w:rsidRPr="00767FC2" w:rsidRDefault="00944227" w:rsidP="00944227">
      <w:pPr>
        <w:pStyle w:val="tMain"/>
      </w:pPr>
      <w:r w:rsidRPr="00767FC2">
        <w:tab/>
      </w:r>
      <w:r w:rsidR="001626C4" w:rsidRPr="00767FC2">
        <w:t>(2)</w:t>
      </w:r>
      <w:r w:rsidRPr="00767FC2">
        <w:tab/>
        <w:t>T</w:t>
      </w:r>
      <w:r w:rsidR="003D360F" w:rsidRPr="00767FC2">
        <w:t>he project proponent must:</w:t>
      </w:r>
    </w:p>
    <w:p w14:paraId="5CB03A34" w14:textId="77777777" w:rsidR="003D360F" w:rsidRPr="00767FC2" w:rsidRDefault="003D360F" w:rsidP="003D360F">
      <w:pPr>
        <w:pStyle w:val="tPara"/>
      </w:pPr>
      <w:r w:rsidRPr="00767FC2">
        <w:tab/>
      </w:r>
      <w:r w:rsidR="001626C4" w:rsidRPr="00767FC2">
        <w:t>(a)</w:t>
      </w:r>
      <w:r w:rsidRPr="00767FC2">
        <w:tab/>
      </w:r>
      <w:r w:rsidR="008E6A87" w:rsidRPr="00767FC2">
        <w:t xml:space="preserve">in accordance with the savanna technical guidance document, </w:t>
      </w:r>
      <w:r w:rsidRPr="00767FC2">
        <w:t>produce or source a years</w:t>
      </w:r>
      <w:r w:rsidRPr="00767FC2">
        <w:softHyphen/>
      </w:r>
      <w:r w:rsidRPr="00767FC2">
        <w:noBreakHyphen/>
        <w:t>since</w:t>
      </w:r>
      <w:r w:rsidRPr="00767FC2">
        <w:noBreakHyphen/>
        <w:t>last</w:t>
      </w:r>
      <w:r w:rsidRPr="00767FC2">
        <w:noBreakHyphen/>
        <w:t xml:space="preserve">burnt (YSLB) map </w:t>
      </w:r>
      <w:r w:rsidR="00193722" w:rsidRPr="00767FC2">
        <w:t xml:space="preserve">for the calendar year </w:t>
      </w:r>
      <w:r w:rsidRPr="00767FC2">
        <w:t>that covers the project area; and</w:t>
      </w:r>
    </w:p>
    <w:p w14:paraId="6FB5B7C7" w14:textId="77777777" w:rsidR="003D360F" w:rsidRPr="00767FC2" w:rsidRDefault="003D360F" w:rsidP="003D360F">
      <w:pPr>
        <w:pStyle w:val="tPara"/>
      </w:pPr>
      <w:r w:rsidRPr="00767FC2">
        <w:tab/>
      </w:r>
      <w:r w:rsidR="001626C4" w:rsidRPr="00767FC2">
        <w:t>(b)</w:t>
      </w:r>
      <w:r w:rsidRPr="00767FC2">
        <w:tab/>
        <w:t xml:space="preserve">use that map to determine, for years-since-last-burnt values </w:t>
      </w:r>
      <w:r w:rsidRPr="00767FC2">
        <w:rPr>
          <w:i/>
        </w:rPr>
        <w:t xml:space="preserve">YSLB </w:t>
      </w:r>
      <w:r w:rsidRPr="00767FC2">
        <w:t xml:space="preserve">= 1 to 11, </w:t>
      </w:r>
      <w:r w:rsidRPr="00767FC2">
        <w:rPr>
          <w:szCs w:val="22"/>
        </w:rPr>
        <w:t xml:space="preserve">for the calendar year, and for each vegetation fuel type </w:t>
      </w:r>
      <w:r w:rsidRPr="00767FC2">
        <w:rPr>
          <w:i/>
          <w:szCs w:val="22"/>
        </w:rPr>
        <w:t>v</w:t>
      </w:r>
      <w:r w:rsidRPr="00767FC2">
        <w:t xml:space="preserve">, the area burnt, </w:t>
      </w:r>
      <w:proofErr w:type="spellStart"/>
      <w:r w:rsidRPr="00767FC2">
        <w:rPr>
          <w:i/>
        </w:rPr>
        <w:t>S</w:t>
      </w:r>
      <w:r w:rsidRPr="00767FC2">
        <w:rPr>
          <w:i/>
          <w:vertAlign w:val="subscript"/>
        </w:rPr>
        <w:t>YSLB,v</w:t>
      </w:r>
      <w:proofErr w:type="spellEnd"/>
      <w:r w:rsidRPr="00767FC2">
        <w:t xml:space="preserve"> for the project area</w:t>
      </w:r>
      <w:r w:rsidRPr="00767FC2">
        <w:rPr>
          <w:szCs w:val="22"/>
        </w:rPr>
        <w:t>,</w:t>
      </w:r>
      <w:r w:rsidRPr="00767FC2">
        <w:t xml:space="preserve"> by </w:t>
      </w:r>
      <w:r w:rsidR="003B1314" w:rsidRPr="00767FC2">
        <w:t xml:space="preserve">comparing </w:t>
      </w:r>
      <w:r w:rsidRPr="00767FC2">
        <w:t>the YSLB map for the year with the vegetation fuel type map; and</w:t>
      </w:r>
    </w:p>
    <w:p w14:paraId="295833CC" w14:textId="77777777" w:rsidR="003D360F" w:rsidRPr="00767FC2" w:rsidRDefault="003D360F" w:rsidP="003D360F">
      <w:pPr>
        <w:pStyle w:val="tPara"/>
      </w:pPr>
      <w:r w:rsidRPr="00767FC2">
        <w:tab/>
      </w:r>
      <w:r w:rsidR="001626C4" w:rsidRPr="00767FC2">
        <w:t>(c)</w:t>
      </w:r>
      <w:r w:rsidRPr="00767FC2">
        <w:tab/>
      </w:r>
      <w:proofErr w:type="gramStart"/>
      <w:r w:rsidRPr="00767FC2">
        <w:t>use</w:t>
      </w:r>
      <w:proofErr w:type="gramEnd"/>
      <w:r w:rsidRPr="00767FC2">
        <w:t xml:space="preserve"> those areas burnt to calculate the fuel load, </w:t>
      </w:r>
      <w:proofErr w:type="spellStart"/>
      <w:r w:rsidRPr="00767FC2">
        <w:rPr>
          <w:i/>
        </w:rPr>
        <w:t>FL</w:t>
      </w:r>
      <w:r w:rsidRPr="00767FC2">
        <w:rPr>
          <w:i/>
          <w:vertAlign w:val="subscript"/>
        </w:rPr>
        <w:t>f,</w:t>
      </w:r>
      <w:r w:rsidR="00F62BD9" w:rsidRPr="00767FC2">
        <w:rPr>
          <w:i/>
          <w:vertAlign w:val="subscript"/>
        </w:rPr>
        <w:t>v,</w:t>
      </w:r>
      <w:r w:rsidRPr="00767FC2">
        <w:rPr>
          <w:i/>
          <w:vertAlign w:val="subscript"/>
        </w:rPr>
        <w:t>s</w:t>
      </w:r>
      <w:proofErr w:type="spellEnd"/>
      <w:r w:rsidRPr="00767FC2">
        <w:t xml:space="preserve"> for the project area,</w:t>
      </w:r>
      <w:r w:rsidRPr="00767FC2">
        <w:rPr>
          <w:i/>
        </w:rPr>
        <w:t xml:space="preserve"> </w:t>
      </w:r>
      <w:r w:rsidR="007B4BBE" w:rsidRPr="00767FC2">
        <w:t xml:space="preserve">in tonnes of biomass per hectare, </w:t>
      </w:r>
      <w:r w:rsidRPr="00767FC2">
        <w:t xml:space="preserve">for fuel size class </w:t>
      </w:r>
      <w:r w:rsidRPr="00767FC2">
        <w:rPr>
          <w:i/>
        </w:rPr>
        <w:t>f</w:t>
      </w:r>
      <w:r w:rsidR="006F35BF" w:rsidRPr="00767FC2">
        <w:rPr>
          <w:i/>
        </w:rPr>
        <w:t xml:space="preserve"> </w:t>
      </w:r>
      <w:r w:rsidR="006F35BF" w:rsidRPr="00767FC2">
        <w:t xml:space="preserve">of vegetation fuel type </w:t>
      </w:r>
      <w:r w:rsidR="006F35BF" w:rsidRPr="00767FC2">
        <w:rPr>
          <w:i/>
        </w:rPr>
        <w:t>v</w:t>
      </w:r>
      <w:r w:rsidRPr="00767FC2">
        <w:rPr>
          <w:szCs w:val="22"/>
        </w:rPr>
        <w:t xml:space="preserve">, for fire season </w:t>
      </w:r>
      <w:r w:rsidRPr="00767FC2">
        <w:rPr>
          <w:i/>
          <w:szCs w:val="22"/>
        </w:rPr>
        <w:t>s</w:t>
      </w:r>
      <w:r w:rsidRPr="00767FC2">
        <w:rPr>
          <w:szCs w:val="22"/>
        </w:rPr>
        <w:t xml:space="preserve"> </w:t>
      </w:r>
      <w:r w:rsidR="006F35BF" w:rsidRPr="00767FC2">
        <w:rPr>
          <w:szCs w:val="22"/>
        </w:rPr>
        <w:t>of</w:t>
      </w:r>
      <w:r w:rsidRPr="00767FC2">
        <w:rPr>
          <w:i/>
          <w:szCs w:val="22"/>
        </w:rPr>
        <w:t xml:space="preserve"> </w:t>
      </w:r>
      <w:r w:rsidRPr="00767FC2">
        <w:rPr>
          <w:szCs w:val="22"/>
        </w:rPr>
        <w:t>the calendar</w:t>
      </w:r>
      <w:r w:rsidRPr="00767FC2">
        <w:rPr>
          <w:i/>
          <w:szCs w:val="22"/>
        </w:rPr>
        <w:t xml:space="preserve"> </w:t>
      </w:r>
      <w:r w:rsidRPr="00767FC2">
        <w:t xml:space="preserve">year, in accordance with </w:t>
      </w:r>
      <w:r w:rsidR="00964086" w:rsidRPr="00767FC2">
        <w:t xml:space="preserve">equation </w:t>
      </w:r>
      <w:r w:rsidR="00964086" w:rsidRPr="00767FC2">
        <w:rPr>
          <w:noProof/>
        </w:rPr>
        <w:t>7</w:t>
      </w:r>
      <w:r w:rsidRPr="00767FC2">
        <w:t>.</w:t>
      </w:r>
    </w:p>
    <w:p w14:paraId="37C7DF2B" w14:textId="77777777" w:rsidR="003D360F" w:rsidRPr="00767FC2" w:rsidRDefault="003D360F" w:rsidP="003D360F">
      <w:pPr>
        <w:pStyle w:val="tMain"/>
        <w:spacing w:after="120"/>
      </w:pPr>
      <w:r w:rsidRPr="00767FC2">
        <w:tab/>
      </w:r>
      <w:r w:rsidR="001626C4" w:rsidRPr="00767FC2">
        <w:t>(3)</w:t>
      </w:r>
      <w:r w:rsidRPr="00767FC2">
        <w:tab/>
        <w:t>For paragraph </w:t>
      </w:r>
      <w:r w:rsidR="00964086" w:rsidRPr="00767FC2">
        <w:t>(2</w:t>
      </w:r>
      <w:proofErr w:type="gramStart"/>
      <w:r w:rsidR="00964086" w:rsidRPr="00767FC2">
        <w:t>)(</w:t>
      </w:r>
      <w:proofErr w:type="gramEnd"/>
      <w:r w:rsidR="00964086" w:rsidRPr="00767FC2">
        <w:t>c)</w:t>
      </w:r>
      <w:r w:rsidRPr="00767FC2">
        <w:t>, the equation is the following:</w:t>
      </w:r>
    </w:p>
    <w:tbl>
      <w:tblPr>
        <w:tblStyle w:val="TableGrid"/>
        <w:tblW w:w="0" w:type="auto"/>
        <w:tblInd w:w="1134" w:type="dxa"/>
        <w:tblLook w:val="04A0" w:firstRow="1" w:lastRow="0" w:firstColumn="1" w:lastColumn="0" w:noHBand="0" w:noVBand="1"/>
      </w:tblPr>
      <w:tblGrid>
        <w:gridCol w:w="6516"/>
        <w:gridCol w:w="1366"/>
      </w:tblGrid>
      <w:tr w:rsidR="00767FC2" w:rsidRPr="00767FC2" w14:paraId="5E791CD0" w14:textId="77777777" w:rsidTr="00B653A0">
        <w:trPr>
          <w:trHeight w:val="1108"/>
        </w:trPr>
        <w:tc>
          <w:tcPr>
            <w:tcW w:w="6516" w:type="dxa"/>
            <w:vAlign w:val="center"/>
          </w:tcPr>
          <w:p w14:paraId="09C94818" w14:textId="77777777" w:rsidR="003D360F" w:rsidRPr="00767FC2" w:rsidRDefault="008928CA" w:rsidP="00B653A0">
            <m:oMathPara>
              <m:oMath>
                <m:sSub>
                  <m:sSubPr>
                    <m:ctrlPr>
                      <w:rPr>
                        <w:rFonts w:ascii="Cambria Math" w:eastAsiaTheme="minorHAnsi" w:hAnsi="Cambria Math" w:cstheme="minorBidi"/>
                        <w:i/>
                        <w:szCs w:val="22"/>
                      </w:rPr>
                    </m:ctrlPr>
                  </m:sSubPr>
                  <m:e>
                    <m:r>
                      <w:rPr>
                        <w:rFonts w:ascii="Cambria Math" w:eastAsiaTheme="minorHAnsi" w:hAnsi="Cambria Math" w:cstheme="minorBidi"/>
                        <w:szCs w:val="22"/>
                      </w:rPr>
                      <m:t>FL</m:t>
                    </m:r>
                  </m:e>
                  <m:sub>
                    <m:r>
                      <w:rPr>
                        <w:rFonts w:ascii="Cambria Math" w:hAnsi="Cambria Math"/>
                      </w:rPr>
                      <m:t>f,v,s</m:t>
                    </m:r>
                  </m:sub>
                </m:sSub>
                <m:r>
                  <w:rPr>
                    <w:rFonts w:ascii="Cambria Math" w:hAnsi="Cambria Math"/>
                  </w:rPr>
                  <m:t xml:space="preserve">= </m:t>
                </m:r>
                <m:f>
                  <m:fPr>
                    <m:type m:val="lin"/>
                    <m:ctrlPr>
                      <w:rPr>
                        <w:rFonts w:ascii="Cambria Math" w:hAnsi="Cambria Math"/>
                        <w:i/>
                      </w:rPr>
                    </m:ctrlPr>
                  </m:fPr>
                  <m:num>
                    <m:d>
                      <m:dPr>
                        <m:ctrlPr>
                          <w:rPr>
                            <w:rFonts w:ascii="Cambria Math" w:hAnsi="Cambria Math"/>
                            <w:i/>
                          </w:rPr>
                        </m:ctrlPr>
                      </m:dPr>
                      <m:e>
                        <m:nary>
                          <m:naryPr>
                            <m:chr m:val="∑"/>
                            <m:limLoc m:val="undOvr"/>
                            <m:grow m:val="1"/>
                            <m:ctrlPr>
                              <w:rPr>
                                <w:rFonts w:ascii="Cambria Math" w:hAnsi="Cambria Math"/>
                                <w:i/>
                              </w:rPr>
                            </m:ctrlPr>
                          </m:naryPr>
                          <m:sub>
                            <m:r>
                              <w:rPr>
                                <w:rFonts w:ascii="Cambria Math" w:hAnsi="Cambria Math"/>
                              </w:rPr>
                              <m:t>YSLB=1</m:t>
                            </m:r>
                          </m:sub>
                          <m:sup>
                            <m:r>
                              <w:rPr>
                                <w:rFonts w:ascii="Cambria Math" w:hAnsi="Cambria Math"/>
                              </w:rPr>
                              <m:t>11</m:t>
                            </m:r>
                          </m:sup>
                          <m:e>
                            <m:d>
                              <m:dPr>
                                <m:ctrlPr>
                                  <w:rPr>
                                    <w:rFonts w:ascii="Cambria Math" w:eastAsiaTheme="minorHAnsi" w:hAnsi="Cambria Math" w:cstheme="minorBidi"/>
                                    <w:i/>
                                    <w:szCs w:val="22"/>
                                  </w:rPr>
                                </m:ctrlPr>
                              </m:dPr>
                              <m:e>
                                <m:sSub>
                                  <m:sSubPr>
                                    <m:ctrlPr>
                                      <w:rPr>
                                        <w:rFonts w:ascii="Cambria Math" w:eastAsiaTheme="minorHAnsi" w:hAnsi="Cambria Math" w:cstheme="minorBidi"/>
                                        <w:i/>
                                        <w:szCs w:val="22"/>
                                      </w:rPr>
                                    </m:ctrlPr>
                                  </m:sSubPr>
                                  <m:e>
                                    <m:r>
                                      <w:rPr>
                                        <w:rFonts w:ascii="Cambria Math" w:hAnsi="Cambria Math"/>
                                      </w:rPr>
                                      <m:t>S</m:t>
                                    </m:r>
                                  </m:e>
                                  <m:sub>
                                    <m:r>
                                      <w:rPr>
                                        <w:rFonts w:ascii="Cambria Math" w:hAnsi="Cambria Math"/>
                                      </w:rPr>
                                      <m:t>YSLB,v</m:t>
                                    </m:r>
                                  </m:sub>
                                </m:sSub>
                                <m:r>
                                  <w:rPr>
                                    <w:rFonts w:ascii="Cambria Math" w:hAnsi="Cambria Math"/>
                                  </w:rPr>
                                  <m:t>×</m:t>
                                </m:r>
                                <m:sSub>
                                  <m:sSubPr>
                                    <m:ctrlPr>
                                      <w:rPr>
                                        <w:rFonts w:ascii="Cambria Math" w:eastAsiaTheme="minorHAnsi" w:hAnsi="Cambria Math" w:cstheme="minorBidi"/>
                                        <w:i/>
                                        <w:szCs w:val="22"/>
                                      </w:rPr>
                                    </m:ctrlPr>
                                  </m:sSubPr>
                                  <m:e>
                                    <m:r>
                                      <w:rPr>
                                        <w:rFonts w:ascii="Cambria Math" w:hAnsi="Cambria Math"/>
                                      </w:rPr>
                                      <m:t>FA</m:t>
                                    </m:r>
                                    <m:ctrlPr>
                                      <w:rPr>
                                        <w:rFonts w:ascii="Cambria Math" w:hAnsi="Cambria Math"/>
                                        <w:i/>
                                      </w:rPr>
                                    </m:ctrlPr>
                                  </m:e>
                                  <m:sub>
                                    <m:r>
                                      <w:rPr>
                                        <w:rFonts w:ascii="Cambria Math" w:hAnsi="Cambria Math"/>
                                      </w:rPr>
                                      <m:t>YSLB,f,v,s</m:t>
                                    </m:r>
                                  </m:sub>
                                </m:sSub>
                              </m:e>
                            </m:d>
                          </m:e>
                        </m:nary>
                      </m:e>
                    </m:d>
                  </m:num>
                  <m:den>
                    <m:d>
                      <m:dPr>
                        <m:ctrlPr>
                          <w:rPr>
                            <w:rFonts w:ascii="Cambria Math" w:eastAsiaTheme="minorHAnsi" w:hAnsi="Cambria Math" w:cstheme="minorBidi"/>
                            <w:i/>
                            <w:szCs w:val="22"/>
                          </w:rPr>
                        </m:ctrlPr>
                      </m:dPr>
                      <m:e>
                        <m:nary>
                          <m:naryPr>
                            <m:chr m:val="∑"/>
                            <m:limLoc m:val="undOvr"/>
                            <m:grow m:val="1"/>
                            <m:ctrlPr>
                              <w:rPr>
                                <w:rFonts w:ascii="Cambria Math" w:eastAsiaTheme="minorHAnsi" w:hAnsi="Cambria Math" w:cstheme="minorBidi"/>
                                <w:i/>
                                <w:szCs w:val="22"/>
                              </w:rPr>
                            </m:ctrlPr>
                          </m:naryPr>
                          <m:sub>
                            <m:r>
                              <w:rPr>
                                <w:rFonts w:ascii="Cambria Math" w:eastAsiaTheme="minorHAnsi" w:hAnsi="Cambria Math" w:cstheme="minorBidi"/>
                                <w:szCs w:val="22"/>
                              </w:rPr>
                              <m:t>YSLB=1</m:t>
                            </m:r>
                          </m:sub>
                          <m:sup>
                            <m:r>
                              <w:rPr>
                                <w:rFonts w:ascii="Cambria Math" w:eastAsiaTheme="minorHAnsi" w:hAnsi="Cambria Math" w:cstheme="minorBidi"/>
                                <w:szCs w:val="22"/>
                              </w:rPr>
                              <m:t>11</m:t>
                            </m:r>
                          </m:sup>
                          <m:e>
                            <m:sSub>
                              <m:sSubPr>
                                <m:ctrlPr>
                                  <w:rPr>
                                    <w:rFonts w:ascii="Cambria Math" w:eastAsiaTheme="minorHAnsi" w:hAnsi="Cambria Math" w:cstheme="minorBidi"/>
                                    <w:i/>
                                    <w:szCs w:val="22"/>
                                  </w:rPr>
                                </m:ctrlPr>
                              </m:sSubPr>
                              <m:e>
                                <m:r>
                                  <w:rPr>
                                    <w:rFonts w:ascii="Cambria Math" w:hAnsi="Cambria Math"/>
                                  </w:rPr>
                                  <m:t>S</m:t>
                                </m:r>
                              </m:e>
                              <m:sub>
                                <m:r>
                                  <w:rPr>
                                    <w:rFonts w:ascii="Cambria Math" w:hAnsi="Cambria Math"/>
                                  </w:rPr>
                                  <m:t>YSLB,v</m:t>
                                </m:r>
                              </m:sub>
                            </m:sSub>
                          </m:e>
                        </m:nary>
                      </m:e>
                    </m:d>
                  </m:den>
                </m:f>
              </m:oMath>
            </m:oMathPara>
          </w:p>
        </w:tc>
        <w:tc>
          <w:tcPr>
            <w:tcW w:w="1366" w:type="dxa"/>
            <w:vAlign w:val="center"/>
          </w:tcPr>
          <w:p w14:paraId="09DF8189" w14:textId="77777777" w:rsidR="003D360F" w:rsidRPr="00767FC2" w:rsidRDefault="003D360F" w:rsidP="00B653A0">
            <w:pPr>
              <w:pStyle w:val="Tabletext"/>
            </w:pPr>
            <w:bookmarkStart w:id="165" w:name="_Ref441737280"/>
            <w:r w:rsidRPr="00767FC2">
              <w:t xml:space="preserve">equation </w:t>
            </w:r>
            <w:r w:rsidR="00964086" w:rsidRPr="00767FC2">
              <w:rPr>
                <w:noProof/>
              </w:rPr>
              <w:t>7</w:t>
            </w:r>
            <w:bookmarkEnd w:id="165"/>
          </w:p>
        </w:tc>
      </w:tr>
    </w:tbl>
    <w:p w14:paraId="675352AB" w14:textId="77777777" w:rsidR="003D360F" w:rsidRPr="00767FC2" w:rsidRDefault="003D360F" w:rsidP="003D360F">
      <w:pPr>
        <w:pStyle w:val="tMain"/>
      </w:pPr>
      <w:r w:rsidRPr="00767FC2">
        <w:tab/>
      </w:r>
      <w:r w:rsidRPr="00767FC2">
        <w:tab/>
      </w:r>
      <w:proofErr w:type="gramStart"/>
      <w:r w:rsidRPr="00767FC2">
        <w:t>where</w:t>
      </w:r>
      <w:proofErr w:type="gramEnd"/>
      <w:r w:rsidRPr="00767FC2">
        <w:t>:</w:t>
      </w:r>
    </w:p>
    <w:p w14:paraId="029754AC" w14:textId="77777777" w:rsidR="003D360F" w:rsidRPr="00767FC2" w:rsidRDefault="003D360F" w:rsidP="003D360F">
      <w:pPr>
        <w:pStyle w:val="tDefn"/>
      </w:pPr>
      <w:proofErr w:type="spellStart"/>
      <w:r w:rsidRPr="00767FC2">
        <w:rPr>
          <w:b/>
          <w:i/>
          <w:szCs w:val="22"/>
          <w:lang w:eastAsia="en-US"/>
        </w:rPr>
        <w:t>S</w:t>
      </w:r>
      <w:r w:rsidRPr="00767FC2">
        <w:rPr>
          <w:b/>
          <w:i/>
          <w:szCs w:val="22"/>
          <w:vertAlign w:val="subscript"/>
          <w:lang w:eastAsia="en-US"/>
        </w:rPr>
        <w:t>YSLB,v</w:t>
      </w:r>
      <w:proofErr w:type="spellEnd"/>
      <w:r w:rsidRPr="00767FC2">
        <w:rPr>
          <w:szCs w:val="22"/>
          <w:lang w:eastAsia="en-US"/>
        </w:rPr>
        <w:t xml:space="preserve"> is </w:t>
      </w:r>
      <w:r w:rsidRPr="00767FC2">
        <w:t>the area of the project area burnt</w:t>
      </w:r>
      <w:r w:rsidR="006F35BF" w:rsidRPr="00767FC2">
        <w:t xml:space="preserve"> in the calendar year</w:t>
      </w:r>
      <w:r w:rsidRPr="00767FC2">
        <w:t xml:space="preserve">, in hectares, for years-since-last burnt value </w:t>
      </w:r>
      <w:r w:rsidRPr="00767FC2">
        <w:rPr>
          <w:i/>
        </w:rPr>
        <w:t>YSLB</w:t>
      </w:r>
      <w:r w:rsidRPr="00767FC2">
        <w:t xml:space="preserve"> </w:t>
      </w:r>
      <w:r w:rsidR="006F35BF" w:rsidRPr="00767FC2">
        <w:t xml:space="preserve">and </w:t>
      </w:r>
      <w:r w:rsidRPr="00767FC2">
        <w:t xml:space="preserve">for vegetation fuel type </w:t>
      </w:r>
      <w:r w:rsidRPr="00767FC2">
        <w:rPr>
          <w:i/>
        </w:rPr>
        <w:t>v</w:t>
      </w:r>
      <w:r w:rsidRPr="00767FC2">
        <w:t>, from paragraph </w:t>
      </w:r>
      <w:r w:rsidR="00964086" w:rsidRPr="00767FC2">
        <w:t>(</w:t>
      </w:r>
      <w:r w:rsidR="00360E1C" w:rsidRPr="00767FC2">
        <w:t>2</w:t>
      </w:r>
      <w:r w:rsidR="00964086" w:rsidRPr="00767FC2">
        <w:t>)(b)</w:t>
      </w:r>
      <w:r w:rsidRPr="00767FC2">
        <w:t>.</w:t>
      </w:r>
    </w:p>
    <w:p w14:paraId="02980934" w14:textId="77777777" w:rsidR="003D360F" w:rsidRPr="00767FC2" w:rsidRDefault="003D360F" w:rsidP="003D360F">
      <w:pPr>
        <w:pStyle w:val="tDefn"/>
      </w:pPr>
      <w:proofErr w:type="spellStart"/>
      <w:r w:rsidRPr="00767FC2">
        <w:rPr>
          <w:b/>
          <w:i/>
        </w:rPr>
        <w:lastRenderedPageBreak/>
        <w:t>FA</w:t>
      </w:r>
      <w:r w:rsidRPr="00767FC2">
        <w:rPr>
          <w:b/>
          <w:i/>
          <w:vertAlign w:val="subscript"/>
        </w:rPr>
        <w:t>YSLB</w:t>
      </w:r>
      <w:proofErr w:type="gramStart"/>
      <w:r w:rsidRPr="00767FC2">
        <w:rPr>
          <w:b/>
          <w:i/>
          <w:vertAlign w:val="subscript"/>
        </w:rPr>
        <w:t>,f,v,s</w:t>
      </w:r>
      <w:proofErr w:type="spellEnd"/>
      <w:proofErr w:type="gramEnd"/>
      <w:r w:rsidRPr="00767FC2">
        <w:t xml:space="preserve"> is the fuel accumulation value for years-since-last-burnt value </w:t>
      </w:r>
      <w:r w:rsidRPr="00767FC2">
        <w:rPr>
          <w:i/>
        </w:rPr>
        <w:t>YSLB</w:t>
      </w:r>
      <w:r w:rsidRPr="00767FC2">
        <w:t xml:space="preserve">, in tonnes </w:t>
      </w:r>
      <w:r w:rsidR="007B4BBE" w:rsidRPr="00767FC2">
        <w:t xml:space="preserve">of biomass </w:t>
      </w:r>
      <w:r w:rsidRPr="00767FC2">
        <w:t xml:space="preserve">per hectare, for fuel size class </w:t>
      </w:r>
      <w:r w:rsidRPr="00767FC2">
        <w:rPr>
          <w:i/>
        </w:rPr>
        <w:t xml:space="preserve">f </w:t>
      </w:r>
      <w:r w:rsidRPr="00767FC2">
        <w:t xml:space="preserve">of vegetation fuel type </w:t>
      </w:r>
      <w:r w:rsidRPr="00767FC2">
        <w:rPr>
          <w:i/>
        </w:rPr>
        <w:t>v</w:t>
      </w:r>
      <w:r w:rsidRPr="00767FC2">
        <w:t xml:space="preserve"> for fire season </w:t>
      </w:r>
      <w:r w:rsidRPr="00767FC2">
        <w:rPr>
          <w:i/>
        </w:rPr>
        <w:t>s</w:t>
      </w:r>
      <w:r w:rsidRPr="00767FC2">
        <w:t>, as given by the savanna technical guidance document.</w:t>
      </w:r>
    </w:p>
    <w:p w14:paraId="1DA5C4A5" w14:textId="77777777" w:rsidR="00945B91" w:rsidRPr="00767FC2" w:rsidRDefault="001626C4" w:rsidP="00945B91">
      <w:pPr>
        <w:pStyle w:val="h5Section"/>
      </w:pPr>
      <w:bookmarkStart w:id="166" w:name="_Toc488935094"/>
      <w:bookmarkStart w:id="167" w:name="_Toc509567240"/>
      <w:proofErr w:type="gramStart"/>
      <w:r w:rsidRPr="00767FC2">
        <w:t>9</w:t>
      </w:r>
      <w:r w:rsidR="00945B91" w:rsidRPr="00767FC2">
        <w:t xml:space="preserve">  </w:t>
      </w:r>
      <w:r w:rsidR="0042534E" w:rsidRPr="00767FC2">
        <w:t>Fuel</w:t>
      </w:r>
      <w:proofErr w:type="gramEnd"/>
      <w:r w:rsidR="0042534E" w:rsidRPr="00767FC2">
        <w:t xml:space="preserve"> loads—coarse fuel and heavy fuel</w:t>
      </w:r>
      <w:bookmarkEnd w:id="166"/>
      <w:bookmarkEnd w:id="167"/>
    </w:p>
    <w:p w14:paraId="7B75B39E" w14:textId="77777777" w:rsidR="0012678E" w:rsidRPr="00767FC2" w:rsidRDefault="0012678E" w:rsidP="00E51F2F">
      <w:pPr>
        <w:pStyle w:val="tMain"/>
      </w:pPr>
      <w:r w:rsidRPr="00767FC2">
        <w:tab/>
      </w:r>
      <w:r w:rsidR="001626C4" w:rsidRPr="00767FC2">
        <w:t>(1)</w:t>
      </w:r>
      <w:r w:rsidRPr="00767FC2">
        <w:tab/>
        <w:t xml:space="preserve">This section sets out how to calculate the fuel loads for the project area for a calendar year </w:t>
      </w:r>
      <w:r w:rsidR="005F2B6D" w:rsidRPr="00767FC2">
        <w:t xml:space="preserve">for coarse fuel and heavy fuel </w:t>
      </w:r>
      <w:r w:rsidRPr="00767FC2">
        <w:t xml:space="preserve">for the definition of </w:t>
      </w:r>
      <w:proofErr w:type="spellStart"/>
      <w:r w:rsidRPr="00767FC2">
        <w:rPr>
          <w:i/>
        </w:rPr>
        <w:t>FL</w:t>
      </w:r>
      <w:r w:rsidRPr="00767FC2">
        <w:rPr>
          <w:i/>
          <w:vertAlign w:val="subscript"/>
        </w:rPr>
        <w:t>f</w:t>
      </w:r>
      <w:proofErr w:type="gramStart"/>
      <w:r w:rsidRPr="00767FC2">
        <w:rPr>
          <w:i/>
          <w:vertAlign w:val="subscript"/>
        </w:rPr>
        <w:t>,v,s</w:t>
      </w:r>
      <w:proofErr w:type="spellEnd"/>
      <w:proofErr w:type="gramEnd"/>
      <w:r w:rsidRPr="00767FC2">
        <w:t xml:space="preserve"> for subsection </w:t>
      </w:r>
      <w:r w:rsidR="00964086" w:rsidRPr="00767FC2">
        <w:t>7(2)</w:t>
      </w:r>
      <w:r w:rsidRPr="00767FC2">
        <w:t>.</w:t>
      </w:r>
    </w:p>
    <w:p w14:paraId="6D78AA1C" w14:textId="77777777" w:rsidR="00945B91" w:rsidRPr="00767FC2" w:rsidRDefault="00945B91" w:rsidP="00945B91">
      <w:pPr>
        <w:pStyle w:val="h6Subsec"/>
      </w:pPr>
      <w:r w:rsidRPr="00767FC2">
        <w:t>Outline</w:t>
      </w:r>
    </w:p>
    <w:p w14:paraId="4922DBCC" w14:textId="77777777" w:rsidR="00945B91" w:rsidRPr="00767FC2" w:rsidRDefault="00945B91" w:rsidP="00945B91">
      <w:pPr>
        <w:pStyle w:val="tMain"/>
      </w:pPr>
      <w:r w:rsidRPr="00767FC2">
        <w:tab/>
      </w:r>
      <w:r w:rsidR="001626C4" w:rsidRPr="00767FC2">
        <w:t>(2)</w:t>
      </w:r>
      <w:r w:rsidRPr="00767FC2">
        <w:tab/>
      </w:r>
      <w:r w:rsidR="005F2B6D" w:rsidRPr="00767FC2">
        <w:t>The project proponent must</w:t>
      </w:r>
      <w:r w:rsidRPr="00767FC2">
        <w:t>:</w:t>
      </w:r>
    </w:p>
    <w:p w14:paraId="5957030A" w14:textId="77777777" w:rsidR="00945B91" w:rsidRPr="00767FC2" w:rsidRDefault="00945B91" w:rsidP="00945B91">
      <w:pPr>
        <w:pStyle w:val="tPara"/>
      </w:pPr>
      <w:r w:rsidRPr="00767FC2">
        <w:tab/>
      </w:r>
      <w:r w:rsidR="001626C4" w:rsidRPr="00767FC2">
        <w:t>(a)</w:t>
      </w:r>
      <w:r w:rsidRPr="00767FC2">
        <w:tab/>
      </w:r>
      <w:proofErr w:type="gramStart"/>
      <w:r w:rsidRPr="00767FC2">
        <w:t>first</w:t>
      </w:r>
      <w:proofErr w:type="gramEnd"/>
      <w:r w:rsidRPr="00767FC2">
        <w:t xml:space="preserve">, </w:t>
      </w:r>
      <w:r w:rsidR="003B1314" w:rsidRPr="00767FC2">
        <w:t>calculate</w:t>
      </w:r>
      <w:r w:rsidRPr="00767FC2">
        <w:t xml:space="preserve"> the </w:t>
      </w:r>
      <w:r w:rsidR="003B1314" w:rsidRPr="00767FC2">
        <w:t xml:space="preserve">mean </w:t>
      </w:r>
      <w:r w:rsidRPr="00767FC2">
        <w:t xml:space="preserve">fire frequency in vegetation of each vegetation fuel type </w:t>
      </w:r>
      <w:r w:rsidRPr="00767FC2">
        <w:rPr>
          <w:i/>
        </w:rPr>
        <w:t xml:space="preserve">v </w:t>
      </w:r>
      <w:r w:rsidRPr="00767FC2">
        <w:t xml:space="preserve">in each fire season </w:t>
      </w:r>
      <w:r w:rsidRPr="00767FC2">
        <w:rPr>
          <w:i/>
        </w:rPr>
        <w:t>s</w:t>
      </w:r>
      <w:r w:rsidRPr="00767FC2">
        <w:t xml:space="preserve"> for the project area and for the relevant calculation period (see section </w:t>
      </w:r>
      <w:r w:rsidR="00964086" w:rsidRPr="00767FC2">
        <w:t>5</w:t>
      </w:r>
      <w:r w:rsidR="00407354" w:rsidRPr="00767FC2">
        <w:t xml:space="preserve"> of this determination</w:t>
      </w:r>
      <w:r w:rsidRPr="00767FC2">
        <w:t xml:space="preserve">), </w:t>
      </w:r>
      <w:proofErr w:type="spellStart"/>
      <w:r w:rsidRPr="00767FC2">
        <w:rPr>
          <w:b/>
          <w:i/>
        </w:rPr>
        <w:t>FF</w:t>
      </w:r>
      <w:r w:rsidRPr="00767FC2">
        <w:rPr>
          <w:b/>
          <w:i/>
          <w:vertAlign w:val="subscript"/>
        </w:rPr>
        <w:t>v,s</w:t>
      </w:r>
      <w:proofErr w:type="spellEnd"/>
      <w:r w:rsidRPr="00767FC2">
        <w:t xml:space="preserve">, using </w:t>
      </w:r>
      <w:r w:rsidR="00964086" w:rsidRPr="00767FC2">
        <w:t xml:space="preserve">equation </w:t>
      </w:r>
      <w:r w:rsidR="00964086" w:rsidRPr="00767FC2">
        <w:rPr>
          <w:noProof/>
        </w:rPr>
        <w:t>8</w:t>
      </w:r>
      <w:r w:rsidRPr="00767FC2">
        <w:t>, in years</w:t>
      </w:r>
      <w:r w:rsidRPr="00767FC2">
        <w:rPr>
          <w:vertAlign w:val="superscript"/>
        </w:rPr>
        <w:t>–1</w:t>
      </w:r>
      <w:r w:rsidRPr="00767FC2">
        <w:t>; and</w:t>
      </w:r>
    </w:p>
    <w:p w14:paraId="7A1C7FFB" w14:textId="77777777" w:rsidR="00945B91" w:rsidRPr="00767FC2" w:rsidRDefault="00945B91" w:rsidP="00945B91">
      <w:pPr>
        <w:pStyle w:val="nPara"/>
      </w:pPr>
      <w:r w:rsidRPr="00767FC2">
        <w:t>Note:</w:t>
      </w:r>
      <w:r w:rsidRPr="00767FC2">
        <w:tab/>
        <w:t>See section </w:t>
      </w:r>
      <w:r w:rsidR="00964086" w:rsidRPr="00767FC2">
        <w:t>11</w:t>
      </w:r>
      <w:r w:rsidR="00675A8C" w:rsidRPr="00767FC2">
        <w:t xml:space="preserve"> </w:t>
      </w:r>
      <w:r w:rsidRPr="00767FC2">
        <w:t>of this Schedule for adjustments to these calculations if some or all of these fire frequencies are equal to zero.</w:t>
      </w:r>
    </w:p>
    <w:p w14:paraId="3266A8DC" w14:textId="77777777" w:rsidR="00945B91" w:rsidRPr="00767FC2" w:rsidRDefault="00945B91" w:rsidP="00945B91">
      <w:pPr>
        <w:pStyle w:val="tPara"/>
      </w:pPr>
      <w:r w:rsidRPr="00767FC2">
        <w:tab/>
      </w:r>
      <w:r w:rsidR="001626C4" w:rsidRPr="00767FC2">
        <w:t>(b)</w:t>
      </w:r>
      <w:r w:rsidRPr="00767FC2">
        <w:tab/>
        <w:t xml:space="preserve">secondly, using these amounts, </w:t>
      </w:r>
      <w:r w:rsidR="003B1314" w:rsidRPr="00767FC2">
        <w:t>calculate</w:t>
      </w:r>
      <w:r w:rsidRPr="00767FC2">
        <w:t xml:space="preserve"> the mean fire return interval for each vegetation fuel type </w:t>
      </w:r>
      <w:r w:rsidRPr="00767FC2">
        <w:rPr>
          <w:i/>
        </w:rPr>
        <w:t>v</w:t>
      </w:r>
      <w:r w:rsidRPr="00767FC2">
        <w:t xml:space="preserve"> for the project area and for the relevant calculation period, </w:t>
      </w:r>
      <w:proofErr w:type="spellStart"/>
      <w:r w:rsidRPr="00767FC2">
        <w:rPr>
          <w:b/>
          <w:i/>
        </w:rPr>
        <w:t>FRI</w:t>
      </w:r>
      <w:r w:rsidRPr="00767FC2">
        <w:rPr>
          <w:b/>
          <w:i/>
          <w:vertAlign w:val="subscript"/>
        </w:rPr>
        <w:t>v</w:t>
      </w:r>
      <w:proofErr w:type="spellEnd"/>
      <w:r w:rsidRPr="00767FC2">
        <w:t xml:space="preserve">, using </w:t>
      </w:r>
      <w:r w:rsidR="00964086" w:rsidRPr="00767FC2">
        <w:t xml:space="preserve">equation </w:t>
      </w:r>
      <w:r w:rsidR="00964086" w:rsidRPr="00767FC2">
        <w:rPr>
          <w:noProof/>
        </w:rPr>
        <w:t>9</w:t>
      </w:r>
      <w:r w:rsidRPr="00767FC2">
        <w:t>, in years; and</w:t>
      </w:r>
    </w:p>
    <w:p w14:paraId="2768D052" w14:textId="77777777" w:rsidR="0069263F" w:rsidRPr="00767FC2" w:rsidRDefault="00945B91" w:rsidP="0069263F">
      <w:pPr>
        <w:pStyle w:val="tPara"/>
      </w:pPr>
      <w:r w:rsidRPr="00767FC2">
        <w:tab/>
      </w:r>
      <w:r w:rsidR="001626C4" w:rsidRPr="00767FC2">
        <w:t>(c)</w:t>
      </w:r>
      <w:r w:rsidRPr="00767FC2">
        <w:tab/>
        <w:t xml:space="preserve">thirdly, using the amounts </w:t>
      </w:r>
      <w:r w:rsidR="003B1314" w:rsidRPr="00767FC2">
        <w:t>calculated</w:t>
      </w:r>
      <w:r w:rsidRPr="00767FC2">
        <w:t xml:space="preserve"> in paragraphs </w:t>
      </w:r>
      <w:r w:rsidR="00964086" w:rsidRPr="00767FC2">
        <w:t>(a)</w:t>
      </w:r>
      <w:r w:rsidRPr="00767FC2">
        <w:t xml:space="preserve"> and </w:t>
      </w:r>
      <w:r w:rsidR="00964086" w:rsidRPr="00767FC2">
        <w:t>(b)</w:t>
      </w:r>
      <w:r w:rsidRPr="00767FC2">
        <w:t xml:space="preserve">, </w:t>
      </w:r>
      <w:r w:rsidR="003B1314" w:rsidRPr="00767FC2">
        <w:t>calculate</w:t>
      </w:r>
      <w:r w:rsidRPr="00767FC2">
        <w:t xml:space="preserve"> the mean proportion of fuel size class </w:t>
      </w:r>
      <w:r w:rsidRPr="00767FC2">
        <w:rPr>
          <w:i/>
        </w:rPr>
        <w:t>f</w:t>
      </w:r>
      <w:r w:rsidRPr="00767FC2">
        <w:t xml:space="preserve"> that is of vegetation fuel type </w:t>
      </w:r>
      <w:r w:rsidRPr="00767FC2">
        <w:rPr>
          <w:i/>
        </w:rPr>
        <w:t xml:space="preserve">v </w:t>
      </w:r>
      <w:r w:rsidRPr="00767FC2">
        <w:t xml:space="preserve">that remains after a fire for the project area and for the relevant calculation period, </w:t>
      </w: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R</m:t>
                </m:r>
              </m:e>
            </m:acc>
          </m:e>
          <m:sub>
            <m:r>
              <m:rPr>
                <m:sty m:val="bi"/>
              </m:rPr>
              <w:rPr>
                <w:rFonts w:ascii="Cambria Math" w:hAnsi="Cambria Math"/>
              </w:rPr>
              <m:t>f,v</m:t>
            </m:r>
          </m:sub>
        </m:sSub>
      </m:oMath>
      <w:r w:rsidRPr="00767FC2">
        <w:t xml:space="preserve">, using </w:t>
      </w:r>
      <w:r w:rsidR="00964086" w:rsidRPr="00767FC2">
        <w:t xml:space="preserve">equation </w:t>
      </w:r>
      <w:r w:rsidR="00964086" w:rsidRPr="00767FC2">
        <w:rPr>
          <w:noProof/>
        </w:rPr>
        <w:t>10</w:t>
      </w:r>
      <w:r w:rsidRPr="00767FC2">
        <w:t>; and</w:t>
      </w:r>
    </w:p>
    <w:p w14:paraId="7B0CAFCE" w14:textId="77777777" w:rsidR="00331826" w:rsidRPr="00767FC2" w:rsidRDefault="00331826" w:rsidP="00331826">
      <w:pPr>
        <w:pStyle w:val="tPara"/>
        <w:ind w:hanging="368"/>
      </w:pPr>
      <w:r w:rsidRPr="00767FC2">
        <w:t xml:space="preserve">(d) </w:t>
      </w:r>
      <w:r w:rsidRPr="00767FC2">
        <w:tab/>
        <w:t xml:space="preserve">fourthly, using the amounts calculated in paragraphs (b) and (c), calculate the mean baseline and project fuel load amounts of biomass in the dead organic matter, </w:t>
      </w:r>
      <m:oMath>
        <m:sSub>
          <m:sSubPr>
            <m:ctrlPr>
              <w:rPr>
                <w:rFonts w:ascii="Cambria Math" w:hAnsi="Cambria Math"/>
                <w:b/>
                <w:i/>
                <w:iCs/>
                <w:sz w:val="24"/>
                <w:szCs w:val="24"/>
              </w:rPr>
            </m:ctrlPr>
          </m:sSubPr>
          <m:e>
            <m:acc>
              <m:accPr>
                <m:chr m:val="̅"/>
                <m:ctrlPr>
                  <w:rPr>
                    <w:rFonts w:ascii="Cambria Math" w:hAnsi="Cambria Math"/>
                    <w:b/>
                    <w:i/>
                    <w:iCs/>
                    <w:sz w:val="24"/>
                    <w:szCs w:val="24"/>
                  </w:rPr>
                </m:ctrlPr>
              </m:accPr>
              <m:e>
                <m:r>
                  <m:rPr>
                    <m:sty m:val="bi"/>
                  </m:rPr>
                  <w:rPr>
                    <w:rFonts w:ascii="Cambria Math" w:hAnsi="Cambria Math"/>
                  </w:rPr>
                  <m:t>W</m:t>
                </m:r>
              </m:e>
            </m:acc>
          </m:e>
          <m:sub>
            <m:r>
              <m:rPr>
                <m:sty m:val="bi"/>
              </m:rPr>
              <w:rPr>
                <w:rFonts w:ascii="Cambria Math" w:hAnsi="Cambria Math"/>
              </w:rPr>
              <m:t>FRI,B,f,v</m:t>
            </m:r>
          </m:sub>
        </m:sSub>
      </m:oMath>
      <w:r w:rsidRPr="00767FC2">
        <w:rPr>
          <w:iCs/>
          <w:sz w:val="24"/>
          <w:szCs w:val="24"/>
        </w:rPr>
        <w:t xml:space="preserve"> </w:t>
      </w:r>
      <w:proofErr w:type="gramStart"/>
      <w:r w:rsidRPr="00767FC2">
        <w:rPr>
          <w:iCs/>
          <w:sz w:val="24"/>
          <w:szCs w:val="24"/>
        </w:rPr>
        <w:t>and</w:t>
      </w:r>
      <w:r w:rsidRPr="00767FC2">
        <w:rPr>
          <w:b/>
          <w:iCs/>
          <w:sz w:val="24"/>
          <w:szCs w:val="24"/>
        </w:rPr>
        <w:t xml:space="preserve"> </w:t>
      </w:r>
      <w:proofErr w:type="gramEnd"/>
      <m:oMath>
        <m:sSub>
          <m:sSubPr>
            <m:ctrlPr>
              <w:rPr>
                <w:rFonts w:ascii="Cambria Math" w:hAnsi="Cambria Math"/>
                <w:b/>
                <w:i/>
                <w:iCs/>
                <w:sz w:val="24"/>
                <w:szCs w:val="24"/>
              </w:rPr>
            </m:ctrlPr>
          </m:sSubPr>
          <m:e>
            <m:acc>
              <m:accPr>
                <m:chr m:val="̅"/>
                <m:ctrlPr>
                  <w:rPr>
                    <w:rFonts w:ascii="Cambria Math" w:hAnsi="Cambria Math"/>
                    <w:b/>
                    <w:i/>
                    <w:iCs/>
                    <w:sz w:val="24"/>
                    <w:szCs w:val="24"/>
                  </w:rPr>
                </m:ctrlPr>
              </m:accPr>
              <m:e>
                <m:r>
                  <m:rPr>
                    <m:sty m:val="bi"/>
                  </m:rPr>
                  <w:rPr>
                    <w:rFonts w:ascii="Cambria Math" w:hAnsi="Cambria Math"/>
                  </w:rPr>
                  <m:t>W</m:t>
                </m:r>
              </m:e>
            </m:acc>
          </m:e>
          <m:sub>
            <m:r>
              <m:rPr>
                <m:sty m:val="bi"/>
              </m:rPr>
              <w:rPr>
                <w:rFonts w:ascii="Cambria Math" w:hAnsi="Cambria Math"/>
              </w:rPr>
              <m:t>FRI,P,f,v</m:t>
            </m:r>
          </m:sub>
        </m:sSub>
      </m:oMath>
      <w:r w:rsidRPr="00767FC2">
        <w:rPr>
          <w:iCs/>
          <w:sz w:val="24"/>
          <w:szCs w:val="24"/>
        </w:rPr>
        <w:t>,</w:t>
      </w:r>
      <w:r w:rsidRPr="00767FC2">
        <w:t xml:space="preserve"> </w:t>
      </w:r>
      <w:r w:rsidRPr="00767FC2">
        <w:rPr>
          <w:iCs/>
          <w:szCs w:val="22"/>
        </w:rPr>
        <w:t xml:space="preserve">for fuel size class </w:t>
      </w:r>
      <w:r w:rsidRPr="00767FC2">
        <w:rPr>
          <w:i/>
          <w:iCs/>
          <w:szCs w:val="22"/>
        </w:rPr>
        <w:t>f</w:t>
      </w:r>
      <w:r w:rsidRPr="00767FC2">
        <w:rPr>
          <w:iCs/>
          <w:szCs w:val="22"/>
        </w:rPr>
        <w:t xml:space="preserve"> of vegetation type </w:t>
      </w:r>
      <w:r w:rsidRPr="00767FC2">
        <w:rPr>
          <w:i/>
          <w:iCs/>
          <w:szCs w:val="22"/>
        </w:rPr>
        <w:t>v</w:t>
      </w:r>
      <w:r w:rsidRPr="00767FC2">
        <w:rPr>
          <w:iCs/>
          <w:szCs w:val="22"/>
        </w:rPr>
        <w:t xml:space="preserve"> at the mean fire return interval for the project area and for the relevant calculation period, in tonnes of biomass per hectare, using equation 11; and</w:t>
      </w:r>
    </w:p>
    <w:p w14:paraId="30C15FC2" w14:textId="77777777" w:rsidR="00331826" w:rsidRPr="00767FC2" w:rsidRDefault="00331826" w:rsidP="00331826">
      <w:pPr>
        <w:pStyle w:val="tPara"/>
      </w:pPr>
      <w:r w:rsidRPr="00767FC2">
        <w:tab/>
        <w:t>(e)</w:t>
      </w:r>
      <w:r w:rsidRPr="00767FC2">
        <w:tab/>
      </w:r>
      <w:proofErr w:type="gramStart"/>
      <w:r w:rsidRPr="00767FC2">
        <w:t>finally</w:t>
      </w:r>
      <w:proofErr w:type="gramEnd"/>
      <w:r w:rsidRPr="00767FC2">
        <w:t xml:space="preserve">, using the amounts calculated in paragraph (d), calculate the baseline and project fuel loads, </w:t>
      </w:r>
      <w:proofErr w:type="spellStart"/>
      <w:r w:rsidRPr="00767FC2">
        <w:rPr>
          <w:i/>
        </w:rPr>
        <w:t>FL</w:t>
      </w:r>
      <w:r w:rsidRPr="00767FC2">
        <w:rPr>
          <w:i/>
          <w:vertAlign w:val="subscript"/>
        </w:rPr>
        <w:t>f,v,s</w:t>
      </w:r>
      <w:proofErr w:type="spellEnd"/>
      <w:r w:rsidRPr="00767FC2">
        <w:t xml:space="preserve">, in tonnes of biomass per hectare in accordance with equation </w:t>
      </w:r>
      <w:r w:rsidRPr="00767FC2">
        <w:rPr>
          <w:noProof/>
        </w:rPr>
        <w:t>12</w:t>
      </w:r>
      <w:r w:rsidRPr="00767FC2">
        <w:t xml:space="preserve"> for the calendar year for the project area.</w:t>
      </w:r>
    </w:p>
    <w:p w14:paraId="05835AF0" w14:textId="77777777" w:rsidR="00945B91" w:rsidRPr="00767FC2" w:rsidRDefault="00945B91" w:rsidP="00945B91">
      <w:pPr>
        <w:pStyle w:val="h6Subsec"/>
      </w:pPr>
      <w:r w:rsidRPr="00767FC2">
        <w:t>Calculations</w:t>
      </w:r>
    </w:p>
    <w:p w14:paraId="1B446B47" w14:textId="77777777" w:rsidR="00945B91" w:rsidRPr="00767FC2" w:rsidRDefault="00945B91" w:rsidP="00945B91">
      <w:pPr>
        <w:pStyle w:val="tMain"/>
        <w:spacing w:after="120"/>
      </w:pPr>
      <w:r w:rsidRPr="00767FC2">
        <w:tab/>
      </w:r>
      <w:r w:rsidR="001626C4" w:rsidRPr="00767FC2">
        <w:t>(3)</w:t>
      </w:r>
      <w:r w:rsidRPr="00767FC2">
        <w:tab/>
        <w:t>For paragraph </w:t>
      </w:r>
      <w:r w:rsidR="00964086" w:rsidRPr="00767FC2">
        <w:t>(2</w:t>
      </w:r>
      <w:proofErr w:type="gramStart"/>
      <w:r w:rsidR="00964086" w:rsidRPr="00767FC2">
        <w:t>)(</w:t>
      </w:r>
      <w:proofErr w:type="gramEnd"/>
      <w:r w:rsidR="00964086" w:rsidRPr="00767FC2">
        <w:t>a)</w:t>
      </w:r>
      <w:r w:rsidRPr="00767FC2">
        <w:t>, the equation is the following:</w:t>
      </w:r>
    </w:p>
    <w:tbl>
      <w:tblPr>
        <w:tblStyle w:val="TableGrid"/>
        <w:tblW w:w="0" w:type="auto"/>
        <w:tblInd w:w="1242" w:type="dxa"/>
        <w:tblLook w:val="04A0" w:firstRow="1" w:lastRow="0" w:firstColumn="1" w:lastColumn="0" w:noHBand="0" w:noVBand="1"/>
      </w:tblPr>
      <w:tblGrid>
        <w:gridCol w:w="6347"/>
        <w:gridCol w:w="1427"/>
      </w:tblGrid>
      <w:tr w:rsidR="00767FC2" w:rsidRPr="00767FC2" w14:paraId="2226F276" w14:textId="77777777" w:rsidTr="00E51F2F">
        <w:trPr>
          <w:trHeight w:val="1108"/>
        </w:trPr>
        <w:tc>
          <w:tcPr>
            <w:tcW w:w="6449" w:type="dxa"/>
            <w:vAlign w:val="center"/>
          </w:tcPr>
          <w:p w14:paraId="2AD43E36" w14:textId="77777777" w:rsidR="00945B91" w:rsidRPr="00767FC2" w:rsidRDefault="008928CA" w:rsidP="00E51F2F">
            <m:oMathPara>
              <m:oMath>
                <m:sSub>
                  <m:sSubPr>
                    <m:ctrlPr>
                      <w:rPr>
                        <w:rFonts w:ascii="Cambria Math" w:hAnsi="Cambria Math"/>
                        <w:i/>
                      </w:rPr>
                    </m:ctrlPr>
                  </m:sSubPr>
                  <m:e>
                    <m:r>
                      <w:rPr>
                        <w:rFonts w:ascii="Cambria Math" w:hAnsi="Cambria Math"/>
                      </w:rPr>
                      <m:t>FF</m:t>
                    </m:r>
                  </m:e>
                  <m:sub>
                    <m:r>
                      <w:rPr>
                        <w:rFonts w:ascii="Cambria Math" w:hAnsi="Cambria Math"/>
                      </w:rPr>
                      <m:t>v,s</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r>
                  <w:rPr>
                    <w:rFonts w:ascii="Cambria Math" w:hAnsi="Cambria Math"/>
                  </w:rPr>
                  <m:t>×</m:t>
                </m:r>
                <m:nary>
                  <m:naryPr>
                    <m:chr m:val="∑"/>
                    <m:limLoc m:val="undOvr"/>
                    <m:ctrlPr>
                      <w:rPr>
                        <w:rFonts w:ascii="Cambria Math" w:hAnsi="Cambria Math"/>
                        <w:i/>
                      </w:rPr>
                    </m:ctrlPr>
                  </m:naryPr>
                  <m:sub>
                    <m:r>
                      <w:rPr>
                        <w:rFonts w:ascii="Cambria Math" w:hAnsi="Cambria Math"/>
                      </w:rPr>
                      <m:t>y=1</m:t>
                    </m:r>
                  </m:sub>
                  <m:sup>
                    <m:r>
                      <w:rPr>
                        <w:rFonts w:ascii="Cambria Math" w:hAnsi="Cambria Math"/>
                      </w:rPr>
                      <m:t>n</m:t>
                    </m:r>
                  </m:sup>
                  <m:e>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FS,v,s,y</m:t>
                            </m:r>
                          </m:sub>
                        </m:sSub>
                      </m:num>
                      <m:den>
                        <m:sSub>
                          <m:sSubPr>
                            <m:ctrlPr>
                              <w:rPr>
                                <w:rFonts w:ascii="Cambria Math" w:hAnsi="Cambria Math"/>
                                <w:i/>
                              </w:rPr>
                            </m:ctrlPr>
                          </m:sSubPr>
                          <m:e>
                            <m:r>
                              <w:rPr>
                                <w:rFonts w:ascii="Cambria Math" w:hAnsi="Cambria Math"/>
                              </w:rPr>
                              <m:t>S</m:t>
                            </m:r>
                          </m:e>
                          <m:sub>
                            <m:r>
                              <w:rPr>
                                <w:rFonts w:ascii="Cambria Math" w:hAnsi="Cambria Math"/>
                              </w:rPr>
                              <m:t>V,v</m:t>
                            </m:r>
                          </m:sub>
                        </m:sSub>
                      </m:den>
                    </m:f>
                  </m:e>
                </m:nary>
              </m:oMath>
            </m:oMathPara>
          </w:p>
        </w:tc>
        <w:tc>
          <w:tcPr>
            <w:tcW w:w="1438" w:type="dxa"/>
            <w:vAlign w:val="center"/>
          </w:tcPr>
          <w:p w14:paraId="2B637908" w14:textId="77777777" w:rsidR="00945B91" w:rsidRPr="00767FC2" w:rsidRDefault="00945B91" w:rsidP="00E51F2F">
            <w:pPr>
              <w:pStyle w:val="Tabletext"/>
            </w:pPr>
            <w:bookmarkStart w:id="168" w:name="_Ref452720827"/>
            <w:r w:rsidRPr="00767FC2">
              <w:t xml:space="preserve">equation </w:t>
            </w:r>
            <w:r w:rsidR="00964086" w:rsidRPr="00767FC2">
              <w:rPr>
                <w:noProof/>
              </w:rPr>
              <w:t>8</w:t>
            </w:r>
            <w:bookmarkEnd w:id="168"/>
          </w:p>
        </w:tc>
      </w:tr>
    </w:tbl>
    <w:p w14:paraId="4B306871" w14:textId="77777777" w:rsidR="00945B91" w:rsidRPr="00767FC2" w:rsidRDefault="00945B91" w:rsidP="00945B91">
      <w:pPr>
        <w:pStyle w:val="tMain"/>
      </w:pPr>
      <w:r w:rsidRPr="00767FC2">
        <w:tab/>
      </w:r>
      <w:r w:rsidRPr="00767FC2">
        <w:tab/>
      </w:r>
      <w:proofErr w:type="gramStart"/>
      <w:r w:rsidRPr="00767FC2">
        <w:t>where</w:t>
      </w:r>
      <w:proofErr w:type="gramEnd"/>
      <w:r w:rsidRPr="00767FC2">
        <w:t>:</w:t>
      </w:r>
    </w:p>
    <w:p w14:paraId="1B238D25" w14:textId="77777777" w:rsidR="00945B91" w:rsidRPr="00767FC2" w:rsidRDefault="00945B91" w:rsidP="00945B91">
      <w:pPr>
        <w:pStyle w:val="tDefn"/>
      </w:pPr>
      <w:proofErr w:type="gramStart"/>
      <w:r w:rsidRPr="00767FC2">
        <w:rPr>
          <w:b/>
          <w:i/>
        </w:rPr>
        <w:t>n</w:t>
      </w:r>
      <w:proofErr w:type="gramEnd"/>
      <w:r w:rsidRPr="00767FC2">
        <w:t xml:space="preserve"> is length, in years, of the relevant calculation period in relation to which </w:t>
      </w:r>
      <m:oMath>
        <m:sSub>
          <m:sSubPr>
            <m:ctrlPr>
              <w:rPr>
                <w:rFonts w:ascii="Cambria Math" w:hAnsi="Cambria Math"/>
              </w:rPr>
            </m:ctrlPr>
          </m:sSubPr>
          <m:e>
            <m:acc>
              <m:accPr>
                <m:chr m:val="̅"/>
                <m:ctrlPr>
                  <w:rPr>
                    <w:rFonts w:ascii="Cambria Math" w:eastAsia="Calibri" w:hAnsi="Cambria Math"/>
                    <w:lang w:eastAsia="en-US"/>
                  </w:rPr>
                </m:ctrlPr>
              </m:accPr>
              <m:e>
                <m:r>
                  <w:rPr>
                    <w:rFonts w:ascii="Cambria Math" w:hAnsi="Cambria Math"/>
                  </w:rPr>
                  <m:t>C</m:t>
                </m:r>
              </m:e>
            </m:acc>
          </m:e>
          <m:sub>
            <m:r>
              <w:rPr>
                <w:rFonts w:ascii="Cambria Math" w:hAnsi="Cambria Math"/>
              </w:rPr>
              <m:t>Seq,B</m:t>
            </m:r>
            <m:r>
              <m:rPr>
                <m:sty m:val="p"/>
              </m:rPr>
              <w:rPr>
                <w:rFonts w:ascii="Cambria Math" w:hAnsi="Cambria Math"/>
              </w:rPr>
              <m:t>,</m:t>
            </m:r>
            <m:r>
              <w:rPr>
                <w:rFonts w:ascii="Cambria Math" w:hAnsi="Cambria Math"/>
              </w:rPr>
              <m:t>E</m:t>
            </m:r>
          </m:sub>
        </m:sSub>
      </m:oMath>
      <w:r w:rsidRPr="00767FC2">
        <w:t xml:space="preserve"> or </w:t>
      </w:r>
      <m:oMath>
        <m:sSub>
          <m:sSubPr>
            <m:ctrlPr>
              <w:rPr>
                <w:rFonts w:ascii="Cambria Math" w:hAnsi="Cambria Math"/>
                <w:i/>
              </w:rPr>
            </m:ctrlPr>
          </m:sSubPr>
          <m:e>
            <m:acc>
              <m:accPr>
                <m:chr m:val="̅"/>
                <m:ctrlPr>
                  <w:rPr>
                    <w:rFonts w:ascii="Cambria Math" w:eastAsia="Calibri" w:hAnsi="Cambria Math"/>
                    <w:i/>
                    <w:lang w:eastAsia="en-US"/>
                  </w:rPr>
                </m:ctrlPr>
              </m:accPr>
              <m:e>
                <m:r>
                  <w:rPr>
                    <w:rFonts w:ascii="Cambria Math" w:hAnsi="Cambria Math"/>
                  </w:rPr>
                  <m:t>C</m:t>
                </m:r>
              </m:e>
            </m:acc>
          </m:e>
          <m:sub>
            <m:r>
              <w:rPr>
                <w:rFonts w:ascii="Cambria Math" w:hAnsi="Cambria Math"/>
              </w:rPr>
              <m:t>Seq,P,E</m:t>
            </m:r>
          </m:sub>
        </m:sSub>
      </m:oMath>
      <w:r w:rsidRPr="00767FC2">
        <w:t xml:space="preserve"> is being calculated.</w:t>
      </w:r>
    </w:p>
    <w:p w14:paraId="3DEA92F7" w14:textId="77777777" w:rsidR="00945B91" w:rsidRPr="00767FC2" w:rsidRDefault="00945B91" w:rsidP="00945B91">
      <w:pPr>
        <w:pStyle w:val="tDefn"/>
      </w:pPr>
      <w:proofErr w:type="gramStart"/>
      <w:r w:rsidRPr="00767FC2">
        <w:rPr>
          <w:b/>
          <w:i/>
        </w:rPr>
        <w:t>y</w:t>
      </w:r>
      <w:proofErr w:type="gramEnd"/>
      <w:r w:rsidRPr="00767FC2">
        <w:t xml:space="preserve"> is a calendar year of the relevant calculation period.</w:t>
      </w:r>
    </w:p>
    <w:p w14:paraId="6B14F55B" w14:textId="77777777" w:rsidR="00945B91" w:rsidRPr="00767FC2" w:rsidRDefault="00945B91" w:rsidP="00945B91">
      <w:pPr>
        <w:pStyle w:val="tDefn"/>
      </w:pPr>
      <w:proofErr w:type="spellStart"/>
      <w:r w:rsidRPr="00767FC2">
        <w:rPr>
          <w:b/>
          <w:i/>
          <w:szCs w:val="22"/>
          <w:lang w:eastAsia="en-US"/>
        </w:rPr>
        <w:t>S</w:t>
      </w:r>
      <w:r w:rsidRPr="00767FC2">
        <w:rPr>
          <w:b/>
          <w:i/>
          <w:szCs w:val="22"/>
          <w:vertAlign w:val="subscript"/>
          <w:lang w:eastAsia="en-US"/>
        </w:rPr>
        <w:t>FS</w:t>
      </w:r>
      <w:proofErr w:type="gramStart"/>
      <w:r w:rsidRPr="00767FC2">
        <w:rPr>
          <w:b/>
          <w:i/>
          <w:szCs w:val="22"/>
          <w:vertAlign w:val="subscript"/>
          <w:lang w:eastAsia="en-US"/>
        </w:rPr>
        <w:t>,v,s,y</w:t>
      </w:r>
      <w:proofErr w:type="spellEnd"/>
      <w:proofErr w:type="gramEnd"/>
      <w:r w:rsidRPr="00767FC2">
        <w:rPr>
          <w:szCs w:val="22"/>
          <w:lang w:eastAsia="en-US"/>
        </w:rPr>
        <w:t xml:space="preserve"> is the fire scar </w:t>
      </w:r>
      <w:r w:rsidRPr="00767FC2">
        <w:t xml:space="preserve">area, in hectares, for vegetation fuel type </w:t>
      </w:r>
      <w:r w:rsidRPr="00767FC2">
        <w:rPr>
          <w:i/>
        </w:rPr>
        <w:t>v</w:t>
      </w:r>
      <w:r w:rsidRPr="00767FC2">
        <w:t xml:space="preserve"> for fire season </w:t>
      </w:r>
      <w:r w:rsidRPr="00767FC2">
        <w:rPr>
          <w:i/>
        </w:rPr>
        <w:t xml:space="preserve">s </w:t>
      </w:r>
      <w:r w:rsidRPr="00767FC2">
        <w:t xml:space="preserve">of year </w:t>
      </w:r>
      <w:r w:rsidRPr="00767FC2">
        <w:rPr>
          <w:i/>
        </w:rPr>
        <w:t>y</w:t>
      </w:r>
      <w:r w:rsidRPr="00767FC2">
        <w:t xml:space="preserve"> of the relevant calculation period for the project area, and has the same value as </w:t>
      </w:r>
      <w:proofErr w:type="spellStart"/>
      <w:r w:rsidRPr="00767FC2">
        <w:rPr>
          <w:i/>
        </w:rPr>
        <w:t>S</w:t>
      </w:r>
      <w:r w:rsidRPr="00767FC2">
        <w:rPr>
          <w:i/>
          <w:vertAlign w:val="subscript"/>
        </w:rPr>
        <w:t>FS,v,s</w:t>
      </w:r>
      <w:proofErr w:type="spellEnd"/>
      <w:r w:rsidRPr="00767FC2">
        <w:rPr>
          <w:i/>
        </w:rPr>
        <w:t xml:space="preserve"> </w:t>
      </w:r>
      <w:r w:rsidRPr="00767FC2">
        <w:t>as calculated for that year referred to in subsection </w:t>
      </w:r>
      <w:r w:rsidR="00964086" w:rsidRPr="00767FC2">
        <w:t>7(1)</w:t>
      </w:r>
      <w:r w:rsidRPr="00767FC2">
        <w:t>.</w:t>
      </w:r>
    </w:p>
    <w:p w14:paraId="1E1585EB" w14:textId="77777777" w:rsidR="00945B91" w:rsidRPr="00767FC2" w:rsidRDefault="00945B91" w:rsidP="00945B91">
      <w:pPr>
        <w:pStyle w:val="tDefn"/>
      </w:pPr>
      <w:proofErr w:type="spellStart"/>
      <w:r w:rsidRPr="00767FC2">
        <w:rPr>
          <w:b/>
          <w:i/>
        </w:rPr>
        <w:t>S</w:t>
      </w:r>
      <w:r w:rsidRPr="00767FC2">
        <w:rPr>
          <w:b/>
          <w:i/>
          <w:vertAlign w:val="subscript"/>
        </w:rPr>
        <w:t>V</w:t>
      </w:r>
      <w:proofErr w:type="gramStart"/>
      <w:r w:rsidRPr="00767FC2">
        <w:rPr>
          <w:b/>
          <w:i/>
          <w:vertAlign w:val="subscript"/>
        </w:rPr>
        <w:t>,v</w:t>
      </w:r>
      <w:proofErr w:type="spellEnd"/>
      <w:proofErr w:type="gramEnd"/>
      <w:r w:rsidRPr="00767FC2">
        <w:t xml:space="preserve"> is the total area covered by vegetation of vegetation fuel type </w:t>
      </w:r>
      <w:r w:rsidRPr="00767FC2">
        <w:rPr>
          <w:i/>
        </w:rPr>
        <w:t>v</w:t>
      </w:r>
      <w:r w:rsidRPr="00767FC2">
        <w:t xml:space="preserve"> in the project area, ascertained from the vegetation fuel type map for the project area, in hectares.</w:t>
      </w:r>
    </w:p>
    <w:p w14:paraId="3ABF448A" w14:textId="77777777" w:rsidR="00945B91" w:rsidRPr="00767FC2" w:rsidRDefault="00945B91" w:rsidP="00945B91">
      <w:pPr>
        <w:pStyle w:val="tMain"/>
        <w:spacing w:after="120"/>
        <w:rPr>
          <w:rFonts w:eastAsia="Calibri"/>
        </w:rPr>
      </w:pPr>
      <w:r w:rsidRPr="00767FC2">
        <w:lastRenderedPageBreak/>
        <w:tab/>
      </w:r>
      <w:r w:rsidR="001626C4" w:rsidRPr="00767FC2">
        <w:t>(4)</w:t>
      </w:r>
      <w:r w:rsidRPr="00767FC2">
        <w:tab/>
        <w:t>For paragraph </w:t>
      </w:r>
      <w:r w:rsidR="00964086" w:rsidRPr="00767FC2">
        <w:t>(2</w:t>
      </w:r>
      <w:proofErr w:type="gramStart"/>
      <w:r w:rsidR="00964086" w:rsidRPr="00767FC2">
        <w:t>)(</w:t>
      </w:r>
      <w:proofErr w:type="gramEnd"/>
      <w:r w:rsidR="00964086" w:rsidRPr="00767FC2">
        <w:t>b)</w:t>
      </w:r>
      <w:r w:rsidRPr="00767FC2">
        <w:t>, the equation is the following:</w:t>
      </w:r>
    </w:p>
    <w:tbl>
      <w:tblPr>
        <w:tblStyle w:val="TableGrid"/>
        <w:tblW w:w="0" w:type="auto"/>
        <w:tblInd w:w="1242" w:type="dxa"/>
        <w:tblLook w:val="04A0" w:firstRow="1" w:lastRow="0" w:firstColumn="1" w:lastColumn="0" w:noHBand="0" w:noVBand="1"/>
      </w:tblPr>
      <w:tblGrid>
        <w:gridCol w:w="6348"/>
        <w:gridCol w:w="1426"/>
      </w:tblGrid>
      <w:tr w:rsidR="00767FC2" w:rsidRPr="00767FC2" w14:paraId="611A465C" w14:textId="77777777" w:rsidTr="00E51F2F">
        <w:trPr>
          <w:trHeight w:val="1108"/>
        </w:trPr>
        <w:tc>
          <w:tcPr>
            <w:tcW w:w="6449" w:type="dxa"/>
            <w:vAlign w:val="center"/>
          </w:tcPr>
          <w:p w14:paraId="56B53680" w14:textId="77777777" w:rsidR="00945B91" w:rsidRPr="00767FC2" w:rsidRDefault="008928CA" w:rsidP="00E51F2F">
            <m:oMathPara>
              <m:oMath>
                <m:sSub>
                  <m:sSubPr>
                    <m:ctrlPr>
                      <w:rPr>
                        <w:rFonts w:ascii="Cambria Math" w:hAnsi="Cambria Math"/>
                        <w:i/>
                      </w:rPr>
                    </m:ctrlPr>
                  </m:sSubPr>
                  <m:e>
                    <m:r>
                      <w:rPr>
                        <w:rFonts w:ascii="Cambria Math" w:hAnsi="Cambria Math"/>
                      </w:rPr>
                      <m:t>FRI</m:t>
                    </m:r>
                  </m:e>
                  <m:sub>
                    <m:r>
                      <w:rPr>
                        <w:rFonts w:ascii="Cambria Math" w:hAnsi="Cambria Math"/>
                      </w:rPr>
                      <m:t>v</m:t>
                    </m:r>
                  </m:sub>
                </m:sSub>
                <m:r>
                  <w:rPr>
                    <w:rFonts w:ascii="Cambria Math" w:hAnsi="Cambria Math"/>
                  </w:rPr>
                  <m:t>=</m:t>
                </m:r>
                <m:f>
                  <m:fPr>
                    <m:type m:val="lin"/>
                    <m:ctrlPr>
                      <w:rPr>
                        <w:rFonts w:ascii="Cambria Math" w:hAnsi="Cambria Math"/>
                        <w:i/>
                      </w:rPr>
                    </m:ctrlPr>
                  </m:fPr>
                  <m:num>
                    <m:r>
                      <w:rPr>
                        <w:rFonts w:ascii="Cambria Math" w:hAnsi="Cambria Math"/>
                      </w:rPr>
                      <m:t>1</m:t>
                    </m:r>
                  </m:num>
                  <m:den>
                    <m:d>
                      <m:dPr>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s</m:t>
                            </m:r>
                          </m:sub>
                          <m:sup/>
                          <m:e>
                            <m:sSub>
                              <m:sSubPr>
                                <m:ctrlPr>
                                  <w:rPr>
                                    <w:rFonts w:ascii="Cambria Math" w:hAnsi="Cambria Math"/>
                                    <w:i/>
                                  </w:rPr>
                                </m:ctrlPr>
                              </m:sSubPr>
                              <m:e>
                                <m:r>
                                  <w:rPr>
                                    <w:rFonts w:ascii="Cambria Math" w:hAnsi="Cambria Math"/>
                                  </w:rPr>
                                  <m:t>FF</m:t>
                                </m:r>
                              </m:e>
                              <m:sub>
                                <m:r>
                                  <w:rPr>
                                    <w:rFonts w:ascii="Cambria Math" w:hAnsi="Cambria Math"/>
                                  </w:rPr>
                                  <m:t>v,s</m:t>
                                </m:r>
                              </m:sub>
                            </m:sSub>
                          </m:e>
                        </m:nary>
                      </m:e>
                    </m:d>
                  </m:den>
                </m:f>
              </m:oMath>
            </m:oMathPara>
          </w:p>
        </w:tc>
        <w:tc>
          <w:tcPr>
            <w:tcW w:w="1438" w:type="dxa"/>
            <w:vAlign w:val="center"/>
          </w:tcPr>
          <w:p w14:paraId="00F8BA93" w14:textId="77777777" w:rsidR="00945B91" w:rsidRPr="00767FC2" w:rsidRDefault="00945B91" w:rsidP="00E51F2F">
            <w:pPr>
              <w:pStyle w:val="Tabletext"/>
            </w:pPr>
            <w:bookmarkStart w:id="169" w:name="_Ref452720481"/>
            <w:r w:rsidRPr="00767FC2">
              <w:t xml:space="preserve">equation </w:t>
            </w:r>
            <w:r w:rsidR="00964086" w:rsidRPr="00767FC2">
              <w:rPr>
                <w:noProof/>
              </w:rPr>
              <w:t>9</w:t>
            </w:r>
            <w:bookmarkEnd w:id="169"/>
          </w:p>
        </w:tc>
      </w:tr>
    </w:tbl>
    <w:p w14:paraId="480A10AA" w14:textId="77777777" w:rsidR="00945B91" w:rsidRPr="00767FC2" w:rsidRDefault="00945B91" w:rsidP="00945B91">
      <w:pPr>
        <w:pStyle w:val="tMain"/>
      </w:pPr>
      <w:r w:rsidRPr="00767FC2">
        <w:tab/>
      </w:r>
      <w:r w:rsidRPr="00767FC2">
        <w:tab/>
      </w:r>
      <w:proofErr w:type="gramStart"/>
      <w:r w:rsidRPr="00767FC2">
        <w:t>where</w:t>
      </w:r>
      <w:proofErr w:type="gramEnd"/>
      <w:r w:rsidRPr="00767FC2">
        <w:t>:</w:t>
      </w:r>
    </w:p>
    <w:p w14:paraId="452E1583" w14:textId="77777777" w:rsidR="00945B91" w:rsidRPr="00767FC2" w:rsidRDefault="00945B91" w:rsidP="00945B91">
      <w:pPr>
        <w:pStyle w:val="tDefn"/>
      </w:pPr>
      <w:proofErr w:type="gramStart"/>
      <w:r w:rsidRPr="00767FC2">
        <w:rPr>
          <w:b/>
          <w:i/>
        </w:rPr>
        <w:t>s</w:t>
      </w:r>
      <w:proofErr w:type="gramEnd"/>
      <w:r w:rsidRPr="00767FC2">
        <w:t xml:space="preserve"> is a fire season (either the early dry season or the late dry season).</w:t>
      </w:r>
    </w:p>
    <w:p w14:paraId="13FC0E92" w14:textId="77777777" w:rsidR="00945B91" w:rsidRPr="00767FC2" w:rsidRDefault="00945B91" w:rsidP="00945B91">
      <w:pPr>
        <w:pStyle w:val="tDefn"/>
        <w:rPr>
          <w:b/>
          <w:i/>
        </w:rPr>
      </w:pPr>
      <w:proofErr w:type="spellStart"/>
      <w:r w:rsidRPr="00767FC2">
        <w:rPr>
          <w:b/>
          <w:i/>
        </w:rPr>
        <w:t>FF</w:t>
      </w:r>
      <w:r w:rsidRPr="00767FC2">
        <w:rPr>
          <w:b/>
          <w:i/>
          <w:vertAlign w:val="subscript"/>
        </w:rPr>
        <w:t>v</w:t>
      </w:r>
      <w:proofErr w:type="gramStart"/>
      <w:r w:rsidRPr="00767FC2">
        <w:rPr>
          <w:b/>
          <w:i/>
          <w:vertAlign w:val="subscript"/>
        </w:rPr>
        <w:t>,s</w:t>
      </w:r>
      <w:proofErr w:type="spellEnd"/>
      <w:proofErr w:type="gramEnd"/>
      <w:r w:rsidRPr="00767FC2">
        <w:t xml:space="preserve"> is the </w:t>
      </w:r>
      <w:r w:rsidR="003B1314" w:rsidRPr="00767FC2">
        <w:t xml:space="preserve">mean </w:t>
      </w:r>
      <w:r w:rsidRPr="00767FC2">
        <w:t xml:space="preserve">fire frequency in vegetation of vegetation fuel type </w:t>
      </w:r>
      <w:r w:rsidRPr="00767FC2">
        <w:rPr>
          <w:i/>
        </w:rPr>
        <w:t xml:space="preserve">v </w:t>
      </w:r>
      <w:r w:rsidRPr="00767FC2">
        <w:t xml:space="preserve">in fire season </w:t>
      </w:r>
      <w:r w:rsidRPr="00767FC2">
        <w:rPr>
          <w:i/>
        </w:rPr>
        <w:t xml:space="preserve">s </w:t>
      </w:r>
      <w:r w:rsidRPr="00767FC2">
        <w:t>for the project area and for the relevant calculation period, in years</w:t>
      </w:r>
      <w:r w:rsidRPr="00767FC2">
        <w:rPr>
          <w:vertAlign w:val="superscript"/>
        </w:rPr>
        <w:t>–1</w:t>
      </w:r>
      <w:r w:rsidRPr="00767FC2">
        <w:t xml:space="preserve">, from </w:t>
      </w:r>
      <w:r w:rsidR="00964086" w:rsidRPr="00767FC2">
        <w:t xml:space="preserve">equation </w:t>
      </w:r>
      <w:r w:rsidR="00964086" w:rsidRPr="00767FC2">
        <w:rPr>
          <w:noProof/>
        </w:rPr>
        <w:t>8</w:t>
      </w:r>
      <w:r w:rsidRPr="00767FC2">
        <w:t>.</w:t>
      </w:r>
    </w:p>
    <w:p w14:paraId="47C7B18F" w14:textId="77777777" w:rsidR="00945B91" w:rsidRPr="00767FC2" w:rsidRDefault="00945B91" w:rsidP="00945B91">
      <w:pPr>
        <w:pStyle w:val="tMain"/>
        <w:spacing w:after="120"/>
        <w:rPr>
          <w:rFonts w:eastAsia="Calibri"/>
        </w:rPr>
      </w:pPr>
      <w:r w:rsidRPr="00767FC2">
        <w:tab/>
      </w:r>
      <w:r w:rsidR="001626C4" w:rsidRPr="00767FC2">
        <w:t>(5)</w:t>
      </w:r>
      <w:r w:rsidRPr="00767FC2">
        <w:tab/>
        <w:t>For paragraph </w:t>
      </w:r>
      <w:r w:rsidR="00964086" w:rsidRPr="00767FC2">
        <w:t>(2</w:t>
      </w:r>
      <w:proofErr w:type="gramStart"/>
      <w:r w:rsidR="00964086" w:rsidRPr="00767FC2">
        <w:t>)(</w:t>
      </w:r>
      <w:proofErr w:type="gramEnd"/>
      <w:r w:rsidR="00964086" w:rsidRPr="00767FC2">
        <w:t>c)</w:t>
      </w:r>
      <w:r w:rsidRPr="00767FC2">
        <w:t>, the equation is the following:</w:t>
      </w:r>
    </w:p>
    <w:tbl>
      <w:tblPr>
        <w:tblStyle w:val="TableGrid"/>
        <w:tblW w:w="0" w:type="auto"/>
        <w:tblInd w:w="1242" w:type="dxa"/>
        <w:tblLook w:val="04A0" w:firstRow="1" w:lastRow="0" w:firstColumn="1" w:lastColumn="0" w:noHBand="0" w:noVBand="1"/>
      </w:tblPr>
      <w:tblGrid>
        <w:gridCol w:w="6347"/>
        <w:gridCol w:w="1427"/>
      </w:tblGrid>
      <w:tr w:rsidR="00767FC2" w:rsidRPr="00767FC2" w14:paraId="2B1C233D" w14:textId="77777777" w:rsidTr="00E51F2F">
        <w:trPr>
          <w:trHeight w:val="1108"/>
        </w:trPr>
        <w:tc>
          <w:tcPr>
            <w:tcW w:w="6449" w:type="dxa"/>
            <w:vAlign w:val="center"/>
          </w:tcPr>
          <w:p w14:paraId="52F38F78" w14:textId="77777777" w:rsidR="00945B91" w:rsidRPr="00767FC2" w:rsidRDefault="008928CA" w:rsidP="00E51F2F">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f,v</m:t>
                    </m:r>
                  </m:sub>
                </m:sSub>
                <m:r>
                  <w:rPr>
                    <w:rFonts w:ascii="Cambria Math" w:hAnsi="Cambria Math"/>
                  </w:rPr>
                  <m:t>=1-</m:t>
                </m:r>
                <m:d>
                  <m:dPr>
                    <m:ctrlPr>
                      <w:rPr>
                        <w:rFonts w:ascii="Cambria Math" w:hAnsi="Cambria Math"/>
                        <w:i/>
                      </w:rPr>
                    </m:ctrlPr>
                  </m:dPr>
                  <m:e>
                    <m:sSub>
                      <m:sSubPr>
                        <m:ctrlPr>
                          <w:rPr>
                            <w:rFonts w:ascii="Cambria Math" w:hAnsi="Cambria Math"/>
                            <w:i/>
                          </w:rPr>
                        </m:ctrlPr>
                      </m:sSubPr>
                      <m:e>
                        <m:r>
                          <w:rPr>
                            <w:rFonts w:ascii="Cambria Math" w:hAnsi="Cambria Math"/>
                          </w:rPr>
                          <m:t>FRI</m:t>
                        </m:r>
                      </m:e>
                      <m:sub>
                        <m:r>
                          <w:rPr>
                            <w:rFonts w:ascii="Cambria Math" w:hAnsi="Cambria Math"/>
                          </w:rPr>
                          <m:t>v</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s</m:t>
                        </m:r>
                      </m:sub>
                      <m:sup/>
                      <m:e>
                        <m:d>
                          <m:dPr>
                            <m:ctrlPr>
                              <w:rPr>
                                <w:rFonts w:ascii="Cambria Math" w:hAnsi="Cambria Math"/>
                                <w:i/>
                              </w:rPr>
                            </m:ctrlPr>
                          </m:dPr>
                          <m:e>
                            <m:sSub>
                              <m:sSubPr>
                                <m:ctrlPr>
                                  <w:rPr>
                                    <w:rFonts w:ascii="Cambria Math" w:hAnsi="Cambria Math"/>
                                    <w:i/>
                                  </w:rPr>
                                </m:ctrlPr>
                              </m:sSubPr>
                              <m:e>
                                <m:r>
                                  <w:rPr>
                                    <w:rFonts w:ascii="Cambria Math" w:hAnsi="Cambria Math"/>
                                  </w:rPr>
                                  <m:t>BE</m:t>
                                </m:r>
                              </m:e>
                              <m:sub>
                                <m:r>
                                  <w:rPr>
                                    <w:rFonts w:ascii="Cambria Math" w:hAnsi="Cambria Math"/>
                                  </w:rPr>
                                  <m:t>f,s</m:t>
                                </m:r>
                              </m:sub>
                            </m:sSub>
                            <m:r>
                              <w:rPr>
                                <w:rFonts w:ascii="Cambria Math" w:hAnsi="Cambria Math"/>
                              </w:rPr>
                              <m:t>×</m:t>
                            </m:r>
                            <m:sSub>
                              <m:sSubPr>
                                <m:ctrlPr>
                                  <w:rPr>
                                    <w:rFonts w:ascii="Cambria Math" w:hAnsi="Cambria Math"/>
                                    <w:i/>
                                  </w:rPr>
                                </m:ctrlPr>
                              </m:sSubPr>
                              <m:e>
                                <m:r>
                                  <w:rPr>
                                    <w:rFonts w:ascii="Cambria Math" w:hAnsi="Cambria Math"/>
                                  </w:rPr>
                                  <m:t>FF</m:t>
                                </m:r>
                              </m:e>
                              <m:sub>
                                <m:r>
                                  <w:rPr>
                                    <w:rFonts w:ascii="Cambria Math" w:hAnsi="Cambria Math"/>
                                  </w:rPr>
                                  <m:t>v,s</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s</m:t>
                                </m:r>
                              </m:sub>
                            </m:sSub>
                          </m:e>
                        </m:d>
                      </m:e>
                    </m:nary>
                  </m:e>
                </m:d>
              </m:oMath>
            </m:oMathPara>
          </w:p>
        </w:tc>
        <w:tc>
          <w:tcPr>
            <w:tcW w:w="1438" w:type="dxa"/>
            <w:vAlign w:val="center"/>
          </w:tcPr>
          <w:p w14:paraId="64D3C43C" w14:textId="77777777" w:rsidR="00945B91" w:rsidRPr="00767FC2" w:rsidRDefault="00945B91" w:rsidP="00E51F2F">
            <w:pPr>
              <w:pStyle w:val="Tabletext"/>
            </w:pPr>
            <w:bookmarkStart w:id="170" w:name="_Ref452720037"/>
            <w:r w:rsidRPr="00767FC2">
              <w:t xml:space="preserve">equation </w:t>
            </w:r>
            <w:r w:rsidR="00964086" w:rsidRPr="00767FC2">
              <w:rPr>
                <w:noProof/>
              </w:rPr>
              <w:t>10</w:t>
            </w:r>
            <w:bookmarkEnd w:id="170"/>
          </w:p>
        </w:tc>
      </w:tr>
    </w:tbl>
    <w:p w14:paraId="7180B525" w14:textId="77777777" w:rsidR="00945B91" w:rsidRPr="00767FC2" w:rsidRDefault="00945B91" w:rsidP="00945B91">
      <w:pPr>
        <w:pStyle w:val="tMain"/>
      </w:pPr>
      <w:r w:rsidRPr="00767FC2">
        <w:tab/>
      </w:r>
      <w:r w:rsidRPr="00767FC2">
        <w:tab/>
      </w:r>
      <w:proofErr w:type="gramStart"/>
      <w:r w:rsidRPr="00767FC2">
        <w:t>where</w:t>
      </w:r>
      <w:proofErr w:type="gramEnd"/>
      <w:r w:rsidRPr="00767FC2">
        <w:t>:</w:t>
      </w:r>
    </w:p>
    <w:p w14:paraId="71B25269" w14:textId="77777777" w:rsidR="00945B91" w:rsidRPr="00767FC2" w:rsidRDefault="00945B91" w:rsidP="00945B91">
      <w:pPr>
        <w:pStyle w:val="tDefn"/>
      </w:pPr>
      <w:proofErr w:type="gramStart"/>
      <w:r w:rsidRPr="00767FC2">
        <w:rPr>
          <w:b/>
          <w:i/>
        </w:rPr>
        <w:t>s</w:t>
      </w:r>
      <w:proofErr w:type="gramEnd"/>
      <w:r w:rsidRPr="00767FC2">
        <w:t xml:space="preserve"> is a fire season (either the early dry season or the late dry season).</w:t>
      </w:r>
    </w:p>
    <w:p w14:paraId="61107DA7" w14:textId="77777777" w:rsidR="00945B91" w:rsidRPr="00767FC2" w:rsidRDefault="00945B91" w:rsidP="00945B91">
      <w:pPr>
        <w:pStyle w:val="tDefn"/>
      </w:pPr>
      <w:proofErr w:type="spellStart"/>
      <w:r w:rsidRPr="00767FC2">
        <w:rPr>
          <w:b/>
          <w:i/>
        </w:rPr>
        <w:t>FRI</w:t>
      </w:r>
      <w:r w:rsidRPr="00767FC2">
        <w:rPr>
          <w:b/>
          <w:i/>
          <w:vertAlign w:val="subscript"/>
        </w:rPr>
        <w:t>v</w:t>
      </w:r>
      <w:proofErr w:type="spellEnd"/>
      <w:r w:rsidRPr="00767FC2">
        <w:t xml:space="preserve"> is the mean fire return interval for vegetation of vegetation fuel type </w:t>
      </w:r>
      <w:r w:rsidRPr="00767FC2">
        <w:rPr>
          <w:i/>
        </w:rPr>
        <w:t>v</w:t>
      </w:r>
      <w:r w:rsidRPr="00767FC2">
        <w:t xml:space="preserve"> for the project area and for the relevant calculation period, as calculated using </w:t>
      </w:r>
      <w:r w:rsidR="00964086" w:rsidRPr="00767FC2">
        <w:t xml:space="preserve">equation </w:t>
      </w:r>
      <w:r w:rsidR="00964086" w:rsidRPr="00767FC2">
        <w:rPr>
          <w:noProof/>
        </w:rPr>
        <w:t>9</w:t>
      </w:r>
      <w:r w:rsidRPr="00767FC2">
        <w:t>, in years.</w:t>
      </w:r>
    </w:p>
    <w:p w14:paraId="50B16514" w14:textId="77777777" w:rsidR="00945B91" w:rsidRPr="00767FC2" w:rsidRDefault="00945B91" w:rsidP="00945B91">
      <w:pPr>
        <w:pStyle w:val="tDefn"/>
      </w:pPr>
      <w:proofErr w:type="spellStart"/>
      <w:r w:rsidRPr="00767FC2">
        <w:rPr>
          <w:b/>
          <w:i/>
        </w:rPr>
        <w:t>BE</w:t>
      </w:r>
      <w:r w:rsidRPr="00767FC2">
        <w:rPr>
          <w:b/>
          <w:i/>
          <w:vertAlign w:val="subscript"/>
        </w:rPr>
        <w:t>f</w:t>
      </w:r>
      <w:proofErr w:type="gramStart"/>
      <w:r w:rsidRPr="00767FC2">
        <w:rPr>
          <w:b/>
          <w:i/>
          <w:vertAlign w:val="subscript"/>
        </w:rPr>
        <w:t>,s</w:t>
      </w:r>
      <w:proofErr w:type="spellEnd"/>
      <w:proofErr w:type="gramEnd"/>
      <w:r w:rsidRPr="00767FC2">
        <w:t xml:space="preserve"> is the burning efficiency for fuel of fuel size class </w:t>
      </w:r>
      <w:r w:rsidRPr="00767FC2">
        <w:rPr>
          <w:i/>
        </w:rPr>
        <w:t>f</w:t>
      </w:r>
      <w:r w:rsidRPr="00767FC2">
        <w:t xml:space="preserve"> in fire season </w:t>
      </w:r>
      <w:r w:rsidRPr="00767FC2">
        <w:rPr>
          <w:i/>
        </w:rPr>
        <w:t>s</w:t>
      </w:r>
      <w:r w:rsidRPr="00767FC2">
        <w:t>, from the National Inventory Report.</w:t>
      </w:r>
    </w:p>
    <w:p w14:paraId="407FA24F" w14:textId="77777777" w:rsidR="00945B91" w:rsidRPr="00767FC2" w:rsidRDefault="00945B91" w:rsidP="00945B91">
      <w:pPr>
        <w:pStyle w:val="tDefn"/>
        <w:rPr>
          <w:b/>
          <w:i/>
        </w:rPr>
      </w:pPr>
      <w:proofErr w:type="spellStart"/>
      <w:r w:rsidRPr="00767FC2">
        <w:rPr>
          <w:b/>
          <w:i/>
        </w:rPr>
        <w:t>FF</w:t>
      </w:r>
      <w:r w:rsidRPr="00767FC2">
        <w:rPr>
          <w:b/>
          <w:i/>
          <w:vertAlign w:val="subscript"/>
        </w:rPr>
        <w:t>v</w:t>
      </w:r>
      <w:proofErr w:type="gramStart"/>
      <w:r w:rsidRPr="00767FC2">
        <w:rPr>
          <w:b/>
          <w:i/>
          <w:vertAlign w:val="subscript"/>
        </w:rPr>
        <w:t>,s</w:t>
      </w:r>
      <w:proofErr w:type="spellEnd"/>
      <w:proofErr w:type="gramEnd"/>
      <w:r w:rsidRPr="00767FC2">
        <w:t xml:space="preserve"> is the </w:t>
      </w:r>
      <w:r w:rsidR="003B1314" w:rsidRPr="00767FC2">
        <w:t xml:space="preserve">mean </w:t>
      </w:r>
      <w:r w:rsidRPr="00767FC2">
        <w:t xml:space="preserve">fire frequency in vegetation of vegetation fuel type </w:t>
      </w:r>
      <w:r w:rsidRPr="00767FC2">
        <w:rPr>
          <w:i/>
        </w:rPr>
        <w:t xml:space="preserve">v </w:t>
      </w:r>
      <w:r w:rsidRPr="00767FC2">
        <w:t xml:space="preserve">in fire season </w:t>
      </w:r>
      <w:r w:rsidRPr="00767FC2">
        <w:rPr>
          <w:i/>
        </w:rPr>
        <w:t>s</w:t>
      </w:r>
      <w:r w:rsidRPr="00767FC2">
        <w:t xml:space="preserve"> for the project area and for the relevant calculation period, in years</w:t>
      </w:r>
      <w:r w:rsidRPr="00767FC2">
        <w:rPr>
          <w:vertAlign w:val="superscript"/>
        </w:rPr>
        <w:t>–1</w:t>
      </w:r>
      <w:r w:rsidRPr="00767FC2">
        <w:t xml:space="preserve">, from </w:t>
      </w:r>
      <w:r w:rsidR="00964086" w:rsidRPr="00767FC2">
        <w:t xml:space="preserve">equation </w:t>
      </w:r>
      <w:r w:rsidR="00964086" w:rsidRPr="00767FC2">
        <w:rPr>
          <w:noProof/>
        </w:rPr>
        <w:t>8</w:t>
      </w:r>
      <w:r w:rsidRPr="00767FC2">
        <w:t>.</w:t>
      </w:r>
    </w:p>
    <w:p w14:paraId="7B8275B4" w14:textId="77777777" w:rsidR="00945B91" w:rsidRPr="00767FC2" w:rsidRDefault="00945B91" w:rsidP="00945B91">
      <w:pPr>
        <w:pStyle w:val="tDefn"/>
      </w:pPr>
      <w:r w:rsidRPr="00767FC2">
        <w:rPr>
          <w:b/>
          <w:i/>
        </w:rPr>
        <w:t>P</w:t>
      </w:r>
      <w:r w:rsidRPr="00767FC2">
        <w:rPr>
          <w:b/>
          <w:i/>
          <w:vertAlign w:val="subscript"/>
        </w:rPr>
        <w:t>s</w:t>
      </w:r>
      <w:r w:rsidRPr="00767FC2">
        <w:t xml:space="preserve"> is the patchiness for fire season </w:t>
      </w:r>
      <w:r w:rsidRPr="00767FC2">
        <w:rPr>
          <w:i/>
        </w:rPr>
        <w:t>s</w:t>
      </w:r>
      <w:r w:rsidRPr="00767FC2">
        <w:t>, from the National Inventory Report.</w:t>
      </w:r>
    </w:p>
    <w:p w14:paraId="56EA85C2" w14:textId="77777777" w:rsidR="00331826" w:rsidRPr="00767FC2" w:rsidRDefault="00331826" w:rsidP="00331826">
      <w:pPr>
        <w:pStyle w:val="tMain"/>
        <w:spacing w:after="120"/>
      </w:pPr>
      <w:r w:rsidRPr="00767FC2">
        <w:tab/>
        <w:t>(6)</w:t>
      </w:r>
      <w:r w:rsidRPr="00767FC2">
        <w:tab/>
        <w:t>For paragraph (2</w:t>
      </w:r>
      <w:proofErr w:type="gramStart"/>
      <w:r w:rsidRPr="00767FC2">
        <w:t>)(</w:t>
      </w:r>
      <w:proofErr w:type="gramEnd"/>
      <w:r w:rsidRPr="00767FC2">
        <w:t>d), the equation is the following:</w:t>
      </w:r>
    </w:p>
    <w:tbl>
      <w:tblPr>
        <w:tblStyle w:val="TableGrid"/>
        <w:tblW w:w="8222" w:type="dxa"/>
        <w:tblInd w:w="1271" w:type="dxa"/>
        <w:tblLook w:val="04A0" w:firstRow="1" w:lastRow="0" w:firstColumn="1" w:lastColumn="0" w:noHBand="0" w:noVBand="1"/>
      </w:tblPr>
      <w:tblGrid>
        <w:gridCol w:w="6804"/>
        <w:gridCol w:w="1418"/>
      </w:tblGrid>
      <w:tr w:rsidR="00767FC2" w:rsidRPr="00767FC2" w14:paraId="4F3B0EEE" w14:textId="77777777" w:rsidTr="00254AF7">
        <w:trPr>
          <w:trHeight w:val="1108"/>
        </w:trPr>
        <w:tc>
          <w:tcPr>
            <w:tcW w:w="6804" w:type="dxa"/>
            <w:vAlign w:val="center"/>
          </w:tcPr>
          <w:p w14:paraId="7E1A379E" w14:textId="77777777" w:rsidR="00331826" w:rsidRPr="00767FC2" w:rsidRDefault="008928CA" w:rsidP="00254AF7">
            <w:pPr>
              <w:rPr>
                <w:rFonts w:eastAsiaTheme="minorHAnsi"/>
              </w:rPr>
            </w:pPr>
            <m:oMathPara>
              <m:oMath>
                <m:sSub>
                  <m:sSubPr>
                    <m:ctrlPr>
                      <w:rPr>
                        <w:rFonts w:ascii="Cambria Math" w:eastAsiaTheme="minorHAnsi" w:hAnsi="Cambria Math"/>
                        <w:i/>
                        <w:iCs/>
                        <w:szCs w:val="22"/>
                      </w:rPr>
                    </m:ctrlPr>
                  </m:sSubPr>
                  <m:e>
                    <m:acc>
                      <m:accPr>
                        <m:chr m:val="̅"/>
                        <m:ctrlPr>
                          <w:rPr>
                            <w:rFonts w:ascii="Cambria Math" w:eastAsiaTheme="minorHAnsi" w:hAnsi="Cambria Math"/>
                            <w:i/>
                            <w:iCs/>
                            <w:szCs w:val="22"/>
                          </w:rPr>
                        </m:ctrlPr>
                      </m:accPr>
                      <m:e>
                        <m:r>
                          <w:rPr>
                            <w:rFonts w:ascii="Cambria Math" w:hAnsi="Cambria Math"/>
                          </w:rPr>
                          <m:t>W</m:t>
                        </m:r>
                      </m:e>
                    </m:acc>
                  </m:e>
                  <m:sub>
                    <m:r>
                      <w:rPr>
                        <w:rFonts w:ascii="Cambria Math" w:hAnsi="Cambria Math"/>
                      </w:rPr>
                      <m:t>FRI,f,v</m:t>
                    </m:r>
                  </m:sub>
                </m:sSub>
                <m:r>
                  <w:rPr>
                    <w:rFonts w:ascii="Cambria Math" w:hAnsi="Cambria Math"/>
                  </w:rPr>
                  <m:t xml:space="preserve">= </m:t>
                </m:r>
                <m:f>
                  <m:fPr>
                    <m:ctrlPr>
                      <w:rPr>
                        <w:rFonts w:ascii="Cambria Math" w:eastAsiaTheme="minorHAnsi" w:hAnsi="Cambria Math"/>
                        <w:i/>
                        <w:iCs/>
                        <w:szCs w:val="22"/>
                      </w:rPr>
                    </m:ctrlPr>
                  </m:fPr>
                  <m:num>
                    <m:sSub>
                      <m:sSubPr>
                        <m:ctrlPr>
                          <w:rPr>
                            <w:rFonts w:ascii="Cambria Math" w:eastAsiaTheme="minorHAnsi" w:hAnsi="Cambria Math"/>
                            <w:i/>
                            <w:iCs/>
                            <w:szCs w:val="22"/>
                          </w:rPr>
                        </m:ctrlPr>
                      </m:sSubPr>
                      <m:e>
                        <m:r>
                          <w:rPr>
                            <w:rFonts w:ascii="Cambria Math" w:hAnsi="Cambria Math"/>
                          </w:rPr>
                          <m:t>L</m:t>
                        </m:r>
                      </m:e>
                      <m:sub>
                        <m:r>
                          <w:rPr>
                            <w:rFonts w:ascii="Cambria Math" w:hAnsi="Cambria Math"/>
                          </w:rPr>
                          <m:t>f,v</m:t>
                        </m:r>
                      </m:sub>
                    </m:sSub>
                  </m:num>
                  <m:den>
                    <m:sSub>
                      <m:sSubPr>
                        <m:ctrlPr>
                          <w:rPr>
                            <w:rFonts w:ascii="Cambria Math" w:eastAsiaTheme="minorHAnsi" w:hAnsi="Cambria Math"/>
                            <w:i/>
                            <w:iCs/>
                            <w:szCs w:val="22"/>
                          </w:rPr>
                        </m:ctrlPr>
                      </m:sSubPr>
                      <m:e>
                        <m:r>
                          <w:rPr>
                            <w:rFonts w:ascii="Cambria Math" w:hAnsi="Cambria Math"/>
                          </w:rPr>
                          <m:t>D</m:t>
                        </m:r>
                      </m:e>
                      <m:sub>
                        <m:r>
                          <w:rPr>
                            <w:rFonts w:ascii="Cambria Math" w:hAnsi="Cambria Math"/>
                          </w:rPr>
                          <m:t>f,v</m:t>
                        </m:r>
                      </m:sub>
                    </m:sSub>
                  </m:den>
                </m:f>
                <m:r>
                  <w:rPr>
                    <w:rFonts w:ascii="Cambria Math" w:hAnsi="Cambria Math"/>
                  </w:rPr>
                  <m:t>×</m:t>
                </m:r>
                <m:d>
                  <m:dPr>
                    <m:begChr m:val="["/>
                    <m:endChr m:val="]"/>
                    <m:ctrlPr>
                      <w:rPr>
                        <w:rFonts w:ascii="Cambria Math" w:eastAsiaTheme="minorHAnsi" w:hAnsi="Cambria Math"/>
                        <w:i/>
                        <w:iCs/>
                        <w:szCs w:val="22"/>
                      </w:rPr>
                    </m:ctrlPr>
                  </m:dPr>
                  <m:e>
                    <m:r>
                      <w:rPr>
                        <w:rFonts w:ascii="Cambria Math" w:hAnsi="Cambria Math"/>
                      </w:rPr>
                      <m:t>1-</m:t>
                    </m:r>
                    <m:sSup>
                      <m:sSupPr>
                        <m:ctrlPr>
                          <w:rPr>
                            <w:rFonts w:ascii="Cambria Math" w:eastAsiaTheme="minorHAnsi" w:hAnsi="Cambria Math"/>
                            <w:i/>
                            <w:iCs/>
                            <w:szCs w:val="22"/>
                          </w:rPr>
                        </m:ctrlPr>
                      </m:sSupPr>
                      <m:e>
                        <m:r>
                          <w:rPr>
                            <w:rFonts w:ascii="Cambria Math" w:hAnsi="Cambria Math"/>
                          </w:rPr>
                          <m:t>e</m:t>
                        </m:r>
                      </m:e>
                      <m:sup>
                        <m:d>
                          <m:dPr>
                            <m:ctrlPr>
                              <w:rPr>
                                <w:rFonts w:ascii="Cambria Math" w:eastAsiaTheme="minorHAnsi" w:hAnsi="Cambria Math"/>
                                <w:i/>
                                <w:iCs/>
                                <w:szCs w:val="22"/>
                              </w:rPr>
                            </m:ctrlPr>
                          </m:dPr>
                          <m:e>
                            <m:r>
                              <w:rPr>
                                <w:rFonts w:ascii="Cambria Math" w:hAnsi="Cambria Math"/>
                              </w:rPr>
                              <m:t>-</m:t>
                            </m:r>
                            <m:sSub>
                              <m:sSubPr>
                                <m:ctrlPr>
                                  <w:rPr>
                                    <w:rFonts w:ascii="Cambria Math" w:eastAsiaTheme="minorHAnsi" w:hAnsi="Cambria Math"/>
                                    <w:i/>
                                    <w:iCs/>
                                    <w:szCs w:val="22"/>
                                  </w:rPr>
                                </m:ctrlPr>
                              </m:sSubPr>
                              <m:e>
                                <m:r>
                                  <w:rPr>
                                    <w:rFonts w:ascii="Cambria Math" w:hAnsi="Cambria Math"/>
                                  </w:rPr>
                                  <m:t>D</m:t>
                                </m:r>
                              </m:e>
                              <m:sub>
                                <m:r>
                                  <w:rPr>
                                    <w:rFonts w:ascii="Cambria Math" w:hAnsi="Cambria Math"/>
                                  </w:rPr>
                                  <m:t>f,v</m:t>
                                </m:r>
                              </m:sub>
                            </m:sSub>
                            <m:r>
                              <w:rPr>
                                <w:rFonts w:ascii="Cambria Math" w:hAnsi="Cambria Math"/>
                              </w:rPr>
                              <m:t xml:space="preserve"> × </m:t>
                            </m:r>
                            <m:sSub>
                              <m:sSubPr>
                                <m:ctrlPr>
                                  <w:rPr>
                                    <w:rFonts w:ascii="Cambria Math" w:eastAsiaTheme="minorHAnsi" w:hAnsi="Cambria Math"/>
                                    <w:i/>
                                    <w:iCs/>
                                    <w:szCs w:val="22"/>
                                  </w:rPr>
                                </m:ctrlPr>
                              </m:sSubPr>
                              <m:e>
                                <m:r>
                                  <w:rPr>
                                    <w:rFonts w:ascii="Cambria Math" w:hAnsi="Cambria Math"/>
                                  </w:rPr>
                                  <m:t>FRI</m:t>
                                </m:r>
                              </m:e>
                              <m:sub>
                                <m:r>
                                  <w:rPr>
                                    <w:rFonts w:ascii="Cambria Math" w:hAnsi="Cambria Math"/>
                                  </w:rPr>
                                  <m:t>v</m:t>
                                </m:r>
                              </m:sub>
                            </m:sSub>
                          </m:e>
                        </m:d>
                      </m:sup>
                    </m:sSup>
                    <m:r>
                      <w:rPr>
                        <w:rFonts w:ascii="Cambria Math" w:hAnsi="Cambria Math"/>
                      </w:rPr>
                      <m:t>×</m:t>
                    </m:r>
                    <m:d>
                      <m:dPr>
                        <m:ctrlPr>
                          <w:rPr>
                            <w:rFonts w:ascii="Cambria Math" w:eastAsiaTheme="minorHAnsi" w:hAnsi="Cambria Math"/>
                            <w:i/>
                            <w:iCs/>
                            <w:szCs w:val="22"/>
                          </w:rPr>
                        </m:ctrlPr>
                      </m:dPr>
                      <m:e>
                        <m:r>
                          <w:rPr>
                            <w:rFonts w:ascii="Cambria Math" w:eastAsiaTheme="minorHAnsi" w:hAnsi="Cambria Math"/>
                            <w:szCs w:val="22"/>
                          </w:rPr>
                          <m:t>1-</m:t>
                        </m:r>
                        <m:f>
                          <m:fPr>
                            <m:ctrlPr>
                              <w:rPr>
                                <w:rFonts w:ascii="Cambria Math" w:eastAsiaTheme="minorHAnsi" w:hAnsi="Cambria Math"/>
                                <w:i/>
                                <w:iCs/>
                                <w:szCs w:val="22"/>
                              </w:rPr>
                            </m:ctrlPr>
                          </m:fPr>
                          <m:num>
                            <m:r>
                              <w:rPr>
                                <w:rFonts w:ascii="Cambria Math" w:hAnsi="Cambria Math"/>
                              </w:rPr>
                              <m:t xml:space="preserve">1 - </m:t>
                            </m:r>
                            <m:sSup>
                              <m:sSupPr>
                                <m:ctrlPr>
                                  <w:rPr>
                                    <w:rFonts w:ascii="Cambria Math" w:eastAsiaTheme="minorHAnsi" w:hAnsi="Cambria Math"/>
                                    <w:i/>
                                    <w:iCs/>
                                    <w:szCs w:val="22"/>
                                  </w:rPr>
                                </m:ctrlPr>
                              </m:sSupPr>
                              <m:e>
                                <m:r>
                                  <w:rPr>
                                    <w:rFonts w:ascii="Cambria Math" w:hAnsi="Cambria Math"/>
                                  </w:rPr>
                                  <m:t>e</m:t>
                                </m:r>
                              </m:e>
                              <m:sup>
                                <m:d>
                                  <m:dPr>
                                    <m:ctrlPr>
                                      <w:rPr>
                                        <w:rFonts w:ascii="Cambria Math" w:eastAsiaTheme="minorHAnsi" w:hAnsi="Cambria Math"/>
                                        <w:i/>
                                        <w:iCs/>
                                        <w:szCs w:val="22"/>
                                      </w:rPr>
                                    </m:ctrlPr>
                                  </m:dPr>
                                  <m:e>
                                    <m:r>
                                      <w:rPr>
                                        <w:rFonts w:ascii="Cambria Math" w:hAnsi="Cambria Math"/>
                                      </w:rPr>
                                      <m:t>-</m:t>
                                    </m:r>
                                    <m:sSub>
                                      <m:sSubPr>
                                        <m:ctrlPr>
                                          <w:rPr>
                                            <w:rFonts w:ascii="Cambria Math" w:eastAsiaTheme="minorHAnsi" w:hAnsi="Cambria Math"/>
                                            <w:i/>
                                            <w:iCs/>
                                            <w:szCs w:val="22"/>
                                          </w:rPr>
                                        </m:ctrlPr>
                                      </m:sSubPr>
                                      <m:e>
                                        <m:r>
                                          <w:rPr>
                                            <w:rFonts w:ascii="Cambria Math" w:hAnsi="Cambria Math"/>
                                          </w:rPr>
                                          <m:t>D</m:t>
                                        </m:r>
                                      </m:e>
                                      <m:sub>
                                        <m:r>
                                          <w:rPr>
                                            <w:rFonts w:ascii="Cambria Math" w:hAnsi="Cambria Math"/>
                                          </w:rPr>
                                          <m:t>f,v</m:t>
                                        </m:r>
                                      </m:sub>
                                    </m:sSub>
                                    <m:r>
                                      <w:rPr>
                                        <w:rFonts w:ascii="Cambria Math" w:hAnsi="Cambria Math"/>
                                      </w:rPr>
                                      <m:t xml:space="preserve"> × </m:t>
                                    </m:r>
                                    <m:sSub>
                                      <m:sSubPr>
                                        <m:ctrlPr>
                                          <w:rPr>
                                            <w:rFonts w:ascii="Cambria Math" w:eastAsiaTheme="minorHAnsi" w:hAnsi="Cambria Math"/>
                                            <w:i/>
                                            <w:iCs/>
                                            <w:szCs w:val="22"/>
                                          </w:rPr>
                                        </m:ctrlPr>
                                      </m:sSubPr>
                                      <m:e>
                                        <m:r>
                                          <w:rPr>
                                            <w:rFonts w:ascii="Cambria Math" w:hAnsi="Cambria Math"/>
                                          </w:rPr>
                                          <m:t>FRI</m:t>
                                        </m:r>
                                      </m:e>
                                      <m:sub>
                                        <m:r>
                                          <w:rPr>
                                            <w:rFonts w:ascii="Cambria Math" w:hAnsi="Cambria Math"/>
                                          </w:rPr>
                                          <m:t>v</m:t>
                                        </m:r>
                                      </m:sub>
                                    </m:sSub>
                                  </m:e>
                                </m:d>
                              </m:sup>
                            </m:sSup>
                          </m:num>
                          <m:den>
                            <m:f>
                              <m:fPr>
                                <m:ctrlPr>
                                  <w:rPr>
                                    <w:rFonts w:ascii="Cambria Math" w:eastAsiaTheme="minorHAnsi" w:hAnsi="Cambria Math"/>
                                    <w:i/>
                                    <w:iCs/>
                                    <w:szCs w:val="22"/>
                                  </w:rPr>
                                </m:ctrlPr>
                              </m:fPr>
                              <m:num>
                                <m:r>
                                  <w:rPr>
                                    <w:rFonts w:ascii="Cambria Math" w:hAnsi="Cambria Math"/>
                                  </w:rPr>
                                  <m:t>1</m:t>
                                </m:r>
                              </m:num>
                              <m:den>
                                <m:sSub>
                                  <m:sSubPr>
                                    <m:ctrlPr>
                                      <w:rPr>
                                        <w:rFonts w:ascii="Cambria Math" w:eastAsiaTheme="minorHAnsi" w:hAnsi="Cambria Math"/>
                                        <w:i/>
                                        <w:iCs/>
                                        <w:szCs w:val="22"/>
                                      </w:rPr>
                                    </m:ctrlPr>
                                  </m:sSubPr>
                                  <m:e>
                                    <m:acc>
                                      <m:accPr>
                                        <m:chr m:val="̅"/>
                                        <m:ctrlPr>
                                          <w:rPr>
                                            <w:rFonts w:ascii="Cambria Math" w:eastAsiaTheme="minorHAnsi" w:hAnsi="Cambria Math"/>
                                            <w:i/>
                                            <w:iCs/>
                                            <w:szCs w:val="22"/>
                                          </w:rPr>
                                        </m:ctrlPr>
                                      </m:accPr>
                                      <m:e>
                                        <m:r>
                                          <w:rPr>
                                            <w:rFonts w:ascii="Cambria Math" w:hAnsi="Cambria Math"/>
                                          </w:rPr>
                                          <m:t>R</m:t>
                                        </m:r>
                                      </m:e>
                                    </m:acc>
                                  </m:e>
                                  <m:sub>
                                    <m:r>
                                      <w:rPr>
                                        <w:rFonts w:ascii="Cambria Math" w:hAnsi="Cambria Math"/>
                                      </w:rPr>
                                      <m:t>f,v</m:t>
                                    </m:r>
                                  </m:sub>
                                </m:sSub>
                              </m:den>
                            </m:f>
                            <m:r>
                              <w:rPr>
                                <w:rFonts w:ascii="Cambria Math" w:hAnsi="Cambria Math"/>
                              </w:rPr>
                              <m:t xml:space="preserve"> - </m:t>
                            </m:r>
                            <m:sSup>
                              <m:sSupPr>
                                <m:ctrlPr>
                                  <w:rPr>
                                    <w:rFonts w:ascii="Cambria Math" w:eastAsiaTheme="minorHAnsi" w:hAnsi="Cambria Math"/>
                                    <w:i/>
                                    <w:iCs/>
                                    <w:szCs w:val="22"/>
                                  </w:rPr>
                                </m:ctrlPr>
                              </m:sSupPr>
                              <m:e>
                                <m:r>
                                  <w:rPr>
                                    <w:rFonts w:ascii="Cambria Math" w:hAnsi="Cambria Math"/>
                                  </w:rPr>
                                  <m:t>e</m:t>
                                </m:r>
                              </m:e>
                              <m:sup>
                                <m:d>
                                  <m:dPr>
                                    <m:ctrlPr>
                                      <w:rPr>
                                        <w:rFonts w:ascii="Cambria Math" w:eastAsiaTheme="minorHAnsi" w:hAnsi="Cambria Math"/>
                                        <w:i/>
                                        <w:iCs/>
                                        <w:szCs w:val="22"/>
                                      </w:rPr>
                                    </m:ctrlPr>
                                  </m:dPr>
                                  <m:e>
                                    <m:sSub>
                                      <m:sSubPr>
                                        <m:ctrlPr>
                                          <w:rPr>
                                            <w:rFonts w:ascii="Cambria Math" w:eastAsiaTheme="minorHAnsi" w:hAnsi="Cambria Math"/>
                                            <w:i/>
                                            <w:iCs/>
                                            <w:szCs w:val="22"/>
                                          </w:rPr>
                                        </m:ctrlPr>
                                      </m:sSubPr>
                                      <m:e>
                                        <m:r>
                                          <w:rPr>
                                            <w:rFonts w:ascii="Cambria Math" w:hAnsi="Cambria Math"/>
                                          </w:rPr>
                                          <m:t>-D</m:t>
                                        </m:r>
                                      </m:e>
                                      <m:sub>
                                        <m:r>
                                          <w:rPr>
                                            <w:rFonts w:ascii="Cambria Math" w:hAnsi="Cambria Math"/>
                                          </w:rPr>
                                          <m:t>f,v</m:t>
                                        </m:r>
                                      </m:sub>
                                    </m:sSub>
                                    <m:r>
                                      <w:rPr>
                                        <w:rFonts w:ascii="Cambria Math" w:hAnsi="Cambria Math"/>
                                      </w:rPr>
                                      <m:t xml:space="preserve"> × </m:t>
                                    </m:r>
                                    <m:sSub>
                                      <m:sSubPr>
                                        <m:ctrlPr>
                                          <w:rPr>
                                            <w:rFonts w:ascii="Cambria Math" w:eastAsiaTheme="minorHAnsi" w:hAnsi="Cambria Math"/>
                                            <w:i/>
                                            <w:iCs/>
                                            <w:szCs w:val="22"/>
                                          </w:rPr>
                                        </m:ctrlPr>
                                      </m:sSubPr>
                                      <m:e>
                                        <m:r>
                                          <w:rPr>
                                            <w:rFonts w:ascii="Cambria Math" w:hAnsi="Cambria Math"/>
                                          </w:rPr>
                                          <m:t>FRI</m:t>
                                        </m:r>
                                      </m:e>
                                      <m:sub>
                                        <m:r>
                                          <w:rPr>
                                            <w:rFonts w:ascii="Cambria Math" w:hAnsi="Cambria Math"/>
                                          </w:rPr>
                                          <m:t>v</m:t>
                                        </m:r>
                                      </m:sub>
                                    </m:sSub>
                                  </m:e>
                                </m:d>
                              </m:sup>
                            </m:sSup>
                          </m:den>
                        </m:f>
                        <m:r>
                          <w:rPr>
                            <w:rFonts w:ascii="Cambria Math" w:hAnsi="Cambria Math"/>
                          </w:rPr>
                          <m:t xml:space="preserve"> </m:t>
                        </m:r>
                      </m:e>
                    </m:d>
                    <m:r>
                      <w:rPr>
                        <w:rFonts w:ascii="Cambria Math" w:hAnsi="Cambria Math"/>
                      </w:rPr>
                      <m:t> </m:t>
                    </m:r>
                  </m:e>
                </m:d>
              </m:oMath>
            </m:oMathPara>
          </w:p>
        </w:tc>
        <w:tc>
          <w:tcPr>
            <w:tcW w:w="1418" w:type="dxa"/>
            <w:vAlign w:val="center"/>
          </w:tcPr>
          <w:p w14:paraId="4ED4A7ED" w14:textId="77777777" w:rsidR="00331826" w:rsidRPr="00767FC2" w:rsidRDefault="00331826" w:rsidP="00254AF7">
            <w:pPr>
              <w:pStyle w:val="Tabletext"/>
            </w:pPr>
            <w:r w:rsidRPr="00767FC2">
              <w:t xml:space="preserve">equation </w:t>
            </w:r>
            <w:r w:rsidRPr="00767FC2">
              <w:rPr>
                <w:noProof/>
              </w:rPr>
              <w:t>11</w:t>
            </w:r>
          </w:p>
        </w:tc>
      </w:tr>
    </w:tbl>
    <w:p w14:paraId="27B8A684" w14:textId="77777777" w:rsidR="00331826" w:rsidRPr="00767FC2" w:rsidRDefault="00331826" w:rsidP="00331826">
      <w:pPr>
        <w:pStyle w:val="tMain"/>
      </w:pPr>
      <w:r w:rsidRPr="00767FC2">
        <w:tab/>
      </w:r>
      <w:r w:rsidRPr="00767FC2">
        <w:tab/>
      </w:r>
      <w:proofErr w:type="gramStart"/>
      <w:r w:rsidRPr="00767FC2">
        <w:t>where</w:t>
      </w:r>
      <w:proofErr w:type="gramEnd"/>
      <w:r w:rsidRPr="00767FC2">
        <w:t>:</w:t>
      </w:r>
    </w:p>
    <w:p w14:paraId="71D8D890" w14:textId="77777777" w:rsidR="00331826" w:rsidRPr="00767FC2" w:rsidRDefault="00331826" w:rsidP="00331826">
      <w:pPr>
        <w:pStyle w:val="tDefn"/>
      </w:pPr>
      <w:proofErr w:type="spellStart"/>
      <w:r w:rsidRPr="00767FC2">
        <w:rPr>
          <w:b/>
          <w:i/>
        </w:rPr>
        <w:t>L</w:t>
      </w:r>
      <w:r w:rsidRPr="00767FC2">
        <w:rPr>
          <w:b/>
          <w:i/>
          <w:vertAlign w:val="subscript"/>
        </w:rPr>
        <w:t>f</w:t>
      </w:r>
      <w:proofErr w:type="gramStart"/>
      <w:r w:rsidRPr="00767FC2">
        <w:rPr>
          <w:b/>
          <w:i/>
          <w:vertAlign w:val="subscript"/>
        </w:rPr>
        <w:t>,v</w:t>
      </w:r>
      <w:proofErr w:type="spellEnd"/>
      <w:proofErr w:type="gramEnd"/>
      <w:r w:rsidRPr="00767FC2">
        <w:t xml:space="preserve"> is the annual rate of accumulation of fuel of fuel size class </w:t>
      </w:r>
      <w:r w:rsidRPr="00767FC2">
        <w:rPr>
          <w:i/>
        </w:rPr>
        <w:t xml:space="preserve">f </w:t>
      </w:r>
      <w:r w:rsidRPr="00767FC2">
        <w:t xml:space="preserve">that is of vegetation fuel type </w:t>
      </w:r>
      <w:r w:rsidRPr="00767FC2">
        <w:rPr>
          <w:i/>
        </w:rPr>
        <w:t>v</w:t>
      </w:r>
      <w:r w:rsidRPr="00767FC2">
        <w:t>, as given by the National Inventory Report, in tonnes of biomass per</w:t>
      </w:r>
      <w:r w:rsidRPr="00767FC2">
        <w:rPr>
          <w:i/>
        </w:rPr>
        <w:t xml:space="preserve"> </w:t>
      </w:r>
      <w:r w:rsidRPr="00767FC2">
        <w:t>hectare per year.</w:t>
      </w:r>
    </w:p>
    <w:p w14:paraId="26F8F883" w14:textId="5963B983" w:rsidR="00331826" w:rsidRPr="00767FC2" w:rsidRDefault="00331826" w:rsidP="00331826">
      <w:pPr>
        <w:pStyle w:val="tDefn"/>
      </w:pPr>
      <w:proofErr w:type="spellStart"/>
      <w:r w:rsidRPr="00767FC2">
        <w:rPr>
          <w:b/>
          <w:i/>
        </w:rPr>
        <w:t>D</w:t>
      </w:r>
      <w:r w:rsidRPr="00767FC2">
        <w:rPr>
          <w:b/>
          <w:i/>
          <w:vertAlign w:val="subscript"/>
        </w:rPr>
        <w:t>f</w:t>
      </w:r>
      <w:proofErr w:type="gramStart"/>
      <w:r w:rsidRPr="00767FC2">
        <w:rPr>
          <w:b/>
          <w:i/>
          <w:vertAlign w:val="subscript"/>
        </w:rPr>
        <w:t>,v</w:t>
      </w:r>
      <w:proofErr w:type="spellEnd"/>
      <w:proofErr w:type="gramEnd"/>
      <w:r w:rsidR="006179FB">
        <w:t xml:space="preserve"> is the proportion</w:t>
      </w:r>
      <w:r w:rsidRPr="00767FC2">
        <w:t xml:space="preserve"> of vegetation of fuel of fuel size class </w:t>
      </w:r>
      <w:r w:rsidRPr="00767FC2">
        <w:rPr>
          <w:i/>
        </w:rPr>
        <w:t xml:space="preserve">f </w:t>
      </w:r>
      <w:r w:rsidRPr="00767FC2">
        <w:t xml:space="preserve">that is of vegetation fuel type </w:t>
      </w:r>
      <w:r w:rsidRPr="00767FC2">
        <w:rPr>
          <w:i/>
        </w:rPr>
        <w:t xml:space="preserve">v </w:t>
      </w:r>
      <w:r w:rsidRPr="00767FC2">
        <w:t>that decomposes each year in a given area, as given by the National Inventory Report, in years</w:t>
      </w:r>
      <w:r w:rsidRPr="00767FC2">
        <w:rPr>
          <w:vertAlign w:val="superscript"/>
        </w:rPr>
        <w:t>–1</w:t>
      </w:r>
      <w:r w:rsidRPr="00767FC2">
        <w:t>.</w:t>
      </w:r>
    </w:p>
    <w:p w14:paraId="38627828" w14:textId="77777777" w:rsidR="00331826" w:rsidRPr="00767FC2" w:rsidRDefault="00331826" w:rsidP="00331826">
      <w:pPr>
        <w:pStyle w:val="tDefn"/>
      </w:pPr>
      <w:proofErr w:type="spellStart"/>
      <w:r w:rsidRPr="00767FC2">
        <w:rPr>
          <w:b/>
          <w:i/>
        </w:rPr>
        <w:t>FRI</w:t>
      </w:r>
      <w:r w:rsidRPr="00767FC2">
        <w:rPr>
          <w:b/>
          <w:i/>
          <w:vertAlign w:val="subscript"/>
        </w:rPr>
        <w:t>v</w:t>
      </w:r>
      <w:proofErr w:type="spellEnd"/>
      <w:r w:rsidRPr="00767FC2">
        <w:t xml:space="preserve"> is the mean fire return interval for vegetation of vegetation fuel type </w:t>
      </w:r>
      <w:r w:rsidRPr="00767FC2">
        <w:rPr>
          <w:i/>
        </w:rPr>
        <w:t>v</w:t>
      </w:r>
      <w:r w:rsidRPr="00767FC2">
        <w:t xml:space="preserve"> for the project area and for the relevant calculation period, as calculated using equation </w:t>
      </w:r>
      <w:r w:rsidRPr="00767FC2">
        <w:rPr>
          <w:noProof/>
        </w:rPr>
        <w:t>9</w:t>
      </w:r>
      <w:r w:rsidRPr="00767FC2">
        <w:t>, in years.</w:t>
      </w:r>
    </w:p>
    <w:p w14:paraId="34A863B5" w14:textId="77777777" w:rsidR="00331826" w:rsidRPr="00767FC2" w:rsidRDefault="008928CA" w:rsidP="00331826">
      <w:pPr>
        <w:pStyle w:val="tDefn"/>
      </w:pP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R</m:t>
                </m:r>
              </m:e>
            </m:acc>
          </m:e>
          <m:sub>
            <m:r>
              <m:rPr>
                <m:sty m:val="bi"/>
              </m:rPr>
              <w:rPr>
                <w:rFonts w:ascii="Cambria Math" w:hAnsi="Cambria Math"/>
              </w:rPr>
              <m:t>f,v</m:t>
            </m:r>
          </m:sub>
        </m:sSub>
      </m:oMath>
      <w:r w:rsidR="00331826" w:rsidRPr="00767FC2">
        <w:t xml:space="preserve"> </w:t>
      </w:r>
      <w:proofErr w:type="gramStart"/>
      <w:r w:rsidR="00331826" w:rsidRPr="00767FC2">
        <w:t>is</w:t>
      </w:r>
      <w:proofErr w:type="gramEnd"/>
      <w:r w:rsidR="00331826" w:rsidRPr="00767FC2">
        <w:t xml:space="preserve"> the mean proportion of fuel of fuel size class </w:t>
      </w:r>
      <w:r w:rsidR="00331826" w:rsidRPr="00767FC2">
        <w:rPr>
          <w:i/>
        </w:rPr>
        <w:t xml:space="preserve">f </w:t>
      </w:r>
      <w:r w:rsidR="00331826" w:rsidRPr="00767FC2">
        <w:t xml:space="preserve">that is of vegetation fuel type </w:t>
      </w:r>
      <w:r w:rsidR="00331826" w:rsidRPr="00767FC2">
        <w:rPr>
          <w:i/>
        </w:rPr>
        <w:t xml:space="preserve">v </w:t>
      </w:r>
      <w:r w:rsidR="00331826" w:rsidRPr="00767FC2">
        <w:t xml:space="preserve">that remains after a fire for the project area and for the relevant calculation period, as calculated using equation </w:t>
      </w:r>
      <w:r w:rsidR="00331826" w:rsidRPr="00767FC2">
        <w:rPr>
          <w:noProof/>
        </w:rPr>
        <w:t>10</w:t>
      </w:r>
      <w:r w:rsidR="00331826" w:rsidRPr="00767FC2">
        <w:t>.</w:t>
      </w:r>
    </w:p>
    <w:p w14:paraId="3B05F40A" w14:textId="77777777" w:rsidR="00A2679C" w:rsidRPr="00767FC2" w:rsidRDefault="00A2679C" w:rsidP="00A2679C">
      <w:pPr>
        <w:pStyle w:val="tMain"/>
        <w:spacing w:after="120"/>
      </w:pPr>
      <w:r w:rsidRPr="00767FC2">
        <w:tab/>
      </w:r>
      <w:r w:rsidR="00331826" w:rsidRPr="00767FC2">
        <w:t>(7</w:t>
      </w:r>
      <w:r w:rsidRPr="00767FC2">
        <w:t>)</w:t>
      </w:r>
      <w:r w:rsidRPr="00767FC2">
        <w:tab/>
        <w:t>For paragraph </w:t>
      </w:r>
      <w:r w:rsidR="00331826" w:rsidRPr="00767FC2">
        <w:t>(2</w:t>
      </w:r>
      <w:proofErr w:type="gramStart"/>
      <w:r w:rsidR="00331826" w:rsidRPr="00767FC2">
        <w:t>)(</w:t>
      </w:r>
      <w:proofErr w:type="gramEnd"/>
      <w:r w:rsidR="00331826" w:rsidRPr="00767FC2">
        <w:t>e</w:t>
      </w:r>
      <w:r w:rsidRPr="00767FC2">
        <w:t>), the equation is the following:</w:t>
      </w:r>
    </w:p>
    <w:tbl>
      <w:tblPr>
        <w:tblStyle w:val="TableGrid"/>
        <w:tblW w:w="8224" w:type="dxa"/>
        <w:tblInd w:w="1271" w:type="dxa"/>
        <w:tblLook w:val="04A0" w:firstRow="1" w:lastRow="0" w:firstColumn="1" w:lastColumn="0" w:noHBand="0" w:noVBand="1"/>
      </w:tblPr>
      <w:tblGrid>
        <w:gridCol w:w="6804"/>
        <w:gridCol w:w="1420"/>
      </w:tblGrid>
      <w:tr w:rsidR="00767FC2" w:rsidRPr="00767FC2" w14:paraId="264017F9" w14:textId="77777777" w:rsidTr="006E0D13">
        <w:trPr>
          <w:trHeight w:val="1108"/>
        </w:trPr>
        <w:tc>
          <w:tcPr>
            <w:tcW w:w="6804" w:type="dxa"/>
            <w:vAlign w:val="center"/>
          </w:tcPr>
          <w:p w14:paraId="6E7002F0" w14:textId="77777777" w:rsidR="00A2679C" w:rsidRPr="00767FC2" w:rsidRDefault="008928CA" w:rsidP="006E0D13">
            <w:pPr>
              <w:ind w:left="-391" w:right="-162"/>
            </w:pPr>
            <m:oMathPara>
              <m:oMath>
                <m:sSub>
                  <m:sSubPr>
                    <m:ctrlPr>
                      <w:rPr>
                        <w:rFonts w:ascii="Cambria Math" w:hAnsi="Cambria Math"/>
                        <w:i/>
                      </w:rPr>
                    </m:ctrlPr>
                  </m:sSubPr>
                  <m:e>
                    <m:r>
                      <w:rPr>
                        <w:rFonts w:ascii="Cambria Math" w:hAnsi="Cambria Math"/>
                      </w:rPr>
                      <m:t>FL</m:t>
                    </m:r>
                  </m:e>
                  <m:sub>
                    <m:r>
                      <w:rPr>
                        <w:rFonts w:ascii="Cambria Math" w:hAnsi="Cambria Math"/>
                      </w:rPr>
                      <m:t>f,v,s</m:t>
                    </m:r>
                  </m:sub>
                </m:sSub>
                <m:r>
                  <w:rPr>
                    <w:rFonts w:ascii="Cambria Math" w:hAnsi="Cambria Math"/>
                  </w:rPr>
                  <m:t>=</m:t>
                </m:r>
                <m:sSub>
                  <m:sSubPr>
                    <m:ctrlPr>
                      <w:rPr>
                        <w:rFonts w:ascii="Cambria Math" w:hAnsi="Cambria Math"/>
                        <w:i/>
                        <w:iCs/>
                        <w:sz w:val="24"/>
                        <w:szCs w:val="24"/>
                      </w:rPr>
                    </m:ctrlPr>
                  </m:sSubPr>
                  <m:e>
                    <m:acc>
                      <m:accPr>
                        <m:chr m:val="̅"/>
                        <m:ctrlPr>
                          <w:rPr>
                            <w:rFonts w:ascii="Cambria Math" w:hAnsi="Cambria Math"/>
                            <w:i/>
                            <w:iCs/>
                            <w:sz w:val="24"/>
                            <w:szCs w:val="24"/>
                          </w:rPr>
                        </m:ctrlPr>
                      </m:accPr>
                      <m:e>
                        <m:r>
                          <w:rPr>
                            <w:rFonts w:ascii="Cambria Math" w:hAnsi="Cambria Math"/>
                          </w:rPr>
                          <m:t>W</m:t>
                        </m:r>
                      </m:e>
                    </m:acc>
                  </m:e>
                  <m:sub>
                    <m:r>
                      <w:rPr>
                        <w:rFonts w:ascii="Cambria Math" w:hAnsi="Cambria Math"/>
                      </w:rPr>
                      <m:t>FRI,B,f,v</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L</m:t>
                        </m:r>
                      </m:e>
                      <m:sub>
                        <m:r>
                          <w:rPr>
                            <w:rFonts w:ascii="Cambria Math" w:hAnsi="Cambria Math"/>
                          </w:rPr>
                          <m:t>EA</m:t>
                        </m:r>
                      </m:sub>
                    </m:sSub>
                  </m:num>
                  <m:den>
                    <m:sSub>
                      <m:sSubPr>
                        <m:ctrlPr>
                          <w:rPr>
                            <w:rFonts w:ascii="Cambria Math" w:hAnsi="Cambria Math"/>
                            <w:i/>
                          </w:rPr>
                        </m:ctrlPr>
                      </m:sSubPr>
                      <m:e>
                        <m:r>
                          <w:rPr>
                            <w:rFonts w:ascii="Cambria Math" w:hAnsi="Cambria Math"/>
                          </w:rPr>
                          <m:t>L</m:t>
                        </m:r>
                      </m:e>
                      <m:sub>
                        <m:r>
                          <w:rPr>
                            <w:rFonts w:ascii="Cambria Math" w:hAnsi="Cambria Math"/>
                          </w:rPr>
                          <m:t>CP,EA</m:t>
                        </m:r>
                      </m:sub>
                    </m:sSub>
                  </m:den>
                </m:f>
                <m:r>
                  <w:rPr>
                    <w:rFonts w:ascii="Cambria Math" w:hAnsi="Cambria Math"/>
                  </w:rPr>
                  <m:t>×</m:t>
                </m:r>
                <m:d>
                  <m:dPr>
                    <m:ctrlPr>
                      <w:rPr>
                        <w:rFonts w:ascii="Cambria Math" w:hAnsi="Cambria Math"/>
                        <w:i/>
                      </w:rPr>
                    </m:ctrlPr>
                  </m:dPr>
                  <m:e>
                    <m:sSub>
                      <m:sSubPr>
                        <m:ctrlPr>
                          <w:rPr>
                            <w:rFonts w:ascii="Cambria Math" w:hAnsi="Cambria Math"/>
                            <w:i/>
                            <w:iCs/>
                            <w:sz w:val="24"/>
                            <w:szCs w:val="24"/>
                          </w:rPr>
                        </m:ctrlPr>
                      </m:sSubPr>
                      <m:e>
                        <m:acc>
                          <m:accPr>
                            <m:chr m:val="̅"/>
                            <m:ctrlPr>
                              <w:rPr>
                                <w:rFonts w:ascii="Cambria Math" w:hAnsi="Cambria Math"/>
                                <w:i/>
                                <w:iCs/>
                                <w:sz w:val="24"/>
                                <w:szCs w:val="24"/>
                              </w:rPr>
                            </m:ctrlPr>
                          </m:accPr>
                          <m:e>
                            <m:r>
                              <w:rPr>
                                <w:rFonts w:ascii="Cambria Math" w:hAnsi="Cambria Math"/>
                              </w:rPr>
                              <m:t>W</m:t>
                            </m:r>
                          </m:e>
                        </m:acc>
                      </m:e>
                      <m:sub>
                        <m:r>
                          <w:rPr>
                            <w:rFonts w:ascii="Cambria Math" w:hAnsi="Cambria Math"/>
                          </w:rPr>
                          <m:t>FRI,P,f,v</m:t>
                        </m:r>
                      </m:sub>
                    </m:sSub>
                    <m:r>
                      <w:rPr>
                        <w:rFonts w:ascii="Cambria Math" w:hAnsi="Cambria Math"/>
                      </w:rPr>
                      <m:t>-</m:t>
                    </m:r>
                    <m:sSub>
                      <m:sSubPr>
                        <m:ctrlPr>
                          <w:rPr>
                            <w:rFonts w:ascii="Cambria Math" w:hAnsi="Cambria Math"/>
                            <w:i/>
                            <w:iCs/>
                            <w:sz w:val="24"/>
                            <w:szCs w:val="24"/>
                          </w:rPr>
                        </m:ctrlPr>
                      </m:sSubPr>
                      <m:e>
                        <m:acc>
                          <m:accPr>
                            <m:chr m:val="̅"/>
                            <m:ctrlPr>
                              <w:rPr>
                                <w:rFonts w:ascii="Cambria Math" w:hAnsi="Cambria Math"/>
                                <w:i/>
                                <w:iCs/>
                                <w:sz w:val="24"/>
                                <w:szCs w:val="24"/>
                              </w:rPr>
                            </m:ctrlPr>
                          </m:accPr>
                          <m:e>
                            <m:r>
                              <w:rPr>
                                <w:rFonts w:ascii="Cambria Math" w:hAnsi="Cambria Math"/>
                              </w:rPr>
                              <m:t>W</m:t>
                            </m:r>
                          </m:e>
                        </m:acc>
                      </m:e>
                      <m:sub>
                        <m:r>
                          <w:rPr>
                            <w:rFonts w:ascii="Cambria Math" w:hAnsi="Cambria Math"/>
                          </w:rPr>
                          <m:t>FRI,B,f,v</m:t>
                        </m:r>
                      </m:sub>
                    </m:sSub>
                  </m:e>
                </m:d>
              </m:oMath>
            </m:oMathPara>
          </w:p>
        </w:tc>
        <w:tc>
          <w:tcPr>
            <w:tcW w:w="1420" w:type="dxa"/>
            <w:vAlign w:val="center"/>
          </w:tcPr>
          <w:p w14:paraId="5A2DB330" w14:textId="77777777" w:rsidR="00A2679C" w:rsidRPr="00767FC2" w:rsidRDefault="00A2679C" w:rsidP="006E0D13">
            <w:pPr>
              <w:pStyle w:val="Tabletext"/>
            </w:pPr>
            <w:bookmarkStart w:id="171" w:name="_Ref494439485"/>
            <w:r w:rsidRPr="00767FC2">
              <w:t xml:space="preserve">equation </w:t>
            </w:r>
            <w:r w:rsidRPr="00767FC2">
              <w:rPr>
                <w:noProof/>
              </w:rPr>
              <w:t>12</w:t>
            </w:r>
            <w:bookmarkEnd w:id="171"/>
          </w:p>
        </w:tc>
      </w:tr>
    </w:tbl>
    <w:p w14:paraId="03E475A4" w14:textId="77777777" w:rsidR="00A2679C" w:rsidRPr="00767FC2" w:rsidRDefault="00A2679C" w:rsidP="00A2679C">
      <w:pPr>
        <w:pStyle w:val="tMain"/>
      </w:pPr>
      <w:r w:rsidRPr="00767FC2">
        <w:tab/>
      </w:r>
      <w:r w:rsidRPr="00767FC2">
        <w:tab/>
      </w:r>
      <w:proofErr w:type="gramStart"/>
      <w:r w:rsidRPr="00767FC2">
        <w:t>where</w:t>
      </w:r>
      <w:proofErr w:type="gramEnd"/>
      <w:r w:rsidRPr="00767FC2">
        <w:t>:</w:t>
      </w:r>
    </w:p>
    <w:p w14:paraId="6E81C14F" w14:textId="77777777" w:rsidR="00A2679C" w:rsidRPr="00767FC2" w:rsidRDefault="008928CA" w:rsidP="00A2679C">
      <w:pPr>
        <w:pStyle w:val="tDefn"/>
        <w:rPr>
          <w:noProof/>
        </w:rPr>
      </w:pPr>
      <m:oMath>
        <m:sSub>
          <m:sSubPr>
            <m:ctrlPr>
              <w:rPr>
                <w:rFonts w:ascii="Cambria Math" w:hAnsi="Cambria Math"/>
                <w:b/>
                <w:i/>
                <w:iCs/>
                <w:sz w:val="24"/>
                <w:szCs w:val="24"/>
              </w:rPr>
            </m:ctrlPr>
          </m:sSubPr>
          <m:e>
            <m:acc>
              <m:accPr>
                <m:chr m:val="̅"/>
                <m:ctrlPr>
                  <w:rPr>
                    <w:rFonts w:ascii="Cambria Math" w:hAnsi="Cambria Math"/>
                    <w:b/>
                    <w:i/>
                    <w:iCs/>
                    <w:sz w:val="24"/>
                    <w:szCs w:val="24"/>
                  </w:rPr>
                </m:ctrlPr>
              </m:accPr>
              <m:e>
                <m:r>
                  <m:rPr>
                    <m:sty m:val="bi"/>
                  </m:rPr>
                  <w:rPr>
                    <w:rFonts w:ascii="Cambria Math" w:hAnsi="Cambria Math"/>
                  </w:rPr>
                  <m:t>W</m:t>
                </m:r>
              </m:e>
            </m:acc>
          </m:e>
          <m:sub>
            <m:r>
              <m:rPr>
                <m:sty m:val="bi"/>
              </m:rPr>
              <w:rPr>
                <w:rFonts w:ascii="Cambria Math" w:hAnsi="Cambria Math"/>
              </w:rPr>
              <m:t>FRI,B,f,v</m:t>
            </m:r>
          </m:sub>
        </m:sSub>
      </m:oMath>
      <w:r w:rsidR="00A2679C" w:rsidRPr="00767FC2">
        <w:t xml:space="preserve"> </w:t>
      </w:r>
      <w:proofErr w:type="gramStart"/>
      <w:r w:rsidR="00A2679C" w:rsidRPr="00767FC2">
        <w:t>is</w:t>
      </w:r>
      <w:proofErr w:type="gramEnd"/>
      <w:r w:rsidR="00A2679C" w:rsidRPr="00767FC2">
        <w:t xml:space="preserve"> the amount for the project area calculated in accordance with equation </w:t>
      </w:r>
      <w:r w:rsidR="00331826" w:rsidRPr="00767FC2">
        <w:rPr>
          <w:noProof/>
        </w:rPr>
        <w:t>11</w:t>
      </w:r>
      <w:r w:rsidR="00A2679C" w:rsidRPr="00767FC2">
        <w:rPr>
          <w:noProof/>
        </w:rPr>
        <w:t xml:space="preserve"> over the baseline period (paragraph (a) of the definition of relevant calculation period in section </w:t>
      </w:r>
      <w:r w:rsidR="00A2679C" w:rsidRPr="00767FC2">
        <w:t>5)</w:t>
      </w:r>
      <w:r w:rsidR="00A2679C" w:rsidRPr="00767FC2">
        <w:rPr>
          <w:noProof/>
        </w:rPr>
        <w:t xml:space="preserve">, in tonnes </w:t>
      </w:r>
      <w:r w:rsidR="00A2679C" w:rsidRPr="00767FC2">
        <w:t xml:space="preserve">of biomass </w:t>
      </w:r>
      <w:r w:rsidR="00A2679C" w:rsidRPr="00767FC2">
        <w:rPr>
          <w:noProof/>
        </w:rPr>
        <w:t>per hectare.</w:t>
      </w:r>
    </w:p>
    <w:p w14:paraId="02E1DE67" w14:textId="77777777" w:rsidR="00A2679C" w:rsidRPr="00767FC2" w:rsidRDefault="008928CA" w:rsidP="00A2679C">
      <w:pPr>
        <w:pStyle w:val="tDefn"/>
        <w:rPr>
          <w:noProof/>
        </w:rPr>
      </w:pPr>
      <m:oMath>
        <m:sSub>
          <m:sSubPr>
            <m:ctrlPr>
              <w:rPr>
                <w:rFonts w:ascii="Cambria Math" w:hAnsi="Cambria Math"/>
                <w:b/>
                <w:i/>
                <w:iCs/>
                <w:sz w:val="24"/>
                <w:szCs w:val="24"/>
              </w:rPr>
            </m:ctrlPr>
          </m:sSubPr>
          <m:e>
            <m:acc>
              <m:accPr>
                <m:chr m:val="̅"/>
                <m:ctrlPr>
                  <w:rPr>
                    <w:rFonts w:ascii="Cambria Math" w:hAnsi="Cambria Math"/>
                    <w:b/>
                    <w:i/>
                    <w:iCs/>
                    <w:sz w:val="24"/>
                    <w:szCs w:val="24"/>
                  </w:rPr>
                </m:ctrlPr>
              </m:accPr>
              <m:e>
                <m:r>
                  <m:rPr>
                    <m:sty m:val="bi"/>
                  </m:rPr>
                  <w:rPr>
                    <w:rFonts w:ascii="Cambria Math" w:hAnsi="Cambria Math"/>
                  </w:rPr>
                  <m:t>W</m:t>
                </m:r>
              </m:e>
            </m:acc>
          </m:e>
          <m:sub>
            <m:r>
              <m:rPr>
                <m:sty m:val="bi"/>
              </m:rPr>
              <w:rPr>
                <w:rFonts w:ascii="Cambria Math" w:hAnsi="Cambria Math"/>
              </w:rPr>
              <m:t>FRI,P,f,v</m:t>
            </m:r>
          </m:sub>
        </m:sSub>
      </m:oMath>
      <w:r w:rsidR="00A2679C" w:rsidRPr="00767FC2">
        <w:rPr>
          <w:b/>
        </w:rPr>
        <w:t xml:space="preserve"> </w:t>
      </w:r>
      <w:proofErr w:type="gramStart"/>
      <w:r w:rsidR="00A2679C" w:rsidRPr="00767FC2">
        <w:t>is</w:t>
      </w:r>
      <w:proofErr w:type="gramEnd"/>
      <w:r w:rsidR="00A2679C" w:rsidRPr="00767FC2">
        <w:t xml:space="preserve"> the amount for the project area calculated in accordance with equation </w:t>
      </w:r>
      <w:r w:rsidR="00331826" w:rsidRPr="00767FC2">
        <w:rPr>
          <w:noProof/>
        </w:rPr>
        <w:t>11</w:t>
      </w:r>
      <w:r w:rsidR="00A2679C" w:rsidRPr="00767FC2">
        <w:rPr>
          <w:noProof/>
        </w:rPr>
        <w:t xml:space="preserve"> over the relevant calculation </w:t>
      </w:r>
      <w:r w:rsidR="00A2679C" w:rsidRPr="00767FC2">
        <w:t>period (paragraph (b) of the definition of that term in section 5)</w:t>
      </w:r>
      <w:r w:rsidR="00A2679C" w:rsidRPr="00767FC2">
        <w:rPr>
          <w:noProof/>
        </w:rPr>
        <w:t xml:space="preserve">, in tonnes </w:t>
      </w:r>
      <w:r w:rsidR="00A2679C" w:rsidRPr="00767FC2">
        <w:t xml:space="preserve">of biomass </w:t>
      </w:r>
      <w:r w:rsidR="00A2679C" w:rsidRPr="00767FC2">
        <w:rPr>
          <w:noProof/>
        </w:rPr>
        <w:t>per hectare.</w:t>
      </w:r>
    </w:p>
    <w:p w14:paraId="2E1DBBB5" w14:textId="77777777" w:rsidR="00E358E0" w:rsidRPr="00767FC2" w:rsidRDefault="009539B8" w:rsidP="009539B8">
      <w:pPr>
        <w:pStyle w:val="tDefn"/>
      </w:pPr>
      <w:r w:rsidRPr="00767FC2">
        <w:rPr>
          <w:b/>
          <w:i/>
        </w:rPr>
        <w:t>L</w:t>
      </w:r>
      <w:r w:rsidR="00A37D63" w:rsidRPr="00767FC2">
        <w:rPr>
          <w:b/>
          <w:i/>
          <w:vertAlign w:val="subscript"/>
        </w:rPr>
        <w:t>EA</w:t>
      </w:r>
      <w:r w:rsidR="00135EB2" w:rsidRPr="00767FC2">
        <w:t>, for a particular calendar year,</w:t>
      </w:r>
      <w:r w:rsidRPr="00767FC2">
        <w:t xml:space="preserve"> is equal to</w:t>
      </w:r>
      <w:r w:rsidR="00E358E0" w:rsidRPr="00767FC2">
        <w:t>:</w:t>
      </w:r>
    </w:p>
    <w:p w14:paraId="45B6E1A0" w14:textId="77777777" w:rsidR="00E358E0" w:rsidRPr="00767FC2" w:rsidRDefault="00E358E0" w:rsidP="00E358E0">
      <w:pPr>
        <w:pStyle w:val="tPara"/>
      </w:pPr>
      <w:r w:rsidRPr="00767FC2">
        <w:tab/>
        <w:t>(a)</w:t>
      </w:r>
      <w:r w:rsidRPr="00767FC2">
        <w:tab/>
      </w:r>
      <w:proofErr w:type="gramStart"/>
      <w:r w:rsidRPr="00767FC2">
        <w:t>for</w:t>
      </w:r>
      <w:proofErr w:type="gramEnd"/>
      <w:r w:rsidRPr="00767FC2">
        <w:t xml:space="preserve"> a year of the baseline period—zero; and</w:t>
      </w:r>
    </w:p>
    <w:p w14:paraId="13FAA3ED" w14:textId="77777777" w:rsidR="009539B8" w:rsidRPr="00767FC2" w:rsidRDefault="00E358E0" w:rsidP="00E358E0">
      <w:pPr>
        <w:pStyle w:val="tPara"/>
      </w:pPr>
      <w:r w:rsidRPr="00767FC2">
        <w:tab/>
        <w:t>(b)</w:t>
      </w:r>
      <w:r w:rsidRPr="00767FC2">
        <w:tab/>
      </w:r>
      <w:proofErr w:type="gramStart"/>
      <w:r w:rsidRPr="00767FC2">
        <w:t>otherwise—</w:t>
      </w:r>
      <w:proofErr w:type="gramEnd"/>
      <w:r w:rsidR="009539B8" w:rsidRPr="00767FC2">
        <w:t>the smaller of:</w:t>
      </w:r>
    </w:p>
    <w:p w14:paraId="116F64B0" w14:textId="77777777" w:rsidR="009539B8" w:rsidRPr="00767FC2" w:rsidRDefault="00E358E0" w:rsidP="00E358E0">
      <w:pPr>
        <w:pStyle w:val="tSubpara"/>
      </w:pPr>
      <w:r w:rsidRPr="00767FC2">
        <w:tab/>
        <w:t>(</w:t>
      </w:r>
      <w:proofErr w:type="spellStart"/>
      <w:r w:rsidRPr="00767FC2">
        <w:t>i</w:t>
      </w:r>
      <w:proofErr w:type="spellEnd"/>
      <w:r w:rsidRPr="00767FC2">
        <w:t>)</w:t>
      </w:r>
      <w:r w:rsidRPr="00767FC2">
        <w:tab/>
      </w:r>
      <w:proofErr w:type="gramStart"/>
      <w:r w:rsidR="009539B8" w:rsidRPr="00767FC2">
        <w:t>the</w:t>
      </w:r>
      <w:proofErr w:type="gramEnd"/>
      <w:r w:rsidR="009539B8" w:rsidRPr="00767FC2">
        <w:t xml:space="preserve"> length, in years, of the period between:</w:t>
      </w:r>
    </w:p>
    <w:p w14:paraId="79766024" w14:textId="77777777" w:rsidR="009539B8" w:rsidRPr="00767FC2" w:rsidRDefault="00E358E0" w:rsidP="00E358E0">
      <w:pPr>
        <w:pStyle w:val="tSubsub"/>
      </w:pPr>
      <w:r w:rsidRPr="00767FC2">
        <w:tab/>
        <w:t>(A)</w:t>
      </w:r>
      <w:r w:rsidRPr="00767FC2">
        <w:tab/>
      </w:r>
      <w:proofErr w:type="gramStart"/>
      <w:r w:rsidR="00E12423" w:rsidRPr="00767FC2">
        <w:t>the</w:t>
      </w:r>
      <w:proofErr w:type="gramEnd"/>
      <w:r w:rsidR="00E12423" w:rsidRPr="00767FC2">
        <w:t xml:space="preserve"> </w:t>
      </w:r>
      <w:r w:rsidR="00795454" w:rsidRPr="00767FC2">
        <w:t xml:space="preserve">beginning of the </w:t>
      </w:r>
      <w:r w:rsidR="00E12423" w:rsidRPr="00767FC2">
        <w:t xml:space="preserve">calendar year in which this determination </w:t>
      </w:r>
      <w:r w:rsidR="00F7792C" w:rsidRPr="00767FC2">
        <w:t xml:space="preserve">or the </w:t>
      </w:r>
      <w:r w:rsidR="00F7792C" w:rsidRPr="00767FC2">
        <w:rPr>
          <w:i/>
        </w:rPr>
        <w:t xml:space="preserve">Carbon Credits (Carbon Farming Initiative—Savanna Fire Management—Sequestration and Emissions Avoidance) Methodology Determination </w:t>
      </w:r>
      <w:r w:rsidR="00D32953" w:rsidRPr="00767FC2">
        <w:rPr>
          <w:i/>
        </w:rPr>
        <w:t>2018</w:t>
      </w:r>
      <w:r w:rsidR="00F7792C" w:rsidRPr="00767FC2">
        <w:rPr>
          <w:i/>
        </w:rPr>
        <w:t xml:space="preserve"> </w:t>
      </w:r>
      <w:r w:rsidR="00E12423" w:rsidRPr="00767FC2">
        <w:t>became the applicable methodology determination</w:t>
      </w:r>
      <w:r w:rsidR="009539B8" w:rsidRPr="00767FC2">
        <w:t>; and</w:t>
      </w:r>
    </w:p>
    <w:p w14:paraId="4D534BB9" w14:textId="77777777" w:rsidR="009539B8" w:rsidRPr="00767FC2" w:rsidRDefault="00E358E0" w:rsidP="00E358E0">
      <w:pPr>
        <w:pStyle w:val="tSubsub"/>
      </w:pPr>
      <w:r w:rsidRPr="00767FC2">
        <w:tab/>
        <w:t>(B)</w:t>
      </w:r>
      <w:r w:rsidRPr="00767FC2">
        <w:tab/>
      </w:r>
      <w:proofErr w:type="gramStart"/>
      <w:r w:rsidR="009539B8" w:rsidRPr="00767FC2">
        <w:t>the</w:t>
      </w:r>
      <w:proofErr w:type="gramEnd"/>
      <w:r w:rsidR="009539B8" w:rsidRPr="00767FC2">
        <w:t xml:space="preserve"> end of the calendar year; and</w:t>
      </w:r>
    </w:p>
    <w:p w14:paraId="0F8CE1C9" w14:textId="77777777" w:rsidR="009539B8" w:rsidRPr="00767FC2" w:rsidRDefault="00E358E0" w:rsidP="00E358E0">
      <w:pPr>
        <w:pStyle w:val="tSubpara"/>
      </w:pPr>
      <w:r w:rsidRPr="00767FC2">
        <w:tab/>
        <w:t>(</w:t>
      </w:r>
      <w:r w:rsidR="00754569" w:rsidRPr="00767FC2">
        <w:t>i</w:t>
      </w:r>
      <w:r w:rsidRPr="00767FC2">
        <w:t>i)</w:t>
      </w:r>
      <w:r w:rsidRPr="00767FC2">
        <w:tab/>
      </w:r>
      <w:proofErr w:type="gramStart"/>
      <w:r w:rsidR="009539B8" w:rsidRPr="00767FC2">
        <w:t>the</w:t>
      </w:r>
      <w:proofErr w:type="gramEnd"/>
      <w:r w:rsidR="009539B8" w:rsidRPr="00767FC2">
        <w:t xml:space="preserve"> amount </w:t>
      </w:r>
      <w:r w:rsidR="009539B8" w:rsidRPr="00767FC2">
        <w:rPr>
          <w:i/>
        </w:rPr>
        <w:t>L</w:t>
      </w:r>
      <w:r w:rsidR="009539B8" w:rsidRPr="00767FC2">
        <w:rPr>
          <w:i/>
          <w:vertAlign w:val="subscript"/>
        </w:rPr>
        <w:t>CP</w:t>
      </w:r>
      <w:r w:rsidR="00A37D63" w:rsidRPr="00767FC2">
        <w:rPr>
          <w:i/>
          <w:vertAlign w:val="subscript"/>
        </w:rPr>
        <w:t>,EA</w:t>
      </w:r>
      <w:r w:rsidR="009539B8" w:rsidRPr="00767FC2">
        <w:t>.</w:t>
      </w:r>
    </w:p>
    <w:p w14:paraId="2ABE8CE0" w14:textId="77777777" w:rsidR="00093944" w:rsidRPr="00767FC2" w:rsidRDefault="009539B8" w:rsidP="00093944">
      <w:pPr>
        <w:pStyle w:val="tDefn"/>
      </w:pPr>
      <w:r w:rsidRPr="00767FC2">
        <w:rPr>
          <w:b/>
          <w:i/>
        </w:rPr>
        <w:t>L</w:t>
      </w:r>
      <w:r w:rsidRPr="00767FC2">
        <w:rPr>
          <w:b/>
          <w:i/>
        </w:rPr>
        <w:softHyphen/>
      </w:r>
      <w:r w:rsidRPr="00767FC2">
        <w:rPr>
          <w:b/>
          <w:i/>
          <w:vertAlign w:val="subscript"/>
        </w:rPr>
        <w:t>CP</w:t>
      </w:r>
      <w:proofErr w:type="gramStart"/>
      <w:r w:rsidR="00A37D63" w:rsidRPr="00767FC2">
        <w:rPr>
          <w:b/>
          <w:i/>
          <w:vertAlign w:val="subscript"/>
        </w:rPr>
        <w:t>,EA</w:t>
      </w:r>
      <w:proofErr w:type="gramEnd"/>
      <w:r w:rsidRPr="00767FC2">
        <w:t xml:space="preserve"> is equal to</w:t>
      </w:r>
      <w:r w:rsidR="00093944" w:rsidRPr="00767FC2">
        <w:t>:</w:t>
      </w:r>
    </w:p>
    <w:p w14:paraId="6B2F3155" w14:textId="77777777" w:rsidR="00093944" w:rsidRPr="00767FC2" w:rsidRDefault="00093944" w:rsidP="00093944">
      <w:pPr>
        <w:pStyle w:val="tPara"/>
      </w:pPr>
      <w:r w:rsidRPr="00767FC2">
        <w:tab/>
        <w:t>(a)</w:t>
      </w:r>
      <w:r w:rsidRPr="00767FC2">
        <w:tab/>
      </w:r>
      <w:proofErr w:type="gramStart"/>
      <w:r w:rsidRPr="00767FC2">
        <w:t>for</w:t>
      </w:r>
      <w:proofErr w:type="gramEnd"/>
      <w:r w:rsidRPr="00767FC2">
        <w:t xml:space="preserve"> a continuing transferring project—the difference, in years, between:</w:t>
      </w:r>
    </w:p>
    <w:p w14:paraId="0C84806B" w14:textId="77777777" w:rsidR="00547567" w:rsidRPr="00767FC2" w:rsidRDefault="00547567" w:rsidP="00547567">
      <w:pPr>
        <w:pStyle w:val="tSubpara"/>
      </w:pPr>
      <w:r w:rsidRPr="00767FC2">
        <w:tab/>
        <w:t>(</w:t>
      </w:r>
      <w:proofErr w:type="spellStart"/>
      <w:r w:rsidRPr="00767FC2">
        <w:t>i</w:t>
      </w:r>
      <w:proofErr w:type="spellEnd"/>
      <w:r w:rsidRPr="00767FC2">
        <w:t>)</w:t>
      </w:r>
      <w:r w:rsidRPr="00767FC2">
        <w:tab/>
      </w:r>
      <w:proofErr w:type="gramStart"/>
      <w:r w:rsidRPr="00767FC2">
        <w:t>the</w:t>
      </w:r>
      <w:proofErr w:type="gramEnd"/>
      <w:r w:rsidRPr="00767FC2">
        <w:t xml:space="preserve"> length of:</w:t>
      </w:r>
    </w:p>
    <w:p w14:paraId="523F4A22" w14:textId="77777777" w:rsidR="00547567" w:rsidRPr="00767FC2" w:rsidRDefault="00547567" w:rsidP="00547567">
      <w:pPr>
        <w:pStyle w:val="tSubsub"/>
      </w:pPr>
      <w:r w:rsidRPr="00767FC2">
        <w:tab/>
        <w:t>(A)</w:t>
      </w:r>
      <w:r w:rsidRPr="00767FC2">
        <w:tab/>
      </w:r>
      <w:proofErr w:type="gramStart"/>
      <w:r w:rsidRPr="00767FC2">
        <w:t>the</w:t>
      </w:r>
      <w:proofErr w:type="gramEnd"/>
      <w:r w:rsidRPr="00767FC2">
        <w:t xml:space="preserve"> crediting period; or</w:t>
      </w:r>
    </w:p>
    <w:p w14:paraId="610BDC35" w14:textId="77777777" w:rsidR="00547567" w:rsidRPr="00767FC2" w:rsidRDefault="00547567" w:rsidP="00547567">
      <w:pPr>
        <w:pStyle w:val="tSubsub"/>
      </w:pPr>
      <w:r w:rsidRPr="00767FC2">
        <w:tab/>
        <w:t>(B)</w:t>
      </w:r>
      <w:r w:rsidRPr="00767FC2">
        <w:tab/>
      </w:r>
      <w:proofErr w:type="gramStart"/>
      <w:r w:rsidRPr="00767FC2">
        <w:t>if</w:t>
      </w:r>
      <w:proofErr w:type="gramEnd"/>
      <w:r w:rsidRPr="00767FC2">
        <w:t xml:space="preserve"> the project ha</w:t>
      </w:r>
      <w:r w:rsidR="00992B2C" w:rsidRPr="00767FC2">
        <w:t>s</w:t>
      </w:r>
      <w:r w:rsidRPr="00767FC2">
        <w:t xml:space="preserve"> 2 crediting periods as a result of subsection 70(2) of the Act—the second crediting period; and</w:t>
      </w:r>
    </w:p>
    <w:p w14:paraId="1F0BBFA3" w14:textId="77777777" w:rsidR="00093944" w:rsidRPr="00767FC2" w:rsidRDefault="00093944" w:rsidP="00093944">
      <w:pPr>
        <w:pStyle w:val="tSubpara"/>
      </w:pPr>
      <w:r w:rsidRPr="00767FC2">
        <w:tab/>
        <w:t>(ii)</w:t>
      </w:r>
      <w:r w:rsidRPr="00767FC2">
        <w:tab/>
      </w:r>
      <w:proofErr w:type="gramStart"/>
      <w:r w:rsidRPr="00767FC2">
        <w:t>the</w:t>
      </w:r>
      <w:proofErr w:type="gramEnd"/>
      <w:r w:rsidRPr="00767FC2">
        <w:t xml:space="preserve"> length of the period for which the project was reported on under </w:t>
      </w:r>
      <w:r w:rsidR="00143D7E" w:rsidRPr="00767FC2">
        <w:t xml:space="preserve">a </w:t>
      </w:r>
      <w:r w:rsidRPr="00767FC2">
        <w:t>methodology determination</w:t>
      </w:r>
      <w:r w:rsidR="00143D7E" w:rsidRPr="00767FC2">
        <w:t xml:space="preserve"> other than this determination or the </w:t>
      </w:r>
      <w:r w:rsidR="00143D7E" w:rsidRPr="00767FC2">
        <w:rPr>
          <w:i/>
        </w:rPr>
        <w:t xml:space="preserve">Carbon Credits (Carbon Farming Initiative—Savanna Fire Management—Sequestration and Emissions Avoidance) Methodology Determination </w:t>
      </w:r>
      <w:r w:rsidR="00D32953" w:rsidRPr="00767FC2">
        <w:rPr>
          <w:i/>
        </w:rPr>
        <w:t>2018</w:t>
      </w:r>
      <w:r w:rsidRPr="00767FC2">
        <w:t>;</w:t>
      </w:r>
    </w:p>
    <w:p w14:paraId="20C396A6" w14:textId="77777777" w:rsidR="00093944" w:rsidRPr="00767FC2" w:rsidRDefault="00093944" w:rsidP="00093944">
      <w:pPr>
        <w:pStyle w:val="tPara"/>
      </w:pPr>
      <w:r w:rsidRPr="00767FC2">
        <w:tab/>
      </w:r>
      <w:r w:rsidRPr="00767FC2">
        <w:tab/>
      </w:r>
      <w:proofErr w:type="gramStart"/>
      <w:r w:rsidRPr="00767FC2">
        <w:t>rounded</w:t>
      </w:r>
      <w:proofErr w:type="gramEnd"/>
      <w:r w:rsidRPr="00767FC2">
        <w:t xml:space="preserve"> down to the nearest whole number of calendar years; and</w:t>
      </w:r>
    </w:p>
    <w:p w14:paraId="0A772E42" w14:textId="77777777" w:rsidR="00992B2C" w:rsidRPr="00767FC2" w:rsidRDefault="00093944" w:rsidP="00093944">
      <w:pPr>
        <w:pStyle w:val="tPara"/>
      </w:pPr>
      <w:r w:rsidRPr="00767FC2">
        <w:tab/>
        <w:t>(b)</w:t>
      </w:r>
      <w:r w:rsidRPr="00767FC2">
        <w:tab/>
      </w:r>
      <w:proofErr w:type="gramStart"/>
      <w:r w:rsidRPr="00767FC2">
        <w:t>otherwise—</w:t>
      </w:r>
      <w:proofErr w:type="gramEnd"/>
      <w:r w:rsidRPr="00767FC2">
        <w:t>the length</w:t>
      </w:r>
      <w:r w:rsidR="00992B2C" w:rsidRPr="00767FC2">
        <w:t>, in years,</w:t>
      </w:r>
      <w:r w:rsidRPr="00767FC2">
        <w:t xml:space="preserve"> of</w:t>
      </w:r>
      <w:r w:rsidR="00992B2C" w:rsidRPr="00767FC2">
        <w:t>:</w:t>
      </w:r>
    </w:p>
    <w:p w14:paraId="19364630" w14:textId="77777777" w:rsidR="00992B2C" w:rsidRPr="00767FC2" w:rsidRDefault="00992B2C" w:rsidP="00992B2C">
      <w:pPr>
        <w:pStyle w:val="tSubpara"/>
      </w:pPr>
      <w:r w:rsidRPr="00767FC2">
        <w:tab/>
        <w:t>(</w:t>
      </w:r>
      <w:proofErr w:type="spellStart"/>
      <w:r w:rsidRPr="00767FC2">
        <w:t>i</w:t>
      </w:r>
      <w:proofErr w:type="spellEnd"/>
      <w:r w:rsidRPr="00767FC2">
        <w:t>)</w:t>
      </w:r>
      <w:r w:rsidRPr="00767FC2">
        <w:tab/>
      </w:r>
      <w:proofErr w:type="gramStart"/>
      <w:r w:rsidR="00093944" w:rsidRPr="00767FC2">
        <w:t>the</w:t>
      </w:r>
      <w:proofErr w:type="gramEnd"/>
      <w:r w:rsidR="00093944" w:rsidRPr="00767FC2">
        <w:t xml:space="preserve"> crediting period</w:t>
      </w:r>
      <w:r w:rsidRPr="00767FC2">
        <w:t>;</w:t>
      </w:r>
      <w:r w:rsidR="00093944" w:rsidRPr="00767FC2">
        <w:t xml:space="preserve"> </w:t>
      </w:r>
      <w:r w:rsidR="00EB1696" w:rsidRPr="00767FC2">
        <w:t>or</w:t>
      </w:r>
    </w:p>
    <w:p w14:paraId="522F595B" w14:textId="77777777" w:rsidR="00093944" w:rsidRPr="00767FC2" w:rsidRDefault="00992B2C" w:rsidP="00992B2C">
      <w:pPr>
        <w:pStyle w:val="tSubpara"/>
      </w:pPr>
      <w:r w:rsidRPr="00767FC2">
        <w:tab/>
        <w:t>(ii)</w:t>
      </w:r>
      <w:r w:rsidRPr="00767FC2">
        <w:tab/>
      </w:r>
      <w:proofErr w:type="gramStart"/>
      <w:r w:rsidRPr="00767FC2">
        <w:t>if</w:t>
      </w:r>
      <w:proofErr w:type="gramEnd"/>
      <w:r w:rsidRPr="00767FC2">
        <w:t xml:space="preserve"> the project has</w:t>
      </w:r>
      <w:r w:rsidR="00EB1696" w:rsidRPr="00767FC2">
        <w:t xml:space="preserve"> 2 crediting periods as a result of subsection 70(2) of the Act</w:t>
      </w:r>
      <w:r w:rsidRPr="00767FC2">
        <w:t>—</w:t>
      </w:r>
      <w:r w:rsidR="00EB1696" w:rsidRPr="00767FC2">
        <w:t>the second crediting period</w:t>
      </w:r>
      <w:r w:rsidR="00093944" w:rsidRPr="00767FC2">
        <w:t>.</w:t>
      </w:r>
    </w:p>
    <w:p w14:paraId="7D83E18E" w14:textId="77777777" w:rsidR="00A53989" w:rsidRPr="00767FC2" w:rsidRDefault="009539B8" w:rsidP="009539B8">
      <w:pPr>
        <w:pStyle w:val="nMain"/>
      </w:pPr>
      <w:r w:rsidRPr="00767FC2">
        <w:t>Note:</w:t>
      </w:r>
      <w:r w:rsidRPr="00767FC2">
        <w:tab/>
        <w:t>There will ordinarily be 25 years in the crediting period. For the crediting period of certain projects that include a transferring project area, see section </w:t>
      </w:r>
      <w:r w:rsidR="00964086" w:rsidRPr="00767FC2">
        <w:t>28</w:t>
      </w:r>
      <w:r w:rsidRPr="00767FC2">
        <w:t xml:space="preserve"> of this determination.</w:t>
      </w:r>
    </w:p>
    <w:p w14:paraId="4770FB33" w14:textId="77777777" w:rsidR="003D360F" w:rsidRPr="00767FC2" w:rsidRDefault="001626C4" w:rsidP="003D360F">
      <w:pPr>
        <w:pStyle w:val="h3Div"/>
      </w:pPr>
      <w:bookmarkStart w:id="172" w:name="_Toc485640301"/>
      <w:bookmarkStart w:id="173" w:name="_Toc509567241"/>
      <w:r w:rsidRPr="00767FC2">
        <w:lastRenderedPageBreak/>
        <w:t>Division 3</w:t>
      </w:r>
      <w:r w:rsidR="003D360F" w:rsidRPr="00767FC2">
        <w:t>—Adjustments to calculations</w:t>
      </w:r>
      <w:bookmarkEnd w:id="172"/>
      <w:bookmarkEnd w:id="173"/>
    </w:p>
    <w:p w14:paraId="54619BAF" w14:textId="77777777" w:rsidR="003D360F" w:rsidRPr="00767FC2" w:rsidRDefault="001626C4" w:rsidP="003D360F">
      <w:pPr>
        <w:pStyle w:val="h5Section"/>
      </w:pPr>
      <w:bookmarkStart w:id="174" w:name="_Toc485640302"/>
      <w:bookmarkStart w:id="175" w:name="_Toc509567242"/>
      <w:proofErr w:type="gramStart"/>
      <w:r w:rsidRPr="00767FC2">
        <w:rPr>
          <w:noProof/>
        </w:rPr>
        <w:t>10</w:t>
      </w:r>
      <w:r w:rsidR="003D360F" w:rsidRPr="00767FC2">
        <w:rPr>
          <w:noProof/>
        </w:rPr>
        <w:t xml:space="preserve">  </w:t>
      </w:r>
      <w:r w:rsidR="003D360F" w:rsidRPr="00767FC2">
        <w:t>Adjustments</w:t>
      </w:r>
      <w:proofErr w:type="gramEnd"/>
      <w:r w:rsidR="003D360F" w:rsidRPr="00767FC2">
        <w:t xml:space="preserve"> resulting from project area spanning rainfall zones</w:t>
      </w:r>
      <w:bookmarkEnd w:id="174"/>
      <w:bookmarkEnd w:id="175"/>
    </w:p>
    <w:p w14:paraId="3F9E5F57" w14:textId="77777777" w:rsidR="003D360F" w:rsidRPr="00767FC2" w:rsidRDefault="003D360F" w:rsidP="003D360F">
      <w:pPr>
        <w:pStyle w:val="tMain"/>
      </w:pPr>
      <w:r w:rsidRPr="00767FC2">
        <w:tab/>
      </w:r>
      <w:r w:rsidRPr="00767FC2">
        <w:tab/>
        <w:t>If a single project area has 2 project area parts,</w:t>
      </w:r>
      <w:r w:rsidRPr="00767FC2">
        <w:rPr>
          <w:i/>
        </w:rPr>
        <w:t xml:space="preserve"> </w:t>
      </w:r>
      <w:proofErr w:type="spellStart"/>
      <w:r w:rsidRPr="00767FC2">
        <w:rPr>
          <w:i/>
        </w:rPr>
        <w:t>A</w:t>
      </w:r>
      <w:r w:rsidRPr="00767FC2">
        <w:rPr>
          <w:i/>
          <w:vertAlign w:val="subscript"/>
        </w:rPr>
        <w:t>EA</w:t>
      </w:r>
      <w:proofErr w:type="gramStart"/>
      <w:r w:rsidRPr="00767FC2">
        <w:rPr>
          <w:i/>
          <w:vertAlign w:val="subscript"/>
        </w:rPr>
        <w:t>,adj</w:t>
      </w:r>
      <w:proofErr w:type="spellEnd"/>
      <w:proofErr w:type="gramEnd"/>
      <w:r w:rsidRPr="00767FC2">
        <w:t xml:space="preserve"> for the project area is instead calculated by:</w:t>
      </w:r>
    </w:p>
    <w:p w14:paraId="39BC737C" w14:textId="77777777" w:rsidR="003D360F" w:rsidRPr="00767FC2" w:rsidRDefault="003D360F" w:rsidP="003D360F">
      <w:pPr>
        <w:pStyle w:val="tPara"/>
      </w:pPr>
      <w:r w:rsidRPr="00767FC2">
        <w:tab/>
      </w:r>
      <w:r w:rsidR="001626C4" w:rsidRPr="00767FC2">
        <w:t>(a)</w:t>
      </w:r>
      <w:r w:rsidRPr="00767FC2">
        <w:tab/>
        <w:t xml:space="preserve">calculating a value of </w:t>
      </w:r>
      <w:proofErr w:type="spellStart"/>
      <w:r w:rsidRPr="00767FC2">
        <w:rPr>
          <w:i/>
        </w:rPr>
        <w:t>A</w:t>
      </w:r>
      <w:r w:rsidRPr="00767FC2">
        <w:rPr>
          <w:i/>
          <w:vertAlign w:val="subscript"/>
        </w:rPr>
        <w:t>EA,adj</w:t>
      </w:r>
      <w:proofErr w:type="spellEnd"/>
      <w:r w:rsidRPr="00767FC2">
        <w:t xml:space="preserve"> in tonnes CO</w:t>
      </w:r>
      <w:r w:rsidRPr="00767FC2">
        <w:rPr>
          <w:vertAlign w:val="subscript"/>
        </w:rPr>
        <w:t>2</w:t>
      </w:r>
      <w:r w:rsidRPr="00767FC2">
        <w:rPr>
          <w:b/>
        </w:rPr>
        <w:noBreakHyphen/>
      </w:r>
      <w:r w:rsidRPr="00767FC2">
        <w:t>e in accordance with this Schedule for each project area part as if it were a separate project area; and</w:t>
      </w:r>
    </w:p>
    <w:p w14:paraId="0DA71E96" w14:textId="77777777" w:rsidR="003D360F" w:rsidRPr="00767FC2" w:rsidRDefault="003D360F" w:rsidP="003D360F">
      <w:pPr>
        <w:pStyle w:val="tPara"/>
      </w:pPr>
      <w:r w:rsidRPr="00767FC2">
        <w:tab/>
      </w:r>
      <w:r w:rsidR="001626C4" w:rsidRPr="00767FC2">
        <w:t>(b)</w:t>
      </w:r>
      <w:r w:rsidRPr="00767FC2">
        <w:tab/>
      </w:r>
      <w:proofErr w:type="gramStart"/>
      <w:r w:rsidRPr="00767FC2">
        <w:t>summing</w:t>
      </w:r>
      <w:proofErr w:type="gramEnd"/>
      <w:r w:rsidRPr="00767FC2">
        <w:t xml:space="preserve"> the values so calculated.</w:t>
      </w:r>
    </w:p>
    <w:p w14:paraId="5F4D1F5B" w14:textId="77777777" w:rsidR="00970435" w:rsidRPr="00767FC2" w:rsidRDefault="001626C4" w:rsidP="00970435">
      <w:pPr>
        <w:pStyle w:val="h5Section"/>
        <w:rPr>
          <w:i/>
        </w:rPr>
      </w:pPr>
      <w:bookmarkStart w:id="176" w:name="_Toc509567243"/>
      <w:proofErr w:type="gramStart"/>
      <w:r w:rsidRPr="00767FC2">
        <w:t>11</w:t>
      </w:r>
      <w:r w:rsidR="00970435" w:rsidRPr="00767FC2">
        <w:t xml:space="preserve">  Adjustments</w:t>
      </w:r>
      <w:proofErr w:type="gramEnd"/>
      <w:r w:rsidR="00970435" w:rsidRPr="00767FC2">
        <w:t xml:space="preserve"> resulting from lack of fire activity</w:t>
      </w:r>
      <w:bookmarkEnd w:id="176"/>
    </w:p>
    <w:p w14:paraId="2CB8CF1C" w14:textId="77777777" w:rsidR="00970435" w:rsidRPr="00767FC2" w:rsidRDefault="00970435" w:rsidP="00970435">
      <w:pPr>
        <w:pStyle w:val="tMain"/>
      </w:pPr>
      <w:r w:rsidRPr="00767FC2">
        <w:tab/>
      </w:r>
      <w:r w:rsidR="001626C4" w:rsidRPr="00767FC2">
        <w:t>(1)</w:t>
      </w:r>
      <w:r w:rsidRPr="00767FC2">
        <w:tab/>
        <w:t xml:space="preserve">This section applies if, when calculating </w:t>
      </w:r>
      <w:proofErr w:type="spellStart"/>
      <w:r w:rsidRPr="00767FC2">
        <w:rPr>
          <w:i/>
        </w:rPr>
        <w:t>FL</w:t>
      </w:r>
      <w:r w:rsidRPr="00767FC2">
        <w:rPr>
          <w:i/>
          <w:vertAlign w:val="subscript"/>
        </w:rPr>
        <w:t>f,v,s</w:t>
      </w:r>
      <w:proofErr w:type="spellEnd"/>
      <w:r w:rsidRPr="00767FC2">
        <w:t xml:space="preserve"> </w:t>
      </w:r>
      <w:r w:rsidR="00AA12B8" w:rsidRPr="00767FC2">
        <w:t>under section </w:t>
      </w:r>
      <w:r w:rsidR="00964086" w:rsidRPr="00767FC2">
        <w:t>9</w:t>
      </w:r>
      <w:r w:rsidR="00AA12B8" w:rsidRPr="00767FC2">
        <w:t xml:space="preserve"> of this Schedule </w:t>
      </w:r>
      <w:r w:rsidRPr="00767FC2">
        <w:t>for a particular calendar year</w:t>
      </w:r>
      <w:r w:rsidR="00E96600" w:rsidRPr="00767FC2">
        <w:t xml:space="preserve"> after the baseline period</w:t>
      </w:r>
      <w:r w:rsidRPr="00767FC2">
        <w:t xml:space="preserve">, for any vegetation fuel type </w:t>
      </w:r>
      <w:r w:rsidRPr="00767FC2">
        <w:rPr>
          <w:i/>
        </w:rPr>
        <w:t xml:space="preserve">v </w:t>
      </w:r>
      <w:r w:rsidRPr="00767FC2">
        <w:t xml:space="preserve">on the vegetation fuel type map, the sum of the </w:t>
      </w:r>
      <w:r w:rsidR="003B1314" w:rsidRPr="00767FC2">
        <w:t xml:space="preserve">mean </w:t>
      </w:r>
      <w:r w:rsidRPr="00767FC2">
        <w:t xml:space="preserve">fire frequencies </w:t>
      </w:r>
      <w:proofErr w:type="spellStart"/>
      <w:r w:rsidRPr="00767FC2">
        <w:rPr>
          <w:i/>
        </w:rPr>
        <w:t>FF</w:t>
      </w:r>
      <w:r w:rsidRPr="00767FC2">
        <w:rPr>
          <w:i/>
          <w:vertAlign w:val="subscript"/>
        </w:rPr>
        <w:t>v,s</w:t>
      </w:r>
      <w:proofErr w:type="spellEnd"/>
      <w:r w:rsidRPr="00767FC2">
        <w:softHyphen/>
        <w:t xml:space="preserve"> as given by </w:t>
      </w:r>
      <w:r w:rsidR="00964086" w:rsidRPr="00767FC2">
        <w:t xml:space="preserve">equation </w:t>
      </w:r>
      <w:r w:rsidR="00964086" w:rsidRPr="00767FC2">
        <w:rPr>
          <w:noProof/>
        </w:rPr>
        <w:t>8</w:t>
      </w:r>
      <w:r w:rsidRPr="00767FC2">
        <w:t>, over both fire seasons, is equal to zero.</w:t>
      </w:r>
    </w:p>
    <w:p w14:paraId="48EE31F9" w14:textId="77777777" w:rsidR="000A1310" w:rsidRPr="00767FC2" w:rsidRDefault="00970435" w:rsidP="00970435">
      <w:pPr>
        <w:pStyle w:val="tMain"/>
      </w:pPr>
      <w:r w:rsidRPr="00767FC2">
        <w:tab/>
      </w:r>
      <w:r w:rsidR="001626C4" w:rsidRPr="00767FC2">
        <w:t>(2)</w:t>
      </w:r>
      <w:r w:rsidRPr="00767FC2">
        <w:tab/>
      </w:r>
      <w:r w:rsidR="00E96600" w:rsidRPr="00767FC2">
        <w:t xml:space="preserve">For </w:t>
      </w:r>
      <w:r w:rsidR="000A1310" w:rsidRPr="00767FC2">
        <w:t xml:space="preserve">that calendar year,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FRI,P,f,v</m:t>
            </m:r>
          </m:sub>
        </m:sSub>
      </m:oMath>
      <w:r w:rsidR="00A2679C" w:rsidRPr="00767FC2">
        <w:t xml:space="preserve"> is taken to be equal </w:t>
      </w:r>
      <w:proofErr w:type="gramStart"/>
      <w:r w:rsidR="00A2679C" w:rsidRPr="00767FC2">
        <w:t xml:space="preserve">to </w:t>
      </w:r>
      <w:proofErr w:type="gramEnd"/>
      <m:oMath>
        <m:sSub>
          <m:sSubPr>
            <m:ctrlPr>
              <w:rPr>
                <w:rFonts w:ascii="Cambria Math" w:hAnsi="Cambria Math"/>
                <w:i/>
              </w:rPr>
            </m:ctrlPr>
          </m:sSubPr>
          <m:e>
            <m:acc>
              <m:accPr>
                <m:chr m:val="̅"/>
                <m:ctrlPr>
                  <w:rPr>
                    <w:rFonts w:ascii="Cambria Math" w:hAnsi="Cambria Math"/>
                    <w:i/>
                  </w:rPr>
                </m:ctrlPr>
              </m:accPr>
              <m:e>
                <m:r>
                  <w:rPr>
                    <w:rFonts w:ascii="Cambria Math" w:hAnsi="Cambria Math"/>
                  </w:rPr>
                  <m:t>W</m:t>
                </m:r>
              </m:e>
            </m:acc>
          </m:e>
          <m:sub>
            <m:r>
              <w:rPr>
                <w:rFonts w:ascii="Cambria Math" w:hAnsi="Cambria Math"/>
              </w:rPr>
              <m:t>FRI,B,f,v</m:t>
            </m:r>
          </m:sub>
        </m:sSub>
      </m:oMath>
      <w:r w:rsidR="00A2679C" w:rsidRPr="00767FC2">
        <w:t>.</w:t>
      </w:r>
    </w:p>
    <w:p w14:paraId="74FFFE43" w14:textId="77777777" w:rsidR="003D360F" w:rsidRPr="00767FC2" w:rsidRDefault="001626C4" w:rsidP="003D360F">
      <w:pPr>
        <w:pStyle w:val="h5Section"/>
      </w:pPr>
      <w:bookmarkStart w:id="177" w:name="_Toc485640304"/>
      <w:bookmarkStart w:id="178" w:name="_Toc509567244"/>
      <w:proofErr w:type="gramStart"/>
      <w:r w:rsidRPr="00767FC2">
        <w:t>12</w:t>
      </w:r>
      <w:r w:rsidR="003D360F" w:rsidRPr="00767FC2">
        <w:t xml:space="preserve">  Adjustments</w:t>
      </w:r>
      <w:proofErr w:type="gramEnd"/>
      <w:r w:rsidR="003D360F" w:rsidRPr="00767FC2">
        <w:t xml:space="preserve"> resulting from subdivided project areas</w:t>
      </w:r>
      <w:bookmarkEnd w:id="177"/>
      <w:bookmarkEnd w:id="178"/>
    </w:p>
    <w:p w14:paraId="1BCA4442" w14:textId="77777777" w:rsidR="003D360F" w:rsidRPr="00767FC2" w:rsidRDefault="005F3F66" w:rsidP="003D360F">
      <w:pPr>
        <w:pStyle w:val="tMain"/>
        <w:spacing w:after="120"/>
      </w:pPr>
      <w:r w:rsidRPr="00767FC2">
        <w:tab/>
      </w:r>
      <w:r w:rsidRPr="00767FC2">
        <w:tab/>
        <w:t xml:space="preserve">If a project area is divided into 2 or more subdivided project areas, then </w:t>
      </w:r>
      <w:proofErr w:type="spellStart"/>
      <w:r w:rsidR="003D360F" w:rsidRPr="00767FC2">
        <w:rPr>
          <w:i/>
        </w:rPr>
        <w:t>B</w:t>
      </w:r>
      <w:r w:rsidR="003D360F" w:rsidRPr="00767FC2">
        <w:rPr>
          <w:i/>
          <w:vertAlign w:val="subscript"/>
        </w:rPr>
        <w:t>U</w:t>
      </w:r>
      <w:proofErr w:type="gramStart"/>
      <w:r w:rsidR="003D360F" w:rsidRPr="00767FC2">
        <w:rPr>
          <w:i/>
          <w:vertAlign w:val="subscript"/>
        </w:rPr>
        <w:t>,Prev</w:t>
      </w:r>
      <w:proofErr w:type="spellEnd"/>
      <w:proofErr w:type="gramEnd"/>
      <w:r w:rsidR="003D360F" w:rsidRPr="00767FC2">
        <w:t xml:space="preserve"> for each subdivided project area </w:t>
      </w:r>
      <w:r w:rsidRPr="00767FC2">
        <w:t xml:space="preserve">immediately after the subdivision takes effect </w:t>
      </w:r>
      <w:r w:rsidR="003D360F" w:rsidRPr="00767FC2">
        <w:t xml:space="preserve">is equal to the amount </w:t>
      </w:r>
      <w:proofErr w:type="spellStart"/>
      <w:r w:rsidR="003D360F" w:rsidRPr="00767FC2">
        <w:rPr>
          <w:i/>
        </w:rPr>
        <w:t>B</w:t>
      </w:r>
      <w:r w:rsidR="003D360F" w:rsidRPr="00767FC2">
        <w:rPr>
          <w:i/>
          <w:vertAlign w:val="subscript"/>
        </w:rPr>
        <w:t>U,Prev,Subdiv</w:t>
      </w:r>
      <w:proofErr w:type="spellEnd"/>
      <w:r w:rsidR="003D360F" w:rsidRPr="00767FC2">
        <w:t xml:space="preserve"> given by the following equation:</w:t>
      </w:r>
    </w:p>
    <w:tbl>
      <w:tblPr>
        <w:tblStyle w:val="TableGrid"/>
        <w:tblW w:w="0" w:type="auto"/>
        <w:tblInd w:w="1134" w:type="dxa"/>
        <w:tblLook w:val="04A0" w:firstRow="1" w:lastRow="0" w:firstColumn="1" w:lastColumn="0" w:noHBand="0" w:noVBand="1"/>
      </w:tblPr>
      <w:tblGrid>
        <w:gridCol w:w="6516"/>
        <w:gridCol w:w="1366"/>
      </w:tblGrid>
      <w:tr w:rsidR="00767FC2" w:rsidRPr="00767FC2" w14:paraId="28016EF4" w14:textId="77777777" w:rsidTr="00B653A0">
        <w:trPr>
          <w:trHeight w:val="1108"/>
        </w:trPr>
        <w:tc>
          <w:tcPr>
            <w:tcW w:w="6516" w:type="dxa"/>
            <w:vAlign w:val="center"/>
          </w:tcPr>
          <w:p w14:paraId="39A94B74" w14:textId="77777777" w:rsidR="003D360F" w:rsidRPr="00767FC2" w:rsidRDefault="008928CA" w:rsidP="00B653A0">
            <m:oMathPara>
              <m:oMath>
                <m:sSub>
                  <m:sSubPr>
                    <m:ctrlPr>
                      <w:rPr>
                        <w:rFonts w:ascii="Cambria Math" w:eastAsiaTheme="minorHAnsi" w:hAnsi="Cambria Math" w:cstheme="minorBidi"/>
                        <w:i/>
                        <w:szCs w:val="22"/>
                      </w:rPr>
                    </m:ctrlPr>
                  </m:sSubPr>
                  <m:e>
                    <m:r>
                      <w:rPr>
                        <w:rFonts w:ascii="Cambria Math" w:eastAsiaTheme="minorHAnsi" w:hAnsi="Cambria Math" w:cstheme="minorBidi"/>
                        <w:szCs w:val="22"/>
                      </w:rPr>
                      <m:t>B</m:t>
                    </m:r>
                  </m:e>
                  <m:sub>
                    <m:r>
                      <w:rPr>
                        <w:rFonts w:ascii="Cambria Math" w:eastAsiaTheme="minorHAnsi" w:hAnsi="Cambria Math" w:cstheme="minorBidi"/>
                        <w:szCs w:val="22"/>
                      </w:rPr>
                      <m:t>U,Prev,Subdiv</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B,Subdiv</m:t>
                        </m:r>
                      </m:sub>
                    </m:sSub>
                  </m:num>
                  <m:den>
                    <m:sSub>
                      <m:sSubPr>
                        <m:ctrlPr>
                          <w:rPr>
                            <w:rFonts w:ascii="Cambria Math" w:hAnsi="Cambria Math"/>
                            <w:i/>
                          </w:rPr>
                        </m:ctrlPr>
                      </m:sSubPr>
                      <m:e>
                        <m:acc>
                          <m:accPr>
                            <m:chr m:val="̅"/>
                            <m:ctrlPr>
                              <w:rPr>
                                <w:rFonts w:ascii="Cambria Math" w:hAnsi="Cambria Math"/>
                                <w:i/>
                              </w:rPr>
                            </m:ctrlPr>
                          </m:accPr>
                          <m:e>
                            <m:r>
                              <w:rPr>
                                <w:rFonts w:ascii="Cambria Math" w:hAnsi="Cambria Math"/>
                              </w:rPr>
                              <m:t>E</m:t>
                            </m:r>
                          </m:e>
                        </m:acc>
                      </m:e>
                      <m:sub>
                        <m:r>
                          <w:rPr>
                            <w:rFonts w:ascii="Cambria Math" w:hAnsi="Cambria Math"/>
                          </w:rPr>
                          <m:t>B,Orig</m:t>
                        </m:r>
                      </m:sub>
                    </m:sSub>
                  </m:den>
                </m:f>
                <m:r>
                  <w:rPr>
                    <w:rFonts w:ascii="Cambria Math" w:hAnsi="Cambria Math"/>
                  </w:rPr>
                  <m:t>×</m:t>
                </m:r>
                <m:sSub>
                  <m:sSubPr>
                    <m:ctrlPr>
                      <w:rPr>
                        <w:rFonts w:ascii="Cambria Math" w:eastAsiaTheme="minorHAnsi" w:hAnsi="Cambria Math" w:cstheme="minorBidi"/>
                        <w:i/>
                        <w:szCs w:val="22"/>
                      </w:rPr>
                    </m:ctrlPr>
                  </m:sSubPr>
                  <m:e>
                    <m:r>
                      <w:rPr>
                        <w:rFonts w:ascii="Cambria Math" w:eastAsiaTheme="minorHAnsi" w:hAnsi="Cambria Math" w:cstheme="minorBidi"/>
                        <w:szCs w:val="22"/>
                      </w:rPr>
                      <m:t>B</m:t>
                    </m:r>
                  </m:e>
                  <m:sub>
                    <m:r>
                      <w:rPr>
                        <w:rFonts w:ascii="Cambria Math" w:eastAsiaTheme="minorHAnsi" w:hAnsi="Cambria Math" w:cstheme="minorBidi"/>
                        <w:szCs w:val="22"/>
                      </w:rPr>
                      <m:t>U,Prev,Orig</m:t>
                    </m:r>
                  </m:sub>
                </m:sSub>
              </m:oMath>
            </m:oMathPara>
          </w:p>
        </w:tc>
        <w:tc>
          <w:tcPr>
            <w:tcW w:w="1366" w:type="dxa"/>
            <w:vAlign w:val="center"/>
          </w:tcPr>
          <w:p w14:paraId="2EC072D0" w14:textId="77777777" w:rsidR="003D360F" w:rsidRPr="00767FC2" w:rsidRDefault="003D360F" w:rsidP="00B653A0">
            <w:pPr>
              <w:pStyle w:val="Tabletext"/>
            </w:pPr>
            <w:bookmarkStart w:id="179" w:name="_Ref482261901"/>
            <w:r w:rsidRPr="00767FC2">
              <w:t xml:space="preserve">equation </w:t>
            </w:r>
            <w:r w:rsidR="00964086" w:rsidRPr="00767FC2">
              <w:rPr>
                <w:noProof/>
              </w:rPr>
              <w:t>13</w:t>
            </w:r>
            <w:bookmarkEnd w:id="179"/>
          </w:p>
        </w:tc>
      </w:tr>
    </w:tbl>
    <w:p w14:paraId="5A0A54DD" w14:textId="77777777" w:rsidR="003D360F" w:rsidRPr="00767FC2" w:rsidRDefault="003D360F" w:rsidP="003D360F">
      <w:pPr>
        <w:pStyle w:val="tMain"/>
      </w:pPr>
      <w:r w:rsidRPr="00767FC2">
        <w:tab/>
      </w:r>
      <w:r w:rsidRPr="00767FC2">
        <w:tab/>
      </w:r>
      <w:proofErr w:type="gramStart"/>
      <w:r w:rsidRPr="00767FC2">
        <w:t>where</w:t>
      </w:r>
      <w:proofErr w:type="gramEnd"/>
      <w:r w:rsidRPr="00767FC2">
        <w:t>:</w:t>
      </w:r>
    </w:p>
    <w:p w14:paraId="59669466" w14:textId="77777777" w:rsidR="003D360F" w:rsidRPr="00767FC2" w:rsidRDefault="008928CA" w:rsidP="003D360F">
      <w:pPr>
        <w:pStyle w:val="tDefn"/>
      </w:pPr>
      <m:oMath>
        <m:sSub>
          <m:sSubPr>
            <m:ctrlPr>
              <w:rPr>
                <w:rFonts w:ascii="Cambria Math" w:eastAsia="Calibri" w:hAnsi="Cambria Math"/>
                <w:b/>
                <w:i/>
                <w:lang w:eastAsia="en-US"/>
              </w:rPr>
            </m:ctrlPr>
          </m:sSubPr>
          <m:e>
            <m:acc>
              <m:accPr>
                <m:chr m:val="̅"/>
                <m:ctrlPr>
                  <w:rPr>
                    <w:rFonts w:ascii="Cambria Math" w:eastAsia="Calibri" w:hAnsi="Cambria Math"/>
                    <w:b/>
                    <w:i/>
                    <w:lang w:eastAsia="en-US"/>
                  </w:rPr>
                </m:ctrlPr>
              </m:accPr>
              <m:e>
                <m:r>
                  <m:rPr>
                    <m:sty m:val="bi"/>
                  </m:rPr>
                  <w:rPr>
                    <w:rFonts w:ascii="Cambria Math" w:hAnsi="Cambria Math"/>
                  </w:rPr>
                  <m:t>E</m:t>
                </m:r>
              </m:e>
            </m:acc>
          </m:e>
          <m:sub>
            <m:r>
              <m:rPr>
                <m:sty m:val="bi"/>
              </m:rPr>
              <w:rPr>
                <w:rFonts w:ascii="Cambria Math" w:hAnsi="Cambria Math"/>
              </w:rPr>
              <m:t>B,Subdiv</m:t>
            </m:r>
          </m:sub>
        </m:sSub>
      </m:oMath>
      <w:r w:rsidR="003D360F" w:rsidRPr="00767FC2">
        <w:rPr>
          <w:b/>
          <w:lang w:eastAsia="en-US"/>
        </w:rPr>
        <w:t xml:space="preserve"> </w:t>
      </w:r>
      <w:proofErr w:type="gramStart"/>
      <w:r w:rsidR="003D360F" w:rsidRPr="00767FC2">
        <w:t>is</w:t>
      </w:r>
      <w:proofErr w:type="gramEnd"/>
      <w:r w:rsidR="003D360F" w:rsidRPr="00767FC2">
        <w:t xml:space="preserve"> the </w:t>
      </w:r>
      <w:r w:rsidR="003B1314" w:rsidRPr="00767FC2">
        <w:t xml:space="preserve">mean </w:t>
      </w:r>
      <w:r w:rsidR="003D360F" w:rsidRPr="00767FC2">
        <w:t xml:space="preserve">annual baseline fire emissions for the subdivided project area, </w:t>
      </w:r>
      <m:oMath>
        <m:sSub>
          <m:sSubPr>
            <m:ctrlPr>
              <w:rPr>
                <w:rFonts w:ascii="Cambria Math" w:eastAsiaTheme="minorHAnsi" w:hAnsi="Cambria Math" w:cstheme="minorBidi"/>
                <w:i/>
                <w:szCs w:val="22"/>
              </w:rPr>
            </m:ctrlPr>
          </m:sSubPr>
          <m:e>
            <m:acc>
              <m:accPr>
                <m:chr m:val="̅"/>
                <m:ctrlPr>
                  <w:rPr>
                    <w:rFonts w:ascii="Cambria Math" w:eastAsiaTheme="minorHAnsi" w:hAnsi="Cambria Math" w:cstheme="minorBidi"/>
                    <w:i/>
                    <w:szCs w:val="22"/>
                  </w:rPr>
                </m:ctrlPr>
              </m:accPr>
              <m:e>
                <m:r>
                  <w:rPr>
                    <w:rFonts w:ascii="Cambria Math" w:hAnsi="Cambria Math"/>
                  </w:rPr>
                  <m:t>E</m:t>
                </m:r>
              </m:e>
            </m:acc>
          </m:e>
          <m:sub>
            <m:r>
              <w:rPr>
                <w:rFonts w:ascii="Cambria Math" w:hAnsi="Cambria Math"/>
              </w:rPr>
              <m:t>B</m:t>
            </m:r>
          </m:sub>
        </m:sSub>
      </m:oMath>
      <w:r w:rsidR="003D360F" w:rsidRPr="00767FC2">
        <w:rPr>
          <w:szCs w:val="22"/>
        </w:rPr>
        <w:t xml:space="preserve">, </w:t>
      </w:r>
      <w:r w:rsidR="003D360F" w:rsidRPr="00767FC2">
        <w:t>in tonnes CO</w:t>
      </w:r>
      <w:r w:rsidR="003D360F" w:rsidRPr="00767FC2">
        <w:rPr>
          <w:vertAlign w:val="subscript"/>
        </w:rPr>
        <w:t>2</w:t>
      </w:r>
      <w:r w:rsidR="003D360F" w:rsidRPr="00767FC2">
        <w:t xml:space="preserve">-e, </w:t>
      </w:r>
      <w:r w:rsidR="003D360F" w:rsidRPr="00767FC2">
        <w:rPr>
          <w:szCs w:val="22"/>
        </w:rPr>
        <w:t>as calculated in accordance with section </w:t>
      </w:r>
      <w:r w:rsidR="00964086" w:rsidRPr="00767FC2">
        <w:rPr>
          <w:szCs w:val="22"/>
        </w:rPr>
        <w:t>6</w:t>
      </w:r>
      <w:r w:rsidR="003D360F" w:rsidRPr="00767FC2">
        <w:rPr>
          <w:szCs w:val="22"/>
        </w:rPr>
        <w:t xml:space="preserve"> of this Schedule </w:t>
      </w:r>
      <w:r w:rsidR="003D360F" w:rsidRPr="00767FC2">
        <w:rPr>
          <w:noProof/>
        </w:rPr>
        <w:t>for the subdivided project area.</w:t>
      </w:r>
    </w:p>
    <w:p w14:paraId="4F57FF65" w14:textId="77777777" w:rsidR="003D360F" w:rsidRPr="00767FC2" w:rsidRDefault="008928CA" w:rsidP="003D360F">
      <w:pPr>
        <w:pStyle w:val="tDefn"/>
        <w:rPr>
          <w:noProof/>
        </w:rPr>
      </w:pPr>
      <m:oMath>
        <m:sSub>
          <m:sSubPr>
            <m:ctrlPr>
              <w:rPr>
                <w:rFonts w:ascii="Cambria Math" w:eastAsia="Calibri" w:hAnsi="Cambria Math"/>
                <w:b/>
                <w:i/>
                <w:lang w:eastAsia="en-US"/>
              </w:rPr>
            </m:ctrlPr>
          </m:sSubPr>
          <m:e>
            <m:acc>
              <m:accPr>
                <m:chr m:val="̅"/>
                <m:ctrlPr>
                  <w:rPr>
                    <w:rFonts w:ascii="Cambria Math" w:eastAsia="Calibri" w:hAnsi="Cambria Math"/>
                    <w:b/>
                    <w:i/>
                    <w:lang w:eastAsia="en-US"/>
                  </w:rPr>
                </m:ctrlPr>
              </m:accPr>
              <m:e>
                <m:r>
                  <m:rPr>
                    <m:sty m:val="bi"/>
                  </m:rPr>
                  <w:rPr>
                    <w:rFonts w:ascii="Cambria Math" w:hAnsi="Cambria Math"/>
                  </w:rPr>
                  <m:t>E</m:t>
                </m:r>
              </m:e>
            </m:acc>
          </m:e>
          <m:sub>
            <m:r>
              <m:rPr>
                <m:sty m:val="bi"/>
              </m:rPr>
              <w:rPr>
                <w:rFonts w:ascii="Cambria Math" w:hAnsi="Cambria Math"/>
              </w:rPr>
              <m:t>B,Orig</m:t>
            </m:r>
          </m:sub>
        </m:sSub>
      </m:oMath>
      <w:r w:rsidR="003D360F" w:rsidRPr="00767FC2">
        <w:rPr>
          <w:b/>
          <w:i/>
        </w:rPr>
        <w:t xml:space="preserve"> </w:t>
      </w:r>
      <w:proofErr w:type="gramStart"/>
      <w:r w:rsidR="003D360F" w:rsidRPr="00767FC2">
        <w:t>is</w:t>
      </w:r>
      <w:proofErr w:type="gramEnd"/>
      <w:r w:rsidR="003D360F" w:rsidRPr="00767FC2">
        <w:t xml:space="preserve"> the </w:t>
      </w:r>
      <w:r w:rsidR="003B1314" w:rsidRPr="00767FC2">
        <w:t xml:space="preserve">mean </w:t>
      </w:r>
      <w:r w:rsidR="003D360F" w:rsidRPr="00767FC2">
        <w:t xml:space="preserve">annual baseline fire emissions for the original project area, </w:t>
      </w:r>
      <m:oMath>
        <m:sSub>
          <m:sSubPr>
            <m:ctrlPr>
              <w:rPr>
                <w:rFonts w:ascii="Cambria Math" w:eastAsiaTheme="minorHAnsi" w:hAnsi="Cambria Math" w:cstheme="minorBidi"/>
                <w:i/>
                <w:szCs w:val="22"/>
              </w:rPr>
            </m:ctrlPr>
          </m:sSubPr>
          <m:e>
            <m:acc>
              <m:accPr>
                <m:chr m:val="̅"/>
                <m:ctrlPr>
                  <w:rPr>
                    <w:rFonts w:ascii="Cambria Math" w:eastAsiaTheme="minorHAnsi" w:hAnsi="Cambria Math" w:cstheme="minorBidi"/>
                    <w:i/>
                    <w:szCs w:val="22"/>
                  </w:rPr>
                </m:ctrlPr>
              </m:accPr>
              <m:e>
                <m:r>
                  <w:rPr>
                    <w:rFonts w:ascii="Cambria Math" w:hAnsi="Cambria Math"/>
                  </w:rPr>
                  <m:t>E</m:t>
                </m:r>
              </m:e>
            </m:acc>
          </m:e>
          <m:sub>
            <m:r>
              <w:rPr>
                <w:rFonts w:ascii="Cambria Math" w:hAnsi="Cambria Math"/>
              </w:rPr>
              <m:t>B</m:t>
            </m:r>
          </m:sub>
        </m:sSub>
      </m:oMath>
      <w:r w:rsidR="003D360F" w:rsidRPr="00767FC2">
        <w:rPr>
          <w:szCs w:val="22"/>
        </w:rPr>
        <w:t xml:space="preserve">, </w:t>
      </w:r>
      <w:r w:rsidR="003D360F" w:rsidRPr="00767FC2">
        <w:t>in tonnes CO</w:t>
      </w:r>
      <w:r w:rsidR="003D360F" w:rsidRPr="00767FC2">
        <w:rPr>
          <w:vertAlign w:val="subscript"/>
        </w:rPr>
        <w:t>2</w:t>
      </w:r>
      <w:r w:rsidR="003D360F" w:rsidRPr="00767FC2">
        <w:t xml:space="preserve">-e, </w:t>
      </w:r>
      <w:r w:rsidR="003D360F" w:rsidRPr="00767FC2">
        <w:rPr>
          <w:szCs w:val="22"/>
        </w:rPr>
        <w:t>as calculated in accordance with section </w:t>
      </w:r>
      <w:r w:rsidR="00964086" w:rsidRPr="00767FC2">
        <w:rPr>
          <w:szCs w:val="22"/>
        </w:rPr>
        <w:t>6</w:t>
      </w:r>
      <w:r w:rsidR="003D360F" w:rsidRPr="00767FC2">
        <w:rPr>
          <w:szCs w:val="22"/>
        </w:rPr>
        <w:t xml:space="preserve"> </w:t>
      </w:r>
      <w:r w:rsidR="003D360F" w:rsidRPr="00767FC2">
        <w:rPr>
          <w:noProof/>
        </w:rPr>
        <w:t>of this Schedule</w:t>
      </w:r>
      <w:r w:rsidR="003D360F" w:rsidRPr="00767FC2">
        <w:t xml:space="preserve">, </w:t>
      </w:r>
      <w:r w:rsidR="003D360F" w:rsidRPr="00767FC2">
        <w:rPr>
          <w:noProof/>
        </w:rPr>
        <w:t>for the original project area.</w:t>
      </w:r>
    </w:p>
    <w:p w14:paraId="7DEDA692" w14:textId="77777777" w:rsidR="003D360F" w:rsidRPr="00767FC2" w:rsidRDefault="003D360F" w:rsidP="003D360F">
      <w:pPr>
        <w:pStyle w:val="tDefn"/>
        <w:rPr>
          <w:noProof/>
        </w:rPr>
      </w:pPr>
      <w:r w:rsidRPr="00767FC2">
        <w:rPr>
          <w:b/>
          <w:i/>
          <w:noProof/>
        </w:rPr>
        <w:t>B</w:t>
      </w:r>
      <w:r w:rsidRPr="00767FC2">
        <w:rPr>
          <w:b/>
          <w:i/>
          <w:noProof/>
          <w:vertAlign w:val="subscript"/>
        </w:rPr>
        <w:t>U,Prev,Orig</w:t>
      </w:r>
      <w:r w:rsidRPr="00767FC2">
        <w:rPr>
          <w:noProof/>
        </w:rPr>
        <w:t xml:space="preserve"> is the previous year’s uncertainty buffer for the original project area, </w:t>
      </w:r>
      <w:r w:rsidRPr="00767FC2">
        <w:rPr>
          <w:i/>
          <w:noProof/>
        </w:rPr>
        <w:t>B</w:t>
      </w:r>
      <w:r w:rsidRPr="00767FC2">
        <w:rPr>
          <w:i/>
          <w:noProof/>
          <w:vertAlign w:val="subscript"/>
        </w:rPr>
        <w:t>U,Prev</w:t>
      </w:r>
      <w:r w:rsidRPr="00767FC2">
        <w:rPr>
          <w:noProof/>
        </w:rPr>
        <w:t>,</w:t>
      </w:r>
      <w:r w:rsidRPr="00767FC2">
        <w:rPr>
          <w:i/>
          <w:noProof/>
        </w:rPr>
        <w:t xml:space="preserve"> </w:t>
      </w:r>
      <w:r w:rsidRPr="00767FC2">
        <w:rPr>
          <w:noProof/>
        </w:rPr>
        <w:t>as given by subsection </w:t>
      </w:r>
      <w:r w:rsidR="00964086" w:rsidRPr="00767FC2">
        <w:rPr>
          <w:noProof/>
        </w:rPr>
        <w:t>3(1)</w:t>
      </w:r>
      <w:r w:rsidRPr="00767FC2">
        <w:rPr>
          <w:noProof/>
        </w:rPr>
        <w:t xml:space="preserve"> of this Schedule as if the project area had not been divided.</w:t>
      </w:r>
    </w:p>
    <w:sectPr w:rsidR="003D360F" w:rsidRPr="00767FC2" w:rsidSect="00E20ED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98391" w14:textId="77777777" w:rsidR="00AD0195" w:rsidRDefault="00AD0195">
      <w:r>
        <w:separator/>
      </w:r>
    </w:p>
  </w:endnote>
  <w:endnote w:type="continuationSeparator" w:id="0">
    <w:p w14:paraId="686A2F33" w14:textId="77777777" w:rsidR="00AD0195" w:rsidRDefault="00AD0195">
      <w:r>
        <w:continuationSeparator/>
      </w:r>
    </w:p>
  </w:endnote>
  <w:endnote w:type="continuationNotice" w:id="1">
    <w:p w14:paraId="6F29FF9C" w14:textId="77777777" w:rsidR="00AD0195" w:rsidRDefault="00AD01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86DE8" w14:textId="77777777" w:rsidR="008928CA" w:rsidRDefault="008928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6787577"/>
      <w:docPartObj>
        <w:docPartGallery w:val="Page Numbers (Bottom of Page)"/>
        <w:docPartUnique/>
      </w:docPartObj>
    </w:sdtPr>
    <w:sdtEndPr/>
    <w:sdtContent>
      <w:p w14:paraId="6443E3C3" w14:textId="77777777" w:rsidR="00FD71EA" w:rsidRDefault="00FD71EA" w:rsidP="009818F6">
        <w:pPr>
          <w:pStyle w:val="Footer"/>
          <w:pBdr>
            <w:top w:val="single" w:sz="4" w:space="1" w:color="auto"/>
          </w:pBdr>
          <w:jc w:val="right"/>
        </w:pPr>
        <w:r>
          <w:fldChar w:fldCharType="begin"/>
        </w:r>
        <w:r>
          <w:instrText xml:space="preserve"> PAGE   \* MERGEFORMAT </w:instrText>
        </w:r>
        <w:r>
          <w:fldChar w:fldCharType="separate"/>
        </w:r>
        <w:r w:rsidR="008928CA">
          <w:rPr>
            <w:noProof/>
          </w:rPr>
          <w:t>13</w:t>
        </w:r>
        <w:r>
          <w:rPr>
            <w:noProof/>
          </w:rPr>
          <w:fldChar w:fldCharType="end"/>
        </w:r>
      </w:p>
    </w:sdtContent>
  </w:sdt>
  <w:p w14:paraId="1B85A6D4" w14:textId="77777777" w:rsidR="00FD71EA" w:rsidRDefault="008928CA" w:rsidP="007057C1">
    <w:pPr>
      <w:pStyle w:val="Header"/>
    </w:pPr>
    <w:r>
      <w:fldChar w:fldCharType="begin"/>
    </w:r>
    <w:r>
      <w:instrText xml:space="preserve"> STYLEREF  ShortT  \* MERGEFORMAT </w:instrText>
    </w:r>
    <w:r>
      <w:fldChar w:fldCharType="separate"/>
    </w:r>
    <w:r>
      <w:rPr>
        <w:noProof/>
      </w:rPr>
      <w:t>Carbon Credits (Carbon Farming Initiative—Savanna Fire Management—Emissions Avoidance) Methodology Determination 2018</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403F6" w14:textId="77777777" w:rsidR="00FD71EA" w:rsidRDefault="00FD71EA">
    <w:pPr>
      <w:pStyle w:val="Footer"/>
    </w:pPr>
  </w:p>
  <w:p w14:paraId="58B8BB06" w14:textId="77777777" w:rsidR="00FD71EA" w:rsidRPr="005672B3" w:rsidRDefault="00FD71EA" w:rsidP="005672B3">
    <w:pPr>
      <w:pStyle w:val="Footer"/>
      <w:rPr>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E8684" w14:textId="77777777" w:rsidR="00FD71EA" w:rsidRDefault="00FD71E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7939"/>
      <w:docPartObj>
        <w:docPartGallery w:val="Page Numbers (Bottom of Page)"/>
        <w:docPartUnique/>
      </w:docPartObj>
    </w:sdtPr>
    <w:sdtEndPr/>
    <w:sdtContent>
      <w:p w14:paraId="1E4B6CBE" w14:textId="77777777" w:rsidR="00FD71EA" w:rsidRDefault="00FD71EA" w:rsidP="009818F6">
        <w:pPr>
          <w:pStyle w:val="Footer"/>
          <w:pBdr>
            <w:top w:val="single" w:sz="4" w:space="1" w:color="auto"/>
          </w:pBdr>
          <w:jc w:val="right"/>
        </w:pPr>
        <w:r>
          <w:fldChar w:fldCharType="begin"/>
        </w:r>
        <w:r>
          <w:instrText xml:space="preserve"> PAGE   \* MERGEFORMAT </w:instrText>
        </w:r>
        <w:r>
          <w:fldChar w:fldCharType="separate"/>
        </w:r>
        <w:r w:rsidR="008928CA">
          <w:rPr>
            <w:noProof/>
          </w:rPr>
          <w:t>37</w:t>
        </w:r>
        <w:r>
          <w:rPr>
            <w:noProof/>
          </w:rPr>
          <w:fldChar w:fldCharType="end"/>
        </w:r>
      </w:p>
    </w:sdtContent>
  </w:sdt>
  <w:p w14:paraId="4E977C34" w14:textId="77777777" w:rsidR="00FD71EA" w:rsidRDefault="008928CA" w:rsidP="00562FDE">
    <w:pPr>
      <w:pStyle w:val="Header"/>
    </w:pPr>
    <w:r>
      <w:fldChar w:fldCharType="begin"/>
    </w:r>
    <w:r>
      <w:instrText xml:space="preserve"> STYLEREF  ShortT  \* MERGEFORMAT </w:instrText>
    </w:r>
    <w:r>
      <w:fldChar w:fldCharType="separate"/>
    </w:r>
    <w:r>
      <w:rPr>
        <w:noProof/>
      </w:rPr>
      <w:t>Carbon Credits (Carbon Farming Initiative—Savanna Fire Management—Emissions Avoidance) Methodology Determination 2018</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9613E" w14:textId="77777777" w:rsidR="00FD71EA" w:rsidRDefault="00FD71EA">
    <w:pPr>
      <w:pStyle w:val="Footer"/>
    </w:pPr>
  </w:p>
  <w:p w14:paraId="38546FE6" w14:textId="77777777" w:rsidR="00FD71EA" w:rsidRPr="005672B3" w:rsidRDefault="00FD71EA" w:rsidP="005672B3">
    <w:pPr>
      <w:pStyle w:val="Footer"/>
      <w:rPr>
        <w:sz w:val="16"/>
      </w:rPr>
    </w:pPr>
    <w:r>
      <w:rPr>
        <w:sz w:val="16"/>
      </w:rPr>
      <w:fldChar w:fldCharType="begin"/>
    </w:r>
    <w:r>
      <w:rPr>
        <w:sz w:val="16"/>
      </w:rPr>
      <w:instrText xml:space="preserve"> DOCPROPERTY  WSFooter  \* MERGEFORMAT </w:instrText>
    </w:r>
    <w:r>
      <w:rPr>
        <w:sz w:val="16"/>
      </w:rPr>
      <w:fldChar w:fldCharType="separate"/>
    </w:r>
    <w:r>
      <w:rPr>
        <w:sz w:val="16"/>
      </w:rPr>
      <w:t>22682392</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C399D" w14:textId="77777777" w:rsidR="00AD0195" w:rsidRDefault="00AD0195">
      <w:r>
        <w:separator/>
      </w:r>
    </w:p>
  </w:footnote>
  <w:footnote w:type="continuationSeparator" w:id="0">
    <w:p w14:paraId="660CD254" w14:textId="77777777" w:rsidR="00AD0195" w:rsidRDefault="00AD0195">
      <w:r>
        <w:continuationSeparator/>
      </w:r>
    </w:p>
  </w:footnote>
  <w:footnote w:type="continuationNotice" w:id="1">
    <w:p w14:paraId="00A294C2" w14:textId="77777777" w:rsidR="00AD0195" w:rsidRDefault="00AD0195">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52EA2" w14:textId="77777777" w:rsidR="008928CA" w:rsidRDefault="008928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FF1C2" w14:textId="77777777" w:rsidR="008928CA" w:rsidRDefault="008928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C4A8F" w14:textId="77777777" w:rsidR="008928CA" w:rsidRDefault="008928C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CB17B" w14:textId="77777777" w:rsidR="00FD71EA" w:rsidRDefault="00FD71E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49C82" w14:textId="77777777" w:rsidR="00FD71EA" w:rsidRDefault="008928CA" w:rsidP="00943054">
    <w:pPr>
      <w:pStyle w:val="Header"/>
      <w:pBdr>
        <w:bottom w:val="single" w:sz="4" w:space="1" w:color="auto"/>
      </w:pBdr>
      <w:ind w:left="0" w:right="0"/>
      <w:jc w:val="right"/>
    </w:pPr>
    <w:r>
      <w:fldChar w:fldCharType="begin"/>
    </w:r>
    <w:r>
      <w:instrText xml:space="preserve"> STYLEREF  "ActHead 6"  \* MERGEFORMAT </w:instrText>
    </w:r>
    <w:r>
      <w:fldChar w:fldCharType="separate"/>
    </w:r>
    <w:r>
      <w:rPr>
        <w:noProof/>
      </w:rPr>
      <w:t>Schedule 1—Emissions avoidance—calculation of adjusted contribution to net abatement amount for a calendar year</w:t>
    </w:r>
    <w:r>
      <w:rPr>
        <w:noProof/>
      </w:rPr>
      <w:fldChar w:fldCharType="end"/>
    </w:r>
  </w:p>
  <w:p w14:paraId="6EA4E005" w14:textId="77777777" w:rsidR="00FD71EA" w:rsidRPr="00203B7A" w:rsidRDefault="00FD71EA" w:rsidP="00203B7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2E29F" w14:textId="77777777" w:rsidR="00FD71EA" w:rsidRDefault="008928CA" w:rsidP="00B80CA2">
    <w:pPr>
      <w:pStyle w:val="Header"/>
      <w:pBdr>
        <w:bottom w:val="single" w:sz="4" w:space="1" w:color="auto"/>
      </w:pBdr>
      <w:ind w:left="0" w:right="0"/>
      <w:jc w:val="right"/>
    </w:pPr>
    <w:r>
      <w:fldChar w:fldCharType="begin"/>
    </w:r>
    <w:r>
      <w:instrText xml:space="preserve"> STYLEREF  "ActHead 6"  \* MERGEFORMAT </w:instrText>
    </w:r>
    <w:r>
      <w:fldChar w:fldCharType="separate"/>
    </w:r>
    <w:r>
      <w:rPr>
        <w:noProof/>
      </w:rPr>
      <w:t>Schedule 1—Emissions avoidance—calculation of adjusted contribution to net abatement amount for a calendar year</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multilevel"/>
    <w:tmpl w:val="D54070F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FFFFFF7E"/>
    <w:multiLevelType w:val="multilevel"/>
    <w:tmpl w:val="09B4AFE6"/>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08E73FD2"/>
    <w:multiLevelType w:val="hybridMultilevel"/>
    <w:tmpl w:val="3F40F1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BF0103"/>
    <w:multiLevelType w:val="hybridMultilevel"/>
    <w:tmpl w:val="926CAC96"/>
    <w:lvl w:ilvl="0" w:tplc="0C090017">
      <w:start w:val="1"/>
      <w:numFmt w:val="lowerLetter"/>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4" w15:restartNumberingAfterBreak="0">
    <w:nsid w:val="1B803416"/>
    <w:multiLevelType w:val="hybridMultilevel"/>
    <w:tmpl w:val="DD42D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632CA2"/>
    <w:multiLevelType w:val="hybridMultilevel"/>
    <w:tmpl w:val="DF880470"/>
    <w:lvl w:ilvl="0" w:tplc="5658FDD0">
      <w:start w:val="1"/>
      <w:numFmt w:val="lowerLetter"/>
      <w:lvlText w:val="(%1)"/>
      <w:lvlJc w:val="left"/>
      <w:pPr>
        <w:ind w:left="1210" w:hanging="360"/>
      </w:pPr>
      <w:rPr>
        <w:rFonts w:hint="default"/>
      </w:r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6" w15:restartNumberingAfterBreak="0">
    <w:nsid w:val="20F51416"/>
    <w:multiLevelType w:val="hybridMultilevel"/>
    <w:tmpl w:val="769C9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8" w15:restartNumberingAfterBreak="0">
    <w:nsid w:val="26E84816"/>
    <w:multiLevelType w:val="hybridMultilevel"/>
    <w:tmpl w:val="57A26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C172C37"/>
    <w:multiLevelType w:val="hybridMultilevel"/>
    <w:tmpl w:val="C8D87B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593747"/>
    <w:multiLevelType w:val="hybridMultilevel"/>
    <w:tmpl w:val="98522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FE408EC"/>
    <w:multiLevelType w:val="hybridMultilevel"/>
    <w:tmpl w:val="D736B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15" w15:restartNumberingAfterBreak="0">
    <w:nsid w:val="390A69EF"/>
    <w:multiLevelType w:val="hybridMultilevel"/>
    <w:tmpl w:val="6D5CF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DA1C13"/>
    <w:multiLevelType w:val="hybridMultilevel"/>
    <w:tmpl w:val="78D61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3F71DE"/>
    <w:multiLevelType w:val="hybridMultilevel"/>
    <w:tmpl w:val="40487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7412D2"/>
    <w:multiLevelType w:val="hybridMultilevel"/>
    <w:tmpl w:val="53868BCA"/>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9"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42D28BB"/>
    <w:multiLevelType w:val="hybridMultilevel"/>
    <w:tmpl w:val="C2945882"/>
    <w:lvl w:ilvl="0" w:tplc="4CDCF118">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1E4561"/>
    <w:multiLevelType w:val="hybridMultilevel"/>
    <w:tmpl w:val="C0701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607AAB"/>
    <w:multiLevelType w:val="hybridMultilevel"/>
    <w:tmpl w:val="F3CA31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318777F"/>
    <w:multiLevelType w:val="hybridMultilevel"/>
    <w:tmpl w:val="373A0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6A71CF1"/>
    <w:multiLevelType w:val="hybridMultilevel"/>
    <w:tmpl w:val="DDA45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7EF367D"/>
    <w:multiLevelType w:val="hybridMultilevel"/>
    <w:tmpl w:val="3CD08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1" w15:restartNumberingAfterBreak="0">
    <w:nsid w:val="5E007EC6"/>
    <w:multiLevelType w:val="hybridMultilevel"/>
    <w:tmpl w:val="899A4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87B7EA0"/>
    <w:multiLevelType w:val="hybridMultilevel"/>
    <w:tmpl w:val="10D64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D800901"/>
    <w:multiLevelType w:val="hybridMultilevel"/>
    <w:tmpl w:val="4A7CF9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2E501D9"/>
    <w:multiLevelType w:val="hybridMultilevel"/>
    <w:tmpl w:val="3078B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B038DF"/>
    <w:multiLevelType w:val="hybridMultilevel"/>
    <w:tmpl w:val="1D1AE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2C04B8"/>
    <w:multiLevelType w:val="multilevel"/>
    <w:tmpl w:val="FF726526"/>
    <w:lvl w:ilvl="0">
      <w:start w:val="1"/>
      <w:numFmt w:val="bullet"/>
      <w:pStyle w:val="Bullet"/>
      <w:lvlText w:val="•"/>
      <w:lvlJc w:val="left"/>
      <w:pPr>
        <w:tabs>
          <w:tab w:val="num" w:pos="520"/>
        </w:tabs>
        <w:ind w:left="520" w:hanging="520"/>
      </w:pPr>
      <w:rPr>
        <w:rFonts w:ascii="Times New Roman" w:hAnsi="Times New Roman" w:hint="default"/>
      </w:rPr>
    </w:lvl>
    <w:lvl w:ilvl="1">
      <w:start w:val="1"/>
      <w:numFmt w:val="bullet"/>
      <w:pStyle w:val="DoubleDot"/>
      <w:lvlText w:val="–"/>
      <w:lvlJc w:val="left"/>
      <w:pPr>
        <w:tabs>
          <w:tab w:val="num" w:pos="1040"/>
        </w:tabs>
        <w:ind w:left="1040" w:hanging="520"/>
      </w:pPr>
      <w:rPr>
        <w:rFonts w:ascii="Times New Roman" w:hAnsi="Times New Roman" w:hint="default"/>
      </w:rPr>
    </w:lvl>
    <w:lvl w:ilvl="2">
      <w:start w:val="1"/>
      <w:numFmt w:val="bullet"/>
      <w:pStyle w:val="DoubleDot"/>
      <w:lvlText w:val=":"/>
      <w:lvlJc w:val="left"/>
      <w:pPr>
        <w:tabs>
          <w:tab w:val="num" w:pos="1560"/>
        </w:tabs>
        <w:ind w:left="1560" w:hanging="520"/>
      </w:pPr>
      <w:rPr>
        <w:rFonts w:ascii="Times New Roman" w:hAnsi="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num w:numId="1">
    <w:abstractNumId w:val="1"/>
  </w:num>
  <w:num w:numId="2">
    <w:abstractNumId w:val="0"/>
  </w:num>
  <w:num w:numId="3">
    <w:abstractNumId w:val="40"/>
  </w:num>
  <w:num w:numId="4">
    <w:abstractNumId w:val="17"/>
  </w:num>
  <w:num w:numId="5">
    <w:abstractNumId w:val="6"/>
  </w:num>
  <w:num w:numId="6">
    <w:abstractNumId w:val="39"/>
  </w:num>
  <w:num w:numId="7">
    <w:abstractNumId w:val="8"/>
  </w:num>
  <w:num w:numId="8">
    <w:abstractNumId w:val="15"/>
  </w:num>
  <w:num w:numId="9">
    <w:abstractNumId w:val="9"/>
  </w:num>
  <w:num w:numId="10">
    <w:abstractNumId w:val="22"/>
  </w:num>
  <w:num w:numId="11">
    <w:abstractNumId w:val="20"/>
  </w:num>
  <w:num w:numId="12">
    <w:abstractNumId w:val="4"/>
  </w:num>
  <w:num w:numId="13">
    <w:abstractNumId w:val="21"/>
  </w:num>
  <w:num w:numId="14">
    <w:abstractNumId w:val="10"/>
  </w:num>
  <w:num w:numId="15">
    <w:abstractNumId w:val="18"/>
  </w:num>
  <w:num w:numId="16">
    <w:abstractNumId w:val="16"/>
  </w:num>
  <w:num w:numId="17">
    <w:abstractNumId w:val="2"/>
  </w:num>
  <w:num w:numId="18">
    <w:abstractNumId w:val="24"/>
  </w:num>
  <w:num w:numId="19">
    <w:abstractNumId w:val="28"/>
  </w:num>
  <w:num w:numId="20">
    <w:abstractNumId w:val="37"/>
  </w:num>
  <w:num w:numId="21">
    <w:abstractNumId w:val="26"/>
  </w:num>
  <w:num w:numId="22">
    <w:abstractNumId w:val="38"/>
  </w:num>
  <w:num w:numId="23">
    <w:abstractNumId w:val="35"/>
  </w:num>
  <w:num w:numId="24">
    <w:abstractNumId w:val="5"/>
  </w:num>
  <w:num w:numId="25">
    <w:abstractNumId w:val="3"/>
  </w:num>
  <w:num w:numId="26">
    <w:abstractNumId w:val="7"/>
  </w:num>
  <w:num w:numId="27">
    <w:abstractNumId w:val="12"/>
  </w:num>
  <w:num w:numId="28">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425"/>
  <w:drawingGridHorizontalSpacing w:val="110"/>
  <w:displayHorizont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8EB"/>
    <w:rsid w:val="000004C6"/>
    <w:rsid w:val="00000815"/>
    <w:rsid w:val="00000FA8"/>
    <w:rsid w:val="00001635"/>
    <w:rsid w:val="00002024"/>
    <w:rsid w:val="00002206"/>
    <w:rsid w:val="0000261A"/>
    <w:rsid w:val="0000301B"/>
    <w:rsid w:val="000039D7"/>
    <w:rsid w:val="00003AF6"/>
    <w:rsid w:val="000049D7"/>
    <w:rsid w:val="00005AF5"/>
    <w:rsid w:val="00005F08"/>
    <w:rsid w:val="00006276"/>
    <w:rsid w:val="00007BEE"/>
    <w:rsid w:val="000107AE"/>
    <w:rsid w:val="000117CD"/>
    <w:rsid w:val="00012088"/>
    <w:rsid w:val="00012B72"/>
    <w:rsid w:val="00012F3D"/>
    <w:rsid w:val="0001340F"/>
    <w:rsid w:val="0001344F"/>
    <w:rsid w:val="00014257"/>
    <w:rsid w:val="0001489C"/>
    <w:rsid w:val="0001576D"/>
    <w:rsid w:val="0001662F"/>
    <w:rsid w:val="00016D0D"/>
    <w:rsid w:val="00017D9B"/>
    <w:rsid w:val="000202E8"/>
    <w:rsid w:val="000229B8"/>
    <w:rsid w:val="00022C31"/>
    <w:rsid w:val="000239EF"/>
    <w:rsid w:val="000248C7"/>
    <w:rsid w:val="0002498E"/>
    <w:rsid w:val="000258A0"/>
    <w:rsid w:val="000259D9"/>
    <w:rsid w:val="000266C9"/>
    <w:rsid w:val="00026AA1"/>
    <w:rsid w:val="0002764F"/>
    <w:rsid w:val="00027D9E"/>
    <w:rsid w:val="00030974"/>
    <w:rsid w:val="00030B9D"/>
    <w:rsid w:val="00031114"/>
    <w:rsid w:val="00031159"/>
    <w:rsid w:val="00031189"/>
    <w:rsid w:val="00031207"/>
    <w:rsid w:val="000314CD"/>
    <w:rsid w:val="00031D4E"/>
    <w:rsid w:val="000320F2"/>
    <w:rsid w:val="000321DA"/>
    <w:rsid w:val="0003319E"/>
    <w:rsid w:val="00034E2D"/>
    <w:rsid w:val="00036984"/>
    <w:rsid w:val="00036F73"/>
    <w:rsid w:val="0003757F"/>
    <w:rsid w:val="0003764D"/>
    <w:rsid w:val="00037AE4"/>
    <w:rsid w:val="00037FB8"/>
    <w:rsid w:val="00041037"/>
    <w:rsid w:val="000418C7"/>
    <w:rsid w:val="00041E62"/>
    <w:rsid w:val="00042748"/>
    <w:rsid w:val="00042B1D"/>
    <w:rsid w:val="0004373B"/>
    <w:rsid w:val="000441BA"/>
    <w:rsid w:val="0004479F"/>
    <w:rsid w:val="00044D8C"/>
    <w:rsid w:val="000453D0"/>
    <w:rsid w:val="00046216"/>
    <w:rsid w:val="0004664B"/>
    <w:rsid w:val="0004673E"/>
    <w:rsid w:val="00046832"/>
    <w:rsid w:val="00047E03"/>
    <w:rsid w:val="00050664"/>
    <w:rsid w:val="00050A84"/>
    <w:rsid w:val="00051826"/>
    <w:rsid w:val="00051DA1"/>
    <w:rsid w:val="00051EA8"/>
    <w:rsid w:val="0005332B"/>
    <w:rsid w:val="000537F1"/>
    <w:rsid w:val="0005423E"/>
    <w:rsid w:val="000549AE"/>
    <w:rsid w:val="00054A40"/>
    <w:rsid w:val="0005519D"/>
    <w:rsid w:val="00056020"/>
    <w:rsid w:val="00056DCF"/>
    <w:rsid w:val="00056EF6"/>
    <w:rsid w:val="00057025"/>
    <w:rsid w:val="00057105"/>
    <w:rsid w:val="00057449"/>
    <w:rsid w:val="00057DAD"/>
    <w:rsid w:val="00060287"/>
    <w:rsid w:val="00063C97"/>
    <w:rsid w:val="0006438D"/>
    <w:rsid w:val="00064F51"/>
    <w:rsid w:val="00065181"/>
    <w:rsid w:val="0006579D"/>
    <w:rsid w:val="00065A14"/>
    <w:rsid w:val="00066A91"/>
    <w:rsid w:val="0006720E"/>
    <w:rsid w:val="00067486"/>
    <w:rsid w:val="00067D81"/>
    <w:rsid w:val="00071CEA"/>
    <w:rsid w:val="0007283E"/>
    <w:rsid w:val="000731B2"/>
    <w:rsid w:val="0007387B"/>
    <w:rsid w:val="000738CA"/>
    <w:rsid w:val="00073DE9"/>
    <w:rsid w:val="00074AB4"/>
    <w:rsid w:val="000758D8"/>
    <w:rsid w:val="000759B3"/>
    <w:rsid w:val="00075ADD"/>
    <w:rsid w:val="00075CAE"/>
    <w:rsid w:val="000769E8"/>
    <w:rsid w:val="00080220"/>
    <w:rsid w:val="000808CC"/>
    <w:rsid w:val="00080CF3"/>
    <w:rsid w:val="000813F8"/>
    <w:rsid w:val="00082BCD"/>
    <w:rsid w:val="00082D61"/>
    <w:rsid w:val="00083313"/>
    <w:rsid w:val="00083378"/>
    <w:rsid w:val="0008422C"/>
    <w:rsid w:val="00086304"/>
    <w:rsid w:val="00086569"/>
    <w:rsid w:val="00090274"/>
    <w:rsid w:val="00090D7E"/>
    <w:rsid w:val="00090D8B"/>
    <w:rsid w:val="00091A0C"/>
    <w:rsid w:val="00091B30"/>
    <w:rsid w:val="000930AD"/>
    <w:rsid w:val="00093944"/>
    <w:rsid w:val="0009469F"/>
    <w:rsid w:val="00094F90"/>
    <w:rsid w:val="00095207"/>
    <w:rsid w:val="00095707"/>
    <w:rsid w:val="00095B09"/>
    <w:rsid w:val="0009649A"/>
    <w:rsid w:val="000965C1"/>
    <w:rsid w:val="000967FA"/>
    <w:rsid w:val="00097203"/>
    <w:rsid w:val="000974E1"/>
    <w:rsid w:val="00097798"/>
    <w:rsid w:val="000978C5"/>
    <w:rsid w:val="00097F86"/>
    <w:rsid w:val="000A0292"/>
    <w:rsid w:val="000A0490"/>
    <w:rsid w:val="000A1297"/>
    <w:rsid w:val="000A1310"/>
    <w:rsid w:val="000A1F41"/>
    <w:rsid w:val="000A2553"/>
    <w:rsid w:val="000A25C2"/>
    <w:rsid w:val="000A27BA"/>
    <w:rsid w:val="000A3658"/>
    <w:rsid w:val="000A3D64"/>
    <w:rsid w:val="000A3E2E"/>
    <w:rsid w:val="000A3FE9"/>
    <w:rsid w:val="000A4314"/>
    <w:rsid w:val="000A46CC"/>
    <w:rsid w:val="000A4DDE"/>
    <w:rsid w:val="000A5DA6"/>
    <w:rsid w:val="000A71D4"/>
    <w:rsid w:val="000A7903"/>
    <w:rsid w:val="000A7CA0"/>
    <w:rsid w:val="000B042A"/>
    <w:rsid w:val="000B0720"/>
    <w:rsid w:val="000B123F"/>
    <w:rsid w:val="000B12A5"/>
    <w:rsid w:val="000B177D"/>
    <w:rsid w:val="000B2B15"/>
    <w:rsid w:val="000B2F99"/>
    <w:rsid w:val="000B324A"/>
    <w:rsid w:val="000B38DA"/>
    <w:rsid w:val="000B4091"/>
    <w:rsid w:val="000B44FE"/>
    <w:rsid w:val="000B4DA5"/>
    <w:rsid w:val="000B5DCB"/>
    <w:rsid w:val="000B6592"/>
    <w:rsid w:val="000B705C"/>
    <w:rsid w:val="000B781D"/>
    <w:rsid w:val="000B7CC8"/>
    <w:rsid w:val="000B7D7C"/>
    <w:rsid w:val="000B7FF6"/>
    <w:rsid w:val="000C004C"/>
    <w:rsid w:val="000C00CD"/>
    <w:rsid w:val="000C1038"/>
    <w:rsid w:val="000C104A"/>
    <w:rsid w:val="000C158C"/>
    <w:rsid w:val="000C15FB"/>
    <w:rsid w:val="000C2287"/>
    <w:rsid w:val="000C2440"/>
    <w:rsid w:val="000C30C0"/>
    <w:rsid w:val="000C3660"/>
    <w:rsid w:val="000C410E"/>
    <w:rsid w:val="000C4AE5"/>
    <w:rsid w:val="000C5317"/>
    <w:rsid w:val="000C5634"/>
    <w:rsid w:val="000C61CF"/>
    <w:rsid w:val="000C6587"/>
    <w:rsid w:val="000C6B19"/>
    <w:rsid w:val="000D048E"/>
    <w:rsid w:val="000D06A5"/>
    <w:rsid w:val="000D0A8D"/>
    <w:rsid w:val="000D0D1D"/>
    <w:rsid w:val="000D1B39"/>
    <w:rsid w:val="000D1F27"/>
    <w:rsid w:val="000D2131"/>
    <w:rsid w:val="000D2D22"/>
    <w:rsid w:val="000D2FFA"/>
    <w:rsid w:val="000D39D3"/>
    <w:rsid w:val="000D40E2"/>
    <w:rsid w:val="000D40EB"/>
    <w:rsid w:val="000D4886"/>
    <w:rsid w:val="000D4ED1"/>
    <w:rsid w:val="000D5748"/>
    <w:rsid w:val="000D5F02"/>
    <w:rsid w:val="000D5F2A"/>
    <w:rsid w:val="000D628D"/>
    <w:rsid w:val="000D7205"/>
    <w:rsid w:val="000D7E93"/>
    <w:rsid w:val="000E139C"/>
    <w:rsid w:val="000E1FE9"/>
    <w:rsid w:val="000E2248"/>
    <w:rsid w:val="000E2406"/>
    <w:rsid w:val="000E2AF3"/>
    <w:rsid w:val="000E2E9E"/>
    <w:rsid w:val="000E342E"/>
    <w:rsid w:val="000E3A73"/>
    <w:rsid w:val="000E4914"/>
    <w:rsid w:val="000E4D39"/>
    <w:rsid w:val="000E6350"/>
    <w:rsid w:val="000E750C"/>
    <w:rsid w:val="000E75B2"/>
    <w:rsid w:val="000E77D9"/>
    <w:rsid w:val="000F0170"/>
    <w:rsid w:val="000F0319"/>
    <w:rsid w:val="000F081D"/>
    <w:rsid w:val="000F0C36"/>
    <w:rsid w:val="000F118D"/>
    <w:rsid w:val="000F1C46"/>
    <w:rsid w:val="000F2EBE"/>
    <w:rsid w:val="000F31F8"/>
    <w:rsid w:val="000F39BA"/>
    <w:rsid w:val="000F39FE"/>
    <w:rsid w:val="000F3FC6"/>
    <w:rsid w:val="000F5202"/>
    <w:rsid w:val="000F5438"/>
    <w:rsid w:val="000F54EE"/>
    <w:rsid w:val="000F5AC6"/>
    <w:rsid w:val="000F5D3E"/>
    <w:rsid w:val="000F7B27"/>
    <w:rsid w:val="00100590"/>
    <w:rsid w:val="00101951"/>
    <w:rsid w:val="00101E76"/>
    <w:rsid w:val="00102744"/>
    <w:rsid w:val="00102896"/>
    <w:rsid w:val="001029F7"/>
    <w:rsid w:val="00102BA4"/>
    <w:rsid w:val="0010351D"/>
    <w:rsid w:val="00103607"/>
    <w:rsid w:val="0010624C"/>
    <w:rsid w:val="00106655"/>
    <w:rsid w:val="00106FC1"/>
    <w:rsid w:val="0010768B"/>
    <w:rsid w:val="00107E81"/>
    <w:rsid w:val="001104D5"/>
    <w:rsid w:val="0011075D"/>
    <w:rsid w:val="001121DE"/>
    <w:rsid w:val="00112A9A"/>
    <w:rsid w:val="001133D9"/>
    <w:rsid w:val="0011343D"/>
    <w:rsid w:val="0011388C"/>
    <w:rsid w:val="00113C98"/>
    <w:rsid w:val="00114251"/>
    <w:rsid w:val="001147AC"/>
    <w:rsid w:val="00114DB2"/>
    <w:rsid w:val="00115AFB"/>
    <w:rsid w:val="001160BD"/>
    <w:rsid w:val="00116C76"/>
    <w:rsid w:val="0011774C"/>
    <w:rsid w:val="00121505"/>
    <w:rsid w:val="00121A23"/>
    <w:rsid w:val="00121BDB"/>
    <w:rsid w:val="001229BF"/>
    <w:rsid w:val="00122A2B"/>
    <w:rsid w:val="00122A73"/>
    <w:rsid w:val="00123118"/>
    <w:rsid w:val="00123793"/>
    <w:rsid w:val="001237F6"/>
    <w:rsid w:val="00124559"/>
    <w:rsid w:val="001245D0"/>
    <w:rsid w:val="00124EA2"/>
    <w:rsid w:val="00125531"/>
    <w:rsid w:val="00125BA2"/>
    <w:rsid w:val="0012643E"/>
    <w:rsid w:val="0012678E"/>
    <w:rsid w:val="00127B50"/>
    <w:rsid w:val="001300B0"/>
    <w:rsid w:val="001305C4"/>
    <w:rsid w:val="0013114F"/>
    <w:rsid w:val="00131E37"/>
    <w:rsid w:val="0013217F"/>
    <w:rsid w:val="00135461"/>
    <w:rsid w:val="00135A5B"/>
    <w:rsid w:val="00135C44"/>
    <w:rsid w:val="00135EB2"/>
    <w:rsid w:val="00135EBE"/>
    <w:rsid w:val="001369B9"/>
    <w:rsid w:val="00136CD9"/>
    <w:rsid w:val="00136E15"/>
    <w:rsid w:val="001370E2"/>
    <w:rsid w:val="001377E8"/>
    <w:rsid w:val="00137A06"/>
    <w:rsid w:val="00140460"/>
    <w:rsid w:val="00140EBC"/>
    <w:rsid w:val="00140FE1"/>
    <w:rsid w:val="001417ED"/>
    <w:rsid w:val="00141DDF"/>
    <w:rsid w:val="001423A8"/>
    <w:rsid w:val="00142662"/>
    <w:rsid w:val="00142B00"/>
    <w:rsid w:val="00142EC4"/>
    <w:rsid w:val="00142EF2"/>
    <w:rsid w:val="00142F21"/>
    <w:rsid w:val="0014387D"/>
    <w:rsid w:val="00143D7E"/>
    <w:rsid w:val="001443B4"/>
    <w:rsid w:val="001447BF"/>
    <w:rsid w:val="00144E82"/>
    <w:rsid w:val="001457E3"/>
    <w:rsid w:val="001476F6"/>
    <w:rsid w:val="00147FC9"/>
    <w:rsid w:val="001507C3"/>
    <w:rsid w:val="00150E9D"/>
    <w:rsid w:val="001514BE"/>
    <w:rsid w:val="00151591"/>
    <w:rsid w:val="00151A18"/>
    <w:rsid w:val="00151AC2"/>
    <w:rsid w:val="00151F57"/>
    <w:rsid w:val="0015292D"/>
    <w:rsid w:val="001532D6"/>
    <w:rsid w:val="00153388"/>
    <w:rsid w:val="001535D3"/>
    <w:rsid w:val="00154AA1"/>
    <w:rsid w:val="001559F5"/>
    <w:rsid w:val="00155E86"/>
    <w:rsid w:val="0015623D"/>
    <w:rsid w:val="00156A01"/>
    <w:rsid w:val="00156A92"/>
    <w:rsid w:val="00157CC6"/>
    <w:rsid w:val="00157EBC"/>
    <w:rsid w:val="00160008"/>
    <w:rsid w:val="001608DC"/>
    <w:rsid w:val="00160CD9"/>
    <w:rsid w:val="00160DFC"/>
    <w:rsid w:val="00160F76"/>
    <w:rsid w:val="001626C4"/>
    <w:rsid w:val="0016321D"/>
    <w:rsid w:val="00163303"/>
    <w:rsid w:val="00163470"/>
    <w:rsid w:val="0016427C"/>
    <w:rsid w:val="00164A98"/>
    <w:rsid w:val="00164EE5"/>
    <w:rsid w:val="00165AC8"/>
    <w:rsid w:val="00165B9D"/>
    <w:rsid w:val="001672B6"/>
    <w:rsid w:val="00170675"/>
    <w:rsid w:val="0017157E"/>
    <w:rsid w:val="00172839"/>
    <w:rsid w:val="00172B3D"/>
    <w:rsid w:val="00172D31"/>
    <w:rsid w:val="0017352D"/>
    <w:rsid w:val="00174847"/>
    <w:rsid w:val="0017505D"/>
    <w:rsid w:val="001776B2"/>
    <w:rsid w:val="001779DA"/>
    <w:rsid w:val="00177A51"/>
    <w:rsid w:val="0018151F"/>
    <w:rsid w:val="00181C36"/>
    <w:rsid w:val="00182A98"/>
    <w:rsid w:val="00182B19"/>
    <w:rsid w:val="00182E3C"/>
    <w:rsid w:val="00182E6C"/>
    <w:rsid w:val="0018407D"/>
    <w:rsid w:val="00184268"/>
    <w:rsid w:val="00184346"/>
    <w:rsid w:val="00184B39"/>
    <w:rsid w:val="00184B5E"/>
    <w:rsid w:val="00185419"/>
    <w:rsid w:val="00186CAC"/>
    <w:rsid w:val="00186D1E"/>
    <w:rsid w:val="00187118"/>
    <w:rsid w:val="0018756D"/>
    <w:rsid w:val="00187806"/>
    <w:rsid w:val="00187D58"/>
    <w:rsid w:val="00190225"/>
    <w:rsid w:val="00190AB5"/>
    <w:rsid w:val="00191EEE"/>
    <w:rsid w:val="00193722"/>
    <w:rsid w:val="0019385C"/>
    <w:rsid w:val="00194039"/>
    <w:rsid w:val="00195069"/>
    <w:rsid w:val="001958A6"/>
    <w:rsid w:val="001966DD"/>
    <w:rsid w:val="00196DA5"/>
    <w:rsid w:val="001973F7"/>
    <w:rsid w:val="001973FB"/>
    <w:rsid w:val="001976F2"/>
    <w:rsid w:val="001979DC"/>
    <w:rsid w:val="001A0030"/>
    <w:rsid w:val="001A15AC"/>
    <w:rsid w:val="001A1948"/>
    <w:rsid w:val="001A254B"/>
    <w:rsid w:val="001A3041"/>
    <w:rsid w:val="001A333B"/>
    <w:rsid w:val="001A40BE"/>
    <w:rsid w:val="001A4573"/>
    <w:rsid w:val="001A4B6A"/>
    <w:rsid w:val="001A562A"/>
    <w:rsid w:val="001A5CB2"/>
    <w:rsid w:val="001A644C"/>
    <w:rsid w:val="001A6746"/>
    <w:rsid w:val="001A6B91"/>
    <w:rsid w:val="001A6CCD"/>
    <w:rsid w:val="001A6FF5"/>
    <w:rsid w:val="001A79D2"/>
    <w:rsid w:val="001A7BBA"/>
    <w:rsid w:val="001B0571"/>
    <w:rsid w:val="001B0B41"/>
    <w:rsid w:val="001B142C"/>
    <w:rsid w:val="001B14A2"/>
    <w:rsid w:val="001B1A50"/>
    <w:rsid w:val="001B2412"/>
    <w:rsid w:val="001B2D72"/>
    <w:rsid w:val="001B3B30"/>
    <w:rsid w:val="001B3CE2"/>
    <w:rsid w:val="001B4173"/>
    <w:rsid w:val="001B59C7"/>
    <w:rsid w:val="001B5BE3"/>
    <w:rsid w:val="001B5DC8"/>
    <w:rsid w:val="001B644D"/>
    <w:rsid w:val="001B7250"/>
    <w:rsid w:val="001B7895"/>
    <w:rsid w:val="001B7C15"/>
    <w:rsid w:val="001C052D"/>
    <w:rsid w:val="001C0768"/>
    <w:rsid w:val="001C0F46"/>
    <w:rsid w:val="001C1A73"/>
    <w:rsid w:val="001C229B"/>
    <w:rsid w:val="001C2718"/>
    <w:rsid w:val="001C2AD1"/>
    <w:rsid w:val="001C2CF0"/>
    <w:rsid w:val="001C3392"/>
    <w:rsid w:val="001C3510"/>
    <w:rsid w:val="001C3788"/>
    <w:rsid w:val="001C3A0B"/>
    <w:rsid w:val="001C4514"/>
    <w:rsid w:val="001C45A1"/>
    <w:rsid w:val="001C4F5F"/>
    <w:rsid w:val="001C52EC"/>
    <w:rsid w:val="001C5DE1"/>
    <w:rsid w:val="001C674D"/>
    <w:rsid w:val="001C6AD2"/>
    <w:rsid w:val="001C6C61"/>
    <w:rsid w:val="001C6FD5"/>
    <w:rsid w:val="001D001F"/>
    <w:rsid w:val="001D07AE"/>
    <w:rsid w:val="001D0E0F"/>
    <w:rsid w:val="001D12E0"/>
    <w:rsid w:val="001D2277"/>
    <w:rsid w:val="001D4B29"/>
    <w:rsid w:val="001D4BCA"/>
    <w:rsid w:val="001D575C"/>
    <w:rsid w:val="001D5925"/>
    <w:rsid w:val="001D597F"/>
    <w:rsid w:val="001D5F15"/>
    <w:rsid w:val="001D642F"/>
    <w:rsid w:val="001D683C"/>
    <w:rsid w:val="001E0960"/>
    <w:rsid w:val="001E161A"/>
    <w:rsid w:val="001E1B02"/>
    <w:rsid w:val="001E1BE3"/>
    <w:rsid w:val="001E2163"/>
    <w:rsid w:val="001E3041"/>
    <w:rsid w:val="001E38EC"/>
    <w:rsid w:val="001E4645"/>
    <w:rsid w:val="001E4824"/>
    <w:rsid w:val="001E49FC"/>
    <w:rsid w:val="001E4E09"/>
    <w:rsid w:val="001E56F5"/>
    <w:rsid w:val="001E5B52"/>
    <w:rsid w:val="001E61FA"/>
    <w:rsid w:val="001E647F"/>
    <w:rsid w:val="001E6A39"/>
    <w:rsid w:val="001E754F"/>
    <w:rsid w:val="001E76A1"/>
    <w:rsid w:val="001F0B1B"/>
    <w:rsid w:val="001F1809"/>
    <w:rsid w:val="001F1A9F"/>
    <w:rsid w:val="001F2A7D"/>
    <w:rsid w:val="001F2A8A"/>
    <w:rsid w:val="001F373E"/>
    <w:rsid w:val="001F43D4"/>
    <w:rsid w:val="001F4880"/>
    <w:rsid w:val="001F4B60"/>
    <w:rsid w:val="001F4CE5"/>
    <w:rsid w:val="001F4D06"/>
    <w:rsid w:val="001F50EC"/>
    <w:rsid w:val="001F5AF2"/>
    <w:rsid w:val="001F6766"/>
    <w:rsid w:val="00200334"/>
    <w:rsid w:val="00200E2E"/>
    <w:rsid w:val="00201404"/>
    <w:rsid w:val="0020164C"/>
    <w:rsid w:val="00201A33"/>
    <w:rsid w:val="00202066"/>
    <w:rsid w:val="002030B5"/>
    <w:rsid w:val="00203B7A"/>
    <w:rsid w:val="00203ECD"/>
    <w:rsid w:val="002046B3"/>
    <w:rsid w:val="00204E5C"/>
    <w:rsid w:val="002052B0"/>
    <w:rsid w:val="002057A8"/>
    <w:rsid w:val="00206FC6"/>
    <w:rsid w:val="00207C13"/>
    <w:rsid w:val="00207C83"/>
    <w:rsid w:val="00210328"/>
    <w:rsid w:val="00210C28"/>
    <w:rsid w:val="0021145B"/>
    <w:rsid w:val="0021145F"/>
    <w:rsid w:val="00211832"/>
    <w:rsid w:val="00212346"/>
    <w:rsid w:val="00212E71"/>
    <w:rsid w:val="00213788"/>
    <w:rsid w:val="0021388C"/>
    <w:rsid w:val="00213A80"/>
    <w:rsid w:val="00213DE7"/>
    <w:rsid w:val="002146BA"/>
    <w:rsid w:val="002157A0"/>
    <w:rsid w:val="00215867"/>
    <w:rsid w:val="00215E4B"/>
    <w:rsid w:val="00216277"/>
    <w:rsid w:val="002170C5"/>
    <w:rsid w:val="002173A1"/>
    <w:rsid w:val="0021746A"/>
    <w:rsid w:val="0021764C"/>
    <w:rsid w:val="00217A90"/>
    <w:rsid w:val="00217C89"/>
    <w:rsid w:val="002207AF"/>
    <w:rsid w:val="00220D46"/>
    <w:rsid w:val="00220F1C"/>
    <w:rsid w:val="0022106E"/>
    <w:rsid w:val="0022116C"/>
    <w:rsid w:val="00221332"/>
    <w:rsid w:val="00221954"/>
    <w:rsid w:val="002221BC"/>
    <w:rsid w:val="00223066"/>
    <w:rsid w:val="0022329F"/>
    <w:rsid w:val="00223A01"/>
    <w:rsid w:val="00223AE0"/>
    <w:rsid w:val="00223F9A"/>
    <w:rsid w:val="002245AD"/>
    <w:rsid w:val="002249CA"/>
    <w:rsid w:val="00224ED6"/>
    <w:rsid w:val="00224F03"/>
    <w:rsid w:val="00225D68"/>
    <w:rsid w:val="0022619A"/>
    <w:rsid w:val="0022621E"/>
    <w:rsid w:val="002263AD"/>
    <w:rsid w:val="002268F7"/>
    <w:rsid w:val="002274CF"/>
    <w:rsid w:val="00227E93"/>
    <w:rsid w:val="00227FF2"/>
    <w:rsid w:val="002309B3"/>
    <w:rsid w:val="00230C28"/>
    <w:rsid w:val="00231AD8"/>
    <w:rsid w:val="00231C60"/>
    <w:rsid w:val="00232329"/>
    <w:rsid w:val="00233BC0"/>
    <w:rsid w:val="00234173"/>
    <w:rsid w:val="0023506A"/>
    <w:rsid w:val="00235E1E"/>
    <w:rsid w:val="00236459"/>
    <w:rsid w:val="002369B4"/>
    <w:rsid w:val="00240596"/>
    <w:rsid w:val="00240E9E"/>
    <w:rsid w:val="0024155A"/>
    <w:rsid w:val="002415F4"/>
    <w:rsid w:val="00241798"/>
    <w:rsid w:val="00242148"/>
    <w:rsid w:val="00242363"/>
    <w:rsid w:val="00242ADC"/>
    <w:rsid w:val="002432A9"/>
    <w:rsid w:val="00243924"/>
    <w:rsid w:val="00243B91"/>
    <w:rsid w:val="00244401"/>
    <w:rsid w:val="002445CE"/>
    <w:rsid w:val="00244B23"/>
    <w:rsid w:val="0024530B"/>
    <w:rsid w:val="00246A83"/>
    <w:rsid w:val="00246B55"/>
    <w:rsid w:val="00246C4C"/>
    <w:rsid w:val="002472BC"/>
    <w:rsid w:val="00247507"/>
    <w:rsid w:val="00247A4A"/>
    <w:rsid w:val="00247F88"/>
    <w:rsid w:val="00247F91"/>
    <w:rsid w:val="0025051B"/>
    <w:rsid w:val="00250DE3"/>
    <w:rsid w:val="00250DE8"/>
    <w:rsid w:val="002515F4"/>
    <w:rsid w:val="00251DE1"/>
    <w:rsid w:val="002538A8"/>
    <w:rsid w:val="002541E1"/>
    <w:rsid w:val="002543B7"/>
    <w:rsid w:val="00254817"/>
    <w:rsid w:val="00255070"/>
    <w:rsid w:val="002565DB"/>
    <w:rsid w:val="00257896"/>
    <w:rsid w:val="0026025E"/>
    <w:rsid w:val="00261235"/>
    <w:rsid w:val="002614BA"/>
    <w:rsid w:val="00261788"/>
    <w:rsid w:val="002618D6"/>
    <w:rsid w:val="00261E5C"/>
    <w:rsid w:val="00262295"/>
    <w:rsid w:val="002634F6"/>
    <w:rsid w:val="002639C6"/>
    <w:rsid w:val="00263FFC"/>
    <w:rsid w:val="0026488C"/>
    <w:rsid w:val="00264A22"/>
    <w:rsid w:val="00264DB9"/>
    <w:rsid w:val="00265192"/>
    <w:rsid w:val="0026556F"/>
    <w:rsid w:val="002655D0"/>
    <w:rsid w:val="00265D2C"/>
    <w:rsid w:val="00265F78"/>
    <w:rsid w:val="002669BC"/>
    <w:rsid w:val="00266DC8"/>
    <w:rsid w:val="002670D2"/>
    <w:rsid w:val="002671A7"/>
    <w:rsid w:val="00267416"/>
    <w:rsid w:val="00270706"/>
    <w:rsid w:val="00270F27"/>
    <w:rsid w:val="00270F9F"/>
    <w:rsid w:val="00272A0A"/>
    <w:rsid w:val="00273887"/>
    <w:rsid w:val="00273B72"/>
    <w:rsid w:val="00273C28"/>
    <w:rsid w:val="00274E2B"/>
    <w:rsid w:val="00274FE0"/>
    <w:rsid w:val="0027594C"/>
    <w:rsid w:val="00275DAD"/>
    <w:rsid w:val="00277685"/>
    <w:rsid w:val="00277DF4"/>
    <w:rsid w:val="00280B8E"/>
    <w:rsid w:val="002814B2"/>
    <w:rsid w:val="0028152C"/>
    <w:rsid w:val="0028237B"/>
    <w:rsid w:val="002826E0"/>
    <w:rsid w:val="002832F4"/>
    <w:rsid w:val="00283DE6"/>
    <w:rsid w:val="002847BC"/>
    <w:rsid w:val="0028502C"/>
    <w:rsid w:val="002850B4"/>
    <w:rsid w:val="002851BD"/>
    <w:rsid w:val="002854AB"/>
    <w:rsid w:val="00285C51"/>
    <w:rsid w:val="00286468"/>
    <w:rsid w:val="0028786B"/>
    <w:rsid w:val="00290A18"/>
    <w:rsid w:val="0029133C"/>
    <w:rsid w:val="0029182B"/>
    <w:rsid w:val="00292139"/>
    <w:rsid w:val="00292E61"/>
    <w:rsid w:val="00293143"/>
    <w:rsid w:val="00293320"/>
    <w:rsid w:val="002937FC"/>
    <w:rsid w:val="00294058"/>
    <w:rsid w:val="00294245"/>
    <w:rsid w:val="0029430F"/>
    <w:rsid w:val="00294CC1"/>
    <w:rsid w:val="00294DE8"/>
    <w:rsid w:val="002956B1"/>
    <w:rsid w:val="00295885"/>
    <w:rsid w:val="002964D8"/>
    <w:rsid w:val="002965D7"/>
    <w:rsid w:val="00297292"/>
    <w:rsid w:val="002972D8"/>
    <w:rsid w:val="00297662"/>
    <w:rsid w:val="002A0263"/>
    <w:rsid w:val="002A0596"/>
    <w:rsid w:val="002A0AEB"/>
    <w:rsid w:val="002A127D"/>
    <w:rsid w:val="002A16C3"/>
    <w:rsid w:val="002A1726"/>
    <w:rsid w:val="002A18C9"/>
    <w:rsid w:val="002A27AE"/>
    <w:rsid w:val="002A2F9D"/>
    <w:rsid w:val="002A3283"/>
    <w:rsid w:val="002A3386"/>
    <w:rsid w:val="002A5322"/>
    <w:rsid w:val="002A6187"/>
    <w:rsid w:val="002A6296"/>
    <w:rsid w:val="002A63DA"/>
    <w:rsid w:val="002A6992"/>
    <w:rsid w:val="002A7420"/>
    <w:rsid w:val="002A793C"/>
    <w:rsid w:val="002A7E6F"/>
    <w:rsid w:val="002A7F52"/>
    <w:rsid w:val="002B0B82"/>
    <w:rsid w:val="002B0D02"/>
    <w:rsid w:val="002B0EAC"/>
    <w:rsid w:val="002B101D"/>
    <w:rsid w:val="002B16CE"/>
    <w:rsid w:val="002B24D8"/>
    <w:rsid w:val="002B331B"/>
    <w:rsid w:val="002B3521"/>
    <w:rsid w:val="002B3FCA"/>
    <w:rsid w:val="002B42CE"/>
    <w:rsid w:val="002B4709"/>
    <w:rsid w:val="002B4BFF"/>
    <w:rsid w:val="002B5107"/>
    <w:rsid w:val="002B54B7"/>
    <w:rsid w:val="002B6A4D"/>
    <w:rsid w:val="002B6B85"/>
    <w:rsid w:val="002B746C"/>
    <w:rsid w:val="002C178E"/>
    <w:rsid w:val="002C1FE5"/>
    <w:rsid w:val="002C2FA4"/>
    <w:rsid w:val="002C33F4"/>
    <w:rsid w:val="002C3465"/>
    <w:rsid w:val="002C3B5F"/>
    <w:rsid w:val="002C3C54"/>
    <w:rsid w:val="002C409A"/>
    <w:rsid w:val="002C40C5"/>
    <w:rsid w:val="002C4269"/>
    <w:rsid w:val="002C43F3"/>
    <w:rsid w:val="002C4937"/>
    <w:rsid w:val="002C4E16"/>
    <w:rsid w:val="002C5EC5"/>
    <w:rsid w:val="002C7880"/>
    <w:rsid w:val="002C7D5C"/>
    <w:rsid w:val="002D0DD1"/>
    <w:rsid w:val="002D0DD3"/>
    <w:rsid w:val="002D152B"/>
    <w:rsid w:val="002D19E2"/>
    <w:rsid w:val="002D1ACE"/>
    <w:rsid w:val="002D6C9B"/>
    <w:rsid w:val="002D74FD"/>
    <w:rsid w:val="002D7B1F"/>
    <w:rsid w:val="002E0EF9"/>
    <w:rsid w:val="002E1121"/>
    <w:rsid w:val="002E1AC7"/>
    <w:rsid w:val="002E2AA9"/>
    <w:rsid w:val="002E2E64"/>
    <w:rsid w:val="002E39E0"/>
    <w:rsid w:val="002E4B46"/>
    <w:rsid w:val="002E52D9"/>
    <w:rsid w:val="002E5406"/>
    <w:rsid w:val="002E57FA"/>
    <w:rsid w:val="002E5A3B"/>
    <w:rsid w:val="002E5D88"/>
    <w:rsid w:val="002E6D8A"/>
    <w:rsid w:val="002E73C5"/>
    <w:rsid w:val="002E7EE0"/>
    <w:rsid w:val="002F0C47"/>
    <w:rsid w:val="002F1237"/>
    <w:rsid w:val="002F139D"/>
    <w:rsid w:val="002F242B"/>
    <w:rsid w:val="002F268F"/>
    <w:rsid w:val="002F2853"/>
    <w:rsid w:val="002F2B61"/>
    <w:rsid w:val="002F35B2"/>
    <w:rsid w:val="002F390E"/>
    <w:rsid w:val="002F3982"/>
    <w:rsid w:val="002F4A68"/>
    <w:rsid w:val="002F58D0"/>
    <w:rsid w:val="002F5F71"/>
    <w:rsid w:val="002F664A"/>
    <w:rsid w:val="002F7AB0"/>
    <w:rsid w:val="002F7D9B"/>
    <w:rsid w:val="00300007"/>
    <w:rsid w:val="003011BE"/>
    <w:rsid w:val="00301367"/>
    <w:rsid w:val="00301C22"/>
    <w:rsid w:val="00302481"/>
    <w:rsid w:val="00302CCD"/>
    <w:rsid w:val="003030FC"/>
    <w:rsid w:val="003044BC"/>
    <w:rsid w:val="003045EF"/>
    <w:rsid w:val="00304965"/>
    <w:rsid w:val="00304A02"/>
    <w:rsid w:val="00304E72"/>
    <w:rsid w:val="003050DC"/>
    <w:rsid w:val="003064BA"/>
    <w:rsid w:val="00306C85"/>
    <w:rsid w:val="00306EFA"/>
    <w:rsid w:val="00306FA0"/>
    <w:rsid w:val="00307DBF"/>
    <w:rsid w:val="00307E2B"/>
    <w:rsid w:val="00310215"/>
    <w:rsid w:val="0031023A"/>
    <w:rsid w:val="0031117B"/>
    <w:rsid w:val="003127F8"/>
    <w:rsid w:val="0031385F"/>
    <w:rsid w:val="00314589"/>
    <w:rsid w:val="00314633"/>
    <w:rsid w:val="00314DA7"/>
    <w:rsid w:val="00316BC1"/>
    <w:rsid w:val="00316BE8"/>
    <w:rsid w:val="00316DB4"/>
    <w:rsid w:val="0031718B"/>
    <w:rsid w:val="00317535"/>
    <w:rsid w:val="00317A75"/>
    <w:rsid w:val="00317AD5"/>
    <w:rsid w:val="0032171B"/>
    <w:rsid w:val="00321884"/>
    <w:rsid w:val="003218DD"/>
    <w:rsid w:val="00322182"/>
    <w:rsid w:val="003223CE"/>
    <w:rsid w:val="00322CCD"/>
    <w:rsid w:val="00323571"/>
    <w:rsid w:val="00324313"/>
    <w:rsid w:val="003257CA"/>
    <w:rsid w:val="0032598E"/>
    <w:rsid w:val="0032676C"/>
    <w:rsid w:val="0032694F"/>
    <w:rsid w:val="00326D45"/>
    <w:rsid w:val="00327359"/>
    <w:rsid w:val="00327532"/>
    <w:rsid w:val="00327822"/>
    <w:rsid w:val="00330E9A"/>
    <w:rsid w:val="00330E9C"/>
    <w:rsid w:val="003311F2"/>
    <w:rsid w:val="00331757"/>
    <w:rsid w:val="00331826"/>
    <w:rsid w:val="00332566"/>
    <w:rsid w:val="0033258A"/>
    <w:rsid w:val="00332C68"/>
    <w:rsid w:val="00333819"/>
    <w:rsid w:val="00333A4F"/>
    <w:rsid w:val="00333E73"/>
    <w:rsid w:val="003341EE"/>
    <w:rsid w:val="003351CB"/>
    <w:rsid w:val="0033552F"/>
    <w:rsid w:val="00335540"/>
    <w:rsid w:val="0033674B"/>
    <w:rsid w:val="0033737A"/>
    <w:rsid w:val="003379C2"/>
    <w:rsid w:val="003405BB"/>
    <w:rsid w:val="00340946"/>
    <w:rsid w:val="00340AA4"/>
    <w:rsid w:val="00341046"/>
    <w:rsid w:val="00342807"/>
    <w:rsid w:val="00342ADF"/>
    <w:rsid w:val="00342CA9"/>
    <w:rsid w:val="003434C2"/>
    <w:rsid w:val="00343F15"/>
    <w:rsid w:val="0034541D"/>
    <w:rsid w:val="0034583F"/>
    <w:rsid w:val="0034589A"/>
    <w:rsid w:val="00346A90"/>
    <w:rsid w:val="0034747A"/>
    <w:rsid w:val="0034760F"/>
    <w:rsid w:val="00350078"/>
    <w:rsid w:val="00350269"/>
    <w:rsid w:val="003506B4"/>
    <w:rsid w:val="00351470"/>
    <w:rsid w:val="0035186D"/>
    <w:rsid w:val="00351FD9"/>
    <w:rsid w:val="00352864"/>
    <w:rsid w:val="00352B83"/>
    <w:rsid w:val="00353800"/>
    <w:rsid w:val="00353FAC"/>
    <w:rsid w:val="003541B3"/>
    <w:rsid w:val="00354E4F"/>
    <w:rsid w:val="00355726"/>
    <w:rsid w:val="00356756"/>
    <w:rsid w:val="00356793"/>
    <w:rsid w:val="00356A43"/>
    <w:rsid w:val="00356D3F"/>
    <w:rsid w:val="003579C5"/>
    <w:rsid w:val="00360B84"/>
    <w:rsid w:val="00360E1C"/>
    <w:rsid w:val="00360E3F"/>
    <w:rsid w:val="00360FD7"/>
    <w:rsid w:val="0036185F"/>
    <w:rsid w:val="0036336A"/>
    <w:rsid w:val="00364922"/>
    <w:rsid w:val="00364A76"/>
    <w:rsid w:val="003654F3"/>
    <w:rsid w:val="00365B27"/>
    <w:rsid w:val="00366217"/>
    <w:rsid w:val="00366B10"/>
    <w:rsid w:val="00367D29"/>
    <w:rsid w:val="00367F60"/>
    <w:rsid w:val="0037019D"/>
    <w:rsid w:val="0037089C"/>
    <w:rsid w:val="00371E2D"/>
    <w:rsid w:val="003722FD"/>
    <w:rsid w:val="0037249D"/>
    <w:rsid w:val="0037302F"/>
    <w:rsid w:val="00373AD8"/>
    <w:rsid w:val="00374005"/>
    <w:rsid w:val="00374043"/>
    <w:rsid w:val="0037412C"/>
    <w:rsid w:val="00374302"/>
    <w:rsid w:val="00374CAA"/>
    <w:rsid w:val="003754C2"/>
    <w:rsid w:val="00375537"/>
    <w:rsid w:val="003758F0"/>
    <w:rsid w:val="00375F59"/>
    <w:rsid w:val="0037647F"/>
    <w:rsid w:val="0037667B"/>
    <w:rsid w:val="00376974"/>
    <w:rsid w:val="00376DB1"/>
    <w:rsid w:val="00376FAA"/>
    <w:rsid w:val="003776B4"/>
    <w:rsid w:val="00377C77"/>
    <w:rsid w:val="00377DAC"/>
    <w:rsid w:val="00380FB2"/>
    <w:rsid w:val="003811CC"/>
    <w:rsid w:val="00382276"/>
    <w:rsid w:val="00382AD0"/>
    <w:rsid w:val="003833F4"/>
    <w:rsid w:val="00386997"/>
    <w:rsid w:val="0038758F"/>
    <w:rsid w:val="0039016F"/>
    <w:rsid w:val="00390211"/>
    <w:rsid w:val="00390588"/>
    <w:rsid w:val="0039091F"/>
    <w:rsid w:val="00390A97"/>
    <w:rsid w:val="00390B03"/>
    <w:rsid w:val="00390FA9"/>
    <w:rsid w:val="00391585"/>
    <w:rsid w:val="003931AB"/>
    <w:rsid w:val="00393814"/>
    <w:rsid w:val="003939A2"/>
    <w:rsid w:val="003948E8"/>
    <w:rsid w:val="00394905"/>
    <w:rsid w:val="00396B31"/>
    <w:rsid w:val="00396D0D"/>
    <w:rsid w:val="0039749E"/>
    <w:rsid w:val="00397A1F"/>
    <w:rsid w:val="00397C4C"/>
    <w:rsid w:val="003A039F"/>
    <w:rsid w:val="003A080E"/>
    <w:rsid w:val="003A0F69"/>
    <w:rsid w:val="003A3344"/>
    <w:rsid w:val="003A34AE"/>
    <w:rsid w:val="003A4CFF"/>
    <w:rsid w:val="003A5551"/>
    <w:rsid w:val="003A5B91"/>
    <w:rsid w:val="003A5EE5"/>
    <w:rsid w:val="003A6158"/>
    <w:rsid w:val="003A644D"/>
    <w:rsid w:val="003A72A8"/>
    <w:rsid w:val="003A7564"/>
    <w:rsid w:val="003B04DF"/>
    <w:rsid w:val="003B114C"/>
    <w:rsid w:val="003B1314"/>
    <w:rsid w:val="003B1B25"/>
    <w:rsid w:val="003B227D"/>
    <w:rsid w:val="003B2373"/>
    <w:rsid w:val="003B23CB"/>
    <w:rsid w:val="003B28C0"/>
    <w:rsid w:val="003B3650"/>
    <w:rsid w:val="003B398C"/>
    <w:rsid w:val="003B3C4E"/>
    <w:rsid w:val="003B3DB9"/>
    <w:rsid w:val="003B4020"/>
    <w:rsid w:val="003B4E23"/>
    <w:rsid w:val="003B4FBE"/>
    <w:rsid w:val="003B580F"/>
    <w:rsid w:val="003B5CE5"/>
    <w:rsid w:val="003B614E"/>
    <w:rsid w:val="003B6554"/>
    <w:rsid w:val="003B65F7"/>
    <w:rsid w:val="003B6FD9"/>
    <w:rsid w:val="003B7386"/>
    <w:rsid w:val="003B7622"/>
    <w:rsid w:val="003B777A"/>
    <w:rsid w:val="003B7FE0"/>
    <w:rsid w:val="003C0593"/>
    <w:rsid w:val="003C0D11"/>
    <w:rsid w:val="003C19F6"/>
    <w:rsid w:val="003C1E61"/>
    <w:rsid w:val="003C2DA2"/>
    <w:rsid w:val="003C32EE"/>
    <w:rsid w:val="003C36C8"/>
    <w:rsid w:val="003C452F"/>
    <w:rsid w:val="003C4A44"/>
    <w:rsid w:val="003C519A"/>
    <w:rsid w:val="003D12D7"/>
    <w:rsid w:val="003D1994"/>
    <w:rsid w:val="003D1FE2"/>
    <w:rsid w:val="003D28F5"/>
    <w:rsid w:val="003D33A0"/>
    <w:rsid w:val="003D360F"/>
    <w:rsid w:val="003D4072"/>
    <w:rsid w:val="003D4654"/>
    <w:rsid w:val="003D6ED6"/>
    <w:rsid w:val="003D72CA"/>
    <w:rsid w:val="003D72F4"/>
    <w:rsid w:val="003D7700"/>
    <w:rsid w:val="003D7A7D"/>
    <w:rsid w:val="003D7C75"/>
    <w:rsid w:val="003E059E"/>
    <w:rsid w:val="003E06FE"/>
    <w:rsid w:val="003E0963"/>
    <w:rsid w:val="003E0AF3"/>
    <w:rsid w:val="003E1765"/>
    <w:rsid w:val="003E1F46"/>
    <w:rsid w:val="003E284A"/>
    <w:rsid w:val="003E28A3"/>
    <w:rsid w:val="003E2D75"/>
    <w:rsid w:val="003E2DCB"/>
    <w:rsid w:val="003E30CF"/>
    <w:rsid w:val="003E3108"/>
    <w:rsid w:val="003E352A"/>
    <w:rsid w:val="003E425C"/>
    <w:rsid w:val="003E4967"/>
    <w:rsid w:val="003E49CC"/>
    <w:rsid w:val="003E5C18"/>
    <w:rsid w:val="003E6641"/>
    <w:rsid w:val="003E71D8"/>
    <w:rsid w:val="003E7BF9"/>
    <w:rsid w:val="003F02CE"/>
    <w:rsid w:val="003F06C8"/>
    <w:rsid w:val="003F075D"/>
    <w:rsid w:val="003F192C"/>
    <w:rsid w:val="003F1C1D"/>
    <w:rsid w:val="003F2780"/>
    <w:rsid w:val="003F28E0"/>
    <w:rsid w:val="003F363E"/>
    <w:rsid w:val="003F3869"/>
    <w:rsid w:val="003F39BA"/>
    <w:rsid w:val="003F3DFC"/>
    <w:rsid w:val="003F4FAA"/>
    <w:rsid w:val="003F52D2"/>
    <w:rsid w:val="003F5369"/>
    <w:rsid w:val="003F58A1"/>
    <w:rsid w:val="003F5FA4"/>
    <w:rsid w:val="003F61C0"/>
    <w:rsid w:val="003F676C"/>
    <w:rsid w:val="003F6833"/>
    <w:rsid w:val="003F7E85"/>
    <w:rsid w:val="003F7EF1"/>
    <w:rsid w:val="004003E7"/>
    <w:rsid w:val="0040048E"/>
    <w:rsid w:val="00401032"/>
    <w:rsid w:val="004016F5"/>
    <w:rsid w:val="0040186F"/>
    <w:rsid w:val="00401D60"/>
    <w:rsid w:val="00401DCE"/>
    <w:rsid w:val="0040269B"/>
    <w:rsid w:val="00402812"/>
    <w:rsid w:val="004029CD"/>
    <w:rsid w:val="004037D9"/>
    <w:rsid w:val="004038CE"/>
    <w:rsid w:val="004040B2"/>
    <w:rsid w:val="00404CA3"/>
    <w:rsid w:val="00404D90"/>
    <w:rsid w:val="00404E41"/>
    <w:rsid w:val="00404FA5"/>
    <w:rsid w:val="00404FF9"/>
    <w:rsid w:val="00405399"/>
    <w:rsid w:val="004064C2"/>
    <w:rsid w:val="0040665C"/>
    <w:rsid w:val="00406A81"/>
    <w:rsid w:val="00406C4A"/>
    <w:rsid w:val="00407354"/>
    <w:rsid w:val="004075DF"/>
    <w:rsid w:val="004077A2"/>
    <w:rsid w:val="00407A73"/>
    <w:rsid w:val="00410162"/>
    <w:rsid w:val="004102AB"/>
    <w:rsid w:val="00411372"/>
    <w:rsid w:val="0041169F"/>
    <w:rsid w:val="00412E06"/>
    <w:rsid w:val="00412E08"/>
    <w:rsid w:val="00412EE5"/>
    <w:rsid w:val="00413413"/>
    <w:rsid w:val="00414009"/>
    <w:rsid w:val="004161A2"/>
    <w:rsid w:val="00416635"/>
    <w:rsid w:val="00420356"/>
    <w:rsid w:val="00420484"/>
    <w:rsid w:val="004209C2"/>
    <w:rsid w:val="00420B90"/>
    <w:rsid w:val="00420D99"/>
    <w:rsid w:val="00420E74"/>
    <w:rsid w:val="004211C1"/>
    <w:rsid w:val="004212ED"/>
    <w:rsid w:val="00421AF6"/>
    <w:rsid w:val="0042289A"/>
    <w:rsid w:val="0042378C"/>
    <w:rsid w:val="004238DE"/>
    <w:rsid w:val="00423DA5"/>
    <w:rsid w:val="0042534E"/>
    <w:rsid w:val="004263F0"/>
    <w:rsid w:val="00426E8C"/>
    <w:rsid w:val="00426F8E"/>
    <w:rsid w:val="00427068"/>
    <w:rsid w:val="004272D1"/>
    <w:rsid w:val="00427740"/>
    <w:rsid w:val="004279E1"/>
    <w:rsid w:val="00430634"/>
    <w:rsid w:val="00430973"/>
    <w:rsid w:val="00430D5F"/>
    <w:rsid w:val="00431E4D"/>
    <w:rsid w:val="00432413"/>
    <w:rsid w:val="004327A6"/>
    <w:rsid w:val="00433369"/>
    <w:rsid w:val="004334D8"/>
    <w:rsid w:val="00433908"/>
    <w:rsid w:val="00433AE2"/>
    <w:rsid w:val="00433CA1"/>
    <w:rsid w:val="0043475F"/>
    <w:rsid w:val="00435726"/>
    <w:rsid w:val="00435DA0"/>
    <w:rsid w:val="00435F43"/>
    <w:rsid w:val="00436098"/>
    <w:rsid w:val="00436219"/>
    <w:rsid w:val="00436C3E"/>
    <w:rsid w:val="00436C5C"/>
    <w:rsid w:val="00436D5C"/>
    <w:rsid w:val="004372C1"/>
    <w:rsid w:val="00437D86"/>
    <w:rsid w:val="004404DA"/>
    <w:rsid w:val="00441379"/>
    <w:rsid w:val="00441E5E"/>
    <w:rsid w:val="00442227"/>
    <w:rsid w:val="004428F7"/>
    <w:rsid w:val="00442D45"/>
    <w:rsid w:val="00443127"/>
    <w:rsid w:val="00444051"/>
    <w:rsid w:val="00444507"/>
    <w:rsid w:val="00444584"/>
    <w:rsid w:val="00444A47"/>
    <w:rsid w:val="00445259"/>
    <w:rsid w:val="004457EF"/>
    <w:rsid w:val="00445AF0"/>
    <w:rsid w:val="004468FC"/>
    <w:rsid w:val="00446F39"/>
    <w:rsid w:val="00447175"/>
    <w:rsid w:val="00447821"/>
    <w:rsid w:val="004503EC"/>
    <w:rsid w:val="004520EE"/>
    <w:rsid w:val="004529FC"/>
    <w:rsid w:val="00452C13"/>
    <w:rsid w:val="00453423"/>
    <w:rsid w:val="0045398A"/>
    <w:rsid w:val="004540CF"/>
    <w:rsid w:val="00454120"/>
    <w:rsid w:val="0045421E"/>
    <w:rsid w:val="004545DD"/>
    <w:rsid w:val="00454983"/>
    <w:rsid w:val="00454C89"/>
    <w:rsid w:val="00454EF0"/>
    <w:rsid w:val="004572D4"/>
    <w:rsid w:val="004574BD"/>
    <w:rsid w:val="004579F1"/>
    <w:rsid w:val="004602EA"/>
    <w:rsid w:val="00461F85"/>
    <w:rsid w:val="00463382"/>
    <w:rsid w:val="00463E97"/>
    <w:rsid w:val="00464657"/>
    <w:rsid w:val="00464C4E"/>
    <w:rsid w:val="00464EB3"/>
    <w:rsid w:val="00465848"/>
    <w:rsid w:val="0046638F"/>
    <w:rsid w:val="004665E8"/>
    <w:rsid w:val="00466835"/>
    <w:rsid w:val="004679E6"/>
    <w:rsid w:val="0047057D"/>
    <w:rsid w:val="00470DB5"/>
    <w:rsid w:val="00471C8D"/>
    <w:rsid w:val="00472377"/>
    <w:rsid w:val="004727E7"/>
    <w:rsid w:val="00475CF2"/>
    <w:rsid w:val="00476082"/>
    <w:rsid w:val="00476141"/>
    <w:rsid w:val="004763D5"/>
    <w:rsid w:val="004766A8"/>
    <w:rsid w:val="00476B85"/>
    <w:rsid w:val="00476C74"/>
    <w:rsid w:val="00476D0C"/>
    <w:rsid w:val="00476F11"/>
    <w:rsid w:val="00476F3A"/>
    <w:rsid w:val="00477BB5"/>
    <w:rsid w:val="004803D4"/>
    <w:rsid w:val="0048064D"/>
    <w:rsid w:val="004825DE"/>
    <w:rsid w:val="00483AFF"/>
    <w:rsid w:val="004842D3"/>
    <w:rsid w:val="0048513D"/>
    <w:rsid w:val="00485F1F"/>
    <w:rsid w:val="00486200"/>
    <w:rsid w:val="00486B48"/>
    <w:rsid w:val="00487B34"/>
    <w:rsid w:val="00487BAA"/>
    <w:rsid w:val="00487F81"/>
    <w:rsid w:val="00490862"/>
    <w:rsid w:val="00491433"/>
    <w:rsid w:val="00491872"/>
    <w:rsid w:val="004927B4"/>
    <w:rsid w:val="004938A3"/>
    <w:rsid w:val="00494316"/>
    <w:rsid w:val="00494A37"/>
    <w:rsid w:val="0049579C"/>
    <w:rsid w:val="0049607B"/>
    <w:rsid w:val="00496738"/>
    <w:rsid w:val="00496939"/>
    <w:rsid w:val="004971E4"/>
    <w:rsid w:val="0049745A"/>
    <w:rsid w:val="00497560"/>
    <w:rsid w:val="00497F61"/>
    <w:rsid w:val="004A037E"/>
    <w:rsid w:val="004A075D"/>
    <w:rsid w:val="004A0B8D"/>
    <w:rsid w:val="004A37E5"/>
    <w:rsid w:val="004A3A21"/>
    <w:rsid w:val="004A3F94"/>
    <w:rsid w:val="004A488C"/>
    <w:rsid w:val="004A4A7C"/>
    <w:rsid w:val="004A4CC3"/>
    <w:rsid w:val="004A5888"/>
    <w:rsid w:val="004A6194"/>
    <w:rsid w:val="004A7706"/>
    <w:rsid w:val="004B0188"/>
    <w:rsid w:val="004B138B"/>
    <w:rsid w:val="004B24D1"/>
    <w:rsid w:val="004B4E3E"/>
    <w:rsid w:val="004B4EA7"/>
    <w:rsid w:val="004B5369"/>
    <w:rsid w:val="004B58C1"/>
    <w:rsid w:val="004B5A0B"/>
    <w:rsid w:val="004B5B4A"/>
    <w:rsid w:val="004B5BCB"/>
    <w:rsid w:val="004B644E"/>
    <w:rsid w:val="004B7665"/>
    <w:rsid w:val="004B76E6"/>
    <w:rsid w:val="004B79D7"/>
    <w:rsid w:val="004C0FAD"/>
    <w:rsid w:val="004C10A9"/>
    <w:rsid w:val="004C1309"/>
    <w:rsid w:val="004C144E"/>
    <w:rsid w:val="004C1A87"/>
    <w:rsid w:val="004C3ED6"/>
    <w:rsid w:val="004C3FD4"/>
    <w:rsid w:val="004C42E6"/>
    <w:rsid w:val="004C47ED"/>
    <w:rsid w:val="004C4BE0"/>
    <w:rsid w:val="004C4D3C"/>
    <w:rsid w:val="004C5AA3"/>
    <w:rsid w:val="004C5AFE"/>
    <w:rsid w:val="004C623E"/>
    <w:rsid w:val="004C6902"/>
    <w:rsid w:val="004C7799"/>
    <w:rsid w:val="004D00C8"/>
    <w:rsid w:val="004D0F49"/>
    <w:rsid w:val="004D0FBE"/>
    <w:rsid w:val="004D1563"/>
    <w:rsid w:val="004D1835"/>
    <w:rsid w:val="004D1C14"/>
    <w:rsid w:val="004D256F"/>
    <w:rsid w:val="004D2804"/>
    <w:rsid w:val="004D3044"/>
    <w:rsid w:val="004D4F26"/>
    <w:rsid w:val="004D6031"/>
    <w:rsid w:val="004D6558"/>
    <w:rsid w:val="004D672E"/>
    <w:rsid w:val="004D6C04"/>
    <w:rsid w:val="004D734A"/>
    <w:rsid w:val="004E023B"/>
    <w:rsid w:val="004E09F4"/>
    <w:rsid w:val="004E1067"/>
    <w:rsid w:val="004E164E"/>
    <w:rsid w:val="004E1733"/>
    <w:rsid w:val="004E184A"/>
    <w:rsid w:val="004E28B6"/>
    <w:rsid w:val="004E2E08"/>
    <w:rsid w:val="004E3174"/>
    <w:rsid w:val="004E3193"/>
    <w:rsid w:val="004E3350"/>
    <w:rsid w:val="004E3CA4"/>
    <w:rsid w:val="004E4339"/>
    <w:rsid w:val="004E43AA"/>
    <w:rsid w:val="004E6079"/>
    <w:rsid w:val="004E658D"/>
    <w:rsid w:val="004E759D"/>
    <w:rsid w:val="004E7C1B"/>
    <w:rsid w:val="004F0122"/>
    <w:rsid w:val="004F0E51"/>
    <w:rsid w:val="004F104D"/>
    <w:rsid w:val="004F17F7"/>
    <w:rsid w:val="004F1BD1"/>
    <w:rsid w:val="004F1CBC"/>
    <w:rsid w:val="004F2FAE"/>
    <w:rsid w:val="004F38EA"/>
    <w:rsid w:val="004F42FF"/>
    <w:rsid w:val="004F5362"/>
    <w:rsid w:val="004F5612"/>
    <w:rsid w:val="004F5F3E"/>
    <w:rsid w:val="004F5FD1"/>
    <w:rsid w:val="004F6B69"/>
    <w:rsid w:val="004F76D6"/>
    <w:rsid w:val="004F788E"/>
    <w:rsid w:val="00500012"/>
    <w:rsid w:val="005003CD"/>
    <w:rsid w:val="00500A44"/>
    <w:rsid w:val="005015A8"/>
    <w:rsid w:val="0050183E"/>
    <w:rsid w:val="00501E5A"/>
    <w:rsid w:val="00502568"/>
    <w:rsid w:val="0050282A"/>
    <w:rsid w:val="00502DD0"/>
    <w:rsid w:val="005035D3"/>
    <w:rsid w:val="00503790"/>
    <w:rsid w:val="005045DA"/>
    <w:rsid w:val="0050468D"/>
    <w:rsid w:val="0050477E"/>
    <w:rsid w:val="00504AE8"/>
    <w:rsid w:val="00505FCA"/>
    <w:rsid w:val="00506DF3"/>
    <w:rsid w:val="0050773F"/>
    <w:rsid w:val="00507791"/>
    <w:rsid w:val="005077BA"/>
    <w:rsid w:val="00511EAF"/>
    <w:rsid w:val="00511F93"/>
    <w:rsid w:val="005124FF"/>
    <w:rsid w:val="00512C6E"/>
    <w:rsid w:val="00513FD2"/>
    <w:rsid w:val="00514127"/>
    <w:rsid w:val="00514262"/>
    <w:rsid w:val="00514B69"/>
    <w:rsid w:val="00514D11"/>
    <w:rsid w:val="00514F7D"/>
    <w:rsid w:val="00516085"/>
    <w:rsid w:val="0051652C"/>
    <w:rsid w:val="00516E7D"/>
    <w:rsid w:val="00517198"/>
    <w:rsid w:val="0051752D"/>
    <w:rsid w:val="00517E97"/>
    <w:rsid w:val="00520303"/>
    <w:rsid w:val="0052112B"/>
    <w:rsid w:val="00521933"/>
    <w:rsid w:val="005221E1"/>
    <w:rsid w:val="00522671"/>
    <w:rsid w:val="00522DE0"/>
    <w:rsid w:val="00523478"/>
    <w:rsid w:val="0052385A"/>
    <w:rsid w:val="00523BD1"/>
    <w:rsid w:val="00523DEA"/>
    <w:rsid w:val="00523E70"/>
    <w:rsid w:val="00524BEC"/>
    <w:rsid w:val="005252F4"/>
    <w:rsid w:val="00525ADD"/>
    <w:rsid w:val="00526193"/>
    <w:rsid w:val="00526595"/>
    <w:rsid w:val="005276E4"/>
    <w:rsid w:val="00527D9F"/>
    <w:rsid w:val="00527FCF"/>
    <w:rsid w:val="00530AB1"/>
    <w:rsid w:val="00531C0C"/>
    <w:rsid w:val="0053213F"/>
    <w:rsid w:val="00532608"/>
    <w:rsid w:val="00532844"/>
    <w:rsid w:val="00532978"/>
    <w:rsid w:val="00532C24"/>
    <w:rsid w:val="00532D74"/>
    <w:rsid w:val="00532F5E"/>
    <w:rsid w:val="005330F5"/>
    <w:rsid w:val="005342CA"/>
    <w:rsid w:val="00534A07"/>
    <w:rsid w:val="00534EFB"/>
    <w:rsid w:val="005352DD"/>
    <w:rsid w:val="0053537E"/>
    <w:rsid w:val="0053564F"/>
    <w:rsid w:val="00535E0F"/>
    <w:rsid w:val="005361E4"/>
    <w:rsid w:val="005367D2"/>
    <w:rsid w:val="00536929"/>
    <w:rsid w:val="0053720D"/>
    <w:rsid w:val="00537B4E"/>
    <w:rsid w:val="00540465"/>
    <w:rsid w:val="005405A2"/>
    <w:rsid w:val="00541E97"/>
    <w:rsid w:val="00542090"/>
    <w:rsid w:val="00542683"/>
    <w:rsid w:val="005428E8"/>
    <w:rsid w:val="00542B8B"/>
    <w:rsid w:val="00542D15"/>
    <w:rsid w:val="00543BA0"/>
    <w:rsid w:val="005441DC"/>
    <w:rsid w:val="00544261"/>
    <w:rsid w:val="0054429E"/>
    <w:rsid w:val="00545795"/>
    <w:rsid w:val="005459DE"/>
    <w:rsid w:val="00546332"/>
    <w:rsid w:val="00547567"/>
    <w:rsid w:val="00547E30"/>
    <w:rsid w:val="00550102"/>
    <w:rsid w:val="00550904"/>
    <w:rsid w:val="00551868"/>
    <w:rsid w:val="005518BC"/>
    <w:rsid w:val="0055247F"/>
    <w:rsid w:val="005525E4"/>
    <w:rsid w:val="00552960"/>
    <w:rsid w:val="00552A8F"/>
    <w:rsid w:val="00552B4C"/>
    <w:rsid w:val="005531A0"/>
    <w:rsid w:val="0055370A"/>
    <w:rsid w:val="00553710"/>
    <w:rsid w:val="00554B06"/>
    <w:rsid w:val="005556A2"/>
    <w:rsid w:val="00555B3C"/>
    <w:rsid w:val="0055719D"/>
    <w:rsid w:val="00557965"/>
    <w:rsid w:val="00557A69"/>
    <w:rsid w:val="00557ECF"/>
    <w:rsid w:val="00560492"/>
    <w:rsid w:val="00560FF2"/>
    <w:rsid w:val="005610E2"/>
    <w:rsid w:val="00562634"/>
    <w:rsid w:val="00562748"/>
    <w:rsid w:val="00562FDE"/>
    <w:rsid w:val="005630CF"/>
    <w:rsid w:val="0056342B"/>
    <w:rsid w:val="0056462E"/>
    <w:rsid w:val="00564704"/>
    <w:rsid w:val="00565127"/>
    <w:rsid w:val="00565396"/>
    <w:rsid w:val="00566741"/>
    <w:rsid w:val="005672B3"/>
    <w:rsid w:val="0056748C"/>
    <w:rsid w:val="0057013D"/>
    <w:rsid w:val="005703DE"/>
    <w:rsid w:val="00570E04"/>
    <w:rsid w:val="00570FF5"/>
    <w:rsid w:val="00571ACA"/>
    <w:rsid w:val="005728BA"/>
    <w:rsid w:val="00572986"/>
    <w:rsid w:val="005729FC"/>
    <w:rsid w:val="0057334C"/>
    <w:rsid w:val="00573674"/>
    <w:rsid w:val="00573CA8"/>
    <w:rsid w:val="00574487"/>
    <w:rsid w:val="00574D2B"/>
    <w:rsid w:val="00575612"/>
    <w:rsid w:val="005757FE"/>
    <w:rsid w:val="00575E61"/>
    <w:rsid w:val="005760F8"/>
    <w:rsid w:val="00576328"/>
    <w:rsid w:val="00576BF3"/>
    <w:rsid w:val="0057753B"/>
    <w:rsid w:val="005775FE"/>
    <w:rsid w:val="00580D11"/>
    <w:rsid w:val="005817AE"/>
    <w:rsid w:val="00581A27"/>
    <w:rsid w:val="00581A47"/>
    <w:rsid w:val="00581F26"/>
    <w:rsid w:val="0058211E"/>
    <w:rsid w:val="00582705"/>
    <w:rsid w:val="00582C28"/>
    <w:rsid w:val="00583629"/>
    <w:rsid w:val="00583C44"/>
    <w:rsid w:val="00583FC7"/>
    <w:rsid w:val="00584C64"/>
    <w:rsid w:val="00584F3F"/>
    <w:rsid w:val="005854D3"/>
    <w:rsid w:val="00585C60"/>
    <w:rsid w:val="0058653A"/>
    <w:rsid w:val="00586644"/>
    <w:rsid w:val="0058681B"/>
    <w:rsid w:val="00586C23"/>
    <w:rsid w:val="00586F02"/>
    <w:rsid w:val="00586F32"/>
    <w:rsid w:val="00590DEE"/>
    <w:rsid w:val="005920D3"/>
    <w:rsid w:val="00592452"/>
    <w:rsid w:val="00592607"/>
    <w:rsid w:val="00592A61"/>
    <w:rsid w:val="00593B8A"/>
    <w:rsid w:val="00593C6A"/>
    <w:rsid w:val="00594537"/>
    <w:rsid w:val="00595849"/>
    <w:rsid w:val="0059599F"/>
    <w:rsid w:val="005964CC"/>
    <w:rsid w:val="005A0240"/>
    <w:rsid w:val="005A06C2"/>
    <w:rsid w:val="005A0814"/>
    <w:rsid w:val="005A0CED"/>
    <w:rsid w:val="005A32D7"/>
    <w:rsid w:val="005A44FE"/>
    <w:rsid w:val="005A4B08"/>
    <w:rsid w:val="005A55F5"/>
    <w:rsid w:val="005A6393"/>
    <w:rsid w:val="005A6454"/>
    <w:rsid w:val="005A6EA9"/>
    <w:rsid w:val="005A78F2"/>
    <w:rsid w:val="005B05C5"/>
    <w:rsid w:val="005B2871"/>
    <w:rsid w:val="005B2980"/>
    <w:rsid w:val="005B29AD"/>
    <w:rsid w:val="005B40C2"/>
    <w:rsid w:val="005B4296"/>
    <w:rsid w:val="005B42FE"/>
    <w:rsid w:val="005B43A4"/>
    <w:rsid w:val="005B4AC7"/>
    <w:rsid w:val="005B4D79"/>
    <w:rsid w:val="005B5048"/>
    <w:rsid w:val="005B52E3"/>
    <w:rsid w:val="005B5536"/>
    <w:rsid w:val="005B5ECB"/>
    <w:rsid w:val="005B60CC"/>
    <w:rsid w:val="005B63B2"/>
    <w:rsid w:val="005B7033"/>
    <w:rsid w:val="005B791D"/>
    <w:rsid w:val="005C0E75"/>
    <w:rsid w:val="005C1610"/>
    <w:rsid w:val="005C1C82"/>
    <w:rsid w:val="005C1EE2"/>
    <w:rsid w:val="005C373C"/>
    <w:rsid w:val="005C4766"/>
    <w:rsid w:val="005C4D08"/>
    <w:rsid w:val="005C4D09"/>
    <w:rsid w:val="005C50F3"/>
    <w:rsid w:val="005C6A88"/>
    <w:rsid w:val="005C6CF6"/>
    <w:rsid w:val="005C6DDD"/>
    <w:rsid w:val="005C6E31"/>
    <w:rsid w:val="005C7665"/>
    <w:rsid w:val="005D1FCA"/>
    <w:rsid w:val="005D2D6A"/>
    <w:rsid w:val="005D3177"/>
    <w:rsid w:val="005D3354"/>
    <w:rsid w:val="005D3FBD"/>
    <w:rsid w:val="005D4CA5"/>
    <w:rsid w:val="005D4FE5"/>
    <w:rsid w:val="005D5015"/>
    <w:rsid w:val="005D727B"/>
    <w:rsid w:val="005D7C25"/>
    <w:rsid w:val="005D7F78"/>
    <w:rsid w:val="005E017E"/>
    <w:rsid w:val="005E0707"/>
    <w:rsid w:val="005E0910"/>
    <w:rsid w:val="005E0A4E"/>
    <w:rsid w:val="005E1343"/>
    <w:rsid w:val="005E2913"/>
    <w:rsid w:val="005E2DF1"/>
    <w:rsid w:val="005E32A9"/>
    <w:rsid w:val="005E34E1"/>
    <w:rsid w:val="005E41D2"/>
    <w:rsid w:val="005E4601"/>
    <w:rsid w:val="005E62A1"/>
    <w:rsid w:val="005E6414"/>
    <w:rsid w:val="005E6592"/>
    <w:rsid w:val="005E6936"/>
    <w:rsid w:val="005E6E86"/>
    <w:rsid w:val="005E736A"/>
    <w:rsid w:val="005E74FF"/>
    <w:rsid w:val="005F07E3"/>
    <w:rsid w:val="005F0A2E"/>
    <w:rsid w:val="005F13C6"/>
    <w:rsid w:val="005F1471"/>
    <w:rsid w:val="005F161A"/>
    <w:rsid w:val="005F1AFA"/>
    <w:rsid w:val="005F1DF4"/>
    <w:rsid w:val="005F253E"/>
    <w:rsid w:val="005F27EF"/>
    <w:rsid w:val="005F2B6D"/>
    <w:rsid w:val="005F2D3F"/>
    <w:rsid w:val="005F2FDA"/>
    <w:rsid w:val="005F307B"/>
    <w:rsid w:val="005F3F66"/>
    <w:rsid w:val="005F46F4"/>
    <w:rsid w:val="005F4A25"/>
    <w:rsid w:val="005F4E60"/>
    <w:rsid w:val="005F588F"/>
    <w:rsid w:val="005F60DB"/>
    <w:rsid w:val="005F6C76"/>
    <w:rsid w:val="006006CF"/>
    <w:rsid w:val="006014A5"/>
    <w:rsid w:val="006015B3"/>
    <w:rsid w:val="0060167D"/>
    <w:rsid w:val="00601E7D"/>
    <w:rsid w:val="00602E88"/>
    <w:rsid w:val="006032C6"/>
    <w:rsid w:val="00604125"/>
    <w:rsid w:val="00605608"/>
    <w:rsid w:val="00605ADC"/>
    <w:rsid w:val="00606ADD"/>
    <w:rsid w:val="006077AB"/>
    <w:rsid w:val="00607C65"/>
    <w:rsid w:val="00607DAA"/>
    <w:rsid w:val="00610226"/>
    <w:rsid w:val="00610DA3"/>
    <w:rsid w:val="006122E1"/>
    <w:rsid w:val="00612557"/>
    <w:rsid w:val="00612957"/>
    <w:rsid w:val="00612F68"/>
    <w:rsid w:val="00613A18"/>
    <w:rsid w:val="00613CD8"/>
    <w:rsid w:val="00613E1E"/>
    <w:rsid w:val="00613E97"/>
    <w:rsid w:val="006142E8"/>
    <w:rsid w:val="006147BE"/>
    <w:rsid w:val="00615725"/>
    <w:rsid w:val="006161F8"/>
    <w:rsid w:val="00616491"/>
    <w:rsid w:val="006168F8"/>
    <w:rsid w:val="0061694F"/>
    <w:rsid w:val="0061735F"/>
    <w:rsid w:val="006179FB"/>
    <w:rsid w:val="00620915"/>
    <w:rsid w:val="0062164F"/>
    <w:rsid w:val="00621C8C"/>
    <w:rsid w:val="00623F53"/>
    <w:rsid w:val="00623FA5"/>
    <w:rsid w:val="00624028"/>
    <w:rsid w:val="00624381"/>
    <w:rsid w:val="0062440A"/>
    <w:rsid w:val="00624735"/>
    <w:rsid w:val="0062512C"/>
    <w:rsid w:val="006253B4"/>
    <w:rsid w:val="00625975"/>
    <w:rsid w:val="00626D86"/>
    <w:rsid w:val="0062723E"/>
    <w:rsid w:val="00627DB7"/>
    <w:rsid w:val="00630289"/>
    <w:rsid w:val="0063059F"/>
    <w:rsid w:val="00630981"/>
    <w:rsid w:val="00630A54"/>
    <w:rsid w:val="0063115E"/>
    <w:rsid w:val="0063184D"/>
    <w:rsid w:val="00632109"/>
    <w:rsid w:val="006321E0"/>
    <w:rsid w:val="0063277B"/>
    <w:rsid w:val="006329FF"/>
    <w:rsid w:val="00632C72"/>
    <w:rsid w:val="00632F04"/>
    <w:rsid w:val="0063348C"/>
    <w:rsid w:val="0063445A"/>
    <w:rsid w:val="00634C76"/>
    <w:rsid w:val="006360F0"/>
    <w:rsid w:val="006362E4"/>
    <w:rsid w:val="006368F8"/>
    <w:rsid w:val="006369BF"/>
    <w:rsid w:val="00636ABF"/>
    <w:rsid w:val="00636F03"/>
    <w:rsid w:val="006376CC"/>
    <w:rsid w:val="00637928"/>
    <w:rsid w:val="00637D49"/>
    <w:rsid w:val="00637E8A"/>
    <w:rsid w:val="006401D3"/>
    <w:rsid w:val="006408B9"/>
    <w:rsid w:val="006409B3"/>
    <w:rsid w:val="00640D9D"/>
    <w:rsid w:val="00640DFA"/>
    <w:rsid w:val="00640EC0"/>
    <w:rsid w:val="00641007"/>
    <w:rsid w:val="0064268C"/>
    <w:rsid w:val="00642695"/>
    <w:rsid w:val="00642C1E"/>
    <w:rsid w:val="00642FBE"/>
    <w:rsid w:val="006448E4"/>
    <w:rsid w:val="00644BFC"/>
    <w:rsid w:val="00644ED7"/>
    <w:rsid w:val="0064647A"/>
    <w:rsid w:val="0064667D"/>
    <w:rsid w:val="00646D04"/>
    <w:rsid w:val="00646D73"/>
    <w:rsid w:val="00646F72"/>
    <w:rsid w:val="006472FB"/>
    <w:rsid w:val="00647CA8"/>
    <w:rsid w:val="00647D0D"/>
    <w:rsid w:val="0065130D"/>
    <w:rsid w:val="00651C4D"/>
    <w:rsid w:val="006522DE"/>
    <w:rsid w:val="00652403"/>
    <w:rsid w:val="006524C7"/>
    <w:rsid w:val="00652AC8"/>
    <w:rsid w:val="00652BBE"/>
    <w:rsid w:val="00652F9B"/>
    <w:rsid w:val="00653A7D"/>
    <w:rsid w:val="0065413D"/>
    <w:rsid w:val="0065442A"/>
    <w:rsid w:val="00655420"/>
    <w:rsid w:val="00655ACA"/>
    <w:rsid w:val="00655D44"/>
    <w:rsid w:val="006574AB"/>
    <w:rsid w:val="00661032"/>
    <w:rsid w:val="00661739"/>
    <w:rsid w:val="00661769"/>
    <w:rsid w:val="00661D58"/>
    <w:rsid w:val="006625B4"/>
    <w:rsid w:val="006627B7"/>
    <w:rsid w:val="00662B72"/>
    <w:rsid w:val="00663293"/>
    <w:rsid w:val="0066348E"/>
    <w:rsid w:val="00663ADA"/>
    <w:rsid w:val="0066464E"/>
    <w:rsid w:val="0066477D"/>
    <w:rsid w:val="00665AEC"/>
    <w:rsid w:val="00665CCA"/>
    <w:rsid w:val="0066636E"/>
    <w:rsid w:val="00666552"/>
    <w:rsid w:val="00666AB2"/>
    <w:rsid w:val="00667181"/>
    <w:rsid w:val="0066733F"/>
    <w:rsid w:val="00667ED6"/>
    <w:rsid w:val="00670BE7"/>
    <w:rsid w:val="00670D19"/>
    <w:rsid w:val="00670F96"/>
    <w:rsid w:val="00670FFE"/>
    <w:rsid w:val="006710B5"/>
    <w:rsid w:val="00671C94"/>
    <w:rsid w:val="00672A10"/>
    <w:rsid w:val="006738A8"/>
    <w:rsid w:val="00673C68"/>
    <w:rsid w:val="00673F9E"/>
    <w:rsid w:val="00674174"/>
    <w:rsid w:val="00674751"/>
    <w:rsid w:val="006748D4"/>
    <w:rsid w:val="00674AA3"/>
    <w:rsid w:val="00675A8C"/>
    <w:rsid w:val="00675C9D"/>
    <w:rsid w:val="00677572"/>
    <w:rsid w:val="006775C7"/>
    <w:rsid w:val="00677C85"/>
    <w:rsid w:val="00680FB2"/>
    <w:rsid w:val="0068112A"/>
    <w:rsid w:val="00681B54"/>
    <w:rsid w:val="006821CA"/>
    <w:rsid w:val="006822EE"/>
    <w:rsid w:val="0068239C"/>
    <w:rsid w:val="006829B7"/>
    <w:rsid w:val="00682FD0"/>
    <w:rsid w:val="0068327A"/>
    <w:rsid w:val="006837F0"/>
    <w:rsid w:val="00683894"/>
    <w:rsid w:val="006843F3"/>
    <w:rsid w:val="0068442B"/>
    <w:rsid w:val="006847F1"/>
    <w:rsid w:val="00685DC9"/>
    <w:rsid w:val="00687ADE"/>
    <w:rsid w:val="00687B5F"/>
    <w:rsid w:val="00690627"/>
    <w:rsid w:val="00690800"/>
    <w:rsid w:val="0069123E"/>
    <w:rsid w:val="0069249D"/>
    <w:rsid w:val="0069263F"/>
    <w:rsid w:val="00692892"/>
    <w:rsid w:val="006931FD"/>
    <w:rsid w:val="006948D4"/>
    <w:rsid w:val="00694C7C"/>
    <w:rsid w:val="00694CF7"/>
    <w:rsid w:val="006956C1"/>
    <w:rsid w:val="006959B3"/>
    <w:rsid w:val="006961BC"/>
    <w:rsid w:val="006A0343"/>
    <w:rsid w:val="006A0420"/>
    <w:rsid w:val="006A0939"/>
    <w:rsid w:val="006A0E83"/>
    <w:rsid w:val="006A145A"/>
    <w:rsid w:val="006A14C8"/>
    <w:rsid w:val="006A1534"/>
    <w:rsid w:val="006A1912"/>
    <w:rsid w:val="006A1924"/>
    <w:rsid w:val="006A2267"/>
    <w:rsid w:val="006A2920"/>
    <w:rsid w:val="006A2CFA"/>
    <w:rsid w:val="006A2F68"/>
    <w:rsid w:val="006A2F84"/>
    <w:rsid w:val="006A347D"/>
    <w:rsid w:val="006A34F7"/>
    <w:rsid w:val="006A3623"/>
    <w:rsid w:val="006A37A5"/>
    <w:rsid w:val="006A3BCF"/>
    <w:rsid w:val="006A401F"/>
    <w:rsid w:val="006A404E"/>
    <w:rsid w:val="006A4147"/>
    <w:rsid w:val="006A426F"/>
    <w:rsid w:val="006A44B5"/>
    <w:rsid w:val="006A45FF"/>
    <w:rsid w:val="006A5199"/>
    <w:rsid w:val="006A53E4"/>
    <w:rsid w:val="006A56E6"/>
    <w:rsid w:val="006A5D34"/>
    <w:rsid w:val="006A6575"/>
    <w:rsid w:val="006A6847"/>
    <w:rsid w:val="006A6AFB"/>
    <w:rsid w:val="006B0A5D"/>
    <w:rsid w:val="006B0AD0"/>
    <w:rsid w:val="006B129A"/>
    <w:rsid w:val="006B17DB"/>
    <w:rsid w:val="006B2863"/>
    <w:rsid w:val="006B30A2"/>
    <w:rsid w:val="006B3A06"/>
    <w:rsid w:val="006B404D"/>
    <w:rsid w:val="006B43B3"/>
    <w:rsid w:val="006B4938"/>
    <w:rsid w:val="006B57C9"/>
    <w:rsid w:val="006B599F"/>
    <w:rsid w:val="006B5BEC"/>
    <w:rsid w:val="006B5D94"/>
    <w:rsid w:val="006B6D5A"/>
    <w:rsid w:val="006C030F"/>
    <w:rsid w:val="006C0470"/>
    <w:rsid w:val="006C0F2A"/>
    <w:rsid w:val="006C13AC"/>
    <w:rsid w:val="006C1EA8"/>
    <w:rsid w:val="006C2496"/>
    <w:rsid w:val="006C2838"/>
    <w:rsid w:val="006C381F"/>
    <w:rsid w:val="006C4871"/>
    <w:rsid w:val="006C4A30"/>
    <w:rsid w:val="006C64A0"/>
    <w:rsid w:val="006C76EA"/>
    <w:rsid w:val="006C7992"/>
    <w:rsid w:val="006C79BC"/>
    <w:rsid w:val="006C7B6B"/>
    <w:rsid w:val="006C7EEA"/>
    <w:rsid w:val="006C7EEB"/>
    <w:rsid w:val="006D02F2"/>
    <w:rsid w:val="006D0371"/>
    <w:rsid w:val="006D0A68"/>
    <w:rsid w:val="006D123A"/>
    <w:rsid w:val="006D14C1"/>
    <w:rsid w:val="006D1FB9"/>
    <w:rsid w:val="006D315F"/>
    <w:rsid w:val="006D4235"/>
    <w:rsid w:val="006D4309"/>
    <w:rsid w:val="006D56ED"/>
    <w:rsid w:val="006D6000"/>
    <w:rsid w:val="006D622E"/>
    <w:rsid w:val="006D66BD"/>
    <w:rsid w:val="006D7611"/>
    <w:rsid w:val="006D77B5"/>
    <w:rsid w:val="006E12A9"/>
    <w:rsid w:val="006E1C30"/>
    <w:rsid w:val="006E21F5"/>
    <w:rsid w:val="006E2406"/>
    <w:rsid w:val="006E24FF"/>
    <w:rsid w:val="006E4FF4"/>
    <w:rsid w:val="006E5375"/>
    <w:rsid w:val="006E6924"/>
    <w:rsid w:val="006E71DA"/>
    <w:rsid w:val="006E7389"/>
    <w:rsid w:val="006F05FC"/>
    <w:rsid w:val="006F0CD0"/>
    <w:rsid w:val="006F166C"/>
    <w:rsid w:val="006F1BB4"/>
    <w:rsid w:val="006F1D33"/>
    <w:rsid w:val="006F2318"/>
    <w:rsid w:val="006F2442"/>
    <w:rsid w:val="006F2746"/>
    <w:rsid w:val="006F2B0F"/>
    <w:rsid w:val="006F335D"/>
    <w:rsid w:val="006F344A"/>
    <w:rsid w:val="006F35BF"/>
    <w:rsid w:val="006F39FC"/>
    <w:rsid w:val="006F3F95"/>
    <w:rsid w:val="006F569E"/>
    <w:rsid w:val="006F583C"/>
    <w:rsid w:val="006F59B9"/>
    <w:rsid w:val="006F6512"/>
    <w:rsid w:val="006F662F"/>
    <w:rsid w:val="006F6634"/>
    <w:rsid w:val="006F6923"/>
    <w:rsid w:val="006F6CBF"/>
    <w:rsid w:val="006F790E"/>
    <w:rsid w:val="006F7E53"/>
    <w:rsid w:val="006F7EF6"/>
    <w:rsid w:val="006F7F92"/>
    <w:rsid w:val="00700043"/>
    <w:rsid w:val="00700B75"/>
    <w:rsid w:val="00700F7D"/>
    <w:rsid w:val="007014D5"/>
    <w:rsid w:val="00701FD7"/>
    <w:rsid w:val="00703575"/>
    <w:rsid w:val="007042B4"/>
    <w:rsid w:val="00704460"/>
    <w:rsid w:val="0070467E"/>
    <w:rsid w:val="00704D25"/>
    <w:rsid w:val="007057C1"/>
    <w:rsid w:val="00706EE4"/>
    <w:rsid w:val="00710C22"/>
    <w:rsid w:val="00710F3B"/>
    <w:rsid w:val="00711B33"/>
    <w:rsid w:val="00711DAC"/>
    <w:rsid w:val="0071298B"/>
    <w:rsid w:val="00712CA1"/>
    <w:rsid w:val="007135FC"/>
    <w:rsid w:val="00713A2A"/>
    <w:rsid w:val="00713C07"/>
    <w:rsid w:val="00714015"/>
    <w:rsid w:val="00715563"/>
    <w:rsid w:val="00715DFE"/>
    <w:rsid w:val="00715FDD"/>
    <w:rsid w:val="00717DFD"/>
    <w:rsid w:val="00720596"/>
    <w:rsid w:val="00720B8F"/>
    <w:rsid w:val="00721035"/>
    <w:rsid w:val="007212C5"/>
    <w:rsid w:val="00721DDC"/>
    <w:rsid w:val="00722804"/>
    <w:rsid w:val="00722948"/>
    <w:rsid w:val="00722E06"/>
    <w:rsid w:val="00723DCC"/>
    <w:rsid w:val="00723F20"/>
    <w:rsid w:val="0072459D"/>
    <w:rsid w:val="007249B5"/>
    <w:rsid w:val="007249E6"/>
    <w:rsid w:val="0072656B"/>
    <w:rsid w:val="007274BB"/>
    <w:rsid w:val="007275FE"/>
    <w:rsid w:val="007278FD"/>
    <w:rsid w:val="00727EE4"/>
    <w:rsid w:val="0073065D"/>
    <w:rsid w:val="00730694"/>
    <w:rsid w:val="00730DC0"/>
    <w:rsid w:val="00731055"/>
    <w:rsid w:val="007330A3"/>
    <w:rsid w:val="0073473D"/>
    <w:rsid w:val="007351F3"/>
    <w:rsid w:val="00735356"/>
    <w:rsid w:val="00735DAF"/>
    <w:rsid w:val="00736F58"/>
    <w:rsid w:val="00740018"/>
    <w:rsid w:val="0074041A"/>
    <w:rsid w:val="00741156"/>
    <w:rsid w:val="00741738"/>
    <w:rsid w:val="00741B06"/>
    <w:rsid w:val="007421C8"/>
    <w:rsid w:val="00742F7C"/>
    <w:rsid w:val="007434E2"/>
    <w:rsid w:val="007438BC"/>
    <w:rsid w:val="00743C14"/>
    <w:rsid w:val="00744546"/>
    <w:rsid w:val="00744D53"/>
    <w:rsid w:val="00745E7C"/>
    <w:rsid w:val="007463A2"/>
    <w:rsid w:val="0074674A"/>
    <w:rsid w:val="00746DC8"/>
    <w:rsid w:val="00747AD3"/>
    <w:rsid w:val="00747D2A"/>
    <w:rsid w:val="007502F9"/>
    <w:rsid w:val="007503FA"/>
    <w:rsid w:val="0075086C"/>
    <w:rsid w:val="00750D81"/>
    <w:rsid w:val="00751118"/>
    <w:rsid w:val="007525E9"/>
    <w:rsid w:val="007527BD"/>
    <w:rsid w:val="0075290F"/>
    <w:rsid w:val="007530C0"/>
    <w:rsid w:val="00754569"/>
    <w:rsid w:val="00754B62"/>
    <w:rsid w:val="00754E6A"/>
    <w:rsid w:val="007551B7"/>
    <w:rsid w:val="0075529C"/>
    <w:rsid w:val="00755757"/>
    <w:rsid w:val="007557A9"/>
    <w:rsid w:val="007557D0"/>
    <w:rsid w:val="00756198"/>
    <w:rsid w:val="00756A52"/>
    <w:rsid w:val="00756C1F"/>
    <w:rsid w:val="0075756F"/>
    <w:rsid w:val="00757BFF"/>
    <w:rsid w:val="0076003D"/>
    <w:rsid w:val="00760EA6"/>
    <w:rsid w:val="00761AFA"/>
    <w:rsid w:val="00763374"/>
    <w:rsid w:val="00763644"/>
    <w:rsid w:val="0076366B"/>
    <w:rsid w:val="007636A3"/>
    <w:rsid w:val="007636EE"/>
    <w:rsid w:val="0076382F"/>
    <w:rsid w:val="00763D0E"/>
    <w:rsid w:val="00764106"/>
    <w:rsid w:val="007641F2"/>
    <w:rsid w:val="007645CD"/>
    <w:rsid w:val="007647CB"/>
    <w:rsid w:val="00764998"/>
    <w:rsid w:val="007659C7"/>
    <w:rsid w:val="007661CD"/>
    <w:rsid w:val="0076738A"/>
    <w:rsid w:val="00767F90"/>
    <w:rsid w:val="00767FC2"/>
    <w:rsid w:val="007700DF"/>
    <w:rsid w:val="007701BF"/>
    <w:rsid w:val="00770487"/>
    <w:rsid w:val="00770727"/>
    <w:rsid w:val="007707DA"/>
    <w:rsid w:val="0077116C"/>
    <w:rsid w:val="007723D2"/>
    <w:rsid w:val="0077308C"/>
    <w:rsid w:val="00773250"/>
    <w:rsid w:val="0077337C"/>
    <w:rsid w:val="00774156"/>
    <w:rsid w:val="007741B6"/>
    <w:rsid w:val="00774BF6"/>
    <w:rsid w:val="00774D7A"/>
    <w:rsid w:val="00774F80"/>
    <w:rsid w:val="0077552F"/>
    <w:rsid w:val="00775C14"/>
    <w:rsid w:val="0077601A"/>
    <w:rsid w:val="007760FD"/>
    <w:rsid w:val="00776F98"/>
    <w:rsid w:val="00777BB6"/>
    <w:rsid w:val="00777BED"/>
    <w:rsid w:val="0078055D"/>
    <w:rsid w:val="0078056F"/>
    <w:rsid w:val="00780B7D"/>
    <w:rsid w:val="00780BAD"/>
    <w:rsid w:val="00782498"/>
    <w:rsid w:val="007825AE"/>
    <w:rsid w:val="00782961"/>
    <w:rsid w:val="00782998"/>
    <w:rsid w:val="00782DBD"/>
    <w:rsid w:val="00784015"/>
    <w:rsid w:val="00784BCB"/>
    <w:rsid w:val="00784C2A"/>
    <w:rsid w:val="00784F19"/>
    <w:rsid w:val="00785234"/>
    <w:rsid w:val="00785341"/>
    <w:rsid w:val="007856B2"/>
    <w:rsid w:val="00785E34"/>
    <w:rsid w:val="00787605"/>
    <w:rsid w:val="0078764C"/>
    <w:rsid w:val="00787E7B"/>
    <w:rsid w:val="00790182"/>
    <w:rsid w:val="0079028D"/>
    <w:rsid w:val="00790992"/>
    <w:rsid w:val="00791339"/>
    <w:rsid w:val="0079178E"/>
    <w:rsid w:val="007926A2"/>
    <w:rsid w:val="00792868"/>
    <w:rsid w:val="007933EF"/>
    <w:rsid w:val="007934F1"/>
    <w:rsid w:val="00793FF9"/>
    <w:rsid w:val="00794683"/>
    <w:rsid w:val="007953BC"/>
    <w:rsid w:val="00795454"/>
    <w:rsid w:val="007963EC"/>
    <w:rsid w:val="0079686C"/>
    <w:rsid w:val="007969B2"/>
    <w:rsid w:val="00797355"/>
    <w:rsid w:val="0079741A"/>
    <w:rsid w:val="00797534"/>
    <w:rsid w:val="007A020E"/>
    <w:rsid w:val="007A0336"/>
    <w:rsid w:val="007A137C"/>
    <w:rsid w:val="007A15D9"/>
    <w:rsid w:val="007A23AA"/>
    <w:rsid w:val="007A2789"/>
    <w:rsid w:val="007A2B63"/>
    <w:rsid w:val="007A337B"/>
    <w:rsid w:val="007A3D6A"/>
    <w:rsid w:val="007A4C5E"/>
    <w:rsid w:val="007A4F68"/>
    <w:rsid w:val="007A55DD"/>
    <w:rsid w:val="007A5A4C"/>
    <w:rsid w:val="007A637B"/>
    <w:rsid w:val="007A6460"/>
    <w:rsid w:val="007A6D36"/>
    <w:rsid w:val="007A6FD4"/>
    <w:rsid w:val="007A7241"/>
    <w:rsid w:val="007B01D7"/>
    <w:rsid w:val="007B0407"/>
    <w:rsid w:val="007B0E62"/>
    <w:rsid w:val="007B11B7"/>
    <w:rsid w:val="007B1945"/>
    <w:rsid w:val="007B1C50"/>
    <w:rsid w:val="007B1C64"/>
    <w:rsid w:val="007B1DD3"/>
    <w:rsid w:val="007B2879"/>
    <w:rsid w:val="007B3E60"/>
    <w:rsid w:val="007B46F4"/>
    <w:rsid w:val="007B4A43"/>
    <w:rsid w:val="007B4BBE"/>
    <w:rsid w:val="007B5145"/>
    <w:rsid w:val="007B5454"/>
    <w:rsid w:val="007B580A"/>
    <w:rsid w:val="007B5D87"/>
    <w:rsid w:val="007B6B7E"/>
    <w:rsid w:val="007B6CC4"/>
    <w:rsid w:val="007B6E5C"/>
    <w:rsid w:val="007B7EB7"/>
    <w:rsid w:val="007B7FBB"/>
    <w:rsid w:val="007C06A1"/>
    <w:rsid w:val="007C1037"/>
    <w:rsid w:val="007C10F3"/>
    <w:rsid w:val="007C18CC"/>
    <w:rsid w:val="007C1946"/>
    <w:rsid w:val="007C1C1D"/>
    <w:rsid w:val="007C2CE3"/>
    <w:rsid w:val="007C31EF"/>
    <w:rsid w:val="007C33D6"/>
    <w:rsid w:val="007C35B7"/>
    <w:rsid w:val="007C5D94"/>
    <w:rsid w:val="007C6401"/>
    <w:rsid w:val="007C667F"/>
    <w:rsid w:val="007C6E3D"/>
    <w:rsid w:val="007C7394"/>
    <w:rsid w:val="007C7F73"/>
    <w:rsid w:val="007D067F"/>
    <w:rsid w:val="007D095E"/>
    <w:rsid w:val="007D22BE"/>
    <w:rsid w:val="007D27FE"/>
    <w:rsid w:val="007D363C"/>
    <w:rsid w:val="007D3704"/>
    <w:rsid w:val="007D3902"/>
    <w:rsid w:val="007D421C"/>
    <w:rsid w:val="007D45C3"/>
    <w:rsid w:val="007D4715"/>
    <w:rsid w:val="007D6B30"/>
    <w:rsid w:val="007D6C02"/>
    <w:rsid w:val="007D6E07"/>
    <w:rsid w:val="007D7127"/>
    <w:rsid w:val="007D7140"/>
    <w:rsid w:val="007D729A"/>
    <w:rsid w:val="007D72F8"/>
    <w:rsid w:val="007D798D"/>
    <w:rsid w:val="007E0744"/>
    <w:rsid w:val="007E11C1"/>
    <w:rsid w:val="007E1681"/>
    <w:rsid w:val="007E1E51"/>
    <w:rsid w:val="007E1F88"/>
    <w:rsid w:val="007E238A"/>
    <w:rsid w:val="007E28D4"/>
    <w:rsid w:val="007E2935"/>
    <w:rsid w:val="007E29A7"/>
    <w:rsid w:val="007E4144"/>
    <w:rsid w:val="007E4536"/>
    <w:rsid w:val="007E489B"/>
    <w:rsid w:val="007E4F27"/>
    <w:rsid w:val="007E5790"/>
    <w:rsid w:val="007E5986"/>
    <w:rsid w:val="007E6966"/>
    <w:rsid w:val="007E6C42"/>
    <w:rsid w:val="007E6E6E"/>
    <w:rsid w:val="007E741F"/>
    <w:rsid w:val="007E753F"/>
    <w:rsid w:val="007F096A"/>
    <w:rsid w:val="007F0F4F"/>
    <w:rsid w:val="007F11B3"/>
    <w:rsid w:val="007F25E8"/>
    <w:rsid w:val="007F28AD"/>
    <w:rsid w:val="007F3486"/>
    <w:rsid w:val="007F3A77"/>
    <w:rsid w:val="007F434A"/>
    <w:rsid w:val="007F5353"/>
    <w:rsid w:val="007F582B"/>
    <w:rsid w:val="007F5D20"/>
    <w:rsid w:val="007F6749"/>
    <w:rsid w:val="007F71FA"/>
    <w:rsid w:val="007F775A"/>
    <w:rsid w:val="0080020C"/>
    <w:rsid w:val="008004AB"/>
    <w:rsid w:val="008014F3"/>
    <w:rsid w:val="0080157E"/>
    <w:rsid w:val="00802532"/>
    <w:rsid w:val="00803E81"/>
    <w:rsid w:val="00803E8E"/>
    <w:rsid w:val="00804D14"/>
    <w:rsid w:val="00804DC7"/>
    <w:rsid w:val="00805150"/>
    <w:rsid w:val="0080541C"/>
    <w:rsid w:val="00805884"/>
    <w:rsid w:val="00806905"/>
    <w:rsid w:val="0080735A"/>
    <w:rsid w:val="008075C1"/>
    <w:rsid w:val="008077BA"/>
    <w:rsid w:val="00810255"/>
    <w:rsid w:val="0081107C"/>
    <w:rsid w:val="00812C78"/>
    <w:rsid w:val="00812F65"/>
    <w:rsid w:val="00813696"/>
    <w:rsid w:val="008145A8"/>
    <w:rsid w:val="0081483E"/>
    <w:rsid w:val="00814CC6"/>
    <w:rsid w:val="00814D1F"/>
    <w:rsid w:val="00814DB1"/>
    <w:rsid w:val="0081507A"/>
    <w:rsid w:val="0081550B"/>
    <w:rsid w:val="00815954"/>
    <w:rsid w:val="00815BF6"/>
    <w:rsid w:val="00815D0D"/>
    <w:rsid w:val="00815F8C"/>
    <w:rsid w:val="008165EA"/>
    <w:rsid w:val="00816B77"/>
    <w:rsid w:val="00816DFC"/>
    <w:rsid w:val="00817226"/>
    <w:rsid w:val="0081779B"/>
    <w:rsid w:val="0082027D"/>
    <w:rsid w:val="0082046E"/>
    <w:rsid w:val="008205BA"/>
    <w:rsid w:val="00820954"/>
    <w:rsid w:val="00820A5A"/>
    <w:rsid w:val="00821543"/>
    <w:rsid w:val="0082171E"/>
    <w:rsid w:val="008217DA"/>
    <w:rsid w:val="00822056"/>
    <w:rsid w:val="00823AAA"/>
    <w:rsid w:val="0082449F"/>
    <w:rsid w:val="00824B62"/>
    <w:rsid w:val="0082525F"/>
    <w:rsid w:val="00826B5C"/>
    <w:rsid w:val="008274C2"/>
    <w:rsid w:val="00827781"/>
    <w:rsid w:val="008314E8"/>
    <w:rsid w:val="00831BAE"/>
    <w:rsid w:val="0083235A"/>
    <w:rsid w:val="008323B8"/>
    <w:rsid w:val="0083256F"/>
    <w:rsid w:val="00832BF7"/>
    <w:rsid w:val="00833B9D"/>
    <w:rsid w:val="00833C26"/>
    <w:rsid w:val="00833DD7"/>
    <w:rsid w:val="00834559"/>
    <w:rsid w:val="00834B77"/>
    <w:rsid w:val="00835FAE"/>
    <w:rsid w:val="00836B24"/>
    <w:rsid w:val="00836E13"/>
    <w:rsid w:val="008375F3"/>
    <w:rsid w:val="008378CC"/>
    <w:rsid w:val="00837CA7"/>
    <w:rsid w:val="00837FE6"/>
    <w:rsid w:val="00841560"/>
    <w:rsid w:val="00841A46"/>
    <w:rsid w:val="00841DCA"/>
    <w:rsid w:val="008420B5"/>
    <w:rsid w:val="00842FE6"/>
    <w:rsid w:val="00844259"/>
    <w:rsid w:val="00844B22"/>
    <w:rsid w:val="008455E4"/>
    <w:rsid w:val="008467EA"/>
    <w:rsid w:val="00850272"/>
    <w:rsid w:val="00851E2D"/>
    <w:rsid w:val="00852735"/>
    <w:rsid w:val="00852794"/>
    <w:rsid w:val="00852B96"/>
    <w:rsid w:val="008536B6"/>
    <w:rsid w:val="00853790"/>
    <w:rsid w:val="00853B25"/>
    <w:rsid w:val="00853D6D"/>
    <w:rsid w:val="00854481"/>
    <w:rsid w:val="008559C6"/>
    <w:rsid w:val="00855DE5"/>
    <w:rsid w:val="008566B9"/>
    <w:rsid w:val="00856E2A"/>
    <w:rsid w:val="00857A30"/>
    <w:rsid w:val="00857B4E"/>
    <w:rsid w:val="00860372"/>
    <w:rsid w:val="00860A0D"/>
    <w:rsid w:val="00860FEF"/>
    <w:rsid w:val="008625B7"/>
    <w:rsid w:val="00862F94"/>
    <w:rsid w:val="00863979"/>
    <w:rsid w:val="008641C8"/>
    <w:rsid w:val="0086510C"/>
    <w:rsid w:val="00866271"/>
    <w:rsid w:val="008671B1"/>
    <w:rsid w:val="008674A2"/>
    <w:rsid w:val="008678EB"/>
    <w:rsid w:val="008703DC"/>
    <w:rsid w:val="00870824"/>
    <w:rsid w:val="0087184D"/>
    <w:rsid w:val="00871B67"/>
    <w:rsid w:val="00871D61"/>
    <w:rsid w:val="00871DBE"/>
    <w:rsid w:val="00871E89"/>
    <w:rsid w:val="008726AD"/>
    <w:rsid w:val="00872A40"/>
    <w:rsid w:val="00872C4F"/>
    <w:rsid w:val="00873E84"/>
    <w:rsid w:val="00873F1D"/>
    <w:rsid w:val="008741DC"/>
    <w:rsid w:val="0087471B"/>
    <w:rsid w:val="00874B55"/>
    <w:rsid w:val="0087504D"/>
    <w:rsid w:val="00876AE2"/>
    <w:rsid w:val="00876F5E"/>
    <w:rsid w:val="00880427"/>
    <w:rsid w:val="008808ED"/>
    <w:rsid w:val="00880AB9"/>
    <w:rsid w:val="00880E4E"/>
    <w:rsid w:val="0088155D"/>
    <w:rsid w:val="0088163D"/>
    <w:rsid w:val="008828EC"/>
    <w:rsid w:val="00883AEA"/>
    <w:rsid w:val="00884075"/>
    <w:rsid w:val="008845FB"/>
    <w:rsid w:val="008850A9"/>
    <w:rsid w:val="00885763"/>
    <w:rsid w:val="008858BF"/>
    <w:rsid w:val="00885BE0"/>
    <w:rsid w:val="00885CCE"/>
    <w:rsid w:val="00885F93"/>
    <w:rsid w:val="0088676C"/>
    <w:rsid w:val="00886D9E"/>
    <w:rsid w:val="00886E44"/>
    <w:rsid w:val="00887BB4"/>
    <w:rsid w:val="0089072A"/>
    <w:rsid w:val="00890BC2"/>
    <w:rsid w:val="008917D7"/>
    <w:rsid w:val="00891C27"/>
    <w:rsid w:val="00891FFF"/>
    <w:rsid w:val="008928A1"/>
    <w:rsid w:val="008928CA"/>
    <w:rsid w:val="00892C27"/>
    <w:rsid w:val="008934B8"/>
    <w:rsid w:val="008946E5"/>
    <w:rsid w:val="00894E13"/>
    <w:rsid w:val="00895A75"/>
    <w:rsid w:val="00895FF8"/>
    <w:rsid w:val="00896085"/>
    <w:rsid w:val="0089635E"/>
    <w:rsid w:val="008963B5"/>
    <w:rsid w:val="0089654F"/>
    <w:rsid w:val="0089743C"/>
    <w:rsid w:val="00897A58"/>
    <w:rsid w:val="008A1585"/>
    <w:rsid w:val="008A17E3"/>
    <w:rsid w:val="008A23A5"/>
    <w:rsid w:val="008A260E"/>
    <w:rsid w:val="008A2612"/>
    <w:rsid w:val="008A28B4"/>
    <w:rsid w:val="008A302E"/>
    <w:rsid w:val="008A3224"/>
    <w:rsid w:val="008A4262"/>
    <w:rsid w:val="008A529D"/>
    <w:rsid w:val="008A5D75"/>
    <w:rsid w:val="008A5D96"/>
    <w:rsid w:val="008A6D63"/>
    <w:rsid w:val="008A770B"/>
    <w:rsid w:val="008A7C4D"/>
    <w:rsid w:val="008B0580"/>
    <w:rsid w:val="008B1469"/>
    <w:rsid w:val="008B1DA6"/>
    <w:rsid w:val="008B1F31"/>
    <w:rsid w:val="008B1F5C"/>
    <w:rsid w:val="008B20F8"/>
    <w:rsid w:val="008B23EF"/>
    <w:rsid w:val="008B3176"/>
    <w:rsid w:val="008B3519"/>
    <w:rsid w:val="008B3541"/>
    <w:rsid w:val="008B3830"/>
    <w:rsid w:val="008B3BA5"/>
    <w:rsid w:val="008B3E0E"/>
    <w:rsid w:val="008B4271"/>
    <w:rsid w:val="008B4478"/>
    <w:rsid w:val="008B4968"/>
    <w:rsid w:val="008B4AD0"/>
    <w:rsid w:val="008B577A"/>
    <w:rsid w:val="008B5D95"/>
    <w:rsid w:val="008B61B2"/>
    <w:rsid w:val="008B6296"/>
    <w:rsid w:val="008B645B"/>
    <w:rsid w:val="008B660E"/>
    <w:rsid w:val="008B6D1E"/>
    <w:rsid w:val="008B797B"/>
    <w:rsid w:val="008C03E1"/>
    <w:rsid w:val="008C0D2E"/>
    <w:rsid w:val="008C0DBD"/>
    <w:rsid w:val="008C0E13"/>
    <w:rsid w:val="008C16B9"/>
    <w:rsid w:val="008C1A50"/>
    <w:rsid w:val="008C1B12"/>
    <w:rsid w:val="008C1DD3"/>
    <w:rsid w:val="008C2317"/>
    <w:rsid w:val="008C2E2C"/>
    <w:rsid w:val="008C3503"/>
    <w:rsid w:val="008C35B8"/>
    <w:rsid w:val="008C38B7"/>
    <w:rsid w:val="008C4C9F"/>
    <w:rsid w:val="008C5C99"/>
    <w:rsid w:val="008C6C78"/>
    <w:rsid w:val="008C6E1F"/>
    <w:rsid w:val="008C7035"/>
    <w:rsid w:val="008C7367"/>
    <w:rsid w:val="008C7668"/>
    <w:rsid w:val="008C794B"/>
    <w:rsid w:val="008C7D60"/>
    <w:rsid w:val="008C7FAD"/>
    <w:rsid w:val="008D0755"/>
    <w:rsid w:val="008D0BAE"/>
    <w:rsid w:val="008D0C92"/>
    <w:rsid w:val="008D1C50"/>
    <w:rsid w:val="008D1D11"/>
    <w:rsid w:val="008D22BC"/>
    <w:rsid w:val="008D273F"/>
    <w:rsid w:val="008D3459"/>
    <w:rsid w:val="008D3659"/>
    <w:rsid w:val="008D3684"/>
    <w:rsid w:val="008D3B2B"/>
    <w:rsid w:val="008D4EB3"/>
    <w:rsid w:val="008D5EC2"/>
    <w:rsid w:val="008D659C"/>
    <w:rsid w:val="008D6654"/>
    <w:rsid w:val="008D6A20"/>
    <w:rsid w:val="008D6A9D"/>
    <w:rsid w:val="008D73E5"/>
    <w:rsid w:val="008D7580"/>
    <w:rsid w:val="008D7A36"/>
    <w:rsid w:val="008D7B3D"/>
    <w:rsid w:val="008E0D8D"/>
    <w:rsid w:val="008E1C73"/>
    <w:rsid w:val="008E24DA"/>
    <w:rsid w:val="008E253F"/>
    <w:rsid w:val="008E2BA8"/>
    <w:rsid w:val="008E2F1F"/>
    <w:rsid w:val="008E33E3"/>
    <w:rsid w:val="008E38D7"/>
    <w:rsid w:val="008E3FFB"/>
    <w:rsid w:val="008E43A9"/>
    <w:rsid w:val="008E4B1A"/>
    <w:rsid w:val="008E60D8"/>
    <w:rsid w:val="008E6349"/>
    <w:rsid w:val="008E671D"/>
    <w:rsid w:val="008E6A87"/>
    <w:rsid w:val="008E7725"/>
    <w:rsid w:val="008E7AFC"/>
    <w:rsid w:val="008F049B"/>
    <w:rsid w:val="008F09AF"/>
    <w:rsid w:val="008F10D1"/>
    <w:rsid w:val="008F1220"/>
    <w:rsid w:val="008F1241"/>
    <w:rsid w:val="008F1B0F"/>
    <w:rsid w:val="008F3972"/>
    <w:rsid w:val="008F3A94"/>
    <w:rsid w:val="008F3CC9"/>
    <w:rsid w:val="008F4EA9"/>
    <w:rsid w:val="008F4ED7"/>
    <w:rsid w:val="008F5115"/>
    <w:rsid w:val="008F58D2"/>
    <w:rsid w:val="008F59ED"/>
    <w:rsid w:val="008F767C"/>
    <w:rsid w:val="008F7E86"/>
    <w:rsid w:val="00900A63"/>
    <w:rsid w:val="00901929"/>
    <w:rsid w:val="0090283B"/>
    <w:rsid w:val="00902A0B"/>
    <w:rsid w:val="00902A2B"/>
    <w:rsid w:val="00902B15"/>
    <w:rsid w:val="00903370"/>
    <w:rsid w:val="00903721"/>
    <w:rsid w:val="0090398A"/>
    <w:rsid w:val="00903A0D"/>
    <w:rsid w:val="00904115"/>
    <w:rsid w:val="0090466A"/>
    <w:rsid w:val="00904D39"/>
    <w:rsid w:val="00905441"/>
    <w:rsid w:val="009054EE"/>
    <w:rsid w:val="009055B2"/>
    <w:rsid w:val="0090568A"/>
    <w:rsid w:val="00906DA6"/>
    <w:rsid w:val="009075A1"/>
    <w:rsid w:val="0090785D"/>
    <w:rsid w:val="00910224"/>
    <w:rsid w:val="009104C6"/>
    <w:rsid w:val="0091076A"/>
    <w:rsid w:val="00910C8F"/>
    <w:rsid w:val="00910CDE"/>
    <w:rsid w:val="0091158A"/>
    <w:rsid w:val="00911B3F"/>
    <w:rsid w:val="00911EB7"/>
    <w:rsid w:val="009121A5"/>
    <w:rsid w:val="00912798"/>
    <w:rsid w:val="00912DCA"/>
    <w:rsid w:val="00912F84"/>
    <w:rsid w:val="009136CA"/>
    <w:rsid w:val="0091383A"/>
    <w:rsid w:val="00913D7D"/>
    <w:rsid w:val="00913F43"/>
    <w:rsid w:val="0091455A"/>
    <w:rsid w:val="009148D8"/>
    <w:rsid w:val="00914D89"/>
    <w:rsid w:val="00915D39"/>
    <w:rsid w:val="00916365"/>
    <w:rsid w:val="0091668E"/>
    <w:rsid w:val="0091674D"/>
    <w:rsid w:val="00916F05"/>
    <w:rsid w:val="00916F1F"/>
    <w:rsid w:val="00917469"/>
    <w:rsid w:val="0091749F"/>
    <w:rsid w:val="00917A2C"/>
    <w:rsid w:val="00917F02"/>
    <w:rsid w:val="009218BA"/>
    <w:rsid w:val="00921D27"/>
    <w:rsid w:val="00922469"/>
    <w:rsid w:val="00923412"/>
    <w:rsid w:val="00923DA0"/>
    <w:rsid w:val="00924725"/>
    <w:rsid w:val="009249F0"/>
    <w:rsid w:val="00924AD0"/>
    <w:rsid w:val="00924D89"/>
    <w:rsid w:val="00925743"/>
    <w:rsid w:val="00930C5A"/>
    <w:rsid w:val="009316F7"/>
    <w:rsid w:val="00931772"/>
    <w:rsid w:val="009317A2"/>
    <w:rsid w:val="0093199E"/>
    <w:rsid w:val="009319D5"/>
    <w:rsid w:val="009320BA"/>
    <w:rsid w:val="009320EE"/>
    <w:rsid w:val="009329C5"/>
    <w:rsid w:val="00932A40"/>
    <w:rsid w:val="00933107"/>
    <w:rsid w:val="0093365B"/>
    <w:rsid w:val="00933869"/>
    <w:rsid w:val="00933DCE"/>
    <w:rsid w:val="00933E0C"/>
    <w:rsid w:val="009354E3"/>
    <w:rsid w:val="00935561"/>
    <w:rsid w:val="0093569B"/>
    <w:rsid w:val="009359F9"/>
    <w:rsid w:val="00937180"/>
    <w:rsid w:val="00937191"/>
    <w:rsid w:val="00937FEB"/>
    <w:rsid w:val="009404AB"/>
    <w:rsid w:val="0094061B"/>
    <w:rsid w:val="00941501"/>
    <w:rsid w:val="00941E05"/>
    <w:rsid w:val="00942BF6"/>
    <w:rsid w:val="00943054"/>
    <w:rsid w:val="00943E6F"/>
    <w:rsid w:val="00944227"/>
    <w:rsid w:val="00944858"/>
    <w:rsid w:val="00944B3C"/>
    <w:rsid w:val="00944CC9"/>
    <w:rsid w:val="00945645"/>
    <w:rsid w:val="0094584A"/>
    <w:rsid w:val="00945B91"/>
    <w:rsid w:val="0094755E"/>
    <w:rsid w:val="009506A8"/>
    <w:rsid w:val="00951F36"/>
    <w:rsid w:val="00952109"/>
    <w:rsid w:val="00952BED"/>
    <w:rsid w:val="0095384A"/>
    <w:rsid w:val="009539B8"/>
    <w:rsid w:val="00953ABB"/>
    <w:rsid w:val="00953C01"/>
    <w:rsid w:val="00953F48"/>
    <w:rsid w:val="009559BA"/>
    <w:rsid w:val="00956840"/>
    <w:rsid w:val="0095786B"/>
    <w:rsid w:val="00957BBD"/>
    <w:rsid w:val="00961120"/>
    <w:rsid w:val="009621E0"/>
    <w:rsid w:val="00962A76"/>
    <w:rsid w:val="00962F7C"/>
    <w:rsid w:val="00963D83"/>
    <w:rsid w:val="00964086"/>
    <w:rsid w:val="009646BA"/>
    <w:rsid w:val="00964772"/>
    <w:rsid w:val="00964948"/>
    <w:rsid w:val="00965C2F"/>
    <w:rsid w:val="00967190"/>
    <w:rsid w:val="0096765B"/>
    <w:rsid w:val="009676EF"/>
    <w:rsid w:val="009679CE"/>
    <w:rsid w:val="00967AA0"/>
    <w:rsid w:val="00967BB2"/>
    <w:rsid w:val="00967DEC"/>
    <w:rsid w:val="0097032E"/>
    <w:rsid w:val="00970435"/>
    <w:rsid w:val="00971D85"/>
    <w:rsid w:val="00971E8D"/>
    <w:rsid w:val="00972142"/>
    <w:rsid w:val="00973ADC"/>
    <w:rsid w:val="009745F1"/>
    <w:rsid w:val="00974EE4"/>
    <w:rsid w:val="009765D9"/>
    <w:rsid w:val="009768DD"/>
    <w:rsid w:val="00977518"/>
    <w:rsid w:val="0097758B"/>
    <w:rsid w:val="009778BB"/>
    <w:rsid w:val="00980503"/>
    <w:rsid w:val="00980670"/>
    <w:rsid w:val="009810DD"/>
    <w:rsid w:val="00981211"/>
    <w:rsid w:val="009817E2"/>
    <w:rsid w:val="009818F6"/>
    <w:rsid w:val="00981AB5"/>
    <w:rsid w:val="00981B44"/>
    <w:rsid w:val="00982D68"/>
    <w:rsid w:val="0098318C"/>
    <w:rsid w:val="00983D8C"/>
    <w:rsid w:val="00983EF4"/>
    <w:rsid w:val="0098411D"/>
    <w:rsid w:val="0098428D"/>
    <w:rsid w:val="00984381"/>
    <w:rsid w:val="0098449F"/>
    <w:rsid w:val="009848A0"/>
    <w:rsid w:val="00984A31"/>
    <w:rsid w:val="009851BD"/>
    <w:rsid w:val="0098596B"/>
    <w:rsid w:val="00985CB9"/>
    <w:rsid w:val="00986DF4"/>
    <w:rsid w:val="00986E45"/>
    <w:rsid w:val="00987ADC"/>
    <w:rsid w:val="009911AE"/>
    <w:rsid w:val="009917F3"/>
    <w:rsid w:val="00992927"/>
    <w:rsid w:val="00992B2C"/>
    <w:rsid w:val="00992FA7"/>
    <w:rsid w:val="009930AC"/>
    <w:rsid w:val="00993333"/>
    <w:rsid w:val="009933C1"/>
    <w:rsid w:val="00993854"/>
    <w:rsid w:val="009943D2"/>
    <w:rsid w:val="00995976"/>
    <w:rsid w:val="00995DEF"/>
    <w:rsid w:val="00996158"/>
    <w:rsid w:val="009962E0"/>
    <w:rsid w:val="009969E9"/>
    <w:rsid w:val="00996F29"/>
    <w:rsid w:val="009A0A9F"/>
    <w:rsid w:val="009A0D11"/>
    <w:rsid w:val="009A0F10"/>
    <w:rsid w:val="009A1DD0"/>
    <w:rsid w:val="009A274B"/>
    <w:rsid w:val="009A2BD7"/>
    <w:rsid w:val="009A333A"/>
    <w:rsid w:val="009A3538"/>
    <w:rsid w:val="009A3F73"/>
    <w:rsid w:val="009A416F"/>
    <w:rsid w:val="009A46BD"/>
    <w:rsid w:val="009A4CD3"/>
    <w:rsid w:val="009A4F63"/>
    <w:rsid w:val="009A5128"/>
    <w:rsid w:val="009A5C54"/>
    <w:rsid w:val="009A63DA"/>
    <w:rsid w:val="009A75EF"/>
    <w:rsid w:val="009B0788"/>
    <w:rsid w:val="009B0BA1"/>
    <w:rsid w:val="009B18B2"/>
    <w:rsid w:val="009B1D3C"/>
    <w:rsid w:val="009B36F4"/>
    <w:rsid w:val="009B4188"/>
    <w:rsid w:val="009B4272"/>
    <w:rsid w:val="009B45A6"/>
    <w:rsid w:val="009B49E1"/>
    <w:rsid w:val="009B4F35"/>
    <w:rsid w:val="009B5A9A"/>
    <w:rsid w:val="009B5ED0"/>
    <w:rsid w:val="009C1218"/>
    <w:rsid w:val="009C15B1"/>
    <w:rsid w:val="009C167A"/>
    <w:rsid w:val="009C1E96"/>
    <w:rsid w:val="009C239C"/>
    <w:rsid w:val="009C24B5"/>
    <w:rsid w:val="009C25EE"/>
    <w:rsid w:val="009C2745"/>
    <w:rsid w:val="009C2883"/>
    <w:rsid w:val="009C2F3F"/>
    <w:rsid w:val="009C32AF"/>
    <w:rsid w:val="009C3D0C"/>
    <w:rsid w:val="009C489D"/>
    <w:rsid w:val="009C51F8"/>
    <w:rsid w:val="009C547D"/>
    <w:rsid w:val="009C6F1A"/>
    <w:rsid w:val="009C7322"/>
    <w:rsid w:val="009C7781"/>
    <w:rsid w:val="009D01D8"/>
    <w:rsid w:val="009D0428"/>
    <w:rsid w:val="009D099C"/>
    <w:rsid w:val="009D0DE9"/>
    <w:rsid w:val="009D12EC"/>
    <w:rsid w:val="009D2789"/>
    <w:rsid w:val="009D2921"/>
    <w:rsid w:val="009D345F"/>
    <w:rsid w:val="009D400B"/>
    <w:rsid w:val="009D40B1"/>
    <w:rsid w:val="009D54B3"/>
    <w:rsid w:val="009D5EBD"/>
    <w:rsid w:val="009D6042"/>
    <w:rsid w:val="009D6086"/>
    <w:rsid w:val="009D6328"/>
    <w:rsid w:val="009D6B7B"/>
    <w:rsid w:val="009D7DF2"/>
    <w:rsid w:val="009E012E"/>
    <w:rsid w:val="009E1396"/>
    <w:rsid w:val="009E1BB5"/>
    <w:rsid w:val="009E2199"/>
    <w:rsid w:val="009E283E"/>
    <w:rsid w:val="009E38C1"/>
    <w:rsid w:val="009E4479"/>
    <w:rsid w:val="009E576F"/>
    <w:rsid w:val="009E5AE6"/>
    <w:rsid w:val="009E5E0B"/>
    <w:rsid w:val="009E5F58"/>
    <w:rsid w:val="009E6D53"/>
    <w:rsid w:val="009E79A4"/>
    <w:rsid w:val="009E7EF5"/>
    <w:rsid w:val="009F02DE"/>
    <w:rsid w:val="009F093F"/>
    <w:rsid w:val="009F27DC"/>
    <w:rsid w:val="009F2C21"/>
    <w:rsid w:val="009F3A92"/>
    <w:rsid w:val="009F3B30"/>
    <w:rsid w:val="009F3BE3"/>
    <w:rsid w:val="009F409E"/>
    <w:rsid w:val="009F47CD"/>
    <w:rsid w:val="009F566E"/>
    <w:rsid w:val="009F602F"/>
    <w:rsid w:val="009F6BF2"/>
    <w:rsid w:val="009F75F7"/>
    <w:rsid w:val="00A0120A"/>
    <w:rsid w:val="00A01483"/>
    <w:rsid w:val="00A02518"/>
    <w:rsid w:val="00A02CAE"/>
    <w:rsid w:val="00A0318F"/>
    <w:rsid w:val="00A035A9"/>
    <w:rsid w:val="00A03D2A"/>
    <w:rsid w:val="00A0773D"/>
    <w:rsid w:val="00A07852"/>
    <w:rsid w:val="00A100F3"/>
    <w:rsid w:val="00A10173"/>
    <w:rsid w:val="00A102BF"/>
    <w:rsid w:val="00A1077C"/>
    <w:rsid w:val="00A1140F"/>
    <w:rsid w:val="00A11EA3"/>
    <w:rsid w:val="00A12646"/>
    <w:rsid w:val="00A12AF6"/>
    <w:rsid w:val="00A12EAD"/>
    <w:rsid w:val="00A136AA"/>
    <w:rsid w:val="00A13AFC"/>
    <w:rsid w:val="00A13F9F"/>
    <w:rsid w:val="00A145C0"/>
    <w:rsid w:val="00A14C78"/>
    <w:rsid w:val="00A14E1D"/>
    <w:rsid w:val="00A15F87"/>
    <w:rsid w:val="00A16382"/>
    <w:rsid w:val="00A170DC"/>
    <w:rsid w:val="00A2048F"/>
    <w:rsid w:val="00A20C49"/>
    <w:rsid w:val="00A222A3"/>
    <w:rsid w:val="00A225B8"/>
    <w:rsid w:val="00A22771"/>
    <w:rsid w:val="00A2277A"/>
    <w:rsid w:val="00A22A2B"/>
    <w:rsid w:val="00A22C2F"/>
    <w:rsid w:val="00A23349"/>
    <w:rsid w:val="00A2382C"/>
    <w:rsid w:val="00A242AB"/>
    <w:rsid w:val="00A24756"/>
    <w:rsid w:val="00A25029"/>
    <w:rsid w:val="00A252F3"/>
    <w:rsid w:val="00A25BFD"/>
    <w:rsid w:val="00A26500"/>
    <w:rsid w:val="00A265A4"/>
    <w:rsid w:val="00A2679C"/>
    <w:rsid w:val="00A27782"/>
    <w:rsid w:val="00A27990"/>
    <w:rsid w:val="00A27B1E"/>
    <w:rsid w:val="00A27E7C"/>
    <w:rsid w:val="00A30E12"/>
    <w:rsid w:val="00A32521"/>
    <w:rsid w:val="00A32F01"/>
    <w:rsid w:val="00A3421B"/>
    <w:rsid w:val="00A34345"/>
    <w:rsid w:val="00A34BD2"/>
    <w:rsid w:val="00A354F6"/>
    <w:rsid w:val="00A362C4"/>
    <w:rsid w:val="00A3639A"/>
    <w:rsid w:val="00A36A1E"/>
    <w:rsid w:val="00A37903"/>
    <w:rsid w:val="00A37D63"/>
    <w:rsid w:val="00A40F98"/>
    <w:rsid w:val="00A40FEC"/>
    <w:rsid w:val="00A41D37"/>
    <w:rsid w:val="00A41F9B"/>
    <w:rsid w:val="00A41F9C"/>
    <w:rsid w:val="00A42666"/>
    <w:rsid w:val="00A42F93"/>
    <w:rsid w:val="00A43075"/>
    <w:rsid w:val="00A440AE"/>
    <w:rsid w:val="00A44801"/>
    <w:rsid w:val="00A44D81"/>
    <w:rsid w:val="00A44F49"/>
    <w:rsid w:val="00A46BA4"/>
    <w:rsid w:val="00A46D59"/>
    <w:rsid w:val="00A46E92"/>
    <w:rsid w:val="00A47440"/>
    <w:rsid w:val="00A47538"/>
    <w:rsid w:val="00A47992"/>
    <w:rsid w:val="00A47BF6"/>
    <w:rsid w:val="00A53989"/>
    <w:rsid w:val="00A539B9"/>
    <w:rsid w:val="00A54563"/>
    <w:rsid w:val="00A54CD6"/>
    <w:rsid w:val="00A55758"/>
    <w:rsid w:val="00A5656D"/>
    <w:rsid w:val="00A56980"/>
    <w:rsid w:val="00A56B83"/>
    <w:rsid w:val="00A571A1"/>
    <w:rsid w:val="00A57CC7"/>
    <w:rsid w:val="00A607E1"/>
    <w:rsid w:val="00A6083B"/>
    <w:rsid w:val="00A60A98"/>
    <w:rsid w:val="00A620C8"/>
    <w:rsid w:val="00A62F5F"/>
    <w:rsid w:val="00A630F2"/>
    <w:rsid w:val="00A6361E"/>
    <w:rsid w:val="00A63A07"/>
    <w:rsid w:val="00A63D8D"/>
    <w:rsid w:val="00A65353"/>
    <w:rsid w:val="00A65467"/>
    <w:rsid w:val="00A65745"/>
    <w:rsid w:val="00A664E7"/>
    <w:rsid w:val="00A66511"/>
    <w:rsid w:val="00A66C31"/>
    <w:rsid w:val="00A66D7E"/>
    <w:rsid w:val="00A66FDC"/>
    <w:rsid w:val="00A67C2C"/>
    <w:rsid w:val="00A67FE0"/>
    <w:rsid w:val="00A70098"/>
    <w:rsid w:val="00A703D8"/>
    <w:rsid w:val="00A70798"/>
    <w:rsid w:val="00A70E17"/>
    <w:rsid w:val="00A70FF3"/>
    <w:rsid w:val="00A7102B"/>
    <w:rsid w:val="00A71E11"/>
    <w:rsid w:val="00A71F21"/>
    <w:rsid w:val="00A722D2"/>
    <w:rsid w:val="00A72CBD"/>
    <w:rsid w:val="00A738AD"/>
    <w:rsid w:val="00A73F5F"/>
    <w:rsid w:val="00A750EB"/>
    <w:rsid w:val="00A75111"/>
    <w:rsid w:val="00A7572D"/>
    <w:rsid w:val="00A75D48"/>
    <w:rsid w:val="00A760F4"/>
    <w:rsid w:val="00A77A5B"/>
    <w:rsid w:val="00A77F65"/>
    <w:rsid w:val="00A80006"/>
    <w:rsid w:val="00A80659"/>
    <w:rsid w:val="00A808F1"/>
    <w:rsid w:val="00A81153"/>
    <w:rsid w:val="00A81247"/>
    <w:rsid w:val="00A81445"/>
    <w:rsid w:val="00A819EE"/>
    <w:rsid w:val="00A81C2C"/>
    <w:rsid w:val="00A81E44"/>
    <w:rsid w:val="00A82DA0"/>
    <w:rsid w:val="00A8320B"/>
    <w:rsid w:val="00A83FB0"/>
    <w:rsid w:val="00A853AC"/>
    <w:rsid w:val="00A8563B"/>
    <w:rsid w:val="00A8585E"/>
    <w:rsid w:val="00A85FDE"/>
    <w:rsid w:val="00A862B0"/>
    <w:rsid w:val="00A86FEE"/>
    <w:rsid w:val="00A87458"/>
    <w:rsid w:val="00A874C1"/>
    <w:rsid w:val="00A9001B"/>
    <w:rsid w:val="00A91B87"/>
    <w:rsid w:val="00A92847"/>
    <w:rsid w:val="00A93025"/>
    <w:rsid w:val="00A93161"/>
    <w:rsid w:val="00A94488"/>
    <w:rsid w:val="00A95579"/>
    <w:rsid w:val="00A967A2"/>
    <w:rsid w:val="00A97217"/>
    <w:rsid w:val="00A97339"/>
    <w:rsid w:val="00A978EF"/>
    <w:rsid w:val="00AA0876"/>
    <w:rsid w:val="00AA0E91"/>
    <w:rsid w:val="00AA0F92"/>
    <w:rsid w:val="00AA1056"/>
    <w:rsid w:val="00AA1191"/>
    <w:rsid w:val="00AA12B8"/>
    <w:rsid w:val="00AA12FD"/>
    <w:rsid w:val="00AA1B9A"/>
    <w:rsid w:val="00AA1BAD"/>
    <w:rsid w:val="00AA27E9"/>
    <w:rsid w:val="00AA3C28"/>
    <w:rsid w:val="00AA46B2"/>
    <w:rsid w:val="00AA4F4E"/>
    <w:rsid w:val="00AA5004"/>
    <w:rsid w:val="00AA50CA"/>
    <w:rsid w:val="00AA5358"/>
    <w:rsid w:val="00AA55D9"/>
    <w:rsid w:val="00AA5CFA"/>
    <w:rsid w:val="00AA795C"/>
    <w:rsid w:val="00AB02ED"/>
    <w:rsid w:val="00AB0AAE"/>
    <w:rsid w:val="00AB1017"/>
    <w:rsid w:val="00AB16D0"/>
    <w:rsid w:val="00AB16FC"/>
    <w:rsid w:val="00AB20E2"/>
    <w:rsid w:val="00AB22B7"/>
    <w:rsid w:val="00AB24D7"/>
    <w:rsid w:val="00AB2662"/>
    <w:rsid w:val="00AB2DE7"/>
    <w:rsid w:val="00AB308F"/>
    <w:rsid w:val="00AB3A76"/>
    <w:rsid w:val="00AB3C72"/>
    <w:rsid w:val="00AB54BD"/>
    <w:rsid w:val="00AB55B1"/>
    <w:rsid w:val="00AB6123"/>
    <w:rsid w:val="00AB6564"/>
    <w:rsid w:val="00AB6C8D"/>
    <w:rsid w:val="00AB7E77"/>
    <w:rsid w:val="00AC0398"/>
    <w:rsid w:val="00AC0B3C"/>
    <w:rsid w:val="00AC0CD2"/>
    <w:rsid w:val="00AC1617"/>
    <w:rsid w:val="00AC1C8C"/>
    <w:rsid w:val="00AC1E22"/>
    <w:rsid w:val="00AC2FA3"/>
    <w:rsid w:val="00AC386C"/>
    <w:rsid w:val="00AC38F3"/>
    <w:rsid w:val="00AC3C85"/>
    <w:rsid w:val="00AC4663"/>
    <w:rsid w:val="00AC483A"/>
    <w:rsid w:val="00AC5CE2"/>
    <w:rsid w:val="00AC7353"/>
    <w:rsid w:val="00AC7BFF"/>
    <w:rsid w:val="00AD012D"/>
    <w:rsid w:val="00AD0195"/>
    <w:rsid w:val="00AD14C8"/>
    <w:rsid w:val="00AD25AA"/>
    <w:rsid w:val="00AD2D6F"/>
    <w:rsid w:val="00AD3171"/>
    <w:rsid w:val="00AD37ED"/>
    <w:rsid w:val="00AD41A4"/>
    <w:rsid w:val="00AD59C0"/>
    <w:rsid w:val="00AD69C3"/>
    <w:rsid w:val="00AD6B86"/>
    <w:rsid w:val="00AD6D8A"/>
    <w:rsid w:val="00AD70D4"/>
    <w:rsid w:val="00AD7BE4"/>
    <w:rsid w:val="00AD7C65"/>
    <w:rsid w:val="00AD7CAC"/>
    <w:rsid w:val="00AE0494"/>
    <w:rsid w:val="00AE0499"/>
    <w:rsid w:val="00AE06B4"/>
    <w:rsid w:val="00AE06DF"/>
    <w:rsid w:val="00AE2C3E"/>
    <w:rsid w:val="00AE371E"/>
    <w:rsid w:val="00AE39EF"/>
    <w:rsid w:val="00AE5361"/>
    <w:rsid w:val="00AE6B14"/>
    <w:rsid w:val="00AE6CC6"/>
    <w:rsid w:val="00AE707F"/>
    <w:rsid w:val="00AF0943"/>
    <w:rsid w:val="00AF1A8A"/>
    <w:rsid w:val="00AF1FE5"/>
    <w:rsid w:val="00AF2EE9"/>
    <w:rsid w:val="00AF3031"/>
    <w:rsid w:val="00AF30BB"/>
    <w:rsid w:val="00AF358E"/>
    <w:rsid w:val="00AF61A3"/>
    <w:rsid w:val="00AF6339"/>
    <w:rsid w:val="00AF67B5"/>
    <w:rsid w:val="00AF6BF9"/>
    <w:rsid w:val="00AF6D3E"/>
    <w:rsid w:val="00AF75F5"/>
    <w:rsid w:val="00B00428"/>
    <w:rsid w:val="00B00861"/>
    <w:rsid w:val="00B01B0B"/>
    <w:rsid w:val="00B0289B"/>
    <w:rsid w:val="00B035A6"/>
    <w:rsid w:val="00B035DD"/>
    <w:rsid w:val="00B03609"/>
    <w:rsid w:val="00B041FA"/>
    <w:rsid w:val="00B0464A"/>
    <w:rsid w:val="00B0477A"/>
    <w:rsid w:val="00B04CB2"/>
    <w:rsid w:val="00B05C5B"/>
    <w:rsid w:val="00B07066"/>
    <w:rsid w:val="00B075A1"/>
    <w:rsid w:val="00B11161"/>
    <w:rsid w:val="00B11DFD"/>
    <w:rsid w:val="00B1217F"/>
    <w:rsid w:val="00B12B69"/>
    <w:rsid w:val="00B12C0D"/>
    <w:rsid w:val="00B12D5E"/>
    <w:rsid w:val="00B12DD0"/>
    <w:rsid w:val="00B131A2"/>
    <w:rsid w:val="00B13564"/>
    <w:rsid w:val="00B13B2C"/>
    <w:rsid w:val="00B14C0F"/>
    <w:rsid w:val="00B14E07"/>
    <w:rsid w:val="00B15478"/>
    <w:rsid w:val="00B15EB0"/>
    <w:rsid w:val="00B1662D"/>
    <w:rsid w:val="00B21149"/>
    <w:rsid w:val="00B213B0"/>
    <w:rsid w:val="00B21B04"/>
    <w:rsid w:val="00B21E09"/>
    <w:rsid w:val="00B21FF5"/>
    <w:rsid w:val="00B22961"/>
    <w:rsid w:val="00B22F0F"/>
    <w:rsid w:val="00B23586"/>
    <w:rsid w:val="00B23669"/>
    <w:rsid w:val="00B242D8"/>
    <w:rsid w:val="00B2453F"/>
    <w:rsid w:val="00B24F9C"/>
    <w:rsid w:val="00B2513C"/>
    <w:rsid w:val="00B2561F"/>
    <w:rsid w:val="00B2607D"/>
    <w:rsid w:val="00B26513"/>
    <w:rsid w:val="00B268A7"/>
    <w:rsid w:val="00B26D04"/>
    <w:rsid w:val="00B27D22"/>
    <w:rsid w:val="00B300DF"/>
    <w:rsid w:val="00B300FE"/>
    <w:rsid w:val="00B3089A"/>
    <w:rsid w:val="00B30CD8"/>
    <w:rsid w:val="00B31899"/>
    <w:rsid w:val="00B32B1A"/>
    <w:rsid w:val="00B32E9F"/>
    <w:rsid w:val="00B342AD"/>
    <w:rsid w:val="00B34972"/>
    <w:rsid w:val="00B34B31"/>
    <w:rsid w:val="00B35B20"/>
    <w:rsid w:val="00B36EC1"/>
    <w:rsid w:val="00B375F9"/>
    <w:rsid w:val="00B3769C"/>
    <w:rsid w:val="00B37DB6"/>
    <w:rsid w:val="00B402AF"/>
    <w:rsid w:val="00B4041A"/>
    <w:rsid w:val="00B40751"/>
    <w:rsid w:val="00B4111D"/>
    <w:rsid w:val="00B411FC"/>
    <w:rsid w:val="00B4146F"/>
    <w:rsid w:val="00B418DC"/>
    <w:rsid w:val="00B427F4"/>
    <w:rsid w:val="00B429AE"/>
    <w:rsid w:val="00B435E8"/>
    <w:rsid w:val="00B43968"/>
    <w:rsid w:val="00B4407A"/>
    <w:rsid w:val="00B44A24"/>
    <w:rsid w:val="00B454B0"/>
    <w:rsid w:val="00B4554B"/>
    <w:rsid w:val="00B4575E"/>
    <w:rsid w:val="00B458CC"/>
    <w:rsid w:val="00B45C68"/>
    <w:rsid w:val="00B46FF3"/>
    <w:rsid w:val="00B47095"/>
    <w:rsid w:val="00B47886"/>
    <w:rsid w:val="00B47A6A"/>
    <w:rsid w:val="00B47B7C"/>
    <w:rsid w:val="00B47EAD"/>
    <w:rsid w:val="00B5013A"/>
    <w:rsid w:val="00B50343"/>
    <w:rsid w:val="00B50554"/>
    <w:rsid w:val="00B515EC"/>
    <w:rsid w:val="00B52136"/>
    <w:rsid w:val="00B52266"/>
    <w:rsid w:val="00B53247"/>
    <w:rsid w:val="00B53F04"/>
    <w:rsid w:val="00B55BF0"/>
    <w:rsid w:val="00B55E79"/>
    <w:rsid w:val="00B5607A"/>
    <w:rsid w:val="00B57BDA"/>
    <w:rsid w:val="00B57C14"/>
    <w:rsid w:val="00B6110E"/>
    <w:rsid w:val="00B6178A"/>
    <w:rsid w:val="00B624DC"/>
    <w:rsid w:val="00B62859"/>
    <w:rsid w:val="00B62D9C"/>
    <w:rsid w:val="00B6363E"/>
    <w:rsid w:val="00B636A0"/>
    <w:rsid w:val="00B638DF"/>
    <w:rsid w:val="00B63CFC"/>
    <w:rsid w:val="00B644F8"/>
    <w:rsid w:val="00B65044"/>
    <w:rsid w:val="00B653A0"/>
    <w:rsid w:val="00B6578C"/>
    <w:rsid w:val="00B66073"/>
    <w:rsid w:val="00B666A6"/>
    <w:rsid w:val="00B67192"/>
    <w:rsid w:val="00B672E5"/>
    <w:rsid w:val="00B673BB"/>
    <w:rsid w:val="00B67AB5"/>
    <w:rsid w:val="00B67B4D"/>
    <w:rsid w:val="00B67F74"/>
    <w:rsid w:val="00B70B07"/>
    <w:rsid w:val="00B70EB4"/>
    <w:rsid w:val="00B71894"/>
    <w:rsid w:val="00B730CF"/>
    <w:rsid w:val="00B73965"/>
    <w:rsid w:val="00B73C4C"/>
    <w:rsid w:val="00B73CD9"/>
    <w:rsid w:val="00B7462F"/>
    <w:rsid w:val="00B74C48"/>
    <w:rsid w:val="00B756A8"/>
    <w:rsid w:val="00B7588C"/>
    <w:rsid w:val="00B75AE8"/>
    <w:rsid w:val="00B75C84"/>
    <w:rsid w:val="00B77E9D"/>
    <w:rsid w:val="00B802CF"/>
    <w:rsid w:val="00B803A7"/>
    <w:rsid w:val="00B80477"/>
    <w:rsid w:val="00B80B54"/>
    <w:rsid w:val="00B80CA2"/>
    <w:rsid w:val="00B81F73"/>
    <w:rsid w:val="00B8220D"/>
    <w:rsid w:val="00B8272F"/>
    <w:rsid w:val="00B83263"/>
    <w:rsid w:val="00B83A61"/>
    <w:rsid w:val="00B83E41"/>
    <w:rsid w:val="00B83E51"/>
    <w:rsid w:val="00B84126"/>
    <w:rsid w:val="00B843A4"/>
    <w:rsid w:val="00B84E40"/>
    <w:rsid w:val="00B858D1"/>
    <w:rsid w:val="00B85F75"/>
    <w:rsid w:val="00B86E66"/>
    <w:rsid w:val="00B87F3E"/>
    <w:rsid w:val="00B901D4"/>
    <w:rsid w:val="00B91265"/>
    <w:rsid w:val="00B91455"/>
    <w:rsid w:val="00B914EA"/>
    <w:rsid w:val="00B91DE4"/>
    <w:rsid w:val="00B925CB"/>
    <w:rsid w:val="00B9270F"/>
    <w:rsid w:val="00B92973"/>
    <w:rsid w:val="00B93190"/>
    <w:rsid w:val="00B9319C"/>
    <w:rsid w:val="00B938D3"/>
    <w:rsid w:val="00B9396B"/>
    <w:rsid w:val="00B949E1"/>
    <w:rsid w:val="00B94B54"/>
    <w:rsid w:val="00B94E1C"/>
    <w:rsid w:val="00B95097"/>
    <w:rsid w:val="00B95304"/>
    <w:rsid w:val="00B9645B"/>
    <w:rsid w:val="00B9648D"/>
    <w:rsid w:val="00B967CC"/>
    <w:rsid w:val="00B972C1"/>
    <w:rsid w:val="00B97EC5"/>
    <w:rsid w:val="00BA0EDE"/>
    <w:rsid w:val="00BA156E"/>
    <w:rsid w:val="00BA18D7"/>
    <w:rsid w:val="00BA2EA8"/>
    <w:rsid w:val="00BA44FF"/>
    <w:rsid w:val="00BA50CF"/>
    <w:rsid w:val="00BA527E"/>
    <w:rsid w:val="00BA538F"/>
    <w:rsid w:val="00BA5DAE"/>
    <w:rsid w:val="00BA725B"/>
    <w:rsid w:val="00BA773C"/>
    <w:rsid w:val="00BA778E"/>
    <w:rsid w:val="00BB0081"/>
    <w:rsid w:val="00BB27D3"/>
    <w:rsid w:val="00BB37C7"/>
    <w:rsid w:val="00BB3A00"/>
    <w:rsid w:val="00BB498E"/>
    <w:rsid w:val="00BB584D"/>
    <w:rsid w:val="00BB5872"/>
    <w:rsid w:val="00BB6207"/>
    <w:rsid w:val="00BB66BB"/>
    <w:rsid w:val="00BB6C06"/>
    <w:rsid w:val="00BB6EFA"/>
    <w:rsid w:val="00BB6FEE"/>
    <w:rsid w:val="00BB75E2"/>
    <w:rsid w:val="00BC08D8"/>
    <w:rsid w:val="00BC19A8"/>
    <w:rsid w:val="00BC1CEF"/>
    <w:rsid w:val="00BC2509"/>
    <w:rsid w:val="00BC2728"/>
    <w:rsid w:val="00BC2BA6"/>
    <w:rsid w:val="00BC30E2"/>
    <w:rsid w:val="00BC43D2"/>
    <w:rsid w:val="00BC4A09"/>
    <w:rsid w:val="00BC4B81"/>
    <w:rsid w:val="00BC5013"/>
    <w:rsid w:val="00BC529C"/>
    <w:rsid w:val="00BC5541"/>
    <w:rsid w:val="00BC55A0"/>
    <w:rsid w:val="00BC560D"/>
    <w:rsid w:val="00BC5BAD"/>
    <w:rsid w:val="00BC6352"/>
    <w:rsid w:val="00BD0031"/>
    <w:rsid w:val="00BD028E"/>
    <w:rsid w:val="00BD0CD8"/>
    <w:rsid w:val="00BD0F99"/>
    <w:rsid w:val="00BD1087"/>
    <w:rsid w:val="00BD1815"/>
    <w:rsid w:val="00BD19EA"/>
    <w:rsid w:val="00BD1DEF"/>
    <w:rsid w:val="00BD2629"/>
    <w:rsid w:val="00BD3EFC"/>
    <w:rsid w:val="00BD4771"/>
    <w:rsid w:val="00BD5611"/>
    <w:rsid w:val="00BD57B0"/>
    <w:rsid w:val="00BD5EBC"/>
    <w:rsid w:val="00BD63A6"/>
    <w:rsid w:val="00BD7FF9"/>
    <w:rsid w:val="00BE0B3D"/>
    <w:rsid w:val="00BE1051"/>
    <w:rsid w:val="00BE175F"/>
    <w:rsid w:val="00BE17E1"/>
    <w:rsid w:val="00BE1E0D"/>
    <w:rsid w:val="00BE2F59"/>
    <w:rsid w:val="00BE37B7"/>
    <w:rsid w:val="00BE3841"/>
    <w:rsid w:val="00BE3866"/>
    <w:rsid w:val="00BE39B3"/>
    <w:rsid w:val="00BE3D83"/>
    <w:rsid w:val="00BE433C"/>
    <w:rsid w:val="00BE46A1"/>
    <w:rsid w:val="00BE4B17"/>
    <w:rsid w:val="00BE4D1D"/>
    <w:rsid w:val="00BE558A"/>
    <w:rsid w:val="00BE5C95"/>
    <w:rsid w:val="00BE5ECB"/>
    <w:rsid w:val="00BE67AC"/>
    <w:rsid w:val="00BE74EE"/>
    <w:rsid w:val="00BE7814"/>
    <w:rsid w:val="00BE7C34"/>
    <w:rsid w:val="00BF02DA"/>
    <w:rsid w:val="00BF075E"/>
    <w:rsid w:val="00BF0B49"/>
    <w:rsid w:val="00BF267A"/>
    <w:rsid w:val="00BF2A9A"/>
    <w:rsid w:val="00BF2E84"/>
    <w:rsid w:val="00BF3151"/>
    <w:rsid w:val="00BF3B73"/>
    <w:rsid w:val="00BF47CC"/>
    <w:rsid w:val="00BF4A43"/>
    <w:rsid w:val="00BF4C35"/>
    <w:rsid w:val="00BF58A8"/>
    <w:rsid w:val="00BF5958"/>
    <w:rsid w:val="00BF5A5C"/>
    <w:rsid w:val="00BF5A69"/>
    <w:rsid w:val="00BF5F09"/>
    <w:rsid w:val="00BF6F7B"/>
    <w:rsid w:val="00BF72F0"/>
    <w:rsid w:val="00C004F4"/>
    <w:rsid w:val="00C005AA"/>
    <w:rsid w:val="00C008F0"/>
    <w:rsid w:val="00C00E79"/>
    <w:rsid w:val="00C015F9"/>
    <w:rsid w:val="00C0164E"/>
    <w:rsid w:val="00C01C56"/>
    <w:rsid w:val="00C01DB8"/>
    <w:rsid w:val="00C02603"/>
    <w:rsid w:val="00C02FDF"/>
    <w:rsid w:val="00C035BA"/>
    <w:rsid w:val="00C04345"/>
    <w:rsid w:val="00C0452A"/>
    <w:rsid w:val="00C04906"/>
    <w:rsid w:val="00C05030"/>
    <w:rsid w:val="00C05A3B"/>
    <w:rsid w:val="00C064B8"/>
    <w:rsid w:val="00C06CBF"/>
    <w:rsid w:val="00C06E38"/>
    <w:rsid w:val="00C07CF9"/>
    <w:rsid w:val="00C10D26"/>
    <w:rsid w:val="00C10D9D"/>
    <w:rsid w:val="00C114DA"/>
    <w:rsid w:val="00C11715"/>
    <w:rsid w:val="00C12C06"/>
    <w:rsid w:val="00C12D85"/>
    <w:rsid w:val="00C133AA"/>
    <w:rsid w:val="00C13523"/>
    <w:rsid w:val="00C1382B"/>
    <w:rsid w:val="00C15E51"/>
    <w:rsid w:val="00C16593"/>
    <w:rsid w:val="00C16787"/>
    <w:rsid w:val="00C16811"/>
    <w:rsid w:val="00C1738D"/>
    <w:rsid w:val="00C17BCB"/>
    <w:rsid w:val="00C20847"/>
    <w:rsid w:val="00C20897"/>
    <w:rsid w:val="00C209AB"/>
    <w:rsid w:val="00C20BDB"/>
    <w:rsid w:val="00C20EAF"/>
    <w:rsid w:val="00C2170F"/>
    <w:rsid w:val="00C21FD9"/>
    <w:rsid w:val="00C222C6"/>
    <w:rsid w:val="00C23813"/>
    <w:rsid w:val="00C23C9B"/>
    <w:rsid w:val="00C24192"/>
    <w:rsid w:val="00C24200"/>
    <w:rsid w:val="00C24437"/>
    <w:rsid w:val="00C251BC"/>
    <w:rsid w:val="00C25DDA"/>
    <w:rsid w:val="00C26805"/>
    <w:rsid w:val="00C27478"/>
    <w:rsid w:val="00C27F72"/>
    <w:rsid w:val="00C30852"/>
    <w:rsid w:val="00C30B6A"/>
    <w:rsid w:val="00C32120"/>
    <w:rsid w:val="00C32253"/>
    <w:rsid w:val="00C3235B"/>
    <w:rsid w:val="00C3296A"/>
    <w:rsid w:val="00C32B33"/>
    <w:rsid w:val="00C32C12"/>
    <w:rsid w:val="00C3317E"/>
    <w:rsid w:val="00C3394C"/>
    <w:rsid w:val="00C33E0D"/>
    <w:rsid w:val="00C34AAE"/>
    <w:rsid w:val="00C34B2D"/>
    <w:rsid w:val="00C34C23"/>
    <w:rsid w:val="00C354F5"/>
    <w:rsid w:val="00C35768"/>
    <w:rsid w:val="00C358CC"/>
    <w:rsid w:val="00C364CB"/>
    <w:rsid w:val="00C36A99"/>
    <w:rsid w:val="00C36D7B"/>
    <w:rsid w:val="00C3784D"/>
    <w:rsid w:val="00C378A1"/>
    <w:rsid w:val="00C37CD8"/>
    <w:rsid w:val="00C37D0B"/>
    <w:rsid w:val="00C404D8"/>
    <w:rsid w:val="00C40584"/>
    <w:rsid w:val="00C41C42"/>
    <w:rsid w:val="00C41C65"/>
    <w:rsid w:val="00C4311A"/>
    <w:rsid w:val="00C4394E"/>
    <w:rsid w:val="00C4445F"/>
    <w:rsid w:val="00C447BF"/>
    <w:rsid w:val="00C448DB"/>
    <w:rsid w:val="00C46149"/>
    <w:rsid w:val="00C4706E"/>
    <w:rsid w:val="00C470A6"/>
    <w:rsid w:val="00C4756B"/>
    <w:rsid w:val="00C4794A"/>
    <w:rsid w:val="00C4797F"/>
    <w:rsid w:val="00C5059E"/>
    <w:rsid w:val="00C50AE3"/>
    <w:rsid w:val="00C5175A"/>
    <w:rsid w:val="00C51861"/>
    <w:rsid w:val="00C51B2E"/>
    <w:rsid w:val="00C51D45"/>
    <w:rsid w:val="00C52375"/>
    <w:rsid w:val="00C52761"/>
    <w:rsid w:val="00C52C11"/>
    <w:rsid w:val="00C53AF7"/>
    <w:rsid w:val="00C53E70"/>
    <w:rsid w:val="00C541C0"/>
    <w:rsid w:val="00C54297"/>
    <w:rsid w:val="00C542DE"/>
    <w:rsid w:val="00C547C8"/>
    <w:rsid w:val="00C55247"/>
    <w:rsid w:val="00C55545"/>
    <w:rsid w:val="00C557D7"/>
    <w:rsid w:val="00C55AEA"/>
    <w:rsid w:val="00C55DD7"/>
    <w:rsid w:val="00C56589"/>
    <w:rsid w:val="00C56901"/>
    <w:rsid w:val="00C57525"/>
    <w:rsid w:val="00C57FE4"/>
    <w:rsid w:val="00C607C2"/>
    <w:rsid w:val="00C61129"/>
    <w:rsid w:val="00C61B08"/>
    <w:rsid w:val="00C62943"/>
    <w:rsid w:val="00C63AE2"/>
    <w:rsid w:val="00C642BA"/>
    <w:rsid w:val="00C65A78"/>
    <w:rsid w:val="00C66788"/>
    <w:rsid w:val="00C669AF"/>
    <w:rsid w:val="00C70056"/>
    <w:rsid w:val="00C70485"/>
    <w:rsid w:val="00C70F97"/>
    <w:rsid w:val="00C7161C"/>
    <w:rsid w:val="00C71C14"/>
    <w:rsid w:val="00C71DC3"/>
    <w:rsid w:val="00C71E76"/>
    <w:rsid w:val="00C72331"/>
    <w:rsid w:val="00C73520"/>
    <w:rsid w:val="00C73C67"/>
    <w:rsid w:val="00C73E12"/>
    <w:rsid w:val="00C73F26"/>
    <w:rsid w:val="00C746A5"/>
    <w:rsid w:val="00C7593F"/>
    <w:rsid w:val="00C75B13"/>
    <w:rsid w:val="00C75BDA"/>
    <w:rsid w:val="00C75D45"/>
    <w:rsid w:val="00C76357"/>
    <w:rsid w:val="00C76BCC"/>
    <w:rsid w:val="00C76DE5"/>
    <w:rsid w:val="00C76E9E"/>
    <w:rsid w:val="00C76EE3"/>
    <w:rsid w:val="00C76F84"/>
    <w:rsid w:val="00C77025"/>
    <w:rsid w:val="00C771EA"/>
    <w:rsid w:val="00C773D2"/>
    <w:rsid w:val="00C774F5"/>
    <w:rsid w:val="00C774F6"/>
    <w:rsid w:val="00C804BF"/>
    <w:rsid w:val="00C80A90"/>
    <w:rsid w:val="00C80AEC"/>
    <w:rsid w:val="00C80E1E"/>
    <w:rsid w:val="00C81C71"/>
    <w:rsid w:val="00C823F0"/>
    <w:rsid w:val="00C8245C"/>
    <w:rsid w:val="00C82520"/>
    <w:rsid w:val="00C8288D"/>
    <w:rsid w:val="00C82A38"/>
    <w:rsid w:val="00C83BE1"/>
    <w:rsid w:val="00C84119"/>
    <w:rsid w:val="00C84656"/>
    <w:rsid w:val="00C84D4C"/>
    <w:rsid w:val="00C855F8"/>
    <w:rsid w:val="00C85666"/>
    <w:rsid w:val="00C857AB"/>
    <w:rsid w:val="00C85C37"/>
    <w:rsid w:val="00C85DE4"/>
    <w:rsid w:val="00C86163"/>
    <w:rsid w:val="00C86AC8"/>
    <w:rsid w:val="00C86C52"/>
    <w:rsid w:val="00C87DB4"/>
    <w:rsid w:val="00C915CF"/>
    <w:rsid w:val="00C91744"/>
    <w:rsid w:val="00C91BF4"/>
    <w:rsid w:val="00C9215A"/>
    <w:rsid w:val="00C928C5"/>
    <w:rsid w:val="00C9307A"/>
    <w:rsid w:val="00C9368B"/>
    <w:rsid w:val="00C941AC"/>
    <w:rsid w:val="00C9491D"/>
    <w:rsid w:val="00C95191"/>
    <w:rsid w:val="00C9544E"/>
    <w:rsid w:val="00C958CD"/>
    <w:rsid w:val="00C9692C"/>
    <w:rsid w:val="00C9712C"/>
    <w:rsid w:val="00C97634"/>
    <w:rsid w:val="00C97F2E"/>
    <w:rsid w:val="00CA0B6A"/>
    <w:rsid w:val="00CA0BE3"/>
    <w:rsid w:val="00CA18FA"/>
    <w:rsid w:val="00CA2029"/>
    <w:rsid w:val="00CA293B"/>
    <w:rsid w:val="00CA2D4C"/>
    <w:rsid w:val="00CA2D7A"/>
    <w:rsid w:val="00CA2F7F"/>
    <w:rsid w:val="00CA34D5"/>
    <w:rsid w:val="00CA366A"/>
    <w:rsid w:val="00CA38E5"/>
    <w:rsid w:val="00CA38F1"/>
    <w:rsid w:val="00CA3A73"/>
    <w:rsid w:val="00CA3E21"/>
    <w:rsid w:val="00CA3E56"/>
    <w:rsid w:val="00CA3F67"/>
    <w:rsid w:val="00CA3F73"/>
    <w:rsid w:val="00CA3FD2"/>
    <w:rsid w:val="00CA4001"/>
    <w:rsid w:val="00CA412B"/>
    <w:rsid w:val="00CA41AC"/>
    <w:rsid w:val="00CA5B0A"/>
    <w:rsid w:val="00CA5E3F"/>
    <w:rsid w:val="00CA62FF"/>
    <w:rsid w:val="00CA63C6"/>
    <w:rsid w:val="00CA64F8"/>
    <w:rsid w:val="00CA6694"/>
    <w:rsid w:val="00CA6F52"/>
    <w:rsid w:val="00CA7091"/>
    <w:rsid w:val="00CA72BF"/>
    <w:rsid w:val="00CA7727"/>
    <w:rsid w:val="00CB07CA"/>
    <w:rsid w:val="00CB0DAA"/>
    <w:rsid w:val="00CB1905"/>
    <w:rsid w:val="00CB29DC"/>
    <w:rsid w:val="00CB2B50"/>
    <w:rsid w:val="00CB3D7E"/>
    <w:rsid w:val="00CB3EF3"/>
    <w:rsid w:val="00CB5128"/>
    <w:rsid w:val="00CB5AB7"/>
    <w:rsid w:val="00CB6464"/>
    <w:rsid w:val="00CB6981"/>
    <w:rsid w:val="00CB778A"/>
    <w:rsid w:val="00CB7BB7"/>
    <w:rsid w:val="00CC0176"/>
    <w:rsid w:val="00CC0A47"/>
    <w:rsid w:val="00CC0B0A"/>
    <w:rsid w:val="00CC0BFE"/>
    <w:rsid w:val="00CC10B7"/>
    <w:rsid w:val="00CC1713"/>
    <w:rsid w:val="00CC1802"/>
    <w:rsid w:val="00CC1AFE"/>
    <w:rsid w:val="00CC1C01"/>
    <w:rsid w:val="00CC1F08"/>
    <w:rsid w:val="00CC23B5"/>
    <w:rsid w:val="00CC29D3"/>
    <w:rsid w:val="00CC3319"/>
    <w:rsid w:val="00CC3FAB"/>
    <w:rsid w:val="00CC4A97"/>
    <w:rsid w:val="00CC4FB2"/>
    <w:rsid w:val="00CC525F"/>
    <w:rsid w:val="00CC56AB"/>
    <w:rsid w:val="00CC5A28"/>
    <w:rsid w:val="00CC5B7F"/>
    <w:rsid w:val="00CC5D36"/>
    <w:rsid w:val="00CC66AF"/>
    <w:rsid w:val="00CC73B8"/>
    <w:rsid w:val="00CC7A76"/>
    <w:rsid w:val="00CC7ABA"/>
    <w:rsid w:val="00CC7D50"/>
    <w:rsid w:val="00CD130A"/>
    <w:rsid w:val="00CD1752"/>
    <w:rsid w:val="00CD1994"/>
    <w:rsid w:val="00CD201D"/>
    <w:rsid w:val="00CD3B9E"/>
    <w:rsid w:val="00CD3CD2"/>
    <w:rsid w:val="00CD3E60"/>
    <w:rsid w:val="00CD41FC"/>
    <w:rsid w:val="00CD51FA"/>
    <w:rsid w:val="00CD52AD"/>
    <w:rsid w:val="00CD56D5"/>
    <w:rsid w:val="00CD6638"/>
    <w:rsid w:val="00CD718B"/>
    <w:rsid w:val="00CD7982"/>
    <w:rsid w:val="00CE0E1B"/>
    <w:rsid w:val="00CE1365"/>
    <w:rsid w:val="00CE1E43"/>
    <w:rsid w:val="00CE2D56"/>
    <w:rsid w:val="00CE31B1"/>
    <w:rsid w:val="00CE338D"/>
    <w:rsid w:val="00CE37FB"/>
    <w:rsid w:val="00CE3ED7"/>
    <w:rsid w:val="00CE4126"/>
    <w:rsid w:val="00CE4770"/>
    <w:rsid w:val="00CE4F35"/>
    <w:rsid w:val="00CE53C6"/>
    <w:rsid w:val="00CE66BB"/>
    <w:rsid w:val="00CE723F"/>
    <w:rsid w:val="00CF0278"/>
    <w:rsid w:val="00CF0D0C"/>
    <w:rsid w:val="00CF1717"/>
    <w:rsid w:val="00CF1AC4"/>
    <w:rsid w:val="00CF25D8"/>
    <w:rsid w:val="00CF2982"/>
    <w:rsid w:val="00CF43AF"/>
    <w:rsid w:val="00CF5101"/>
    <w:rsid w:val="00CF55B2"/>
    <w:rsid w:val="00CF5AE6"/>
    <w:rsid w:val="00CF5C33"/>
    <w:rsid w:val="00CF6A8B"/>
    <w:rsid w:val="00CF6E81"/>
    <w:rsid w:val="00CF723B"/>
    <w:rsid w:val="00CF750E"/>
    <w:rsid w:val="00CF7F6E"/>
    <w:rsid w:val="00CF7FB8"/>
    <w:rsid w:val="00D01E1E"/>
    <w:rsid w:val="00D01F3E"/>
    <w:rsid w:val="00D01F46"/>
    <w:rsid w:val="00D021BD"/>
    <w:rsid w:val="00D02CD6"/>
    <w:rsid w:val="00D037C8"/>
    <w:rsid w:val="00D0424C"/>
    <w:rsid w:val="00D0491A"/>
    <w:rsid w:val="00D04A4F"/>
    <w:rsid w:val="00D04EB7"/>
    <w:rsid w:val="00D05076"/>
    <w:rsid w:val="00D060C8"/>
    <w:rsid w:val="00D060FC"/>
    <w:rsid w:val="00D07184"/>
    <w:rsid w:val="00D10368"/>
    <w:rsid w:val="00D108E6"/>
    <w:rsid w:val="00D10BB9"/>
    <w:rsid w:val="00D10D81"/>
    <w:rsid w:val="00D10DEA"/>
    <w:rsid w:val="00D11105"/>
    <w:rsid w:val="00D11416"/>
    <w:rsid w:val="00D1186A"/>
    <w:rsid w:val="00D11A96"/>
    <w:rsid w:val="00D1293A"/>
    <w:rsid w:val="00D1300C"/>
    <w:rsid w:val="00D130AB"/>
    <w:rsid w:val="00D14823"/>
    <w:rsid w:val="00D14D2D"/>
    <w:rsid w:val="00D15268"/>
    <w:rsid w:val="00D15416"/>
    <w:rsid w:val="00D15B15"/>
    <w:rsid w:val="00D15C3C"/>
    <w:rsid w:val="00D16327"/>
    <w:rsid w:val="00D1660C"/>
    <w:rsid w:val="00D166D8"/>
    <w:rsid w:val="00D16813"/>
    <w:rsid w:val="00D1733C"/>
    <w:rsid w:val="00D175D8"/>
    <w:rsid w:val="00D17C79"/>
    <w:rsid w:val="00D20EAB"/>
    <w:rsid w:val="00D2164F"/>
    <w:rsid w:val="00D22A70"/>
    <w:rsid w:val="00D23843"/>
    <w:rsid w:val="00D2436A"/>
    <w:rsid w:val="00D24632"/>
    <w:rsid w:val="00D25F75"/>
    <w:rsid w:val="00D26779"/>
    <w:rsid w:val="00D27AE6"/>
    <w:rsid w:val="00D27BCA"/>
    <w:rsid w:val="00D27F9F"/>
    <w:rsid w:val="00D307A3"/>
    <w:rsid w:val="00D309B3"/>
    <w:rsid w:val="00D30B5B"/>
    <w:rsid w:val="00D310C3"/>
    <w:rsid w:val="00D32284"/>
    <w:rsid w:val="00D32953"/>
    <w:rsid w:val="00D32FC3"/>
    <w:rsid w:val="00D34349"/>
    <w:rsid w:val="00D34929"/>
    <w:rsid w:val="00D3503A"/>
    <w:rsid w:val="00D36166"/>
    <w:rsid w:val="00D36752"/>
    <w:rsid w:val="00D40049"/>
    <w:rsid w:val="00D40227"/>
    <w:rsid w:val="00D40929"/>
    <w:rsid w:val="00D411C5"/>
    <w:rsid w:val="00D42200"/>
    <w:rsid w:val="00D4283A"/>
    <w:rsid w:val="00D4309B"/>
    <w:rsid w:val="00D43E21"/>
    <w:rsid w:val="00D45207"/>
    <w:rsid w:val="00D458F6"/>
    <w:rsid w:val="00D45CD7"/>
    <w:rsid w:val="00D45E0C"/>
    <w:rsid w:val="00D46376"/>
    <w:rsid w:val="00D46848"/>
    <w:rsid w:val="00D468D4"/>
    <w:rsid w:val="00D46B92"/>
    <w:rsid w:val="00D472C0"/>
    <w:rsid w:val="00D474C3"/>
    <w:rsid w:val="00D510CF"/>
    <w:rsid w:val="00D5118E"/>
    <w:rsid w:val="00D5130C"/>
    <w:rsid w:val="00D518B9"/>
    <w:rsid w:val="00D518EA"/>
    <w:rsid w:val="00D520E9"/>
    <w:rsid w:val="00D529F8"/>
    <w:rsid w:val="00D5358F"/>
    <w:rsid w:val="00D555CC"/>
    <w:rsid w:val="00D55BAF"/>
    <w:rsid w:val="00D55FF4"/>
    <w:rsid w:val="00D56216"/>
    <w:rsid w:val="00D57B9F"/>
    <w:rsid w:val="00D6080D"/>
    <w:rsid w:val="00D613F8"/>
    <w:rsid w:val="00D615E0"/>
    <w:rsid w:val="00D62499"/>
    <w:rsid w:val="00D62F7B"/>
    <w:rsid w:val="00D634B3"/>
    <w:rsid w:val="00D63DA0"/>
    <w:rsid w:val="00D63F46"/>
    <w:rsid w:val="00D64073"/>
    <w:rsid w:val="00D6431F"/>
    <w:rsid w:val="00D64A0F"/>
    <w:rsid w:val="00D64F49"/>
    <w:rsid w:val="00D65D78"/>
    <w:rsid w:val="00D67B29"/>
    <w:rsid w:val="00D704AC"/>
    <w:rsid w:val="00D7057E"/>
    <w:rsid w:val="00D71798"/>
    <w:rsid w:val="00D7186D"/>
    <w:rsid w:val="00D724E8"/>
    <w:rsid w:val="00D72A98"/>
    <w:rsid w:val="00D732CD"/>
    <w:rsid w:val="00D734F8"/>
    <w:rsid w:val="00D74CD2"/>
    <w:rsid w:val="00D75CBD"/>
    <w:rsid w:val="00D75DFB"/>
    <w:rsid w:val="00D75E85"/>
    <w:rsid w:val="00D7641B"/>
    <w:rsid w:val="00D76902"/>
    <w:rsid w:val="00D76B53"/>
    <w:rsid w:val="00D76CBF"/>
    <w:rsid w:val="00D779B0"/>
    <w:rsid w:val="00D77B2A"/>
    <w:rsid w:val="00D77CD7"/>
    <w:rsid w:val="00D77F66"/>
    <w:rsid w:val="00D80172"/>
    <w:rsid w:val="00D802F3"/>
    <w:rsid w:val="00D80C86"/>
    <w:rsid w:val="00D80DF4"/>
    <w:rsid w:val="00D80E01"/>
    <w:rsid w:val="00D815D5"/>
    <w:rsid w:val="00D8194A"/>
    <w:rsid w:val="00D819CD"/>
    <w:rsid w:val="00D82217"/>
    <w:rsid w:val="00D82672"/>
    <w:rsid w:val="00D827D4"/>
    <w:rsid w:val="00D82DF1"/>
    <w:rsid w:val="00D833DA"/>
    <w:rsid w:val="00D83DAA"/>
    <w:rsid w:val="00D84240"/>
    <w:rsid w:val="00D84765"/>
    <w:rsid w:val="00D849E5"/>
    <w:rsid w:val="00D85BAF"/>
    <w:rsid w:val="00D861A8"/>
    <w:rsid w:val="00D868F7"/>
    <w:rsid w:val="00D86A96"/>
    <w:rsid w:val="00D878D4"/>
    <w:rsid w:val="00D87B8D"/>
    <w:rsid w:val="00D87FA9"/>
    <w:rsid w:val="00D90224"/>
    <w:rsid w:val="00D909AD"/>
    <w:rsid w:val="00D91AFB"/>
    <w:rsid w:val="00D91E9D"/>
    <w:rsid w:val="00D920B8"/>
    <w:rsid w:val="00D921FC"/>
    <w:rsid w:val="00D92381"/>
    <w:rsid w:val="00D92588"/>
    <w:rsid w:val="00D92F4C"/>
    <w:rsid w:val="00D94920"/>
    <w:rsid w:val="00D94BAD"/>
    <w:rsid w:val="00D94F4A"/>
    <w:rsid w:val="00D9528E"/>
    <w:rsid w:val="00D952A6"/>
    <w:rsid w:val="00D95B92"/>
    <w:rsid w:val="00D961F8"/>
    <w:rsid w:val="00D9620E"/>
    <w:rsid w:val="00D97D9A"/>
    <w:rsid w:val="00D97E56"/>
    <w:rsid w:val="00DA05F5"/>
    <w:rsid w:val="00DA1C84"/>
    <w:rsid w:val="00DA21D7"/>
    <w:rsid w:val="00DA242D"/>
    <w:rsid w:val="00DA2872"/>
    <w:rsid w:val="00DA3075"/>
    <w:rsid w:val="00DA3396"/>
    <w:rsid w:val="00DA36D7"/>
    <w:rsid w:val="00DA43DD"/>
    <w:rsid w:val="00DA4516"/>
    <w:rsid w:val="00DA489D"/>
    <w:rsid w:val="00DA512B"/>
    <w:rsid w:val="00DA5316"/>
    <w:rsid w:val="00DA6D74"/>
    <w:rsid w:val="00DA727C"/>
    <w:rsid w:val="00DA741B"/>
    <w:rsid w:val="00DA7C4C"/>
    <w:rsid w:val="00DB04BF"/>
    <w:rsid w:val="00DB073D"/>
    <w:rsid w:val="00DB12F7"/>
    <w:rsid w:val="00DB2A4B"/>
    <w:rsid w:val="00DB2D24"/>
    <w:rsid w:val="00DB2D5F"/>
    <w:rsid w:val="00DB33AC"/>
    <w:rsid w:val="00DB3E1F"/>
    <w:rsid w:val="00DB4014"/>
    <w:rsid w:val="00DB4FF4"/>
    <w:rsid w:val="00DB51E8"/>
    <w:rsid w:val="00DB5267"/>
    <w:rsid w:val="00DB54D5"/>
    <w:rsid w:val="00DB599D"/>
    <w:rsid w:val="00DB5FF9"/>
    <w:rsid w:val="00DB68E7"/>
    <w:rsid w:val="00DB6A32"/>
    <w:rsid w:val="00DB76A1"/>
    <w:rsid w:val="00DB7902"/>
    <w:rsid w:val="00DC1DD3"/>
    <w:rsid w:val="00DC1E3F"/>
    <w:rsid w:val="00DC1F9B"/>
    <w:rsid w:val="00DC2109"/>
    <w:rsid w:val="00DC26AB"/>
    <w:rsid w:val="00DC3078"/>
    <w:rsid w:val="00DC31F2"/>
    <w:rsid w:val="00DC518B"/>
    <w:rsid w:val="00DC51A5"/>
    <w:rsid w:val="00DC51B8"/>
    <w:rsid w:val="00DC5271"/>
    <w:rsid w:val="00DC5302"/>
    <w:rsid w:val="00DC5391"/>
    <w:rsid w:val="00DC6110"/>
    <w:rsid w:val="00DC6D0B"/>
    <w:rsid w:val="00DC7380"/>
    <w:rsid w:val="00DC75B2"/>
    <w:rsid w:val="00DC7F39"/>
    <w:rsid w:val="00DD0657"/>
    <w:rsid w:val="00DD0B16"/>
    <w:rsid w:val="00DD0F2B"/>
    <w:rsid w:val="00DD179D"/>
    <w:rsid w:val="00DD1855"/>
    <w:rsid w:val="00DD19B7"/>
    <w:rsid w:val="00DD2247"/>
    <w:rsid w:val="00DD26D6"/>
    <w:rsid w:val="00DD2ED0"/>
    <w:rsid w:val="00DD2F1F"/>
    <w:rsid w:val="00DD320E"/>
    <w:rsid w:val="00DD37B0"/>
    <w:rsid w:val="00DD409F"/>
    <w:rsid w:val="00DD4E6E"/>
    <w:rsid w:val="00DD55FA"/>
    <w:rsid w:val="00DD69E7"/>
    <w:rsid w:val="00DD6F36"/>
    <w:rsid w:val="00DD7FCE"/>
    <w:rsid w:val="00DE0439"/>
    <w:rsid w:val="00DE17D9"/>
    <w:rsid w:val="00DE1BE3"/>
    <w:rsid w:val="00DE1DAC"/>
    <w:rsid w:val="00DE2A48"/>
    <w:rsid w:val="00DE2E24"/>
    <w:rsid w:val="00DE32E3"/>
    <w:rsid w:val="00DE32EF"/>
    <w:rsid w:val="00DE398E"/>
    <w:rsid w:val="00DE3E25"/>
    <w:rsid w:val="00DE3EE0"/>
    <w:rsid w:val="00DE42B3"/>
    <w:rsid w:val="00DE4D9D"/>
    <w:rsid w:val="00DE54F4"/>
    <w:rsid w:val="00DE58D9"/>
    <w:rsid w:val="00DE5B58"/>
    <w:rsid w:val="00DE5DB7"/>
    <w:rsid w:val="00DE6D67"/>
    <w:rsid w:val="00DE6EE6"/>
    <w:rsid w:val="00DE781C"/>
    <w:rsid w:val="00DF054E"/>
    <w:rsid w:val="00DF0D85"/>
    <w:rsid w:val="00DF4B1F"/>
    <w:rsid w:val="00DF4F3B"/>
    <w:rsid w:val="00DF5C7E"/>
    <w:rsid w:val="00DF6B41"/>
    <w:rsid w:val="00DF6D02"/>
    <w:rsid w:val="00DF74FC"/>
    <w:rsid w:val="00DF7A0F"/>
    <w:rsid w:val="00E00756"/>
    <w:rsid w:val="00E01837"/>
    <w:rsid w:val="00E022D0"/>
    <w:rsid w:val="00E02960"/>
    <w:rsid w:val="00E02BDD"/>
    <w:rsid w:val="00E02DB2"/>
    <w:rsid w:val="00E02E7A"/>
    <w:rsid w:val="00E03005"/>
    <w:rsid w:val="00E03555"/>
    <w:rsid w:val="00E04241"/>
    <w:rsid w:val="00E0572C"/>
    <w:rsid w:val="00E05CDC"/>
    <w:rsid w:val="00E062EC"/>
    <w:rsid w:val="00E07193"/>
    <w:rsid w:val="00E071E3"/>
    <w:rsid w:val="00E101E2"/>
    <w:rsid w:val="00E1180C"/>
    <w:rsid w:val="00E1190D"/>
    <w:rsid w:val="00E11BE5"/>
    <w:rsid w:val="00E11D16"/>
    <w:rsid w:val="00E12423"/>
    <w:rsid w:val="00E126A8"/>
    <w:rsid w:val="00E1280E"/>
    <w:rsid w:val="00E13220"/>
    <w:rsid w:val="00E1350C"/>
    <w:rsid w:val="00E13652"/>
    <w:rsid w:val="00E13FA0"/>
    <w:rsid w:val="00E1642F"/>
    <w:rsid w:val="00E16703"/>
    <w:rsid w:val="00E16802"/>
    <w:rsid w:val="00E16E0B"/>
    <w:rsid w:val="00E2023F"/>
    <w:rsid w:val="00E20ED2"/>
    <w:rsid w:val="00E21569"/>
    <w:rsid w:val="00E2228D"/>
    <w:rsid w:val="00E223E4"/>
    <w:rsid w:val="00E224FC"/>
    <w:rsid w:val="00E22926"/>
    <w:rsid w:val="00E2329C"/>
    <w:rsid w:val="00E24B66"/>
    <w:rsid w:val="00E24EB7"/>
    <w:rsid w:val="00E252CD"/>
    <w:rsid w:val="00E2567C"/>
    <w:rsid w:val="00E2756B"/>
    <w:rsid w:val="00E27717"/>
    <w:rsid w:val="00E27804"/>
    <w:rsid w:val="00E3004D"/>
    <w:rsid w:val="00E30164"/>
    <w:rsid w:val="00E3018C"/>
    <w:rsid w:val="00E31EEB"/>
    <w:rsid w:val="00E32D10"/>
    <w:rsid w:val="00E33567"/>
    <w:rsid w:val="00E34526"/>
    <w:rsid w:val="00E34AB7"/>
    <w:rsid w:val="00E358E0"/>
    <w:rsid w:val="00E36463"/>
    <w:rsid w:val="00E36602"/>
    <w:rsid w:val="00E36F6F"/>
    <w:rsid w:val="00E372A2"/>
    <w:rsid w:val="00E37DF1"/>
    <w:rsid w:val="00E40A85"/>
    <w:rsid w:val="00E410DE"/>
    <w:rsid w:val="00E4179C"/>
    <w:rsid w:val="00E428D0"/>
    <w:rsid w:val="00E43910"/>
    <w:rsid w:val="00E456B7"/>
    <w:rsid w:val="00E46386"/>
    <w:rsid w:val="00E4776F"/>
    <w:rsid w:val="00E478F9"/>
    <w:rsid w:val="00E47D52"/>
    <w:rsid w:val="00E500A9"/>
    <w:rsid w:val="00E51F2F"/>
    <w:rsid w:val="00E52AF7"/>
    <w:rsid w:val="00E52D90"/>
    <w:rsid w:val="00E5326F"/>
    <w:rsid w:val="00E54304"/>
    <w:rsid w:val="00E547F9"/>
    <w:rsid w:val="00E54B3D"/>
    <w:rsid w:val="00E55010"/>
    <w:rsid w:val="00E56DF9"/>
    <w:rsid w:val="00E60346"/>
    <w:rsid w:val="00E609C5"/>
    <w:rsid w:val="00E61DB3"/>
    <w:rsid w:val="00E630AC"/>
    <w:rsid w:val="00E6332E"/>
    <w:rsid w:val="00E638A0"/>
    <w:rsid w:val="00E63C96"/>
    <w:rsid w:val="00E650DA"/>
    <w:rsid w:val="00E6590A"/>
    <w:rsid w:val="00E66C13"/>
    <w:rsid w:val="00E66F1B"/>
    <w:rsid w:val="00E67AA6"/>
    <w:rsid w:val="00E67D61"/>
    <w:rsid w:val="00E704DD"/>
    <w:rsid w:val="00E70D20"/>
    <w:rsid w:val="00E70F8E"/>
    <w:rsid w:val="00E71606"/>
    <w:rsid w:val="00E721F7"/>
    <w:rsid w:val="00E728EB"/>
    <w:rsid w:val="00E730B2"/>
    <w:rsid w:val="00E7341A"/>
    <w:rsid w:val="00E734E4"/>
    <w:rsid w:val="00E7378E"/>
    <w:rsid w:val="00E73AC8"/>
    <w:rsid w:val="00E74139"/>
    <w:rsid w:val="00E746C3"/>
    <w:rsid w:val="00E74D6E"/>
    <w:rsid w:val="00E751CC"/>
    <w:rsid w:val="00E7577C"/>
    <w:rsid w:val="00E75AE2"/>
    <w:rsid w:val="00E75C0C"/>
    <w:rsid w:val="00E76371"/>
    <w:rsid w:val="00E764E4"/>
    <w:rsid w:val="00E7731D"/>
    <w:rsid w:val="00E77835"/>
    <w:rsid w:val="00E77A18"/>
    <w:rsid w:val="00E77F94"/>
    <w:rsid w:val="00E81CDB"/>
    <w:rsid w:val="00E820EA"/>
    <w:rsid w:val="00E82167"/>
    <w:rsid w:val="00E823FE"/>
    <w:rsid w:val="00E82AE3"/>
    <w:rsid w:val="00E837F4"/>
    <w:rsid w:val="00E83A8F"/>
    <w:rsid w:val="00E83DE6"/>
    <w:rsid w:val="00E84674"/>
    <w:rsid w:val="00E84C90"/>
    <w:rsid w:val="00E84CD7"/>
    <w:rsid w:val="00E84DAB"/>
    <w:rsid w:val="00E85790"/>
    <w:rsid w:val="00E8592A"/>
    <w:rsid w:val="00E86BC7"/>
    <w:rsid w:val="00E86D84"/>
    <w:rsid w:val="00E86F02"/>
    <w:rsid w:val="00E87833"/>
    <w:rsid w:val="00E87FA3"/>
    <w:rsid w:val="00E90B14"/>
    <w:rsid w:val="00E91055"/>
    <w:rsid w:val="00E91CA9"/>
    <w:rsid w:val="00E91ECD"/>
    <w:rsid w:val="00E9218C"/>
    <w:rsid w:val="00E929A7"/>
    <w:rsid w:val="00E9316A"/>
    <w:rsid w:val="00E93737"/>
    <w:rsid w:val="00E93E23"/>
    <w:rsid w:val="00E94AE6"/>
    <w:rsid w:val="00E94CD0"/>
    <w:rsid w:val="00E953DA"/>
    <w:rsid w:val="00E95A42"/>
    <w:rsid w:val="00E95AD0"/>
    <w:rsid w:val="00E962A0"/>
    <w:rsid w:val="00E96600"/>
    <w:rsid w:val="00E96868"/>
    <w:rsid w:val="00E97014"/>
    <w:rsid w:val="00EA0CD2"/>
    <w:rsid w:val="00EA1C89"/>
    <w:rsid w:val="00EA2681"/>
    <w:rsid w:val="00EA2966"/>
    <w:rsid w:val="00EA473E"/>
    <w:rsid w:val="00EA508B"/>
    <w:rsid w:val="00EA5EE1"/>
    <w:rsid w:val="00EA68E7"/>
    <w:rsid w:val="00EA6CE1"/>
    <w:rsid w:val="00EA7FCD"/>
    <w:rsid w:val="00EB0A80"/>
    <w:rsid w:val="00EB0EDC"/>
    <w:rsid w:val="00EB1696"/>
    <w:rsid w:val="00EB192B"/>
    <w:rsid w:val="00EB19FA"/>
    <w:rsid w:val="00EB2EB8"/>
    <w:rsid w:val="00EB3146"/>
    <w:rsid w:val="00EB31DD"/>
    <w:rsid w:val="00EB46A7"/>
    <w:rsid w:val="00EB4C3A"/>
    <w:rsid w:val="00EB51ED"/>
    <w:rsid w:val="00EB5324"/>
    <w:rsid w:val="00EB580C"/>
    <w:rsid w:val="00EB5871"/>
    <w:rsid w:val="00EB6664"/>
    <w:rsid w:val="00EB6920"/>
    <w:rsid w:val="00EB6EBA"/>
    <w:rsid w:val="00EB7BD9"/>
    <w:rsid w:val="00EB7EE4"/>
    <w:rsid w:val="00EC09E0"/>
    <w:rsid w:val="00EC0A14"/>
    <w:rsid w:val="00EC0A67"/>
    <w:rsid w:val="00EC0B5F"/>
    <w:rsid w:val="00EC1DDF"/>
    <w:rsid w:val="00EC22F9"/>
    <w:rsid w:val="00EC234E"/>
    <w:rsid w:val="00EC2AAD"/>
    <w:rsid w:val="00EC3426"/>
    <w:rsid w:val="00EC3611"/>
    <w:rsid w:val="00EC363D"/>
    <w:rsid w:val="00EC3690"/>
    <w:rsid w:val="00EC4093"/>
    <w:rsid w:val="00EC45EA"/>
    <w:rsid w:val="00EC4E1C"/>
    <w:rsid w:val="00EC54C7"/>
    <w:rsid w:val="00EC67EA"/>
    <w:rsid w:val="00EC69E0"/>
    <w:rsid w:val="00EC70AF"/>
    <w:rsid w:val="00EC7146"/>
    <w:rsid w:val="00EC720F"/>
    <w:rsid w:val="00EC725D"/>
    <w:rsid w:val="00EC7367"/>
    <w:rsid w:val="00EC7DB5"/>
    <w:rsid w:val="00ED045B"/>
    <w:rsid w:val="00ED091F"/>
    <w:rsid w:val="00ED0EB9"/>
    <w:rsid w:val="00ED12AD"/>
    <w:rsid w:val="00ED19B6"/>
    <w:rsid w:val="00ED1A6A"/>
    <w:rsid w:val="00ED23E5"/>
    <w:rsid w:val="00ED2C73"/>
    <w:rsid w:val="00ED3761"/>
    <w:rsid w:val="00ED3962"/>
    <w:rsid w:val="00ED3A0E"/>
    <w:rsid w:val="00ED3F58"/>
    <w:rsid w:val="00ED4A6F"/>
    <w:rsid w:val="00ED5052"/>
    <w:rsid w:val="00ED547C"/>
    <w:rsid w:val="00ED564B"/>
    <w:rsid w:val="00ED5E00"/>
    <w:rsid w:val="00ED6059"/>
    <w:rsid w:val="00ED6C4D"/>
    <w:rsid w:val="00ED7A59"/>
    <w:rsid w:val="00EE0535"/>
    <w:rsid w:val="00EE14FE"/>
    <w:rsid w:val="00EE216A"/>
    <w:rsid w:val="00EE21DA"/>
    <w:rsid w:val="00EE252D"/>
    <w:rsid w:val="00EE268A"/>
    <w:rsid w:val="00EE2A83"/>
    <w:rsid w:val="00EE2AF8"/>
    <w:rsid w:val="00EE2D33"/>
    <w:rsid w:val="00EE37CE"/>
    <w:rsid w:val="00EE5100"/>
    <w:rsid w:val="00EE5830"/>
    <w:rsid w:val="00EE589B"/>
    <w:rsid w:val="00EE5C85"/>
    <w:rsid w:val="00EE5EB2"/>
    <w:rsid w:val="00EE6160"/>
    <w:rsid w:val="00EE65A9"/>
    <w:rsid w:val="00EE66B8"/>
    <w:rsid w:val="00EE680B"/>
    <w:rsid w:val="00EE7E0F"/>
    <w:rsid w:val="00EF067E"/>
    <w:rsid w:val="00EF158B"/>
    <w:rsid w:val="00EF2288"/>
    <w:rsid w:val="00EF22FA"/>
    <w:rsid w:val="00EF2A67"/>
    <w:rsid w:val="00EF3C84"/>
    <w:rsid w:val="00EF3ED7"/>
    <w:rsid w:val="00EF4148"/>
    <w:rsid w:val="00EF4C46"/>
    <w:rsid w:val="00EF577F"/>
    <w:rsid w:val="00EF5AE0"/>
    <w:rsid w:val="00EF7451"/>
    <w:rsid w:val="00F00132"/>
    <w:rsid w:val="00F00AF4"/>
    <w:rsid w:val="00F00B92"/>
    <w:rsid w:val="00F012CC"/>
    <w:rsid w:val="00F01417"/>
    <w:rsid w:val="00F01D3C"/>
    <w:rsid w:val="00F02319"/>
    <w:rsid w:val="00F02887"/>
    <w:rsid w:val="00F02D55"/>
    <w:rsid w:val="00F02EA1"/>
    <w:rsid w:val="00F03531"/>
    <w:rsid w:val="00F036E7"/>
    <w:rsid w:val="00F03ADA"/>
    <w:rsid w:val="00F0563F"/>
    <w:rsid w:val="00F05AF8"/>
    <w:rsid w:val="00F071AA"/>
    <w:rsid w:val="00F07FCE"/>
    <w:rsid w:val="00F1019A"/>
    <w:rsid w:val="00F102FF"/>
    <w:rsid w:val="00F10AF5"/>
    <w:rsid w:val="00F10B09"/>
    <w:rsid w:val="00F112B8"/>
    <w:rsid w:val="00F1130C"/>
    <w:rsid w:val="00F11AA5"/>
    <w:rsid w:val="00F11C9D"/>
    <w:rsid w:val="00F11F8F"/>
    <w:rsid w:val="00F13D67"/>
    <w:rsid w:val="00F14A4A"/>
    <w:rsid w:val="00F15CBA"/>
    <w:rsid w:val="00F21A0A"/>
    <w:rsid w:val="00F23209"/>
    <w:rsid w:val="00F2353F"/>
    <w:rsid w:val="00F2369D"/>
    <w:rsid w:val="00F23ED1"/>
    <w:rsid w:val="00F24565"/>
    <w:rsid w:val="00F24EC4"/>
    <w:rsid w:val="00F254F9"/>
    <w:rsid w:val="00F25627"/>
    <w:rsid w:val="00F258D4"/>
    <w:rsid w:val="00F26416"/>
    <w:rsid w:val="00F27A4B"/>
    <w:rsid w:val="00F3209D"/>
    <w:rsid w:val="00F320B3"/>
    <w:rsid w:val="00F32661"/>
    <w:rsid w:val="00F32BD7"/>
    <w:rsid w:val="00F32E68"/>
    <w:rsid w:val="00F3444E"/>
    <w:rsid w:val="00F34691"/>
    <w:rsid w:val="00F35F9D"/>
    <w:rsid w:val="00F363D1"/>
    <w:rsid w:val="00F365B2"/>
    <w:rsid w:val="00F36BF5"/>
    <w:rsid w:val="00F36BF7"/>
    <w:rsid w:val="00F37E0F"/>
    <w:rsid w:val="00F40725"/>
    <w:rsid w:val="00F40DA5"/>
    <w:rsid w:val="00F41309"/>
    <w:rsid w:val="00F416DF"/>
    <w:rsid w:val="00F41E74"/>
    <w:rsid w:val="00F43101"/>
    <w:rsid w:val="00F4498A"/>
    <w:rsid w:val="00F44A13"/>
    <w:rsid w:val="00F44F07"/>
    <w:rsid w:val="00F45C25"/>
    <w:rsid w:val="00F45ECC"/>
    <w:rsid w:val="00F4678D"/>
    <w:rsid w:val="00F47AAB"/>
    <w:rsid w:val="00F47AD6"/>
    <w:rsid w:val="00F5110E"/>
    <w:rsid w:val="00F511E7"/>
    <w:rsid w:val="00F5131A"/>
    <w:rsid w:val="00F52ED7"/>
    <w:rsid w:val="00F53518"/>
    <w:rsid w:val="00F53F72"/>
    <w:rsid w:val="00F54777"/>
    <w:rsid w:val="00F551C2"/>
    <w:rsid w:val="00F55476"/>
    <w:rsid w:val="00F56047"/>
    <w:rsid w:val="00F5611B"/>
    <w:rsid w:val="00F561D5"/>
    <w:rsid w:val="00F561EF"/>
    <w:rsid w:val="00F56B03"/>
    <w:rsid w:val="00F5754C"/>
    <w:rsid w:val="00F60BAF"/>
    <w:rsid w:val="00F62BD9"/>
    <w:rsid w:val="00F62E03"/>
    <w:rsid w:val="00F63093"/>
    <w:rsid w:val="00F63BF0"/>
    <w:rsid w:val="00F64322"/>
    <w:rsid w:val="00F645A9"/>
    <w:rsid w:val="00F64703"/>
    <w:rsid w:val="00F6591C"/>
    <w:rsid w:val="00F667BA"/>
    <w:rsid w:val="00F66ABF"/>
    <w:rsid w:val="00F66AFA"/>
    <w:rsid w:val="00F67369"/>
    <w:rsid w:val="00F67704"/>
    <w:rsid w:val="00F70555"/>
    <w:rsid w:val="00F70D13"/>
    <w:rsid w:val="00F70E1F"/>
    <w:rsid w:val="00F7155E"/>
    <w:rsid w:val="00F7166E"/>
    <w:rsid w:val="00F71C56"/>
    <w:rsid w:val="00F71DAC"/>
    <w:rsid w:val="00F72871"/>
    <w:rsid w:val="00F72BBC"/>
    <w:rsid w:val="00F72D7A"/>
    <w:rsid w:val="00F7347E"/>
    <w:rsid w:val="00F73AA0"/>
    <w:rsid w:val="00F748AE"/>
    <w:rsid w:val="00F74A75"/>
    <w:rsid w:val="00F74C1D"/>
    <w:rsid w:val="00F75AD4"/>
    <w:rsid w:val="00F75E3A"/>
    <w:rsid w:val="00F76C83"/>
    <w:rsid w:val="00F7792C"/>
    <w:rsid w:val="00F77A02"/>
    <w:rsid w:val="00F77A5E"/>
    <w:rsid w:val="00F80559"/>
    <w:rsid w:val="00F80CF2"/>
    <w:rsid w:val="00F81A21"/>
    <w:rsid w:val="00F81B0F"/>
    <w:rsid w:val="00F825B0"/>
    <w:rsid w:val="00F8292D"/>
    <w:rsid w:val="00F82AEF"/>
    <w:rsid w:val="00F83103"/>
    <w:rsid w:val="00F83735"/>
    <w:rsid w:val="00F83DE5"/>
    <w:rsid w:val="00F8406F"/>
    <w:rsid w:val="00F8492D"/>
    <w:rsid w:val="00F851EE"/>
    <w:rsid w:val="00F853E3"/>
    <w:rsid w:val="00F8602D"/>
    <w:rsid w:val="00F8624F"/>
    <w:rsid w:val="00F8646E"/>
    <w:rsid w:val="00F868BD"/>
    <w:rsid w:val="00F86A7A"/>
    <w:rsid w:val="00F86E27"/>
    <w:rsid w:val="00F870C2"/>
    <w:rsid w:val="00F874F7"/>
    <w:rsid w:val="00F87A52"/>
    <w:rsid w:val="00F87CE6"/>
    <w:rsid w:val="00F87CFE"/>
    <w:rsid w:val="00F87E5A"/>
    <w:rsid w:val="00F9005A"/>
    <w:rsid w:val="00F902FD"/>
    <w:rsid w:val="00F903D2"/>
    <w:rsid w:val="00F906C8"/>
    <w:rsid w:val="00F91213"/>
    <w:rsid w:val="00F91B8E"/>
    <w:rsid w:val="00F91E13"/>
    <w:rsid w:val="00F91E24"/>
    <w:rsid w:val="00F9232D"/>
    <w:rsid w:val="00F92C2C"/>
    <w:rsid w:val="00F9358D"/>
    <w:rsid w:val="00F94057"/>
    <w:rsid w:val="00F96163"/>
    <w:rsid w:val="00F96187"/>
    <w:rsid w:val="00F968E0"/>
    <w:rsid w:val="00F968E7"/>
    <w:rsid w:val="00F96AC2"/>
    <w:rsid w:val="00F9743A"/>
    <w:rsid w:val="00F975CE"/>
    <w:rsid w:val="00FA017C"/>
    <w:rsid w:val="00FA053D"/>
    <w:rsid w:val="00FA07AA"/>
    <w:rsid w:val="00FA1A8F"/>
    <w:rsid w:val="00FA1CED"/>
    <w:rsid w:val="00FA2303"/>
    <w:rsid w:val="00FA49A2"/>
    <w:rsid w:val="00FA59B5"/>
    <w:rsid w:val="00FA5BB2"/>
    <w:rsid w:val="00FA5BFF"/>
    <w:rsid w:val="00FA7F5A"/>
    <w:rsid w:val="00FB0039"/>
    <w:rsid w:val="00FB0858"/>
    <w:rsid w:val="00FB0D33"/>
    <w:rsid w:val="00FB18BF"/>
    <w:rsid w:val="00FB2137"/>
    <w:rsid w:val="00FB3597"/>
    <w:rsid w:val="00FB400F"/>
    <w:rsid w:val="00FB5187"/>
    <w:rsid w:val="00FB54DD"/>
    <w:rsid w:val="00FB54E6"/>
    <w:rsid w:val="00FB5AB0"/>
    <w:rsid w:val="00FB6BD0"/>
    <w:rsid w:val="00FB799C"/>
    <w:rsid w:val="00FB7B6A"/>
    <w:rsid w:val="00FB7CCD"/>
    <w:rsid w:val="00FC08C9"/>
    <w:rsid w:val="00FC099E"/>
    <w:rsid w:val="00FC10AD"/>
    <w:rsid w:val="00FC149C"/>
    <w:rsid w:val="00FC1884"/>
    <w:rsid w:val="00FC2581"/>
    <w:rsid w:val="00FC2ABE"/>
    <w:rsid w:val="00FC3534"/>
    <w:rsid w:val="00FC4DA8"/>
    <w:rsid w:val="00FC5755"/>
    <w:rsid w:val="00FC5B45"/>
    <w:rsid w:val="00FC6116"/>
    <w:rsid w:val="00FC7560"/>
    <w:rsid w:val="00FC7795"/>
    <w:rsid w:val="00FC7871"/>
    <w:rsid w:val="00FC7DFB"/>
    <w:rsid w:val="00FD12E9"/>
    <w:rsid w:val="00FD1BA2"/>
    <w:rsid w:val="00FD1E9F"/>
    <w:rsid w:val="00FD1EA2"/>
    <w:rsid w:val="00FD279E"/>
    <w:rsid w:val="00FD29E8"/>
    <w:rsid w:val="00FD2A2C"/>
    <w:rsid w:val="00FD2D89"/>
    <w:rsid w:val="00FD358E"/>
    <w:rsid w:val="00FD3A91"/>
    <w:rsid w:val="00FD3F90"/>
    <w:rsid w:val="00FD4807"/>
    <w:rsid w:val="00FD5602"/>
    <w:rsid w:val="00FD58B0"/>
    <w:rsid w:val="00FD6428"/>
    <w:rsid w:val="00FD681C"/>
    <w:rsid w:val="00FD6A17"/>
    <w:rsid w:val="00FD6C39"/>
    <w:rsid w:val="00FD6C42"/>
    <w:rsid w:val="00FD6E02"/>
    <w:rsid w:val="00FD6F1C"/>
    <w:rsid w:val="00FD71EA"/>
    <w:rsid w:val="00FD7512"/>
    <w:rsid w:val="00FD7990"/>
    <w:rsid w:val="00FE005B"/>
    <w:rsid w:val="00FE0573"/>
    <w:rsid w:val="00FE05AF"/>
    <w:rsid w:val="00FE0B65"/>
    <w:rsid w:val="00FE11FB"/>
    <w:rsid w:val="00FE2D17"/>
    <w:rsid w:val="00FE34C1"/>
    <w:rsid w:val="00FE37AF"/>
    <w:rsid w:val="00FE449C"/>
    <w:rsid w:val="00FE522A"/>
    <w:rsid w:val="00FE55FD"/>
    <w:rsid w:val="00FE63E0"/>
    <w:rsid w:val="00FE76A1"/>
    <w:rsid w:val="00FE7BCB"/>
    <w:rsid w:val="00FF0E82"/>
    <w:rsid w:val="00FF1452"/>
    <w:rsid w:val="00FF167D"/>
    <w:rsid w:val="00FF1BF3"/>
    <w:rsid w:val="00FF1BFC"/>
    <w:rsid w:val="00FF1EB0"/>
    <w:rsid w:val="00FF22AD"/>
    <w:rsid w:val="00FF3440"/>
    <w:rsid w:val="00FF43AE"/>
    <w:rsid w:val="00FF59FE"/>
    <w:rsid w:val="00FF5EEF"/>
    <w:rsid w:val="00FF69B4"/>
    <w:rsid w:val="00FF7CCE"/>
    <w:rsid w:val="00FF7C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C77D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8" w:unhideWhenUsed="1"/>
    <w:lsdException w:name="heading 7" w:semiHidden="1" w:uiPriority="9" w:unhideWhenUsed="1"/>
    <w:lsdException w:name="heading 8" w:semiHidden="1" w:uiPriority="9"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8"/>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0CA2"/>
    <w:pPr>
      <w:spacing w:line="260" w:lineRule="atLeast"/>
    </w:pPr>
    <w:rPr>
      <w:rFonts w:eastAsia="Calibri"/>
      <w:sz w:val="22"/>
      <w:lang w:eastAsia="en-US"/>
    </w:rPr>
  </w:style>
  <w:style w:type="paragraph" w:styleId="Heading1">
    <w:name w:val="heading 1"/>
    <w:basedOn w:val="Normal"/>
    <w:next w:val="Normal"/>
    <w:link w:val="Heading1Char"/>
    <w:uiPriority w:val="9"/>
    <w:rsid w:val="00F71C56"/>
    <w:pPr>
      <w:keepNext/>
      <w:keepLines/>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uiPriority w:val="9"/>
    <w:qFormat/>
    <w:rsid w:val="00F71C56"/>
    <w:pPr>
      <w:keepNext/>
      <w:keepLines/>
      <w:spacing w:before="200" w:line="280" w:lineRule="atLeast"/>
      <w:outlineLvl w:val="1"/>
    </w:pPr>
    <w:rPr>
      <w:rFonts w:ascii="Arial" w:hAnsi="Arial" w:cs="Arial"/>
      <w:b/>
      <w:bCs/>
      <w:iCs/>
      <w:szCs w:val="28"/>
    </w:rPr>
  </w:style>
  <w:style w:type="paragraph" w:styleId="Heading3">
    <w:name w:val="heading 3"/>
    <w:basedOn w:val="Normal"/>
    <w:next w:val="Normal"/>
    <w:link w:val="Heading3Char"/>
    <w:uiPriority w:val="9"/>
    <w:semiHidden/>
    <w:qFormat/>
    <w:rsid w:val="00F71C56"/>
    <w:pPr>
      <w:keepNext/>
      <w:keepLines/>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uiPriority w:val="9"/>
    <w:semiHidden/>
    <w:qFormat/>
    <w:rsid w:val="00F71C56"/>
    <w:pPr>
      <w:keepNext/>
      <w:keepLines/>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uiPriority w:val="9"/>
    <w:semiHidden/>
    <w:qFormat/>
    <w:rsid w:val="00F71C56"/>
    <w:pPr>
      <w:keepNext/>
      <w:keepLines/>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iPriority w:val="98"/>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8F3A9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8F3A9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F71C5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44E"/>
    <w:rPr>
      <w:rFonts w:ascii="Arial" w:hAnsi="Arial" w:cs="Arial"/>
      <w:b/>
      <w:bCs/>
      <w:caps/>
      <w:kern w:val="32"/>
      <w:szCs w:val="32"/>
    </w:rPr>
  </w:style>
  <w:style w:type="character" w:customStyle="1" w:styleId="Heading2Char">
    <w:name w:val="Heading 2 Char"/>
    <w:basedOn w:val="DefaultParagraphFont"/>
    <w:link w:val="Heading2"/>
    <w:uiPriority w:val="9"/>
    <w:rsid w:val="004C144E"/>
    <w:rPr>
      <w:rFonts w:ascii="Arial" w:hAnsi="Arial" w:cs="Arial"/>
      <w:b/>
      <w:bCs/>
      <w:iCs/>
      <w:sz w:val="22"/>
      <w:szCs w:val="28"/>
    </w:rPr>
  </w:style>
  <w:style w:type="character" w:customStyle="1" w:styleId="Heading3Char">
    <w:name w:val="Heading 3 Char"/>
    <w:basedOn w:val="DefaultParagraphFont"/>
    <w:link w:val="Heading3"/>
    <w:uiPriority w:val="9"/>
    <w:semiHidden/>
    <w:rsid w:val="004C144E"/>
    <w:rPr>
      <w:rFonts w:ascii="Arial" w:hAnsi="Arial" w:cs="Arial"/>
      <w:b/>
      <w:bCs/>
      <w:i/>
      <w:szCs w:val="26"/>
    </w:rPr>
  </w:style>
  <w:style w:type="character" w:customStyle="1" w:styleId="Heading4Char">
    <w:name w:val="Heading 4 Char"/>
    <w:basedOn w:val="DefaultParagraphFont"/>
    <w:link w:val="Heading4"/>
    <w:uiPriority w:val="9"/>
    <w:semiHidden/>
    <w:rsid w:val="004C144E"/>
    <w:rPr>
      <w:rFonts w:ascii="Arial" w:hAnsi="Arial" w:cs="Arial"/>
      <w:bCs/>
      <w:i/>
      <w:szCs w:val="28"/>
    </w:rPr>
  </w:style>
  <w:style w:type="character" w:customStyle="1" w:styleId="Heading5Char">
    <w:name w:val="Heading 5 Char"/>
    <w:basedOn w:val="DefaultParagraphFont"/>
    <w:link w:val="Heading5"/>
    <w:uiPriority w:val="9"/>
    <w:semiHidden/>
    <w:rsid w:val="004C144E"/>
    <w:rPr>
      <w:rFonts w:ascii="Arial" w:hAnsi="Arial" w:cs="Arial"/>
      <w:b/>
      <w:bCs/>
      <w:iCs/>
      <w:sz w:val="18"/>
      <w:szCs w:val="26"/>
    </w:rPr>
  </w:style>
  <w:style w:type="character" w:customStyle="1" w:styleId="Heading6Char">
    <w:name w:val="Heading 6 Char"/>
    <w:basedOn w:val="DefaultParagraphFont"/>
    <w:link w:val="Heading6"/>
    <w:uiPriority w:val="98"/>
    <w:semiHidden/>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F3A9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9"/>
    <w:semiHidden/>
    <w:rsid w:val="004C144E"/>
    <w:rPr>
      <w:rFonts w:ascii="Arial" w:hAnsi="Arial" w:cs="Arial"/>
      <w:sz w:val="22"/>
      <w:szCs w:val="22"/>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uiPriority w:val="99"/>
    <w:rsid w:val="00D67B29"/>
    <w:pPr>
      <w:tabs>
        <w:tab w:val="center" w:pos="4153"/>
        <w:tab w:val="right" w:pos="8306"/>
      </w:tabs>
    </w:pPr>
    <w:rPr>
      <w:sz w:val="22"/>
      <w:szCs w:val="24"/>
    </w:rPr>
  </w:style>
  <w:style w:type="character" w:customStyle="1" w:styleId="FooterChar">
    <w:name w:val="Footer Char"/>
    <w:basedOn w:val="DefaultParagraphFont"/>
    <w:link w:val="Footer"/>
    <w:uiPriority w:val="99"/>
    <w:rsid w:val="00F71C56"/>
    <w:rPr>
      <w:sz w:val="22"/>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semiHidden/>
    <w:rsid w:val="00F71C56"/>
    <w:rPr>
      <w:rFonts w:ascii="Arial" w:hAnsi="Arial" w:cs="Arial"/>
      <w:b w:val="0"/>
      <w:i w:val="0"/>
      <w:sz w:val="22"/>
      <w:vertAlign w:val="superscript"/>
    </w:rPr>
  </w:style>
  <w:style w:type="paragraph" w:styleId="FootnoteText">
    <w:name w:val="footnote text"/>
    <w:basedOn w:val="Normal"/>
    <w:link w:val="FootnoteTextChar"/>
    <w:semiHidden/>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h1Sch">
    <w:name w:val="h1_Sch"/>
    <w:basedOn w:val="baseheading"/>
    <w:next w:val="h2SchPart"/>
    <w:qFormat/>
    <w:rsid w:val="00AD2D6F"/>
    <w:pPr>
      <w:spacing w:before="480"/>
      <w:outlineLvl w:val="0"/>
    </w:pPr>
    <w:rPr>
      <w:rFonts w:ascii="Times New Roman" w:hAnsi="Times New Roman"/>
      <w:sz w:val="36"/>
    </w:rPr>
  </w:style>
  <w:style w:type="paragraph" w:customStyle="1" w:styleId="h2SchPart">
    <w:name w:val="h2_Sch_Part"/>
    <w:basedOn w:val="baseheading"/>
    <w:next w:val="h3SchDiv"/>
    <w:qFormat/>
    <w:rsid w:val="00F71C56"/>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iPriority w:val="99"/>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uiPriority w:val="99"/>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Subpara">
    <w:name w:val="n_Subpara"/>
    <w:basedOn w:val="Normal"/>
    <w:qFormat/>
    <w:rsid w:val="007B1C64"/>
    <w:pPr>
      <w:tabs>
        <w:tab w:val="right" w:pos="2948"/>
      </w:tabs>
      <w:spacing w:after="100" w:line="220" w:lineRule="exact"/>
      <w:ind w:left="3119" w:hanging="3119"/>
    </w:pPr>
    <w:rPr>
      <w:sz w:val="18"/>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basedOn w:val="NormalBase"/>
    <w:uiPriority w:val="1"/>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rsid w:val="00D67B29"/>
    <w:pPr>
      <w:spacing w:before="60" w:line="240" w:lineRule="atLeast"/>
    </w:pPr>
    <w:rPr>
      <w:sz w:val="20"/>
    </w:rPr>
  </w:style>
  <w:style w:type="paragraph" w:styleId="TOC1">
    <w:name w:val="toc 1"/>
    <w:basedOn w:val="OPCParaBase"/>
    <w:next w:val="Normal"/>
    <w:uiPriority w:val="39"/>
    <w:unhideWhenUsed/>
    <w:rsid w:val="003E284A"/>
    <w:pPr>
      <w:keepNext/>
      <w:keepLines/>
      <w:tabs>
        <w:tab w:val="right" w:pos="8278"/>
      </w:tabs>
      <w:spacing w:before="120" w:line="240" w:lineRule="auto"/>
      <w:ind w:left="1474" w:right="1021" w:hanging="1474"/>
    </w:pPr>
    <w:rPr>
      <w:b/>
      <w:kern w:val="28"/>
      <w:sz w:val="28"/>
    </w:rPr>
  </w:style>
  <w:style w:type="paragraph" w:styleId="TOC2">
    <w:name w:val="toc 2"/>
    <w:basedOn w:val="OPCParaBase"/>
    <w:next w:val="Normal"/>
    <w:uiPriority w:val="39"/>
    <w:unhideWhenUsed/>
    <w:rsid w:val="003E284A"/>
    <w:pPr>
      <w:keepNext/>
      <w:keepLines/>
      <w:tabs>
        <w:tab w:val="right" w:pos="8278"/>
      </w:tabs>
      <w:spacing w:before="120" w:line="240" w:lineRule="auto"/>
      <w:ind w:left="879" w:right="1021" w:hanging="879"/>
    </w:pPr>
    <w:rPr>
      <w:b/>
      <w:kern w:val="28"/>
      <w:sz w:val="24"/>
    </w:rPr>
  </w:style>
  <w:style w:type="paragraph" w:styleId="TOC3">
    <w:name w:val="toc 3"/>
    <w:basedOn w:val="OPCParaBase"/>
    <w:next w:val="Normal"/>
    <w:uiPriority w:val="39"/>
    <w:unhideWhenUsed/>
    <w:rsid w:val="003E284A"/>
    <w:pPr>
      <w:keepNext/>
      <w:keepLines/>
      <w:tabs>
        <w:tab w:val="right" w:pos="8278"/>
      </w:tabs>
      <w:spacing w:before="80" w:line="240" w:lineRule="auto"/>
      <w:ind w:left="1604" w:right="1021" w:hanging="1179"/>
    </w:pPr>
    <w:rPr>
      <w:b/>
      <w:kern w:val="28"/>
    </w:rPr>
  </w:style>
  <w:style w:type="paragraph" w:styleId="TOC4">
    <w:name w:val="toc 4"/>
    <w:basedOn w:val="OPCParaBase"/>
    <w:next w:val="Normal"/>
    <w:uiPriority w:val="39"/>
    <w:unhideWhenUsed/>
    <w:rsid w:val="003E284A"/>
    <w:pPr>
      <w:keepLines/>
      <w:tabs>
        <w:tab w:val="right" w:pos="8278"/>
      </w:tabs>
      <w:spacing w:before="80" w:line="240" w:lineRule="auto"/>
      <w:ind w:left="2183" w:right="1021" w:hanging="1332"/>
    </w:pPr>
    <w:rPr>
      <w:b/>
      <w:kern w:val="28"/>
      <w:sz w:val="20"/>
    </w:rPr>
  </w:style>
  <w:style w:type="paragraph" w:styleId="TOC5">
    <w:name w:val="toc 5"/>
    <w:basedOn w:val="OPCParaBase"/>
    <w:next w:val="Normal"/>
    <w:uiPriority w:val="39"/>
    <w:unhideWhenUsed/>
    <w:rsid w:val="003E284A"/>
    <w:pPr>
      <w:keepLines/>
      <w:tabs>
        <w:tab w:val="right" w:pos="8278"/>
      </w:tabs>
      <w:spacing w:before="40" w:line="240" w:lineRule="auto"/>
      <w:ind w:left="1985" w:right="1021" w:hanging="567"/>
    </w:pPr>
    <w:rPr>
      <w:kern w:val="28"/>
      <w:sz w:val="18"/>
    </w:rPr>
  </w:style>
  <w:style w:type="paragraph" w:styleId="TOC6">
    <w:name w:val="toc 6"/>
    <w:basedOn w:val="OPCParaBase"/>
    <w:next w:val="Normal"/>
    <w:uiPriority w:val="39"/>
    <w:unhideWhenUsed/>
    <w:rsid w:val="003E284A"/>
    <w:pPr>
      <w:keepLines/>
      <w:tabs>
        <w:tab w:val="right" w:pos="8278"/>
      </w:tabs>
      <w:spacing w:before="120" w:line="240" w:lineRule="auto"/>
      <w:ind w:left="1344" w:right="1021" w:hanging="1344"/>
    </w:pPr>
    <w:rPr>
      <w:b/>
      <w:kern w:val="28"/>
      <w:sz w:val="24"/>
    </w:rPr>
  </w:style>
  <w:style w:type="paragraph" w:styleId="TOC7">
    <w:name w:val="toc 7"/>
    <w:basedOn w:val="OPCParaBase"/>
    <w:next w:val="Normal"/>
    <w:uiPriority w:val="39"/>
    <w:unhideWhenUsed/>
    <w:rsid w:val="003E284A"/>
    <w:pPr>
      <w:keepLines/>
      <w:tabs>
        <w:tab w:val="right" w:pos="8278"/>
      </w:tabs>
      <w:spacing w:before="120" w:line="240" w:lineRule="auto"/>
      <w:ind w:left="1253" w:right="1021" w:hanging="828"/>
    </w:pPr>
    <w:rPr>
      <w:kern w:val="28"/>
      <w:sz w:val="24"/>
    </w:rPr>
  </w:style>
  <w:style w:type="paragraph" w:styleId="TOC8">
    <w:name w:val="toc 8"/>
    <w:basedOn w:val="OPCParaBase"/>
    <w:next w:val="Normal"/>
    <w:uiPriority w:val="39"/>
    <w:unhideWhenUsed/>
    <w:rsid w:val="003E284A"/>
    <w:pPr>
      <w:keepLines/>
      <w:tabs>
        <w:tab w:val="right" w:pos="8278"/>
      </w:tabs>
      <w:spacing w:before="80" w:line="240" w:lineRule="auto"/>
      <w:ind w:left="1900" w:right="1021" w:hanging="1049"/>
    </w:pPr>
    <w:rPr>
      <w:kern w:val="28"/>
      <w:sz w:val="20"/>
    </w:rPr>
  </w:style>
  <w:style w:type="paragraph" w:styleId="TOC9">
    <w:name w:val="toc 9"/>
    <w:basedOn w:val="OPCParaBase"/>
    <w:next w:val="Normal"/>
    <w:uiPriority w:val="39"/>
    <w:unhideWhenUsed/>
    <w:rsid w:val="003E284A"/>
    <w:pPr>
      <w:keepLines/>
      <w:tabs>
        <w:tab w:val="right" w:pos="8278"/>
      </w:tabs>
      <w:spacing w:before="80" w:line="240" w:lineRule="auto"/>
      <w:ind w:left="851" w:right="1021"/>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6C4A30"/>
    <w:pPr>
      <w:spacing w:after="300" w:line="240" w:lineRule="atLeast"/>
    </w:pPr>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iPriority w:val="99"/>
    <w:semiHidden/>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3235A"/>
    <w:rPr>
      <w:rFonts w:ascii="Tahoma" w:eastAsia="Calibri" w:hAnsi="Tahoma"/>
      <w:sz w:val="16"/>
      <w:szCs w:val="16"/>
    </w:rPr>
  </w:style>
  <w:style w:type="paragraph" w:styleId="ListParagraph">
    <w:name w:val="List Paragraph"/>
    <w:basedOn w:val="Normal"/>
    <w:uiPriority w:val="34"/>
    <w:qFormat/>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OPCParaBase">
    <w:name w:val="OPCParaBase"/>
    <w:qFormat/>
    <w:rsid w:val="00D67B29"/>
    <w:pPr>
      <w:spacing w:line="260" w:lineRule="atLeast"/>
    </w:pPr>
    <w:rPr>
      <w:sz w:val="22"/>
    </w:rPr>
  </w:style>
  <w:style w:type="paragraph" w:customStyle="1" w:styleId="h1Chap">
    <w:name w:val="h1_Chap"/>
    <w:aliases w:val="ActHead 1"/>
    <w:basedOn w:val="OPCParaBase"/>
    <w:next w:val="Normal"/>
    <w:qFormat/>
    <w:rsid w:val="00612957"/>
    <w:pPr>
      <w:keepNext/>
      <w:keepLines/>
      <w:pageBreakBefore/>
      <w:spacing w:line="240" w:lineRule="auto"/>
      <w:ind w:left="1134" w:hanging="1134"/>
      <w:outlineLvl w:val="0"/>
    </w:pPr>
    <w:rPr>
      <w:b/>
      <w:kern w:val="28"/>
      <w:sz w:val="36"/>
    </w:rPr>
  </w:style>
  <w:style w:type="paragraph" w:customStyle="1" w:styleId="h2Part">
    <w:name w:val="h2_Part"/>
    <w:aliases w:val="ActHead 2"/>
    <w:basedOn w:val="OPCParaBase"/>
    <w:next w:val="Normal"/>
    <w:qFormat/>
    <w:rsid w:val="00F74C1D"/>
    <w:pPr>
      <w:keepNext/>
      <w:keepLines/>
      <w:pageBreakBefore/>
      <w:spacing w:before="280" w:line="240" w:lineRule="auto"/>
      <w:ind w:left="1134" w:hanging="1134"/>
      <w:outlineLvl w:val="1"/>
    </w:pPr>
    <w:rPr>
      <w:b/>
      <w:kern w:val="28"/>
      <w:sz w:val="32"/>
    </w:rPr>
  </w:style>
  <w:style w:type="paragraph" w:customStyle="1" w:styleId="h3Div">
    <w:name w:val="h3_Div"/>
    <w:aliases w:val="ActHead 3"/>
    <w:basedOn w:val="OPCParaBase"/>
    <w:next w:val="Normal"/>
    <w:qFormat/>
    <w:rsid w:val="00D67B29"/>
    <w:pPr>
      <w:keepNext/>
      <w:keepLines/>
      <w:spacing w:before="240" w:line="240" w:lineRule="auto"/>
      <w:ind w:left="1134" w:hanging="1134"/>
      <w:outlineLvl w:val="2"/>
    </w:pPr>
    <w:rPr>
      <w:b/>
      <w:kern w:val="28"/>
      <w:sz w:val="28"/>
    </w:rPr>
  </w:style>
  <w:style w:type="paragraph" w:customStyle="1" w:styleId="h4Subdiv">
    <w:name w:val="h4_Subdiv"/>
    <w:aliases w:val="ActHead 4"/>
    <w:basedOn w:val="OPCParaBase"/>
    <w:next w:val="Normal"/>
    <w:qFormat/>
    <w:rsid w:val="00D67B29"/>
    <w:pPr>
      <w:keepNext/>
      <w:keepLines/>
      <w:spacing w:before="220" w:line="240" w:lineRule="auto"/>
      <w:ind w:left="1134" w:hanging="1134"/>
      <w:outlineLvl w:val="3"/>
    </w:pPr>
    <w:rPr>
      <w:b/>
      <w:kern w:val="28"/>
      <w:sz w:val="26"/>
    </w:rPr>
  </w:style>
  <w:style w:type="paragraph" w:customStyle="1" w:styleId="h5Section">
    <w:name w:val="h5_Section"/>
    <w:aliases w:val="ActHead 5,s"/>
    <w:basedOn w:val="OPCParaBase"/>
    <w:next w:val="Normal"/>
    <w:qFormat/>
    <w:rsid w:val="00D67B2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Normal"/>
    <w:qFormat/>
    <w:rsid w:val="00B80CA2"/>
    <w:pPr>
      <w:keepNext/>
      <w:keepLines/>
      <w:spacing w:line="240" w:lineRule="auto"/>
      <w:ind w:left="1134" w:hanging="1134"/>
      <w:outlineLvl w:val="5"/>
    </w:pPr>
    <w:rPr>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style>
  <w:style w:type="character" w:customStyle="1" w:styleId="OPCCharBase">
    <w:name w:val="OPCCharBase"/>
    <w:uiPriority w:val="1"/>
    <w:qFormat/>
    <w:rsid w:val="00D67B29"/>
  </w:style>
  <w:style w:type="character" w:customStyle="1" w:styleId="CharAmPartNo">
    <w:name w:val="CharAmPartNo"/>
    <w:basedOn w:val="OPCCharBase"/>
    <w:uiPriority w:val="1"/>
    <w:qFormat/>
    <w:rsid w:val="00D67B29"/>
  </w:style>
  <w:style w:type="character" w:customStyle="1" w:styleId="CharAmPartText">
    <w:name w:val="CharAmPartText"/>
    <w:basedOn w:val="OPCCharBase"/>
    <w:uiPriority w:val="1"/>
    <w:qFormat/>
    <w:rsid w:val="00D67B29"/>
  </w:style>
  <w:style w:type="character" w:customStyle="1" w:styleId="CharAmSchNo">
    <w:name w:val="CharAmSchNo"/>
    <w:basedOn w:val="OPCCharBase"/>
    <w:qFormat/>
    <w:rsid w:val="00D67B29"/>
  </w:style>
  <w:style w:type="character" w:customStyle="1" w:styleId="CharAmSchText">
    <w:name w:val="CharAmSchText"/>
    <w:basedOn w:val="OPCCharBase"/>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qFormat/>
    <w:rsid w:val="00D67B29"/>
  </w:style>
  <w:style w:type="character" w:customStyle="1" w:styleId="CharDivText">
    <w:name w:val="CharDivText"/>
    <w:basedOn w:val="OPCCharBase"/>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qFormat/>
    <w:rsid w:val="00D67B29"/>
  </w:style>
  <w:style w:type="character" w:customStyle="1" w:styleId="CharPartText">
    <w:name w:val="CharPartText"/>
    <w:basedOn w:val="OPCCharBase"/>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tDefn">
    <w:name w:val="t_Defn"/>
    <w:aliases w:val="Definition,dd"/>
    <w:basedOn w:val="OPCParaBase"/>
    <w:uiPriority w:val="99"/>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iPriority w:val="99"/>
    <w:semiHidden/>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toHeading">
    <w:name w:val="n_to_Heading"/>
    <w:aliases w:val="nm,note(margin)"/>
    <w:basedOn w:val="OPCParaBase"/>
    <w:qFormat/>
    <w:rsid w:val="00F67704"/>
    <w:pPr>
      <w:tabs>
        <w:tab w:val="left" w:pos="709"/>
      </w:tabs>
      <w:spacing w:before="120" w:line="240" w:lineRule="auto"/>
      <w:ind w:left="709" w:hanging="709"/>
    </w:pPr>
    <w:rPr>
      <w:sz w:val="18"/>
    </w:rPr>
  </w:style>
  <w:style w:type="paragraph" w:customStyle="1" w:styleId="nPara">
    <w:name w:val="n_Para"/>
    <w:aliases w:val="na,note(para)"/>
    <w:basedOn w:val="OPCParaBase"/>
    <w:qFormat/>
    <w:rsid w:val="00F67704"/>
    <w:pPr>
      <w:spacing w:before="40" w:line="240" w:lineRule="auto"/>
      <w:ind w:left="2268" w:hanging="567"/>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Main">
    <w:name w:val="n_Main"/>
    <w:aliases w:val="n,note(text)"/>
    <w:basedOn w:val="OPCParaBase"/>
    <w:qFormat/>
    <w:rsid w:val="00F67704"/>
    <w:pPr>
      <w:spacing w:before="120"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tSubpara">
    <w:name w:val="t_Subpara"/>
    <w:aliases w:val="paragraph(sub),aa"/>
    <w:basedOn w:val="OPCParaBase"/>
    <w:qFormat/>
    <w:rsid w:val="00D67B29"/>
    <w:pPr>
      <w:tabs>
        <w:tab w:val="right" w:pos="1985"/>
      </w:tabs>
      <w:spacing w:before="40" w:line="240" w:lineRule="auto"/>
      <w:ind w:left="2098" w:hanging="2098"/>
    </w:pPr>
  </w:style>
  <w:style w:type="paragraph" w:customStyle="1" w:styleId="tSubsub">
    <w:name w:val="t_Subsub"/>
    <w:aliases w:val="paragraph(sub-sub)"/>
    <w:basedOn w:val="OPCParaBase"/>
    <w:qFormat/>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tPara">
    <w:name w:val="t_Para"/>
    <w:aliases w:val="paragraph,a"/>
    <w:basedOn w:val="OPCParaBase"/>
    <w:link w:val="paragraphChar"/>
    <w:qFormat/>
    <w:rsid w:val="00D67B29"/>
    <w:pPr>
      <w:tabs>
        <w:tab w:val="right" w:pos="1531"/>
      </w:tabs>
      <w:spacing w:before="40" w:line="240" w:lineRule="auto"/>
      <w:ind w:left="1644" w:hanging="1644"/>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link w:val="SOTextChar"/>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qFormat/>
    <w:rsid w:val="00D67B29"/>
    <w:pPr>
      <w:tabs>
        <w:tab w:val="left" w:pos="1560"/>
      </w:tabs>
      <w:ind w:left="2268" w:hanging="1134"/>
    </w:pPr>
  </w:style>
  <w:style w:type="paragraph" w:customStyle="1" w:styleId="SOHeadBold">
    <w:name w:val="SO HeadBold"/>
    <w:aliases w:val="sohb"/>
    <w:basedOn w:val="SOText"/>
    <w:next w:val="SOText"/>
    <w:qFormat/>
    <w:rsid w:val="00D67B29"/>
    <w:rPr>
      <w:b/>
    </w:rPr>
  </w:style>
  <w:style w:type="paragraph" w:customStyle="1" w:styleId="SOHeadItalic">
    <w:name w:val="SO HeadItalic"/>
    <w:aliases w:val="sohi"/>
    <w:basedOn w:val="SOText"/>
    <w:next w:val="SOText"/>
    <w:qFormat/>
    <w:rsid w:val="00D67B29"/>
    <w:rPr>
      <w:i/>
    </w:rPr>
  </w:style>
  <w:style w:type="paragraph" w:customStyle="1" w:styleId="SOPara">
    <w:name w:val="SO Para"/>
    <w:aliases w:val="soa"/>
    <w:basedOn w:val="SOText"/>
    <w:qFormat/>
    <w:rsid w:val="00D67B29"/>
    <w:pPr>
      <w:tabs>
        <w:tab w:val="right" w:pos="1786"/>
      </w:tabs>
      <w:spacing w:before="40"/>
      <w:ind w:left="2070" w:hanging="936"/>
    </w:pPr>
  </w:style>
  <w:style w:type="paragraph" w:customStyle="1" w:styleId="SOText2">
    <w:name w:val="SO Text2"/>
    <w:aliases w:val="sot2"/>
    <w:basedOn w:val="Normal"/>
    <w:next w:val="SOText"/>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D67B29"/>
    <w:pPr>
      <w:keepNext/>
      <w:keepLines/>
      <w:spacing w:before="280"/>
      <w:ind w:left="1134" w:hanging="1134"/>
      <w:outlineLvl w:val="1"/>
    </w:pPr>
    <w:rPr>
      <w:b/>
      <w:kern w:val="28"/>
      <w:sz w:val="32"/>
    </w:rPr>
  </w:style>
  <w:style w:type="paragraph" w:customStyle="1" w:styleId="tMain">
    <w:name w:val="t_Main"/>
    <w:aliases w:val="subsection,ss"/>
    <w:basedOn w:val="OPCParaBase"/>
    <w:link w:val="subsectionChar"/>
    <w:qFormat/>
    <w:rsid w:val="00D67B29"/>
    <w:pPr>
      <w:tabs>
        <w:tab w:val="right" w:pos="1021"/>
      </w:tabs>
      <w:spacing w:before="180" w:line="240" w:lineRule="auto"/>
      <w:ind w:left="1134" w:hanging="1134"/>
    </w:pPr>
  </w:style>
  <w:style w:type="paragraph" w:customStyle="1" w:styleId="subsection2">
    <w:name w:val="subsection2"/>
    <w:aliases w:val="ss2"/>
    <w:basedOn w:val="OPCParaBase"/>
    <w:next w:val="tMain"/>
    <w:rsid w:val="00D67B29"/>
    <w:pPr>
      <w:spacing w:before="40" w:line="240" w:lineRule="auto"/>
      <w:ind w:left="1134"/>
    </w:pPr>
  </w:style>
  <w:style w:type="paragraph" w:customStyle="1" w:styleId="h6Subsec">
    <w:name w:val="h6_Subsec"/>
    <w:aliases w:val="SubsectionHead"/>
    <w:basedOn w:val="OPCParaBase"/>
    <w:next w:val="tMain"/>
    <w:qFormat/>
    <w:rsid w:val="00D67B29"/>
    <w:pPr>
      <w:keepNext/>
      <w:keepLines/>
      <w:spacing w:before="240" w:line="240" w:lineRule="auto"/>
      <w:ind w:left="1134"/>
    </w:pPr>
    <w:rPr>
      <w:i/>
    </w:rPr>
  </w:style>
  <w:style w:type="table" w:styleId="TableGrid">
    <w:name w:val="Table Grid"/>
    <w:basedOn w:val="TableNormal"/>
    <w:rsid w:val="00D67B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OPCParaBase"/>
    <w:rsid w:val="00D67B29"/>
    <w:pPr>
      <w:spacing w:before="6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7B29"/>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518B"/>
    <w:p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DC518B"/>
  </w:style>
  <w:style w:type="paragraph" w:styleId="BlockText">
    <w:name w:val="Block Text"/>
    <w:basedOn w:val="Normal"/>
    <w:unhideWhenUsed/>
    <w:rsid w:val="00DC51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DC518B"/>
    <w:pPr>
      <w:spacing w:after="120"/>
    </w:pPr>
  </w:style>
  <w:style w:type="character" w:customStyle="1" w:styleId="BodyTextChar">
    <w:name w:val="Body Text Char"/>
    <w:basedOn w:val="DefaultParagraphFont"/>
    <w:link w:val="BodyText"/>
    <w:rsid w:val="00DC518B"/>
    <w:rPr>
      <w:rFonts w:eastAsia="Calibri"/>
      <w:sz w:val="22"/>
      <w:lang w:eastAsia="en-US"/>
    </w:rPr>
  </w:style>
  <w:style w:type="paragraph" w:styleId="BodyText2">
    <w:name w:val="Body Text 2"/>
    <w:basedOn w:val="Normal"/>
    <w:link w:val="BodyText2Char"/>
    <w:uiPriority w:val="99"/>
    <w:semiHidden/>
    <w:unhideWhenUsed/>
    <w:rsid w:val="00DC518B"/>
    <w:pPr>
      <w:spacing w:after="120" w:line="480" w:lineRule="auto"/>
    </w:pPr>
  </w:style>
  <w:style w:type="character" w:customStyle="1" w:styleId="BodyText2Char">
    <w:name w:val="Body Text 2 Char"/>
    <w:basedOn w:val="DefaultParagraphFont"/>
    <w:link w:val="BodyText2"/>
    <w:uiPriority w:val="99"/>
    <w:semiHidden/>
    <w:rsid w:val="00DC518B"/>
    <w:rPr>
      <w:rFonts w:eastAsia="Calibri"/>
      <w:sz w:val="22"/>
      <w:lang w:eastAsia="en-US"/>
    </w:rPr>
  </w:style>
  <w:style w:type="paragraph" w:styleId="BodyText3">
    <w:name w:val="Body Text 3"/>
    <w:basedOn w:val="Normal"/>
    <w:link w:val="BodyText3Char"/>
    <w:uiPriority w:val="99"/>
    <w:semiHidden/>
    <w:unhideWhenUsed/>
    <w:rsid w:val="00DC518B"/>
    <w:pPr>
      <w:spacing w:after="120"/>
    </w:pPr>
    <w:rPr>
      <w:sz w:val="16"/>
      <w:szCs w:val="16"/>
    </w:rPr>
  </w:style>
  <w:style w:type="character" w:customStyle="1" w:styleId="BodyText3Char">
    <w:name w:val="Body Text 3 Char"/>
    <w:basedOn w:val="DefaultParagraphFont"/>
    <w:link w:val="BodyText3"/>
    <w:uiPriority w:val="99"/>
    <w:semiHidden/>
    <w:rsid w:val="00DC518B"/>
    <w:rPr>
      <w:rFonts w:eastAsia="Calibri"/>
      <w:sz w:val="16"/>
      <w:szCs w:val="16"/>
      <w:lang w:eastAsia="en-US"/>
    </w:rPr>
  </w:style>
  <w:style w:type="paragraph" w:styleId="BodyTextFirstIndent">
    <w:name w:val="Body Text First Indent"/>
    <w:basedOn w:val="BodyText"/>
    <w:link w:val="BodyTextFirstIndentChar"/>
    <w:uiPriority w:val="99"/>
    <w:semiHidden/>
    <w:rsid w:val="00DC518B"/>
    <w:pPr>
      <w:spacing w:after="0"/>
      <w:ind w:firstLine="360"/>
    </w:pPr>
  </w:style>
  <w:style w:type="character" w:customStyle="1" w:styleId="BodyTextFirstIndentChar">
    <w:name w:val="Body Text First Indent Char"/>
    <w:basedOn w:val="BodyTextChar"/>
    <w:link w:val="BodyTextFirstIndent"/>
    <w:uiPriority w:val="99"/>
    <w:semiHidden/>
    <w:rsid w:val="00DC518B"/>
    <w:rPr>
      <w:rFonts w:eastAsia="Calibri"/>
      <w:sz w:val="22"/>
      <w:lang w:eastAsia="en-US"/>
    </w:rPr>
  </w:style>
  <w:style w:type="paragraph" w:styleId="BodyTextIndent">
    <w:name w:val="Body Text Indent"/>
    <w:basedOn w:val="Normal"/>
    <w:link w:val="BodyTextIndentChar"/>
    <w:unhideWhenUsed/>
    <w:rsid w:val="00DC518B"/>
    <w:pPr>
      <w:spacing w:after="120"/>
      <w:ind w:left="283"/>
    </w:pPr>
  </w:style>
  <w:style w:type="character" w:customStyle="1" w:styleId="BodyTextIndentChar">
    <w:name w:val="Body Text Indent Char"/>
    <w:basedOn w:val="DefaultParagraphFont"/>
    <w:link w:val="BodyTextIndent"/>
    <w:rsid w:val="00DC518B"/>
    <w:rPr>
      <w:rFonts w:eastAsia="Calibri"/>
      <w:sz w:val="22"/>
      <w:lang w:eastAsia="en-US"/>
    </w:rPr>
  </w:style>
  <w:style w:type="paragraph" w:styleId="BodyTextFirstIndent2">
    <w:name w:val="Body Text First Indent 2"/>
    <w:basedOn w:val="BodyTextIndent"/>
    <w:link w:val="BodyTextFirstIndent2Char"/>
    <w:uiPriority w:val="99"/>
    <w:semiHidden/>
    <w:unhideWhenUsed/>
    <w:rsid w:val="00DC518B"/>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518B"/>
    <w:rPr>
      <w:rFonts w:eastAsia="Calibri"/>
      <w:sz w:val="22"/>
      <w:lang w:eastAsia="en-US"/>
    </w:rPr>
  </w:style>
  <w:style w:type="paragraph" w:styleId="BodyTextIndent2">
    <w:name w:val="Body Text Indent 2"/>
    <w:basedOn w:val="Normal"/>
    <w:link w:val="BodyTextIndent2Char"/>
    <w:uiPriority w:val="99"/>
    <w:semiHidden/>
    <w:unhideWhenUsed/>
    <w:rsid w:val="00DC518B"/>
    <w:pPr>
      <w:spacing w:after="120" w:line="480" w:lineRule="auto"/>
      <w:ind w:left="283"/>
    </w:pPr>
  </w:style>
  <w:style w:type="character" w:customStyle="1" w:styleId="BodyTextIndent2Char">
    <w:name w:val="Body Text Indent 2 Char"/>
    <w:basedOn w:val="DefaultParagraphFont"/>
    <w:link w:val="BodyTextIndent2"/>
    <w:uiPriority w:val="99"/>
    <w:semiHidden/>
    <w:rsid w:val="00DC518B"/>
    <w:rPr>
      <w:rFonts w:eastAsia="Calibri"/>
      <w:sz w:val="22"/>
      <w:lang w:eastAsia="en-US"/>
    </w:rPr>
  </w:style>
  <w:style w:type="paragraph" w:styleId="BodyTextIndent3">
    <w:name w:val="Body Text Indent 3"/>
    <w:basedOn w:val="Normal"/>
    <w:link w:val="BodyTextIndent3Char"/>
    <w:uiPriority w:val="99"/>
    <w:semiHidden/>
    <w:unhideWhenUsed/>
    <w:rsid w:val="00DC518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C518B"/>
    <w:rPr>
      <w:rFonts w:eastAsia="Calibri"/>
      <w:sz w:val="16"/>
      <w:szCs w:val="16"/>
      <w:lang w:eastAsia="en-US"/>
    </w:rPr>
  </w:style>
  <w:style w:type="paragraph" w:styleId="Caption">
    <w:name w:val="caption"/>
    <w:basedOn w:val="Normal"/>
    <w:next w:val="Normal"/>
    <w:uiPriority w:val="35"/>
    <w:unhideWhenUsed/>
    <w:rsid w:val="00DC518B"/>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DC518B"/>
    <w:pPr>
      <w:spacing w:line="240" w:lineRule="auto"/>
      <w:ind w:left="4252"/>
    </w:pPr>
  </w:style>
  <w:style w:type="character" w:customStyle="1" w:styleId="ClosingChar">
    <w:name w:val="Closing Char"/>
    <w:basedOn w:val="DefaultParagraphFont"/>
    <w:link w:val="Closing"/>
    <w:uiPriority w:val="99"/>
    <w:semiHidden/>
    <w:rsid w:val="00DC518B"/>
    <w:rPr>
      <w:rFonts w:eastAsia="Calibri"/>
      <w:sz w:val="22"/>
      <w:lang w:eastAsia="en-US"/>
    </w:rPr>
  </w:style>
  <w:style w:type="paragraph" w:styleId="CommentText">
    <w:name w:val="annotation text"/>
    <w:basedOn w:val="Normal"/>
    <w:link w:val="CommentTextChar"/>
    <w:uiPriority w:val="99"/>
    <w:unhideWhenUsed/>
    <w:rsid w:val="00DC518B"/>
    <w:pPr>
      <w:spacing w:line="240" w:lineRule="auto"/>
    </w:pPr>
    <w:rPr>
      <w:sz w:val="20"/>
    </w:rPr>
  </w:style>
  <w:style w:type="character" w:customStyle="1" w:styleId="CommentTextChar">
    <w:name w:val="Comment Text Char"/>
    <w:basedOn w:val="DefaultParagraphFont"/>
    <w:link w:val="CommentText"/>
    <w:uiPriority w:val="99"/>
    <w:rsid w:val="00DC518B"/>
    <w:rPr>
      <w:rFonts w:eastAsia="Calibri"/>
      <w:lang w:eastAsia="en-US"/>
    </w:rPr>
  </w:style>
  <w:style w:type="paragraph" w:styleId="CommentSubject">
    <w:name w:val="annotation subject"/>
    <w:basedOn w:val="CommentText"/>
    <w:next w:val="CommentText"/>
    <w:link w:val="CommentSubjectChar"/>
    <w:uiPriority w:val="99"/>
    <w:semiHidden/>
    <w:unhideWhenUsed/>
    <w:rsid w:val="00DC518B"/>
    <w:rPr>
      <w:b/>
      <w:bCs/>
    </w:rPr>
  </w:style>
  <w:style w:type="character" w:customStyle="1" w:styleId="CommentSubjectChar">
    <w:name w:val="Comment Subject Char"/>
    <w:basedOn w:val="CommentTextChar"/>
    <w:link w:val="CommentSubject"/>
    <w:uiPriority w:val="99"/>
    <w:semiHidden/>
    <w:rsid w:val="00DC518B"/>
    <w:rPr>
      <w:rFonts w:eastAsia="Calibri"/>
      <w:b/>
      <w:bCs/>
      <w:lang w:eastAsia="en-US"/>
    </w:rPr>
  </w:style>
  <w:style w:type="paragraph" w:styleId="Date">
    <w:name w:val="Date"/>
    <w:basedOn w:val="Normal"/>
    <w:next w:val="Normal"/>
    <w:link w:val="DateChar"/>
    <w:uiPriority w:val="99"/>
    <w:rsid w:val="00DC518B"/>
  </w:style>
  <w:style w:type="character" w:customStyle="1" w:styleId="DateChar">
    <w:name w:val="Date Char"/>
    <w:basedOn w:val="DefaultParagraphFont"/>
    <w:link w:val="Date"/>
    <w:uiPriority w:val="99"/>
    <w:rsid w:val="00DC518B"/>
    <w:rPr>
      <w:rFonts w:eastAsia="Calibri"/>
      <w:sz w:val="22"/>
      <w:lang w:eastAsia="en-US"/>
    </w:rPr>
  </w:style>
  <w:style w:type="paragraph" w:styleId="DocumentMap">
    <w:name w:val="Document Map"/>
    <w:basedOn w:val="Normal"/>
    <w:link w:val="DocumentMapChar"/>
    <w:uiPriority w:val="99"/>
    <w:semiHidden/>
    <w:unhideWhenUsed/>
    <w:rsid w:val="00DC518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C518B"/>
    <w:rPr>
      <w:rFonts w:ascii="Tahoma" w:eastAsia="Calibri" w:hAnsi="Tahoma" w:cs="Tahoma"/>
      <w:sz w:val="16"/>
      <w:szCs w:val="16"/>
      <w:lang w:eastAsia="en-US"/>
    </w:rPr>
  </w:style>
  <w:style w:type="paragraph" w:styleId="E-mailSignature">
    <w:name w:val="E-mail Signature"/>
    <w:basedOn w:val="Normal"/>
    <w:link w:val="E-mailSignatureChar"/>
    <w:uiPriority w:val="99"/>
    <w:semiHidden/>
    <w:unhideWhenUsed/>
    <w:rsid w:val="00DC518B"/>
    <w:pPr>
      <w:spacing w:line="240" w:lineRule="auto"/>
    </w:pPr>
  </w:style>
  <w:style w:type="character" w:customStyle="1" w:styleId="E-mailSignatureChar">
    <w:name w:val="E-mail Signature Char"/>
    <w:basedOn w:val="DefaultParagraphFont"/>
    <w:link w:val="E-mailSignature"/>
    <w:uiPriority w:val="99"/>
    <w:semiHidden/>
    <w:rsid w:val="00DC518B"/>
    <w:rPr>
      <w:rFonts w:eastAsia="Calibri"/>
      <w:sz w:val="22"/>
      <w:lang w:eastAsia="en-US"/>
    </w:rPr>
  </w:style>
  <w:style w:type="paragraph" w:styleId="EnvelopeAddress">
    <w:name w:val="envelope address"/>
    <w:basedOn w:val="Normal"/>
    <w:uiPriority w:val="99"/>
    <w:semiHidden/>
    <w:unhideWhenUsed/>
    <w:rsid w:val="00DC518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518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DC518B"/>
    <w:pPr>
      <w:spacing w:line="240" w:lineRule="auto"/>
    </w:pPr>
    <w:rPr>
      <w:i/>
      <w:iCs/>
    </w:rPr>
  </w:style>
  <w:style w:type="character" w:customStyle="1" w:styleId="HTMLAddressChar">
    <w:name w:val="HTML Address Char"/>
    <w:basedOn w:val="DefaultParagraphFont"/>
    <w:link w:val="HTMLAddress"/>
    <w:uiPriority w:val="99"/>
    <w:semiHidden/>
    <w:rsid w:val="00DC518B"/>
    <w:rPr>
      <w:rFonts w:eastAsia="Calibri"/>
      <w:i/>
      <w:iCs/>
      <w:sz w:val="22"/>
      <w:lang w:eastAsia="en-US"/>
    </w:rPr>
  </w:style>
  <w:style w:type="paragraph" w:styleId="HTMLPreformatted">
    <w:name w:val="HTML Preformatted"/>
    <w:basedOn w:val="Normal"/>
    <w:link w:val="HTMLPreformattedChar"/>
    <w:uiPriority w:val="99"/>
    <w:semiHidden/>
    <w:unhideWhenUsed/>
    <w:rsid w:val="00DC518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C518B"/>
    <w:rPr>
      <w:rFonts w:ascii="Consolas" w:eastAsia="Calibri" w:hAnsi="Consolas"/>
      <w:lang w:eastAsia="en-US"/>
    </w:rPr>
  </w:style>
  <w:style w:type="paragraph" w:styleId="Index1">
    <w:name w:val="index 1"/>
    <w:basedOn w:val="Normal"/>
    <w:next w:val="Normal"/>
    <w:autoRedefine/>
    <w:uiPriority w:val="99"/>
    <w:semiHidden/>
    <w:unhideWhenUsed/>
    <w:rsid w:val="00DC518B"/>
    <w:pPr>
      <w:spacing w:line="240" w:lineRule="auto"/>
      <w:ind w:left="220" w:hanging="220"/>
    </w:pPr>
  </w:style>
  <w:style w:type="paragraph" w:styleId="Index2">
    <w:name w:val="index 2"/>
    <w:basedOn w:val="Normal"/>
    <w:next w:val="Normal"/>
    <w:autoRedefine/>
    <w:uiPriority w:val="99"/>
    <w:semiHidden/>
    <w:unhideWhenUsed/>
    <w:rsid w:val="00DC518B"/>
    <w:pPr>
      <w:spacing w:line="240" w:lineRule="auto"/>
      <w:ind w:left="440" w:hanging="220"/>
    </w:pPr>
  </w:style>
  <w:style w:type="paragraph" w:styleId="Index3">
    <w:name w:val="index 3"/>
    <w:basedOn w:val="Normal"/>
    <w:next w:val="Normal"/>
    <w:autoRedefine/>
    <w:uiPriority w:val="99"/>
    <w:semiHidden/>
    <w:unhideWhenUsed/>
    <w:rsid w:val="00DC518B"/>
    <w:pPr>
      <w:spacing w:line="240" w:lineRule="auto"/>
      <w:ind w:left="660" w:hanging="220"/>
    </w:pPr>
  </w:style>
  <w:style w:type="paragraph" w:styleId="Index4">
    <w:name w:val="index 4"/>
    <w:basedOn w:val="Normal"/>
    <w:next w:val="Normal"/>
    <w:autoRedefine/>
    <w:uiPriority w:val="99"/>
    <w:semiHidden/>
    <w:unhideWhenUsed/>
    <w:rsid w:val="00DC518B"/>
    <w:pPr>
      <w:spacing w:line="240" w:lineRule="auto"/>
      <w:ind w:left="880" w:hanging="220"/>
    </w:pPr>
  </w:style>
  <w:style w:type="paragraph" w:styleId="Index5">
    <w:name w:val="index 5"/>
    <w:basedOn w:val="Normal"/>
    <w:next w:val="Normal"/>
    <w:autoRedefine/>
    <w:uiPriority w:val="99"/>
    <w:semiHidden/>
    <w:unhideWhenUsed/>
    <w:rsid w:val="00DC518B"/>
    <w:pPr>
      <w:spacing w:line="240" w:lineRule="auto"/>
      <w:ind w:left="1100" w:hanging="220"/>
    </w:pPr>
  </w:style>
  <w:style w:type="paragraph" w:styleId="Index6">
    <w:name w:val="index 6"/>
    <w:basedOn w:val="Normal"/>
    <w:next w:val="Normal"/>
    <w:autoRedefine/>
    <w:uiPriority w:val="99"/>
    <w:semiHidden/>
    <w:unhideWhenUsed/>
    <w:rsid w:val="00DC518B"/>
    <w:pPr>
      <w:spacing w:line="240" w:lineRule="auto"/>
      <w:ind w:left="1320" w:hanging="220"/>
    </w:pPr>
  </w:style>
  <w:style w:type="paragraph" w:styleId="Index7">
    <w:name w:val="index 7"/>
    <w:basedOn w:val="Normal"/>
    <w:next w:val="Normal"/>
    <w:autoRedefine/>
    <w:uiPriority w:val="99"/>
    <w:semiHidden/>
    <w:unhideWhenUsed/>
    <w:rsid w:val="00DC518B"/>
    <w:pPr>
      <w:spacing w:line="240" w:lineRule="auto"/>
      <w:ind w:left="1540" w:hanging="220"/>
    </w:pPr>
  </w:style>
  <w:style w:type="paragraph" w:styleId="Index8">
    <w:name w:val="index 8"/>
    <w:basedOn w:val="Normal"/>
    <w:next w:val="Normal"/>
    <w:autoRedefine/>
    <w:uiPriority w:val="99"/>
    <w:semiHidden/>
    <w:unhideWhenUsed/>
    <w:rsid w:val="00DC518B"/>
    <w:pPr>
      <w:spacing w:line="240" w:lineRule="auto"/>
      <w:ind w:left="1760" w:hanging="220"/>
    </w:pPr>
  </w:style>
  <w:style w:type="paragraph" w:styleId="Index9">
    <w:name w:val="index 9"/>
    <w:basedOn w:val="Normal"/>
    <w:next w:val="Normal"/>
    <w:autoRedefine/>
    <w:uiPriority w:val="99"/>
    <w:semiHidden/>
    <w:unhideWhenUsed/>
    <w:rsid w:val="00DC518B"/>
    <w:pPr>
      <w:spacing w:line="240" w:lineRule="auto"/>
      <w:ind w:left="1980" w:hanging="220"/>
    </w:pPr>
  </w:style>
  <w:style w:type="paragraph" w:styleId="IndexHeading">
    <w:name w:val="index heading"/>
    <w:basedOn w:val="Normal"/>
    <w:next w:val="Index1"/>
    <w:uiPriority w:val="99"/>
    <w:semiHidden/>
    <w:unhideWhenUsed/>
    <w:rsid w:val="00DC518B"/>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DC51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DC518B"/>
    <w:rPr>
      <w:rFonts w:eastAsia="Calibri"/>
      <w:b/>
      <w:bCs/>
      <w:i/>
      <w:iCs/>
      <w:color w:val="4F81BD" w:themeColor="accent1"/>
      <w:sz w:val="22"/>
      <w:lang w:eastAsia="en-US"/>
    </w:rPr>
  </w:style>
  <w:style w:type="paragraph" w:styleId="List">
    <w:name w:val="List"/>
    <w:basedOn w:val="Normal"/>
    <w:uiPriority w:val="99"/>
    <w:semiHidden/>
    <w:unhideWhenUsed/>
    <w:rsid w:val="00DC518B"/>
    <w:pPr>
      <w:ind w:left="283" w:hanging="283"/>
      <w:contextualSpacing/>
    </w:pPr>
  </w:style>
  <w:style w:type="paragraph" w:styleId="List2">
    <w:name w:val="List 2"/>
    <w:basedOn w:val="Normal"/>
    <w:uiPriority w:val="99"/>
    <w:semiHidden/>
    <w:unhideWhenUsed/>
    <w:rsid w:val="00DC518B"/>
    <w:pPr>
      <w:ind w:left="566" w:hanging="283"/>
      <w:contextualSpacing/>
    </w:pPr>
  </w:style>
  <w:style w:type="paragraph" w:styleId="List3">
    <w:name w:val="List 3"/>
    <w:basedOn w:val="Normal"/>
    <w:uiPriority w:val="99"/>
    <w:semiHidden/>
    <w:unhideWhenUsed/>
    <w:rsid w:val="00DC518B"/>
    <w:pPr>
      <w:ind w:left="849" w:hanging="283"/>
      <w:contextualSpacing/>
    </w:pPr>
  </w:style>
  <w:style w:type="paragraph" w:styleId="List4">
    <w:name w:val="List 4"/>
    <w:basedOn w:val="Normal"/>
    <w:uiPriority w:val="99"/>
    <w:semiHidden/>
    <w:rsid w:val="00DC518B"/>
    <w:pPr>
      <w:ind w:left="1132" w:hanging="283"/>
      <w:contextualSpacing/>
    </w:pPr>
  </w:style>
  <w:style w:type="paragraph" w:styleId="List5">
    <w:name w:val="List 5"/>
    <w:basedOn w:val="Normal"/>
    <w:uiPriority w:val="99"/>
    <w:semiHidden/>
    <w:rsid w:val="00DC518B"/>
    <w:pPr>
      <w:ind w:left="1415" w:hanging="283"/>
      <w:contextualSpacing/>
    </w:pPr>
  </w:style>
  <w:style w:type="paragraph" w:styleId="ListBullet">
    <w:name w:val="List Bullet"/>
    <w:basedOn w:val="Normal"/>
    <w:uiPriority w:val="99"/>
    <w:semiHidden/>
    <w:unhideWhenUsed/>
    <w:rsid w:val="00DC518B"/>
    <w:pPr>
      <w:contextualSpacing/>
    </w:pPr>
  </w:style>
  <w:style w:type="paragraph" w:styleId="ListBullet2">
    <w:name w:val="List Bullet 2"/>
    <w:basedOn w:val="Normal"/>
    <w:uiPriority w:val="99"/>
    <w:semiHidden/>
    <w:unhideWhenUsed/>
    <w:rsid w:val="00DC518B"/>
    <w:pPr>
      <w:contextualSpacing/>
    </w:pPr>
  </w:style>
  <w:style w:type="paragraph" w:styleId="ListBullet3">
    <w:name w:val="List Bullet 3"/>
    <w:basedOn w:val="Normal"/>
    <w:uiPriority w:val="99"/>
    <w:semiHidden/>
    <w:unhideWhenUsed/>
    <w:rsid w:val="00DC518B"/>
    <w:pPr>
      <w:contextualSpacing/>
    </w:pPr>
  </w:style>
  <w:style w:type="paragraph" w:styleId="ListBullet4">
    <w:name w:val="List Bullet 4"/>
    <w:basedOn w:val="Normal"/>
    <w:uiPriority w:val="99"/>
    <w:semiHidden/>
    <w:unhideWhenUsed/>
    <w:rsid w:val="00DC518B"/>
    <w:pPr>
      <w:contextualSpacing/>
    </w:pPr>
  </w:style>
  <w:style w:type="paragraph" w:styleId="ListBullet5">
    <w:name w:val="List Bullet 5"/>
    <w:basedOn w:val="Normal"/>
    <w:uiPriority w:val="99"/>
    <w:semiHidden/>
    <w:unhideWhenUsed/>
    <w:rsid w:val="00DC518B"/>
    <w:pPr>
      <w:contextualSpacing/>
    </w:pPr>
  </w:style>
  <w:style w:type="paragraph" w:styleId="ListContinue">
    <w:name w:val="List Continue"/>
    <w:basedOn w:val="Normal"/>
    <w:uiPriority w:val="99"/>
    <w:semiHidden/>
    <w:unhideWhenUsed/>
    <w:rsid w:val="00DC518B"/>
    <w:pPr>
      <w:spacing w:after="120"/>
      <w:ind w:left="283"/>
      <w:contextualSpacing/>
    </w:pPr>
  </w:style>
  <w:style w:type="paragraph" w:styleId="ListContinue2">
    <w:name w:val="List Continue 2"/>
    <w:basedOn w:val="Normal"/>
    <w:uiPriority w:val="99"/>
    <w:semiHidden/>
    <w:unhideWhenUsed/>
    <w:rsid w:val="00DC518B"/>
    <w:pPr>
      <w:spacing w:after="120"/>
      <w:ind w:left="566"/>
      <w:contextualSpacing/>
    </w:pPr>
  </w:style>
  <w:style w:type="paragraph" w:styleId="ListContinue3">
    <w:name w:val="List Continue 3"/>
    <w:basedOn w:val="Normal"/>
    <w:uiPriority w:val="99"/>
    <w:semiHidden/>
    <w:unhideWhenUsed/>
    <w:rsid w:val="00DC518B"/>
    <w:pPr>
      <w:spacing w:after="120"/>
      <w:ind w:left="849"/>
      <w:contextualSpacing/>
    </w:pPr>
  </w:style>
  <w:style w:type="paragraph" w:styleId="ListContinue4">
    <w:name w:val="List Continue 4"/>
    <w:basedOn w:val="Normal"/>
    <w:uiPriority w:val="99"/>
    <w:semiHidden/>
    <w:unhideWhenUsed/>
    <w:rsid w:val="00DC518B"/>
    <w:pPr>
      <w:spacing w:after="120"/>
      <w:ind w:left="1132"/>
      <w:contextualSpacing/>
    </w:pPr>
  </w:style>
  <w:style w:type="paragraph" w:styleId="ListContinue5">
    <w:name w:val="List Continue 5"/>
    <w:basedOn w:val="Normal"/>
    <w:uiPriority w:val="99"/>
    <w:semiHidden/>
    <w:unhideWhenUsed/>
    <w:rsid w:val="00DC518B"/>
    <w:pPr>
      <w:spacing w:after="120"/>
      <w:ind w:left="1415"/>
      <w:contextualSpacing/>
    </w:pPr>
  </w:style>
  <w:style w:type="paragraph" w:styleId="ListNumber">
    <w:name w:val="List Number"/>
    <w:basedOn w:val="Normal"/>
    <w:uiPriority w:val="98"/>
    <w:semiHidden/>
    <w:rsid w:val="00DC518B"/>
    <w:pPr>
      <w:contextualSpacing/>
    </w:pPr>
  </w:style>
  <w:style w:type="paragraph" w:styleId="ListNumber2">
    <w:name w:val="List Number 2"/>
    <w:basedOn w:val="Normal"/>
    <w:uiPriority w:val="98"/>
    <w:semiHidden/>
    <w:unhideWhenUsed/>
    <w:rsid w:val="00DC518B"/>
    <w:pPr>
      <w:contextualSpacing/>
    </w:pPr>
  </w:style>
  <w:style w:type="paragraph" w:styleId="ListNumber3">
    <w:name w:val="List Number 3"/>
    <w:basedOn w:val="Normal"/>
    <w:uiPriority w:val="98"/>
    <w:semiHidden/>
    <w:unhideWhenUsed/>
    <w:rsid w:val="00DC518B"/>
    <w:pPr>
      <w:contextualSpacing/>
    </w:pPr>
  </w:style>
  <w:style w:type="paragraph" w:styleId="ListNumber4">
    <w:name w:val="List Number 4"/>
    <w:basedOn w:val="Normal"/>
    <w:uiPriority w:val="98"/>
    <w:semiHidden/>
    <w:unhideWhenUsed/>
    <w:rsid w:val="00DC518B"/>
    <w:pPr>
      <w:contextualSpacing/>
    </w:pPr>
  </w:style>
  <w:style w:type="paragraph" w:styleId="ListNumber5">
    <w:name w:val="List Number 5"/>
    <w:basedOn w:val="Normal"/>
    <w:uiPriority w:val="98"/>
    <w:semiHidden/>
    <w:unhideWhenUsed/>
    <w:rsid w:val="00DC518B"/>
    <w:pPr>
      <w:contextualSpacing/>
    </w:pPr>
  </w:style>
  <w:style w:type="paragraph" w:styleId="MacroText">
    <w:name w:val="macro"/>
    <w:link w:val="MacroTextChar"/>
    <w:uiPriority w:val="99"/>
    <w:semiHidden/>
    <w:unhideWhenUsed/>
    <w:rsid w:val="00DC518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uiPriority w:val="99"/>
    <w:semiHidden/>
    <w:rsid w:val="00DC518B"/>
    <w:rPr>
      <w:rFonts w:ascii="Consolas" w:eastAsia="Calibri" w:hAnsi="Consolas"/>
      <w:lang w:eastAsia="en-US"/>
    </w:rPr>
  </w:style>
  <w:style w:type="paragraph" w:styleId="MessageHeader">
    <w:name w:val="Message Header"/>
    <w:basedOn w:val="Normal"/>
    <w:link w:val="MessageHeaderChar"/>
    <w:uiPriority w:val="99"/>
    <w:semiHidden/>
    <w:unhideWhenUsed/>
    <w:rsid w:val="00DC518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518B"/>
    <w:rPr>
      <w:rFonts w:asciiTheme="majorHAnsi" w:eastAsiaTheme="majorEastAsia" w:hAnsiTheme="majorHAnsi" w:cstheme="majorBidi"/>
      <w:sz w:val="24"/>
      <w:szCs w:val="24"/>
      <w:shd w:val="pct20" w:color="auto" w:fill="auto"/>
      <w:lang w:eastAsia="en-US"/>
    </w:rPr>
  </w:style>
  <w:style w:type="paragraph" w:styleId="NoSpacing">
    <w:name w:val="No Spacing"/>
    <w:qFormat/>
    <w:rsid w:val="00DC518B"/>
    <w:rPr>
      <w:rFonts w:eastAsia="Calibri"/>
      <w:sz w:val="22"/>
      <w:lang w:eastAsia="en-US"/>
    </w:rPr>
  </w:style>
  <w:style w:type="paragraph" w:styleId="NormalWeb">
    <w:name w:val="Normal (Web)"/>
    <w:basedOn w:val="Normal"/>
    <w:uiPriority w:val="99"/>
    <w:semiHidden/>
    <w:unhideWhenUsed/>
    <w:rsid w:val="00DC518B"/>
    <w:rPr>
      <w:sz w:val="24"/>
      <w:szCs w:val="24"/>
    </w:rPr>
  </w:style>
  <w:style w:type="paragraph" w:styleId="NormalIndent">
    <w:name w:val="Normal Indent"/>
    <w:basedOn w:val="Normal"/>
    <w:uiPriority w:val="99"/>
    <w:semiHidden/>
    <w:unhideWhenUsed/>
    <w:rsid w:val="00DC518B"/>
    <w:pPr>
      <w:ind w:left="720"/>
    </w:pPr>
  </w:style>
  <w:style w:type="paragraph" w:styleId="NoteHeading">
    <w:name w:val="Note Heading"/>
    <w:basedOn w:val="Normal"/>
    <w:next w:val="Normal"/>
    <w:link w:val="NoteHeadingChar"/>
    <w:uiPriority w:val="99"/>
    <w:semiHidden/>
    <w:unhideWhenUsed/>
    <w:rsid w:val="00DC518B"/>
    <w:pPr>
      <w:spacing w:line="240" w:lineRule="auto"/>
    </w:pPr>
  </w:style>
  <w:style w:type="character" w:customStyle="1" w:styleId="NoteHeadingChar">
    <w:name w:val="Note Heading Char"/>
    <w:basedOn w:val="DefaultParagraphFont"/>
    <w:link w:val="NoteHeading"/>
    <w:uiPriority w:val="99"/>
    <w:semiHidden/>
    <w:rsid w:val="00DC518B"/>
    <w:rPr>
      <w:rFonts w:eastAsia="Calibri"/>
      <w:sz w:val="22"/>
      <w:lang w:eastAsia="en-US"/>
    </w:rPr>
  </w:style>
  <w:style w:type="paragraph" w:styleId="PlainText">
    <w:name w:val="Plain Text"/>
    <w:basedOn w:val="Normal"/>
    <w:link w:val="PlainTextChar"/>
    <w:uiPriority w:val="99"/>
    <w:semiHidden/>
    <w:unhideWhenUsed/>
    <w:rsid w:val="00DC518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518B"/>
    <w:rPr>
      <w:rFonts w:ascii="Consolas" w:eastAsia="Calibri" w:hAnsi="Consolas"/>
      <w:sz w:val="21"/>
      <w:szCs w:val="21"/>
      <w:lang w:eastAsia="en-US"/>
    </w:rPr>
  </w:style>
  <w:style w:type="paragraph" w:styleId="Quote">
    <w:name w:val="Quote"/>
    <w:basedOn w:val="Normal"/>
    <w:next w:val="Normal"/>
    <w:link w:val="QuoteChar"/>
    <w:uiPriority w:val="99"/>
    <w:semiHidden/>
    <w:rsid w:val="00DC518B"/>
    <w:rPr>
      <w:i/>
      <w:iCs/>
      <w:color w:val="000000" w:themeColor="text1"/>
    </w:rPr>
  </w:style>
  <w:style w:type="character" w:customStyle="1" w:styleId="QuoteChar">
    <w:name w:val="Quote Char"/>
    <w:basedOn w:val="DefaultParagraphFont"/>
    <w:link w:val="Quote"/>
    <w:uiPriority w:val="99"/>
    <w:semiHidden/>
    <w:rsid w:val="00DC518B"/>
    <w:rPr>
      <w:rFonts w:eastAsia="Calibri"/>
      <w:i/>
      <w:iCs/>
      <w:color w:val="000000" w:themeColor="text1"/>
      <w:sz w:val="22"/>
      <w:lang w:eastAsia="en-US"/>
    </w:rPr>
  </w:style>
  <w:style w:type="paragraph" w:styleId="Salutation">
    <w:name w:val="Salutation"/>
    <w:basedOn w:val="Normal"/>
    <w:next w:val="Normal"/>
    <w:link w:val="SalutationChar"/>
    <w:uiPriority w:val="99"/>
    <w:semiHidden/>
    <w:rsid w:val="00DC518B"/>
  </w:style>
  <w:style w:type="character" w:customStyle="1" w:styleId="SalutationChar">
    <w:name w:val="Salutation Char"/>
    <w:basedOn w:val="DefaultParagraphFont"/>
    <w:link w:val="Salutation"/>
    <w:uiPriority w:val="99"/>
    <w:semiHidden/>
    <w:rsid w:val="00DC518B"/>
    <w:rPr>
      <w:rFonts w:eastAsia="Calibri"/>
      <w:sz w:val="22"/>
      <w:lang w:eastAsia="en-US"/>
    </w:rPr>
  </w:style>
  <w:style w:type="paragraph" w:styleId="Signature">
    <w:name w:val="Signature"/>
    <w:basedOn w:val="Normal"/>
    <w:link w:val="SignatureChar"/>
    <w:uiPriority w:val="99"/>
    <w:semiHidden/>
    <w:unhideWhenUsed/>
    <w:rsid w:val="00DC518B"/>
    <w:pPr>
      <w:spacing w:line="240" w:lineRule="auto"/>
      <w:ind w:left="4252"/>
    </w:pPr>
  </w:style>
  <w:style w:type="character" w:customStyle="1" w:styleId="SignatureChar">
    <w:name w:val="Signature Char"/>
    <w:basedOn w:val="DefaultParagraphFont"/>
    <w:link w:val="Signature"/>
    <w:uiPriority w:val="99"/>
    <w:semiHidden/>
    <w:rsid w:val="00DC518B"/>
    <w:rPr>
      <w:rFonts w:eastAsia="Calibri"/>
      <w:sz w:val="22"/>
      <w:lang w:eastAsia="en-US"/>
    </w:rPr>
  </w:style>
  <w:style w:type="paragraph" w:styleId="Subtitle">
    <w:name w:val="Subtitle"/>
    <w:basedOn w:val="Normal"/>
    <w:next w:val="Normal"/>
    <w:link w:val="SubtitleChar"/>
    <w:uiPriority w:val="99"/>
    <w:semiHidden/>
    <w:rsid w:val="00DC5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semiHidden/>
    <w:rsid w:val="00DC518B"/>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iPriority w:val="99"/>
    <w:semiHidden/>
    <w:unhideWhenUsed/>
    <w:rsid w:val="00DC518B"/>
    <w:pPr>
      <w:ind w:left="220" w:hanging="220"/>
    </w:pPr>
  </w:style>
  <w:style w:type="paragraph" w:styleId="TableofFigures">
    <w:name w:val="table of figures"/>
    <w:basedOn w:val="Normal"/>
    <w:next w:val="Normal"/>
    <w:uiPriority w:val="99"/>
    <w:semiHidden/>
    <w:unhideWhenUsed/>
    <w:rsid w:val="00DC518B"/>
  </w:style>
  <w:style w:type="paragraph" w:styleId="Title">
    <w:name w:val="Title"/>
    <w:basedOn w:val="Normal"/>
    <w:next w:val="Normal"/>
    <w:link w:val="TitleChar"/>
    <w:qFormat/>
    <w:rsid w:val="00DC5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518B"/>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iPriority w:val="99"/>
    <w:semiHidden/>
    <w:unhideWhenUsed/>
    <w:rsid w:val="00DC518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DC518B"/>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tFormula">
    <w:name w:val="t_Formula"/>
    <w:basedOn w:val="Normal"/>
    <w:qFormat/>
    <w:rsid w:val="003E284A"/>
    <w:pPr>
      <w:tabs>
        <w:tab w:val="center" w:pos="3969"/>
        <w:tab w:val="right" w:pos="8789"/>
      </w:tabs>
      <w:spacing w:before="120" w:after="60" w:line="240" w:lineRule="auto"/>
      <w:ind w:left="1134" w:hanging="1134"/>
    </w:pPr>
    <w:rPr>
      <w:rFonts w:eastAsia="Times New Roman"/>
      <w:b/>
      <w:i/>
      <w:lang w:eastAsia="en-AU"/>
    </w:rPr>
  </w:style>
  <w:style w:type="paragraph" w:customStyle="1" w:styleId="tParameter">
    <w:name w:val="t_Parameter"/>
    <w:basedOn w:val="Normal"/>
    <w:rsid w:val="003E284A"/>
    <w:pPr>
      <w:tabs>
        <w:tab w:val="right" w:pos="1985"/>
      </w:tabs>
      <w:spacing w:before="40" w:line="240" w:lineRule="auto"/>
      <w:ind w:left="2098" w:hanging="454"/>
    </w:pPr>
    <w:rPr>
      <w:rFonts w:eastAsia="Times New Roman"/>
      <w:lang w:eastAsia="en-AU"/>
    </w:rPr>
  </w:style>
  <w:style w:type="character" w:customStyle="1" w:styleId="subsectionChar">
    <w:name w:val="subsection Char"/>
    <w:aliases w:val="ss Char"/>
    <w:basedOn w:val="DefaultParagraphFont"/>
    <w:link w:val="tMain"/>
    <w:locked/>
    <w:rsid w:val="00DB12F7"/>
    <w:rPr>
      <w:sz w:val="22"/>
    </w:rPr>
  </w:style>
  <w:style w:type="paragraph" w:customStyle="1" w:styleId="Tempstyle">
    <w:name w:val="Temp style"/>
    <w:basedOn w:val="Normal"/>
    <w:rsid w:val="00404FA5"/>
    <w:pPr>
      <w:spacing w:line="240" w:lineRule="auto"/>
    </w:pPr>
    <w:rPr>
      <w:rFonts w:eastAsia="Times New Roman"/>
      <w:sz w:val="24"/>
      <w:szCs w:val="24"/>
      <w:lang w:eastAsia="en-AU"/>
    </w:rPr>
  </w:style>
  <w:style w:type="paragraph" w:customStyle="1" w:styleId="h1ChSch">
    <w:name w:val="h1_Ch_Sch"/>
    <w:basedOn w:val="Heading1"/>
    <w:next w:val="Normal"/>
    <w:qFormat/>
    <w:rsid w:val="00404FA5"/>
    <w:pPr>
      <w:pageBreakBefore/>
      <w:spacing w:before="480" w:after="60" w:line="240" w:lineRule="auto"/>
      <w:ind w:left="2410" w:hanging="2410"/>
    </w:pPr>
    <w:rPr>
      <w:rFonts w:eastAsia="Times New Roman"/>
      <w:caps w:val="0"/>
      <w:sz w:val="40"/>
      <w:lang w:eastAsia="en-AU"/>
    </w:rPr>
  </w:style>
  <w:style w:type="paragraph" w:customStyle="1" w:styleId="noteDrafter">
    <w:name w:val="note_Drafter"/>
    <w:basedOn w:val="Normal"/>
    <w:qFormat/>
    <w:rsid w:val="00404FA5"/>
    <w:pPr>
      <w:spacing w:before="80" w:after="80" w:line="240" w:lineRule="auto"/>
    </w:pPr>
    <w:rPr>
      <w:rFonts w:eastAsia="Times New Roman"/>
      <w:color w:val="0070C0"/>
      <w:sz w:val="24"/>
      <w:szCs w:val="24"/>
      <w:lang w:eastAsia="en-AU"/>
    </w:rPr>
  </w:style>
  <w:style w:type="paragraph" w:customStyle="1" w:styleId="HeaderBoldOdd">
    <w:name w:val="HeaderBoldOdd"/>
    <w:basedOn w:val="Normal"/>
    <w:rsid w:val="00404FA5"/>
    <w:pPr>
      <w:spacing w:before="120" w:after="60" w:line="240" w:lineRule="auto"/>
      <w:jc w:val="right"/>
    </w:pPr>
    <w:rPr>
      <w:rFonts w:ascii="Arial" w:eastAsia="Times New Roman" w:hAnsi="Arial"/>
      <w:b/>
      <w:sz w:val="20"/>
      <w:szCs w:val="24"/>
      <w:lang w:eastAsia="en-AU"/>
    </w:rPr>
  </w:style>
  <w:style w:type="paragraph" w:customStyle="1" w:styleId="HeaderLiteOdd">
    <w:name w:val="HeaderLiteOdd"/>
    <w:basedOn w:val="Normal"/>
    <w:rsid w:val="00404FA5"/>
    <w:pPr>
      <w:tabs>
        <w:tab w:val="center" w:pos="3969"/>
        <w:tab w:val="right" w:pos="8505"/>
      </w:tabs>
      <w:spacing w:before="60" w:line="240" w:lineRule="auto"/>
      <w:jc w:val="right"/>
    </w:pPr>
    <w:rPr>
      <w:rFonts w:ascii="Arial" w:eastAsia="Times New Roman" w:hAnsi="Arial"/>
      <w:sz w:val="18"/>
      <w:szCs w:val="24"/>
      <w:lang w:eastAsia="en-AU"/>
    </w:rPr>
  </w:style>
  <w:style w:type="paragraph" w:customStyle="1" w:styleId="FooterDraft">
    <w:name w:val="FooterDraft"/>
    <w:basedOn w:val="Normal"/>
    <w:rsid w:val="00404FA5"/>
    <w:pPr>
      <w:spacing w:line="240" w:lineRule="auto"/>
      <w:jc w:val="center"/>
    </w:pPr>
    <w:rPr>
      <w:rFonts w:ascii="Arial" w:eastAsia="Times New Roman" w:hAnsi="Arial"/>
      <w:b/>
      <w:sz w:val="40"/>
      <w:szCs w:val="24"/>
      <w:lang w:eastAsia="en-AU"/>
    </w:rPr>
  </w:style>
  <w:style w:type="paragraph" w:customStyle="1" w:styleId="FooterCitation">
    <w:name w:val="FooterCitation"/>
    <w:basedOn w:val="Footer"/>
    <w:rsid w:val="00404FA5"/>
    <w:pPr>
      <w:spacing w:before="20" w:line="240" w:lineRule="exact"/>
      <w:jc w:val="center"/>
    </w:pPr>
    <w:rPr>
      <w:rFonts w:ascii="Arial" w:hAnsi="Arial"/>
      <w:i/>
      <w:sz w:val="18"/>
    </w:rPr>
  </w:style>
  <w:style w:type="paragraph" w:customStyle="1" w:styleId="Sec">
    <w:name w:val="Sec"/>
    <w:basedOn w:val="Normal"/>
    <w:next w:val="Normal"/>
    <w:uiPriority w:val="99"/>
    <w:rsid w:val="00404FA5"/>
    <w:pPr>
      <w:keepLines/>
      <w:tabs>
        <w:tab w:val="right" w:pos="794"/>
      </w:tabs>
      <w:spacing w:before="80" w:after="100" w:line="260" w:lineRule="exact"/>
      <w:ind w:left="964" w:hanging="964"/>
      <w:jc w:val="both"/>
    </w:pPr>
    <w:rPr>
      <w:rFonts w:eastAsia="Times New Roman"/>
      <w:sz w:val="24"/>
      <w:szCs w:val="24"/>
      <w:lang w:eastAsia="en-AU"/>
    </w:rPr>
  </w:style>
  <w:style w:type="paragraph" w:customStyle="1" w:styleId="EquationNote">
    <w:name w:val="EquationNote"/>
    <w:basedOn w:val="Normal"/>
    <w:link w:val="EquationNoteChar"/>
    <w:uiPriority w:val="99"/>
    <w:rsid w:val="00404FA5"/>
    <w:pPr>
      <w:tabs>
        <w:tab w:val="right" w:pos="9000"/>
      </w:tabs>
      <w:spacing w:before="60" w:line="240" w:lineRule="auto"/>
      <w:ind w:left="360" w:hanging="360"/>
    </w:pPr>
    <w:rPr>
      <w:rFonts w:ascii="Arial" w:eastAsia="Times New Roman" w:hAnsi="Arial" w:cs="Arial"/>
      <w:iCs/>
      <w:sz w:val="18"/>
    </w:rPr>
  </w:style>
  <w:style w:type="character" w:customStyle="1" w:styleId="EquationNoteChar">
    <w:name w:val="EquationNote Char"/>
    <w:basedOn w:val="DefaultParagraphFont"/>
    <w:link w:val="EquationNote"/>
    <w:uiPriority w:val="99"/>
    <w:locked/>
    <w:rsid w:val="00404FA5"/>
    <w:rPr>
      <w:rFonts w:ascii="Arial" w:hAnsi="Arial" w:cs="Arial"/>
      <w:iCs/>
      <w:sz w:val="18"/>
      <w:lang w:eastAsia="en-US"/>
    </w:rPr>
  </w:style>
  <w:style w:type="paragraph" w:customStyle="1" w:styleId="NoteEnd">
    <w:name w:val="Note End"/>
    <w:basedOn w:val="Normal"/>
    <w:rsid w:val="00404FA5"/>
    <w:pPr>
      <w:keepLines/>
      <w:spacing w:before="120" w:line="240" w:lineRule="exact"/>
      <w:ind w:left="567" w:hanging="567"/>
      <w:jc w:val="both"/>
    </w:pPr>
    <w:rPr>
      <w:rFonts w:eastAsia="Times New Roman"/>
      <w:szCs w:val="24"/>
      <w:lang w:eastAsia="en-AU"/>
    </w:rPr>
  </w:style>
  <w:style w:type="paragraph" w:customStyle="1" w:styleId="noteMain">
    <w:name w:val="note_Main"/>
    <w:basedOn w:val="tMain"/>
    <w:qFormat/>
    <w:rsid w:val="00404FA5"/>
    <w:pPr>
      <w:keepLines/>
      <w:tabs>
        <w:tab w:val="clear" w:pos="1021"/>
        <w:tab w:val="right" w:pos="794"/>
      </w:tabs>
      <w:spacing w:before="80" w:after="100" w:line="220" w:lineRule="exact"/>
      <w:ind w:left="964" w:hanging="964"/>
      <w:jc w:val="both"/>
    </w:pPr>
    <w:rPr>
      <w:sz w:val="20"/>
      <w:szCs w:val="24"/>
    </w:rPr>
  </w:style>
  <w:style w:type="paragraph" w:customStyle="1" w:styleId="notePara">
    <w:name w:val="note_Para"/>
    <w:basedOn w:val="tPara"/>
    <w:qFormat/>
    <w:rsid w:val="00404FA5"/>
    <w:pPr>
      <w:keepLines/>
      <w:spacing w:before="0" w:after="100" w:line="220" w:lineRule="exact"/>
      <w:ind w:left="1701" w:hanging="1701"/>
      <w:jc w:val="both"/>
    </w:pPr>
    <w:rPr>
      <w:sz w:val="20"/>
      <w:szCs w:val="24"/>
    </w:rPr>
  </w:style>
  <w:style w:type="paragraph" w:customStyle="1" w:styleId="noteSubpara">
    <w:name w:val="note_Subpara"/>
    <w:basedOn w:val="tSubpara"/>
    <w:qFormat/>
    <w:rsid w:val="00404FA5"/>
    <w:pPr>
      <w:keepLines/>
      <w:tabs>
        <w:tab w:val="clear" w:pos="1985"/>
        <w:tab w:val="right" w:pos="2211"/>
      </w:tabs>
      <w:spacing w:before="0" w:after="100" w:line="220" w:lineRule="exact"/>
      <w:ind w:left="2410" w:hanging="2410"/>
      <w:jc w:val="both"/>
    </w:pPr>
    <w:rPr>
      <w:sz w:val="20"/>
      <w:szCs w:val="24"/>
    </w:rPr>
  </w:style>
  <w:style w:type="paragraph" w:customStyle="1" w:styleId="noteSubsub">
    <w:name w:val="note_Subsub"/>
    <w:basedOn w:val="tSubsub"/>
    <w:qFormat/>
    <w:rsid w:val="00404FA5"/>
    <w:pPr>
      <w:tabs>
        <w:tab w:val="clear" w:pos="2722"/>
        <w:tab w:val="right" w:pos="2948"/>
      </w:tabs>
      <w:spacing w:before="0" w:after="100" w:line="220" w:lineRule="exact"/>
      <w:ind w:left="3119" w:hanging="3119"/>
      <w:jc w:val="both"/>
    </w:pPr>
    <w:rPr>
      <w:sz w:val="20"/>
      <w:szCs w:val="24"/>
    </w:rPr>
  </w:style>
  <w:style w:type="paragraph" w:customStyle="1" w:styleId="definition">
    <w:name w:val="definition"/>
    <w:basedOn w:val="Normal"/>
    <w:rsid w:val="00404FA5"/>
    <w:pPr>
      <w:spacing w:before="80" w:line="260" w:lineRule="exact"/>
      <w:ind w:left="964"/>
      <w:jc w:val="both"/>
    </w:pPr>
    <w:rPr>
      <w:rFonts w:eastAsia="Times New Roman"/>
      <w:sz w:val="24"/>
      <w:szCs w:val="24"/>
      <w:lang w:eastAsia="en-AU"/>
    </w:rPr>
  </w:style>
  <w:style w:type="character" w:styleId="CommentReference">
    <w:name w:val="annotation reference"/>
    <w:basedOn w:val="DefaultParagraphFont"/>
    <w:uiPriority w:val="99"/>
    <w:unhideWhenUsed/>
    <w:rsid w:val="00404FA5"/>
    <w:rPr>
      <w:sz w:val="16"/>
      <w:szCs w:val="16"/>
    </w:rPr>
  </w:style>
  <w:style w:type="paragraph" w:customStyle="1" w:styleId="Default">
    <w:name w:val="Default"/>
    <w:rsid w:val="00404FA5"/>
    <w:pPr>
      <w:autoSpaceDE w:val="0"/>
      <w:autoSpaceDN w:val="0"/>
      <w:adjustRightInd w:val="0"/>
    </w:pPr>
    <w:rPr>
      <w:rFonts w:ascii="Calibri" w:eastAsiaTheme="minorHAnsi" w:hAnsi="Calibri" w:cs="Calibri"/>
      <w:color w:val="000000"/>
      <w:sz w:val="24"/>
      <w:szCs w:val="24"/>
      <w:lang w:eastAsia="en-US"/>
    </w:rPr>
  </w:style>
  <w:style w:type="paragraph" w:customStyle="1" w:styleId="HSR">
    <w:name w:val="HSR"/>
    <w:aliases w:val="Subregulation Heading,HSS"/>
    <w:basedOn w:val="Normal"/>
    <w:next w:val="Normal"/>
    <w:rsid w:val="00404FA5"/>
    <w:pPr>
      <w:keepNext/>
      <w:spacing w:before="300" w:line="240" w:lineRule="auto"/>
      <w:ind w:left="964"/>
    </w:pPr>
    <w:rPr>
      <w:rFonts w:ascii="Arial" w:eastAsia="Times New Roman" w:hAnsi="Arial"/>
      <w:i/>
      <w:sz w:val="24"/>
      <w:szCs w:val="24"/>
      <w:lang w:eastAsia="en-AU"/>
    </w:rPr>
  </w:style>
  <w:style w:type="paragraph" w:customStyle="1" w:styleId="R1">
    <w:name w:val="R1"/>
    <w:aliases w:val="1. or 1.(1)"/>
    <w:basedOn w:val="Normal"/>
    <w:next w:val="Normal"/>
    <w:rsid w:val="00404FA5"/>
    <w:pPr>
      <w:keepLines/>
      <w:tabs>
        <w:tab w:val="right" w:pos="794"/>
      </w:tabs>
      <w:spacing w:before="120" w:line="260" w:lineRule="exact"/>
      <w:ind w:left="964" w:hanging="964"/>
      <w:jc w:val="both"/>
    </w:pPr>
    <w:rPr>
      <w:rFonts w:eastAsia="Times New Roman"/>
      <w:sz w:val="24"/>
      <w:szCs w:val="24"/>
      <w:lang w:eastAsia="en-AU"/>
    </w:rPr>
  </w:style>
  <w:style w:type="paragraph" w:customStyle="1" w:styleId="R2">
    <w:name w:val="R2"/>
    <w:aliases w:val="(2)"/>
    <w:basedOn w:val="Normal"/>
    <w:rsid w:val="00404FA5"/>
    <w:pPr>
      <w:keepLines/>
      <w:tabs>
        <w:tab w:val="right" w:pos="794"/>
      </w:tabs>
      <w:spacing w:before="180" w:line="260" w:lineRule="exact"/>
      <w:ind w:left="964" w:hanging="964"/>
      <w:jc w:val="both"/>
    </w:pPr>
    <w:rPr>
      <w:rFonts w:eastAsia="Times New Roman"/>
      <w:sz w:val="24"/>
      <w:szCs w:val="24"/>
      <w:lang w:eastAsia="en-AU"/>
    </w:rPr>
  </w:style>
  <w:style w:type="paragraph" w:customStyle="1" w:styleId="equation">
    <w:name w:val="equation"/>
    <w:basedOn w:val="Normal"/>
    <w:rsid w:val="00404FA5"/>
    <w:pPr>
      <w:tabs>
        <w:tab w:val="left" w:pos="1134"/>
        <w:tab w:val="left" w:pos="1701"/>
        <w:tab w:val="center" w:pos="9072"/>
      </w:tabs>
      <w:spacing w:line="240" w:lineRule="auto"/>
    </w:pPr>
    <w:rPr>
      <w:rFonts w:eastAsia="MS Mincho"/>
      <w:szCs w:val="22"/>
      <w:lang w:val="es-ES_tradnl"/>
    </w:rPr>
  </w:style>
  <w:style w:type="paragraph" w:customStyle="1" w:styleId="P1">
    <w:name w:val="P1"/>
    <w:aliases w:val="(a)"/>
    <w:basedOn w:val="Normal"/>
    <w:uiPriority w:val="99"/>
    <w:rsid w:val="00404FA5"/>
    <w:pPr>
      <w:keepLines/>
      <w:tabs>
        <w:tab w:val="right" w:pos="1191"/>
      </w:tabs>
      <w:spacing w:before="60" w:line="260" w:lineRule="exact"/>
      <w:ind w:left="1418" w:hanging="1418"/>
      <w:jc w:val="both"/>
    </w:pPr>
    <w:rPr>
      <w:rFonts w:eastAsia="Times New Roman"/>
      <w:sz w:val="24"/>
      <w:szCs w:val="24"/>
      <w:lang w:eastAsia="en-AU"/>
    </w:rPr>
  </w:style>
  <w:style w:type="paragraph" w:customStyle="1" w:styleId="tabletext0">
    <w:name w:val="tabletext"/>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Def">
    <w:name w:val="Def"/>
    <w:basedOn w:val="Normal"/>
    <w:uiPriority w:val="99"/>
    <w:rsid w:val="00404FA5"/>
    <w:pPr>
      <w:spacing w:before="80" w:after="100" w:line="260" w:lineRule="exact"/>
      <w:ind w:left="964"/>
      <w:jc w:val="both"/>
    </w:pPr>
    <w:rPr>
      <w:rFonts w:asciiTheme="minorHAnsi" w:eastAsiaTheme="minorHAnsi" w:hAnsiTheme="minorHAnsi" w:cstheme="minorBidi"/>
      <w:szCs w:val="22"/>
    </w:rPr>
  </w:style>
  <w:style w:type="paragraph" w:customStyle="1" w:styleId="HC">
    <w:name w:val="HC"/>
    <w:aliases w:val="Sch"/>
    <w:basedOn w:val="Heading1"/>
    <w:next w:val="Normal"/>
    <w:rsid w:val="00404FA5"/>
    <w:pPr>
      <w:pageBreakBefore/>
      <w:spacing w:before="480" w:after="60" w:line="276" w:lineRule="auto"/>
      <w:ind w:left="2410" w:hanging="2410"/>
    </w:pPr>
    <w:rPr>
      <w:rFonts w:eastAsia="Times New Roman"/>
      <w:caps w:val="0"/>
      <w:sz w:val="40"/>
    </w:rPr>
  </w:style>
  <w:style w:type="paragraph" w:customStyle="1" w:styleId="HD">
    <w:name w:val="HD"/>
    <w:aliases w:val="Division Heading"/>
    <w:basedOn w:val="Heading3"/>
    <w:next w:val="Normal"/>
    <w:rsid w:val="00404FA5"/>
    <w:pPr>
      <w:spacing w:before="360" w:after="60" w:line="276" w:lineRule="auto"/>
      <w:ind w:left="2410" w:hanging="2410"/>
    </w:pPr>
    <w:rPr>
      <w:rFonts w:eastAsia="Times New Roman"/>
      <w:i w:val="0"/>
      <w:sz w:val="28"/>
    </w:rPr>
  </w:style>
  <w:style w:type="paragraph" w:customStyle="1" w:styleId="HE">
    <w:name w:val="HE"/>
    <w:aliases w:val="Example heading"/>
    <w:basedOn w:val="Normal"/>
    <w:next w:val="Normal"/>
    <w:rsid w:val="00404FA5"/>
    <w:pPr>
      <w:keepNext/>
      <w:spacing w:before="120" w:after="200" w:line="220" w:lineRule="exact"/>
      <w:ind w:left="964"/>
    </w:pPr>
    <w:rPr>
      <w:rFonts w:asciiTheme="minorHAnsi" w:eastAsiaTheme="minorHAnsi" w:hAnsiTheme="minorHAnsi" w:cstheme="minorBidi"/>
      <w:i/>
      <w:szCs w:val="22"/>
    </w:rPr>
  </w:style>
  <w:style w:type="paragraph" w:customStyle="1" w:styleId="HP">
    <w:name w:val="HP"/>
    <w:basedOn w:val="Heading2"/>
    <w:next w:val="HD"/>
    <w:rsid w:val="00404FA5"/>
    <w:pPr>
      <w:pageBreakBefore/>
      <w:spacing w:before="360" w:after="60" w:line="276" w:lineRule="auto"/>
      <w:ind w:left="2410" w:hanging="2410"/>
    </w:pPr>
    <w:rPr>
      <w:rFonts w:eastAsia="Times New Roman"/>
      <w:bCs w:val="0"/>
      <w:sz w:val="36"/>
      <w:szCs w:val="22"/>
    </w:rPr>
  </w:style>
  <w:style w:type="paragraph" w:customStyle="1" w:styleId="HS">
    <w:name w:val="HS"/>
    <w:aliases w:val="Subdiv Heading"/>
    <w:basedOn w:val="Heading4"/>
    <w:next w:val="Normal"/>
    <w:rsid w:val="00404FA5"/>
    <w:pPr>
      <w:spacing w:before="360" w:after="60" w:line="276" w:lineRule="auto"/>
      <w:ind w:left="2410" w:hanging="2410"/>
    </w:pPr>
    <w:rPr>
      <w:rFonts w:eastAsia="Times New Roman" w:cs="Times New Roman"/>
      <w:b/>
      <w:i w:val="0"/>
      <w:sz w:val="28"/>
    </w:rPr>
  </w:style>
  <w:style w:type="paragraph" w:customStyle="1" w:styleId="HSec">
    <w:name w:val="HSec"/>
    <w:basedOn w:val="Heading5"/>
    <w:next w:val="Normal"/>
    <w:uiPriority w:val="99"/>
    <w:rsid w:val="00404FA5"/>
    <w:pPr>
      <w:spacing w:before="360" w:after="60" w:line="276" w:lineRule="auto"/>
      <w:ind w:left="964" w:hanging="964"/>
    </w:pPr>
    <w:rPr>
      <w:rFonts w:eastAsia="Times New Roman" w:cs="Times New Roman"/>
      <w:sz w:val="22"/>
    </w:rPr>
  </w:style>
  <w:style w:type="paragraph" w:customStyle="1" w:styleId="Notequery">
    <w:name w:val="Note query"/>
    <w:basedOn w:val="Normal"/>
    <w:qFormat/>
    <w:rsid w:val="00404FA5"/>
    <w:pPr>
      <w:spacing w:before="80" w:after="80" w:line="276" w:lineRule="auto"/>
    </w:pPr>
    <w:rPr>
      <w:rFonts w:asciiTheme="minorHAnsi" w:eastAsiaTheme="minorHAnsi" w:hAnsiTheme="minorHAnsi" w:cstheme="minorBidi"/>
      <w:color w:val="0070C0"/>
      <w:szCs w:val="22"/>
    </w:rPr>
  </w:style>
  <w:style w:type="paragraph" w:customStyle="1" w:styleId="Notepara0">
    <w:name w:val="Note para"/>
    <w:basedOn w:val="Normal"/>
    <w:rsid w:val="00404FA5"/>
    <w:pPr>
      <w:keepLines/>
      <w:spacing w:before="60" w:after="200" w:line="220" w:lineRule="exact"/>
      <w:ind w:left="1304" w:hanging="340"/>
      <w:jc w:val="both"/>
    </w:pPr>
    <w:rPr>
      <w:rFonts w:asciiTheme="minorHAnsi" w:eastAsiaTheme="minorHAnsi" w:hAnsiTheme="minorHAnsi" w:cstheme="minorBidi"/>
      <w:sz w:val="20"/>
      <w:szCs w:val="22"/>
    </w:rPr>
  </w:style>
  <w:style w:type="paragraph" w:customStyle="1" w:styleId="NoteSec">
    <w:name w:val="Note Sec"/>
    <w:basedOn w:val="Normal"/>
    <w:qFormat/>
    <w:rsid w:val="00404FA5"/>
    <w:pPr>
      <w:keepLines/>
      <w:spacing w:before="120" w:after="200" w:line="220" w:lineRule="exact"/>
      <w:jc w:val="both"/>
    </w:pPr>
    <w:rPr>
      <w:rFonts w:asciiTheme="minorHAnsi" w:eastAsiaTheme="minorHAnsi" w:hAnsiTheme="minorHAnsi" w:cstheme="minorBidi"/>
      <w:sz w:val="20"/>
      <w:szCs w:val="22"/>
    </w:rPr>
  </w:style>
  <w:style w:type="paragraph" w:customStyle="1" w:styleId="NoteSS">
    <w:name w:val="Note SS"/>
    <w:basedOn w:val="Normal"/>
    <w:qFormat/>
    <w:rsid w:val="00404FA5"/>
    <w:pPr>
      <w:keepLines/>
      <w:spacing w:before="120" w:after="200" w:line="220" w:lineRule="exact"/>
      <w:ind w:left="964"/>
      <w:jc w:val="both"/>
    </w:pPr>
    <w:rPr>
      <w:rFonts w:asciiTheme="minorHAnsi" w:eastAsiaTheme="minorHAnsi" w:hAnsiTheme="minorHAnsi" w:cstheme="minorBidi"/>
      <w:sz w:val="20"/>
      <w:szCs w:val="22"/>
    </w:rPr>
  </w:style>
  <w:style w:type="paragraph" w:customStyle="1" w:styleId="P2">
    <w:name w:val="P2"/>
    <w:basedOn w:val="Normal"/>
    <w:rsid w:val="00404FA5"/>
    <w:pPr>
      <w:keepLines/>
      <w:tabs>
        <w:tab w:val="right" w:pos="2098"/>
      </w:tabs>
      <w:spacing w:after="100" w:line="260" w:lineRule="exact"/>
      <w:ind w:left="2268" w:hanging="2268"/>
      <w:jc w:val="both"/>
    </w:pPr>
    <w:rPr>
      <w:rFonts w:asciiTheme="minorHAnsi" w:eastAsiaTheme="minorHAnsi" w:hAnsiTheme="minorHAnsi" w:cstheme="minorBidi"/>
      <w:szCs w:val="22"/>
    </w:rPr>
  </w:style>
  <w:style w:type="paragraph" w:customStyle="1" w:styleId="P3">
    <w:name w:val="P3"/>
    <w:basedOn w:val="Normal"/>
    <w:rsid w:val="00404FA5"/>
    <w:pPr>
      <w:tabs>
        <w:tab w:val="right" w:pos="2722"/>
      </w:tabs>
      <w:spacing w:after="100" w:line="260" w:lineRule="exact"/>
      <w:ind w:left="2892" w:hanging="2892"/>
      <w:jc w:val="both"/>
    </w:pPr>
    <w:rPr>
      <w:rFonts w:asciiTheme="minorHAnsi" w:eastAsiaTheme="minorHAnsi" w:hAnsiTheme="minorHAnsi" w:cstheme="minorBidi"/>
      <w:szCs w:val="22"/>
    </w:rPr>
  </w:style>
  <w:style w:type="paragraph" w:customStyle="1" w:styleId="Subsec">
    <w:name w:val="Subsec"/>
    <w:basedOn w:val="Normal"/>
    <w:uiPriority w:val="99"/>
    <w:rsid w:val="00404FA5"/>
    <w:pPr>
      <w:keepLines/>
      <w:tabs>
        <w:tab w:val="right" w:pos="794"/>
      </w:tabs>
      <w:spacing w:before="80" w:after="100" w:line="260" w:lineRule="exact"/>
      <w:ind w:left="964" w:hanging="964"/>
      <w:jc w:val="both"/>
    </w:pPr>
    <w:rPr>
      <w:rFonts w:asciiTheme="minorHAnsi" w:eastAsiaTheme="minorHAnsi" w:hAnsiTheme="minorHAnsi" w:cstheme="minorBidi"/>
      <w:szCs w:val="22"/>
    </w:rPr>
  </w:style>
  <w:style w:type="paragraph" w:customStyle="1" w:styleId="Green">
    <w:name w:val="Green"/>
    <w:basedOn w:val="Normal"/>
    <w:qFormat/>
    <w:rsid w:val="00404FA5"/>
    <w:pPr>
      <w:spacing w:before="80" w:after="80" w:line="276" w:lineRule="auto"/>
    </w:pPr>
    <w:rPr>
      <w:rFonts w:ascii="Arial" w:eastAsiaTheme="minorHAnsi" w:hAnsi="Arial" w:cstheme="minorBidi"/>
      <w:b/>
      <w:color w:val="00B050"/>
      <w:sz w:val="20"/>
      <w:szCs w:val="22"/>
    </w:rPr>
  </w:style>
  <w:style w:type="paragraph" w:customStyle="1" w:styleId="h5section0">
    <w:name w:val="h5section"/>
    <w:basedOn w:val="Normal"/>
    <w:uiPriority w:val="99"/>
    <w:rsid w:val="00404FA5"/>
    <w:pPr>
      <w:keepNext/>
      <w:spacing w:before="360" w:after="60" w:line="240" w:lineRule="auto"/>
      <w:ind w:left="964" w:hanging="964"/>
    </w:pPr>
    <w:rPr>
      <w:rFonts w:ascii="Arial" w:eastAsiaTheme="minorHAnsi" w:hAnsi="Arial" w:cs="Arial"/>
      <w:b/>
      <w:bCs/>
      <w:sz w:val="24"/>
      <w:szCs w:val="24"/>
      <w:lang w:eastAsia="en-AU"/>
    </w:rPr>
  </w:style>
  <w:style w:type="paragraph" w:customStyle="1" w:styleId="tpara0">
    <w:name w:val="tpara"/>
    <w:basedOn w:val="Normal"/>
    <w:uiPriority w:val="99"/>
    <w:rsid w:val="00404FA5"/>
    <w:pPr>
      <w:spacing w:after="100"/>
      <w:ind w:left="1701" w:hanging="1701"/>
      <w:jc w:val="both"/>
    </w:pPr>
    <w:rPr>
      <w:rFonts w:eastAsiaTheme="minorHAnsi"/>
      <w:sz w:val="24"/>
      <w:szCs w:val="24"/>
      <w:lang w:eastAsia="en-AU"/>
    </w:rPr>
  </w:style>
  <w:style w:type="paragraph" w:customStyle="1" w:styleId="tmain0">
    <w:name w:val="tmain"/>
    <w:basedOn w:val="Normal"/>
    <w:uiPriority w:val="99"/>
    <w:rsid w:val="00404FA5"/>
    <w:pPr>
      <w:spacing w:before="80" w:after="100"/>
      <w:ind w:left="964" w:hanging="964"/>
      <w:jc w:val="both"/>
    </w:pPr>
    <w:rPr>
      <w:rFonts w:eastAsiaTheme="minorHAnsi"/>
      <w:sz w:val="24"/>
      <w:szCs w:val="24"/>
      <w:lang w:eastAsia="en-AU"/>
    </w:rPr>
  </w:style>
  <w:style w:type="paragraph" w:customStyle="1" w:styleId="notepara1">
    <w:name w:val="notepara"/>
    <w:basedOn w:val="Normal"/>
    <w:uiPriority w:val="99"/>
    <w:rsid w:val="00404FA5"/>
    <w:pPr>
      <w:spacing w:after="100" w:line="220" w:lineRule="atLeast"/>
      <w:ind w:left="1701" w:hanging="1701"/>
      <w:jc w:val="both"/>
    </w:pPr>
    <w:rPr>
      <w:rFonts w:eastAsiaTheme="minorHAnsi"/>
      <w:sz w:val="20"/>
      <w:lang w:eastAsia="en-AU"/>
    </w:rPr>
  </w:style>
  <w:style w:type="paragraph" w:customStyle="1" w:styleId="Bullet">
    <w:name w:val="Bullet"/>
    <w:aliases w:val="b"/>
    <w:basedOn w:val="Normal"/>
    <w:link w:val="BulletChar"/>
    <w:uiPriority w:val="99"/>
    <w:qFormat/>
    <w:rsid w:val="00404FA5"/>
    <w:pPr>
      <w:numPr>
        <w:numId w:val="3"/>
      </w:numPr>
      <w:spacing w:before="120" w:after="120" w:line="276" w:lineRule="auto"/>
    </w:pPr>
    <w:rPr>
      <w:rFonts w:ascii="Calibri" w:eastAsia="Times New Roman" w:hAnsi="Calibri"/>
      <w:szCs w:val="22"/>
    </w:rPr>
  </w:style>
  <w:style w:type="character" w:customStyle="1" w:styleId="BulletChar">
    <w:name w:val="Bullet Char"/>
    <w:aliases w:val="b Char"/>
    <w:basedOn w:val="DefaultParagraphFont"/>
    <w:link w:val="Bullet"/>
    <w:uiPriority w:val="99"/>
    <w:locked/>
    <w:rsid w:val="00404FA5"/>
    <w:rPr>
      <w:rFonts w:ascii="Calibri" w:hAnsi="Calibri"/>
      <w:sz w:val="22"/>
      <w:szCs w:val="22"/>
      <w:lang w:eastAsia="en-US"/>
    </w:rPr>
  </w:style>
  <w:style w:type="paragraph" w:customStyle="1" w:styleId="Dash">
    <w:name w:val="Dash"/>
    <w:basedOn w:val="Normal"/>
    <w:uiPriority w:val="99"/>
    <w:qFormat/>
    <w:rsid w:val="00404FA5"/>
    <w:pPr>
      <w:tabs>
        <w:tab w:val="num" w:pos="1040"/>
      </w:tabs>
      <w:spacing w:before="120" w:after="120" w:line="276" w:lineRule="auto"/>
      <w:ind w:left="1040" w:hanging="520"/>
    </w:pPr>
    <w:rPr>
      <w:rFonts w:ascii="Calibri" w:eastAsia="Times New Roman" w:hAnsi="Calibri"/>
      <w:szCs w:val="22"/>
    </w:rPr>
  </w:style>
  <w:style w:type="paragraph" w:customStyle="1" w:styleId="DoubleDot">
    <w:name w:val="Double Dot"/>
    <w:basedOn w:val="Normal"/>
    <w:uiPriority w:val="99"/>
    <w:rsid w:val="00404FA5"/>
    <w:pPr>
      <w:numPr>
        <w:ilvl w:val="2"/>
        <w:numId w:val="3"/>
      </w:numPr>
      <w:spacing w:before="120" w:after="120" w:line="276" w:lineRule="auto"/>
    </w:pPr>
    <w:rPr>
      <w:rFonts w:ascii="Calibri" w:eastAsia="Times New Roman" w:hAnsi="Calibri"/>
      <w:szCs w:val="22"/>
    </w:rPr>
  </w:style>
  <w:style w:type="paragraph" w:customStyle="1" w:styleId="ldclauseheading">
    <w:name w:val="ldclauseheading"/>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ldclause">
    <w:name w:val="ldclause"/>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ldp1a">
    <w:name w:val="ldp1a"/>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tdefn0">
    <w:name w:val="tdefn"/>
    <w:basedOn w:val="Normal"/>
    <w:rsid w:val="00404FA5"/>
    <w:pPr>
      <w:spacing w:before="100" w:beforeAutospacing="1" w:after="100" w:afterAutospacing="1" w:line="240" w:lineRule="auto"/>
    </w:pPr>
    <w:rPr>
      <w:rFonts w:eastAsia="Times New Roman"/>
      <w:sz w:val="24"/>
      <w:szCs w:val="24"/>
      <w:lang w:eastAsia="en-AU"/>
    </w:rPr>
  </w:style>
  <w:style w:type="character" w:styleId="FollowedHyperlink">
    <w:name w:val="FollowedHyperlink"/>
    <w:basedOn w:val="DefaultParagraphFont"/>
    <w:uiPriority w:val="99"/>
    <w:semiHidden/>
    <w:unhideWhenUsed/>
    <w:rsid w:val="00404FA5"/>
    <w:rPr>
      <w:color w:val="800080" w:themeColor="followedHyperlink"/>
      <w:u w:val="single"/>
    </w:rPr>
  </w:style>
  <w:style w:type="paragraph" w:customStyle="1" w:styleId="paragraphsub">
    <w:name w:val="paragraphsub"/>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zdefinition">
    <w:name w:val="zdefinition"/>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p10">
    <w:name w:val="p1"/>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zp1">
    <w:name w:val="zp1"/>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p20">
    <w:name w:val="p2"/>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subsectionsandwich">
    <w:name w:val="subsection_sandwich"/>
    <w:basedOn w:val="tMain"/>
    <w:rsid w:val="00404FA5"/>
    <w:pPr>
      <w:spacing w:before="40"/>
    </w:pPr>
  </w:style>
  <w:style w:type="paragraph" w:styleId="Revision">
    <w:name w:val="Revision"/>
    <w:hidden/>
    <w:uiPriority w:val="99"/>
    <w:semiHidden/>
    <w:rsid w:val="00404FA5"/>
    <w:rPr>
      <w:rFonts w:eastAsia="Calibri"/>
      <w:sz w:val="22"/>
      <w:lang w:eastAsia="en-US"/>
    </w:rPr>
  </w:style>
  <w:style w:type="character" w:customStyle="1" w:styleId="SOTextChar">
    <w:name w:val="SO Text Char"/>
    <w:aliases w:val="sot Char"/>
    <w:link w:val="SOText"/>
    <w:rsid w:val="009A5128"/>
    <w:rPr>
      <w:rFonts w:eastAsia="Calibri"/>
      <w:sz w:val="22"/>
    </w:rPr>
  </w:style>
  <w:style w:type="character" w:customStyle="1" w:styleId="paragraphChar">
    <w:name w:val="paragraph Char"/>
    <w:aliases w:val="a Char"/>
    <w:basedOn w:val="DefaultParagraphFont"/>
    <w:link w:val="tPara"/>
    <w:locked/>
    <w:rsid w:val="004574BD"/>
    <w:rPr>
      <w:sz w:val="22"/>
    </w:rPr>
  </w:style>
  <w:style w:type="paragraph" w:customStyle="1" w:styleId="acthead5">
    <w:name w:val="acthead5"/>
    <w:basedOn w:val="Normal"/>
    <w:rsid w:val="00E13FA0"/>
    <w:pPr>
      <w:spacing w:before="100" w:beforeAutospacing="1" w:after="100" w:afterAutospacing="1" w:line="240" w:lineRule="auto"/>
    </w:pPr>
    <w:rPr>
      <w:rFonts w:eastAsia="Times New Roman"/>
      <w:sz w:val="24"/>
      <w:szCs w:val="24"/>
      <w:lang w:eastAsia="en-AU"/>
    </w:rPr>
  </w:style>
  <w:style w:type="character" w:customStyle="1" w:styleId="charsectno0">
    <w:name w:val="charsectno"/>
    <w:basedOn w:val="DefaultParagraphFont"/>
    <w:rsid w:val="00E13FA0"/>
  </w:style>
  <w:style w:type="character" w:customStyle="1" w:styleId="apple-converted-space">
    <w:name w:val="apple-converted-space"/>
    <w:basedOn w:val="DefaultParagraphFont"/>
    <w:rsid w:val="00E13FA0"/>
  </w:style>
  <w:style w:type="paragraph" w:customStyle="1" w:styleId="TableDashEn1">
    <w:name w:val="Table: Dash: En 1"/>
    <w:basedOn w:val="Normal"/>
    <w:uiPriority w:val="12"/>
    <w:rsid w:val="003D360F"/>
    <w:pPr>
      <w:numPr>
        <w:ilvl w:val="2"/>
        <w:numId w:val="26"/>
      </w:numPr>
      <w:spacing w:after="60" w:line="240" w:lineRule="atLeast"/>
    </w:pPr>
    <w:rPr>
      <w:rFonts w:ascii="Arial" w:eastAsia="Times New Roman" w:hAnsi="Arial" w:cs="Arial"/>
      <w:sz w:val="20"/>
      <w:szCs w:val="22"/>
      <w:lang w:eastAsia="en-AU"/>
    </w:rPr>
  </w:style>
  <w:style w:type="paragraph" w:customStyle="1" w:styleId="TableDashEn2">
    <w:name w:val="Table: Dash: En 2"/>
    <w:basedOn w:val="Normal"/>
    <w:uiPriority w:val="12"/>
    <w:semiHidden/>
    <w:rsid w:val="003D360F"/>
    <w:pPr>
      <w:numPr>
        <w:ilvl w:val="3"/>
        <w:numId w:val="26"/>
      </w:numPr>
      <w:spacing w:after="60" w:line="240" w:lineRule="atLeast"/>
    </w:pPr>
    <w:rPr>
      <w:rFonts w:ascii="Arial" w:eastAsia="Times New Roman" w:hAnsi="Arial" w:cs="Arial"/>
      <w:sz w:val="20"/>
      <w:szCs w:val="22"/>
      <w:lang w:eastAsia="en-AU"/>
    </w:rPr>
  </w:style>
  <w:style w:type="paragraph" w:customStyle="1" w:styleId="TableDashEn3">
    <w:name w:val="Table: Dash: En 3"/>
    <w:basedOn w:val="Normal"/>
    <w:uiPriority w:val="12"/>
    <w:semiHidden/>
    <w:rsid w:val="003D360F"/>
    <w:pPr>
      <w:numPr>
        <w:ilvl w:val="4"/>
        <w:numId w:val="26"/>
      </w:numPr>
      <w:spacing w:after="60" w:line="240" w:lineRule="atLeast"/>
    </w:pPr>
    <w:rPr>
      <w:rFonts w:ascii="Arial" w:eastAsia="Times New Roman" w:hAnsi="Arial" w:cs="Arial"/>
      <w:sz w:val="20"/>
      <w:szCs w:val="22"/>
      <w:lang w:eastAsia="en-AU"/>
    </w:rPr>
  </w:style>
  <w:style w:type="paragraph" w:customStyle="1" w:styleId="TableDashEn4">
    <w:name w:val="Table: Dash: En 4"/>
    <w:basedOn w:val="Normal"/>
    <w:uiPriority w:val="12"/>
    <w:semiHidden/>
    <w:rsid w:val="003D360F"/>
    <w:pPr>
      <w:numPr>
        <w:ilvl w:val="5"/>
        <w:numId w:val="26"/>
      </w:numPr>
      <w:spacing w:after="60" w:line="240" w:lineRule="atLeast"/>
    </w:pPr>
    <w:rPr>
      <w:rFonts w:ascii="Arial" w:eastAsia="Times New Roman" w:hAnsi="Arial" w:cs="Arial"/>
      <w:sz w:val="20"/>
      <w:szCs w:val="22"/>
      <w:lang w:eastAsia="en-AU"/>
    </w:rPr>
  </w:style>
  <w:style w:type="paragraph" w:customStyle="1" w:styleId="TableDashEn5">
    <w:name w:val="Table: Dash: En 5"/>
    <w:basedOn w:val="Normal"/>
    <w:uiPriority w:val="12"/>
    <w:semiHidden/>
    <w:rsid w:val="003D360F"/>
    <w:pPr>
      <w:numPr>
        <w:ilvl w:val="6"/>
        <w:numId w:val="26"/>
      </w:numPr>
      <w:spacing w:after="60" w:line="240" w:lineRule="atLeast"/>
    </w:pPr>
    <w:rPr>
      <w:rFonts w:ascii="Arial" w:eastAsia="Times New Roman" w:hAnsi="Arial" w:cs="Arial"/>
      <w:sz w:val="20"/>
      <w:szCs w:val="22"/>
      <w:lang w:eastAsia="en-AU"/>
    </w:rPr>
  </w:style>
  <w:style w:type="paragraph" w:customStyle="1" w:styleId="TableDashEn6">
    <w:name w:val="Table: Dash: En 6"/>
    <w:basedOn w:val="Normal"/>
    <w:uiPriority w:val="12"/>
    <w:semiHidden/>
    <w:rsid w:val="003D360F"/>
    <w:pPr>
      <w:numPr>
        <w:ilvl w:val="7"/>
        <w:numId w:val="26"/>
      </w:numPr>
      <w:spacing w:after="60" w:line="240" w:lineRule="atLeast"/>
    </w:pPr>
    <w:rPr>
      <w:rFonts w:ascii="Arial" w:eastAsia="Times New Roman" w:hAnsi="Arial" w:cs="Arial"/>
      <w:sz w:val="20"/>
      <w:szCs w:val="22"/>
      <w:lang w:eastAsia="en-AU"/>
    </w:rPr>
  </w:style>
  <w:style w:type="paragraph" w:customStyle="1" w:styleId="TableDashEn7">
    <w:name w:val="Table: Dash: En 7"/>
    <w:basedOn w:val="Normal"/>
    <w:uiPriority w:val="12"/>
    <w:semiHidden/>
    <w:rsid w:val="003D360F"/>
    <w:pPr>
      <w:numPr>
        <w:ilvl w:val="8"/>
        <w:numId w:val="26"/>
      </w:numPr>
      <w:spacing w:after="60" w:line="240" w:lineRule="atLeast"/>
    </w:pPr>
    <w:rPr>
      <w:rFonts w:ascii="Arial" w:eastAsia="Times New Roman" w:hAnsi="Arial" w:cs="Arial"/>
      <w:sz w:val="20"/>
      <w:szCs w:val="22"/>
      <w:lang w:eastAsia="en-AU"/>
    </w:rPr>
  </w:style>
  <w:style w:type="paragraph" w:customStyle="1" w:styleId="TableDot">
    <w:name w:val="Table: Dot"/>
    <w:basedOn w:val="Normal"/>
    <w:uiPriority w:val="12"/>
    <w:semiHidden/>
    <w:rsid w:val="003D360F"/>
    <w:pPr>
      <w:numPr>
        <w:numId w:val="26"/>
      </w:numPr>
      <w:spacing w:after="60" w:line="240" w:lineRule="atLeast"/>
    </w:pPr>
    <w:rPr>
      <w:rFonts w:ascii="Arial" w:eastAsia="Times New Roman" w:hAnsi="Arial" w:cs="Arial"/>
      <w:sz w:val="20"/>
      <w:szCs w:val="22"/>
      <w:lang w:eastAsia="en-AU"/>
    </w:rPr>
  </w:style>
  <w:style w:type="paragraph" w:customStyle="1" w:styleId="TableDot1">
    <w:name w:val="Table: Dot1"/>
    <w:basedOn w:val="TableDot"/>
    <w:uiPriority w:val="12"/>
    <w:rsid w:val="003D360F"/>
    <w:pPr>
      <w:numPr>
        <w:ilvl w:val="1"/>
      </w:numPr>
    </w:pPr>
  </w:style>
  <w:style w:type="paragraph" w:customStyle="1" w:styleId="TablePlainParagraph">
    <w:name w:val="Table: Plain Paragraph"/>
    <w:aliases w:val="Table PP"/>
    <w:basedOn w:val="Normal"/>
    <w:uiPriority w:val="11"/>
    <w:qFormat/>
    <w:rsid w:val="003D360F"/>
    <w:pPr>
      <w:spacing w:before="60" w:after="60" w:line="240" w:lineRule="atLeast"/>
    </w:pPr>
    <w:rPr>
      <w:rFonts w:ascii="Arial" w:eastAsia="Times New Roman" w:hAnsi="Arial" w:cs="Arial"/>
      <w:sz w:val="20"/>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52997">
      <w:bodyDiv w:val="1"/>
      <w:marLeft w:val="0"/>
      <w:marRight w:val="0"/>
      <w:marTop w:val="0"/>
      <w:marBottom w:val="0"/>
      <w:divBdr>
        <w:top w:val="none" w:sz="0" w:space="0" w:color="auto"/>
        <w:left w:val="none" w:sz="0" w:space="0" w:color="auto"/>
        <w:bottom w:val="none" w:sz="0" w:space="0" w:color="auto"/>
        <w:right w:val="none" w:sz="0" w:space="0" w:color="auto"/>
      </w:divBdr>
    </w:div>
    <w:div w:id="370569918">
      <w:bodyDiv w:val="1"/>
      <w:marLeft w:val="0"/>
      <w:marRight w:val="0"/>
      <w:marTop w:val="0"/>
      <w:marBottom w:val="0"/>
      <w:divBdr>
        <w:top w:val="none" w:sz="0" w:space="0" w:color="auto"/>
        <w:left w:val="none" w:sz="0" w:space="0" w:color="auto"/>
        <w:bottom w:val="none" w:sz="0" w:space="0" w:color="auto"/>
        <w:right w:val="none" w:sz="0" w:space="0" w:color="auto"/>
      </w:divBdr>
    </w:div>
    <w:div w:id="936400736">
      <w:bodyDiv w:val="1"/>
      <w:marLeft w:val="0"/>
      <w:marRight w:val="0"/>
      <w:marTop w:val="0"/>
      <w:marBottom w:val="0"/>
      <w:divBdr>
        <w:top w:val="none" w:sz="0" w:space="0" w:color="auto"/>
        <w:left w:val="none" w:sz="0" w:space="0" w:color="auto"/>
        <w:bottom w:val="none" w:sz="0" w:space="0" w:color="auto"/>
        <w:right w:val="none" w:sz="0" w:space="0" w:color="auto"/>
      </w:divBdr>
    </w:div>
    <w:div w:id="1569341954">
      <w:bodyDiv w:val="1"/>
      <w:marLeft w:val="0"/>
      <w:marRight w:val="0"/>
      <w:marTop w:val="0"/>
      <w:marBottom w:val="0"/>
      <w:divBdr>
        <w:top w:val="none" w:sz="0" w:space="0" w:color="auto"/>
        <w:left w:val="none" w:sz="0" w:space="0" w:color="auto"/>
        <w:bottom w:val="none" w:sz="0" w:space="0" w:color="auto"/>
        <w:right w:val="none" w:sz="0" w:space="0" w:color="auto"/>
      </w:divBdr>
    </w:div>
    <w:div w:id="195705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D68BF8EC.dotm</Template>
  <TotalTime>0</TotalTime>
  <Pages>37</Pages>
  <Words>13796</Words>
  <Characters>74322</Characters>
  <Application>Microsoft Office Word</Application>
  <DocSecurity>0</DocSecurity>
  <Lines>619</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2018-04-26T04:55:00Z</dcterms:created>
  <dcterms:modified xsi:type="dcterms:W3CDTF">2018-04-26T04:55:00Z</dcterms:modified>
</cp:coreProperties>
</file>