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7D3E5A" w14:textId="65D51A10" w:rsidR="009F0924" w:rsidRPr="009F0924" w:rsidRDefault="009F0924" w:rsidP="009F0924">
      <w:pPr>
        <w:pStyle w:val="Heading1"/>
      </w:pPr>
      <w:bookmarkStart w:id="0" w:name="_GoBack"/>
      <w:bookmarkEnd w:id="0"/>
      <w:r w:rsidRPr="009F0924">
        <w:t>EXPLANATORY STATEMENT</w:t>
      </w:r>
    </w:p>
    <w:p w14:paraId="78CDFD0D" w14:textId="057BEF7C" w:rsidR="009F0924" w:rsidRPr="00CD57A6" w:rsidRDefault="009F0924" w:rsidP="009F0924">
      <w:pPr>
        <w:spacing w:before="0" w:after="240"/>
        <w:jc w:val="center"/>
        <w:rPr>
          <w:rFonts w:ascii="Times New Roman" w:eastAsia="Times New Roman" w:hAnsi="Times New Roman" w:cs="Times New Roman"/>
          <w:sz w:val="24"/>
          <w:szCs w:val="24"/>
          <w:u w:val="single"/>
          <w:lang w:eastAsia="en-AU"/>
        </w:rPr>
      </w:pPr>
      <w:r w:rsidRPr="00CD57A6">
        <w:rPr>
          <w:rFonts w:ascii="Times New Roman" w:eastAsia="Times New Roman" w:hAnsi="Times New Roman" w:cs="Times New Roman"/>
          <w:sz w:val="24"/>
          <w:szCs w:val="24"/>
          <w:u w:val="single"/>
          <w:lang w:eastAsia="en-AU"/>
        </w:rPr>
        <w:t>Issued by the Authority of the Minister for Resources and Northern Australia</w:t>
      </w:r>
    </w:p>
    <w:p w14:paraId="1171CD64" w14:textId="77777777" w:rsidR="009F0924" w:rsidRPr="00CD57A6" w:rsidRDefault="009F0924" w:rsidP="009F0924">
      <w:pPr>
        <w:spacing w:before="0" w:after="240"/>
        <w:jc w:val="center"/>
        <w:rPr>
          <w:rFonts w:ascii="Times New Roman" w:eastAsia="Calibri" w:hAnsi="Times New Roman" w:cs="Times New Roman"/>
          <w:i/>
          <w:iCs/>
          <w:sz w:val="24"/>
        </w:rPr>
      </w:pPr>
      <w:r w:rsidRPr="00CD57A6">
        <w:rPr>
          <w:rFonts w:ascii="Times New Roman" w:eastAsia="Calibri" w:hAnsi="Times New Roman" w:cs="Times New Roman"/>
          <w:i/>
          <w:iCs/>
          <w:sz w:val="24"/>
        </w:rPr>
        <w:t>Northern Australia Infrastructure Facility Act 2016</w:t>
      </w:r>
    </w:p>
    <w:p w14:paraId="55E13DEF" w14:textId="1C97A2F4" w:rsidR="009F0924" w:rsidRPr="00CD57A6" w:rsidRDefault="009F0924" w:rsidP="009F0924">
      <w:pPr>
        <w:spacing w:before="0" w:after="240"/>
        <w:jc w:val="center"/>
        <w:rPr>
          <w:rFonts w:ascii="Times New Roman" w:eastAsia="Calibri" w:hAnsi="Times New Roman" w:cs="Times New Roman"/>
          <w:i/>
          <w:iCs/>
          <w:sz w:val="24"/>
        </w:rPr>
      </w:pPr>
      <w:r w:rsidRPr="00CD57A6">
        <w:rPr>
          <w:rFonts w:ascii="Times New Roman" w:eastAsia="Calibri" w:hAnsi="Times New Roman" w:cs="Times New Roman"/>
          <w:i/>
          <w:iCs/>
          <w:sz w:val="24"/>
        </w:rPr>
        <w:t>Northern Australia Infrastructure Facility Investment Mandate Direction 201</w:t>
      </w:r>
      <w:r w:rsidR="00DB598E">
        <w:rPr>
          <w:rFonts w:ascii="Times New Roman" w:eastAsia="Calibri" w:hAnsi="Times New Roman" w:cs="Times New Roman"/>
          <w:i/>
          <w:iCs/>
          <w:sz w:val="24"/>
        </w:rPr>
        <w:t>8</w:t>
      </w:r>
    </w:p>
    <w:p w14:paraId="574E50CD" w14:textId="118B8390" w:rsidR="009C5F2F" w:rsidRPr="00221034" w:rsidRDefault="009B0E04" w:rsidP="005823FB">
      <w:pPr>
        <w:spacing w:after="240" w:line="280" w:lineRule="atLeast"/>
        <w:rPr>
          <w:rFonts w:ascii="Times New Roman" w:hAnsi="Times New Roman" w:cs="Times New Roman"/>
          <w:b/>
          <w:sz w:val="24"/>
          <w:szCs w:val="24"/>
        </w:rPr>
      </w:pPr>
      <w:r>
        <w:rPr>
          <w:rFonts w:ascii="Times New Roman" w:hAnsi="Times New Roman" w:cs="Times New Roman"/>
          <w:b/>
          <w:sz w:val="24"/>
          <w:szCs w:val="24"/>
        </w:rPr>
        <w:t>Purpose</w:t>
      </w:r>
    </w:p>
    <w:p w14:paraId="3FFF96C1" w14:textId="528068FC" w:rsidR="00DB598E" w:rsidRDefault="009B0E04" w:rsidP="005823FB">
      <w:pPr>
        <w:spacing w:after="240" w:line="280" w:lineRule="atLeast"/>
        <w:rPr>
          <w:rFonts w:ascii="Times New Roman" w:hAnsi="Times New Roman" w:cs="Times New Roman"/>
          <w:sz w:val="24"/>
          <w:szCs w:val="24"/>
        </w:rPr>
      </w:pPr>
      <w:r w:rsidRPr="009B0E04">
        <w:rPr>
          <w:rFonts w:ascii="Times New Roman" w:hAnsi="Times New Roman" w:cs="Times New Roman"/>
          <w:sz w:val="24"/>
          <w:szCs w:val="24"/>
        </w:rPr>
        <w:t xml:space="preserve">Under the </w:t>
      </w:r>
      <w:r w:rsidR="00DB598E" w:rsidRPr="00CD57A6">
        <w:rPr>
          <w:rFonts w:ascii="Times New Roman" w:eastAsia="Calibri" w:hAnsi="Times New Roman" w:cs="Times New Roman"/>
          <w:i/>
          <w:iCs/>
          <w:sz w:val="24"/>
        </w:rPr>
        <w:t>Northern Australia Infrastructure Facility Act 2016</w:t>
      </w:r>
      <w:r w:rsidR="00DB598E">
        <w:rPr>
          <w:rFonts w:ascii="Times New Roman" w:eastAsia="Calibri" w:hAnsi="Times New Roman" w:cs="Times New Roman"/>
          <w:i/>
          <w:iCs/>
          <w:sz w:val="24"/>
        </w:rPr>
        <w:t xml:space="preserve"> </w:t>
      </w:r>
      <w:r w:rsidR="00DB598E" w:rsidRPr="00DB598E">
        <w:rPr>
          <w:rFonts w:ascii="Times New Roman" w:eastAsia="Calibri" w:hAnsi="Times New Roman" w:cs="Times New Roman"/>
          <w:iCs/>
          <w:sz w:val="24"/>
        </w:rPr>
        <w:t>(the NAIF Act)</w:t>
      </w:r>
      <w:r w:rsidR="00DB598E">
        <w:rPr>
          <w:rFonts w:ascii="Times New Roman" w:eastAsia="Calibri" w:hAnsi="Times New Roman" w:cs="Times New Roman"/>
          <w:iCs/>
          <w:sz w:val="24"/>
        </w:rPr>
        <w:t>,</w:t>
      </w:r>
      <w:r w:rsidRPr="009B0E04">
        <w:rPr>
          <w:rFonts w:ascii="Times New Roman" w:hAnsi="Times New Roman" w:cs="Times New Roman"/>
          <w:sz w:val="24"/>
          <w:szCs w:val="24"/>
        </w:rPr>
        <w:t xml:space="preserve"> the role of the </w:t>
      </w:r>
      <w:r w:rsidR="00DB598E">
        <w:rPr>
          <w:rFonts w:ascii="Times New Roman" w:hAnsi="Times New Roman" w:cs="Times New Roman"/>
          <w:sz w:val="24"/>
          <w:szCs w:val="24"/>
        </w:rPr>
        <w:t xml:space="preserve">Northern Australia Infrastructure </w:t>
      </w:r>
      <w:r w:rsidRPr="009B0E04">
        <w:rPr>
          <w:rFonts w:ascii="Times New Roman" w:hAnsi="Times New Roman" w:cs="Times New Roman"/>
          <w:sz w:val="24"/>
          <w:szCs w:val="24"/>
        </w:rPr>
        <w:t>Facility</w:t>
      </w:r>
      <w:r w:rsidR="00DB598E">
        <w:rPr>
          <w:rFonts w:ascii="Times New Roman" w:hAnsi="Times New Roman" w:cs="Times New Roman"/>
          <w:sz w:val="24"/>
          <w:szCs w:val="24"/>
        </w:rPr>
        <w:t xml:space="preserve"> </w:t>
      </w:r>
      <w:r w:rsidR="00DB598E" w:rsidRPr="00DB598E">
        <w:rPr>
          <w:rFonts w:ascii="Times New Roman" w:eastAsia="Calibri" w:hAnsi="Times New Roman" w:cs="Times New Roman"/>
          <w:iCs/>
          <w:sz w:val="24"/>
        </w:rPr>
        <w:t xml:space="preserve">(the </w:t>
      </w:r>
      <w:r w:rsidR="00DB598E">
        <w:rPr>
          <w:rFonts w:ascii="Times New Roman" w:eastAsia="Calibri" w:hAnsi="Times New Roman" w:cs="Times New Roman"/>
          <w:iCs/>
          <w:sz w:val="24"/>
        </w:rPr>
        <w:t>Facility</w:t>
      </w:r>
      <w:r w:rsidR="00DB598E" w:rsidRPr="00DB598E">
        <w:rPr>
          <w:rFonts w:ascii="Times New Roman" w:eastAsia="Calibri" w:hAnsi="Times New Roman" w:cs="Times New Roman"/>
          <w:iCs/>
          <w:sz w:val="24"/>
        </w:rPr>
        <w:t>)</w:t>
      </w:r>
      <w:r w:rsidRPr="009B0E04">
        <w:rPr>
          <w:rFonts w:ascii="Times New Roman" w:hAnsi="Times New Roman" w:cs="Times New Roman"/>
          <w:sz w:val="24"/>
          <w:szCs w:val="24"/>
        </w:rPr>
        <w:t xml:space="preserve"> is to provide grants of financial assistance to the States and Territories for the construction of </w:t>
      </w:r>
      <w:r w:rsidR="0058109E">
        <w:rPr>
          <w:rFonts w:ascii="Times New Roman" w:hAnsi="Times New Roman" w:cs="Times New Roman"/>
          <w:sz w:val="24"/>
          <w:szCs w:val="24"/>
        </w:rPr>
        <w:t>n</w:t>
      </w:r>
      <w:r w:rsidRPr="009B0E04">
        <w:rPr>
          <w:rFonts w:ascii="Times New Roman" w:hAnsi="Times New Roman" w:cs="Times New Roman"/>
          <w:sz w:val="24"/>
          <w:szCs w:val="24"/>
        </w:rPr>
        <w:t>orthern Australia economic infrastructure.</w:t>
      </w:r>
      <w:r>
        <w:rPr>
          <w:rFonts w:ascii="Times New Roman" w:hAnsi="Times New Roman" w:cs="Times New Roman"/>
          <w:sz w:val="24"/>
          <w:szCs w:val="24"/>
        </w:rPr>
        <w:t xml:space="preserve"> </w:t>
      </w:r>
    </w:p>
    <w:p w14:paraId="1A447BF3" w14:textId="10A1014D" w:rsidR="009B0E04" w:rsidRPr="009B0E04" w:rsidRDefault="00DB598E" w:rsidP="005823FB">
      <w:pPr>
        <w:spacing w:after="240" w:line="280" w:lineRule="atLeast"/>
        <w:rPr>
          <w:rFonts w:ascii="Times New Roman" w:hAnsi="Times New Roman" w:cs="Times New Roman"/>
          <w:sz w:val="24"/>
          <w:szCs w:val="24"/>
        </w:rPr>
      </w:pPr>
      <w:r>
        <w:rPr>
          <w:rFonts w:ascii="Times New Roman" w:hAnsi="Times New Roman" w:cs="Times New Roman"/>
          <w:sz w:val="24"/>
          <w:szCs w:val="24"/>
        </w:rPr>
        <w:t xml:space="preserve">Under the NAIF Act, the Board of the </w:t>
      </w:r>
      <w:r w:rsidR="009B0E04" w:rsidRPr="009B0E04">
        <w:rPr>
          <w:rFonts w:ascii="Times New Roman" w:hAnsi="Times New Roman" w:cs="Times New Roman"/>
          <w:sz w:val="24"/>
          <w:szCs w:val="24"/>
        </w:rPr>
        <w:t>Facility</w:t>
      </w:r>
      <w:r>
        <w:rPr>
          <w:rFonts w:ascii="Times New Roman" w:hAnsi="Times New Roman" w:cs="Times New Roman"/>
          <w:sz w:val="24"/>
          <w:szCs w:val="24"/>
        </w:rPr>
        <w:t xml:space="preserve"> </w:t>
      </w:r>
      <w:r w:rsidRPr="00DB598E">
        <w:rPr>
          <w:rFonts w:ascii="Times New Roman" w:eastAsia="Calibri" w:hAnsi="Times New Roman" w:cs="Times New Roman"/>
          <w:iCs/>
          <w:sz w:val="24"/>
        </w:rPr>
        <w:t xml:space="preserve">(the </w:t>
      </w:r>
      <w:r>
        <w:rPr>
          <w:rFonts w:ascii="Times New Roman" w:eastAsia="Calibri" w:hAnsi="Times New Roman" w:cs="Times New Roman"/>
          <w:iCs/>
          <w:sz w:val="24"/>
        </w:rPr>
        <w:t>Board</w:t>
      </w:r>
      <w:r w:rsidRPr="00DB598E">
        <w:rPr>
          <w:rFonts w:ascii="Times New Roman" w:eastAsia="Calibri" w:hAnsi="Times New Roman" w:cs="Times New Roman"/>
          <w:iCs/>
          <w:sz w:val="24"/>
        </w:rPr>
        <w:t>)</w:t>
      </w:r>
      <w:r w:rsidR="009B0E04" w:rsidRPr="009B0E04">
        <w:rPr>
          <w:rFonts w:ascii="Times New Roman" w:hAnsi="Times New Roman" w:cs="Times New Roman"/>
          <w:sz w:val="24"/>
          <w:szCs w:val="24"/>
        </w:rPr>
        <w:t xml:space="preserve"> </w:t>
      </w:r>
      <w:r>
        <w:rPr>
          <w:rFonts w:ascii="Times New Roman" w:hAnsi="Times New Roman" w:cs="Times New Roman"/>
          <w:sz w:val="24"/>
          <w:szCs w:val="24"/>
        </w:rPr>
        <w:t>is responsible for ensuring the proper, efficient and effective performance of the Facility’s functions. The Board is also responsible for deciding the strategies and policies to be followed by the Facility</w:t>
      </w:r>
      <w:r w:rsidR="000F68DD">
        <w:rPr>
          <w:rFonts w:ascii="Times New Roman" w:hAnsi="Times New Roman" w:cs="Times New Roman"/>
          <w:sz w:val="24"/>
          <w:szCs w:val="24"/>
        </w:rPr>
        <w:t xml:space="preserve">, within the </w:t>
      </w:r>
      <w:r>
        <w:rPr>
          <w:rFonts w:ascii="Times New Roman" w:hAnsi="Times New Roman" w:cs="Times New Roman"/>
          <w:sz w:val="24"/>
          <w:szCs w:val="24"/>
        </w:rPr>
        <w:t>scope of the directions given to the Facility about the performance of the Facility’s functions</w:t>
      </w:r>
      <w:r w:rsidR="000F68DD">
        <w:rPr>
          <w:rFonts w:ascii="Times New Roman" w:hAnsi="Times New Roman" w:cs="Times New Roman"/>
          <w:sz w:val="24"/>
          <w:szCs w:val="24"/>
        </w:rPr>
        <w:t xml:space="preserve"> under subsection 9(1) of the NAIF Act</w:t>
      </w:r>
      <w:r>
        <w:rPr>
          <w:rFonts w:ascii="Times New Roman" w:hAnsi="Times New Roman" w:cs="Times New Roman"/>
          <w:sz w:val="24"/>
          <w:szCs w:val="24"/>
        </w:rPr>
        <w:t>. Directions issued</w:t>
      </w:r>
      <w:r w:rsidR="000F68DD">
        <w:rPr>
          <w:rFonts w:ascii="Times New Roman" w:hAnsi="Times New Roman" w:cs="Times New Roman"/>
          <w:sz w:val="24"/>
          <w:szCs w:val="24"/>
        </w:rPr>
        <w:t xml:space="preserve"> in this manner are known collectively as the Facility’s Investment Mandate</w:t>
      </w:r>
      <w:r w:rsidR="009B0E04">
        <w:rPr>
          <w:rFonts w:ascii="Times New Roman" w:hAnsi="Times New Roman" w:cs="Times New Roman"/>
          <w:sz w:val="24"/>
          <w:szCs w:val="24"/>
        </w:rPr>
        <w:t>.</w:t>
      </w:r>
      <w:r w:rsidR="000F68DD" w:rsidRPr="000F68DD">
        <w:rPr>
          <w:rFonts w:ascii="Times New Roman" w:hAnsi="Times New Roman" w:cs="Times New Roman"/>
          <w:sz w:val="24"/>
          <w:szCs w:val="24"/>
        </w:rPr>
        <w:t xml:space="preserve"> </w:t>
      </w:r>
      <w:r w:rsidR="000F68DD" w:rsidRPr="009B0E04">
        <w:rPr>
          <w:rFonts w:ascii="Times New Roman" w:hAnsi="Times New Roman" w:cs="Times New Roman"/>
          <w:sz w:val="24"/>
          <w:szCs w:val="24"/>
        </w:rPr>
        <w:t xml:space="preserve">The purpose of the Investment Mandate is to provide a mechanism for the Commonwealth </w:t>
      </w:r>
      <w:r w:rsidR="000F68DD">
        <w:rPr>
          <w:rFonts w:ascii="Times New Roman" w:hAnsi="Times New Roman" w:cs="Times New Roman"/>
          <w:sz w:val="24"/>
          <w:szCs w:val="24"/>
        </w:rPr>
        <w:t xml:space="preserve">Government </w:t>
      </w:r>
      <w:r w:rsidR="000F68DD" w:rsidRPr="009B0E04">
        <w:rPr>
          <w:rFonts w:ascii="Times New Roman" w:hAnsi="Times New Roman" w:cs="Times New Roman"/>
          <w:sz w:val="24"/>
          <w:szCs w:val="24"/>
        </w:rPr>
        <w:t>to articulate its broad expectations on the functions of the Facility and how it invests.</w:t>
      </w:r>
    </w:p>
    <w:p w14:paraId="5053E9E6" w14:textId="52F78A78" w:rsidR="009B0E04" w:rsidRPr="009B0E04" w:rsidRDefault="004F0129" w:rsidP="005823FB">
      <w:pPr>
        <w:spacing w:after="240" w:line="280" w:lineRule="atLeast"/>
        <w:rPr>
          <w:rFonts w:ascii="Times New Roman" w:hAnsi="Times New Roman" w:cs="Times New Roman"/>
          <w:sz w:val="24"/>
          <w:szCs w:val="24"/>
        </w:rPr>
      </w:pPr>
      <w:r w:rsidRPr="009B0E04">
        <w:rPr>
          <w:rFonts w:ascii="Times New Roman" w:hAnsi="Times New Roman" w:cs="Times New Roman"/>
          <w:sz w:val="24"/>
          <w:szCs w:val="24"/>
        </w:rPr>
        <w:t xml:space="preserve">The Board is responsible for the Facility’s </w:t>
      </w:r>
      <w:r>
        <w:rPr>
          <w:rFonts w:ascii="Times New Roman" w:hAnsi="Times New Roman" w:cs="Times New Roman"/>
          <w:sz w:val="24"/>
          <w:szCs w:val="24"/>
        </w:rPr>
        <w:t>I</w:t>
      </w:r>
      <w:r w:rsidRPr="009B0E04">
        <w:rPr>
          <w:rFonts w:ascii="Times New Roman" w:hAnsi="Times New Roman" w:cs="Times New Roman"/>
          <w:sz w:val="24"/>
          <w:szCs w:val="24"/>
        </w:rPr>
        <w:t xml:space="preserve">nvestment </w:t>
      </w:r>
      <w:r>
        <w:rPr>
          <w:rFonts w:ascii="Times New Roman" w:hAnsi="Times New Roman" w:cs="Times New Roman"/>
          <w:sz w:val="24"/>
          <w:szCs w:val="24"/>
        </w:rPr>
        <w:t>D</w:t>
      </w:r>
      <w:r w:rsidRPr="009B0E04">
        <w:rPr>
          <w:rFonts w:ascii="Times New Roman" w:hAnsi="Times New Roman" w:cs="Times New Roman"/>
          <w:sz w:val="24"/>
          <w:szCs w:val="24"/>
        </w:rPr>
        <w:t>ecisions.</w:t>
      </w:r>
      <w:r>
        <w:rPr>
          <w:rFonts w:ascii="Times New Roman" w:hAnsi="Times New Roman" w:cs="Times New Roman"/>
          <w:sz w:val="24"/>
          <w:szCs w:val="24"/>
        </w:rPr>
        <w:t xml:space="preserve"> </w:t>
      </w:r>
      <w:r w:rsidR="000F68DD">
        <w:rPr>
          <w:rFonts w:ascii="Times New Roman" w:hAnsi="Times New Roman" w:cs="Times New Roman"/>
          <w:sz w:val="24"/>
          <w:szCs w:val="24"/>
        </w:rPr>
        <w:t xml:space="preserve">Within the scope of the Investment Mandate, the Facility will make individual investment decisions independently of the Commonwealth. Those decisions are subject only to the </w:t>
      </w:r>
      <w:r w:rsidR="009B0E04" w:rsidRPr="009B0E04">
        <w:rPr>
          <w:rFonts w:ascii="Times New Roman" w:hAnsi="Times New Roman" w:cs="Times New Roman"/>
          <w:sz w:val="24"/>
          <w:szCs w:val="24"/>
        </w:rPr>
        <w:t xml:space="preserve">Minister’s limited powers of </w:t>
      </w:r>
      <w:r w:rsidR="00DB598E">
        <w:rPr>
          <w:rFonts w:ascii="Times New Roman" w:hAnsi="Times New Roman" w:cs="Times New Roman"/>
          <w:sz w:val="24"/>
          <w:szCs w:val="24"/>
        </w:rPr>
        <w:t xml:space="preserve">rejection </w:t>
      </w:r>
      <w:r w:rsidR="009B0E04" w:rsidRPr="009B0E04">
        <w:rPr>
          <w:rFonts w:ascii="Times New Roman" w:hAnsi="Times New Roman" w:cs="Times New Roman"/>
          <w:sz w:val="24"/>
          <w:szCs w:val="24"/>
        </w:rPr>
        <w:t xml:space="preserve">set out in section 11 </w:t>
      </w:r>
      <w:r w:rsidR="00DB598E">
        <w:rPr>
          <w:rFonts w:ascii="Times New Roman" w:hAnsi="Times New Roman" w:cs="Times New Roman"/>
          <w:sz w:val="24"/>
          <w:szCs w:val="24"/>
        </w:rPr>
        <w:t>of</w:t>
      </w:r>
      <w:r w:rsidR="009B0E04" w:rsidRPr="009B0E04">
        <w:rPr>
          <w:rFonts w:ascii="Times New Roman" w:hAnsi="Times New Roman" w:cs="Times New Roman"/>
          <w:sz w:val="24"/>
          <w:szCs w:val="24"/>
        </w:rPr>
        <w:t xml:space="preserve"> the </w:t>
      </w:r>
      <w:r w:rsidR="000F68DD">
        <w:rPr>
          <w:rFonts w:ascii="Times New Roman" w:hAnsi="Times New Roman" w:cs="Times New Roman"/>
          <w:sz w:val="24"/>
          <w:szCs w:val="24"/>
        </w:rPr>
        <w:t>NAIF Act</w:t>
      </w:r>
      <w:r w:rsidR="00D5721B">
        <w:rPr>
          <w:rFonts w:ascii="Times New Roman" w:hAnsi="Times New Roman" w:cs="Times New Roman"/>
          <w:sz w:val="24"/>
          <w:szCs w:val="24"/>
        </w:rPr>
        <w:t>.</w:t>
      </w:r>
    </w:p>
    <w:p w14:paraId="3E41077A" w14:textId="63F87152" w:rsidR="009B0E04" w:rsidRDefault="009B0E04" w:rsidP="005823FB">
      <w:pPr>
        <w:spacing w:after="240" w:line="280" w:lineRule="atLeast"/>
        <w:rPr>
          <w:rFonts w:ascii="Times New Roman" w:hAnsi="Times New Roman" w:cs="Times New Roman"/>
          <w:sz w:val="24"/>
          <w:szCs w:val="24"/>
        </w:rPr>
      </w:pPr>
      <w:r w:rsidRPr="009B0E04">
        <w:rPr>
          <w:rFonts w:ascii="Times New Roman" w:hAnsi="Times New Roman" w:cs="Times New Roman"/>
          <w:sz w:val="24"/>
          <w:szCs w:val="24"/>
        </w:rPr>
        <w:t xml:space="preserve">The Facility will fill the gaps in the infrastructure financing market for Northern Australia by </w:t>
      </w:r>
      <w:r w:rsidR="004F0129">
        <w:rPr>
          <w:rFonts w:ascii="Times New Roman" w:hAnsi="Times New Roman" w:cs="Times New Roman"/>
          <w:sz w:val="24"/>
          <w:szCs w:val="24"/>
        </w:rPr>
        <w:t>providing</w:t>
      </w:r>
      <w:r w:rsidRPr="009B0E04">
        <w:rPr>
          <w:rFonts w:ascii="Times New Roman" w:hAnsi="Times New Roman" w:cs="Times New Roman"/>
          <w:sz w:val="24"/>
          <w:szCs w:val="24"/>
        </w:rPr>
        <w:t xml:space="preserve"> financing for Projects that produce benefits to the region. Any </w:t>
      </w:r>
      <w:r w:rsidR="000F68DD">
        <w:rPr>
          <w:rFonts w:ascii="Times New Roman" w:hAnsi="Times New Roman" w:cs="Times New Roman"/>
          <w:sz w:val="24"/>
          <w:szCs w:val="24"/>
        </w:rPr>
        <w:t xml:space="preserve">loan applicant must be able to demonstrate the ability to repay the loan in full. The Facility will only </w:t>
      </w:r>
      <w:r w:rsidRPr="009B0E04">
        <w:rPr>
          <w:rFonts w:ascii="Times New Roman" w:hAnsi="Times New Roman" w:cs="Times New Roman"/>
          <w:sz w:val="24"/>
          <w:szCs w:val="24"/>
        </w:rPr>
        <w:t xml:space="preserve">provide the level of concession </w:t>
      </w:r>
      <w:r w:rsidR="004F0129">
        <w:rPr>
          <w:rFonts w:ascii="Times New Roman" w:hAnsi="Times New Roman" w:cs="Times New Roman"/>
          <w:sz w:val="24"/>
          <w:szCs w:val="24"/>
        </w:rPr>
        <w:t xml:space="preserve">the Board considers </w:t>
      </w:r>
      <w:r w:rsidRPr="009B0E04">
        <w:rPr>
          <w:rFonts w:ascii="Times New Roman" w:hAnsi="Times New Roman" w:cs="Times New Roman"/>
          <w:sz w:val="24"/>
          <w:szCs w:val="24"/>
        </w:rPr>
        <w:t xml:space="preserve">necessary to </w:t>
      </w:r>
      <w:r w:rsidR="000F68DD">
        <w:rPr>
          <w:rFonts w:ascii="Times New Roman" w:hAnsi="Times New Roman" w:cs="Times New Roman"/>
          <w:sz w:val="24"/>
          <w:szCs w:val="24"/>
        </w:rPr>
        <w:t xml:space="preserve">ensure the </w:t>
      </w:r>
      <w:r w:rsidR="00F756CF">
        <w:rPr>
          <w:rFonts w:ascii="Times New Roman" w:hAnsi="Times New Roman" w:cs="Times New Roman"/>
          <w:sz w:val="24"/>
          <w:szCs w:val="24"/>
        </w:rPr>
        <w:t>project</w:t>
      </w:r>
      <w:r w:rsidR="00F768FA">
        <w:rPr>
          <w:rFonts w:ascii="Times New Roman" w:hAnsi="Times New Roman" w:cs="Times New Roman"/>
          <w:sz w:val="24"/>
          <w:szCs w:val="24"/>
        </w:rPr>
        <w:t xml:space="preserve"> proceeds</w:t>
      </w:r>
      <w:r w:rsidRPr="009B0E04">
        <w:rPr>
          <w:rFonts w:ascii="Times New Roman" w:hAnsi="Times New Roman" w:cs="Times New Roman"/>
          <w:sz w:val="24"/>
          <w:szCs w:val="24"/>
        </w:rPr>
        <w:t xml:space="preserve">. </w:t>
      </w:r>
    </w:p>
    <w:p w14:paraId="6B40DBB0" w14:textId="3E78BC00" w:rsidR="00773178" w:rsidRDefault="009B0E04" w:rsidP="005823FB">
      <w:pPr>
        <w:spacing w:after="240" w:line="280" w:lineRule="atLeast"/>
        <w:rPr>
          <w:rFonts w:ascii="Times New Roman" w:hAnsi="Times New Roman" w:cs="Times New Roman"/>
          <w:sz w:val="24"/>
          <w:szCs w:val="24"/>
        </w:rPr>
      </w:pPr>
      <w:r>
        <w:rPr>
          <w:rFonts w:ascii="Times New Roman" w:hAnsi="Times New Roman" w:cs="Times New Roman"/>
          <w:sz w:val="24"/>
          <w:szCs w:val="24"/>
        </w:rPr>
        <w:t xml:space="preserve">The </w:t>
      </w:r>
      <w:r w:rsidRPr="00CD57A6">
        <w:rPr>
          <w:rFonts w:ascii="Times New Roman" w:eastAsia="Calibri" w:hAnsi="Times New Roman" w:cs="Times New Roman"/>
          <w:i/>
          <w:iCs/>
          <w:sz w:val="24"/>
        </w:rPr>
        <w:t>Northern Australia Infrastructure Facility Investment Mandate Direction 201</w:t>
      </w:r>
      <w:r w:rsidR="000F68DD">
        <w:rPr>
          <w:rFonts w:ascii="Times New Roman" w:eastAsia="Calibri" w:hAnsi="Times New Roman" w:cs="Times New Roman"/>
          <w:i/>
          <w:iCs/>
          <w:sz w:val="24"/>
        </w:rPr>
        <w:t>8</w:t>
      </w:r>
      <w:r>
        <w:rPr>
          <w:rFonts w:ascii="Times New Roman" w:eastAsia="Calibri" w:hAnsi="Times New Roman" w:cs="Times New Roman"/>
          <w:i/>
          <w:iCs/>
          <w:sz w:val="24"/>
        </w:rPr>
        <w:t xml:space="preserve"> </w:t>
      </w:r>
      <w:r>
        <w:rPr>
          <w:rFonts w:ascii="Times New Roman" w:eastAsia="Calibri" w:hAnsi="Times New Roman" w:cs="Times New Roman"/>
          <w:iCs/>
          <w:sz w:val="24"/>
        </w:rPr>
        <w:t>(</w:t>
      </w:r>
      <w:r w:rsidR="000F68DD">
        <w:rPr>
          <w:rFonts w:ascii="Times New Roman" w:eastAsia="Calibri" w:hAnsi="Times New Roman" w:cs="Times New Roman"/>
          <w:iCs/>
          <w:sz w:val="24"/>
        </w:rPr>
        <w:t xml:space="preserve">the </w:t>
      </w:r>
      <w:r>
        <w:rPr>
          <w:rFonts w:ascii="Times New Roman" w:eastAsia="Calibri" w:hAnsi="Times New Roman" w:cs="Times New Roman"/>
          <w:iCs/>
          <w:sz w:val="24"/>
        </w:rPr>
        <w:t>201</w:t>
      </w:r>
      <w:r w:rsidR="000F68DD">
        <w:rPr>
          <w:rFonts w:ascii="Times New Roman" w:eastAsia="Calibri" w:hAnsi="Times New Roman" w:cs="Times New Roman"/>
          <w:iCs/>
          <w:sz w:val="24"/>
        </w:rPr>
        <w:t>8</w:t>
      </w:r>
      <w:r>
        <w:rPr>
          <w:rFonts w:ascii="Times New Roman" w:eastAsia="Calibri" w:hAnsi="Times New Roman" w:cs="Times New Roman"/>
          <w:iCs/>
          <w:sz w:val="24"/>
        </w:rPr>
        <w:t xml:space="preserve"> Mandate) replaces the </w:t>
      </w:r>
      <w:r w:rsidRPr="00CD57A6">
        <w:rPr>
          <w:rFonts w:ascii="Times New Roman" w:eastAsia="Calibri" w:hAnsi="Times New Roman" w:cs="Times New Roman"/>
          <w:i/>
          <w:iCs/>
          <w:sz w:val="24"/>
        </w:rPr>
        <w:t>Northern Australia Infrastructure Facility Investment Mandate Direction 201</w:t>
      </w:r>
      <w:r>
        <w:rPr>
          <w:rFonts w:ascii="Times New Roman" w:eastAsia="Calibri" w:hAnsi="Times New Roman" w:cs="Times New Roman"/>
          <w:i/>
          <w:iCs/>
          <w:sz w:val="24"/>
        </w:rPr>
        <w:t>6</w:t>
      </w:r>
      <w:r w:rsidR="00B31E3E">
        <w:rPr>
          <w:rFonts w:ascii="Times New Roman" w:eastAsia="Calibri" w:hAnsi="Times New Roman" w:cs="Times New Roman"/>
          <w:i/>
          <w:iCs/>
          <w:sz w:val="24"/>
        </w:rPr>
        <w:t xml:space="preserve"> </w:t>
      </w:r>
      <w:r w:rsidR="00B31E3E">
        <w:rPr>
          <w:rFonts w:ascii="Times New Roman" w:eastAsia="Calibri" w:hAnsi="Times New Roman" w:cs="Times New Roman"/>
          <w:iCs/>
          <w:sz w:val="24"/>
        </w:rPr>
        <w:t>(the 2016 Mandate)</w:t>
      </w:r>
      <w:r>
        <w:rPr>
          <w:rFonts w:ascii="Times New Roman" w:eastAsia="Calibri" w:hAnsi="Times New Roman" w:cs="Times New Roman"/>
          <w:iCs/>
          <w:sz w:val="24"/>
        </w:rPr>
        <w:t xml:space="preserve">. </w:t>
      </w:r>
      <w:r w:rsidR="00C713F7" w:rsidRPr="00C713F7">
        <w:rPr>
          <w:rFonts w:ascii="Times New Roman" w:eastAsia="Calibri" w:hAnsi="Times New Roman" w:cs="Times New Roman"/>
          <w:iCs/>
          <w:sz w:val="24"/>
        </w:rPr>
        <w:t xml:space="preserve">The 2018 Mandate removes barriers to the effective operation of the </w:t>
      </w:r>
      <w:r w:rsidR="004F0129">
        <w:rPr>
          <w:rFonts w:ascii="Times New Roman" w:eastAsia="Calibri" w:hAnsi="Times New Roman" w:cs="Times New Roman"/>
          <w:iCs/>
          <w:sz w:val="24"/>
        </w:rPr>
        <w:t>Facility</w:t>
      </w:r>
      <w:r w:rsidR="004F0129" w:rsidRPr="00C713F7">
        <w:rPr>
          <w:rFonts w:ascii="Times New Roman" w:eastAsia="Calibri" w:hAnsi="Times New Roman" w:cs="Times New Roman"/>
          <w:iCs/>
          <w:sz w:val="24"/>
        </w:rPr>
        <w:t xml:space="preserve"> </w:t>
      </w:r>
      <w:r w:rsidR="00307798">
        <w:rPr>
          <w:rFonts w:ascii="Times New Roman" w:eastAsia="Calibri" w:hAnsi="Times New Roman" w:cs="Times New Roman"/>
          <w:iCs/>
          <w:sz w:val="24"/>
        </w:rPr>
        <w:t xml:space="preserve">that have been </w:t>
      </w:r>
      <w:r w:rsidR="00C713F7" w:rsidRPr="00C713F7">
        <w:rPr>
          <w:rFonts w:ascii="Times New Roman" w:eastAsia="Calibri" w:hAnsi="Times New Roman" w:cs="Times New Roman"/>
          <w:iCs/>
          <w:sz w:val="24"/>
        </w:rPr>
        <w:t xml:space="preserve">identified since commencement of the </w:t>
      </w:r>
      <w:r w:rsidR="00F756CF">
        <w:rPr>
          <w:rFonts w:ascii="Times New Roman" w:eastAsia="Calibri" w:hAnsi="Times New Roman" w:cs="Times New Roman"/>
          <w:iCs/>
          <w:sz w:val="24"/>
        </w:rPr>
        <w:t>Facility</w:t>
      </w:r>
      <w:r w:rsidR="00C713F7" w:rsidRPr="00C713F7">
        <w:rPr>
          <w:rFonts w:ascii="Times New Roman" w:eastAsia="Calibri" w:hAnsi="Times New Roman" w:cs="Times New Roman"/>
          <w:iCs/>
          <w:sz w:val="24"/>
        </w:rPr>
        <w:t>.</w:t>
      </w:r>
      <w:r>
        <w:rPr>
          <w:rFonts w:ascii="Times New Roman" w:eastAsia="Calibri" w:hAnsi="Times New Roman" w:cs="Times New Roman"/>
          <w:iCs/>
          <w:sz w:val="24"/>
        </w:rPr>
        <w:t xml:space="preserve"> The primary change</w:t>
      </w:r>
      <w:r w:rsidR="00296D6C">
        <w:rPr>
          <w:rFonts w:ascii="Times New Roman" w:eastAsia="Calibri" w:hAnsi="Times New Roman" w:cs="Times New Roman"/>
          <w:iCs/>
          <w:sz w:val="24"/>
        </w:rPr>
        <w:t xml:space="preserve"> is </w:t>
      </w:r>
      <w:r w:rsidR="000F68DD">
        <w:rPr>
          <w:rFonts w:ascii="Times New Roman" w:eastAsia="Calibri" w:hAnsi="Times New Roman" w:cs="Times New Roman"/>
          <w:iCs/>
          <w:sz w:val="24"/>
        </w:rPr>
        <w:t xml:space="preserve">the removal of the </w:t>
      </w:r>
      <w:r w:rsidR="00296D6C">
        <w:rPr>
          <w:rFonts w:ascii="Times New Roman" w:eastAsia="Calibri" w:hAnsi="Times New Roman" w:cs="Times New Roman"/>
          <w:iCs/>
          <w:sz w:val="24"/>
        </w:rPr>
        <w:t xml:space="preserve">two </w:t>
      </w:r>
      <w:r w:rsidR="000F68DD">
        <w:rPr>
          <w:rFonts w:ascii="Times New Roman" w:eastAsia="Calibri" w:hAnsi="Times New Roman" w:cs="Times New Roman"/>
          <w:iCs/>
          <w:sz w:val="24"/>
        </w:rPr>
        <w:t xml:space="preserve">Mandatory Criteria in Schedule 1 </w:t>
      </w:r>
      <w:r w:rsidR="00B31E3E">
        <w:rPr>
          <w:rFonts w:ascii="Times New Roman" w:eastAsia="Calibri" w:hAnsi="Times New Roman" w:cs="Times New Roman"/>
          <w:iCs/>
          <w:sz w:val="24"/>
        </w:rPr>
        <w:t xml:space="preserve">to the 2016 Mandate </w:t>
      </w:r>
      <w:r w:rsidR="000F68DD">
        <w:rPr>
          <w:rFonts w:ascii="Times New Roman" w:eastAsia="Calibri" w:hAnsi="Times New Roman" w:cs="Times New Roman"/>
          <w:iCs/>
          <w:sz w:val="24"/>
        </w:rPr>
        <w:t xml:space="preserve">that </w:t>
      </w:r>
      <w:r w:rsidR="00F961F0">
        <w:rPr>
          <w:rFonts w:ascii="Times New Roman" w:eastAsia="Calibri" w:hAnsi="Times New Roman" w:cs="Times New Roman"/>
          <w:iCs/>
          <w:sz w:val="24"/>
        </w:rPr>
        <w:t xml:space="preserve">limited </w:t>
      </w:r>
      <w:r w:rsidR="000F68DD">
        <w:rPr>
          <w:rFonts w:ascii="Times New Roman" w:eastAsia="Calibri" w:hAnsi="Times New Roman" w:cs="Times New Roman"/>
          <w:iCs/>
          <w:sz w:val="24"/>
        </w:rPr>
        <w:t>F</w:t>
      </w:r>
      <w:r w:rsidR="00F756CF">
        <w:rPr>
          <w:rFonts w:ascii="Times New Roman" w:eastAsia="Calibri" w:hAnsi="Times New Roman" w:cs="Times New Roman"/>
          <w:iCs/>
          <w:sz w:val="24"/>
        </w:rPr>
        <w:t>acility</w:t>
      </w:r>
      <w:r w:rsidR="000F68DD">
        <w:rPr>
          <w:rFonts w:ascii="Times New Roman" w:eastAsia="Calibri" w:hAnsi="Times New Roman" w:cs="Times New Roman"/>
          <w:iCs/>
          <w:sz w:val="24"/>
        </w:rPr>
        <w:t xml:space="preserve"> loans </w:t>
      </w:r>
      <w:r w:rsidR="00F961F0">
        <w:rPr>
          <w:rFonts w:ascii="Times New Roman" w:eastAsia="Calibri" w:hAnsi="Times New Roman" w:cs="Times New Roman"/>
          <w:iCs/>
          <w:sz w:val="24"/>
        </w:rPr>
        <w:t xml:space="preserve">to 50 per cent of </w:t>
      </w:r>
      <w:r w:rsidR="000F68DD">
        <w:rPr>
          <w:rFonts w:ascii="Times New Roman" w:eastAsia="Calibri" w:hAnsi="Times New Roman" w:cs="Times New Roman"/>
          <w:iCs/>
          <w:sz w:val="24"/>
        </w:rPr>
        <w:t xml:space="preserve">debt funding and </w:t>
      </w:r>
      <w:r w:rsidR="00307798">
        <w:rPr>
          <w:rFonts w:ascii="Times New Roman" w:eastAsia="Calibri" w:hAnsi="Times New Roman" w:cs="Times New Roman"/>
          <w:iCs/>
          <w:sz w:val="24"/>
        </w:rPr>
        <w:t xml:space="preserve">required </w:t>
      </w:r>
      <w:r w:rsidR="00F756CF">
        <w:rPr>
          <w:rFonts w:ascii="Times New Roman" w:eastAsia="Calibri" w:hAnsi="Times New Roman" w:cs="Times New Roman"/>
          <w:iCs/>
          <w:sz w:val="24"/>
        </w:rPr>
        <w:t>the Facility</w:t>
      </w:r>
      <w:r w:rsidR="000F68DD">
        <w:rPr>
          <w:rFonts w:ascii="Times New Roman" w:eastAsia="Calibri" w:hAnsi="Times New Roman" w:cs="Times New Roman"/>
          <w:iCs/>
          <w:sz w:val="24"/>
        </w:rPr>
        <w:t xml:space="preserve"> to </w:t>
      </w:r>
      <w:r w:rsidR="00FB4555">
        <w:rPr>
          <w:rFonts w:ascii="Times New Roman" w:eastAsia="Calibri" w:hAnsi="Times New Roman" w:cs="Times New Roman"/>
          <w:iCs/>
          <w:sz w:val="24"/>
        </w:rPr>
        <w:t>be satisfied</w:t>
      </w:r>
      <w:r w:rsidR="000F68DD">
        <w:rPr>
          <w:rFonts w:ascii="Times New Roman" w:eastAsia="Calibri" w:hAnsi="Times New Roman" w:cs="Times New Roman"/>
          <w:iCs/>
          <w:sz w:val="24"/>
        </w:rPr>
        <w:t xml:space="preserve"> that the project would not proceed</w:t>
      </w:r>
      <w:r w:rsidR="006E508E">
        <w:rPr>
          <w:rFonts w:ascii="Times New Roman" w:eastAsia="Calibri" w:hAnsi="Times New Roman" w:cs="Times New Roman"/>
          <w:iCs/>
          <w:sz w:val="24"/>
        </w:rPr>
        <w:t xml:space="preserve">, or would only proceed at a much later date, </w:t>
      </w:r>
      <w:r w:rsidR="000F68DD">
        <w:rPr>
          <w:rFonts w:ascii="Times New Roman" w:eastAsia="Calibri" w:hAnsi="Times New Roman" w:cs="Times New Roman"/>
          <w:iCs/>
          <w:sz w:val="24"/>
        </w:rPr>
        <w:t xml:space="preserve">without </w:t>
      </w:r>
      <w:r w:rsidR="00F756CF">
        <w:rPr>
          <w:rFonts w:ascii="Times New Roman" w:eastAsia="Calibri" w:hAnsi="Times New Roman" w:cs="Times New Roman"/>
          <w:iCs/>
          <w:sz w:val="24"/>
        </w:rPr>
        <w:t>Facility</w:t>
      </w:r>
      <w:r w:rsidR="000F68DD">
        <w:rPr>
          <w:rFonts w:ascii="Times New Roman" w:eastAsia="Calibri" w:hAnsi="Times New Roman" w:cs="Times New Roman"/>
          <w:iCs/>
          <w:sz w:val="24"/>
        </w:rPr>
        <w:t xml:space="preserve"> funds. </w:t>
      </w:r>
      <w:r w:rsidR="00296D6C">
        <w:rPr>
          <w:rFonts w:ascii="Times New Roman" w:eastAsia="Calibri" w:hAnsi="Times New Roman" w:cs="Times New Roman"/>
          <w:iCs/>
          <w:sz w:val="24"/>
        </w:rPr>
        <w:t>There are also a number of consequential changes to other sections.</w:t>
      </w:r>
      <w:r w:rsidR="00773178" w:rsidRPr="00221034">
        <w:rPr>
          <w:rFonts w:ascii="Times New Roman" w:hAnsi="Times New Roman" w:cs="Times New Roman"/>
          <w:sz w:val="24"/>
          <w:szCs w:val="24"/>
        </w:rPr>
        <w:t xml:space="preserve"> The </w:t>
      </w:r>
      <w:r>
        <w:rPr>
          <w:rFonts w:ascii="Times New Roman" w:hAnsi="Times New Roman" w:cs="Times New Roman"/>
          <w:sz w:val="24"/>
          <w:szCs w:val="24"/>
        </w:rPr>
        <w:t>201</w:t>
      </w:r>
      <w:r w:rsidR="00296D6C">
        <w:rPr>
          <w:rFonts w:ascii="Times New Roman" w:hAnsi="Times New Roman" w:cs="Times New Roman"/>
          <w:sz w:val="24"/>
          <w:szCs w:val="24"/>
        </w:rPr>
        <w:t>8</w:t>
      </w:r>
      <w:r w:rsidR="00773178" w:rsidRPr="00221034">
        <w:rPr>
          <w:rFonts w:ascii="Times New Roman" w:hAnsi="Times New Roman" w:cs="Times New Roman"/>
          <w:sz w:val="24"/>
          <w:szCs w:val="24"/>
        </w:rPr>
        <w:t xml:space="preserve"> Mandate </w:t>
      </w:r>
      <w:r w:rsidR="00681071">
        <w:rPr>
          <w:rFonts w:ascii="Times New Roman" w:hAnsi="Times New Roman" w:cs="Times New Roman"/>
          <w:sz w:val="24"/>
          <w:szCs w:val="24"/>
        </w:rPr>
        <w:t>c</w:t>
      </w:r>
      <w:r w:rsidR="00773178" w:rsidRPr="00221034">
        <w:rPr>
          <w:rFonts w:ascii="Times New Roman" w:hAnsi="Times New Roman" w:cs="Times New Roman"/>
          <w:sz w:val="24"/>
          <w:szCs w:val="24"/>
        </w:rPr>
        <w:t xml:space="preserve">larifies </w:t>
      </w:r>
      <w:r w:rsidR="00296D6C">
        <w:rPr>
          <w:rFonts w:ascii="Times New Roman" w:hAnsi="Times New Roman" w:cs="Times New Roman"/>
          <w:sz w:val="24"/>
          <w:szCs w:val="24"/>
        </w:rPr>
        <w:t xml:space="preserve">what types of projects are eligible for </w:t>
      </w:r>
      <w:r w:rsidR="00F756CF">
        <w:rPr>
          <w:rFonts w:ascii="Times New Roman" w:hAnsi="Times New Roman" w:cs="Times New Roman"/>
          <w:sz w:val="24"/>
          <w:szCs w:val="24"/>
        </w:rPr>
        <w:t>the Facility’s</w:t>
      </w:r>
      <w:r w:rsidR="00296D6C">
        <w:rPr>
          <w:rFonts w:ascii="Times New Roman" w:hAnsi="Times New Roman" w:cs="Times New Roman"/>
          <w:sz w:val="24"/>
          <w:szCs w:val="24"/>
        </w:rPr>
        <w:t xml:space="preserve"> </w:t>
      </w:r>
      <w:r w:rsidR="006E508E">
        <w:rPr>
          <w:rFonts w:ascii="Times New Roman" w:hAnsi="Times New Roman" w:cs="Times New Roman"/>
          <w:sz w:val="24"/>
          <w:szCs w:val="24"/>
        </w:rPr>
        <w:t>assistance</w:t>
      </w:r>
      <w:r w:rsidR="00773178" w:rsidRPr="00221034">
        <w:rPr>
          <w:rFonts w:ascii="Times New Roman" w:hAnsi="Times New Roman" w:cs="Times New Roman"/>
          <w:sz w:val="24"/>
          <w:szCs w:val="24"/>
        </w:rPr>
        <w:t xml:space="preserve">. </w:t>
      </w:r>
      <w:r w:rsidR="006506BE">
        <w:rPr>
          <w:rFonts w:ascii="Times New Roman" w:hAnsi="Times New Roman" w:cs="Times New Roman"/>
          <w:sz w:val="24"/>
          <w:szCs w:val="24"/>
        </w:rPr>
        <w:t xml:space="preserve">It also </w:t>
      </w:r>
      <w:r w:rsidR="00D87C1B">
        <w:rPr>
          <w:rFonts w:ascii="Times New Roman" w:hAnsi="Times New Roman" w:cs="Times New Roman"/>
          <w:sz w:val="24"/>
          <w:szCs w:val="24"/>
        </w:rPr>
        <w:t xml:space="preserve">provides </w:t>
      </w:r>
      <w:r w:rsidR="00296D6C">
        <w:rPr>
          <w:rFonts w:ascii="Times New Roman" w:hAnsi="Times New Roman" w:cs="Times New Roman"/>
          <w:sz w:val="24"/>
          <w:szCs w:val="24"/>
        </w:rPr>
        <w:t xml:space="preserve">some </w:t>
      </w:r>
      <w:r w:rsidR="006E508E">
        <w:rPr>
          <w:rFonts w:ascii="Times New Roman" w:hAnsi="Times New Roman" w:cs="Times New Roman"/>
          <w:sz w:val="24"/>
          <w:szCs w:val="24"/>
        </w:rPr>
        <w:t>clarifications</w:t>
      </w:r>
      <w:r w:rsidR="00296D6C">
        <w:rPr>
          <w:rFonts w:ascii="Times New Roman" w:hAnsi="Times New Roman" w:cs="Times New Roman"/>
          <w:sz w:val="24"/>
          <w:szCs w:val="24"/>
        </w:rPr>
        <w:t xml:space="preserve"> </w:t>
      </w:r>
      <w:r w:rsidR="00D87C1B">
        <w:rPr>
          <w:rFonts w:ascii="Times New Roman" w:hAnsi="Times New Roman" w:cs="Times New Roman"/>
          <w:sz w:val="24"/>
          <w:szCs w:val="24"/>
        </w:rPr>
        <w:t xml:space="preserve">as to how the </w:t>
      </w:r>
      <w:r w:rsidR="00296D6C">
        <w:rPr>
          <w:rFonts w:ascii="Times New Roman" w:hAnsi="Times New Roman" w:cs="Times New Roman"/>
          <w:sz w:val="24"/>
          <w:szCs w:val="24"/>
        </w:rPr>
        <w:t xml:space="preserve">Board </w:t>
      </w:r>
      <w:r w:rsidR="00D87C1B">
        <w:rPr>
          <w:rFonts w:ascii="Times New Roman" w:hAnsi="Times New Roman" w:cs="Times New Roman"/>
          <w:sz w:val="24"/>
          <w:szCs w:val="24"/>
        </w:rPr>
        <w:t xml:space="preserve">should </w:t>
      </w:r>
      <w:r w:rsidR="00296D6C">
        <w:rPr>
          <w:rFonts w:ascii="Times New Roman" w:hAnsi="Times New Roman" w:cs="Times New Roman"/>
          <w:sz w:val="24"/>
          <w:szCs w:val="24"/>
        </w:rPr>
        <w:t xml:space="preserve">consider </w:t>
      </w:r>
      <w:r w:rsidR="00D87C1B">
        <w:rPr>
          <w:rFonts w:ascii="Times New Roman" w:hAnsi="Times New Roman" w:cs="Times New Roman"/>
          <w:sz w:val="24"/>
          <w:szCs w:val="24"/>
        </w:rPr>
        <w:t xml:space="preserve">whether a project provides a </w:t>
      </w:r>
      <w:r w:rsidR="00296D6C">
        <w:rPr>
          <w:rFonts w:ascii="Times New Roman" w:hAnsi="Times New Roman" w:cs="Times New Roman"/>
          <w:sz w:val="24"/>
          <w:szCs w:val="24"/>
        </w:rPr>
        <w:t xml:space="preserve">public benefit. </w:t>
      </w:r>
    </w:p>
    <w:p w14:paraId="7CF12D20" w14:textId="47827220" w:rsidR="007256E9" w:rsidRPr="00221034" w:rsidRDefault="007256E9" w:rsidP="005823FB">
      <w:pPr>
        <w:spacing w:after="240" w:line="280" w:lineRule="atLeast"/>
        <w:rPr>
          <w:rFonts w:ascii="Times New Roman" w:hAnsi="Times New Roman" w:cs="Times New Roman"/>
          <w:sz w:val="24"/>
          <w:szCs w:val="24"/>
        </w:rPr>
      </w:pPr>
      <w:r>
        <w:rPr>
          <w:rFonts w:ascii="Times New Roman" w:hAnsi="Times New Roman" w:cs="Times New Roman"/>
          <w:sz w:val="24"/>
          <w:szCs w:val="24"/>
        </w:rPr>
        <w:t>Details of the 201</w:t>
      </w:r>
      <w:r w:rsidR="00296D6C">
        <w:rPr>
          <w:rFonts w:ascii="Times New Roman" w:hAnsi="Times New Roman" w:cs="Times New Roman"/>
          <w:sz w:val="24"/>
          <w:szCs w:val="24"/>
        </w:rPr>
        <w:t>8</w:t>
      </w:r>
      <w:r>
        <w:rPr>
          <w:rFonts w:ascii="Times New Roman" w:hAnsi="Times New Roman" w:cs="Times New Roman"/>
          <w:sz w:val="24"/>
          <w:szCs w:val="24"/>
        </w:rPr>
        <w:t xml:space="preserve"> Mandate are outlined in </w:t>
      </w:r>
      <w:r w:rsidRPr="007256E9">
        <w:rPr>
          <w:rFonts w:ascii="Times New Roman" w:hAnsi="Times New Roman" w:cs="Times New Roman"/>
          <w:sz w:val="24"/>
          <w:szCs w:val="24"/>
          <w:u w:val="single"/>
        </w:rPr>
        <w:t>Attachment A</w:t>
      </w:r>
      <w:r>
        <w:rPr>
          <w:rFonts w:ascii="Times New Roman" w:hAnsi="Times New Roman" w:cs="Times New Roman"/>
          <w:sz w:val="24"/>
          <w:szCs w:val="24"/>
        </w:rPr>
        <w:t>.</w:t>
      </w:r>
    </w:p>
    <w:p w14:paraId="3238DD62" w14:textId="77777777" w:rsidR="009F0924" w:rsidRPr="007256E9" w:rsidRDefault="009F0924" w:rsidP="00296D6C">
      <w:pPr>
        <w:keepNext/>
        <w:spacing w:after="240" w:line="280" w:lineRule="atLeast"/>
        <w:rPr>
          <w:rFonts w:ascii="Times New Roman" w:hAnsi="Times New Roman" w:cs="Times New Roman"/>
          <w:b/>
          <w:sz w:val="24"/>
          <w:szCs w:val="24"/>
        </w:rPr>
      </w:pPr>
      <w:r w:rsidRPr="007256E9">
        <w:rPr>
          <w:rFonts w:ascii="Times New Roman" w:hAnsi="Times New Roman" w:cs="Times New Roman"/>
          <w:b/>
          <w:sz w:val="24"/>
          <w:szCs w:val="24"/>
        </w:rPr>
        <w:lastRenderedPageBreak/>
        <w:t>Background</w:t>
      </w:r>
    </w:p>
    <w:p w14:paraId="4A91C88D" w14:textId="74B66BD6" w:rsidR="009C5F2F" w:rsidRPr="00221034" w:rsidRDefault="009F0924" w:rsidP="005823FB">
      <w:pPr>
        <w:spacing w:before="0" w:after="240" w:line="280" w:lineRule="atLeast"/>
        <w:rPr>
          <w:rFonts w:ascii="Times New Roman" w:hAnsi="Times New Roman" w:cs="Times New Roman"/>
          <w:sz w:val="24"/>
          <w:szCs w:val="24"/>
        </w:rPr>
      </w:pPr>
      <w:r w:rsidRPr="00221034">
        <w:rPr>
          <w:rFonts w:ascii="Times New Roman" w:eastAsia="Times New Roman" w:hAnsi="Times New Roman" w:cs="Times New Roman"/>
          <w:sz w:val="24"/>
          <w:szCs w:val="24"/>
          <w:lang w:eastAsia="en-AU"/>
        </w:rPr>
        <w:t xml:space="preserve">The Commonwealth </w:t>
      </w:r>
      <w:r w:rsidR="004F0129">
        <w:rPr>
          <w:rFonts w:ascii="Times New Roman" w:eastAsia="Times New Roman" w:hAnsi="Times New Roman" w:cs="Times New Roman"/>
          <w:sz w:val="24"/>
          <w:szCs w:val="24"/>
          <w:lang w:eastAsia="en-AU"/>
        </w:rPr>
        <w:t xml:space="preserve">Government </w:t>
      </w:r>
      <w:r w:rsidRPr="00221034">
        <w:rPr>
          <w:rFonts w:ascii="Times New Roman" w:eastAsia="Times New Roman" w:hAnsi="Times New Roman" w:cs="Times New Roman"/>
          <w:sz w:val="24"/>
          <w:szCs w:val="24"/>
          <w:lang w:eastAsia="en-AU"/>
        </w:rPr>
        <w:t xml:space="preserve">announced the Facility in the 2015–16 Budget. It is a major initiative of the </w:t>
      </w:r>
      <w:r w:rsidR="004F0129">
        <w:rPr>
          <w:rFonts w:ascii="Times New Roman" w:eastAsia="Times New Roman" w:hAnsi="Times New Roman" w:cs="Times New Roman"/>
          <w:sz w:val="24"/>
          <w:szCs w:val="24"/>
          <w:lang w:eastAsia="en-AU"/>
        </w:rPr>
        <w:t>Commonwealth’s</w:t>
      </w:r>
      <w:r w:rsidR="004F0129" w:rsidRPr="00221034">
        <w:rPr>
          <w:rFonts w:ascii="Times New Roman" w:eastAsia="Times New Roman" w:hAnsi="Times New Roman" w:cs="Times New Roman"/>
          <w:sz w:val="24"/>
          <w:szCs w:val="24"/>
          <w:lang w:eastAsia="en-AU"/>
        </w:rPr>
        <w:t xml:space="preserve"> </w:t>
      </w:r>
      <w:r w:rsidRPr="00221034">
        <w:rPr>
          <w:rFonts w:ascii="Times New Roman" w:eastAsia="Times New Roman" w:hAnsi="Times New Roman" w:cs="Times New Roman"/>
          <w:sz w:val="24"/>
          <w:szCs w:val="24"/>
          <w:lang w:eastAsia="en-AU"/>
        </w:rPr>
        <w:t>White Paper on Developing Northern Australia (</w:t>
      </w:r>
      <w:r w:rsidRPr="00221034">
        <w:rPr>
          <w:rFonts w:ascii="Times New Roman" w:eastAsia="Calibri" w:hAnsi="Times New Roman" w:cs="Times New Roman"/>
          <w:i/>
          <w:iCs/>
          <w:sz w:val="24"/>
          <w:szCs w:val="24"/>
        </w:rPr>
        <w:t>Our North, Our Future</w:t>
      </w:r>
      <w:r w:rsidRPr="00221034">
        <w:rPr>
          <w:rFonts w:ascii="Times New Roman" w:eastAsia="Times New Roman" w:hAnsi="Times New Roman" w:cs="Times New Roman"/>
          <w:sz w:val="24"/>
          <w:szCs w:val="24"/>
          <w:lang w:eastAsia="en-AU"/>
        </w:rPr>
        <w:t>), and is integral to the Commonwealth’s strategy for the north. The Facility offer</w:t>
      </w:r>
      <w:r w:rsidR="00D87C1B">
        <w:rPr>
          <w:rFonts w:ascii="Times New Roman" w:eastAsia="Times New Roman" w:hAnsi="Times New Roman" w:cs="Times New Roman"/>
          <w:sz w:val="24"/>
          <w:szCs w:val="24"/>
          <w:lang w:eastAsia="en-AU"/>
        </w:rPr>
        <w:t>s</w:t>
      </w:r>
      <w:r w:rsidRPr="00221034">
        <w:rPr>
          <w:rFonts w:ascii="Times New Roman" w:eastAsia="Times New Roman" w:hAnsi="Times New Roman" w:cs="Times New Roman"/>
          <w:sz w:val="24"/>
          <w:szCs w:val="24"/>
          <w:lang w:eastAsia="en-AU"/>
        </w:rPr>
        <w:t xml:space="preserve"> up to $5.0 billion in finance</w:t>
      </w:r>
      <w:r w:rsidR="004F0129">
        <w:rPr>
          <w:rFonts w:ascii="Times New Roman" w:eastAsia="Times New Roman" w:hAnsi="Times New Roman" w:cs="Times New Roman"/>
          <w:sz w:val="24"/>
          <w:szCs w:val="24"/>
          <w:lang w:eastAsia="en-AU"/>
        </w:rPr>
        <w:t xml:space="preserve">, which may be on concessional terms, </w:t>
      </w:r>
      <w:r w:rsidRPr="00221034">
        <w:rPr>
          <w:rFonts w:ascii="Times New Roman" w:eastAsia="Times New Roman" w:hAnsi="Times New Roman" w:cs="Times New Roman"/>
          <w:sz w:val="24"/>
          <w:szCs w:val="24"/>
          <w:lang w:eastAsia="en-AU"/>
        </w:rPr>
        <w:t>to encourage investment in infrastructure</w:t>
      </w:r>
      <w:r w:rsidR="006E508E">
        <w:rPr>
          <w:rFonts w:ascii="Times New Roman" w:eastAsia="Times New Roman" w:hAnsi="Times New Roman" w:cs="Times New Roman"/>
          <w:sz w:val="24"/>
          <w:szCs w:val="24"/>
          <w:lang w:eastAsia="en-AU"/>
        </w:rPr>
        <w:t xml:space="preserve"> in Northern Australia</w:t>
      </w:r>
      <w:r w:rsidRPr="00221034">
        <w:rPr>
          <w:rFonts w:ascii="Times New Roman" w:eastAsia="Times New Roman" w:hAnsi="Times New Roman" w:cs="Times New Roman"/>
          <w:sz w:val="24"/>
          <w:szCs w:val="24"/>
          <w:lang w:eastAsia="en-AU"/>
        </w:rPr>
        <w:t>.</w:t>
      </w:r>
    </w:p>
    <w:p w14:paraId="65B09B07" w14:textId="77777777" w:rsidR="009C5F2F" w:rsidRPr="007256E9" w:rsidRDefault="009C5F2F" w:rsidP="005823FB">
      <w:pPr>
        <w:spacing w:after="240" w:line="280" w:lineRule="atLeast"/>
        <w:rPr>
          <w:rFonts w:ascii="Times New Roman" w:hAnsi="Times New Roman" w:cs="Times New Roman"/>
          <w:b/>
          <w:sz w:val="24"/>
          <w:szCs w:val="24"/>
        </w:rPr>
      </w:pPr>
      <w:r w:rsidRPr="007256E9">
        <w:rPr>
          <w:rFonts w:ascii="Times New Roman" w:hAnsi="Times New Roman" w:cs="Times New Roman"/>
          <w:b/>
          <w:sz w:val="24"/>
          <w:szCs w:val="24"/>
        </w:rPr>
        <w:t>Authority</w:t>
      </w:r>
    </w:p>
    <w:p w14:paraId="4338450B" w14:textId="4641591F" w:rsidR="009C5F2F" w:rsidRDefault="00967FF5" w:rsidP="005823FB">
      <w:pPr>
        <w:spacing w:after="240" w:line="280" w:lineRule="atLeast"/>
        <w:rPr>
          <w:rFonts w:ascii="Times New Roman" w:hAnsi="Times New Roman" w:cs="Times New Roman"/>
          <w:sz w:val="24"/>
          <w:szCs w:val="24"/>
        </w:rPr>
      </w:pPr>
      <w:r>
        <w:rPr>
          <w:rFonts w:ascii="Times New Roman" w:hAnsi="Times New Roman" w:cs="Times New Roman"/>
          <w:sz w:val="24"/>
          <w:szCs w:val="24"/>
        </w:rPr>
        <w:t>Subs</w:t>
      </w:r>
      <w:r w:rsidR="009C5F2F" w:rsidRPr="00221034">
        <w:rPr>
          <w:rFonts w:ascii="Times New Roman" w:hAnsi="Times New Roman" w:cs="Times New Roman"/>
          <w:sz w:val="24"/>
          <w:szCs w:val="24"/>
        </w:rPr>
        <w:t>ection 9</w:t>
      </w:r>
      <w:r>
        <w:rPr>
          <w:rFonts w:ascii="Times New Roman" w:hAnsi="Times New Roman" w:cs="Times New Roman"/>
          <w:sz w:val="24"/>
          <w:szCs w:val="24"/>
        </w:rPr>
        <w:t>(1)</w:t>
      </w:r>
      <w:r w:rsidR="009C5F2F" w:rsidRPr="00221034">
        <w:rPr>
          <w:rFonts w:ascii="Times New Roman" w:hAnsi="Times New Roman" w:cs="Times New Roman"/>
          <w:sz w:val="24"/>
          <w:szCs w:val="24"/>
        </w:rPr>
        <w:t xml:space="preserve"> of the </w:t>
      </w:r>
      <w:r>
        <w:rPr>
          <w:rFonts w:ascii="Times New Roman" w:hAnsi="Times New Roman" w:cs="Times New Roman"/>
          <w:sz w:val="24"/>
          <w:szCs w:val="24"/>
        </w:rPr>
        <w:t xml:space="preserve">NAIF </w:t>
      </w:r>
      <w:r w:rsidR="009C5F2F" w:rsidRPr="00221034">
        <w:rPr>
          <w:rFonts w:ascii="Times New Roman" w:hAnsi="Times New Roman" w:cs="Times New Roman"/>
          <w:sz w:val="24"/>
          <w:szCs w:val="24"/>
        </w:rPr>
        <w:t>Act provides that the responsible Minister must, by legislative instrument, give directions to the Facility about the performance of the Facility’s functions.</w:t>
      </w:r>
      <w:r>
        <w:rPr>
          <w:rFonts w:ascii="Times New Roman" w:hAnsi="Times New Roman" w:cs="Times New Roman"/>
          <w:sz w:val="24"/>
          <w:szCs w:val="24"/>
        </w:rPr>
        <w:t xml:space="preserve"> Subs</w:t>
      </w:r>
      <w:r w:rsidRPr="00221034">
        <w:rPr>
          <w:rFonts w:ascii="Times New Roman" w:hAnsi="Times New Roman" w:cs="Times New Roman"/>
          <w:sz w:val="24"/>
          <w:szCs w:val="24"/>
        </w:rPr>
        <w:t>ection 9</w:t>
      </w:r>
      <w:r>
        <w:rPr>
          <w:rFonts w:ascii="Times New Roman" w:hAnsi="Times New Roman" w:cs="Times New Roman"/>
          <w:sz w:val="24"/>
          <w:szCs w:val="24"/>
        </w:rPr>
        <w:t>(3) provides that the Facility must take all reasonable steps to comply with th</w:t>
      </w:r>
      <w:r w:rsidR="00B31E3E">
        <w:rPr>
          <w:rFonts w:ascii="Times New Roman" w:hAnsi="Times New Roman" w:cs="Times New Roman"/>
          <w:sz w:val="24"/>
          <w:szCs w:val="24"/>
        </w:rPr>
        <w:t>ose directions</w:t>
      </w:r>
      <w:r w:rsidR="006E508E">
        <w:rPr>
          <w:rFonts w:ascii="Times New Roman" w:hAnsi="Times New Roman" w:cs="Times New Roman"/>
          <w:sz w:val="24"/>
          <w:szCs w:val="24"/>
        </w:rPr>
        <w:t>.</w:t>
      </w:r>
    </w:p>
    <w:p w14:paraId="590E50E4" w14:textId="22CAC2D5" w:rsidR="009F0924" w:rsidRPr="007256E9" w:rsidRDefault="009F0924" w:rsidP="005823FB">
      <w:pPr>
        <w:spacing w:after="240" w:line="280" w:lineRule="atLeast"/>
        <w:rPr>
          <w:rFonts w:ascii="Times New Roman" w:hAnsi="Times New Roman" w:cs="Times New Roman"/>
          <w:b/>
          <w:sz w:val="24"/>
          <w:szCs w:val="24"/>
        </w:rPr>
      </w:pPr>
      <w:r w:rsidRPr="007256E9">
        <w:rPr>
          <w:rFonts w:ascii="Times New Roman" w:hAnsi="Times New Roman" w:cs="Times New Roman"/>
          <w:b/>
          <w:sz w:val="24"/>
          <w:szCs w:val="24"/>
        </w:rPr>
        <w:t>Consultation</w:t>
      </w:r>
    </w:p>
    <w:p w14:paraId="154225D4" w14:textId="1553D7B2" w:rsidR="009F0924" w:rsidRDefault="00296D6C" w:rsidP="005823FB">
      <w:pPr>
        <w:spacing w:after="240" w:line="280" w:lineRule="atLeast"/>
        <w:rPr>
          <w:rFonts w:ascii="Times New Roman" w:hAnsi="Times New Roman" w:cs="Times New Roman"/>
          <w:sz w:val="24"/>
          <w:szCs w:val="24"/>
        </w:rPr>
      </w:pPr>
      <w:r>
        <w:rPr>
          <w:rFonts w:ascii="Times New Roman" w:hAnsi="Times New Roman" w:cs="Times New Roman"/>
          <w:sz w:val="24"/>
          <w:szCs w:val="24"/>
        </w:rPr>
        <w:t>The Commonwealth undertook e</w:t>
      </w:r>
      <w:r w:rsidR="009F0924" w:rsidRPr="007256E9">
        <w:rPr>
          <w:rFonts w:ascii="Times New Roman" w:hAnsi="Times New Roman" w:cs="Times New Roman"/>
          <w:sz w:val="24"/>
          <w:szCs w:val="24"/>
        </w:rPr>
        <w:t xml:space="preserve">xtensive consultation </w:t>
      </w:r>
      <w:r>
        <w:rPr>
          <w:rFonts w:ascii="Times New Roman" w:hAnsi="Times New Roman" w:cs="Times New Roman"/>
          <w:sz w:val="24"/>
          <w:szCs w:val="24"/>
        </w:rPr>
        <w:t xml:space="preserve">on the Facility when it was established. The changes implemented by the 2018 Mandate have been informed by an independent expert review of the operation of the </w:t>
      </w:r>
      <w:r w:rsidR="004F0129">
        <w:rPr>
          <w:rFonts w:ascii="Times New Roman" w:hAnsi="Times New Roman" w:cs="Times New Roman"/>
          <w:sz w:val="24"/>
          <w:szCs w:val="24"/>
        </w:rPr>
        <w:t xml:space="preserve">Facility </w:t>
      </w:r>
      <w:r>
        <w:rPr>
          <w:rFonts w:ascii="Times New Roman" w:hAnsi="Times New Roman" w:cs="Times New Roman"/>
          <w:sz w:val="24"/>
          <w:szCs w:val="24"/>
        </w:rPr>
        <w:t>undertaken in late 2017.</w:t>
      </w:r>
      <w:r w:rsidR="00C713F7">
        <w:rPr>
          <w:rFonts w:ascii="Times New Roman" w:hAnsi="Times New Roman" w:cs="Times New Roman"/>
          <w:sz w:val="24"/>
          <w:szCs w:val="24"/>
        </w:rPr>
        <w:t xml:space="preserve"> </w:t>
      </w:r>
      <w:r w:rsidR="00C713F7" w:rsidRPr="00C713F7">
        <w:rPr>
          <w:rFonts w:ascii="Times New Roman" w:hAnsi="Times New Roman" w:cs="Times New Roman"/>
          <w:sz w:val="24"/>
          <w:szCs w:val="24"/>
        </w:rPr>
        <w:t>State and Territory governments, project proponents and the Facility were consulted as part of this review.</w:t>
      </w:r>
    </w:p>
    <w:p w14:paraId="4D4BBF3F" w14:textId="738F90BF" w:rsidR="009966D5" w:rsidRDefault="00967FF5" w:rsidP="00092BF2">
      <w:pPr>
        <w:spacing w:after="240" w:line="280" w:lineRule="atLeast"/>
        <w:rPr>
          <w:rFonts w:ascii="Times New Roman" w:hAnsi="Times New Roman" w:cs="Times New Roman"/>
          <w:sz w:val="24"/>
          <w:szCs w:val="24"/>
        </w:rPr>
      </w:pPr>
      <w:r>
        <w:rPr>
          <w:rFonts w:ascii="Times New Roman" w:hAnsi="Times New Roman" w:cs="Times New Roman"/>
          <w:sz w:val="24"/>
          <w:szCs w:val="24"/>
        </w:rPr>
        <w:t>Along with the Facility, t</w:t>
      </w:r>
      <w:r w:rsidR="009F0924" w:rsidRPr="007256E9">
        <w:rPr>
          <w:rFonts w:ascii="Times New Roman" w:hAnsi="Times New Roman" w:cs="Times New Roman"/>
          <w:sz w:val="24"/>
          <w:szCs w:val="24"/>
        </w:rPr>
        <w:t xml:space="preserve">he following Commonwealth agencies were </w:t>
      </w:r>
      <w:r w:rsidR="004B32AB">
        <w:rPr>
          <w:rFonts w:ascii="Times New Roman" w:hAnsi="Times New Roman" w:cs="Times New Roman"/>
          <w:sz w:val="24"/>
          <w:szCs w:val="24"/>
        </w:rPr>
        <w:t>consulted in development of the 2018 Mandate</w:t>
      </w:r>
      <w:r w:rsidR="009F0924" w:rsidRPr="007256E9">
        <w:rPr>
          <w:rFonts w:ascii="Times New Roman" w:hAnsi="Times New Roman" w:cs="Times New Roman"/>
          <w:sz w:val="24"/>
          <w:szCs w:val="24"/>
        </w:rPr>
        <w:t xml:space="preserve">: </w:t>
      </w:r>
      <w:r w:rsidR="009966D5" w:rsidRPr="009966D5">
        <w:rPr>
          <w:rFonts w:ascii="Times New Roman" w:hAnsi="Times New Roman" w:cs="Times New Roman"/>
          <w:sz w:val="24"/>
          <w:szCs w:val="24"/>
        </w:rPr>
        <w:t xml:space="preserve">Department of </w:t>
      </w:r>
      <w:r w:rsidR="009966D5">
        <w:rPr>
          <w:rFonts w:ascii="Times New Roman" w:hAnsi="Times New Roman" w:cs="Times New Roman"/>
          <w:sz w:val="24"/>
          <w:szCs w:val="24"/>
        </w:rPr>
        <w:t xml:space="preserve">the </w:t>
      </w:r>
      <w:r w:rsidR="009966D5" w:rsidRPr="009966D5">
        <w:rPr>
          <w:rFonts w:ascii="Times New Roman" w:hAnsi="Times New Roman" w:cs="Times New Roman"/>
          <w:sz w:val="24"/>
          <w:szCs w:val="24"/>
        </w:rPr>
        <w:t>Prime Minister and Cabinet</w:t>
      </w:r>
      <w:r w:rsidR="009966D5">
        <w:rPr>
          <w:rFonts w:ascii="Times New Roman" w:hAnsi="Times New Roman" w:cs="Times New Roman"/>
          <w:sz w:val="24"/>
          <w:szCs w:val="24"/>
        </w:rPr>
        <w:t xml:space="preserve">, </w:t>
      </w:r>
      <w:r w:rsidR="009966D5" w:rsidRPr="009966D5">
        <w:rPr>
          <w:rFonts w:ascii="Times New Roman" w:hAnsi="Times New Roman" w:cs="Times New Roman"/>
          <w:sz w:val="24"/>
          <w:szCs w:val="24"/>
        </w:rPr>
        <w:t>Department of the Treasury</w:t>
      </w:r>
      <w:r w:rsidR="009966D5">
        <w:rPr>
          <w:rFonts w:ascii="Times New Roman" w:hAnsi="Times New Roman" w:cs="Times New Roman"/>
          <w:sz w:val="24"/>
          <w:szCs w:val="24"/>
        </w:rPr>
        <w:t>,</w:t>
      </w:r>
      <w:r w:rsidR="009966D5" w:rsidRPr="009966D5">
        <w:rPr>
          <w:rFonts w:ascii="Times New Roman" w:hAnsi="Times New Roman" w:cs="Times New Roman"/>
          <w:sz w:val="24"/>
          <w:szCs w:val="24"/>
        </w:rPr>
        <w:t xml:space="preserve"> Department of Finance</w:t>
      </w:r>
      <w:r w:rsidR="009966D5">
        <w:rPr>
          <w:rFonts w:ascii="Times New Roman" w:hAnsi="Times New Roman" w:cs="Times New Roman"/>
          <w:sz w:val="24"/>
          <w:szCs w:val="24"/>
        </w:rPr>
        <w:t>,</w:t>
      </w:r>
      <w:r w:rsidR="009966D5" w:rsidRPr="009966D5">
        <w:rPr>
          <w:rFonts w:ascii="Times New Roman" w:hAnsi="Times New Roman" w:cs="Times New Roman"/>
          <w:sz w:val="24"/>
          <w:szCs w:val="24"/>
        </w:rPr>
        <w:t xml:space="preserve"> Department of Foreign Affairs and Trade</w:t>
      </w:r>
      <w:r w:rsidR="009966D5">
        <w:rPr>
          <w:rFonts w:ascii="Times New Roman" w:hAnsi="Times New Roman" w:cs="Times New Roman"/>
          <w:sz w:val="24"/>
          <w:szCs w:val="24"/>
        </w:rPr>
        <w:t>,</w:t>
      </w:r>
      <w:r w:rsidR="009966D5" w:rsidRPr="009966D5">
        <w:rPr>
          <w:rFonts w:ascii="Times New Roman" w:hAnsi="Times New Roman" w:cs="Times New Roman"/>
          <w:sz w:val="24"/>
          <w:szCs w:val="24"/>
        </w:rPr>
        <w:t xml:space="preserve"> Attorney General’s Department</w:t>
      </w:r>
      <w:r w:rsidR="009966D5">
        <w:rPr>
          <w:rFonts w:ascii="Times New Roman" w:hAnsi="Times New Roman" w:cs="Times New Roman"/>
          <w:sz w:val="24"/>
          <w:szCs w:val="24"/>
        </w:rPr>
        <w:t>,</w:t>
      </w:r>
      <w:r w:rsidR="009966D5" w:rsidRPr="009966D5">
        <w:rPr>
          <w:rFonts w:ascii="Times New Roman" w:hAnsi="Times New Roman" w:cs="Times New Roman"/>
          <w:sz w:val="24"/>
          <w:szCs w:val="24"/>
        </w:rPr>
        <w:t xml:space="preserve"> Department of Infrastructure, Regional Development and Cities</w:t>
      </w:r>
      <w:r w:rsidR="009966D5">
        <w:rPr>
          <w:rFonts w:ascii="Times New Roman" w:hAnsi="Times New Roman" w:cs="Times New Roman"/>
          <w:sz w:val="24"/>
          <w:szCs w:val="24"/>
        </w:rPr>
        <w:t>,</w:t>
      </w:r>
      <w:r w:rsidR="009966D5" w:rsidRPr="009966D5">
        <w:rPr>
          <w:rFonts w:ascii="Times New Roman" w:hAnsi="Times New Roman" w:cs="Times New Roman"/>
          <w:sz w:val="24"/>
          <w:szCs w:val="24"/>
        </w:rPr>
        <w:t xml:space="preserve"> Infrastructure and Project Financing Agency</w:t>
      </w:r>
      <w:r w:rsidR="009966D5">
        <w:rPr>
          <w:rFonts w:ascii="Times New Roman" w:hAnsi="Times New Roman" w:cs="Times New Roman"/>
          <w:sz w:val="24"/>
          <w:szCs w:val="24"/>
        </w:rPr>
        <w:t>,</w:t>
      </w:r>
      <w:r w:rsidR="009966D5" w:rsidRPr="009966D5">
        <w:rPr>
          <w:rFonts w:ascii="Times New Roman" w:hAnsi="Times New Roman" w:cs="Times New Roman"/>
          <w:sz w:val="24"/>
          <w:szCs w:val="24"/>
        </w:rPr>
        <w:t xml:space="preserve"> Department of Communications and the Arts</w:t>
      </w:r>
      <w:r w:rsidR="009966D5">
        <w:rPr>
          <w:rFonts w:ascii="Times New Roman" w:hAnsi="Times New Roman" w:cs="Times New Roman"/>
          <w:sz w:val="24"/>
          <w:szCs w:val="24"/>
        </w:rPr>
        <w:t>,</w:t>
      </w:r>
      <w:r w:rsidR="009966D5" w:rsidRPr="009966D5">
        <w:rPr>
          <w:rFonts w:ascii="Times New Roman" w:hAnsi="Times New Roman" w:cs="Times New Roman"/>
          <w:sz w:val="24"/>
          <w:szCs w:val="24"/>
        </w:rPr>
        <w:t xml:space="preserve"> Department of Education and Training</w:t>
      </w:r>
      <w:r w:rsidR="009966D5">
        <w:rPr>
          <w:rFonts w:ascii="Times New Roman" w:hAnsi="Times New Roman" w:cs="Times New Roman"/>
          <w:sz w:val="24"/>
          <w:szCs w:val="24"/>
        </w:rPr>
        <w:t>,</w:t>
      </w:r>
      <w:r w:rsidR="009966D5" w:rsidRPr="009966D5">
        <w:rPr>
          <w:rFonts w:ascii="Times New Roman" w:hAnsi="Times New Roman" w:cs="Times New Roman"/>
          <w:sz w:val="24"/>
          <w:szCs w:val="24"/>
        </w:rPr>
        <w:t xml:space="preserve"> Department of the Environment and Energy</w:t>
      </w:r>
      <w:r w:rsidR="009966D5">
        <w:rPr>
          <w:rFonts w:ascii="Times New Roman" w:hAnsi="Times New Roman" w:cs="Times New Roman"/>
          <w:sz w:val="24"/>
          <w:szCs w:val="24"/>
        </w:rPr>
        <w:t xml:space="preserve">, </w:t>
      </w:r>
      <w:r w:rsidR="009966D5" w:rsidRPr="009966D5">
        <w:rPr>
          <w:rFonts w:ascii="Times New Roman" w:hAnsi="Times New Roman" w:cs="Times New Roman"/>
          <w:sz w:val="24"/>
          <w:szCs w:val="24"/>
        </w:rPr>
        <w:t>and Department of Agriculture and Water Resources</w:t>
      </w:r>
      <w:r w:rsidR="009966D5">
        <w:rPr>
          <w:rFonts w:ascii="Times New Roman" w:hAnsi="Times New Roman" w:cs="Times New Roman"/>
          <w:sz w:val="24"/>
          <w:szCs w:val="24"/>
        </w:rPr>
        <w:t>.</w:t>
      </w:r>
    </w:p>
    <w:p w14:paraId="45165782" w14:textId="7CF65DF9" w:rsidR="00092BF2" w:rsidRPr="007256E9" w:rsidRDefault="00092BF2" w:rsidP="00092BF2">
      <w:pPr>
        <w:spacing w:after="240" w:line="280" w:lineRule="atLeast"/>
        <w:rPr>
          <w:rFonts w:ascii="Times New Roman" w:hAnsi="Times New Roman" w:cs="Times New Roman"/>
          <w:b/>
          <w:sz w:val="24"/>
          <w:szCs w:val="24"/>
        </w:rPr>
      </w:pPr>
      <w:r>
        <w:rPr>
          <w:rFonts w:ascii="Times New Roman" w:hAnsi="Times New Roman" w:cs="Times New Roman"/>
          <w:b/>
          <w:sz w:val="24"/>
          <w:szCs w:val="24"/>
        </w:rPr>
        <w:t xml:space="preserve">Regulation </w:t>
      </w:r>
      <w:r w:rsidR="00B31E3E">
        <w:rPr>
          <w:rFonts w:ascii="Times New Roman" w:hAnsi="Times New Roman" w:cs="Times New Roman"/>
          <w:b/>
          <w:sz w:val="24"/>
          <w:szCs w:val="24"/>
        </w:rPr>
        <w:t>I</w:t>
      </w:r>
      <w:r>
        <w:rPr>
          <w:rFonts w:ascii="Times New Roman" w:hAnsi="Times New Roman" w:cs="Times New Roman"/>
          <w:b/>
          <w:sz w:val="24"/>
          <w:szCs w:val="24"/>
        </w:rPr>
        <w:t xml:space="preserve">mpact </w:t>
      </w:r>
      <w:r w:rsidR="00B31E3E">
        <w:rPr>
          <w:rFonts w:ascii="Times New Roman" w:hAnsi="Times New Roman" w:cs="Times New Roman"/>
          <w:b/>
          <w:sz w:val="24"/>
          <w:szCs w:val="24"/>
        </w:rPr>
        <w:t>S</w:t>
      </w:r>
      <w:r>
        <w:rPr>
          <w:rFonts w:ascii="Times New Roman" w:hAnsi="Times New Roman" w:cs="Times New Roman"/>
          <w:b/>
          <w:sz w:val="24"/>
          <w:szCs w:val="24"/>
        </w:rPr>
        <w:t>tatement</w:t>
      </w:r>
    </w:p>
    <w:p w14:paraId="7A705C09" w14:textId="372AA283" w:rsidR="00092BF2" w:rsidRPr="00092BF2" w:rsidRDefault="00ED332B" w:rsidP="005823FB">
      <w:pPr>
        <w:spacing w:after="240" w:line="280" w:lineRule="atLeast"/>
        <w:rPr>
          <w:rFonts w:ascii="Times New Roman" w:hAnsi="Times New Roman" w:cs="Times New Roman"/>
          <w:sz w:val="24"/>
          <w:szCs w:val="24"/>
          <w:highlight w:val="yellow"/>
        </w:rPr>
      </w:pPr>
      <w:r w:rsidRPr="00ED332B">
        <w:rPr>
          <w:rFonts w:ascii="Times New Roman" w:hAnsi="Times New Roman" w:cs="Times New Roman"/>
          <w:sz w:val="24"/>
          <w:szCs w:val="24"/>
        </w:rPr>
        <w:t xml:space="preserve">The Office of Best Practice Regulation (OBPR) agreed that the </w:t>
      </w:r>
      <w:r w:rsidR="00B31E3E">
        <w:rPr>
          <w:rFonts w:ascii="Times New Roman" w:hAnsi="Times New Roman" w:cs="Times New Roman"/>
          <w:sz w:val="24"/>
          <w:szCs w:val="24"/>
        </w:rPr>
        <w:t>reissue of a direction for t</w:t>
      </w:r>
      <w:r w:rsidRPr="00ED332B">
        <w:rPr>
          <w:rFonts w:ascii="Times New Roman" w:hAnsi="Times New Roman" w:cs="Times New Roman"/>
          <w:sz w:val="24"/>
          <w:szCs w:val="24"/>
        </w:rPr>
        <w:t>he Facility does not require a Regulation Impact Statement. The OBPR reference number for this matter is 22522.</w:t>
      </w:r>
      <w:r w:rsidRPr="00296D6C" w:rsidDel="00ED332B">
        <w:rPr>
          <w:rFonts w:ascii="Times New Roman" w:hAnsi="Times New Roman" w:cs="Times New Roman"/>
          <w:b/>
          <w:i/>
          <w:sz w:val="24"/>
          <w:szCs w:val="24"/>
        </w:rPr>
        <w:t xml:space="preserve"> </w:t>
      </w:r>
    </w:p>
    <w:p w14:paraId="2BDD0590" w14:textId="77777777" w:rsidR="009F0924" w:rsidRPr="00CD57A6" w:rsidRDefault="009F0924" w:rsidP="005823FB">
      <w:pPr>
        <w:spacing w:before="0" w:after="200" w:line="280" w:lineRule="atLeast"/>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br w:type="page"/>
      </w:r>
    </w:p>
    <w:p w14:paraId="07AC1EFE" w14:textId="712DB80F" w:rsidR="007256E9" w:rsidRDefault="007256E9" w:rsidP="005823FB">
      <w:pPr>
        <w:spacing w:before="240" w:after="240" w:line="280" w:lineRule="atLeast"/>
        <w:jc w:val="right"/>
        <w:rPr>
          <w:rFonts w:ascii="Times New Roman" w:hAnsi="Times New Roman" w:cs="Times New Roman"/>
          <w:b/>
          <w:sz w:val="24"/>
          <w:szCs w:val="24"/>
          <w:u w:val="single"/>
        </w:rPr>
      </w:pPr>
      <w:r>
        <w:rPr>
          <w:rFonts w:ascii="Times New Roman" w:hAnsi="Times New Roman" w:cs="Times New Roman"/>
          <w:b/>
          <w:sz w:val="24"/>
          <w:szCs w:val="24"/>
          <w:u w:val="single"/>
        </w:rPr>
        <w:t>ATTACHMENT A</w:t>
      </w:r>
    </w:p>
    <w:p w14:paraId="592B2D3E" w14:textId="31151ECE" w:rsidR="005E0761" w:rsidRPr="002E58D5" w:rsidRDefault="005E0761" w:rsidP="005823FB">
      <w:pPr>
        <w:spacing w:before="240" w:after="240" w:line="280" w:lineRule="atLeast"/>
        <w:jc w:val="center"/>
        <w:rPr>
          <w:rFonts w:ascii="Times New Roman" w:hAnsi="Times New Roman" w:cs="Times New Roman"/>
          <w:b/>
          <w:sz w:val="24"/>
          <w:szCs w:val="24"/>
        </w:rPr>
      </w:pPr>
      <w:r w:rsidRPr="002E58D5">
        <w:rPr>
          <w:rFonts w:ascii="Times New Roman" w:hAnsi="Times New Roman" w:cs="Times New Roman"/>
          <w:b/>
          <w:sz w:val="24"/>
          <w:szCs w:val="24"/>
        </w:rPr>
        <w:t xml:space="preserve">Details of the </w:t>
      </w:r>
      <w:r w:rsidR="00B31E3E" w:rsidRPr="00B31E3E">
        <w:rPr>
          <w:rFonts w:ascii="Times New Roman" w:hAnsi="Times New Roman" w:cs="Times New Roman"/>
          <w:b/>
          <w:i/>
          <w:sz w:val="24"/>
          <w:szCs w:val="24"/>
        </w:rPr>
        <w:t>Northern Australia Infrastructure Facility Investment Mandate Direction 2018</w:t>
      </w:r>
    </w:p>
    <w:p w14:paraId="33C511A1" w14:textId="77777777" w:rsidR="009F0924" w:rsidRPr="00CD57A6" w:rsidRDefault="009F0924" w:rsidP="005823FB">
      <w:pPr>
        <w:pStyle w:val="Heading2"/>
        <w:spacing w:line="280" w:lineRule="atLeast"/>
      </w:pPr>
      <w:r w:rsidRPr="00CD57A6">
        <w:t>PART 1—PRELIMINARY</w:t>
      </w:r>
    </w:p>
    <w:p w14:paraId="2A420EE7" w14:textId="5ADE28B5" w:rsidR="009F0924" w:rsidRPr="00CD57A6" w:rsidRDefault="005E0761" w:rsidP="005823FB">
      <w:pPr>
        <w:pStyle w:val="Heading3"/>
        <w:spacing w:line="280" w:lineRule="atLeast"/>
      </w:pPr>
      <w:r>
        <w:rPr>
          <w:szCs w:val="24"/>
        </w:rPr>
        <w:t>Section</w:t>
      </w:r>
      <w:r w:rsidRPr="006745C3">
        <w:rPr>
          <w:szCs w:val="24"/>
        </w:rPr>
        <w:t xml:space="preserve"> </w:t>
      </w:r>
      <w:r w:rsidR="00B31E3E">
        <w:t>1—Name</w:t>
      </w:r>
    </w:p>
    <w:p w14:paraId="43427D59" w14:textId="03DDE634" w:rsidR="009F0924" w:rsidRPr="00CD57A6" w:rsidRDefault="00EC0068" w:rsidP="005823FB">
      <w:pPr>
        <w:spacing w:before="0" w:after="240" w:line="280" w:lineRule="atLeast"/>
        <w:rPr>
          <w:rFonts w:ascii="Times New Roman" w:eastAsia="Times New Roman" w:hAnsi="Times New Roman" w:cs="Times New Roman"/>
          <w:sz w:val="24"/>
          <w:szCs w:val="24"/>
          <w:lang w:eastAsia="en-AU"/>
        </w:rPr>
      </w:pPr>
      <w:r>
        <w:rPr>
          <w:rFonts w:ascii="Times New Roman" w:hAnsi="Times New Roman" w:cs="Times New Roman"/>
          <w:sz w:val="24"/>
          <w:szCs w:val="24"/>
        </w:rPr>
        <w:t>S</w:t>
      </w:r>
      <w:r w:rsidR="00571FEE">
        <w:rPr>
          <w:rFonts w:ascii="Times New Roman" w:hAnsi="Times New Roman" w:cs="Times New Roman"/>
          <w:sz w:val="24"/>
          <w:szCs w:val="24"/>
        </w:rPr>
        <w:t xml:space="preserve">ection </w:t>
      </w:r>
      <w:r>
        <w:rPr>
          <w:rFonts w:ascii="Times New Roman" w:hAnsi="Times New Roman" w:cs="Times New Roman"/>
          <w:sz w:val="24"/>
          <w:szCs w:val="24"/>
        </w:rPr>
        <w:t xml:space="preserve">1 </w:t>
      </w:r>
      <w:r w:rsidR="00967FF5">
        <w:rPr>
          <w:rFonts w:ascii="Times New Roman" w:hAnsi="Times New Roman" w:cs="Times New Roman"/>
          <w:sz w:val="24"/>
          <w:szCs w:val="24"/>
        </w:rPr>
        <w:t xml:space="preserve">provides that the title </w:t>
      </w:r>
      <w:r w:rsidR="009F0924" w:rsidRPr="00CD57A6">
        <w:rPr>
          <w:rFonts w:ascii="Times New Roman" w:eastAsia="Times New Roman" w:hAnsi="Times New Roman" w:cs="Times New Roman"/>
          <w:sz w:val="24"/>
          <w:szCs w:val="24"/>
          <w:lang w:eastAsia="en-AU"/>
        </w:rPr>
        <w:t xml:space="preserve">of the </w:t>
      </w:r>
      <w:r w:rsidR="00B31E3E">
        <w:rPr>
          <w:rFonts w:ascii="Times New Roman" w:eastAsia="Times New Roman" w:hAnsi="Times New Roman" w:cs="Times New Roman"/>
          <w:sz w:val="24"/>
          <w:szCs w:val="24"/>
          <w:lang w:eastAsia="en-AU"/>
        </w:rPr>
        <w:t>Direction</w:t>
      </w:r>
      <w:r w:rsidR="00967FF5">
        <w:rPr>
          <w:rFonts w:ascii="Times New Roman" w:eastAsia="Times New Roman" w:hAnsi="Times New Roman" w:cs="Times New Roman"/>
          <w:sz w:val="24"/>
          <w:szCs w:val="24"/>
          <w:lang w:eastAsia="en-AU"/>
        </w:rPr>
        <w:t xml:space="preserve"> is </w:t>
      </w:r>
      <w:r w:rsidR="009F0924" w:rsidRPr="00CD57A6">
        <w:rPr>
          <w:rFonts w:ascii="Times New Roman" w:eastAsia="Times New Roman" w:hAnsi="Times New Roman" w:cs="Times New Roman"/>
          <w:sz w:val="24"/>
          <w:szCs w:val="24"/>
          <w:lang w:eastAsia="en-AU"/>
        </w:rPr>
        <w:t xml:space="preserve">the </w:t>
      </w:r>
      <w:r w:rsidR="009F0924" w:rsidRPr="00221034">
        <w:rPr>
          <w:rFonts w:ascii="Times New Roman" w:eastAsia="Times New Roman" w:hAnsi="Times New Roman" w:cs="Times New Roman"/>
          <w:i/>
          <w:sz w:val="24"/>
          <w:szCs w:val="24"/>
          <w:lang w:eastAsia="en-AU"/>
        </w:rPr>
        <w:t>Northern Australia Infrastructure Facility Investment Mandate Direction 201</w:t>
      </w:r>
      <w:r w:rsidR="00967FF5">
        <w:rPr>
          <w:rFonts w:ascii="Times New Roman" w:eastAsia="Times New Roman" w:hAnsi="Times New Roman" w:cs="Times New Roman"/>
          <w:i/>
          <w:sz w:val="24"/>
          <w:szCs w:val="24"/>
          <w:lang w:eastAsia="en-AU"/>
        </w:rPr>
        <w:t>8</w:t>
      </w:r>
      <w:r w:rsidR="00967FF5" w:rsidRPr="00967FF5">
        <w:rPr>
          <w:rFonts w:ascii="Times New Roman" w:eastAsia="Times New Roman" w:hAnsi="Times New Roman" w:cs="Times New Roman"/>
          <w:sz w:val="24"/>
          <w:szCs w:val="24"/>
          <w:lang w:eastAsia="en-AU"/>
        </w:rPr>
        <w:t>.</w:t>
      </w:r>
      <w:r w:rsidR="009F0924" w:rsidRPr="00CD57A6">
        <w:rPr>
          <w:rFonts w:ascii="Times New Roman" w:eastAsia="Times New Roman" w:hAnsi="Times New Roman" w:cs="Times New Roman"/>
          <w:sz w:val="24"/>
          <w:szCs w:val="24"/>
          <w:lang w:eastAsia="en-AU"/>
        </w:rPr>
        <w:t xml:space="preserve"> </w:t>
      </w:r>
    </w:p>
    <w:p w14:paraId="41D6F3FC" w14:textId="797C96E6" w:rsidR="009F0924" w:rsidRPr="009F0924" w:rsidRDefault="005E0761" w:rsidP="005823FB">
      <w:pPr>
        <w:pStyle w:val="Heading3"/>
        <w:spacing w:line="280" w:lineRule="atLeast"/>
      </w:pPr>
      <w:r>
        <w:rPr>
          <w:szCs w:val="24"/>
        </w:rPr>
        <w:t>Section</w:t>
      </w:r>
      <w:r w:rsidRPr="006745C3">
        <w:rPr>
          <w:szCs w:val="24"/>
        </w:rPr>
        <w:t xml:space="preserve"> </w:t>
      </w:r>
      <w:r w:rsidR="00571FEE">
        <w:t>2</w:t>
      </w:r>
      <w:r w:rsidR="009F0924" w:rsidRPr="00CD57A6">
        <w:t>—Commencement</w:t>
      </w:r>
    </w:p>
    <w:p w14:paraId="6E5ADA58" w14:textId="2990D455" w:rsidR="009F0924" w:rsidRPr="0016486A" w:rsidRDefault="005E0761" w:rsidP="005823FB">
      <w:pPr>
        <w:spacing w:before="0" w:after="240" w:line="28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Section</w:t>
      </w:r>
      <w:r w:rsidRPr="00CD57A6">
        <w:rPr>
          <w:rFonts w:ascii="Times New Roman" w:eastAsia="Times New Roman" w:hAnsi="Times New Roman" w:cs="Times New Roman"/>
          <w:sz w:val="24"/>
          <w:szCs w:val="24"/>
          <w:lang w:eastAsia="en-AU"/>
        </w:rPr>
        <w:t xml:space="preserve"> </w:t>
      </w:r>
      <w:r w:rsidR="00571FEE">
        <w:rPr>
          <w:rFonts w:ascii="Times New Roman" w:eastAsia="Times New Roman" w:hAnsi="Times New Roman" w:cs="Times New Roman"/>
          <w:sz w:val="24"/>
          <w:szCs w:val="24"/>
          <w:lang w:eastAsia="en-AU"/>
        </w:rPr>
        <w:t>2</w:t>
      </w:r>
      <w:r w:rsidR="009F0924" w:rsidRPr="00CD57A6">
        <w:rPr>
          <w:rFonts w:ascii="Times New Roman" w:eastAsia="Times New Roman" w:hAnsi="Times New Roman" w:cs="Times New Roman"/>
          <w:sz w:val="24"/>
          <w:szCs w:val="24"/>
          <w:lang w:eastAsia="en-AU"/>
        </w:rPr>
        <w:t xml:space="preserve"> </w:t>
      </w:r>
      <w:r w:rsidR="00967FF5">
        <w:rPr>
          <w:rFonts w:ascii="Times New Roman" w:hAnsi="Times New Roman" w:cs="Times New Roman"/>
          <w:sz w:val="24"/>
          <w:szCs w:val="24"/>
        </w:rPr>
        <w:t xml:space="preserve">provides that </w:t>
      </w:r>
      <w:r w:rsidR="009F0924" w:rsidRPr="00CD57A6">
        <w:rPr>
          <w:rFonts w:ascii="Times New Roman" w:eastAsia="Times New Roman" w:hAnsi="Times New Roman" w:cs="Times New Roman"/>
          <w:sz w:val="24"/>
          <w:szCs w:val="24"/>
          <w:lang w:eastAsia="en-AU"/>
        </w:rPr>
        <w:t xml:space="preserve">the </w:t>
      </w:r>
      <w:r w:rsidR="00F31F93">
        <w:rPr>
          <w:rFonts w:ascii="Times New Roman" w:eastAsia="Times New Roman" w:hAnsi="Times New Roman" w:cs="Times New Roman"/>
          <w:sz w:val="24"/>
          <w:szCs w:val="24"/>
          <w:lang w:eastAsia="en-AU"/>
        </w:rPr>
        <w:t xml:space="preserve">direction commences the </w:t>
      </w:r>
      <w:r w:rsidR="009F0924" w:rsidRPr="00CD57A6">
        <w:rPr>
          <w:rFonts w:ascii="Times New Roman" w:eastAsia="Times New Roman" w:hAnsi="Times New Roman" w:cs="Times New Roman"/>
          <w:sz w:val="24"/>
          <w:szCs w:val="24"/>
          <w:lang w:eastAsia="en-AU"/>
        </w:rPr>
        <w:t xml:space="preserve">day after it is registered. </w:t>
      </w:r>
      <w:r w:rsidR="00967FF5" w:rsidRPr="00967FF5">
        <w:rPr>
          <w:rFonts w:ascii="Times New Roman" w:eastAsia="Times New Roman" w:hAnsi="Times New Roman" w:cs="Times New Roman"/>
          <w:sz w:val="24"/>
          <w:szCs w:val="24"/>
          <w:lang w:eastAsia="en-AU"/>
        </w:rPr>
        <w:t xml:space="preserve">A note to section 2 further clarifies that the </w:t>
      </w:r>
      <w:r w:rsidR="00B31E3E">
        <w:rPr>
          <w:rFonts w:ascii="Times New Roman" w:eastAsia="Times New Roman" w:hAnsi="Times New Roman" w:cs="Times New Roman"/>
          <w:sz w:val="24"/>
          <w:szCs w:val="24"/>
          <w:lang w:eastAsia="en-AU"/>
        </w:rPr>
        <w:t>Direction</w:t>
      </w:r>
      <w:r w:rsidR="00967FF5" w:rsidRPr="00967FF5">
        <w:rPr>
          <w:rFonts w:ascii="Times New Roman" w:eastAsia="Times New Roman" w:hAnsi="Times New Roman" w:cs="Times New Roman"/>
          <w:sz w:val="24"/>
          <w:szCs w:val="24"/>
          <w:lang w:eastAsia="en-AU"/>
        </w:rPr>
        <w:t xml:space="preserve">, as a direction </w:t>
      </w:r>
      <w:r w:rsidR="0016486A">
        <w:rPr>
          <w:rFonts w:ascii="Times New Roman" w:eastAsia="Times New Roman" w:hAnsi="Times New Roman" w:cs="Times New Roman"/>
          <w:sz w:val="24"/>
          <w:szCs w:val="24"/>
          <w:lang w:eastAsia="en-AU"/>
        </w:rPr>
        <w:t xml:space="preserve">by a Minister </w:t>
      </w:r>
      <w:r w:rsidR="00967FF5" w:rsidRPr="00967FF5">
        <w:rPr>
          <w:rFonts w:ascii="Times New Roman" w:eastAsia="Times New Roman" w:hAnsi="Times New Roman" w:cs="Times New Roman"/>
          <w:sz w:val="24"/>
          <w:szCs w:val="24"/>
          <w:lang w:eastAsia="en-AU"/>
        </w:rPr>
        <w:t>to a body, is exempt from Parliamentary disallowance</w:t>
      </w:r>
      <w:r w:rsidR="0016486A">
        <w:rPr>
          <w:rFonts w:ascii="Times New Roman" w:eastAsia="Times New Roman" w:hAnsi="Times New Roman" w:cs="Times New Roman"/>
          <w:sz w:val="24"/>
          <w:szCs w:val="24"/>
          <w:lang w:eastAsia="en-AU"/>
        </w:rPr>
        <w:t xml:space="preserve"> (see section 9 of the </w:t>
      </w:r>
      <w:r w:rsidR="0016486A" w:rsidRPr="0016486A">
        <w:rPr>
          <w:rFonts w:ascii="Times New Roman" w:eastAsia="Times New Roman" w:hAnsi="Times New Roman" w:cs="Times New Roman"/>
          <w:i/>
          <w:sz w:val="24"/>
          <w:szCs w:val="24"/>
          <w:lang w:eastAsia="en-AU"/>
        </w:rPr>
        <w:t>Legislation (Exemptions and Other Matters) Regulation 2015</w:t>
      </w:r>
      <w:r w:rsidR="0016486A">
        <w:rPr>
          <w:rFonts w:ascii="Times New Roman" w:eastAsia="Times New Roman" w:hAnsi="Times New Roman" w:cs="Times New Roman"/>
          <w:sz w:val="24"/>
          <w:szCs w:val="24"/>
          <w:lang w:eastAsia="en-AU"/>
        </w:rPr>
        <w:t>).</w:t>
      </w:r>
    </w:p>
    <w:p w14:paraId="2E774CF8" w14:textId="36392AB9" w:rsidR="00571FEE" w:rsidRPr="009F0924" w:rsidRDefault="005E0761" w:rsidP="005823FB">
      <w:pPr>
        <w:pStyle w:val="Heading3"/>
        <w:spacing w:line="280" w:lineRule="atLeast"/>
      </w:pPr>
      <w:r>
        <w:rPr>
          <w:szCs w:val="24"/>
        </w:rPr>
        <w:t>Section</w:t>
      </w:r>
      <w:r w:rsidRPr="006745C3">
        <w:rPr>
          <w:szCs w:val="24"/>
        </w:rPr>
        <w:t xml:space="preserve"> </w:t>
      </w:r>
      <w:r w:rsidR="00571FEE">
        <w:t>3</w:t>
      </w:r>
      <w:r w:rsidR="00571FEE" w:rsidRPr="00CD57A6">
        <w:t>—Authority</w:t>
      </w:r>
    </w:p>
    <w:p w14:paraId="31D08842" w14:textId="1ED4305A" w:rsidR="00571FEE" w:rsidRPr="00CD57A6" w:rsidRDefault="00F31F93" w:rsidP="005823FB">
      <w:pPr>
        <w:spacing w:before="0" w:after="240" w:line="28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Section</w:t>
      </w:r>
      <w:r w:rsidR="00571FEE" w:rsidRPr="00CD57A6">
        <w:rPr>
          <w:rFonts w:ascii="Times New Roman" w:eastAsia="Times New Roman" w:hAnsi="Times New Roman" w:cs="Times New Roman"/>
          <w:sz w:val="24"/>
          <w:szCs w:val="24"/>
          <w:lang w:eastAsia="en-AU"/>
        </w:rPr>
        <w:t xml:space="preserve"> </w:t>
      </w:r>
      <w:r w:rsidR="00571FEE">
        <w:rPr>
          <w:rFonts w:ascii="Times New Roman" w:eastAsia="Times New Roman" w:hAnsi="Times New Roman" w:cs="Times New Roman"/>
          <w:sz w:val="24"/>
          <w:szCs w:val="24"/>
          <w:lang w:eastAsia="en-AU"/>
        </w:rPr>
        <w:t>3</w:t>
      </w:r>
      <w:r w:rsidR="00571FEE" w:rsidRPr="00CD57A6">
        <w:rPr>
          <w:rFonts w:ascii="Times New Roman" w:eastAsia="Times New Roman" w:hAnsi="Times New Roman" w:cs="Times New Roman"/>
          <w:sz w:val="24"/>
          <w:szCs w:val="24"/>
          <w:lang w:eastAsia="en-AU"/>
        </w:rPr>
        <w:t xml:space="preserve"> </w:t>
      </w:r>
      <w:r w:rsidR="00967FF5">
        <w:rPr>
          <w:rFonts w:ascii="Times New Roman" w:hAnsi="Times New Roman" w:cs="Times New Roman"/>
          <w:sz w:val="24"/>
          <w:szCs w:val="24"/>
        </w:rPr>
        <w:t xml:space="preserve">provides </w:t>
      </w:r>
      <w:r w:rsidR="00571FEE" w:rsidRPr="00CD57A6">
        <w:rPr>
          <w:rFonts w:ascii="Times New Roman" w:eastAsia="Times New Roman" w:hAnsi="Times New Roman" w:cs="Times New Roman"/>
          <w:sz w:val="24"/>
          <w:szCs w:val="24"/>
          <w:lang w:eastAsia="en-AU"/>
        </w:rPr>
        <w:t>th</w:t>
      </w:r>
      <w:r>
        <w:rPr>
          <w:rFonts w:ascii="Times New Roman" w:eastAsia="Times New Roman" w:hAnsi="Times New Roman" w:cs="Times New Roman"/>
          <w:sz w:val="24"/>
          <w:szCs w:val="24"/>
          <w:lang w:eastAsia="en-AU"/>
        </w:rPr>
        <w:t xml:space="preserve">at the </w:t>
      </w:r>
      <w:r w:rsidR="00B31E3E">
        <w:rPr>
          <w:rFonts w:ascii="Times New Roman" w:eastAsia="Times New Roman" w:hAnsi="Times New Roman" w:cs="Times New Roman"/>
          <w:sz w:val="24"/>
          <w:szCs w:val="24"/>
          <w:lang w:eastAsia="en-AU"/>
        </w:rPr>
        <w:t xml:space="preserve">Direction </w:t>
      </w:r>
      <w:r>
        <w:rPr>
          <w:rFonts w:ascii="Times New Roman" w:eastAsia="Times New Roman" w:hAnsi="Times New Roman" w:cs="Times New Roman"/>
          <w:sz w:val="24"/>
          <w:szCs w:val="24"/>
          <w:lang w:eastAsia="en-AU"/>
        </w:rPr>
        <w:t>is made under subsection 9(1) of the</w:t>
      </w:r>
      <w:r w:rsidR="00571FEE" w:rsidRPr="00CD57A6">
        <w:rPr>
          <w:rFonts w:ascii="Times New Roman" w:eastAsia="Times New Roman" w:hAnsi="Times New Roman" w:cs="Times New Roman"/>
          <w:sz w:val="24"/>
          <w:szCs w:val="24"/>
          <w:lang w:eastAsia="en-AU"/>
        </w:rPr>
        <w:t xml:space="preserve"> </w:t>
      </w:r>
      <w:r w:rsidR="00D61F05">
        <w:rPr>
          <w:rFonts w:ascii="Times New Roman" w:eastAsia="Times New Roman" w:hAnsi="Times New Roman" w:cs="Times New Roman"/>
          <w:sz w:val="24"/>
          <w:szCs w:val="24"/>
          <w:lang w:eastAsia="en-AU"/>
        </w:rPr>
        <w:t>NAIF Act</w:t>
      </w:r>
      <w:r>
        <w:rPr>
          <w:rFonts w:ascii="Times New Roman" w:eastAsia="Times New Roman" w:hAnsi="Times New Roman" w:cs="Times New Roman"/>
          <w:sz w:val="24"/>
          <w:szCs w:val="24"/>
          <w:lang w:eastAsia="en-AU"/>
        </w:rPr>
        <w:t>.</w:t>
      </w:r>
    </w:p>
    <w:p w14:paraId="28080E5D" w14:textId="29D49017" w:rsidR="009F0924" w:rsidRPr="009F0924" w:rsidRDefault="005E0761" w:rsidP="005823FB">
      <w:pPr>
        <w:pStyle w:val="Heading3"/>
        <w:spacing w:line="280" w:lineRule="atLeast"/>
      </w:pPr>
      <w:r>
        <w:rPr>
          <w:szCs w:val="24"/>
        </w:rPr>
        <w:t>Section</w:t>
      </w:r>
      <w:r w:rsidRPr="006745C3">
        <w:rPr>
          <w:szCs w:val="24"/>
        </w:rPr>
        <w:t xml:space="preserve"> </w:t>
      </w:r>
      <w:r w:rsidR="009F0924" w:rsidRPr="00CD57A6">
        <w:t>4—Definitions</w:t>
      </w:r>
    </w:p>
    <w:p w14:paraId="581BDD13" w14:textId="281A24F6" w:rsidR="009F0924" w:rsidRDefault="005E0761" w:rsidP="005823FB">
      <w:pPr>
        <w:spacing w:before="0" w:after="240" w:line="28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Section</w:t>
      </w:r>
      <w:r w:rsidRPr="00CD57A6">
        <w:rPr>
          <w:rFonts w:ascii="Times New Roman" w:eastAsia="Times New Roman" w:hAnsi="Times New Roman" w:cs="Times New Roman"/>
          <w:sz w:val="24"/>
          <w:szCs w:val="24"/>
          <w:lang w:eastAsia="en-AU"/>
        </w:rPr>
        <w:t xml:space="preserve"> </w:t>
      </w:r>
      <w:r w:rsidR="009F0924" w:rsidRPr="00CD57A6">
        <w:rPr>
          <w:rFonts w:ascii="Times New Roman" w:eastAsia="Times New Roman" w:hAnsi="Times New Roman" w:cs="Times New Roman"/>
          <w:sz w:val="24"/>
          <w:szCs w:val="24"/>
          <w:lang w:eastAsia="en-AU"/>
        </w:rPr>
        <w:t xml:space="preserve">4 provides the definitions of key terms used in the </w:t>
      </w:r>
      <w:r w:rsidR="00B31E3E">
        <w:rPr>
          <w:rFonts w:ascii="Times New Roman" w:eastAsia="Times New Roman" w:hAnsi="Times New Roman" w:cs="Times New Roman"/>
          <w:sz w:val="24"/>
          <w:szCs w:val="24"/>
          <w:lang w:eastAsia="en-AU"/>
        </w:rPr>
        <w:t>Direction</w:t>
      </w:r>
      <w:r w:rsidR="009F0924" w:rsidRPr="00CD57A6">
        <w:rPr>
          <w:rFonts w:ascii="Times New Roman" w:eastAsia="Times New Roman" w:hAnsi="Times New Roman" w:cs="Times New Roman"/>
          <w:sz w:val="24"/>
          <w:szCs w:val="24"/>
          <w:lang w:eastAsia="en-AU"/>
        </w:rPr>
        <w:t xml:space="preserve">. </w:t>
      </w:r>
    </w:p>
    <w:p w14:paraId="3FFD1332" w14:textId="1AE91875" w:rsidR="00571FEE" w:rsidRPr="00221034" w:rsidRDefault="00571FEE" w:rsidP="005823FB">
      <w:pPr>
        <w:spacing w:before="240" w:after="240" w:line="280" w:lineRule="atLeast"/>
        <w:rPr>
          <w:rFonts w:ascii="Times New Roman" w:hAnsi="Times New Roman" w:cs="Times New Roman"/>
          <w:sz w:val="24"/>
          <w:szCs w:val="24"/>
        </w:rPr>
      </w:pPr>
      <w:r>
        <w:rPr>
          <w:rFonts w:ascii="Times New Roman" w:hAnsi="Times New Roman" w:cs="Times New Roman"/>
          <w:sz w:val="24"/>
          <w:szCs w:val="24"/>
        </w:rPr>
        <w:t>Th</w:t>
      </w:r>
      <w:r w:rsidR="00B31E3E">
        <w:rPr>
          <w:rFonts w:ascii="Times New Roman" w:hAnsi="Times New Roman" w:cs="Times New Roman"/>
          <w:sz w:val="24"/>
          <w:szCs w:val="24"/>
        </w:rPr>
        <w:t>e</w:t>
      </w:r>
      <w:r>
        <w:rPr>
          <w:rFonts w:ascii="Times New Roman" w:hAnsi="Times New Roman" w:cs="Times New Roman"/>
          <w:sz w:val="24"/>
          <w:szCs w:val="24"/>
        </w:rPr>
        <w:t xml:space="preserve"> </w:t>
      </w:r>
      <w:r w:rsidR="00F31F93">
        <w:rPr>
          <w:rFonts w:ascii="Times New Roman" w:hAnsi="Times New Roman" w:cs="Times New Roman"/>
          <w:sz w:val="24"/>
          <w:szCs w:val="24"/>
        </w:rPr>
        <w:t xml:space="preserve">definition of </w:t>
      </w:r>
      <w:r w:rsidR="00F31F93" w:rsidRPr="00B31E3E">
        <w:rPr>
          <w:rFonts w:ascii="Times New Roman" w:hAnsi="Times New Roman" w:cs="Times New Roman"/>
          <w:b/>
          <w:i/>
          <w:sz w:val="24"/>
          <w:szCs w:val="24"/>
        </w:rPr>
        <w:t>Project</w:t>
      </w:r>
      <w:r w:rsidR="00F31F93">
        <w:rPr>
          <w:rFonts w:ascii="Times New Roman" w:hAnsi="Times New Roman" w:cs="Times New Roman"/>
          <w:sz w:val="24"/>
          <w:szCs w:val="24"/>
        </w:rPr>
        <w:t xml:space="preserve"> covers </w:t>
      </w:r>
      <w:r>
        <w:rPr>
          <w:rFonts w:ascii="Times New Roman" w:hAnsi="Times New Roman" w:cs="Times New Roman"/>
          <w:sz w:val="24"/>
          <w:szCs w:val="24"/>
        </w:rPr>
        <w:t xml:space="preserve">the overall project that embodies or incorporates the Northern Australia economic infrastructure for which the </w:t>
      </w:r>
      <w:r w:rsidR="00B31E3E">
        <w:rPr>
          <w:rFonts w:ascii="Times New Roman" w:hAnsi="Times New Roman" w:cs="Times New Roman"/>
          <w:sz w:val="24"/>
          <w:szCs w:val="24"/>
        </w:rPr>
        <w:t xml:space="preserve">Project </w:t>
      </w:r>
      <w:r>
        <w:rPr>
          <w:rFonts w:ascii="Times New Roman" w:hAnsi="Times New Roman" w:cs="Times New Roman"/>
          <w:sz w:val="24"/>
          <w:szCs w:val="24"/>
        </w:rPr>
        <w:t xml:space="preserve">Proponent is seeking the Facility’s support. For example, a Project could be an agricultural venture that also includes transportation infrastructure to export its goods to the market, rather than only the transportation infrastructure. </w:t>
      </w:r>
    </w:p>
    <w:p w14:paraId="6AD63137" w14:textId="0E274240" w:rsidR="009F0924" w:rsidRPr="009F0924" w:rsidRDefault="005E0761" w:rsidP="005823FB">
      <w:pPr>
        <w:pStyle w:val="Heading3"/>
        <w:spacing w:line="280" w:lineRule="atLeast"/>
      </w:pPr>
      <w:r>
        <w:rPr>
          <w:szCs w:val="24"/>
        </w:rPr>
        <w:t>Section</w:t>
      </w:r>
      <w:r w:rsidRPr="006745C3">
        <w:rPr>
          <w:szCs w:val="24"/>
        </w:rPr>
        <w:t xml:space="preserve"> </w:t>
      </w:r>
      <w:r w:rsidR="009F0924" w:rsidRPr="00CD57A6">
        <w:t>5—Purpose</w:t>
      </w:r>
    </w:p>
    <w:p w14:paraId="362AF2D5" w14:textId="31385A26" w:rsidR="009F0924" w:rsidRPr="00CD57A6" w:rsidRDefault="005E0761" w:rsidP="005823FB">
      <w:pPr>
        <w:spacing w:before="0" w:after="240" w:line="28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Section</w:t>
      </w:r>
      <w:r w:rsidRPr="00CD57A6">
        <w:rPr>
          <w:rFonts w:ascii="Times New Roman" w:eastAsia="Times New Roman" w:hAnsi="Times New Roman" w:cs="Times New Roman"/>
          <w:sz w:val="24"/>
          <w:szCs w:val="24"/>
          <w:lang w:eastAsia="en-AU"/>
        </w:rPr>
        <w:t xml:space="preserve"> </w:t>
      </w:r>
      <w:r w:rsidR="009F0924" w:rsidRPr="00CD57A6">
        <w:rPr>
          <w:rFonts w:ascii="Times New Roman" w:eastAsia="Times New Roman" w:hAnsi="Times New Roman" w:cs="Times New Roman"/>
          <w:sz w:val="24"/>
          <w:szCs w:val="24"/>
          <w:lang w:eastAsia="en-AU"/>
        </w:rPr>
        <w:t xml:space="preserve">5 provides that the purpose of </w:t>
      </w:r>
      <w:r w:rsidR="00B31E3E">
        <w:rPr>
          <w:rFonts w:ascii="Times New Roman" w:eastAsia="Times New Roman" w:hAnsi="Times New Roman" w:cs="Times New Roman"/>
          <w:sz w:val="24"/>
          <w:szCs w:val="24"/>
          <w:lang w:eastAsia="en-AU"/>
        </w:rPr>
        <w:t>the Direction</w:t>
      </w:r>
      <w:r w:rsidR="009F0924" w:rsidRPr="00CD57A6">
        <w:rPr>
          <w:rFonts w:ascii="Times New Roman" w:eastAsia="Times New Roman" w:hAnsi="Times New Roman" w:cs="Times New Roman"/>
          <w:sz w:val="24"/>
          <w:szCs w:val="24"/>
          <w:lang w:eastAsia="en-AU"/>
        </w:rPr>
        <w:t xml:space="preserve"> is to direct the Facility in relation to the performance of its functions. As set out in section 7 of the </w:t>
      </w:r>
      <w:r w:rsidR="00D61F05">
        <w:rPr>
          <w:rFonts w:ascii="Times New Roman" w:eastAsia="Times New Roman" w:hAnsi="Times New Roman" w:cs="Times New Roman"/>
          <w:sz w:val="24"/>
          <w:szCs w:val="24"/>
          <w:lang w:eastAsia="en-AU"/>
        </w:rPr>
        <w:t xml:space="preserve">NAIF </w:t>
      </w:r>
      <w:r w:rsidR="009F0924" w:rsidRPr="00CD57A6">
        <w:rPr>
          <w:rFonts w:ascii="Times New Roman" w:eastAsia="Times New Roman" w:hAnsi="Times New Roman" w:cs="Times New Roman"/>
          <w:sz w:val="24"/>
          <w:szCs w:val="24"/>
          <w:lang w:eastAsia="en-AU"/>
        </w:rPr>
        <w:t xml:space="preserve">Act, the function of the Facility is to provide grants of financial assistance to </w:t>
      </w:r>
      <w:r w:rsidR="00D61F05">
        <w:rPr>
          <w:rFonts w:ascii="Times New Roman" w:eastAsia="Times New Roman" w:hAnsi="Times New Roman" w:cs="Times New Roman"/>
          <w:sz w:val="24"/>
          <w:szCs w:val="24"/>
          <w:lang w:eastAsia="en-AU"/>
        </w:rPr>
        <w:t>s</w:t>
      </w:r>
      <w:r w:rsidR="009F0924" w:rsidRPr="00CD57A6">
        <w:rPr>
          <w:rFonts w:ascii="Times New Roman" w:eastAsia="Times New Roman" w:hAnsi="Times New Roman" w:cs="Times New Roman"/>
          <w:sz w:val="24"/>
          <w:szCs w:val="24"/>
          <w:lang w:eastAsia="en-AU"/>
        </w:rPr>
        <w:t xml:space="preserve">tates and </w:t>
      </w:r>
      <w:r w:rsidR="00D61F05">
        <w:rPr>
          <w:rFonts w:ascii="Times New Roman" w:eastAsia="Times New Roman" w:hAnsi="Times New Roman" w:cs="Times New Roman"/>
          <w:sz w:val="24"/>
          <w:szCs w:val="24"/>
          <w:lang w:eastAsia="en-AU"/>
        </w:rPr>
        <w:t>t</w:t>
      </w:r>
      <w:r w:rsidR="009F0924" w:rsidRPr="00CD57A6">
        <w:rPr>
          <w:rFonts w:ascii="Times New Roman" w:eastAsia="Times New Roman" w:hAnsi="Times New Roman" w:cs="Times New Roman"/>
          <w:sz w:val="24"/>
          <w:szCs w:val="24"/>
          <w:lang w:eastAsia="en-AU"/>
        </w:rPr>
        <w:t xml:space="preserve">erritories for the construction of Northern Australia </w:t>
      </w:r>
      <w:r w:rsidR="00D61F05">
        <w:rPr>
          <w:rFonts w:ascii="Times New Roman" w:eastAsia="Times New Roman" w:hAnsi="Times New Roman" w:cs="Times New Roman"/>
          <w:sz w:val="24"/>
          <w:szCs w:val="24"/>
          <w:lang w:eastAsia="en-AU"/>
        </w:rPr>
        <w:t>e</w:t>
      </w:r>
      <w:r w:rsidR="009F0924" w:rsidRPr="00CD57A6">
        <w:rPr>
          <w:rFonts w:ascii="Times New Roman" w:eastAsia="Times New Roman" w:hAnsi="Times New Roman" w:cs="Times New Roman"/>
          <w:sz w:val="24"/>
          <w:szCs w:val="24"/>
          <w:lang w:eastAsia="en-AU"/>
        </w:rPr>
        <w:t xml:space="preserve">conomic </w:t>
      </w:r>
      <w:r w:rsidR="00D61F05">
        <w:rPr>
          <w:rFonts w:ascii="Times New Roman" w:eastAsia="Times New Roman" w:hAnsi="Times New Roman" w:cs="Times New Roman"/>
          <w:sz w:val="24"/>
          <w:szCs w:val="24"/>
          <w:lang w:eastAsia="en-AU"/>
        </w:rPr>
        <w:t>i</w:t>
      </w:r>
      <w:r w:rsidR="009F0924" w:rsidRPr="00CD57A6">
        <w:rPr>
          <w:rFonts w:ascii="Times New Roman" w:eastAsia="Times New Roman" w:hAnsi="Times New Roman" w:cs="Times New Roman"/>
          <w:sz w:val="24"/>
          <w:szCs w:val="24"/>
          <w:lang w:eastAsia="en-AU"/>
        </w:rPr>
        <w:t xml:space="preserve">nfrastructure and determine the terms and conditions for these grants of financial assistance. The matters on which the </w:t>
      </w:r>
      <w:r w:rsidR="00B31E3E">
        <w:rPr>
          <w:rFonts w:ascii="Times New Roman" w:eastAsia="Times New Roman" w:hAnsi="Times New Roman" w:cs="Times New Roman"/>
          <w:sz w:val="24"/>
          <w:szCs w:val="24"/>
          <w:lang w:eastAsia="en-AU"/>
        </w:rPr>
        <w:t>Direction</w:t>
      </w:r>
      <w:r w:rsidR="009F0924" w:rsidRPr="00CD57A6">
        <w:rPr>
          <w:rFonts w:ascii="Times New Roman" w:eastAsia="Times New Roman" w:hAnsi="Times New Roman" w:cs="Times New Roman"/>
          <w:sz w:val="24"/>
          <w:szCs w:val="24"/>
          <w:lang w:eastAsia="en-AU"/>
        </w:rPr>
        <w:t xml:space="preserve"> can provide detailed directions to the Board are </w:t>
      </w:r>
      <w:r w:rsidR="00B31E3E">
        <w:rPr>
          <w:rFonts w:ascii="Times New Roman" w:eastAsia="Times New Roman" w:hAnsi="Times New Roman" w:cs="Times New Roman"/>
          <w:sz w:val="24"/>
          <w:szCs w:val="24"/>
          <w:lang w:eastAsia="en-AU"/>
        </w:rPr>
        <w:t>covered</w:t>
      </w:r>
      <w:r w:rsidR="009F0924" w:rsidRPr="00CD57A6">
        <w:rPr>
          <w:rFonts w:ascii="Times New Roman" w:eastAsia="Times New Roman" w:hAnsi="Times New Roman" w:cs="Times New Roman"/>
          <w:sz w:val="24"/>
          <w:szCs w:val="24"/>
          <w:lang w:eastAsia="en-AU"/>
        </w:rPr>
        <w:t xml:space="preserve"> in section 10 of the </w:t>
      </w:r>
      <w:r w:rsidR="00D61F05">
        <w:rPr>
          <w:rFonts w:ascii="Times New Roman" w:eastAsia="Times New Roman" w:hAnsi="Times New Roman" w:cs="Times New Roman"/>
          <w:sz w:val="24"/>
          <w:szCs w:val="24"/>
          <w:lang w:eastAsia="en-AU"/>
        </w:rPr>
        <w:t xml:space="preserve">NAIF </w:t>
      </w:r>
      <w:r w:rsidR="009F0924" w:rsidRPr="00CD57A6">
        <w:rPr>
          <w:rFonts w:ascii="Times New Roman" w:eastAsia="Times New Roman" w:hAnsi="Times New Roman" w:cs="Times New Roman"/>
          <w:sz w:val="24"/>
          <w:szCs w:val="24"/>
          <w:lang w:eastAsia="en-AU"/>
        </w:rPr>
        <w:t>Act.</w:t>
      </w:r>
    </w:p>
    <w:p w14:paraId="28B2A5EE" w14:textId="77777777" w:rsidR="009F0924" w:rsidRPr="009F0924" w:rsidRDefault="009F0924" w:rsidP="005823FB">
      <w:pPr>
        <w:pStyle w:val="Heading2"/>
        <w:spacing w:line="280" w:lineRule="atLeast"/>
      </w:pPr>
      <w:r w:rsidRPr="009F0924">
        <w:t>PART 2—DIRECTIONS</w:t>
      </w:r>
    </w:p>
    <w:p w14:paraId="6894590D" w14:textId="172C4C5C" w:rsidR="009F0924" w:rsidRPr="009F0924" w:rsidRDefault="005E0761" w:rsidP="005823FB">
      <w:pPr>
        <w:pStyle w:val="Heading3"/>
        <w:spacing w:line="280" w:lineRule="atLeast"/>
      </w:pPr>
      <w:r>
        <w:rPr>
          <w:szCs w:val="24"/>
        </w:rPr>
        <w:t>Section</w:t>
      </w:r>
      <w:r w:rsidRPr="006745C3">
        <w:rPr>
          <w:szCs w:val="24"/>
        </w:rPr>
        <w:t xml:space="preserve"> </w:t>
      </w:r>
      <w:r w:rsidR="009F0924" w:rsidRPr="00CD57A6">
        <w:t>6—Making Investment Decisions</w:t>
      </w:r>
    </w:p>
    <w:p w14:paraId="7963F346" w14:textId="2E99168E" w:rsidR="00EE7D76" w:rsidRPr="00CD57A6" w:rsidRDefault="00EE7D76" w:rsidP="00EE7D76">
      <w:pPr>
        <w:spacing w:before="0" w:after="240" w:line="28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Section</w:t>
      </w:r>
      <w:r w:rsidRPr="00CD57A6">
        <w:rPr>
          <w:rFonts w:ascii="Times New Roman" w:eastAsia="Times New Roman" w:hAnsi="Times New Roman" w:cs="Times New Roman"/>
          <w:sz w:val="24"/>
          <w:szCs w:val="24"/>
          <w:lang w:eastAsia="en-AU"/>
        </w:rPr>
        <w:t xml:space="preserve"> 6 provides that the Board must make Investment Deci</w:t>
      </w:r>
      <w:r>
        <w:rPr>
          <w:rFonts w:ascii="Times New Roman" w:eastAsia="Times New Roman" w:hAnsi="Times New Roman" w:cs="Times New Roman"/>
          <w:sz w:val="24"/>
          <w:szCs w:val="24"/>
          <w:lang w:eastAsia="en-AU"/>
        </w:rPr>
        <w:t>sions on behalf of the Facility</w:t>
      </w:r>
      <w:r w:rsidRPr="00CD57A6">
        <w:rPr>
          <w:rFonts w:ascii="Times New Roman" w:eastAsia="Times New Roman" w:hAnsi="Times New Roman" w:cs="Times New Roman"/>
          <w:sz w:val="24"/>
          <w:szCs w:val="24"/>
          <w:lang w:eastAsia="en-AU"/>
        </w:rPr>
        <w:t>, in relation</w:t>
      </w:r>
      <w:r>
        <w:rPr>
          <w:rFonts w:ascii="Times New Roman" w:eastAsia="Times New Roman" w:hAnsi="Times New Roman" w:cs="Times New Roman"/>
          <w:sz w:val="24"/>
          <w:szCs w:val="24"/>
          <w:lang w:eastAsia="en-AU"/>
        </w:rPr>
        <w:t xml:space="preserve"> to </w:t>
      </w:r>
      <w:r w:rsidRPr="00CD57A6">
        <w:rPr>
          <w:rFonts w:ascii="Times New Roman" w:eastAsia="Times New Roman" w:hAnsi="Times New Roman" w:cs="Times New Roman"/>
          <w:sz w:val="24"/>
          <w:szCs w:val="24"/>
          <w:lang w:eastAsia="en-AU"/>
        </w:rPr>
        <w:t>whether</w:t>
      </w:r>
      <w:r>
        <w:rPr>
          <w:rFonts w:ascii="Times New Roman" w:eastAsia="Times New Roman" w:hAnsi="Times New Roman" w:cs="Times New Roman"/>
          <w:sz w:val="24"/>
          <w:szCs w:val="24"/>
          <w:lang w:eastAsia="en-AU"/>
        </w:rPr>
        <w:t xml:space="preserve"> </w:t>
      </w:r>
      <w:r w:rsidRPr="00CD57A6">
        <w:rPr>
          <w:rFonts w:ascii="Times New Roman" w:eastAsia="Times New Roman" w:hAnsi="Times New Roman" w:cs="Times New Roman"/>
          <w:sz w:val="24"/>
          <w:szCs w:val="24"/>
          <w:lang w:eastAsia="en-AU"/>
        </w:rPr>
        <w:t xml:space="preserve">to provide financial assistance to </w:t>
      </w:r>
      <w:r w:rsidR="009214AD">
        <w:rPr>
          <w:rFonts w:ascii="Times New Roman" w:eastAsia="Times New Roman" w:hAnsi="Times New Roman" w:cs="Times New Roman"/>
          <w:sz w:val="24"/>
          <w:szCs w:val="24"/>
          <w:lang w:eastAsia="en-AU"/>
        </w:rPr>
        <w:t>s</w:t>
      </w:r>
      <w:r w:rsidRPr="00CD57A6">
        <w:rPr>
          <w:rFonts w:ascii="Times New Roman" w:eastAsia="Times New Roman" w:hAnsi="Times New Roman" w:cs="Times New Roman"/>
          <w:sz w:val="24"/>
          <w:szCs w:val="24"/>
          <w:lang w:eastAsia="en-AU"/>
        </w:rPr>
        <w:t xml:space="preserve">tates and </w:t>
      </w:r>
      <w:r w:rsidR="009214AD">
        <w:rPr>
          <w:rFonts w:ascii="Times New Roman" w:eastAsia="Times New Roman" w:hAnsi="Times New Roman" w:cs="Times New Roman"/>
          <w:sz w:val="24"/>
          <w:szCs w:val="24"/>
          <w:lang w:eastAsia="en-AU"/>
        </w:rPr>
        <w:t>t</w:t>
      </w:r>
      <w:r w:rsidRPr="00CD57A6">
        <w:rPr>
          <w:rFonts w:ascii="Times New Roman" w:eastAsia="Times New Roman" w:hAnsi="Times New Roman" w:cs="Times New Roman"/>
          <w:sz w:val="24"/>
          <w:szCs w:val="24"/>
          <w:lang w:eastAsia="en-AU"/>
        </w:rPr>
        <w:t xml:space="preserve">erritories for the construction of Northern Australia economic infrastructure. </w:t>
      </w:r>
    </w:p>
    <w:p w14:paraId="0A78BFFD" w14:textId="40116A13" w:rsidR="00EE7D76" w:rsidRPr="00CD57A6" w:rsidRDefault="00EE7D76" w:rsidP="00EE7D76">
      <w:pPr>
        <w:spacing w:before="0" w:after="240" w:line="280" w:lineRule="atLeast"/>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Sub</w:t>
      </w:r>
      <w:r>
        <w:rPr>
          <w:rFonts w:ascii="Times New Roman" w:eastAsia="Times New Roman" w:hAnsi="Times New Roman" w:cs="Times New Roman"/>
          <w:sz w:val="24"/>
          <w:szCs w:val="24"/>
          <w:lang w:eastAsia="en-AU"/>
        </w:rPr>
        <w:t>section</w:t>
      </w:r>
      <w:r w:rsidRPr="00CD57A6">
        <w:rPr>
          <w:rFonts w:ascii="Times New Roman" w:eastAsia="Times New Roman" w:hAnsi="Times New Roman" w:cs="Times New Roman"/>
          <w:sz w:val="24"/>
          <w:szCs w:val="24"/>
          <w:lang w:eastAsia="en-AU"/>
        </w:rPr>
        <w:t xml:space="preserve"> 6(2) provides that upon making an Investment Decision, the Facility must notify </w:t>
      </w:r>
      <w:r w:rsidR="00ED332B">
        <w:rPr>
          <w:rFonts w:ascii="Times New Roman" w:eastAsia="Times New Roman" w:hAnsi="Times New Roman" w:cs="Times New Roman"/>
          <w:sz w:val="24"/>
          <w:szCs w:val="24"/>
          <w:lang w:eastAsia="en-AU"/>
        </w:rPr>
        <w:t xml:space="preserve">the </w:t>
      </w:r>
      <w:r w:rsidRPr="00CD57A6">
        <w:rPr>
          <w:rFonts w:ascii="Times New Roman" w:eastAsia="Times New Roman" w:hAnsi="Times New Roman" w:cs="Times New Roman"/>
          <w:sz w:val="24"/>
          <w:szCs w:val="24"/>
          <w:lang w:eastAsia="en-AU"/>
        </w:rPr>
        <w:t>Project Proponent</w:t>
      </w:r>
      <w:r w:rsidR="00ED332B">
        <w:rPr>
          <w:rFonts w:ascii="Times New Roman" w:eastAsia="Times New Roman" w:hAnsi="Times New Roman" w:cs="Times New Roman"/>
          <w:sz w:val="24"/>
          <w:szCs w:val="24"/>
          <w:lang w:eastAsia="en-AU"/>
        </w:rPr>
        <w:t xml:space="preserve"> of the outcome of that Investment Decision</w:t>
      </w:r>
      <w:r w:rsidR="009214AD">
        <w:rPr>
          <w:rFonts w:ascii="Times New Roman" w:eastAsia="Times New Roman" w:hAnsi="Times New Roman" w:cs="Times New Roman"/>
          <w:sz w:val="24"/>
          <w:szCs w:val="24"/>
          <w:lang w:eastAsia="en-AU"/>
        </w:rPr>
        <w:t xml:space="preserve"> </w:t>
      </w:r>
      <w:r w:rsidRPr="00CD57A6">
        <w:rPr>
          <w:rFonts w:ascii="Times New Roman" w:eastAsia="Times New Roman" w:hAnsi="Times New Roman" w:cs="Times New Roman"/>
          <w:sz w:val="24"/>
          <w:szCs w:val="24"/>
          <w:lang w:eastAsia="en-AU"/>
        </w:rPr>
        <w:t xml:space="preserve">as soon as practicable after </w:t>
      </w:r>
      <w:r w:rsidR="009214AD">
        <w:rPr>
          <w:rFonts w:ascii="Times New Roman" w:eastAsia="Times New Roman" w:hAnsi="Times New Roman" w:cs="Times New Roman"/>
          <w:sz w:val="24"/>
          <w:szCs w:val="24"/>
          <w:lang w:eastAsia="en-AU"/>
        </w:rPr>
        <w:t xml:space="preserve">the </w:t>
      </w:r>
      <w:r w:rsidRPr="00CD57A6">
        <w:rPr>
          <w:rFonts w:ascii="Times New Roman" w:eastAsia="Times New Roman" w:hAnsi="Times New Roman" w:cs="Times New Roman"/>
          <w:sz w:val="24"/>
          <w:szCs w:val="24"/>
          <w:lang w:eastAsia="en-AU"/>
        </w:rPr>
        <w:t xml:space="preserve">decision </w:t>
      </w:r>
      <w:r w:rsidR="009214AD">
        <w:rPr>
          <w:rFonts w:ascii="Times New Roman" w:eastAsia="Times New Roman" w:hAnsi="Times New Roman" w:cs="Times New Roman"/>
          <w:sz w:val="24"/>
          <w:szCs w:val="24"/>
          <w:lang w:eastAsia="en-AU"/>
        </w:rPr>
        <w:t>is</w:t>
      </w:r>
      <w:r w:rsidRPr="00CD57A6">
        <w:rPr>
          <w:rFonts w:ascii="Times New Roman" w:eastAsia="Times New Roman" w:hAnsi="Times New Roman" w:cs="Times New Roman"/>
          <w:sz w:val="24"/>
          <w:szCs w:val="24"/>
          <w:lang w:eastAsia="en-AU"/>
        </w:rPr>
        <w:t xml:space="preserve"> made. </w:t>
      </w:r>
    </w:p>
    <w:p w14:paraId="4BCC91A9" w14:textId="57C8CD58" w:rsidR="009F0924" w:rsidRPr="009F0924" w:rsidRDefault="005E0761" w:rsidP="005823FB">
      <w:pPr>
        <w:pStyle w:val="Heading3"/>
        <w:spacing w:line="280" w:lineRule="atLeast"/>
      </w:pPr>
      <w:r>
        <w:rPr>
          <w:szCs w:val="24"/>
        </w:rPr>
        <w:t>Section</w:t>
      </w:r>
      <w:r w:rsidRPr="006745C3">
        <w:rPr>
          <w:szCs w:val="24"/>
        </w:rPr>
        <w:t xml:space="preserve"> </w:t>
      </w:r>
      <w:r w:rsidR="009F0924" w:rsidRPr="00CD57A6">
        <w:t>7—Matters to be considered when making Investment Decisions</w:t>
      </w:r>
    </w:p>
    <w:p w14:paraId="5DAE918F" w14:textId="14045958" w:rsidR="009F0924" w:rsidRPr="00CD57A6" w:rsidRDefault="009214AD" w:rsidP="005823FB">
      <w:pPr>
        <w:spacing w:before="0" w:after="240" w:line="28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Subsection </w:t>
      </w:r>
      <w:r w:rsidR="009F0924" w:rsidRPr="00CD57A6">
        <w:rPr>
          <w:rFonts w:ascii="Times New Roman" w:eastAsia="Times New Roman" w:hAnsi="Times New Roman" w:cs="Times New Roman"/>
          <w:sz w:val="24"/>
          <w:szCs w:val="24"/>
          <w:lang w:eastAsia="en-AU"/>
        </w:rPr>
        <w:t>7(</w:t>
      </w:r>
      <w:r>
        <w:rPr>
          <w:rFonts w:ascii="Times New Roman" w:eastAsia="Times New Roman" w:hAnsi="Times New Roman" w:cs="Times New Roman"/>
          <w:sz w:val="24"/>
          <w:szCs w:val="24"/>
          <w:lang w:eastAsia="en-AU"/>
        </w:rPr>
        <w:t>1</w:t>
      </w:r>
      <w:r w:rsidR="009F0924" w:rsidRPr="00CD57A6">
        <w:rPr>
          <w:rFonts w:ascii="Times New Roman" w:eastAsia="Times New Roman" w:hAnsi="Times New Roman" w:cs="Times New Roman"/>
          <w:sz w:val="24"/>
          <w:szCs w:val="24"/>
          <w:lang w:eastAsia="en-AU"/>
        </w:rPr>
        <w:t>) provides that before the Board makes an Investment Decision</w:t>
      </w:r>
      <w:r>
        <w:rPr>
          <w:rFonts w:ascii="Times New Roman" w:eastAsia="Times New Roman" w:hAnsi="Times New Roman" w:cs="Times New Roman"/>
          <w:sz w:val="24"/>
          <w:szCs w:val="24"/>
          <w:lang w:eastAsia="en-AU"/>
        </w:rPr>
        <w:t xml:space="preserve"> to offer a Financing Mechanism</w:t>
      </w:r>
      <w:r w:rsidR="009F0924" w:rsidRPr="00CD57A6">
        <w:rPr>
          <w:rFonts w:ascii="Times New Roman" w:eastAsia="Times New Roman" w:hAnsi="Times New Roman" w:cs="Times New Roman"/>
          <w:sz w:val="24"/>
          <w:szCs w:val="24"/>
          <w:lang w:eastAsia="en-AU"/>
        </w:rPr>
        <w:t xml:space="preserve">, it must be satisfied that the </w:t>
      </w:r>
      <w:r w:rsidR="0009308E">
        <w:rPr>
          <w:rFonts w:ascii="Times New Roman" w:eastAsia="Times New Roman" w:hAnsi="Times New Roman" w:cs="Times New Roman"/>
          <w:sz w:val="24"/>
          <w:szCs w:val="24"/>
          <w:lang w:eastAsia="en-AU"/>
        </w:rPr>
        <w:t>project</w:t>
      </w:r>
      <w:r w:rsidR="009F0924" w:rsidRPr="00CD57A6">
        <w:rPr>
          <w:rFonts w:ascii="Times New Roman" w:eastAsia="Times New Roman" w:hAnsi="Times New Roman" w:cs="Times New Roman"/>
          <w:sz w:val="24"/>
          <w:szCs w:val="24"/>
          <w:lang w:eastAsia="en-AU"/>
        </w:rPr>
        <w:t xml:space="preserve"> </w:t>
      </w:r>
      <w:r w:rsidR="00F756CF">
        <w:rPr>
          <w:rFonts w:ascii="Times New Roman" w:eastAsia="Times New Roman" w:hAnsi="Times New Roman" w:cs="Times New Roman"/>
          <w:sz w:val="24"/>
          <w:szCs w:val="24"/>
          <w:lang w:eastAsia="en-AU"/>
        </w:rPr>
        <w:t>meet</w:t>
      </w:r>
      <w:r>
        <w:rPr>
          <w:rFonts w:ascii="Times New Roman" w:eastAsia="Times New Roman" w:hAnsi="Times New Roman" w:cs="Times New Roman"/>
          <w:sz w:val="24"/>
          <w:szCs w:val="24"/>
          <w:lang w:eastAsia="en-AU"/>
        </w:rPr>
        <w:t>s</w:t>
      </w:r>
      <w:r w:rsidR="009F0924" w:rsidRPr="00CD57A6">
        <w:rPr>
          <w:rFonts w:ascii="Times New Roman" w:eastAsia="Times New Roman" w:hAnsi="Times New Roman" w:cs="Times New Roman"/>
          <w:sz w:val="24"/>
          <w:szCs w:val="24"/>
          <w:lang w:eastAsia="en-AU"/>
        </w:rPr>
        <w:t xml:space="preserve"> all </w:t>
      </w:r>
      <w:r w:rsidR="00ED332B">
        <w:rPr>
          <w:rFonts w:ascii="Times New Roman" w:eastAsia="Times New Roman" w:hAnsi="Times New Roman" w:cs="Times New Roman"/>
          <w:sz w:val="24"/>
          <w:szCs w:val="24"/>
          <w:lang w:eastAsia="en-AU"/>
        </w:rPr>
        <w:t xml:space="preserve">five </w:t>
      </w:r>
      <w:r w:rsidR="009F0924" w:rsidRPr="00CD57A6">
        <w:rPr>
          <w:rFonts w:ascii="Times New Roman" w:eastAsia="Times New Roman" w:hAnsi="Times New Roman" w:cs="Times New Roman"/>
          <w:sz w:val="24"/>
          <w:szCs w:val="24"/>
          <w:lang w:eastAsia="en-AU"/>
        </w:rPr>
        <w:t xml:space="preserve">criteria in Schedule 1 </w:t>
      </w:r>
      <w:r w:rsidR="00857A3B">
        <w:rPr>
          <w:rFonts w:ascii="Times New Roman" w:eastAsia="Times New Roman" w:hAnsi="Times New Roman" w:cs="Times New Roman"/>
          <w:sz w:val="24"/>
          <w:szCs w:val="24"/>
          <w:lang w:eastAsia="en-AU"/>
        </w:rPr>
        <w:t>to</w:t>
      </w:r>
      <w:r w:rsidR="00EA72DD">
        <w:rPr>
          <w:rFonts w:ascii="Times New Roman" w:eastAsia="Times New Roman" w:hAnsi="Times New Roman" w:cs="Times New Roman"/>
          <w:sz w:val="24"/>
          <w:szCs w:val="24"/>
          <w:lang w:eastAsia="en-AU"/>
        </w:rPr>
        <w:t xml:space="preserve"> </w:t>
      </w:r>
      <w:r w:rsidR="009F0924" w:rsidRPr="00CD57A6">
        <w:rPr>
          <w:rFonts w:ascii="Times New Roman" w:eastAsia="Times New Roman" w:hAnsi="Times New Roman" w:cs="Times New Roman"/>
          <w:sz w:val="24"/>
          <w:szCs w:val="24"/>
          <w:lang w:eastAsia="en-AU"/>
        </w:rPr>
        <w:t>the</w:t>
      </w:r>
      <w:r w:rsidR="00EA72DD">
        <w:rPr>
          <w:rFonts w:ascii="Times New Roman" w:eastAsia="Times New Roman" w:hAnsi="Times New Roman" w:cs="Times New Roman"/>
          <w:sz w:val="24"/>
          <w:szCs w:val="24"/>
          <w:lang w:eastAsia="en-AU"/>
        </w:rPr>
        <w:t xml:space="preserve"> </w:t>
      </w:r>
      <w:r w:rsidR="00B31E3E">
        <w:rPr>
          <w:rFonts w:ascii="Times New Roman" w:eastAsia="Times New Roman" w:hAnsi="Times New Roman" w:cs="Times New Roman"/>
          <w:sz w:val="24"/>
          <w:szCs w:val="24"/>
          <w:lang w:eastAsia="en-AU"/>
        </w:rPr>
        <w:t>Direction</w:t>
      </w:r>
      <w:r w:rsidR="009F0924" w:rsidRPr="00CD57A6">
        <w:rPr>
          <w:rFonts w:ascii="Times New Roman" w:eastAsia="Times New Roman" w:hAnsi="Times New Roman" w:cs="Times New Roman"/>
          <w:sz w:val="24"/>
          <w:szCs w:val="24"/>
          <w:lang w:eastAsia="en-AU"/>
        </w:rPr>
        <w:t xml:space="preserve">. </w:t>
      </w:r>
    </w:p>
    <w:p w14:paraId="6F5A744B" w14:textId="1AF952B1" w:rsidR="00857A3B" w:rsidRDefault="009F0924" w:rsidP="00857A3B">
      <w:pPr>
        <w:spacing w:after="100" w:afterAutospacing="1" w:line="252" w:lineRule="auto"/>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The Facility aims to promote economic and population growth in northern Australia through the construction of new or enhanced infrastructure. </w:t>
      </w:r>
      <w:r w:rsidR="00857A3B">
        <w:rPr>
          <w:rFonts w:ascii="Times New Roman" w:eastAsia="Times New Roman" w:hAnsi="Times New Roman" w:cs="Times New Roman"/>
          <w:sz w:val="24"/>
          <w:szCs w:val="24"/>
          <w:lang w:eastAsia="en-AU"/>
        </w:rPr>
        <w:t>C</w:t>
      </w:r>
      <w:r w:rsidRPr="00CD57A6">
        <w:rPr>
          <w:rFonts w:ascii="Times New Roman" w:eastAsia="Times New Roman" w:hAnsi="Times New Roman" w:cs="Times New Roman"/>
          <w:sz w:val="24"/>
          <w:szCs w:val="24"/>
          <w:lang w:eastAsia="en-AU"/>
        </w:rPr>
        <w:t xml:space="preserve">riterion </w:t>
      </w:r>
      <w:r w:rsidR="00EC0068">
        <w:rPr>
          <w:rFonts w:ascii="Times New Roman" w:eastAsia="Times New Roman" w:hAnsi="Times New Roman" w:cs="Times New Roman"/>
          <w:sz w:val="24"/>
          <w:szCs w:val="24"/>
          <w:lang w:eastAsia="en-AU"/>
        </w:rPr>
        <w:t>1</w:t>
      </w:r>
      <w:r w:rsidRPr="00CD57A6">
        <w:rPr>
          <w:rFonts w:ascii="Times New Roman" w:eastAsia="Times New Roman" w:hAnsi="Times New Roman" w:cs="Times New Roman"/>
          <w:sz w:val="24"/>
          <w:szCs w:val="24"/>
          <w:lang w:eastAsia="en-AU"/>
        </w:rPr>
        <w:t xml:space="preserve"> </w:t>
      </w:r>
      <w:r w:rsidR="00857A3B">
        <w:rPr>
          <w:rFonts w:ascii="Times New Roman" w:eastAsia="Times New Roman" w:hAnsi="Times New Roman" w:cs="Times New Roman"/>
          <w:sz w:val="24"/>
          <w:szCs w:val="24"/>
          <w:lang w:eastAsia="en-AU"/>
        </w:rPr>
        <w:t xml:space="preserve">reflects this, requiring projects to </w:t>
      </w:r>
      <w:r w:rsidR="00857A3B" w:rsidRPr="000E6ABC">
        <w:rPr>
          <w:rFonts w:ascii="Times New Roman" w:hAnsi="Times New Roman"/>
          <w:color w:val="000000"/>
          <w:sz w:val="24"/>
        </w:rPr>
        <w:t>incorporate</w:t>
      </w:r>
      <w:r w:rsidR="00857A3B">
        <w:rPr>
          <w:rFonts w:ascii="Times New Roman" w:hAnsi="Times New Roman"/>
          <w:color w:val="000000"/>
          <w:sz w:val="24"/>
        </w:rPr>
        <w:t xml:space="preserve"> </w:t>
      </w:r>
      <w:r w:rsidR="00857A3B" w:rsidRPr="000E6ABC">
        <w:rPr>
          <w:rFonts w:ascii="Times New Roman" w:eastAsia="Times New Roman" w:hAnsi="Times New Roman" w:cs="Times New Roman"/>
          <w:color w:val="000000"/>
          <w:sz w:val="24"/>
          <w:szCs w:val="24"/>
          <w:lang w:eastAsia="en-AU"/>
        </w:rPr>
        <w:t xml:space="preserve">construction or enhancement of </w:t>
      </w:r>
      <w:r w:rsidR="00857A3B" w:rsidRPr="000E6ABC">
        <w:rPr>
          <w:rFonts w:ascii="Times New Roman" w:hAnsi="Times New Roman"/>
          <w:color w:val="000000"/>
          <w:sz w:val="24"/>
        </w:rPr>
        <w:t>physical structures</w:t>
      </w:r>
      <w:r w:rsidR="00857A3B" w:rsidRPr="000E6ABC">
        <w:rPr>
          <w:rFonts w:ascii="Times New Roman" w:eastAsia="Times New Roman" w:hAnsi="Times New Roman" w:cs="Times New Roman"/>
          <w:color w:val="000000"/>
          <w:sz w:val="24"/>
          <w:szCs w:val="24"/>
          <w:lang w:eastAsia="en-AU"/>
        </w:rPr>
        <w:t>, assets</w:t>
      </w:r>
      <w:r w:rsidR="004F0129">
        <w:rPr>
          <w:rFonts w:ascii="Times New Roman" w:eastAsia="Times New Roman" w:hAnsi="Times New Roman" w:cs="Times New Roman"/>
          <w:color w:val="000000"/>
          <w:sz w:val="24"/>
          <w:szCs w:val="24"/>
          <w:lang w:eastAsia="en-AU"/>
        </w:rPr>
        <w:t xml:space="preserve"> (including moveable assets)</w:t>
      </w:r>
      <w:r w:rsidR="00857A3B" w:rsidRPr="000E6ABC">
        <w:rPr>
          <w:rFonts w:ascii="Times New Roman" w:eastAsia="Times New Roman" w:hAnsi="Times New Roman" w:cs="Times New Roman"/>
          <w:color w:val="000000"/>
          <w:sz w:val="24"/>
          <w:szCs w:val="24"/>
          <w:lang w:eastAsia="en-AU"/>
        </w:rPr>
        <w:t xml:space="preserve"> or facilities which underpin</w:t>
      </w:r>
      <w:r w:rsidR="00857A3B">
        <w:rPr>
          <w:rFonts w:ascii="Times New Roman" w:eastAsia="Times New Roman" w:hAnsi="Times New Roman" w:cs="Times New Roman"/>
          <w:color w:val="000000"/>
          <w:sz w:val="24"/>
          <w:szCs w:val="24"/>
          <w:lang w:eastAsia="en-AU"/>
        </w:rPr>
        <w:t xml:space="preserve">, </w:t>
      </w:r>
      <w:r w:rsidR="00857A3B" w:rsidRPr="000E6ABC">
        <w:rPr>
          <w:rFonts w:ascii="Times New Roman" w:eastAsia="Times New Roman" w:hAnsi="Times New Roman" w:cs="Times New Roman"/>
          <w:color w:val="000000"/>
          <w:sz w:val="24"/>
          <w:szCs w:val="24"/>
          <w:lang w:eastAsia="en-AU"/>
        </w:rPr>
        <w:t>facilitate or are</w:t>
      </w:r>
      <w:r w:rsidR="00857A3B" w:rsidRPr="000E6ABC">
        <w:rPr>
          <w:rFonts w:ascii="Times New Roman" w:hAnsi="Times New Roman"/>
          <w:color w:val="000000"/>
          <w:sz w:val="24"/>
        </w:rPr>
        <w:t xml:space="preserve"> associated with</w:t>
      </w:r>
      <w:r w:rsidR="00857A3B">
        <w:rPr>
          <w:rFonts w:ascii="Times New Roman" w:hAnsi="Times New Roman"/>
          <w:color w:val="000000"/>
          <w:sz w:val="24"/>
        </w:rPr>
        <w:t xml:space="preserve"> </w:t>
      </w:r>
      <w:r w:rsidR="00857A3B" w:rsidRPr="000E6ABC">
        <w:rPr>
          <w:rFonts w:ascii="Times New Roman" w:hAnsi="Times New Roman"/>
          <w:color w:val="000000"/>
          <w:sz w:val="24"/>
        </w:rPr>
        <w:t xml:space="preserve">the </w:t>
      </w:r>
      <w:r w:rsidR="00857A3B" w:rsidRPr="000E6ABC">
        <w:rPr>
          <w:rFonts w:ascii="Times New Roman" w:eastAsia="Times New Roman" w:hAnsi="Times New Roman" w:cs="Times New Roman"/>
          <w:color w:val="000000"/>
          <w:sz w:val="24"/>
          <w:szCs w:val="24"/>
          <w:lang w:eastAsia="en-AU"/>
        </w:rPr>
        <w:t xml:space="preserve">transport or </w:t>
      </w:r>
      <w:r w:rsidR="00857A3B" w:rsidRPr="000E6ABC">
        <w:rPr>
          <w:rFonts w:ascii="Times New Roman" w:hAnsi="Times New Roman"/>
          <w:color w:val="000000"/>
          <w:sz w:val="24"/>
        </w:rPr>
        <w:t xml:space="preserve">flow of people, goods, services </w:t>
      </w:r>
      <w:r w:rsidR="00857A3B" w:rsidRPr="000E6ABC">
        <w:rPr>
          <w:rFonts w:ascii="Times New Roman" w:eastAsia="Times New Roman" w:hAnsi="Times New Roman" w:cs="Times New Roman"/>
          <w:color w:val="000000"/>
          <w:sz w:val="24"/>
          <w:szCs w:val="24"/>
          <w:lang w:eastAsia="en-AU"/>
        </w:rPr>
        <w:t>or</w:t>
      </w:r>
      <w:r w:rsidR="00857A3B" w:rsidRPr="000E6ABC">
        <w:rPr>
          <w:rFonts w:ascii="Times New Roman" w:hAnsi="Times New Roman"/>
          <w:color w:val="000000"/>
          <w:sz w:val="24"/>
        </w:rPr>
        <w:t xml:space="preserve"> information</w:t>
      </w:r>
      <w:r w:rsidR="00857A3B">
        <w:rPr>
          <w:rFonts w:ascii="Times New Roman" w:hAnsi="Times New Roman"/>
          <w:color w:val="000000"/>
          <w:sz w:val="24"/>
        </w:rPr>
        <w:t xml:space="preserve">, </w:t>
      </w:r>
      <w:r w:rsidR="00857A3B" w:rsidRPr="000E6ABC">
        <w:rPr>
          <w:rFonts w:ascii="Times New Roman" w:eastAsia="Times New Roman" w:hAnsi="Times New Roman" w:cs="Times New Roman"/>
          <w:color w:val="000000"/>
          <w:sz w:val="24"/>
          <w:szCs w:val="24"/>
          <w:lang w:eastAsia="en-AU"/>
        </w:rPr>
        <w:t>the establishment or enhancement of business activity in a region</w:t>
      </w:r>
      <w:r w:rsidR="00857A3B">
        <w:rPr>
          <w:rFonts w:ascii="Times New Roman" w:eastAsia="Times New Roman" w:hAnsi="Times New Roman" w:cs="Times New Roman"/>
          <w:color w:val="000000"/>
          <w:sz w:val="24"/>
          <w:szCs w:val="24"/>
          <w:lang w:eastAsia="en-AU"/>
        </w:rPr>
        <w:t xml:space="preserve">, </w:t>
      </w:r>
      <w:r w:rsidR="00857A3B" w:rsidRPr="000E6ABC">
        <w:rPr>
          <w:rFonts w:ascii="Times New Roman" w:hAnsi="Times New Roman"/>
          <w:color w:val="000000"/>
          <w:sz w:val="24"/>
        </w:rPr>
        <w:t>an increase in economic activity</w:t>
      </w:r>
      <w:r w:rsidR="00857A3B" w:rsidRPr="000E6ABC">
        <w:rPr>
          <w:rFonts w:ascii="Times New Roman" w:eastAsia="Times New Roman" w:hAnsi="Times New Roman" w:cs="Times New Roman"/>
          <w:color w:val="000000"/>
          <w:sz w:val="24"/>
          <w:szCs w:val="24"/>
          <w:lang w:eastAsia="en-AU"/>
        </w:rPr>
        <w:t xml:space="preserve"> in a region</w:t>
      </w:r>
      <w:r w:rsidR="00857A3B">
        <w:rPr>
          <w:rFonts w:ascii="Times New Roman" w:eastAsia="Times New Roman" w:hAnsi="Times New Roman" w:cs="Times New Roman"/>
          <w:color w:val="000000"/>
          <w:sz w:val="24"/>
          <w:szCs w:val="24"/>
          <w:lang w:eastAsia="en-AU"/>
        </w:rPr>
        <w:t xml:space="preserve">, </w:t>
      </w:r>
      <w:r w:rsidR="00857A3B" w:rsidRPr="000E6ABC">
        <w:rPr>
          <w:rFonts w:ascii="Times New Roman" w:hAnsi="Times New Roman"/>
          <w:color w:val="000000"/>
          <w:sz w:val="24"/>
        </w:rPr>
        <w:t xml:space="preserve">including efficiency in developing </w:t>
      </w:r>
      <w:r w:rsidR="00857A3B" w:rsidRPr="000E6ABC">
        <w:rPr>
          <w:rFonts w:ascii="Times New Roman" w:eastAsia="Times New Roman" w:hAnsi="Times New Roman" w:cs="Times New Roman"/>
          <w:color w:val="000000"/>
          <w:sz w:val="24"/>
          <w:szCs w:val="24"/>
          <w:lang w:eastAsia="en-AU"/>
        </w:rPr>
        <w:t>or</w:t>
      </w:r>
      <w:r w:rsidR="00857A3B" w:rsidRPr="000E6ABC">
        <w:rPr>
          <w:rFonts w:ascii="Times New Roman" w:hAnsi="Times New Roman"/>
          <w:color w:val="000000"/>
          <w:sz w:val="24"/>
        </w:rPr>
        <w:t xml:space="preserve"> connecting markets</w:t>
      </w:r>
      <w:r w:rsidR="00857A3B">
        <w:rPr>
          <w:rFonts w:ascii="Times New Roman" w:hAnsi="Times New Roman"/>
          <w:color w:val="000000"/>
          <w:sz w:val="24"/>
        </w:rPr>
        <w:t xml:space="preserve">, or </w:t>
      </w:r>
      <w:r w:rsidR="00857A3B" w:rsidRPr="000E6ABC">
        <w:rPr>
          <w:rFonts w:ascii="Times New Roman" w:eastAsia="Times New Roman" w:hAnsi="Times New Roman" w:cs="Times New Roman"/>
          <w:color w:val="000000"/>
          <w:sz w:val="24"/>
          <w:szCs w:val="24"/>
          <w:lang w:eastAsia="en-AU"/>
        </w:rPr>
        <w:t xml:space="preserve">an increase in </w:t>
      </w:r>
      <w:r w:rsidR="00857A3B" w:rsidRPr="000E6ABC">
        <w:rPr>
          <w:rFonts w:ascii="Times New Roman" w:hAnsi="Times New Roman"/>
          <w:color w:val="000000"/>
          <w:sz w:val="24"/>
        </w:rPr>
        <w:t>population</w:t>
      </w:r>
      <w:r w:rsidR="00857A3B" w:rsidRPr="000E6ABC">
        <w:rPr>
          <w:rFonts w:ascii="Times New Roman" w:eastAsia="Times New Roman" w:hAnsi="Times New Roman" w:cs="Times New Roman"/>
          <w:color w:val="000000"/>
          <w:sz w:val="24"/>
          <w:szCs w:val="24"/>
          <w:lang w:eastAsia="en-AU"/>
        </w:rPr>
        <w:t>.</w:t>
      </w:r>
      <w:r w:rsidR="00857A3B" w:rsidRPr="009D5A03">
        <w:rPr>
          <w:rFonts w:ascii="Times New Roman" w:eastAsia="Times New Roman" w:hAnsi="Times New Roman" w:cs="Times New Roman"/>
          <w:color w:val="000000"/>
          <w:sz w:val="24"/>
          <w:szCs w:val="24"/>
          <w:lang w:eastAsia="en-AU"/>
        </w:rPr>
        <w:t xml:space="preserve"> </w:t>
      </w:r>
      <w:r w:rsidR="00857A3B">
        <w:rPr>
          <w:rFonts w:ascii="Times New Roman" w:eastAsia="Times New Roman" w:hAnsi="Times New Roman" w:cs="Times New Roman"/>
          <w:sz w:val="24"/>
          <w:szCs w:val="24"/>
          <w:lang w:eastAsia="en-AU"/>
        </w:rPr>
        <w:t>Examples of the type of projects that may be eligible include</w:t>
      </w:r>
      <w:r w:rsidR="00B668C3">
        <w:rPr>
          <w:rFonts w:ascii="Times New Roman" w:eastAsia="Times New Roman" w:hAnsi="Times New Roman" w:cs="Times New Roman"/>
          <w:sz w:val="24"/>
          <w:szCs w:val="24"/>
          <w:lang w:eastAsia="en-AU"/>
        </w:rPr>
        <w:t>, but are not limited to</w:t>
      </w:r>
      <w:r w:rsidR="00857A3B">
        <w:rPr>
          <w:rFonts w:ascii="Times New Roman" w:eastAsia="Times New Roman" w:hAnsi="Times New Roman" w:cs="Times New Roman"/>
          <w:sz w:val="24"/>
          <w:szCs w:val="24"/>
          <w:lang w:eastAsia="en-AU"/>
        </w:rPr>
        <w:t xml:space="preserve"> </w:t>
      </w:r>
      <w:r w:rsidR="00DD49EB" w:rsidRPr="00DD49EB">
        <w:rPr>
          <w:rFonts w:ascii="Times New Roman" w:eastAsia="Times New Roman" w:hAnsi="Times New Roman" w:cs="Times New Roman"/>
          <w:sz w:val="24"/>
          <w:szCs w:val="24"/>
          <w:lang w:eastAsia="en-AU"/>
        </w:rPr>
        <w:t xml:space="preserve">ports, airports, rail, roads, water, </w:t>
      </w:r>
      <w:r w:rsidR="0058109E" w:rsidRPr="00DD49EB">
        <w:rPr>
          <w:rFonts w:ascii="Times New Roman" w:eastAsia="Times New Roman" w:hAnsi="Times New Roman" w:cs="Times New Roman"/>
          <w:sz w:val="24"/>
          <w:szCs w:val="24"/>
          <w:lang w:eastAsia="en-AU"/>
        </w:rPr>
        <w:t>energy and communications networks,</w:t>
      </w:r>
      <w:r w:rsidR="0058109E">
        <w:rPr>
          <w:rFonts w:ascii="Times New Roman" w:eastAsia="Times New Roman" w:hAnsi="Times New Roman" w:cs="Times New Roman"/>
          <w:sz w:val="24"/>
          <w:szCs w:val="24"/>
          <w:lang w:eastAsia="en-AU"/>
        </w:rPr>
        <w:t xml:space="preserve"> </w:t>
      </w:r>
      <w:r w:rsidR="00DD49EB" w:rsidRPr="00DD49EB">
        <w:rPr>
          <w:rFonts w:ascii="Times New Roman" w:eastAsia="Times New Roman" w:hAnsi="Times New Roman" w:cs="Times New Roman"/>
          <w:sz w:val="24"/>
          <w:szCs w:val="24"/>
          <w:lang w:eastAsia="en-AU"/>
        </w:rPr>
        <w:t>social infrastructure (including health facilities, education facilities, research facilities, training and related accommodation facilities)</w:t>
      </w:r>
      <w:r w:rsidR="00DD49EB">
        <w:rPr>
          <w:rFonts w:ascii="Times New Roman" w:eastAsia="Times New Roman" w:hAnsi="Times New Roman" w:cs="Times New Roman"/>
          <w:sz w:val="24"/>
          <w:szCs w:val="24"/>
          <w:lang w:eastAsia="en-AU"/>
        </w:rPr>
        <w:t>,</w:t>
      </w:r>
      <w:r w:rsidR="00DD49EB" w:rsidRPr="00DD49EB">
        <w:rPr>
          <w:rFonts w:ascii="Times New Roman" w:eastAsia="Times New Roman" w:hAnsi="Times New Roman" w:cs="Times New Roman"/>
          <w:sz w:val="24"/>
          <w:szCs w:val="24"/>
          <w:lang w:eastAsia="en-AU"/>
        </w:rPr>
        <w:t xml:space="preserve"> processing facilities (including abattoirs and agricultural processing plants) and transhipment vessels</w:t>
      </w:r>
      <w:r w:rsidR="00857A3B">
        <w:rPr>
          <w:rFonts w:ascii="Times New Roman" w:eastAsia="Times New Roman" w:hAnsi="Times New Roman" w:cs="Times New Roman"/>
          <w:sz w:val="24"/>
          <w:szCs w:val="24"/>
          <w:lang w:eastAsia="en-AU"/>
        </w:rPr>
        <w:t>.</w:t>
      </w:r>
    </w:p>
    <w:p w14:paraId="57F9848D" w14:textId="05AC7CFD" w:rsidR="00A009C8" w:rsidRDefault="009F0924" w:rsidP="005823FB">
      <w:pPr>
        <w:spacing w:before="0" w:after="240" w:line="280" w:lineRule="atLeast"/>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Criterion </w:t>
      </w:r>
      <w:r w:rsidR="00EC0068">
        <w:rPr>
          <w:rFonts w:ascii="Times New Roman" w:eastAsia="Times New Roman" w:hAnsi="Times New Roman" w:cs="Times New Roman"/>
          <w:sz w:val="24"/>
          <w:szCs w:val="24"/>
          <w:lang w:eastAsia="en-AU"/>
        </w:rPr>
        <w:t>2</w:t>
      </w:r>
      <w:r w:rsidRPr="00CD57A6">
        <w:rPr>
          <w:rFonts w:ascii="Times New Roman" w:eastAsia="Times New Roman" w:hAnsi="Times New Roman" w:cs="Times New Roman"/>
          <w:sz w:val="24"/>
          <w:szCs w:val="24"/>
          <w:lang w:eastAsia="en-AU"/>
        </w:rPr>
        <w:t xml:space="preserve"> requires that projects will be of public benefit. </w:t>
      </w:r>
      <w:r w:rsidR="00A009C8" w:rsidRPr="00FB4555">
        <w:rPr>
          <w:rFonts w:ascii="Times New Roman" w:eastAsia="Times New Roman" w:hAnsi="Times New Roman" w:cs="Times New Roman"/>
          <w:sz w:val="24"/>
          <w:szCs w:val="24"/>
          <w:lang w:eastAsia="en-AU"/>
        </w:rPr>
        <w:t>I</w:t>
      </w:r>
      <w:r w:rsidR="009214AD" w:rsidRPr="00FB4555">
        <w:rPr>
          <w:rFonts w:ascii="Times New Roman" w:eastAsia="Times New Roman" w:hAnsi="Times New Roman" w:cs="Times New Roman"/>
          <w:sz w:val="24"/>
          <w:szCs w:val="24"/>
          <w:lang w:eastAsia="en-AU"/>
        </w:rPr>
        <w:t>n assessing</w:t>
      </w:r>
      <w:r w:rsidR="00F756CF" w:rsidRPr="00FB4555">
        <w:rPr>
          <w:rFonts w:ascii="Times New Roman" w:eastAsia="Times New Roman" w:hAnsi="Times New Roman" w:cs="Times New Roman"/>
          <w:sz w:val="24"/>
          <w:szCs w:val="24"/>
          <w:lang w:eastAsia="en-AU"/>
        </w:rPr>
        <w:t xml:space="preserve"> a project to be of</w:t>
      </w:r>
      <w:r w:rsidR="009214AD" w:rsidRPr="00FB4555">
        <w:rPr>
          <w:rFonts w:ascii="Times New Roman" w:eastAsia="Times New Roman" w:hAnsi="Times New Roman" w:cs="Times New Roman"/>
          <w:sz w:val="24"/>
          <w:szCs w:val="24"/>
          <w:lang w:eastAsia="en-AU"/>
        </w:rPr>
        <w:t xml:space="preserve"> public benefit, the</w:t>
      </w:r>
      <w:r w:rsidRPr="00FB4555">
        <w:rPr>
          <w:rFonts w:ascii="Times New Roman" w:eastAsia="Times New Roman" w:hAnsi="Times New Roman" w:cs="Times New Roman"/>
          <w:sz w:val="24"/>
          <w:szCs w:val="24"/>
          <w:lang w:eastAsia="en-AU"/>
        </w:rPr>
        <w:t xml:space="preserve"> Board</w:t>
      </w:r>
      <w:r w:rsidR="00B9592D" w:rsidRPr="00FB4555">
        <w:rPr>
          <w:rFonts w:ascii="Times New Roman" w:eastAsia="Times New Roman" w:hAnsi="Times New Roman" w:cs="Times New Roman"/>
          <w:sz w:val="24"/>
          <w:szCs w:val="24"/>
          <w:lang w:eastAsia="en-AU"/>
        </w:rPr>
        <w:t xml:space="preserve"> must be satisfied that the </w:t>
      </w:r>
      <w:r w:rsidR="002836FD">
        <w:rPr>
          <w:rFonts w:ascii="Times New Roman" w:eastAsia="Times New Roman" w:hAnsi="Times New Roman" w:cs="Times New Roman"/>
          <w:sz w:val="24"/>
          <w:szCs w:val="24"/>
          <w:lang w:eastAsia="en-AU"/>
        </w:rPr>
        <w:t xml:space="preserve">project will deliver </w:t>
      </w:r>
      <w:r w:rsidR="00B9592D" w:rsidRPr="00FB4555">
        <w:rPr>
          <w:rFonts w:ascii="Times New Roman" w:eastAsia="Times New Roman" w:hAnsi="Times New Roman" w:cs="Times New Roman"/>
          <w:sz w:val="24"/>
          <w:szCs w:val="24"/>
          <w:lang w:eastAsia="en-AU"/>
        </w:rPr>
        <w:t xml:space="preserve">benefits </w:t>
      </w:r>
      <w:r w:rsidR="002836FD">
        <w:rPr>
          <w:rFonts w:ascii="Times New Roman" w:eastAsia="Times New Roman" w:hAnsi="Times New Roman" w:cs="Times New Roman"/>
          <w:sz w:val="24"/>
          <w:szCs w:val="24"/>
          <w:lang w:eastAsia="en-AU"/>
        </w:rPr>
        <w:t xml:space="preserve">for the </w:t>
      </w:r>
      <w:r w:rsidR="004E7BC3">
        <w:rPr>
          <w:rFonts w:ascii="Times New Roman" w:eastAsia="Times New Roman" w:hAnsi="Times New Roman" w:cs="Times New Roman"/>
          <w:sz w:val="24"/>
          <w:szCs w:val="24"/>
          <w:lang w:eastAsia="en-AU"/>
        </w:rPr>
        <w:t>broader economy</w:t>
      </w:r>
      <w:r w:rsidR="002836FD">
        <w:rPr>
          <w:rFonts w:ascii="Times New Roman" w:eastAsia="Times New Roman" w:hAnsi="Times New Roman" w:cs="Times New Roman"/>
          <w:sz w:val="24"/>
          <w:szCs w:val="24"/>
          <w:lang w:eastAsia="en-AU"/>
        </w:rPr>
        <w:t xml:space="preserve"> and community</w:t>
      </w:r>
      <w:r w:rsidR="00F756CF" w:rsidRPr="00F756CF">
        <w:rPr>
          <w:rFonts w:ascii="Times New Roman" w:eastAsia="Times New Roman" w:hAnsi="Times New Roman" w:cs="Times New Roman"/>
          <w:sz w:val="24"/>
          <w:szCs w:val="24"/>
          <w:lang w:eastAsia="en-AU"/>
        </w:rPr>
        <w:t xml:space="preserve">. </w:t>
      </w:r>
      <w:r w:rsidR="00B9592D">
        <w:rPr>
          <w:rFonts w:ascii="Times New Roman" w:eastAsia="Times New Roman" w:hAnsi="Times New Roman" w:cs="Times New Roman"/>
          <w:sz w:val="24"/>
          <w:szCs w:val="24"/>
          <w:lang w:eastAsia="en-AU"/>
        </w:rPr>
        <w:t>In satisfying this criterion, the Board</w:t>
      </w:r>
      <w:r w:rsidRPr="00CD57A6">
        <w:rPr>
          <w:rFonts w:ascii="Times New Roman" w:eastAsia="Times New Roman" w:hAnsi="Times New Roman" w:cs="Times New Roman"/>
          <w:sz w:val="24"/>
          <w:szCs w:val="24"/>
          <w:lang w:eastAsia="en-AU"/>
        </w:rPr>
        <w:t xml:space="preserve"> </w:t>
      </w:r>
      <w:r w:rsidR="00A009C8">
        <w:rPr>
          <w:rFonts w:ascii="Times New Roman" w:eastAsia="Times New Roman" w:hAnsi="Times New Roman" w:cs="Times New Roman"/>
          <w:sz w:val="24"/>
          <w:szCs w:val="24"/>
          <w:lang w:eastAsia="en-AU"/>
        </w:rPr>
        <w:t xml:space="preserve">may </w:t>
      </w:r>
      <w:r w:rsidR="009214AD">
        <w:rPr>
          <w:rFonts w:ascii="Times New Roman" w:eastAsia="Times New Roman" w:hAnsi="Times New Roman" w:cs="Times New Roman"/>
          <w:sz w:val="24"/>
          <w:szCs w:val="24"/>
          <w:lang w:eastAsia="en-AU"/>
        </w:rPr>
        <w:t>consider whether the Project has the capacity to serve multiple users</w:t>
      </w:r>
      <w:r w:rsidR="00A009C8">
        <w:rPr>
          <w:rFonts w:ascii="Times New Roman" w:eastAsia="Times New Roman" w:hAnsi="Times New Roman" w:cs="Times New Roman"/>
          <w:sz w:val="24"/>
          <w:szCs w:val="24"/>
          <w:lang w:eastAsia="en-AU"/>
        </w:rPr>
        <w:t xml:space="preserve"> </w:t>
      </w:r>
      <w:r w:rsidR="00857A3B" w:rsidRPr="00857A3B">
        <w:rPr>
          <w:rFonts w:ascii="Times New Roman" w:eastAsia="Times New Roman" w:hAnsi="Times New Roman" w:cs="Times New Roman"/>
          <w:sz w:val="24"/>
          <w:szCs w:val="24"/>
          <w:lang w:eastAsia="en-AU"/>
        </w:rPr>
        <w:t>either immediately or during the expected life of the Project</w:t>
      </w:r>
      <w:r w:rsidRPr="00CD57A6">
        <w:rPr>
          <w:rFonts w:ascii="Times New Roman" w:eastAsia="Times New Roman" w:hAnsi="Times New Roman" w:cs="Times New Roman"/>
          <w:sz w:val="24"/>
          <w:szCs w:val="24"/>
          <w:lang w:eastAsia="en-AU"/>
        </w:rPr>
        <w:t>.</w:t>
      </w:r>
      <w:r w:rsidR="00857A3B">
        <w:rPr>
          <w:rFonts w:ascii="Times New Roman" w:eastAsia="Times New Roman" w:hAnsi="Times New Roman" w:cs="Times New Roman"/>
          <w:sz w:val="24"/>
          <w:szCs w:val="24"/>
          <w:lang w:eastAsia="en-AU"/>
        </w:rPr>
        <w:t xml:space="preserve"> </w:t>
      </w:r>
    </w:p>
    <w:p w14:paraId="64320195" w14:textId="77777777" w:rsidR="00F756CF" w:rsidRDefault="00F756CF" w:rsidP="00F756CF">
      <w:pPr>
        <w:spacing w:before="0" w:after="240" w:line="28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w:t>
      </w:r>
      <w:r w:rsidRPr="00CD57A6">
        <w:rPr>
          <w:rFonts w:ascii="Times New Roman" w:eastAsia="Times New Roman" w:hAnsi="Times New Roman" w:cs="Times New Roman"/>
          <w:sz w:val="24"/>
          <w:szCs w:val="24"/>
          <w:lang w:eastAsia="en-AU"/>
        </w:rPr>
        <w:t>riterion </w:t>
      </w:r>
      <w:r>
        <w:rPr>
          <w:rFonts w:ascii="Times New Roman" w:eastAsia="Times New Roman" w:hAnsi="Times New Roman" w:cs="Times New Roman"/>
          <w:sz w:val="24"/>
          <w:szCs w:val="24"/>
          <w:lang w:eastAsia="en-AU"/>
        </w:rPr>
        <w:t>3</w:t>
      </w:r>
      <w:r w:rsidRPr="00CD57A6">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requires that the Project be located in or have a significant benefit for Northern Australia. </w:t>
      </w:r>
    </w:p>
    <w:p w14:paraId="78C2268C" w14:textId="2C991179" w:rsidR="00A009C8" w:rsidRDefault="00857A3B" w:rsidP="005823FB">
      <w:pPr>
        <w:spacing w:before="0" w:after="240" w:line="28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w:t>
      </w:r>
      <w:r w:rsidR="00A009C8" w:rsidRPr="00CD57A6">
        <w:rPr>
          <w:rFonts w:ascii="Times New Roman" w:eastAsia="Times New Roman" w:hAnsi="Times New Roman" w:cs="Times New Roman"/>
          <w:sz w:val="24"/>
          <w:szCs w:val="24"/>
          <w:lang w:eastAsia="en-AU"/>
        </w:rPr>
        <w:t>riterion </w:t>
      </w:r>
      <w:r w:rsidR="00A009C8">
        <w:rPr>
          <w:rFonts w:ascii="Times New Roman" w:eastAsia="Times New Roman" w:hAnsi="Times New Roman" w:cs="Times New Roman"/>
          <w:sz w:val="24"/>
          <w:szCs w:val="24"/>
          <w:lang w:eastAsia="en-AU"/>
        </w:rPr>
        <w:t>4</w:t>
      </w:r>
      <w:r w:rsidR="00A009C8" w:rsidRPr="00CD57A6">
        <w:rPr>
          <w:rFonts w:ascii="Times New Roman" w:eastAsia="Times New Roman" w:hAnsi="Times New Roman" w:cs="Times New Roman"/>
          <w:sz w:val="24"/>
          <w:szCs w:val="24"/>
          <w:lang w:eastAsia="en-AU"/>
        </w:rPr>
        <w:t xml:space="preserve"> requires that the </w:t>
      </w:r>
      <w:r>
        <w:rPr>
          <w:rFonts w:ascii="Times New Roman" w:eastAsia="Times New Roman" w:hAnsi="Times New Roman" w:cs="Times New Roman"/>
          <w:sz w:val="24"/>
          <w:szCs w:val="24"/>
          <w:lang w:eastAsia="en-AU"/>
        </w:rPr>
        <w:t>B</w:t>
      </w:r>
      <w:r w:rsidR="00A009C8">
        <w:rPr>
          <w:rFonts w:ascii="Times New Roman" w:eastAsia="Times New Roman" w:hAnsi="Times New Roman" w:cs="Times New Roman"/>
          <w:sz w:val="24"/>
          <w:szCs w:val="24"/>
          <w:lang w:eastAsia="en-AU"/>
        </w:rPr>
        <w:t xml:space="preserve">oard be satisfied that the loan will </w:t>
      </w:r>
      <w:r w:rsidR="004F0129">
        <w:rPr>
          <w:rFonts w:ascii="Times New Roman" w:eastAsia="Times New Roman" w:hAnsi="Times New Roman" w:cs="Times New Roman"/>
          <w:sz w:val="24"/>
          <w:szCs w:val="24"/>
          <w:lang w:eastAsia="en-AU"/>
        </w:rPr>
        <w:t xml:space="preserve">be able to </w:t>
      </w:r>
      <w:r w:rsidR="00A009C8">
        <w:rPr>
          <w:rFonts w:ascii="Times New Roman" w:eastAsia="Times New Roman" w:hAnsi="Times New Roman" w:cs="Times New Roman"/>
          <w:sz w:val="24"/>
          <w:szCs w:val="24"/>
          <w:lang w:eastAsia="en-AU"/>
        </w:rPr>
        <w:t xml:space="preserve">be repaid or refinanced. </w:t>
      </w:r>
      <w:r w:rsidR="001523F2" w:rsidRPr="00CD57A6">
        <w:rPr>
          <w:rFonts w:ascii="Times New Roman" w:eastAsia="Times New Roman" w:hAnsi="Times New Roman" w:cs="Times New Roman"/>
          <w:sz w:val="24"/>
          <w:szCs w:val="24"/>
          <w:lang w:eastAsia="en-AU"/>
        </w:rPr>
        <w:t xml:space="preserve">The purpose of this </w:t>
      </w:r>
      <w:r w:rsidR="001523F2">
        <w:rPr>
          <w:rFonts w:ascii="Times New Roman" w:eastAsia="Times New Roman" w:hAnsi="Times New Roman" w:cs="Times New Roman"/>
          <w:sz w:val="24"/>
          <w:szCs w:val="24"/>
          <w:lang w:eastAsia="en-AU"/>
        </w:rPr>
        <w:t>Criterion</w:t>
      </w:r>
      <w:r w:rsidR="001523F2" w:rsidRPr="00CD57A6">
        <w:rPr>
          <w:rFonts w:ascii="Times New Roman" w:eastAsia="Times New Roman" w:hAnsi="Times New Roman" w:cs="Times New Roman"/>
          <w:sz w:val="24"/>
          <w:szCs w:val="24"/>
          <w:lang w:eastAsia="en-AU"/>
        </w:rPr>
        <w:t xml:space="preserve"> is to ensure that </w:t>
      </w:r>
      <w:r>
        <w:rPr>
          <w:rFonts w:ascii="Times New Roman" w:eastAsia="Times New Roman" w:hAnsi="Times New Roman" w:cs="Times New Roman"/>
          <w:sz w:val="24"/>
          <w:szCs w:val="24"/>
          <w:lang w:eastAsia="en-AU"/>
        </w:rPr>
        <w:t xml:space="preserve">prior to an Investment Decision </w:t>
      </w:r>
      <w:r w:rsidR="001523F2" w:rsidRPr="00CD57A6">
        <w:rPr>
          <w:rFonts w:ascii="Times New Roman" w:eastAsia="Times New Roman" w:hAnsi="Times New Roman" w:cs="Times New Roman"/>
          <w:sz w:val="24"/>
          <w:szCs w:val="24"/>
          <w:lang w:eastAsia="en-AU"/>
        </w:rPr>
        <w:t>the Project Proponent demonstrates to the Board</w:t>
      </w:r>
      <w:r>
        <w:rPr>
          <w:rFonts w:ascii="Times New Roman" w:eastAsia="Times New Roman" w:hAnsi="Times New Roman" w:cs="Times New Roman"/>
          <w:sz w:val="24"/>
          <w:szCs w:val="24"/>
          <w:lang w:eastAsia="en-AU"/>
        </w:rPr>
        <w:t xml:space="preserve">, through comprehensive financial modelling, </w:t>
      </w:r>
      <w:r w:rsidR="001523F2" w:rsidRPr="00CD57A6">
        <w:rPr>
          <w:rFonts w:ascii="Times New Roman" w:eastAsia="Times New Roman" w:hAnsi="Times New Roman" w:cs="Times New Roman"/>
          <w:sz w:val="24"/>
          <w:szCs w:val="24"/>
          <w:lang w:eastAsia="en-AU"/>
        </w:rPr>
        <w:t xml:space="preserve">its ability to repay </w:t>
      </w:r>
      <w:r w:rsidR="001523F2">
        <w:rPr>
          <w:rFonts w:ascii="Times New Roman" w:eastAsia="Times New Roman" w:hAnsi="Times New Roman" w:cs="Times New Roman"/>
          <w:sz w:val="24"/>
          <w:szCs w:val="24"/>
          <w:lang w:eastAsia="en-AU"/>
        </w:rPr>
        <w:t xml:space="preserve">or </w:t>
      </w:r>
      <w:r w:rsidR="00B9592D">
        <w:rPr>
          <w:rFonts w:ascii="Times New Roman" w:eastAsia="Times New Roman" w:hAnsi="Times New Roman" w:cs="Times New Roman"/>
          <w:sz w:val="24"/>
          <w:szCs w:val="24"/>
          <w:lang w:eastAsia="en-AU"/>
        </w:rPr>
        <w:t>re</w:t>
      </w:r>
      <w:r w:rsidR="001523F2">
        <w:rPr>
          <w:rFonts w:ascii="Times New Roman" w:eastAsia="Times New Roman" w:hAnsi="Times New Roman" w:cs="Times New Roman"/>
          <w:sz w:val="24"/>
          <w:szCs w:val="24"/>
          <w:lang w:eastAsia="en-AU"/>
        </w:rPr>
        <w:t xml:space="preserve">finance </w:t>
      </w:r>
      <w:r w:rsidR="001523F2" w:rsidRPr="00CD57A6">
        <w:rPr>
          <w:rFonts w:ascii="Times New Roman" w:eastAsia="Times New Roman" w:hAnsi="Times New Roman" w:cs="Times New Roman"/>
          <w:sz w:val="24"/>
          <w:szCs w:val="24"/>
          <w:lang w:eastAsia="en-AU"/>
        </w:rPr>
        <w:t>the debt</w:t>
      </w:r>
      <w:r w:rsidR="00F756CF">
        <w:rPr>
          <w:rFonts w:ascii="Times New Roman" w:eastAsia="Times New Roman" w:hAnsi="Times New Roman" w:cs="Times New Roman"/>
          <w:sz w:val="24"/>
          <w:szCs w:val="24"/>
          <w:lang w:eastAsia="en-AU"/>
        </w:rPr>
        <w:t xml:space="preserve"> as set out in the proposed contract terms</w:t>
      </w:r>
      <w:r w:rsidR="001523F2" w:rsidRPr="00CD57A6">
        <w:rPr>
          <w:rFonts w:ascii="Times New Roman" w:eastAsia="Times New Roman" w:hAnsi="Times New Roman" w:cs="Times New Roman"/>
          <w:sz w:val="24"/>
          <w:szCs w:val="24"/>
          <w:lang w:eastAsia="en-AU"/>
        </w:rPr>
        <w:t xml:space="preserve"> to the Facility in full.</w:t>
      </w:r>
    </w:p>
    <w:p w14:paraId="7C886099" w14:textId="1888AC11" w:rsidR="001523F2" w:rsidRDefault="00F756CF" w:rsidP="005823FB">
      <w:pPr>
        <w:spacing w:before="0" w:after="240" w:line="28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w:t>
      </w:r>
      <w:r w:rsidR="001523F2">
        <w:rPr>
          <w:rFonts w:ascii="Times New Roman" w:eastAsia="Times New Roman" w:hAnsi="Times New Roman" w:cs="Times New Roman"/>
          <w:sz w:val="24"/>
          <w:szCs w:val="24"/>
          <w:lang w:eastAsia="en-AU"/>
        </w:rPr>
        <w:t>riterion 5 requires Project Proponents to have an Indigenous engagement strategy.</w:t>
      </w:r>
    </w:p>
    <w:p w14:paraId="33CA905E" w14:textId="627F9176" w:rsidR="009F0924" w:rsidRPr="00CD57A6" w:rsidRDefault="009F0924" w:rsidP="005823FB">
      <w:pPr>
        <w:spacing w:before="0" w:after="240" w:line="280" w:lineRule="atLeast"/>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In addition to the </w:t>
      </w:r>
      <w:r w:rsidR="001523F2">
        <w:rPr>
          <w:rFonts w:ascii="Times New Roman" w:eastAsia="Times New Roman" w:hAnsi="Times New Roman" w:cs="Times New Roman"/>
          <w:sz w:val="24"/>
          <w:szCs w:val="24"/>
          <w:lang w:eastAsia="en-AU"/>
        </w:rPr>
        <w:t xml:space="preserve">Mandatory Criteria, paragraph </w:t>
      </w:r>
      <w:r w:rsidRPr="00CD57A6">
        <w:rPr>
          <w:rFonts w:ascii="Times New Roman" w:eastAsia="Times New Roman" w:hAnsi="Times New Roman" w:cs="Times New Roman"/>
          <w:sz w:val="24"/>
          <w:szCs w:val="24"/>
          <w:lang w:eastAsia="en-AU"/>
        </w:rPr>
        <w:t>7(</w:t>
      </w:r>
      <w:r w:rsidR="00857A3B">
        <w:rPr>
          <w:rFonts w:ascii="Times New Roman" w:eastAsia="Times New Roman" w:hAnsi="Times New Roman" w:cs="Times New Roman"/>
          <w:sz w:val="24"/>
          <w:szCs w:val="24"/>
          <w:lang w:eastAsia="en-AU"/>
        </w:rPr>
        <w:t>1</w:t>
      </w:r>
      <w:r w:rsidRPr="00CD57A6">
        <w:rPr>
          <w:rFonts w:ascii="Times New Roman" w:eastAsia="Times New Roman" w:hAnsi="Times New Roman" w:cs="Times New Roman"/>
          <w:sz w:val="24"/>
          <w:szCs w:val="24"/>
          <w:lang w:eastAsia="en-AU"/>
        </w:rPr>
        <w:t>)(</w:t>
      </w:r>
      <w:r w:rsidR="00857A3B">
        <w:rPr>
          <w:rFonts w:ascii="Times New Roman" w:eastAsia="Times New Roman" w:hAnsi="Times New Roman" w:cs="Times New Roman"/>
          <w:sz w:val="24"/>
          <w:szCs w:val="24"/>
          <w:lang w:eastAsia="en-AU"/>
        </w:rPr>
        <w:t>b</w:t>
      </w:r>
      <w:r w:rsidRPr="00CD57A6">
        <w:rPr>
          <w:rFonts w:ascii="Times New Roman" w:eastAsia="Times New Roman" w:hAnsi="Times New Roman" w:cs="Times New Roman"/>
          <w:sz w:val="24"/>
          <w:szCs w:val="24"/>
          <w:lang w:eastAsia="en-AU"/>
        </w:rPr>
        <w:t xml:space="preserve">) </w:t>
      </w:r>
      <w:r w:rsidR="001523F2">
        <w:rPr>
          <w:rFonts w:ascii="Times New Roman" w:eastAsia="Times New Roman" w:hAnsi="Times New Roman" w:cs="Times New Roman"/>
          <w:sz w:val="24"/>
          <w:szCs w:val="24"/>
          <w:lang w:eastAsia="en-AU"/>
        </w:rPr>
        <w:t xml:space="preserve">requires </w:t>
      </w:r>
      <w:r w:rsidRPr="00CD57A6">
        <w:rPr>
          <w:rFonts w:ascii="Times New Roman" w:eastAsia="Times New Roman" w:hAnsi="Times New Roman" w:cs="Times New Roman"/>
          <w:sz w:val="24"/>
          <w:szCs w:val="24"/>
          <w:lang w:eastAsia="en-AU"/>
        </w:rPr>
        <w:t xml:space="preserve">that any return on the Facility’s investment </w:t>
      </w:r>
      <w:r w:rsidR="00EE7D76">
        <w:rPr>
          <w:rFonts w:ascii="Times New Roman" w:eastAsia="Times New Roman" w:hAnsi="Times New Roman" w:cs="Times New Roman"/>
          <w:sz w:val="24"/>
          <w:szCs w:val="24"/>
          <w:lang w:eastAsia="en-AU"/>
        </w:rPr>
        <w:t>will</w:t>
      </w:r>
      <w:r w:rsidRPr="00CD57A6">
        <w:rPr>
          <w:rFonts w:ascii="Times New Roman" w:eastAsia="Times New Roman" w:hAnsi="Times New Roman" w:cs="Times New Roman"/>
          <w:sz w:val="24"/>
          <w:szCs w:val="24"/>
          <w:lang w:eastAsia="en-AU"/>
        </w:rPr>
        <w:t xml:space="preserve"> cover at least the Facility’s administrative costs and the Commonwealth’s cost of borrowing</w:t>
      </w:r>
      <w:r w:rsidR="001523F2">
        <w:rPr>
          <w:rFonts w:ascii="Times New Roman" w:eastAsia="Times New Roman" w:hAnsi="Times New Roman" w:cs="Times New Roman"/>
          <w:sz w:val="24"/>
          <w:szCs w:val="24"/>
          <w:lang w:eastAsia="en-AU"/>
        </w:rPr>
        <w:t xml:space="preserve">, which </w:t>
      </w:r>
      <w:r w:rsidRPr="00CD57A6">
        <w:rPr>
          <w:rFonts w:ascii="Times New Roman" w:eastAsia="Times New Roman" w:hAnsi="Times New Roman" w:cs="Times New Roman"/>
          <w:sz w:val="24"/>
          <w:szCs w:val="24"/>
          <w:lang w:eastAsia="en-AU"/>
        </w:rPr>
        <w:t xml:space="preserve">may include </w:t>
      </w:r>
      <w:r>
        <w:rPr>
          <w:rFonts w:ascii="Times New Roman" w:eastAsia="Times New Roman" w:hAnsi="Times New Roman" w:cs="Times New Roman"/>
          <w:sz w:val="24"/>
          <w:szCs w:val="24"/>
          <w:lang w:eastAsia="en-AU"/>
        </w:rPr>
        <w:t>a risk premium.</w:t>
      </w:r>
    </w:p>
    <w:p w14:paraId="7D113079" w14:textId="6EFCFAE6" w:rsidR="009F0924" w:rsidRPr="00CD57A6" w:rsidRDefault="009F0924" w:rsidP="005823FB">
      <w:pPr>
        <w:spacing w:before="0" w:after="240" w:line="280" w:lineRule="atLeast"/>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Sub</w:t>
      </w:r>
      <w:r w:rsidR="006D68B2">
        <w:rPr>
          <w:rFonts w:ascii="Times New Roman" w:eastAsia="Times New Roman" w:hAnsi="Times New Roman" w:cs="Times New Roman"/>
          <w:sz w:val="24"/>
          <w:szCs w:val="24"/>
          <w:lang w:eastAsia="en-AU"/>
        </w:rPr>
        <w:t>section</w:t>
      </w:r>
      <w:r w:rsidRPr="00CD57A6">
        <w:rPr>
          <w:rFonts w:ascii="Times New Roman" w:eastAsia="Times New Roman" w:hAnsi="Times New Roman" w:cs="Times New Roman"/>
          <w:sz w:val="24"/>
          <w:szCs w:val="24"/>
          <w:lang w:eastAsia="en-AU"/>
        </w:rPr>
        <w:t xml:space="preserve"> 7(</w:t>
      </w:r>
      <w:r w:rsidR="001523F2">
        <w:rPr>
          <w:rFonts w:ascii="Times New Roman" w:eastAsia="Times New Roman" w:hAnsi="Times New Roman" w:cs="Times New Roman"/>
          <w:sz w:val="24"/>
          <w:szCs w:val="24"/>
          <w:lang w:eastAsia="en-AU"/>
        </w:rPr>
        <w:t>2</w:t>
      </w:r>
      <w:r w:rsidRPr="00CD57A6">
        <w:rPr>
          <w:rFonts w:ascii="Times New Roman" w:eastAsia="Times New Roman" w:hAnsi="Times New Roman" w:cs="Times New Roman"/>
          <w:sz w:val="24"/>
          <w:szCs w:val="24"/>
          <w:lang w:eastAsia="en-AU"/>
        </w:rPr>
        <w:t xml:space="preserve">) sets out the matters that the Board must have regard to when making Investment Decisions. </w:t>
      </w:r>
    </w:p>
    <w:p w14:paraId="4870F43A" w14:textId="572CA307" w:rsidR="009F0924" w:rsidRPr="00CD57A6" w:rsidRDefault="00CC1C38" w:rsidP="005823FB">
      <w:pPr>
        <w:spacing w:before="0" w:after="240" w:line="28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w:t>
      </w:r>
      <w:r w:rsidR="009F0924" w:rsidRPr="00CD57A6">
        <w:rPr>
          <w:rFonts w:ascii="Times New Roman" w:eastAsia="Times New Roman" w:hAnsi="Times New Roman" w:cs="Times New Roman"/>
          <w:sz w:val="24"/>
          <w:szCs w:val="24"/>
          <w:lang w:eastAsia="en-AU"/>
        </w:rPr>
        <w:t>aragraph 7(</w:t>
      </w:r>
      <w:r w:rsidR="005C308A">
        <w:rPr>
          <w:rFonts w:ascii="Times New Roman" w:eastAsia="Times New Roman" w:hAnsi="Times New Roman" w:cs="Times New Roman"/>
          <w:sz w:val="24"/>
          <w:szCs w:val="24"/>
          <w:lang w:eastAsia="en-AU"/>
        </w:rPr>
        <w:t>2</w:t>
      </w:r>
      <w:r w:rsidR="009F0924" w:rsidRPr="00CD57A6">
        <w:rPr>
          <w:rFonts w:ascii="Times New Roman" w:eastAsia="Times New Roman" w:hAnsi="Times New Roman" w:cs="Times New Roman"/>
          <w:sz w:val="24"/>
          <w:szCs w:val="24"/>
          <w:lang w:eastAsia="en-AU"/>
        </w:rPr>
        <w:t>)(</w:t>
      </w:r>
      <w:r w:rsidR="001523F2">
        <w:rPr>
          <w:rFonts w:ascii="Times New Roman" w:eastAsia="Times New Roman" w:hAnsi="Times New Roman" w:cs="Times New Roman"/>
          <w:sz w:val="24"/>
          <w:szCs w:val="24"/>
          <w:lang w:eastAsia="en-AU"/>
        </w:rPr>
        <w:t>a</w:t>
      </w:r>
      <w:r w:rsidR="009F0924" w:rsidRPr="00CD57A6">
        <w:rPr>
          <w:rFonts w:ascii="Times New Roman" w:eastAsia="Times New Roman" w:hAnsi="Times New Roman" w:cs="Times New Roman"/>
          <w:sz w:val="24"/>
          <w:szCs w:val="24"/>
          <w:lang w:eastAsia="en-AU"/>
        </w:rPr>
        <w:t xml:space="preserve">) provides that these matters include the extent of any concessions that can be offered under </w:t>
      </w:r>
      <w:r w:rsidR="006D68B2">
        <w:rPr>
          <w:rFonts w:ascii="Times New Roman" w:eastAsia="Times New Roman" w:hAnsi="Times New Roman" w:cs="Times New Roman"/>
          <w:sz w:val="24"/>
          <w:szCs w:val="24"/>
          <w:lang w:eastAsia="en-AU"/>
        </w:rPr>
        <w:t>section</w:t>
      </w:r>
      <w:r w:rsidR="009F0924" w:rsidRPr="00CD57A6">
        <w:rPr>
          <w:rFonts w:ascii="Times New Roman" w:eastAsia="Times New Roman" w:hAnsi="Times New Roman" w:cs="Times New Roman"/>
          <w:sz w:val="24"/>
          <w:szCs w:val="24"/>
          <w:lang w:eastAsia="en-AU"/>
        </w:rPr>
        <w:t xml:space="preserve"> 9 of the </w:t>
      </w:r>
      <w:r w:rsidR="00B31E3E">
        <w:rPr>
          <w:rFonts w:ascii="Times New Roman" w:eastAsia="Times New Roman" w:hAnsi="Times New Roman" w:cs="Times New Roman"/>
          <w:sz w:val="24"/>
          <w:szCs w:val="24"/>
          <w:lang w:eastAsia="en-AU"/>
        </w:rPr>
        <w:t>Direction</w:t>
      </w:r>
      <w:r w:rsidR="009F0924" w:rsidRPr="00CD57A6">
        <w:rPr>
          <w:rFonts w:ascii="Times New Roman" w:eastAsia="Times New Roman" w:hAnsi="Times New Roman" w:cs="Times New Roman"/>
          <w:sz w:val="24"/>
          <w:szCs w:val="24"/>
          <w:lang w:eastAsia="en-AU"/>
        </w:rPr>
        <w:t xml:space="preserve">. </w:t>
      </w:r>
    </w:p>
    <w:p w14:paraId="30562971" w14:textId="1EBDF860" w:rsidR="009F0924" w:rsidRPr="009F0924" w:rsidRDefault="00CC1C38" w:rsidP="005823FB">
      <w:pPr>
        <w:spacing w:before="0" w:after="240" w:line="28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w:t>
      </w:r>
      <w:r w:rsidR="009F0924" w:rsidRPr="009F0924">
        <w:rPr>
          <w:rFonts w:ascii="Times New Roman" w:eastAsia="Times New Roman" w:hAnsi="Times New Roman" w:cs="Times New Roman"/>
          <w:sz w:val="24"/>
          <w:szCs w:val="24"/>
          <w:lang w:eastAsia="en-AU"/>
        </w:rPr>
        <w:t>aragraph 7(</w:t>
      </w:r>
      <w:r w:rsidR="005C308A">
        <w:rPr>
          <w:rFonts w:ascii="Times New Roman" w:eastAsia="Times New Roman" w:hAnsi="Times New Roman" w:cs="Times New Roman"/>
          <w:sz w:val="24"/>
          <w:szCs w:val="24"/>
          <w:lang w:eastAsia="en-AU"/>
        </w:rPr>
        <w:t>2</w:t>
      </w:r>
      <w:r w:rsidR="009F0924" w:rsidRPr="009F0924">
        <w:rPr>
          <w:rFonts w:ascii="Times New Roman" w:eastAsia="Times New Roman" w:hAnsi="Times New Roman" w:cs="Times New Roman"/>
          <w:sz w:val="24"/>
          <w:szCs w:val="24"/>
          <w:lang w:eastAsia="en-AU"/>
        </w:rPr>
        <w:t>)(</w:t>
      </w:r>
      <w:r w:rsidR="001523F2">
        <w:rPr>
          <w:rFonts w:ascii="Times New Roman" w:eastAsia="Times New Roman" w:hAnsi="Times New Roman" w:cs="Times New Roman"/>
          <w:sz w:val="24"/>
          <w:szCs w:val="24"/>
          <w:lang w:eastAsia="en-AU"/>
        </w:rPr>
        <w:t>b</w:t>
      </w:r>
      <w:r w:rsidR="009F0924" w:rsidRPr="009F0924">
        <w:rPr>
          <w:rFonts w:ascii="Times New Roman" w:eastAsia="Times New Roman" w:hAnsi="Times New Roman" w:cs="Times New Roman"/>
          <w:sz w:val="24"/>
          <w:szCs w:val="24"/>
          <w:lang w:eastAsia="en-AU"/>
        </w:rPr>
        <w:t xml:space="preserve">) requires the Board to </w:t>
      </w:r>
      <w:r w:rsidR="007E200C">
        <w:rPr>
          <w:rFonts w:ascii="Times New Roman" w:eastAsia="Times New Roman" w:hAnsi="Times New Roman" w:cs="Times New Roman"/>
          <w:sz w:val="24"/>
          <w:szCs w:val="24"/>
          <w:lang w:eastAsia="en-AU"/>
        </w:rPr>
        <w:t xml:space="preserve">have regard to </w:t>
      </w:r>
      <w:r w:rsidR="009F0924" w:rsidRPr="009F0924">
        <w:rPr>
          <w:rFonts w:ascii="Times New Roman" w:eastAsia="Times New Roman" w:hAnsi="Times New Roman" w:cs="Times New Roman"/>
          <w:sz w:val="24"/>
          <w:szCs w:val="24"/>
          <w:lang w:eastAsia="en-AU"/>
        </w:rPr>
        <w:t xml:space="preserve">the </w:t>
      </w:r>
      <w:r w:rsidR="007E200C">
        <w:rPr>
          <w:rFonts w:ascii="Times New Roman" w:eastAsia="Times New Roman" w:hAnsi="Times New Roman" w:cs="Times New Roman"/>
          <w:sz w:val="24"/>
          <w:szCs w:val="24"/>
          <w:lang w:eastAsia="en-AU"/>
        </w:rPr>
        <w:t>potential effect</w:t>
      </w:r>
      <w:r w:rsidR="007E200C" w:rsidRPr="009F0924">
        <w:rPr>
          <w:rFonts w:ascii="Times New Roman" w:eastAsia="Times New Roman" w:hAnsi="Times New Roman" w:cs="Times New Roman"/>
          <w:sz w:val="24"/>
          <w:szCs w:val="24"/>
          <w:lang w:eastAsia="en-AU"/>
        </w:rPr>
        <w:t xml:space="preserve"> </w:t>
      </w:r>
      <w:r w:rsidR="009F0924" w:rsidRPr="009F0924">
        <w:rPr>
          <w:rFonts w:ascii="Times New Roman" w:eastAsia="Times New Roman" w:hAnsi="Times New Roman" w:cs="Times New Roman"/>
          <w:sz w:val="24"/>
          <w:szCs w:val="24"/>
          <w:lang w:eastAsia="en-AU"/>
        </w:rPr>
        <w:t xml:space="preserve">of the </w:t>
      </w:r>
      <w:r w:rsidR="007E200C">
        <w:rPr>
          <w:rFonts w:ascii="Times New Roman" w:eastAsia="Times New Roman" w:hAnsi="Times New Roman" w:cs="Times New Roman"/>
          <w:sz w:val="24"/>
          <w:szCs w:val="24"/>
          <w:lang w:eastAsia="en-AU"/>
        </w:rPr>
        <w:t>project</w:t>
      </w:r>
      <w:r w:rsidR="009F0924" w:rsidRPr="009F0924">
        <w:rPr>
          <w:rFonts w:ascii="Times New Roman" w:eastAsia="Times New Roman" w:hAnsi="Times New Roman" w:cs="Times New Roman"/>
          <w:sz w:val="24"/>
          <w:szCs w:val="24"/>
          <w:lang w:eastAsia="en-AU"/>
        </w:rPr>
        <w:t xml:space="preserve"> on other infrastructure in the region, both existing and planned. For example, if for a particular Project to proceed other infrastructure in the region of the Project would be required to be upgraded, (such as roads, telecommunications and rail lines), then the Board should consider these circumstances in making that Investment Decision.</w:t>
      </w:r>
    </w:p>
    <w:p w14:paraId="74809BC1" w14:textId="7CA50A00" w:rsidR="009F0924" w:rsidRPr="009F0924" w:rsidRDefault="00CC1C38" w:rsidP="005823FB">
      <w:pPr>
        <w:spacing w:before="0" w:after="240" w:line="28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w:t>
      </w:r>
      <w:r w:rsidR="009F0924" w:rsidRPr="009F0924">
        <w:rPr>
          <w:rFonts w:ascii="Times New Roman" w:eastAsia="Times New Roman" w:hAnsi="Times New Roman" w:cs="Times New Roman"/>
          <w:sz w:val="24"/>
          <w:szCs w:val="24"/>
          <w:lang w:eastAsia="en-AU"/>
        </w:rPr>
        <w:t>aragraph 7(</w:t>
      </w:r>
      <w:r w:rsidR="005C308A">
        <w:rPr>
          <w:rFonts w:ascii="Times New Roman" w:eastAsia="Times New Roman" w:hAnsi="Times New Roman" w:cs="Times New Roman"/>
          <w:sz w:val="24"/>
          <w:szCs w:val="24"/>
          <w:lang w:eastAsia="en-AU"/>
        </w:rPr>
        <w:t>2</w:t>
      </w:r>
      <w:r w:rsidR="009F0924" w:rsidRPr="009F0924">
        <w:rPr>
          <w:rFonts w:ascii="Times New Roman" w:eastAsia="Times New Roman" w:hAnsi="Times New Roman" w:cs="Times New Roman"/>
          <w:sz w:val="24"/>
          <w:szCs w:val="24"/>
          <w:lang w:eastAsia="en-AU"/>
        </w:rPr>
        <w:t>)(</w:t>
      </w:r>
      <w:r w:rsidR="001523F2">
        <w:rPr>
          <w:rFonts w:ascii="Times New Roman" w:eastAsia="Times New Roman" w:hAnsi="Times New Roman" w:cs="Times New Roman"/>
          <w:sz w:val="24"/>
          <w:szCs w:val="24"/>
          <w:lang w:eastAsia="en-AU"/>
        </w:rPr>
        <w:t>c</w:t>
      </w:r>
      <w:r w:rsidR="009F0924" w:rsidRPr="009F0924">
        <w:rPr>
          <w:rFonts w:ascii="Times New Roman" w:eastAsia="Times New Roman" w:hAnsi="Times New Roman" w:cs="Times New Roman"/>
          <w:sz w:val="24"/>
          <w:szCs w:val="24"/>
          <w:lang w:eastAsia="en-AU"/>
        </w:rPr>
        <w:t xml:space="preserve">) requires the Board to </w:t>
      </w:r>
      <w:r w:rsidR="007E200C">
        <w:rPr>
          <w:rFonts w:ascii="Times New Roman" w:eastAsia="Times New Roman" w:hAnsi="Times New Roman" w:cs="Times New Roman"/>
          <w:sz w:val="24"/>
          <w:szCs w:val="24"/>
          <w:lang w:eastAsia="en-AU"/>
        </w:rPr>
        <w:t xml:space="preserve">have regard to </w:t>
      </w:r>
      <w:r w:rsidR="009F0924" w:rsidRPr="009F0924">
        <w:rPr>
          <w:rFonts w:ascii="Times New Roman" w:eastAsia="Times New Roman" w:hAnsi="Times New Roman" w:cs="Times New Roman"/>
          <w:sz w:val="24"/>
          <w:szCs w:val="24"/>
          <w:lang w:eastAsia="en-AU"/>
        </w:rPr>
        <w:t xml:space="preserve">the effects of the Financing Mechanism on the </w:t>
      </w:r>
      <w:r w:rsidR="007E200C">
        <w:rPr>
          <w:rFonts w:ascii="Times New Roman" w:eastAsia="Times New Roman" w:hAnsi="Times New Roman" w:cs="Times New Roman"/>
          <w:sz w:val="24"/>
          <w:szCs w:val="24"/>
          <w:lang w:eastAsia="en-AU"/>
        </w:rPr>
        <w:t xml:space="preserve">Australian infrastructure financing </w:t>
      </w:r>
      <w:r w:rsidR="009F0924" w:rsidRPr="009F0924">
        <w:rPr>
          <w:rFonts w:ascii="Times New Roman" w:eastAsia="Times New Roman" w:hAnsi="Times New Roman" w:cs="Times New Roman"/>
          <w:sz w:val="24"/>
          <w:szCs w:val="24"/>
          <w:lang w:eastAsia="en-AU"/>
        </w:rPr>
        <w:t xml:space="preserve">market. The Financing Mechanism includes loans and alternative Financing Mechanisms under </w:t>
      </w:r>
      <w:r w:rsidR="006D68B2">
        <w:rPr>
          <w:rFonts w:ascii="Times New Roman" w:eastAsia="Times New Roman" w:hAnsi="Times New Roman" w:cs="Times New Roman"/>
          <w:sz w:val="24"/>
          <w:szCs w:val="24"/>
          <w:lang w:eastAsia="en-AU"/>
        </w:rPr>
        <w:t>section</w:t>
      </w:r>
      <w:r w:rsidR="009F0924" w:rsidRPr="009F0924">
        <w:rPr>
          <w:rFonts w:ascii="Times New Roman" w:eastAsia="Times New Roman" w:hAnsi="Times New Roman" w:cs="Times New Roman"/>
          <w:sz w:val="24"/>
          <w:szCs w:val="24"/>
          <w:lang w:eastAsia="en-AU"/>
        </w:rPr>
        <w:t xml:space="preserve"> 11 of </w:t>
      </w:r>
      <w:r w:rsidR="00EC0068">
        <w:rPr>
          <w:rFonts w:ascii="Times New Roman" w:eastAsia="Times New Roman" w:hAnsi="Times New Roman" w:cs="Times New Roman"/>
          <w:sz w:val="24"/>
          <w:szCs w:val="24"/>
          <w:lang w:eastAsia="en-AU"/>
        </w:rPr>
        <w:t xml:space="preserve">the </w:t>
      </w:r>
      <w:r w:rsidR="00B31E3E">
        <w:rPr>
          <w:rFonts w:ascii="Times New Roman" w:eastAsia="Times New Roman" w:hAnsi="Times New Roman" w:cs="Times New Roman"/>
          <w:sz w:val="24"/>
          <w:szCs w:val="24"/>
          <w:lang w:eastAsia="en-AU"/>
        </w:rPr>
        <w:t>Direction</w:t>
      </w:r>
      <w:r w:rsidR="009F0924" w:rsidRPr="009F0924">
        <w:rPr>
          <w:rFonts w:ascii="Times New Roman" w:eastAsia="Times New Roman" w:hAnsi="Times New Roman" w:cs="Times New Roman"/>
          <w:sz w:val="24"/>
          <w:szCs w:val="24"/>
          <w:lang w:eastAsia="en-AU"/>
        </w:rPr>
        <w:t xml:space="preserve">. The purpose of this </w:t>
      </w:r>
      <w:r w:rsidR="00B31E3E">
        <w:rPr>
          <w:rFonts w:ascii="Times New Roman" w:eastAsia="Times New Roman" w:hAnsi="Times New Roman" w:cs="Times New Roman"/>
          <w:sz w:val="24"/>
          <w:szCs w:val="24"/>
          <w:lang w:eastAsia="en-AU"/>
        </w:rPr>
        <w:t>paragraph</w:t>
      </w:r>
      <w:r w:rsidR="009F0924" w:rsidRPr="009F0924">
        <w:rPr>
          <w:rFonts w:ascii="Times New Roman" w:eastAsia="Times New Roman" w:hAnsi="Times New Roman" w:cs="Times New Roman"/>
          <w:sz w:val="24"/>
          <w:szCs w:val="24"/>
          <w:lang w:eastAsia="en-AU"/>
        </w:rPr>
        <w:t xml:space="preserve"> is to ensure that the Board fully considers the implications and potential distortions the provision of financial assistance, and the type of financial assistance provided, may have on the operation of the Australian infrastructure financing markets. </w:t>
      </w:r>
    </w:p>
    <w:p w14:paraId="04E434CD" w14:textId="418375A1" w:rsidR="009F0924" w:rsidRPr="00CD57A6" w:rsidRDefault="009F0924" w:rsidP="005823FB">
      <w:pPr>
        <w:spacing w:before="0" w:after="240" w:line="280" w:lineRule="atLeast"/>
        <w:rPr>
          <w:rFonts w:ascii="Times New Roman" w:eastAsia="Times New Roman" w:hAnsi="Times New Roman" w:cs="Times New Roman"/>
          <w:sz w:val="24"/>
          <w:szCs w:val="24"/>
          <w:lang w:eastAsia="en-AU"/>
        </w:rPr>
      </w:pPr>
      <w:r w:rsidRPr="009F0924">
        <w:rPr>
          <w:rFonts w:ascii="Times New Roman" w:eastAsia="Times New Roman" w:hAnsi="Times New Roman" w:cs="Times New Roman"/>
          <w:sz w:val="24"/>
          <w:szCs w:val="24"/>
          <w:lang w:eastAsia="en-AU"/>
        </w:rPr>
        <w:t>Paragraph 7(</w:t>
      </w:r>
      <w:r w:rsidR="005C308A">
        <w:rPr>
          <w:rFonts w:ascii="Times New Roman" w:eastAsia="Times New Roman" w:hAnsi="Times New Roman" w:cs="Times New Roman"/>
          <w:sz w:val="24"/>
          <w:szCs w:val="24"/>
          <w:lang w:eastAsia="en-AU"/>
        </w:rPr>
        <w:t>2</w:t>
      </w:r>
      <w:r w:rsidRPr="009F0924">
        <w:rPr>
          <w:rFonts w:ascii="Times New Roman" w:eastAsia="Times New Roman" w:hAnsi="Times New Roman" w:cs="Times New Roman"/>
          <w:sz w:val="24"/>
          <w:szCs w:val="24"/>
          <w:lang w:eastAsia="en-AU"/>
        </w:rPr>
        <w:t>)(</w:t>
      </w:r>
      <w:r w:rsidR="001523F2">
        <w:rPr>
          <w:rFonts w:ascii="Times New Roman" w:eastAsia="Times New Roman" w:hAnsi="Times New Roman" w:cs="Times New Roman"/>
          <w:sz w:val="24"/>
          <w:szCs w:val="24"/>
          <w:lang w:eastAsia="en-AU"/>
        </w:rPr>
        <w:t>d</w:t>
      </w:r>
      <w:r w:rsidRPr="009F0924">
        <w:rPr>
          <w:rFonts w:ascii="Times New Roman" w:eastAsia="Times New Roman" w:hAnsi="Times New Roman" w:cs="Times New Roman"/>
          <w:sz w:val="24"/>
          <w:szCs w:val="24"/>
          <w:lang w:eastAsia="en-AU"/>
        </w:rPr>
        <w:t xml:space="preserve">) </w:t>
      </w:r>
      <w:r w:rsidR="00147B6B">
        <w:rPr>
          <w:rFonts w:ascii="Times New Roman" w:eastAsia="Times New Roman" w:hAnsi="Times New Roman" w:cs="Times New Roman"/>
          <w:sz w:val="24"/>
          <w:szCs w:val="24"/>
          <w:lang w:eastAsia="en-AU"/>
        </w:rPr>
        <w:t xml:space="preserve">requires the Board to </w:t>
      </w:r>
      <w:r w:rsidR="007E200C">
        <w:rPr>
          <w:rFonts w:ascii="Times New Roman" w:eastAsia="Times New Roman" w:hAnsi="Times New Roman" w:cs="Times New Roman"/>
          <w:sz w:val="24"/>
          <w:szCs w:val="24"/>
          <w:lang w:eastAsia="en-AU"/>
        </w:rPr>
        <w:t xml:space="preserve">have regard to </w:t>
      </w:r>
      <w:r w:rsidRPr="009F0924">
        <w:rPr>
          <w:rFonts w:ascii="Times New Roman" w:eastAsia="Times New Roman" w:hAnsi="Times New Roman" w:cs="Times New Roman"/>
          <w:sz w:val="24"/>
          <w:szCs w:val="24"/>
          <w:lang w:eastAsia="en-AU"/>
        </w:rPr>
        <w:t xml:space="preserve">the </w:t>
      </w:r>
      <w:r w:rsidR="001523F2">
        <w:rPr>
          <w:rFonts w:ascii="Times New Roman" w:eastAsia="Times New Roman" w:hAnsi="Times New Roman" w:cs="Times New Roman"/>
          <w:sz w:val="24"/>
          <w:szCs w:val="24"/>
          <w:lang w:eastAsia="en-AU"/>
        </w:rPr>
        <w:t>potential</w:t>
      </w:r>
      <w:r w:rsidRPr="009F0924">
        <w:rPr>
          <w:rFonts w:ascii="Times New Roman" w:eastAsia="Times New Roman" w:hAnsi="Times New Roman" w:cs="Times New Roman"/>
          <w:sz w:val="24"/>
          <w:szCs w:val="24"/>
          <w:lang w:eastAsia="en-AU"/>
        </w:rPr>
        <w:t xml:space="preserve"> of </w:t>
      </w:r>
      <w:r w:rsidR="001523F2">
        <w:rPr>
          <w:rFonts w:ascii="Times New Roman" w:eastAsia="Times New Roman" w:hAnsi="Times New Roman" w:cs="Times New Roman"/>
          <w:sz w:val="24"/>
          <w:szCs w:val="24"/>
          <w:lang w:eastAsia="en-AU"/>
        </w:rPr>
        <w:t xml:space="preserve">the </w:t>
      </w:r>
      <w:r w:rsidRPr="009F0924">
        <w:rPr>
          <w:rFonts w:ascii="Times New Roman" w:eastAsia="Times New Roman" w:hAnsi="Times New Roman" w:cs="Times New Roman"/>
          <w:sz w:val="24"/>
          <w:szCs w:val="24"/>
          <w:lang w:eastAsia="en-AU"/>
        </w:rPr>
        <w:t>invest</w:t>
      </w:r>
      <w:r w:rsidR="001523F2">
        <w:rPr>
          <w:rFonts w:ascii="Times New Roman" w:eastAsia="Times New Roman" w:hAnsi="Times New Roman" w:cs="Times New Roman"/>
          <w:sz w:val="24"/>
          <w:szCs w:val="24"/>
          <w:lang w:eastAsia="en-AU"/>
        </w:rPr>
        <w:t>ment to e</w:t>
      </w:r>
      <w:r w:rsidRPr="009F0924">
        <w:rPr>
          <w:rFonts w:ascii="Times New Roman" w:eastAsia="Times New Roman" w:hAnsi="Times New Roman" w:cs="Times New Roman"/>
          <w:sz w:val="24"/>
          <w:szCs w:val="24"/>
          <w:lang w:eastAsia="en-AU"/>
        </w:rPr>
        <w:t>ncourag</w:t>
      </w:r>
      <w:r w:rsidR="001523F2">
        <w:rPr>
          <w:rFonts w:ascii="Times New Roman" w:eastAsia="Times New Roman" w:hAnsi="Times New Roman" w:cs="Times New Roman"/>
          <w:sz w:val="24"/>
          <w:szCs w:val="24"/>
          <w:lang w:eastAsia="en-AU"/>
        </w:rPr>
        <w:t>e</w:t>
      </w:r>
      <w:r w:rsidRPr="009F0924">
        <w:rPr>
          <w:rFonts w:ascii="Times New Roman" w:eastAsia="Times New Roman" w:hAnsi="Times New Roman" w:cs="Times New Roman"/>
          <w:sz w:val="24"/>
          <w:szCs w:val="24"/>
          <w:lang w:eastAsia="en-AU"/>
        </w:rPr>
        <w:t xml:space="preserve"> private sector participation in the Project. </w:t>
      </w:r>
    </w:p>
    <w:p w14:paraId="41CA4F59" w14:textId="6E92915F" w:rsidR="009F0924" w:rsidRDefault="00F768FA" w:rsidP="005823FB">
      <w:pPr>
        <w:spacing w:before="0" w:after="240" w:line="28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Paragraph 7(3)(a)</w:t>
      </w:r>
      <w:r w:rsidR="009F0924" w:rsidRPr="00CD57A6">
        <w:rPr>
          <w:rFonts w:ascii="Times New Roman" w:eastAsia="Times New Roman" w:hAnsi="Times New Roman" w:cs="Times New Roman"/>
          <w:sz w:val="24"/>
          <w:szCs w:val="24"/>
          <w:lang w:eastAsia="en-AU"/>
        </w:rPr>
        <w:t xml:space="preserve"> provides that the Board must have regard to the location and related industry sector of the Project and give preference to an overall portfolio of Projects with a diverse geographical and sector representation. It is the </w:t>
      </w:r>
      <w:r w:rsidR="004E7BC3">
        <w:rPr>
          <w:rFonts w:ascii="Times New Roman" w:eastAsia="Times New Roman" w:hAnsi="Times New Roman" w:cs="Times New Roman"/>
          <w:sz w:val="24"/>
          <w:szCs w:val="24"/>
          <w:lang w:eastAsia="en-AU"/>
        </w:rPr>
        <w:t xml:space="preserve">Commonwealth’s </w:t>
      </w:r>
      <w:r w:rsidR="004E7BC3" w:rsidRPr="00CD57A6">
        <w:rPr>
          <w:rFonts w:ascii="Times New Roman" w:eastAsia="Times New Roman" w:hAnsi="Times New Roman" w:cs="Times New Roman"/>
          <w:sz w:val="24"/>
          <w:szCs w:val="24"/>
          <w:lang w:eastAsia="en-AU"/>
        </w:rPr>
        <w:t>preference</w:t>
      </w:r>
      <w:r w:rsidR="009F0924" w:rsidRPr="00CD57A6">
        <w:rPr>
          <w:rFonts w:ascii="Times New Roman" w:eastAsia="Times New Roman" w:hAnsi="Times New Roman" w:cs="Times New Roman"/>
          <w:sz w:val="24"/>
          <w:szCs w:val="24"/>
          <w:lang w:eastAsia="en-AU"/>
        </w:rPr>
        <w:t xml:space="preserve"> for the Facility to invest in a range of different types of infrastructure which are spread across the three Northern Australia jurisdictions.</w:t>
      </w:r>
    </w:p>
    <w:p w14:paraId="731D65B4" w14:textId="3E6FA95A" w:rsidR="00F768FA" w:rsidRPr="00CD57A6" w:rsidRDefault="00F768FA" w:rsidP="005823FB">
      <w:pPr>
        <w:spacing w:before="0" w:after="240" w:line="28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Paragraph 7(3)(b) provides that the Board should have regard to whether a project has been identified as a priority project through a </w:t>
      </w:r>
      <w:r w:rsidRPr="00F768FA">
        <w:rPr>
          <w:rFonts w:ascii="Times New Roman" w:eastAsia="Times New Roman" w:hAnsi="Times New Roman" w:cs="Times New Roman"/>
          <w:sz w:val="24"/>
          <w:szCs w:val="24"/>
          <w:lang w:eastAsia="en-AU"/>
        </w:rPr>
        <w:t>Commonwealth, State or Territory assessment process</w:t>
      </w:r>
      <w:r w:rsidR="007E200C">
        <w:rPr>
          <w:rFonts w:ascii="Times New Roman" w:eastAsia="Times New Roman" w:hAnsi="Times New Roman" w:cs="Times New Roman"/>
          <w:sz w:val="24"/>
          <w:szCs w:val="24"/>
          <w:lang w:eastAsia="en-AU"/>
        </w:rPr>
        <w:t>, pipeline or priority</w:t>
      </w:r>
      <w:r>
        <w:rPr>
          <w:rFonts w:ascii="Times New Roman" w:eastAsia="Times New Roman" w:hAnsi="Times New Roman" w:cs="Times New Roman"/>
          <w:sz w:val="24"/>
          <w:szCs w:val="24"/>
          <w:lang w:eastAsia="en-AU"/>
        </w:rPr>
        <w:t>. This reflects the Government’s preference for the investments of the Facility to overcome identified infrastructure gaps.</w:t>
      </w:r>
    </w:p>
    <w:p w14:paraId="0952EFFD" w14:textId="58C02B14" w:rsidR="009F0924" w:rsidRPr="009F0924" w:rsidRDefault="005E0761" w:rsidP="005823FB">
      <w:pPr>
        <w:pStyle w:val="Heading3"/>
        <w:spacing w:line="280" w:lineRule="atLeast"/>
      </w:pPr>
      <w:r>
        <w:rPr>
          <w:szCs w:val="24"/>
        </w:rPr>
        <w:t>Section</w:t>
      </w:r>
      <w:r w:rsidRPr="006745C3">
        <w:rPr>
          <w:szCs w:val="24"/>
        </w:rPr>
        <w:t xml:space="preserve"> </w:t>
      </w:r>
      <w:r w:rsidR="009F0924" w:rsidRPr="00CD57A6">
        <w:t>8—Discretion</w:t>
      </w:r>
    </w:p>
    <w:p w14:paraId="4DCD6A8A" w14:textId="17939FF6" w:rsidR="009F0924" w:rsidRPr="00CD57A6" w:rsidRDefault="006D68B2" w:rsidP="005823FB">
      <w:pPr>
        <w:spacing w:before="0" w:after="240" w:line="28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Section</w:t>
      </w:r>
      <w:r w:rsidRPr="00CD57A6">
        <w:rPr>
          <w:rFonts w:ascii="Times New Roman" w:eastAsia="Times New Roman" w:hAnsi="Times New Roman" w:cs="Times New Roman"/>
          <w:sz w:val="24"/>
          <w:szCs w:val="24"/>
          <w:lang w:eastAsia="en-AU"/>
        </w:rPr>
        <w:t xml:space="preserve"> </w:t>
      </w:r>
      <w:r w:rsidR="009F0924" w:rsidRPr="00CD57A6">
        <w:rPr>
          <w:rFonts w:ascii="Times New Roman" w:eastAsia="Times New Roman" w:hAnsi="Times New Roman" w:cs="Times New Roman"/>
          <w:sz w:val="24"/>
          <w:szCs w:val="24"/>
          <w:lang w:eastAsia="en-AU"/>
        </w:rPr>
        <w:t xml:space="preserve">8 gives the Board the discretion to decline an Investment Proposal for a grant of financial assistance. </w:t>
      </w:r>
    </w:p>
    <w:p w14:paraId="5C7D21B9" w14:textId="43E2A5ED" w:rsidR="009F0924" w:rsidRPr="009F0924" w:rsidRDefault="005E0761" w:rsidP="005823FB">
      <w:pPr>
        <w:pStyle w:val="Heading3"/>
        <w:spacing w:line="280" w:lineRule="atLeast"/>
      </w:pPr>
      <w:r>
        <w:rPr>
          <w:szCs w:val="24"/>
        </w:rPr>
        <w:t>Section</w:t>
      </w:r>
      <w:r w:rsidRPr="006745C3">
        <w:rPr>
          <w:szCs w:val="24"/>
        </w:rPr>
        <w:t xml:space="preserve"> </w:t>
      </w:r>
      <w:r w:rsidR="009F0924" w:rsidRPr="00CD57A6">
        <w:t xml:space="preserve">9—Determining </w:t>
      </w:r>
      <w:r w:rsidR="00B31E3E">
        <w:t>c</w:t>
      </w:r>
      <w:r w:rsidR="009F0924" w:rsidRPr="00CD57A6">
        <w:t>oncessions</w:t>
      </w:r>
    </w:p>
    <w:p w14:paraId="47839E22" w14:textId="77777777" w:rsidR="009F0924" w:rsidRPr="00CD57A6" w:rsidRDefault="009F0924" w:rsidP="005823FB">
      <w:pPr>
        <w:spacing w:before="0" w:after="240" w:line="280" w:lineRule="atLeast"/>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Paragraphs 9(1)(a) and 9(1)(b) require the Board to have regard to the extent and mix of all concessions necessary for the Investment Proposal to proceed, and the extent of the Project’s public benefit. </w:t>
      </w:r>
    </w:p>
    <w:p w14:paraId="1F5655B8" w14:textId="35C9B4C1" w:rsidR="009F0924" w:rsidRPr="00CD57A6" w:rsidRDefault="009F0924" w:rsidP="005823FB">
      <w:pPr>
        <w:spacing w:before="0" w:after="240" w:line="280" w:lineRule="atLeast"/>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Sub</w:t>
      </w:r>
      <w:r w:rsidR="006D68B2">
        <w:rPr>
          <w:rFonts w:ascii="Times New Roman" w:eastAsia="Times New Roman" w:hAnsi="Times New Roman" w:cs="Times New Roman"/>
          <w:sz w:val="24"/>
          <w:szCs w:val="24"/>
          <w:lang w:eastAsia="en-AU"/>
        </w:rPr>
        <w:t>section</w:t>
      </w:r>
      <w:r w:rsidRPr="00CD57A6">
        <w:rPr>
          <w:rFonts w:ascii="Times New Roman" w:eastAsia="Times New Roman" w:hAnsi="Times New Roman" w:cs="Times New Roman"/>
          <w:sz w:val="24"/>
          <w:szCs w:val="24"/>
          <w:lang w:eastAsia="en-AU"/>
        </w:rPr>
        <w:t xml:space="preserve"> 9(2) requires the Board to provide only the </w:t>
      </w:r>
      <w:r w:rsidR="00EE7D76">
        <w:rPr>
          <w:rFonts w:ascii="Times New Roman" w:eastAsia="Times New Roman" w:hAnsi="Times New Roman" w:cs="Times New Roman"/>
          <w:sz w:val="24"/>
          <w:szCs w:val="24"/>
          <w:lang w:eastAsia="en-AU"/>
        </w:rPr>
        <w:t xml:space="preserve">level of </w:t>
      </w:r>
      <w:r w:rsidR="00CB3E2E">
        <w:rPr>
          <w:rFonts w:ascii="Times New Roman" w:eastAsia="Times New Roman" w:hAnsi="Times New Roman" w:cs="Times New Roman"/>
          <w:sz w:val="24"/>
          <w:szCs w:val="24"/>
          <w:lang w:eastAsia="en-AU"/>
        </w:rPr>
        <w:t>concession</w:t>
      </w:r>
      <w:r w:rsidRPr="00CD57A6">
        <w:rPr>
          <w:rFonts w:ascii="Times New Roman" w:eastAsia="Times New Roman" w:hAnsi="Times New Roman" w:cs="Times New Roman"/>
          <w:sz w:val="24"/>
          <w:szCs w:val="24"/>
          <w:lang w:eastAsia="en-AU"/>
        </w:rPr>
        <w:t xml:space="preserve"> </w:t>
      </w:r>
      <w:r w:rsidR="007E200C">
        <w:rPr>
          <w:rFonts w:ascii="Times New Roman" w:eastAsia="Times New Roman" w:hAnsi="Times New Roman" w:cs="Times New Roman"/>
          <w:sz w:val="24"/>
          <w:szCs w:val="24"/>
          <w:lang w:eastAsia="en-AU"/>
        </w:rPr>
        <w:t xml:space="preserve">the Board considers </w:t>
      </w:r>
      <w:r w:rsidRPr="00CD57A6">
        <w:rPr>
          <w:rFonts w:ascii="Times New Roman" w:eastAsia="Times New Roman" w:hAnsi="Times New Roman" w:cs="Times New Roman"/>
          <w:sz w:val="24"/>
          <w:szCs w:val="24"/>
          <w:lang w:eastAsia="en-AU"/>
        </w:rPr>
        <w:t>necessary to allow the Project to proceed. The role of the Facility is not to increase the profitability of Project Proponents, but to support infrastructure Projects</w:t>
      </w:r>
      <w:r w:rsidR="005C308A">
        <w:rPr>
          <w:rFonts w:ascii="Times New Roman" w:eastAsia="Times New Roman" w:hAnsi="Times New Roman" w:cs="Times New Roman"/>
          <w:sz w:val="24"/>
          <w:szCs w:val="24"/>
          <w:lang w:eastAsia="en-AU"/>
        </w:rPr>
        <w:t xml:space="preserve"> that provide a public benefit</w:t>
      </w:r>
      <w:r w:rsidRPr="00CD57A6">
        <w:rPr>
          <w:rFonts w:ascii="Times New Roman" w:eastAsia="Times New Roman" w:hAnsi="Times New Roman" w:cs="Times New Roman"/>
          <w:sz w:val="24"/>
          <w:szCs w:val="24"/>
          <w:lang w:eastAsia="en-AU"/>
        </w:rPr>
        <w:t xml:space="preserve">. </w:t>
      </w:r>
    </w:p>
    <w:p w14:paraId="4E2345BD" w14:textId="1623CBE9" w:rsidR="009F0924" w:rsidRPr="00CD57A6" w:rsidRDefault="00CC1C38" w:rsidP="005823FB">
      <w:pPr>
        <w:spacing w:before="0" w:after="240" w:line="28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Subsection </w:t>
      </w:r>
      <w:r w:rsidR="009F0924" w:rsidRPr="00CD57A6">
        <w:rPr>
          <w:rFonts w:ascii="Times New Roman" w:eastAsia="Times New Roman" w:hAnsi="Times New Roman" w:cs="Times New Roman"/>
          <w:sz w:val="24"/>
          <w:szCs w:val="24"/>
          <w:lang w:eastAsia="en-AU"/>
        </w:rPr>
        <w:t xml:space="preserve">9(3) provides the Board the flexibility </w:t>
      </w:r>
      <w:r>
        <w:rPr>
          <w:rFonts w:ascii="Times New Roman" w:eastAsia="Times New Roman" w:hAnsi="Times New Roman" w:cs="Times New Roman"/>
          <w:sz w:val="24"/>
          <w:szCs w:val="24"/>
          <w:lang w:eastAsia="en-AU"/>
        </w:rPr>
        <w:t xml:space="preserve">to propose contract terms that provide for the reduction of </w:t>
      </w:r>
      <w:r w:rsidR="009F0924" w:rsidRPr="00CD57A6">
        <w:rPr>
          <w:rFonts w:ascii="Times New Roman" w:eastAsia="Times New Roman" w:hAnsi="Times New Roman" w:cs="Times New Roman"/>
          <w:sz w:val="24"/>
          <w:szCs w:val="24"/>
          <w:lang w:eastAsia="en-AU"/>
        </w:rPr>
        <w:t>concessions or exit from the investment altogether</w:t>
      </w:r>
      <w:r w:rsidR="007E200C">
        <w:rPr>
          <w:rFonts w:ascii="Times New Roman" w:eastAsia="Times New Roman" w:hAnsi="Times New Roman" w:cs="Times New Roman"/>
          <w:sz w:val="24"/>
          <w:szCs w:val="24"/>
          <w:lang w:eastAsia="en-AU"/>
        </w:rPr>
        <w:t>. For example, this could be</w:t>
      </w:r>
      <w:r w:rsidR="009F0924" w:rsidRPr="00CD57A6">
        <w:rPr>
          <w:rFonts w:ascii="Times New Roman" w:eastAsia="Times New Roman" w:hAnsi="Times New Roman" w:cs="Times New Roman"/>
          <w:sz w:val="24"/>
          <w:szCs w:val="24"/>
          <w:lang w:eastAsia="en-AU"/>
        </w:rPr>
        <w:t xml:space="preserve"> if the Project is performing better than expected. </w:t>
      </w:r>
    </w:p>
    <w:p w14:paraId="3A3751F5" w14:textId="460AF6BF" w:rsidR="009F0924" w:rsidRPr="009F0924" w:rsidRDefault="005E0761" w:rsidP="005823FB">
      <w:pPr>
        <w:pStyle w:val="Heading3"/>
        <w:spacing w:line="280" w:lineRule="atLeast"/>
      </w:pPr>
      <w:r>
        <w:rPr>
          <w:szCs w:val="24"/>
        </w:rPr>
        <w:t>Section</w:t>
      </w:r>
      <w:r w:rsidRPr="006745C3">
        <w:rPr>
          <w:szCs w:val="24"/>
        </w:rPr>
        <w:t xml:space="preserve"> </w:t>
      </w:r>
      <w:r w:rsidR="009F0924" w:rsidRPr="009F0924">
        <w:t>10—Loan conditions</w:t>
      </w:r>
    </w:p>
    <w:p w14:paraId="774FE5DD" w14:textId="40BA59D3" w:rsidR="009F0924" w:rsidRPr="00CD57A6" w:rsidRDefault="006D68B2" w:rsidP="005823FB">
      <w:pPr>
        <w:spacing w:before="0" w:after="240" w:line="28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Section</w:t>
      </w:r>
      <w:r w:rsidRPr="00CD57A6">
        <w:rPr>
          <w:rFonts w:ascii="Times New Roman" w:eastAsia="Times New Roman" w:hAnsi="Times New Roman" w:cs="Times New Roman"/>
          <w:sz w:val="24"/>
          <w:szCs w:val="24"/>
          <w:lang w:eastAsia="en-AU"/>
        </w:rPr>
        <w:t xml:space="preserve"> </w:t>
      </w:r>
      <w:r w:rsidR="009F0924" w:rsidRPr="00CD57A6">
        <w:rPr>
          <w:rFonts w:ascii="Times New Roman" w:eastAsia="Times New Roman" w:hAnsi="Times New Roman" w:cs="Times New Roman"/>
          <w:sz w:val="24"/>
          <w:szCs w:val="24"/>
          <w:lang w:eastAsia="en-AU"/>
        </w:rPr>
        <w:t xml:space="preserve">10 provides that loans are the primary form of funding mechanism that the Board should consider for all Investment Proposals. </w:t>
      </w:r>
      <w:r w:rsidR="003035BD">
        <w:rPr>
          <w:rFonts w:ascii="Times New Roman" w:eastAsia="Times New Roman" w:hAnsi="Times New Roman" w:cs="Times New Roman"/>
          <w:sz w:val="24"/>
          <w:szCs w:val="24"/>
          <w:lang w:eastAsia="en-AU"/>
        </w:rPr>
        <w:t xml:space="preserve">Subsection 10(2) </w:t>
      </w:r>
      <w:r w:rsidR="009F0924" w:rsidRPr="00CD57A6">
        <w:rPr>
          <w:rFonts w:ascii="Times New Roman" w:eastAsia="Times New Roman" w:hAnsi="Times New Roman" w:cs="Times New Roman"/>
          <w:sz w:val="24"/>
          <w:szCs w:val="24"/>
          <w:lang w:eastAsia="en-AU"/>
        </w:rPr>
        <w:t>sets out a non-exhaustive list of loan concessions that the Facility may propose.</w:t>
      </w:r>
    </w:p>
    <w:p w14:paraId="4F324286" w14:textId="6C4AE037" w:rsidR="009F0924" w:rsidRPr="00CD57A6" w:rsidRDefault="009F0924" w:rsidP="005823FB">
      <w:pPr>
        <w:spacing w:before="0" w:after="240" w:line="280" w:lineRule="atLeast"/>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Paragraph 10(2)(b) requires that interest rates offered by the Facility are not lower than the rate at which the Commonwealth borrows. The Commonwealth borrows at different rates for different loan tenors. For example, if the Facility is lending for a 10-year period, then the rate offered by the Facility should not be below the rate that the Commonwealth borrows at for a similar 10-year period. In determining the interest rates to be offered, the Facility should also take into account possible fluctuations to the Commonwealth’s cost of borrowing that will occur over time. This paragraph should be read with paragraph 7(</w:t>
      </w:r>
      <w:r w:rsidR="003035BD">
        <w:rPr>
          <w:rFonts w:ascii="Times New Roman" w:eastAsia="Times New Roman" w:hAnsi="Times New Roman" w:cs="Times New Roman"/>
          <w:sz w:val="24"/>
          <w:szCs w:val="24"/>
          <w:lang w:eastAsia="en-AU"/>
        </w:rPr>
        <w:t>1</w:t>
      </w:r>
      <w:r w:rsidRPr="00CD57A6">
        <w:rPr>
          <w:rFonts w:ascii="Times New Roman" w:eastAsia="Times New Roman" w:hAnsi="Times New Roman" w:cs="Times New Roman"/>
          <w:sz w:val="24"/>
          <w:szCs w:val="24"/>
          <w:lang w:eastAsia="en-AU"/>
        </w:rPr>
        <w:t>)(</w:t>
      </w:r>
      <w:r w:rsidR="003035BD">
        <w:rPr>
          <w:rFonts w:ascii="Times New Roman" w:eastAsia="Times New Roman" w:hAnsi="Times New Roman" w:cs="Times New Roman"/>
          <w:sz w:val="24"/>
          <w:szCs w:val="24"/>
          <w:lang w:eastAsia="en-AU"/>
        </w:rPr>
        <w:t>b</w:t>
      </w:r>
      <w:r w:rsidRPr="00CD57A6">
        <w:rPr>
          <w:rFonts w:ascii="Times New Roman" w:eastAsia="Times New Roman" w:hAnsi="Times New Roman" w:cs="Times New Roman"/>
          <w:sz w:val="24"/>
          <w:szCs w:val="24"/>
          <w:lang w:eastAsia="en-AU"/>
        </w:rPr>
        <w:t xml:space="preserve">), which specifies that any return the Facility generates from an investment </w:t>
      </w:r>
      <w:r w:rsidR="003035BD">
        <w:rPr>
          <w:rFonts w:ascii="Times New Roman" w:eastAsia="Times New Roman" w:hAnsi="Times New Roman" w:cs="Times New Roman"/>
          <w:sz w:val="24"/>
          <w:szCs w:val="24"/>
          <w:lang w:eastAsia="en-AU"/>
        </w:rPr>
        <w:t xml:space="preserve">needs to </w:t>
      </w:r>
      <w:r w:rsidRPr="00CD57A6">
        <w:rPr>
          <w:rFonts w:ascii="Times New Roman" w:eastAsia="Times New Roman" w:hAnsi="Times New Roman" w:cs="Times New Roman"/>
          <w:sz w:val="24"/>
          <w:szCs w:val="24"/>
          <w:lang w:eastAsia="en-AU"/>
        </w:rPr>
        <w:t>meet the Commonwealth’s cost of borrowing.</w:t>
      </w:r>
    </w:p>
    <w:p w14:paraId="562EF69B" w14:textId="54D272E6" w:rsidR="009F0924" w:rsidRPr="009F0924" w:rsidRDefault="005E0761" w:rsidP="005823FB">
      <w:pPr>
        <w:pStyle w:val="Heading3"/>
        <w:spacing w:line="280" w:lineRule="atLeast"/>
      </w:pPr>
      <w:r>
        <w:rPr>
          <w:szCs w:val="24"/>
        </w:rPr>
        <w:t>Section</w:t>
      </w:r>
      <w:r w:rsidRPr="006745C3">
        <w:rPr>
          <w:szCs w:val="24"/>
        </w:rPr>
        <w:t xml:space="preserve"> </w:t>
      </w:r>
      <w:r w:rsidR="009F0924" w:rsidRPr="00CD57A6">
        <w:t xml:space="preserve">11—Alternative </w:t>
      </w:r>
      <w:r w:rsidR="00D16578">
        <w:t>F</w:t>
      </w:r>
      <w:r w:rsidR="009F0924" w:rsidRPr="00CD57A6">
        <w:t xml:space="preserve">inancing </w:t>
      </w:r>
      <w:r w:rsidR="00D16578">
        <w:t>M</w:t>
      </w:r>
      <w:r w:rsidR="009F0924" w:rsidRPr="00CD57A6">
        <w:t>echanisms</w:t>
      </w:r>
    </w:p>
    <w:p w14:paraId="62B76FAC" w14:textId="07FBA433" w:rsidR="009F0924" w:rsidRPr="00CD57A6" w:rsidRDefault="009F0924" w:rsidP="005823FB">
      <w:pPr>
        <w:spacing w:before="0" w:after="240" w:line="280" w:lineRule="atLeast"/>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Sub</w:t>
      </w:r>
      <w:r w:rsidR="006D68B2">
        <w:rPr>
          <w:rFonts w:ascii="Times New Roman" w:eastAsia="Times New Roman" w:hAnsi="Times New Roman" w:cs="Times New Roman"/>
          <w:sz w:val="24"/>
          <w:szCs w:val="24"/>
          <w:lang w:eastAsia="en-AU"/>
        </w:rPr>
        <w:t>section</w:t>
      </w:r>
      <w:r w:rsidRPr="00CD57A6">
        <w:rPr>
          <w:rFonts w:ascii="Times New Roman" w:eastAsia="Times New Roman" w:hAnsi="Times New Roman" w:cs="Times New Roman"/>
          <w:sz w:val="24"/>
          <w:szCs w:val="24"/>
          <w:lang w:eastAsia="en-AU"/>
        </w:rPr>
        <w:t> 11(1) allows the Board to consider alternative Financing Mechanisms where it is more appropriate for a particular Project. This includes where it is more efficient or effective to use an alternative Financing Mechanism. This provides the Board the ability to be flexible in its Financing Mechanism offerings to the unique needs of the Project. This can include financial guarantees and other financial mechanisms. Any alternative Financing Mechanisms fully account against the Facility’s $5 billion funding allocation.</w:t>
      </w:r>
    </w:p>
    <w:p w14:paraId="324411BF" w14:textId="43FEEE8A" w:rsidR="009F0924" w:rsidRPr="00CD57A6" w:rsidRDefault="009F0924" w:rsidP="005823FB">
      <w:pPr>
        <w:spacing w:before="0" w:after="240" w:line="280" w:lineRule="atLeast"/>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Sub</w:t>
      </w:r>
      <w:r w:rsidR="006D68B2">
        <w:rPr>
          <w:rFonts w:ascii="Times New Roman" w:eastAsia="Times New Roman" w:hAnsi="Times New Roman" w:cs="Times New Roman"/>
          <w:sz w:val="24"/>
          <w:szCs w:val="24"/>
          <w:lang w:eastAsia="en-AU"/>
        </w:rPr>
        <w:t>section</w:t>
      </w:r>
      <w:r w:rsidRPr="00CD57A6">
        <w:rPr>
          <w:rFonts w:ascii="Times New Roman" w:eastAsia="Times New Roman" w:hAnsi="Times New Roman" w:cs="Times New Roman"/>
          <w:sz w:val="24"/>
          <w:szCs w:val="24"/>
          <w:lang w:eastAsia="en-AU"/>
        </w:rPr>
        <w:t xml:space="preserve"> 11(2) makes it clear that all </w:t>
      </w:r>
      <w:r w:rsidR="006D68B2">
        <w:rPr>
          <w:rFonts w:ascii="Times New Roman" w:eastAsia="Times New Roman" w:hAnsi="Times New Roman" w:cs="Times New Roman"/>
          <w:sz w:val="24"/>
          <w:szCs w:val="24"/>
          <w:lang w:eastAsia="en-AU"/>
        </w:rPr>
        <w:t>section</w:t>
      </w:r>
      <w:r w:rsidRPr="00CD57A6">
        <w:rPr>
          <w:rFonts w:ascii="Times New Roman" w:eastAsia="Times New Roman" w:hAnsi="Times New Roman" w:cs="Times New Roman"/>
          <w:sz w:val="24"/>
          <w:szCs w:val="24"/>
          <w:lang w:eastAsia="en-AU"/>
        </w:rPr>
        <w:t xml:space="preserve">s of, and </w:t>
      </w:r>
      <w:r w:rsidR="00D16578">
        <w:rPr>
          <w:rFonts w:ascii="Times New Roman" w:eastAsia="Times New Roman" w:hAnsi="Times New Roman" w:cs="Times New Roman"/>
          <w:sz w:val="24"/>
          <w:szCs w:val="24"/>
          <w:lang w:eastAsia="en-AU"/>
        </w:rPr>
        <w:t>the S</w:t>
      </w:r>
      <w:r w:rsidRPr="00CD57A6">
        <w:rPr>
          <w:rFonts w:ascii="Times New Roman" w:eastAsia="Times New Roman" w:hAnsi="Times New Roman" w:cs="Times New Roman"/>
          <w:sz w:val="24"/>
          <w:szCs w:val="24"/>
          <w:lang w:eastAsia="en-AU"/>
        </w:rPr>
        <w:t>chedules to, th</w:t>
      </w:r>
      <w:r w:rsidR="00A37C2F">
        <w:rPr>
          <w:rFonts w:ascii="Times New Roman" w:eastAsia="Times New Roman" w:hAnsi="Times New Roman" w:cs="Times New Roman"/>
          <w:sz w:val="24"/>
          <w:szCs w:val="24"/>
          <w:lang w:eastAsia="en-AU"/>
        </w:rPr>
        <w:t xml:space="preserve">e </w:t>
      </w:r>
      <w:r w:rsidR="00D16578">
        <w:rPr>
          <w:rFonts w:ascii="Times New Roman" w:eastAsia="Times New Roman" w:hAnsi="Times New Roman" w:cs="Times New Roman"/>
          <w:sz w:val="24"/>
          <w:szCs w:val="24"/>
          <w:lang w:eastAsia="en-AU"/>
        </w:rPr>
        <w:t xml:space="preserve">Direction </w:t>
      </w:r>
      <w:r w:rsidRPr="00CD57A6">
        <w:rPr>
          <w:rFonts w:ascii="Times New Roman" w:eastAsia="Times New Roman" w:hAnsi="Times New Roman" w:cs="Times New Roman"/>
          <w:sz w:val="24"/>
          <w:szCs w:val="24"/>
          <w:lang w:eastAsia="en-AU"/>
        </w:rPr>
        <w:t xml:space="preserve">apply to any alternative Financing Mechanisms, other than </w:t>
      </w:r>
      <w:r w:rsidR="006D68B2">
        <w:rPr>
          <w:rFonts w:ascii="Times New Roman" w:eastAsia="Times New Roman" w:hAnsi="Times New Roman" w:cs="Times New Roman"/>
          <w:sz w:val="24"/>
          <w:szCs w:val="24"/>
          <w:lang w:eastAsia="en-AU"/>
        </w:rPr>
        <w:t>section</w:t>
      </w:r>
      <w:r w:rsidRPr="00CD57A6">
        <w:rPr>
          <w:rFonts w:ascii="Times New Roman" w:eastAsia="Times New Roman" w:hAnsi="Times New Roman" w:cs="Times New Roman"/>
          <w:sz w:val="24"/>
          <w:szCs w:val="24"/>
          <w:lang w:eastAsia="en-AU"/>
        </w:rPr>
        <w:t xml:space="preserve"> 10 (which is specific to loans), or where otherwise stated. </w:t>
      </w:r>
    </w:p>
    <w:p w14:paraId="78699451" w14:textId="31AD2A63" w:rsidR="009F0924" w:rsidRPr="00CD57A6" w:rsidRDefault="009F0924" w:rsidP="005823FB">
      <w:pPr>
        <w:spacing w:before="0" w:after="240" w:line="280" w:lineRule="atLeast"/>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Sub</w:t>
      </w:r>
      <w:r w:rsidR="006D68B2">
        <w:rPr>
          <w:rFonts w:ascii="Times New Roman" w:eastAsia="Times New Roman" w:hAnsi="Times New Roman" w:cs="Times New Roman"/>
          <w:sz w:val="24"/>
          <w:szCs w:val="24"/>
          <w:lang w:eastAsia="en-AU"/>
        </w:rPr>
        <w:t>section</w:t>
      </w:r>
      <w:r w:rsidRPr="00CD57A6">
        <w:rPr>
          <w:rFonts w:ascii="Times New Roman" w:eastAsia="Times New Roman" w:hAnsi="Times New Roman" w:cs="Times New Roman"/>
          <w:sz w:val="24"/>
          <w:szCs w:val="24"/>
          <w:lang w:eastAsia="en-AU"/>
        </w:rPr>
        <w:t xml:space="preserve"> 11(3) sets out the process </w:t>
      </w:r>
      <w:r w:rsidR="00F8248E">
        <w:rPr>
          <w:rFonts w:ascii="Times New Roman" w:eastAsia="Times New Roman" w:hAnsi="Times New Roman" w:cs="Times New Roman"/>
          <w:sz w:val="24"/>
          <w:szCs w:val="24"/>
          <w:lang w:eastAsia="en-AU"/>
        </w:rPr>
        <w:t>t</w:t>
      </w:r>
      <w:r w:rsidRPr="00CD57A6">
        <w:rPr>
          <w:rFonts w:ascii="Times New Roman" w:eastAsia="Times New Roman" w:hAnsi="Times New Roman" w:cs="Times New Roman"/>
          <w:sz w:val="24"/>
          <w:szCs w:val="24"/>
          <w:lang w:eastAsia="en-AU"/>
        </w:rPr>
        <w:t xml:space="preserve">he Board </w:t>
      </w:r>
      <w:r w:rsidR="00F8248E">
        <w:rPr>
          <w:rFonts w:ascii="Times New Roman" w:eastAsia="Times New Roman" w:hAnsi="Times New Roman" w:cs="Times New Roman"/>
          <w:sz w:val="24"/>
          <w:szCs w:val="24"/>
          <w:lang w:eastAsia="en-AU"/>
        </w:rPr>
        <w:t xml:space="preserve">must take </w:t>
      </w:r>
      <w:r w:rsidRPr="00CD57A6">
        <w:rPr>
          <w:rFonts w:ascii="Times New Roman" w:eastAsia="Times New Roman" w:hAnsi="Times New Roman" w:cs="Times New Roman"/>
          <w:sz w:val="24"/>
          <w:szCs w:val="24"/>
          <w:lang w:eastAsia="en-AU"/>
        </w:rPr>
        <w:t xml:space="preserve">to seek agreement from the responsible Minister to the use of an alternative Financing Mechanism. </w:t>
      </w:r>
    </w:p>
    <w:p w14:paraId="056BCFA8" w14:textId="30114AE3" w:rsidR="009F0924" w:rsidRPr="00CD57A6" w:rsidRDefault="009F0924" w:rsidP="005823FB">
      <w:pPr>
        <w:spacing w:before="0" w:after="240" w:line="280" w:lineRule="atLeast"/>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Sub</w:t>
      </w:r>
      <w:r w:rsidR="006D68B2">
        <w:rPr>
          <w:rFonts w:ascii="Times New Roman" w:eastAsia="Times New Roman" w:hAnsi="Times New Roman" w:cs="Times New Roman"/>
          <w:sz w:val="24"/>
          <w:szCs w:val="24"/>
          <w:lang w:eastAsia="en-AU"/>
        </w:rPr>
        <w:t>section</w:t>
      </w:r>
      <w:r w:rsidRPr="00CD57A6">
        <w:rPr>
          <w:rFonts w:ascii="Times New Roman" w:eastAsia="Times New Roman" w:hAnsi="Times New Roman" w:cs="Times New Roman"/>
          <w:sz w:val="24"/>
          <w:szCs w:val="24"/>
          <w:lang w:eastAsia="en-AU"/>
        </w:rPr>
        <w:t xml:space="preserve"> 11(4) specifies that the responsible Minister </w:t>
      </w:r>
      <w:r w:rsidR="00D16578">
        <w:rPr>
          <w:rFonts w:ascii="Times New Roman" w:eastAsia="Times New Roman" w:hAnsi="Times New Roman" w:cs="Times New Roman"/>
          <w:sz w:val="24"/>
          <w:szCs w:val="24"/>
          <w:lang w:eastAsia="en-AU"/>
        </w:rPr>
        <w:t>will</w:t>
      </w:r>
      <w:r w:rsidRPr="00CD57A6">
        <w:rPr>
          <w:rFonts w:ascii="Times New Roman" w:eastAsia="Times New Roman" w:hAnsi="Times New Roman" w:cs="Times New Roman"/>
          <w:sz w:val="24"/>
          <w:szCs w:val="24"/>
          <w:lang w:eastAsia="en-AU"/>
        </w:rPr>
        <w:t xml:space="preserve"> seek agreement from the Minister for Finance</w:t>
      </w:r>
      <w:r w:rsidR="000E20B2">
        <w:rPr>
          <w:rFonts w:ascii="Times New Roman" w:eastAsia="Times New Roman" w:hAnsi="Times New Roman" w:cs="Times New Roman"/>
          <w:sz w:val="24"/>
          <w:szCs w:val="24"/>
          <w:lang w:eastAsia="en-AU"/>
        </w:rPr>
        <w:t xml:space="preserve"> and the Treasurer</w:t>
      </w:r>
      <w:r w:rsidRPr="00CD57A6">
        <w:rPr>
          <w:rFonts w:ascii="Times New Roman" w:eastAsia="Times New Roman" w:hAnsi="Times New Roman" w:cs="Times New Roman"/>
          <w:sz w:val="24"/>
          <w:szCs w:val="24"/>
          <w:lang w:eastAsia="en-AU"/>
        </w:rPr>
        <w:t>, and consult with the relevant jurisdiction(s), prior to agreeing to the use of an alternative Financing Mechanism.</w:t>
      </w:r>
    </w:p>
    <w:p w14:paraId="140A069F" w14:textId="63412E32" w:rsidR="009F0924" w:rsidRPr="00CD57A6" w:rsidRDefault="009F0924" w:rsidP="005823FB">
      <w:pPr>
        <w:spacing w:before="0" w:after="240" w:line="280" w:lineRule="atLeast"/>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Sub</w:t>
      </w:r>
      <w:r w:rsidR="006D68B2">
        <w:rPr>
          <w:rFonts w:ascii="Times New Roman" w:eastAsia="Times New Roman" w:hAnsi="Times New Roman" w:cs="Times New Roman"/>
          <w:sz w:val="24"/>
          <w:szCs w:val="24"/>
          <w:lang w:eastAsia="en-AU"/>
        </w:rPr>
        <w:t>section</w:t>
      </w:r>
      <w:r w:rsidRPr="00CD57A6">
        <w:rPr>
          <w:rFonts w:ascii="Times New Roman" w:eastAsia="Times New Roman" w:hAnsi="Times New Roman" w:cs="Times New Roman"/>
          <w:sz w:val="24"/>
          <w:szCs w:val="24"/>
          <w:lang w:eastAsia="en-AU"/>
        </w:rPr>
        <w:t xml:space="preserve"> 11(5) states that the Facility will not provide equity for a Project. This means the Facility will not take on an ownership stake in a Project. This does not prevent the Board from utilising alternative Financing Mechanisms that subject the Commonwealth to risks associated with the operation</w:t>
      </w:r>
      <w:r>
        <w:rPr>
          <w:rFonts w:ascii="Times New Roman" w:eastAsia="Times New Roman" w:hAnsi="Times New Roman" w:cs="Times New Roman"/>
          <w:sz w:val="24"/>
          <w:szCs w:val="24"/>
          <w:lang w:eastAsia="en-AU"/>
        </w:rPr>
        <w:t xml:space="preserve"> and performance of a Project.</w:t>
      </w:r>
    </w:p>
    <w:p w14:paraId="5FACCA24" w14:textId="5696198A" w:rsidR="009F0924" w:rsidRPr="009F0924" w:rsidRDefault="005E0761" w:rsidP="005823FB">
      <w:pPr>
        <w:pStyle w:val="Heading3"/>
        <w:spacing w:line="280" w:lineRule="atLeast"/>
      </w:pPr>
      <w:r>
        <w:rPr>
          <w:szCs w:val="24"/>
        </w:rPr>
        <w:t>Section</w:t>
      </w:r>
      <w:r w:rsidRPr="006745C3">
        <w:rPr>
          <w:szCs w:val="24"/>
        </w:rPr>
        <w:t xml:space="preserve"> </w:t>
      </w:r>
      <w:r w:rsidR="009F0924" w:rsidRPr="00CD57A6">
        <w:t>12—Investment risk</w:t>
      </w:r>
    </w:p>
    <w:p w14:paraId="335A44BC" w14:textId="3395EC93" w:rsidR="00B33A31" w:rsidRPr="00B33A31" w:rsidRDefault="00B33A31" w:rsidP="00B33A31">
      <w:pPr>
        <w:spacing w:before="0" w:after="240" w:line="280" w:lineRule="atLeast"/>
        <w:rPr>
          <w:rFonts w:ascii="Times New Roman" w:eastAsia="Times New Roman" w:hAnsi="Times New Roman" w:cs="Times New Roman"/>
          <w:sz w:val="24"/>
          <w:szCs w:val="24"/>
          <w:lang w:eastAsia="en-AU"/>
        </w:rPr>
      </w:pPr>
      <w:r w:rsidRPr="00B33A31">
        <w:rPr>
          <w:rFonts w:ascii="Times New Roman" w:eastAsia="Times New Roman" w:hAnsi="Times New Roman" w:cs="Times New Roman"/>
          <w:sz w:val="24"/>
          <w:szCs w:val="24"/>
          <w:lang w:eastAsia="en-AU"/>
        </w:rPr>
        <w:t>Subsection 12(1) sets out risk related matters that the Board must have regard to for each Project that the Facility provides assistance to.</w:t>
      </w:r>
    </w:p>
    <w:p w14:paraId="07D6A9D4" w14:textId="2AB0BA46" w:rsidR="001153E1" w:rsidRPr="001153E1" w:rsidRDefault="001153E1" w:rsidP="001153E1">
      <w:pPr>
        <w:spacing w:before="0" w:after="240" w:line="280" w:lineRule="atLeast"/>
        <w:rPr>
          <w:rFonts w:ascii="Times New Roman" w:eastAsia="Times New Roman" w:hAnsi="Times New Roman" w:cs="Times New Roman"/>
          <w:sz w:val="24"/>
          <w:szCs w:val="24"/>
          <w:lang w:eastAsia="en-AU"/>
        </w:rPr>
      </w:pPr>
      <w:r w:rsidRPr="001153E1">
        <w:rPr>
          <w:rFonts w:ascii="Times New Roman" w:eastAsia="Times New Roman" w:hAnsi="Times New Roman" w:cs="Times New Roman"/>
          <w:sz w:val="24"/>
          <w:szCs w:val="24"/>
          <w:lang w:eastAsia="en-AU"/>
        </w:rPr>
        <w:t xml:space="preserve">Paragraphs 12(1)(a) and (b) </w:t>
      </w:r>
      <w:r w:rsidR="00BD07E4">
        <w:rPr>
          <w:rFonts w:ascii="Times New Roman" w:eastAsia="Times New Roman" w:hAnsi="Times New Roman" w:cs="Times New Roman"/>
          <w:sz w:val="24"/>
          <w:szCs w:val="24"/>
          <w:lang w:eastAsia="en-AU"/>
        </w:rPr>
        <w:t xml:space="preserve">are intended to </w:t>
      </w:r>
      <w:r w:rsidRPr="001153E1">
        <w:rPr>
          <w:rFonts w:ascii="Times New Roman" w:eastAsia="Times New Roman" w:hAnsi="Times New Roman" w:cs="Times New Roman"/>
          <w:sz w:val="24"/>
          <w:szCs w:val="24"/>
          <w:lang w:eastAsia="en-AU"/>
        </w:rPr>
        <w:t>ensure that there is a reasona</w:t>
      </w:r>
      <w:r w:rsidR="00071544">
        <w:rPr>
          <w:rFonts w:ascii="Times New Roman" w:eastAsia="Times New Roman" w:hAnsi="Times New Roman" w:cs="Times New Roman"/>
          <w:sz w:val="24"/>
          <w:szCs w:val="24"/>
          <w:lang w:eastAsia="en-AU"/>
        </w:rPr>
        <w:t>ble allocation of risk for the P</w:t>
      </w:r>
      <w:r w:rsidRPr="001153E1">
        <w:rPr>
          <w:rFonts w:ascii="Times New Roman" w:eastAsia="Times New Roman" w:hAnsi="Times New Roman" w:cs="Times New Roman"/>
          <w:sz w:val="24"/>
          <w:szCs w:val="24"/>
          <w:lang w:eastAsia="en-AU"/>
        </w:rPr>
        <w:t xml:space="preserve">roject between NAIF and other sources of finance. Paragraph 12(1)(c) ensures that the Board must be satisfied that </w:t>
      </w:r>
      <w:r>
        <w:rPr>
          <w:rFonts w:ascii="Times New Roman" w:eastAsia="Times New Roman" w:hAnsi="Times New Roman" w:cs="Times New Roman"/>
          <w:sz w:val="24"/>
          <w:szCs w:val="24"/>
          <w:lang w:eastAsia="en-AU"/>
        </w:rPr>
        <w:t>the Facility</w:t>
      </w:r>
      <w:r w:rsidRPr="001153E1">
        <w:rPr>
          <w:rFonts w:ascii="Times New Roman" w:eastAsia="Times New Roman" w:hAnsi="Times New Roman" w:cs="Times New Roman"/>
          <w:sz w:val="24"/>
          <w:szCs w:val="24"/>
          <w:lang w:eastAsia="en-AU"/>
        </w:rPr>
        <w:t xml:space="preserve"> only takes on risks that </w:t>
      </w:r>
      <w:r w:rsidR="006577A7">
        <w:rPr>
          <w:rFonts w:ascii="Times New Roman" w:eastAsia="Times New Roman" w:hAnsi="Times New Roman" w:cs="Times New Roman"/>
          <w:sz w:val="24"/>
          <w:szCs w:val="24"/>
          <w:lang w:eastAsia="en-AU"/>
        </w:rPr>
        <w:t>are</w:t>
      </w:r>
      <w:r w:rsidR="00BD07E4">
        <w:rPr>
          <w:rFonts w:ascii="Times New Roman" w:eastAsia="Times New Roman" w:hAnsi="Times New Roman" w:cs="Times New Roman"/>
          <w:sz w:val="24"/>
          <w:szCs w:val="24"/>
          <w:lang w:eastAsia="en-AU"/>
        </w:rPr>
        <w:t xml:space="preserve"> appropriately </w:t>
      </w:r>
      <w:r w:rsidRPr="001153E1">
        <w:rPr>
          <w:rFonts w:ascii="Times New Roman" w:eastAsia="Times New Roman" w:hAnsi="Times New Roman" w:cs="Times New Roman"/>
          <w:sz w:val="24"/>
          <w:szCs w:val="24"/>
          <w:lang w:eastAsia="en-AU"/>
        </w:rPr>
        <w:t>manage</w:t>
      </w:r>
      <w:r w:rsidR="00895CA8">
        <w:rPr>
          <w:rFonts w:ascii="Times New Roman" w:eastAsia="Times New Roman" w:hAnsi="Times New Roman" w:cs="Times New Roman"/>
          <w:sz w:val="24"/>
          <w:szCs w:val="24"/>
          <w:lang w:eastAsia="en-AU"/>
        </w:rPr>
        <w:t>d</w:t>
      </w:r>
      <w:r w:rsidRPr="001153E1">
        <w:rPr>
          <w:rFonts w:ascii="Times New Roman" w:eastAsia="Times New Roman" w:hAnsi="Times New Roman" w:cs="Times New Roman"/>
          <w:sz w:val="24"/>
          <w:szCs w:val="24"/>
          <w:lang w:eastAsia="en-AU"/>
        </w:rPr>
        <w:t>.</w:t>
      </w:r>
    </w:p>
    <w:p w14:paraId="3C73C1D5" w14:textId="20494EA1" w:rsidR="00225159" w:rsidRDefault="001153E1" w:rsidP="001153E1">
      <w:pPr>
        <w:spacing w:before="0" w:after="240" w:line="280" w:lineRule="atLeast"/>
        <w:rPr>
          <w:rFonts w:ascii="Times New Roman" w:eastAsia="Times New Roman" w:hAnsi="Times New Roman" w:cs="Times New Roman"/>
          <w:sz w:val="24"/>
          <w:szCs w:val="24"/>
          <w:lang w:eastAsia="en-AU"/>
        </w:rPr>
      </w:pPr>
      <w:r w:rsidRPr="001153E1">
        <w:rPr>
          <w:rFonts w:ascii="Times New Roman" w:eastAsia="Times New Roman" w:hAnsi="Times New Roman" w:cs="Times New Roman"/>
          <w:sz w:val="24"/>
          <w:szCs w:val="24"/>
          <w:lang w:eastAsia="en-AU"/>
        </w:rPr>
        <w:t>Paragraph 12</w:t>
      </w:r>
      <w:r w:rsidR="00A576B2">
        <w:rPr>
          <w:rFonts w:ascii="Times New Roman" w:eastAsia="Times New Roman" w:hAnsi="Times New Roman" w:cs="Times New Roman"/>
          <w:sz w:val="24"/>
          <w:szCs w:val="24"/>
          <w:lang w:eastAsia="en-AU"/>
        </w:rPr>
        <w:t>(1)</w:t>
      </w:r>
      <w:r w:rsidRPr="001153E1">
        <w:rPr>
          <w:rFonts w:ascii="Times New Roman" w:eastAsia="Times New Roman" w:hAnsi="Times New Roman" w:cs="Times New Roman"/>
          <w:sz w:val="24"/>
          <w:szCs w:val="24"/>
          <w:lang w:eastAsia="en-AU"/>
        </w:rPr>
        <w:t xml:space="preserve">(d) requires the Board to identify all sources of Commonwealth financial risk </w:t>
      </w:r>
      <w:r w:rsidR="00BD07E4">
        <w:rPr>
          <w:rFonts w:ascii="Times New Roman" w:eastAsia="Times New Roman" w:hAnsi="Times New Roman" w:cs="Times New Roman"/>
          <w:sz w:val="24"/>
          <w:szCs w:val="24"/>
          <w:lang w:eastAsia="en-AU"/>
        </w:rPr>
        <w:t>in</w:t>
      </w:r>
      <w:r w:rsidR="00BD07E4" w:rsidRPr="001153E1">
        <w:rPr>
          <w:rFonts w:ascii="Times New Roman" w:eastAsia="Times New Roman" w:hAnsi="Times New Roman" w:cs="Times New Roman"/>
          <w:sz w:val="24"/>
          <w:szCs w:val="24"/>
          <w:lang w:eastAsia="en-AU"/>
        </w:rPr>
        <w:t xml:space="preserve"> </w:t>
      </w:r>
      <w:r w:rsidRPr="001153E1">
        <w:rPr>
          <w:rFonts w:ascii="Times New Roman" w:eastAsia="Times New Roman" w:hAnsi="Times New Roman" w:cs="Times New Roman"/>
          <w:sz w:val="24"/>
          <w:szCs w:val="24"/>
          <w:lang w:eastAsia="en-AU"/>
        </w:rPr>
        <w:t>a Project</w:t>
      </w:r>
      <w:r w:rsidR="00895CA8">
        <w:rPr>
          <w:rFonts w:ascii="Times New Roman" w:eastAsia="Times New Roman" w:hAnsi="Times New Roman" w:cs="Times New Roman"/>
          <w:sz w:val="24"/>
          <w:szCs w:val="24"/>
          <w:lang w:eastAsia="en-AU"/>
        </w:rPr>
        <w:t xml:space="preserve"> and be satisfied that </w:t>
      </w:r>
      <w:r w:rsidR="00895CA8" w:rsidRPr="001153E1">
        <w:rPr>
          <w:rFonts w:ascii="Times New Roman" w:eastAsia="Times New Roman" w:hAnsi="Times New Roman" w:cs="Times New Roman"/>
          <w:sz w:val="24"/>
          <w:szCs w:val="24"/>
          <w:lang w:eastAsia="en-AU"/>
        </w:rPr>
        <w:t>the Commonwealth does not hold the majority of th</w:t>
      </w:r>
      <w:r w:rsidR="00895CA8">
        <w:rPr>
          <w:rFonts w:ascii="Times New Roman" w:eastAsia="Times New Roman" w:hAnsi="Times New Roman" w:cs="Times New Roman"/>
          <w:sz w:val="24"/>
          <w:szCs w:val="24"/>
          <w:lang w:eastAsia="en-AU"/>
        </w:rPr>
        <w:t>at risk</w:t>
      </w:r>
      <w:r w:rsidRPr="001153E1">
        <w:rPr>
          <w:rFonts w:ascii="Times New Roman" w:eastAsia="Times New Roman" w:hAnsi="Times New Roman" w:cs="Times New Roman"/>
          <w:sz w:val="24"/>
          <w:szCs w:val="24"/>
          <w:lang w:eastAsia="en-AU"/>
        </w:rPr>
        <w:t xml:space="preserve">. </w:t>
      </w:r>
      <w:r w:rsidR="00BD07E4">
        <w:rPr>
          <w:rFonts w:ascii="Times New Roman" w:eastAsia="Times New Roman" w:hAnsi="Times New Roman" w:cs="Times New Roman"/>
          <w:sz w:val="24"/>
          <w:szCs w:val="24"/>
          <w:lang w:eastAsia="en-AU"/>
        </w:rPr>
        <w:t>Financial risk</w:t>
      </w:r>
      <w:r w:rsidR="00895CA8">
        <w:rPr>
          <w:rFonts w:ascii="Times New Roman" w:eastAsia="Times New Roman" w:hAnsi="Times New Roman" w:cs="Times New Roman"/>
          <w:sz w:val="24"/>
          <w:szCs w:val="24"/>
          <w:lang w:eastAsia="en-AU"/>
        </w:rPr>
        <w:t xml:space="preserve"> is borne by equity capital that carries the first loss risk. In assessing whether the Commonwealth holds the majority of the financial risk, the </w:t>
      </w:r>
      <w:r w:rsidRPr="001153E1">
        <w:rPr>
          <w:rFonts w:ascii="Times New Roman" w:eastAsia="Times New Roman" w:hAnsi="Times New Roman" w:cs="Times New Roman"/>
          <w:sz w:val="24"/>
          <w:szCs w:val="24"/>
          <w:lang w:eastAsia="en-AU"/>
        </w:rPr>
        <w:t xml:space="preserve">Board </w:t>
      </w:r>
      <w:r w:rsidR="00895CA8">
        <w:rPr>
          <w:rFonts w:ascii="Times New Roman" w:eastAsia="Times New Roman" w:hAnsi="Times New Roman" w:cs="Times New Roman"/>
          <w:sz w:val="24"/>
          <w:szCs w:val="24"/>
          <w:lang w:eastAsia="en-AU"/>
        </w:rPr>
        <w:t xml:space="preserve">should consider the proportion of equity capital held by the Commonwealth. </w:t>
      </w:r>
    </w:p>
    <w:p w14:paraId="2B475F10" w14:textId="3E97FCD3" w:rsidR="006577A7" w:rsidRDefault="006577A7" w:rsidP="001153E1">
      <w:pPr>
        <w:spacing w:before="0" w:after="240" w:line="28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For the avoidance of doubt, satisfaction of subsection 12(1) does not preclude the Facility being the sole provider of debt finance to a Project.</w:t>
      </w:r>
    </w:p>
    <w:p w14:paraId="18ED0214" w14:textId="4F9CFF25" w:rsidR="005320C7" w:rsidRDefault="005320C7" w:rsidP="00B33A31">
      <w:pPr>
        <w:spacing w:before="0" w:after="240" w:line="28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Subsection 12(2) to (4) </w:t>
      </w:r>
      <w:r w:rsidRPr="005320C7">
        <w:rPr>
          <w:rFonts w:ascii="Times New Roman" w:eastAsia="Times New Roman" w:hAnsi="Times New Roman" w:cs="Times New Roman"/>
          <w:sz w:val="24"/>
          <w:szCs w:val="24"/>
          <w:lang w:eastAsia="en-AU"/>
        </w:rPr>
        <w:t>outlines how the Facility is</w:t>
      </w:r>
      <w:r w:rsidR="00465427">
        <w:rPr>
          <w:rFonts w:ascii="Times New Roman" w:eastAsia="Times New Roman" w:hAnsi="Times New Roman" w:cs="Times New Roman"/>
          <w:sz w:val="24"/>
          <w:szCs w:val="24"/>
          <w:lang w:eastAsia="en-AU"/>
        </w:rPr>
        <w:t xml:space="preserve"> to</w:t>
      </w:r>
      <w:r w:rsidRPr="005320C7">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develop its Risk Appetite Statement, which will </w:t>
      </w:r>
      <w:r w:rsidRPr="005320C7">
        <w:rPr>
          <w:rFonts w:ascii="Times New Roman" w:eastAsia="Times New Roman" w:hAnsi="Times New Roman" w:cs="Times New Roman"/>
          <w:sz w:val="24"/>
          <w:szCs w:val="24"/>
          <w:lang w:eastAsia="en-AU"/>
        </w:rPr>
        <w:t>guide its Investment Decisions</w:t>
      </w:r>
      <w:r>
        <w:rPr>
          <w:rFonts w:ascii="Times New Roman" w:eastAsia="Times New Roman" w:hAnsi="Times New Roman" w:cs="Times New Roman"/>
          <w:sz w:val="24"/>
          <w:szCs w:val="24"/>
          <w:lang w:eastAsia="en-AU"/>
        </w:rPr>
        <w:t>.</w:t>
      </w:r>
    </w:p>
    <w:p w14:paraId="19CD9658" w14:textId="2E9FA4A2" w:rsidR="005320C7" w:rsidRDefault="005320C7" w:rsidP="00B33A31">
      <w:pPr>
        <w:spacing w:before="0" w:after="240" w:line="28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Subsection 12(2) requires the Facility to develop a Risk Appetite Statement in consultation with the Minister and Northern Australia jurisdictions. Subsection 12(3) requires the Risk Appetite Statement to have a preference for a diversified portfolio.</w:t>
      </w:r>
    </w:p>
    <w:p w14:paraId="55964420" w14:textId="3240DFB0" w:rsidR="005320C7" w:rsidRDefault="005320C7" w:rsidP="00B33A31">
      <w:pPr>
        <w:spacing w:before="0" w:after="240" w:line="28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Subsection 12(4) permits the Facility </w:t>
      </w:r>
      <w:r w:rsidRPr="005320C7">
        <w:rPr>
          <w:rFonts w:ascii="Times New Roman" w:eastAsia="Times New Roman" w:hAnsi="Times New Roman" w:cs="Times New Roman"/>
          <w:sz w:val="24"/>
          <w:szCs w:val="24"/>
          <w:lang w:eastAsia="en-AU"/>
        </w:rPr>
        <w:t>to have a greater tolerance for risk</w:t>
      </w:r>
      <w:r>
        <w:rPr>
          <w:rFonts w:ascii="Times New Roman" w:eastAsia="Times New Roman" w:hAnsi="Times New Roman" w:cs="Times New Roman"/>
          <w:sz w:val="24"/>
          <w:szCs w:val="24"/>
          <w:lang w:eastAsia="en-AU"/>
        </w:rPr>
        <w:t xml:space="preserve"> (</w:t>
      </w:r>
      <w:r w:rsidRPr="005320C7">
        <w:rPr>
          <w:rFonts w:ascii="Times New Roman" w:eastAsia="Times New Roman" w:hAnsi="Times New Roman" w:cs="Times New Roman"/>
          <w:sz w:val="24"/>
          <w:szCs w:val="24"/>
          <w:lang w:eastAsia="en-AU"/>
        </w:rPr>
        <w:t>relative to Commercial Financiers</w:t>
      </w:r>
      <w:r>
        <w:rPr>
          <w:rFonts w:ascii="Times New Roman" w:eastAsia="Times New Roman" w:hAnsi="Times New Roman" w:cs="Times New Roman"/>
          <w:sz w:val="24"/>
          <w:szCs w:val="24"/>
          <w:lang w:eastAsia="en-AU"/>
        </w:rPr>
        <w:t>)</w:t>
      </w:r>
      <w:r w:rsidRPr="005320C7">
        <w:rPr>
          <w:rFonts w:ascii="Times New Roman" w:eastAsia="Times New Roman" w:hAnsi="Times New Roman" w:cs="Times New Roman"/>
          <w:sz w:val="24"/>
          <w:szCs w:val="24"/>
          <w:lang w:eastAsia="en-AU"/>
        </w:rPr>
        <w:t xml:space="preserve"> due to factors unique to </w:t>
      </w:r>
      <w:r w:rsidR="0058109E">
        <w:rPr>
          <w:rFonts w:ascii="Times New Roman" w:eastAsia="Times New Roman" w:hAnsi="Times New Roman" w:cs="Times New Roman"/>
          <w:sz w:val="24"/>
          <w:szCs w:val="24"/>
          <w:lang w:eastAsia="en-AU"/>
        </w:rPr>
        <w:t xml:space="preserve">investing in </w:t>
      </w:r>
      <w:r w:rsidRPr="005320C7">
        <w:rPr>
          <w:rFonts w:ascii="Times New Roman" w:eastAsia="Times New Roman" w:hAnsi="Times New Roman" w:cs="Times New Roman"/>
          <w:sz w:val="24"/>
          <w:szCs w:val="24"/>
          <w:lang w:eastAsia="en-AU"/>
        </w:rPr>
        <w:t>Northern Australia</w:t>
      </w:r>
      <w:r>
        <w:rPr>
          <w:rFonts w:ascii="Times New Roman" w:eastAsia="Times New Roman" w:hAnsi="Times New Roman" w:cs="Times New Roman"/>
          <w:sz w:val="24"/>
          <w:szCs w:val="24"/>
          <w:lang w:eastAsia="en-AU"/>
        </w:rPr>
        <w:t>n economic infrastructure</w:t>
      </w:r>
      <w:r w:rsidRPr="005320C7">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Subsection 12(5) requires the Facility to review the Risk Appetite Statement at least annually.</w:t>
      </w:r>
    </w:p>
    <w:p w14:paraId="0E7D4A44" w14:textId="6816FBD2" w:rsidR="009F0924" w:rsidRPr="009F0924" w:rsidRDefault="005E0761" w:rsidP="005823FB">
      <w:pPr>
        <w:pStyle w:val="Heading3"/>
        <w:spacing w:line="280" w:lineRule="atLeast"/>
      </w:pPr>
      <w:r>
        <w:rPr>
          <w:szCs w:val="24"/>
        </w:rPr>
        <w:t>Section</w:t>
      </w:r>
      <w:r w:rsidRPr="006745C3">
        <w:rPr>
          <w:szCs w:val="24"/>
        </w:rPr>
        <w:t xml:space="preserve"> </w:t>
      </w:r>
      <w:r w:rsidR="009F0924" w:rsidRPr="00CD57A6">
        <w:t>13—Consultation</w:t>
      </w:r>
    </w:p>
    <w:p w14:paraId="7796D65D" w14:textId="05D9B358" w:rsidR="009F0924" w:rsidRPr="00CD57A6" w:rsidRDefault="006D68B2" w:rsidP="005823FB">
      <w:pPr>
        <w:spacing w:before="0" w:after="240" w:line="28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Section</w:t>
      </w:r>
      <w:r w:rsidR="009F0924" w:rsidRPr="00CD57A6">
        <w:rPr>
          <w:rFonts w:ascii="Times New Roman" w:eastAsia="Times New Roman" w:hAnsi="Times New Roman" w:cs="Times New Roman"/>
          <w:sz w:val="24"/>
          <w:szCs w:val="24"/>
          <w:lang w:eastAsia="en-AU"/>
        </w:rPr>
        <w:t xml:space="preserve"> 13 provides information on the consultation processes the Facility is to undertake with jurisdictions. It specifies that the Facility’s consultation process with relevant jurisdictions must commence as soon as practicable after receiving an Investment Proposal. The relevant jurisdiction is where the Project is located, and can include multiple jurisdictions. The purpose of this </w:t>
      </w:r>
      <w:r>
        <w:rPr>
          <w:rFonts w:ascii="Times New Roman" w:eastAsia="Times New Roman" w:hAnsi="Times New Roman" w:cs="Times New Roman"/>
          <w:sz w:val="24"/>
          <w:szCs w:val="24"/>
          <w:lang w:eastAsia="en-AU"/>
        </w:rPr>
        <w:t>section</w:t>
      </w:r>
      <w:r w:rsidR="009F0924" w:rsidRPr="00CD57A6">
        <w:rPr>
          <w:rFonts w:ascii="Times New Roman" w:eastAsia="Times New Roman" w:hAnsi="Times New Roman" w:cs="Times New Roman"/>
          <w:sz w:val="24"/>
          <w:szCs w:val="24"/>
          <w:lang w:eastAsia="en-AU"/>
        </w:rPr>
        <w:t xml:space="preserve"> is for the relevant jurisdiction to be fully engaged on a Project, and for the Project Proponent to be informed as soon as possible if the Project will not be supported. Where a Project crosses jurisdictional boundaries, consultation is to occur with all jurisdictions in which the Project falls, but this does not preclude the jurisdictions agreeing to appoint a lead jurisdiction for a particular Project. </w:t>
      </w:r>
    </w:p>
    <w:p w14:paraId="70AA9F73" w14:textId="0BC1E787" w:rsidR="009F0924" w:rsidRPr="009F0924" w:rsidRDefault="005E0761" w:rsidP="005823FB">
      <w:pPr>
        <w:pStyle w:val="Heading3"/>
        <w:spacing w:line="280" w:lineRule="atLeast"/>
      </w:pPr>
      <w:r>
        <w:rPr>
          <w:szCs w:val="24"/>
        </w:rPr>
        <w:t>Section</w:t>
      </w:r>
      <w:r w:rsidRPr="006745C3">
        <w:rPr>
          <w:szCs w:val="24"/>
        </w:rPr>
        <w:t xml:space="preserve"> </w:t>
      </w:r>
      <w:r w:rsidR="009F0924" w:rsidRPr="00CD57A6">
        <w:t>14—Relationship with other Government entities</w:t>
      </w:r>
    </w:p>
    <w:p w14:paraId="5CB3EDBF" w14:textId="77FAE585" w:rsidR="009F0924" w:rsidRPr="00CD57A6" w:rsidRDefault="006D68B2" w:rsidP="005823FB">
      <w:pPr>
        <w:spacing w:before="0" w:after="240" w:line="28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Section</w:t>
      </w:r>
      <w:r w:rsidR="009F0924" w:rsidRPr="00CD57A6">
        <w:rPr>
          <w:rFonts w:ascii="Times New Roman" w:eastAsia="Times New Roman" w:hAnsi="Times New Roman" w:cs="Times New Roman"/>
          <w:sz w:val="24"/>
          <w:szCs w:val="24"/>
          <w:lang w:eastAsia="en-AU"/>
        </w:rPr>
        <w:t xml:space="preserve"> 14 specifies that the Facility must consult with Infrastructure Australia on </w:t>
      </w:r>
      <w:r w:rsidR="00747EBB">
        <w:rPr>
          <w:rFonts w:ascii="Times New Roman" w:eastAsia="Times New Roman" w:hAnsi="Times New Roman" w:cs="Times New Roman"/>
          <w:sz w:val="24"/>
          <w:szCs w:val="24"/>
          <w:lang w:eastAsia="en-AU"/>
        </w:rPr>
        <w:t xml:space="preserve">Investment </w:t>
      </w:r>
      <w:r w:rsidR="004E7BC3">
        <w:rPr>
          <w:rFonts w:ascii="Times New Roman" w:eastAsia="Times New Roman" w:hAnsi="Times New Roman" w:cs="Times New Roman"/>
          <w:sz w:val="24"/>
          <w:szCs w:val="24"/>
          <w:lang w:eastAsia="en-AU"/>
        </w:rPr>
        <w:t xml:space="preserve">Proposals </w:t>
      </w:r>
      <w:r w:rsidR="004E7BC3" w:rsidRPr="00CD57A6">
        <w:rPr>
          <w:rFonts w:ascii="Times New Roman" w:eastAsia="Times New Roman" w:hAnsi="Times New Roman" w:cs="Times New Roman"/>
          <w:sz w:val="24"/>
          <w:szCs w:val="24"/>
          <w:lang w:eastAsia="en-AU"/>
        </w:rPr>
        <w:t>where</w:t>
      </w:r>
      <w:r w:rsidR="009F0924" w:rsidRPr="00CD57A6">
        <w:rPr>
          <w:rFonts w:ascii="Times New Roman" w:eastAsia="Times New Roman" w:hAnsi="Times New Roman" w:cs="Times New Roman"/>
          <w:sz w:val="24"/>
          <w:szCs w:val="24"/>
          <w:lang w:eastAsia="en-AU"/>
        </w:rPr>
        <w:t xml:space="preserve"> the </w:t>
      </w:r>
      <w:r w:rsidR="00747EBB">
        <w:rPr>
          <w:rFonts w:ascii="Times New Roman" w:eastAsia="Times New Roman" w:hAnsi="Times New Roman" w:cs="Times New Roman"/>
          <w:sz w:val="24"/>
          <w:szCs w:val="24"/>
          <w:lang w:eastAsia="en-AU"/>
        </w:rPr>
        <w:t>Facility’s</w:t>
      </w:r>
      <w:r w:rsidR="00747EBB" w:rsidRPr="00CD57A6">
        <w:rPr>
          <w:rFonts w:ascii="Times New Roman" w:eastAsia="Times New Roman" w:hAnsi="Times New Roman" w:cs="Times New Roman"/>
          <w:sz w:val="24"/>
          <w:szCs w:val="24"/>
          <w:lang w:eastAsia="en-AU"/>
        </w:rPr>
        <w:t xml:space="preserve"> </w:t>
      </w:r>
      <w:r w:rsidR="009F0924" w:rsidRPr="00CD57A6">
        <w:rPr>
          <w:rFonts w:ascii="Times New Roman" w:eastAsia="Times New Roman" w:hAnsi="Times New Roman" w:cs="Times New Roman"/>
          <w:sz w:val="24"/>
          <w:szCs w:val="24"/>
          <w:lang w:eastAsia="en-AU"/>
        </w:rPr>
        <w:t xml:space="preserve">investment is $100 million or greater. As appropriate, the Facility must consult with relevant government stakeholders including for example Commonwealth departments and local councils. </w:t>
      </w:r>
    </w:p>
    <w:p w14:paraId="7DB492AC" w14:textId="137FA8A6" w:rsidR="009F0924" w:rsidRPr="009F0924" w:rsidRDefault="005E0761" w:rsidP="005823FB">
      <w:pPr>
        <w:pStyle w:val="Heading3"/>
        <w:spacing w:line="280" w:lineRule="atLeast"/>
      </w:pPr>
      <w:r>
        <w:rPr>
          <w:szCs w:val="24"/>
        </w:rPr>
        <w:t>Section</w:t>
      </w:r>
      <w:r w:rsidRPr="006745C3">
        <w:rPr>
          <w:szCs w:val="24"/>
        </w:rPr>
        <w:t xml:space="preserve"> </w:t>
      </w:r>
      <w:r w:rsidR="009F0924" w:rsidRPr="00CD57A6">
        <w:t>15—Regulatory and environmental approvals</w:t>
      </w:r>
    </w:p>
    <w:p w14:paraId="5E267096" w14:textId="3F38105D" w:rsidR="00A37C2F" w:rsidRDefault="00092BF2" w:rsidP="005823FB">
      <w:pPr>
        <w:spacing w:before="0" w:after="240" w:line="28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Section</w:t>
      </w:r>
      <w:r w:rsidRPr="00092BF2">
        <w:rPr>
          <w:rFonts w:ascii="Times New Roman" w:eastAsia="Times New Roman" w:hAnsi="Times New Roman" w:cs="Times New Roman"/>
          <w:sz w:val="24"/>
          <w:szCs w:val="24"/>
          <w:lang w:eastAsia="en-AU"/>
        </w:rPr>
        <w:t xml:space="preserve"> 15 requires that financ</w:t>
      </w:r>
      <w:r w:rsidR="00D16578">
        <w:rPr>
          <w:rFonts w:ascii="Times New Roman" w:eastAsia="Times New Roman" w:hAnsi="Times New Roman" w:cs="Times New Roman"/>
          <w:sz w:val="24"/>
          <w:szCs w:val="24"/>
          <w:lang w:eastAsia="en-AU"/>
        </w:rPr>
        <w:t>ial assistance</w:t>
      </w:r>
      <w:r w:rsidRPr="00092BF2">
        <w:rPr>
          <w:rFonts w:ascii="Times New Roman" w:eastAsia="Times New Roman" w:hAnsi="Times New Roman" w:cs="Times New Roman"/>
          <w:sz w:val="24"/>
          <w:szCs w:val="24"/>
          <w:lang w:eastAsia="en-AU"/>
        </w:rPr>
        <w:t xml:space="preserve"> cannot be provided to a Project Proponent unless such approvals are in place in order to ensure that all Projects invested in by the Facility are compliant with all relevant regulatory, environmental and Native Title approvals and arrangements for each stage of the Project</w:t>
      </w:r>
      <w:r w:rsidR="00A37C2F">
        <w:rPr>
          <w:rFonts w:ascii="Times New Roman" w:eastAsia="Times New Roman" w:hAnsi="Times New Roman" w:cs="Times New Roman"/>
          <w:sz w:val="24"/>
          <w:szCs w:val="24"/>
          <w:lang w:eastAsia="en-AU"/>
        </w:rPr>
        <w:t>.</w:t>
      </w:r>
    </w:p>
    <w:p w14:paraId="297CA9C2" w14:textId="45351954" w:rsidR="009F0924" w:rsidRPr="00CD57A6" w:rsidRDefault="009F0924" w:rsidP="005823FB">
      <w:pPr>
        <w:spacing w:before="0" w:after="240" w:line="280" w:lineRule="atLeast"/>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This could include the implementation of water arrangements under the National Water </w:t>
      </w:r>
      <w:r>
        <w:rPr>
          <w:rFonts w:ascii="Times New Roman" w:eastAsia="Times New Roman" w:hAnsi="Times New Roman" w:cs="Times New Roman"/>
          <w:sz w:val="24"/>
          <w:szCs w:val="24"/>
          <w:lang w:eastAsia="en-AU"/>
        </w:rPr>
        <w:t>Initiative</w:t>
      </w:r>
      <w:r w:rsidR="00A37C2F">
        <w:rPr>
          <w:rFonts w:ascii="Times New Roman" w:eastAsia="Times New Roman" w:hAnsi="Times New Roman" w:cs="Times New Roman"/>
          <w:sz w:val="24"/>
          <w:szCs w:val="24"/>
          <w:lang w:eastAsia="en-AU"/>
        </w:rPr>
        <w:t>,</w:t>
      </w:r>
      <w:r w:rsidRPr="00CD57A6">
        <w:rPr>
          <w:rFonts w:ascii="Times New Roman" w:eastAsia="Times New Roman" w:hAnsi="Times New Roman" w:cs="Times New Roman"/>
          <w:sz w:val="24"/>
          <w:szCs w:val="24"/>
          <w:lang w:eastAsia="en-AU"/>
        </w:rPr>
        <w:t xml:space="preserve"> as well as all relevant Native Title requirements.</w:t>
      </w:r>
    </w:p>
    <w:p w14:paraId="2E8947F3" w14:textId="73B7C460" w:rsidR="009F0924" w:rsidRPr="009F0924" w:rsidRDefault="005E0761" w:rsidP="005823FB">
      <w:pPr>
        <w:pStyle w:val="Heading3"/>
        <w:spacing w:line="280" w:lineRule="atLeast"/>
      </w:pPr>
      <w:r>
        <w:rPr>
          <w:szCs w:val="24"/>
        </w:rPr>
        <w:t>Section</w:t>
      </w:r>
      <w:r w:rsidRPr="006745C3">
        <w:rPr>
          <w:szCs w:val="24"/>
        </w:rPr>
        <w:t xml:space="preserve"> </w:t>
      </w:r>
      <w:r w:rsidR="009F0924" w:rsidRPr="009F0924">
        <w:t>16—Reputation</w:t>
      </w:r>
    </w:p>
    <w:p w14:paraId="639A1243" w14:textId="6BF58731" w:rsidR="009F0924" w:rsidRPr="00CD57A6" w:rsidRDefault="006D68B2" w:rsidP="005823FB">
      <w:pPr>
        <w:spacing w:before="0" w:after="240" w:line="28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Section</w:t>
      </w:r>
      <w:r w:rsidR="009F0924" w:rsidRPr="00CD57A6">
        <w:rPr>
          <w:rFonts w:ascii="Times New Roman" w:eastAsia="Times New Roman" w:hAnsi="Times New Roman" w:cs="Times New Roman"/>
          <w:sz w:val="24"/>
          <w:szCs w:val="24"/>
          <w:lang w:eastAsia="en-AU"/>
        </w:rPr>
        <w:t xml:space="preserve"> 16 provides that the Facility has a responsibility to act in a way that is not likely to cause reputational damage to the Commonwealth, or the Northern Territory, Queensland, and Western Australia</w:t>
      </w:r>
      <w:r w:rsidR="009F0924" w:rsidRPr="00CD57A6" w:rsidDel="00F5122A">
        <w:rPr>
          <w:rFonts w:ascii="Times New Roman" w:eastAsia="Times New Roman" w:hAnsi="Times New Roman" w:cs="Times New Roman"/>
          <w:sz w:val="24"/>
          <w:szCs w:val="24"/>
          <w:lang w:eastAsia="en-AU"/>
        </w:rPr>
        <w:t xml:space="preserve"> </w:t>
      </w:r>
      <w:r w:rsidR="009F0924" w:rsidRPr="00CD57A6">
        <w:rPr>
          <w:rFonts w:ascii="Times New Roman" w:eastAsia="Times New Roman" w:hAnsi="Times New Roman" w:cs="Times New Roman"/>
          <w:sz w:val="24"/>
          <w:szCs w:val="24"/>
          <w:lang w:eastAsia="en-AU"/>
        </w:rPr>
        <w:t xml:space="preserve">governments. </w:t>
      </w:r>
    </w:p>
    <w:p w14:paraId="28BB7E24" w14:textId="4550476E" w:rsidR="009F0924" w:rsidRPr="009F0924" w:rsidRDefault="005E0761" w:rsidP="005823FB">
      <w:pPr>
        <w:pStyle w:val="Heading3"/>
        <w:spacing w:line="280" w:lineRule="atLeast"/>
      </w:pPr>
      <w:r>
        <w:rPr>
          <w:szCs w:val="24"/>
        </w:rPr>
        <w:t>Section</w:t>
      </w:r>
      <w:r w:rsidRPr="006745C3">
        <w:rPr>
          <w:szCs w:val="24"/>
        </w:rPr>
        <w:t xml:space="preserve"> </w:t>
      </w:r>
      <w:r w:rsidR="009F0924" w:rsidRPr="00CD57A6">
        <w:t>17—Corporate governance</w:t>
      </w:r>
    </w:p>
    <w:p w14:paraId="3BE2F0D6" w14:textId="0E90C0FA" w:rsidR="009F0924" w:rsidRPr="00CD57A6" w:rsidRDefault="009F0924" w:rsidP="005823FB">
      <w:pPr>
        <w:spacing w:before="0" w:after="240" w:line="280" w:lineRule="atLeast"/>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Sub</w:t>
      </w:r>
      <w:r w:rsidR="006D68B2">
        <w:rPr>
          <w:rFonts w:ascii="Times New Roman" w:eastAsia="Times New Roman" w:hAnsi="Times New Roman" w:cs="Times New Roman"/>
          <w:sz w:val="24"/>
          <w:szCs w:val="24"/>
          <w:lang w:eastAsia="en-AU"/>
        </w:rPr>
        <w:t>section</w:t>
      </w:r>
      <w:r w:rsidRPr="00CD57A6">
        <w:rPr>
          <w:rFonts w:ascii="Times New Roman" w:eastAsia="Times New Roman" w:hAnsi="Times New Roman" w:cs="Times New Roman"/>
          <w:sz w:val="24"/>
          <w:szCs w:val="24"/>
          <w:lang w:eastAsia="en-AU"/>
        </w:rPr>
        <w:t xml:space="preserve"> 17(1) provides that in undertaking its investment function, the Facility must </w:t>
      </w:r>
      <w:r w:rsidR="00504B13">
        <w:rPr>
          <w:rFonts w:ascii="Times New Roman" w:eastAsia="Times New Roman" w:hAnsi="Times New Roman" w:cs="Times New Roman"/>
          <w:sz w:val="24"/>
          <w:szCs w:val="24"/>
          <w:lang w:eastAsia="en-AU"/>
        </w:rPr>
        <w:t xml:space="preserve">have regard to </w:t>
      </w:r>
      <w:r w:rsidR="00504B13" w:rsidRPr="00504B13">
        <w:rPr>
          <w:rFonts w:ascii="Times New Roman" w:eastAsia="Times New Roman" w:hAnsi="Times New Roman" w:cs="Times New Roman"/>
          <w:sz w:val="24"/>
          <w:szCs w:val="24"/>
          <w:lang w:eastAsia="en-AU"/>
        </w:rPr>
        <w:t>Australian best practice government governance principles and Australian best practice corporate governance for Commercial Financiers</w:t>
      </w:r>
      <w:r w:rsidRPr="00CD57A6">
        <w:rPr>
          <w:rFonts w:ascii="Times New Roman" w:eastAsia="Times New Roman" w:hAnsi="Times New Roman" w:cs="Times New Roman"/>
          <w:sz w:val="24"/>
          <w:szCs w:val="24"/>
          <w:lang w:eastAsia="en-AU"/>
        </w:rPr>
        <w:t>. This is so the Facility has credibility in financial markets and maintains a positive commercial reputation. For the purposes of transparency, the Facility is required to publish information regarding the Board’s Investment Decisions on its website within 30 </w:t>
      </w:r>
      <w:r w:rsidR="00504B13">
        <w:rPr>
          <w:rFonts w:ascii="Times New Roman" w:eastAsia="Times New Roman" w:hAnsi="Times New Roman" w:cs="Times New Roman"/>
          <w:sz w:val="24"/>
          <w:szCs w:val="24"/>
          <w:lang w:eastAsia="en-AU"/>
        </w:rPr>
        <w:t xml:space="preserve">business </w:t>
      </w:r>
      <w:r w:rsidRPr="00CD57A6">
        <w:rPr>
          <w:rFonts w:ascii="Times New Roman" w:eastAsia="Times New Roman" w:hAnsi="Times New Roman" w:cs="Times New Roman"/>
          <w:sz w:val="24"/>
          <w:szCs w:val="24"/>
          <w:lang w:eastAsia="en-AU"/>
        </w:rPr>
        <w:t>days of a final Investment Decision (sub</w:t>
      </w:r>
      <w:r w:rsidR="006D68B2">
        <w:rPr>
          <w:rFonts w:ascii="Times New Roman" w:eastAsia="Times New Roman" w:hAnsi="Times New Roman" w:cs="Times New Roman"/>
          <w:sz w:val="24"/>
          <w:szCs w:val="24"/>
          <w:lang w:eastAsia="en-AU"/>
        </w:rPr>
        <w:t>section</w:t>
      </w:r>
      <w:r w:rsidRPr="00CD57A6">
        <w:rPr>
          <w:rFonts w:ascii="Times New Roman" w:eastAsia="Times New Roman" w:hAnsi="Times New Roman" w:cs="Times New Roman"/>
          <w:sz w:val="24"/>
          <w:szCs w:val="24"/>
          <w:lang w:eastAsia="en-AU"/>
        </w:rPr>
        <w:t xml:space="preserve"> 17(2)). Final Investment Decisions can only be made after the Ministerial consideration period as required by </w:t>
      </w:r>
      <w:r w:rsidR="006D68B2">
        <w:rPr>
          <w:rFonts w:ascii="Times New Roman" w:eastAsia="Times New Roman" w:hAnsi="Times New Roman" w:cs="Times New Roman"/>
          <w:sz w:val="24"/>
          <w:szCs w:val="24"/>
          <w:lang w:eastAsia="en-AU"/>
        </w:rPr>
        <w:t>Section</w:t>
      </w:r>
      <w:r w:rsidRPr="00CD57A6">
        <w:rPr>
          <w:rFonts w:ascii="Times New Roman" w:eastAsia="Times New Roman" w:hAnsi="Times New Roman" w:cs="Times New Roman"/>
          <w:sz w:val="24"/>
          <w:szCs w:val="24"/>
          <w:lang w:eastAsia="en-AU"/>
        </w:rPr>
        <w:t xml:space="preserve"> 11 of the </w:t>
      </w:r>
      <w:r w:rsidR="00D5721B">
        <w:rPr>
          <w:rFonts w:ascii="Times New Roman" w:eastAsia="Times New Roman" w:hAnsi="Times New Roman" w:cs="Times New Roman"/>
          <w:sz w:val="24"/>
          <w:szCs w:val="24"/>
          <w:lang w:eastAsia="en-AU"/>
        </w:rPr>
        <w:t>NAIF Act</w:t>
      </w:r>
      <w:r w:rsidRPr="00CD57A6">
        <w:rPr>
          <w:rFonts w:ascii="Times New Roman" w:eastAsia="Times New Roman" w:hAnsi="Times New Roman" w:cs="Times New Roman"/>
          <w:sz w:val="24"/>
          <w:szCs w:val="24"/>
          <w:lang w:eastAsia="en-AU"/>
        </w:rPr>
        <w:t xml:space="preserve"> has elapsed. Sub</w:t>
      </w:r>
      <w:r w:rsidR="006D68B2">
        <w:rPr>
          <w:rFonts w:ascii="Times New Roman" w:eastAsia="Times New Roman" w:hAnsi="Times New Roman" w:cs="Times New Roman"/>
          <w:sz w:val="24"/>
          <w:szCs w:val="24"/>
          <w:lang w:eastAsia="en-AU"/>
        </w:rPr>
        <w:t>section</w:t>
      </w:r>
      <w:r w:rsidRPr="00CD57A6">
        <w:rPr>
          <w:rFonts w:ascii="Times New Roman" w:eastAsia="Times New Roman" w:hAnsi="Times New Roman" w:cs="Times New Roman"/>
          <w:sz w:val="24"/>
          <w:szCs w:val="24"/>
          <w:lang w:eastAsia="en-AU"/>
        </w:rPr>
        <w:t xml:space="preserve"> 17(3) specifies that the Facility will publish guidance on its website to assist Project Proponents in their development of Investment Proposals. </w:t>
      </w:r>
    </w:p>
    <w:p w14:paraId="0C3E1FB5" w14:textId="3F971FB6" w:rsidR="009F0924" w:rsidRPr="009F0924" w:rsidRDefault="005E0761" w:rsidP="005823FB">
      <w:pPr>
        <w:pStyle w:val="Heading3"/>
        <w:spacing w:line="280" w:lineRule="atLeast"/>
      </w:pPr>
      <w:r>
        <w:rPr>
          <w:szCs w:val="24"/>
        </w:rPr>
        <w:t>Section</w:t>
      </w:r>
      <w:r w:rsidRPr="006745C3">
        <w:rPr>
          <w:szCs w:val="24"/>
        </w:rPr>
        <w:t xml:space="preserve"> </w:t>
      </w:r>
      <w:r w:rsidR="009F0924" w:rsidRPr="00CD57A6">
        <w:t>18—Application of Australian Industry Participation</w:t>
      </w:r>
      <w:r w:rsidR="002B56FE">
        <w:t xml:space="preserve"> (AIP)</w:t>
      </w:r>
      <w:r w:rsidR="009F0924" w:rsidRPr="00CD57A6">
        <w:t xml:space="preserve"> Plans</w:t>
      </w:r>
    </w:p>
    <w:p w14:paraId="46530DB0" w14:textId="196E1825" w:rsidR="009F0924" w:rsidRDefault="006D68B2" w:rsidP="005823FB">
      <w:pPr>
        <w:spacing w:before="0" w:after="240" w:line="28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Section</w:t>
      </w:r>
      <w:r w:rsidRPr="00CD57A6">
        <w:rPr>
          <w:rFonts w:ascii="Times New Roman" w:eastAsia="Times New Roman" w:hAnsi="Times New Roman" w:cs="Times New Roman"/>
          <w:sz w:val="24"/>
          <w:szCs w:val="24"/>
          <w:lang w:eastAsia="en-AU"/>
        </w:rPr>
        <w:t xml:space="preserve"> </w:t>
      </w:r>
      <w:r w:rsidR="009F0924" w:rsidRPr="00CD57A6">
        <w:rPr>
          <w:rFonts w:ascii="Times New Roman" w:eastAsia="Times New Roman" w:hAnsi="Times New Roman" w:cs="Times New Roman"/>
          <w:sz w:val="24"/>
          <w:szCs w:val="24"/>
          <w:lang w:eastAsia="en-AU"/>
        </w:rPr>
        <w:t>18 provides that Projects must comply with the Commonwealth’s Australian Industry Participation (AIP) Plan policy, before the Board can make an Investment Decision on an Investment Proposal</w:t>
      </w:r>
      <w:r w:rsidR="009F0924" w:rsidRPr="009F0924">
        <w:rPr>
          <w:rFonts w:ascii="Times New Roman" w:eastAsia="Times New Roman" w:hAnsi="Times New Roman" w:cs="Times New Roman"/>
          <w:sz w:val="24"/>
          <w:szCs w:val="24"/>
          <w:lang w:eastAsia="en-AU"/>
        </w:rPr>
        <w:t xml:space="preserve">. </w:t>
      </w:r>
      <w:r w:rsidR="009F0924" w:rsidRPr="00CD57A6">
        <w:rPr>
          <w:rFonts w:ascii="Times New Roman" w:eastAsia="Times New Roman" w:hAnsi="Times New Roman" w:cs="Times New Roman"/>
          <w:sz w:val="24"/>
          <w:szCs w:val="24"/>
          <w:lang w:eastAsia="en-AU"/>
        </w:rPr>
        <w:t xml:space="preserve">AIP Plans are designed to provide details on the expected opportunities to supply goods and/or services to the Project; how these opportunities will be communicated to potential suppliers; and how Australian businesses will be assisted in longer-term participation, including encouraging capability development and integration into global supply chains. The purpose of this </w:t>
      </w:r>
      <w:r>
        <w:rPr>
          <w:rFonts w:ascii="Times New Roman" w:eastAsia="Times New Roman" w:hAnsi="Times New Roman" w:cs="Times New Roman"/>
          <w:sz w:val="24"/>
          <w:szCs w:val="24"/>
          <w:lang w:eastAsia="en-AU"/>
        </w:rPr>
        <w:t>section</w:t>
      </w:r>
      <w:r w:rsidR="009F0924" w:rsidRPr="00CD57A6">
        <w:rPr>
          <w:rFonts w:ascii="Times New Roman" w:eastAsia="Times New Roman" w:hAnsi="Times New Roman" w:cs="Times New Roman"/>
          <w:sz w:val="24"/>
          <w:szCs w:val="24"/>
          <w:lang w:eastAsia="en-AU"/>
        </w:rPr>
        <w:t xml:space="preserve"> is to maximise the opportunities for Australian businesses to participate in major Projects. </w:t>
      </w:r>
    </w:p>
    <w:p w14:paraId="1C0DE7FB" w14:textId="62F23329" w:rsidR="002E58D5" w:rsidRPr="009F0924" w:rsidRDefault="002E58D5" w:rsidP="005823FB">
      <w:pPr>
        <w:pStyle w:val="Heading3"/>
        <w:spacing w:line="280" w:lineRule="atLeast"/>
      </w:pPr>
      <w:r>
        <w:rPr>
          <w:szCs w:val="24"/>
        </w:rPr>
        <w:t>Section</w:t>
      </w:r>
      <w:r w:rsidRPr="006745C3">
        <w:rPr>
          <w:szCs w:val="24"/>
        </w:rPr>
        <w:t xml:space="preserve"> </w:t>
      </w:r>
      <w:r w:rsidRPr="00CD57A6">
        <w:t>1</w:t>
      </w:r>
      <w:r>
        <w:t>9</w:t>
      </w:r>
      <w:r w:rsidRPr="00CD57A6">
        <w:t>—</w:t>
      </w:r>
      <w:r>
        <w:t xml:space="preserve">Repeal of previous </w:t>
      </w:r>
      <w:r w:rsidR="00D16578">
        <w:t>D</w:t>
      </w:r>
      <w:r>
        <w:t>irection</w:t>
      </w:r>
    </w:p>
    <w:p w14:paraId="39EE9964" w14:textId="7A853428" w:rsidR="00D5721B" w:rsidRDefault="002E58D5" w:rsidP="005823FB">
      <w:pPr>
        <w:spacing w:before="0" w:after="240" w:line="280" w:lineRule="atLeast"/>
        <w:rPr>
          <w:rFonts w:ascii="Times New Roman" w:eastAsia="Times New Roman" w:hAnsi="Times New Roman" w:cs="Times New Roman"/>
          <w:sz w:val="24"/>
          <w:szCs w:val="24"/>
          <w:lang w:eastAsia="en-AU"/>
        </w:rPr>
      </w:pPr>
      <w:r w:rsidRPr="002E58D5">
        <w:rPr>
          <w:rFonts w:ascii="Times New Roman" w:eastAsia="Times New Roman" w:hAnsi="Times New Roman" w:cs="Times New Roman"/>
          <w:sz w:val="24"/>
          <w:szCs w:val="24"/>
          <w:lang w:eastAsia="en-AU"/>
        </w:rPr>
        <w:t>Section 1</w:t>
      </w:r>
      <w:r>
        <w:rPr>
          <w:rFonts w:ascii="Times New Roman" w:eastAsia="Times New Roman" w:hAnsi="Times New Roman" w:cs="Times New Roman"/>
          <w:sz w:val="24"/>
          <w:szCs w:val="24"/>
          <w:lang w:eastAsia="en-AU"/>
        </w:rPr>
        <w:t xml:space="preserve">9 provides that the </w:t>
      </w:r>
      <w:r w:rsidR="00D16578">
        <w:rPr>
          <w:rFonts w:ascii="Times New Roman" w:eastAsia="Times New Roman" w:hAnsi="Times New Roman" w:cs="Times New Roman"/>
          <w:sz w:val="24"/>
          <w:szCs w:val="24"/>
          <w:lang w:eastAsia="en-AU"/>
        </w:rPr>
        <w:t>Direction</w:t>
      </w:r>
      <w:r w:rsidRPr="002E58D5">
        <w:rPr>
          <w:rFonts w:ascii="Times New Roman" w:eastAsia="Times New Roman" w:hAnsi="Times New Roman" w:cs="Times New Roman"/>
          <w:sz w:val="24"/>
          <w:szCs w:val="24"/>
          <w:lang w:eastAsia="en-AU"/>
        </w:rPr>
        <w:t xml:space="preserve"> </w:t>
      </w:r>
      <w:r w:rsidR="00F8248E">
        <w:rPr>
          <w:rFonts w:ascii="Times New Roman" w:eastAsia="Times New Roman" w:hAnsi="Times New Roman" w:cs="Times New Roman"/>
          <w:sz w:val="24"/>
          <w:szCs w:val="24"/>
          <w:lang w:eastAsia="en-AU"/>
        </w:rPr>
        <w:t>repeals</w:t>
      </w:r>
      <w:r w:rsidRPr="002E58D5">
        <w:rPr>
          <w:rFonts w:ascii="Times New Roman" w:eastAsia="Times New Roman" w:hAnsi="Times New Roman" w:cs="Times New Roman"/>
          <w:sz w:val="24"/>
          <w:szCs w:val="24"/>
          <w:lang w:eastAsia="en-AU"/>
        </w:rPr>
        <w:t xml:space="preserve"> the </w:t>
      </w:r>
      <w:r w:rsidR="00D5721B">
        <w:rPr>
          <w:rFonts w:ascii="Times New Roman" w:eastAsia="Times New Roman" w:hAnsi="Times New Roman" w:cs="Times New Roman"/>
          <w:sz w:val="24"/>
          <w:szCs w:val="24"/>
          <w:lang w:eastAsia="en-AU"/>
        </w:rPr>
        <w:t>Facilit</w:t>
      </w:r>
      <w:r w:rsidR="002B56FE">
        <w:rPr>
          <w:rFonts w:ascii="Times New Roman" w:eastAsia="Times New Roman" w:hAnsi="Times New Roman" w:cs="Times New Roman"/>
          <w:sz w:val="24"/>
          <w:szCs w:val="24"/>
          <w:lang w:eastAsia="en-AU"/>
        </w:rPr>
        <w:t>y’s</w:t>
      </w:r>
      <w:r w:rsidRPr="002E58D5">
        <w:rPr>
          <w:rFonts w:ascii="Times New Roman" w:eastAsia="Times New Roman" w:hAnsi="Times New Roman" w:cs="Times New Roman"/>
          <w:sz w:val="24"/>
          <w:szCs w:val="24"/>
          <w:lang w:eastAsia="en-AU"/>
        </w:rPr>
        <w:t xml:space="preserve"> previous Investment Mandate</w:t>
      </w:r>
      <w:r>
        <w:rPr>
          <w:rFonts w:ascii="Times New Roman" w:eastAsia="Times New Roman" w:hAnsi="Times New Roman" w:cs="Times New Roman"/>
          <w:sz w:val="24"/>
          <w:szCs w:val="24"/>
          <w:lang w:eastAsia="en-AU"/>
        </w:rPr>
        <w:t xml:space="preserve"> (the </w:t>
      </w:r>
      <w:r w:rsidRPr="00CD57A6">
        <w:rPr>
          <w:rFonts w:ascii="Times New Roman" w:eastAsia="Calibri" w:hAnsi="Times New Roman" w:cs="Times New Roman"/>
          <w:i/>
          <w:iCs/>
          <w:sz w:val="24"/>
        </w:rPr>
        <w:t>Northern Australia Infrastructure Facility Investment Mandate Direction 201</w:t>
      </w:r>
      <w:r>
        <w:rPr>
          <w:rFonts w:ascii="Times New Roman" w:eastAsia="Calibri" w:hAnsi="Times New Roman" w:cs="Times New Roman"/>
          <w:i/>
          <w:iCs/>
          <w:sz w:val="24"/>
        </w:rPr>
        <w:t>6</w:t>
      </w:r>
      <w:r w:rsidRPr="00D16578">
        <w:rPr>
          <w:rFonts w:ascii="Times New Roman" w:eastAsia="Calibri" w:hAnsi="Times New Roman" w:cs="Times New Roman"/>
          <w:iCs/>
          <w:sz w:val="24"/>
        </w:rPr>
        <w:t>)</w:t>
      </w:r>
      <w:r w:rsidRPr="002E58D5">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p>
    <w:p w14:paraId="1D81CD4D" w14:textId="57916F7A" w:rsidR="002E58D5" w:rsidRPr="00CD57A6" w:rsidRDefault="006E508E" w:rsidP="005823FB">
      <w:pPr>
        <w:spacing w:before="0" w:after="240" w:line="28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power to repeal a previous i</w:t>
      </w:r>
      <w:r w:rsidR="00D5721B" w:rsidRPr="00D5721B">
        <w:rPr>
          <w:rFonts w:ascii="Times New Roman" w:eastAsia="Times New Roman" w:hAnsi="Times New Roman" w:cs="Times New Roman"/>
          <w:sz w:val="24"/>
          <w:szCs w:val="24"/>
          <w:lang w:eastAsia="en-AU"/>
        </w:rPr>
        <w:t xml:space="preserve">nvestment </w:t>
      </w:r>
      <w:r>
        <w:rPr>
          <w:rFonts w:ascii="Times New Roman" w:eastAsia="Times New Roman" w:hAnsi="Times New Roman" w:cs="Times New Roman"/>
          <w:sz w:val="24"/>
          <w:szCs w:val="24"/>
          <w:lang w:eastAsia="en-AU"/>
        </w:rPr>
        <w:t>m</w:t>
      </w:r>
      <w:r w:rsidR="00D5721B" w:rsidRPr="00D5721B">
        <w:rPr>
          <w:rFonts w:ascii="Times New Roman" w:eastAsia="Times New Roman" w:hAnsi="Times New Roman" w:cs="Times New Roman"/>
          <w:sz w:val="24"/>
          <w:szCs w:val="24"/>
          <w:lang w:eastAsia="en-AU"/>
        </w:rPr>
        <w:t xml:space="preserve">andate is implied in the power of the responsible Minister under subsection </w:t>
      </w:r>
      <w:r w:rsidR="00D5721B">
        <w:rPr>
          <w:rFonts w:ascii="Times New Roman" w:eastAsia="Times New Roman" w:hAnsi="Times New Roman" w:cs="Times New Roman"/>
          <w:sz w:val="24"/>
          <w:szCs w:val="24"/>
          <w:lang w:eastAsia="en-AU"/>
        </w:rPr>
        <w:t>9</w:t>
      </w:r>
      <w:r w:rsidR="00D5721B" w:rsidRPr="00D5721B">
        <w:rPr>
          <w:rFonts w:ascii="Times New Roman" w:eastAsia="Times New Roman" w:hAnsi="Times New Roman" w:cs="Times New Roman"/>
          <w:sz w:val="24"/>
          <w:szCs w:val="24"/>
          <w:lang w:eastAsia="en-AU"/>
        </w:rPr>
        <w:t xml:space="preserve">(1) of the </w:t>
      </w:r>
      <w:r w:rsidR="00D5721B">
        <w:rPr>
          <w:rFonts w:ascii="Times New Roman" w:eastAsia="Times New Roman" w:hAnsi="Times New Roman" w:cs="Times New Roman"/>
          <w:sz w:val="24"/>
          <w:szCs w:val="24"/>
          <w:lang w:eastAsia="en-AU"/>
        </w:rPr>
        <w:t>NAIF A</w:t>
      </w:r>
      <w:r w:rsidR="00D5721B" w:rsidRPr="00D5721B">
        <w:rPr>
          <w:rFonts w:ascii="Times New Roman" w:eastAsia="Times New Roman" w:hAnsi="Times New Roman" w:cs="Times New Roman"/>
          <w:sz w:val="24"/>
          <w:szCs w:val="24"/>
          <w:lang w:eastAsia="en-AU"/>
        </w:rPr>
        <w:t xml:space="preserve">ct to issue new </w:t>
      </w:r>
      <w:r>
        <w:rPr>
          <w:rFonts w:ascii="Times New Roman" w:eastAsia="Times New Roman" w:hAnsi="Times New Roman" w:cs="Times New Roman"/>
          <w:sz w:val="24"/>
          <w:szCs w:val="24"/>
          <w:lang w:eastAsia="en-AU"/>
        </w:rPr>
        <w:t>i</w:t>
      </w:r>
      <w:r w:rsidR="00D5721B" w:rsidRPr="00D5721B">
        <w:rPr>
          <w:rFonts w:ascii="Times New Roman" w:eastAsia="Times New Roman" w:hAnsi="Times New Roman" w:cs="Times New Roman"/>
          <w:sz w:val="24"/>
          <w:szCs w:val="24"/>
          <w:lang w:eastAsia="en-AU"/>
        </w:rPr>
        <w:t>nvest</w:t>
      </w:r>
      <w:r w:rsidR="00D5721B">
        <w:rPr>
          <w:rFonts w:ascii="Times New Roman" w:eastAsia="Times New Roman" w:hAnsi="Times New Roman" w:cs="Times New Roman"/>
          <w:sz w:val="24"/>
          <w:szCs w:val="24"/>
          <w:lang w:eastAsia="en-AU"/>
        </w:rPr>
        <w:t xml:space="preserve">ment </w:t>
      </w:r>
      <w:r>
        <w:rPr>
          <w:rFonts w:ascii="Times New Roman" w:eastAsia="Times New Roman" w:hAnsi="Times New Roman" w:cs="Times New Roman"/>
          <w:sz w:val="24"/>
          <w:szCs w:val="24"/>
          <w:lang w:eastAsia="en-AU"/>
        </w:rPr>
        <w:t>m</w:t>
      </w:r>
      <w:r w:rsidR="00D5721B">
        <w:rPr>
          <w:rFonts w:ascii="Times New Roman" w:eastAsia="Times New Roman" w:hAnsi="Times New Roman" w:cs="Times New Roman"/>
          <w:sz w:val="24"/>
          <w:szCs w:val="24"/>
          <w:lang w:eastAsia="en-AU"/>
        </w:rPr>
        <w:t xml:space="preserve">andates to the Facility. </w:t>
      </w:r>
      <w:r w:rsidR="00145099">
        <w:rPr>
          <w:rFonts w:ascii="Times New Roman" w:eastAsia="Times New Roman" w:hAnsi="Times New Roman" w:cs="Times New Roman"/>
          <w:sz w:val="24"/>
          <w:szCs w:val="24"/>
          <w:lang w:eastAsia="en-AU"/>
        </w:rPr>
        <w:t>Under sub</w:t>
      </w:r>
      <w:r w:rsidR="002E58D5" w:rsidRPr="002E58D5">
        <w:rPr>
          <w:rFonts w:ascii="Times New Roman" w:eastAsia="Times New Roman" w:hAnsi="Times New Roman" w:cs="Times New Roman"/>
          <w:sz w:val="24"/>
          <w:szCs w:val="24"/>
          <w:lang w:eastAsia="en-AU"/>
        </w:rPr>
        <w:t xml:space="preserve">section 33(3) of the </w:t>
      </w:r>
      <w:r w:rsidR="002E58D5" w:rsidRPr="002E58D5">
        <w:rPr>
          <w:rFonts w:ascii="Times New Roman" w:eastAsia="Times New Roman" w:hAnsi="Times New Roman" w:cs="Times New Roman"/>
          <w:i/>
          <w:sz w:val="24"/>
          <w:szCs w:val="24"/>
          <w:lang w:eastAsia="en-AU"/>
        </w:rPr>
        <w:t>Acts Interpretation Act 1901</w:t>
      </w:r>
      <w:r w:rsidR="002E58D5" w:rsidRPr="002E58D5">
        <w:rPr>
          <w:rFonts w:ascii="Times New Roman" w:eastAsia="Times New Roman" w:hAnsi="Times New Roman" w:cs="Times New Roman"/>
          <w:sz w:val="24"/>
          <w:szCs w:val="24"/>
          <w:lang w:eastAsia="en-AU"/>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00681071">
        <w:rPr>
          <w:rFonts w:ascii="Times New Roman" w:eastAsia="Times New Roman" w:hAnsi="Times New Roman" w:cs="Times New Roman"/>
          <w:sz w:val="24"/>
          <w:szCs w:val="24"/>
          <w:lang w:eastAsia="en-AU"/>
        </w:rPr>
        <w:t xml:space="preserve"> </w:t>
      </w:r>
    </w:p>
    <w:p w14:paraId="7B40F5D8" w14:textId="45B313BD" w:rsidR="009F0924" w:rsidRPr="009F0924" w:rsidRDefault="009F0924" w:rsidP="005823FB">
      <w:pPr>
        <w:pStyle w:val="Heading2"/>
        <w:spacing w:line="280" w:lineRule="atLeast"/>
      </w:pPr>
      <w:r w:rsidRPr="009F0924">
        <w:t>SCHEDULE 1—ELIGIBILITY FOR FINANCIAL</w:t>
      </w:r>
      <w:r w:rsidR="0036536D">
        <w:t xml:space="preserve"> ASSISTANCE</w:t>
      </w:r>
      <w:r w:rsidRPr="009F0924">
        <w:t>—MANDATORY CRITERIA</w:t>
      </w:r>
    </w:p>
    <w:p w14:paraId="062468AB" w14:textId="495D1DF5" w:rsidR="009F0924" w:rsidRPr="00CD57A6" w:rsidRDefault="009F0924" w:rsidP="005823FB">
      <w:pPr>
        <w:spacing w:before="0" w:after="240" w:line="280" w:lineRule="atLeast"/>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Schedule 1 to the </w:t>
      </w:r>
      <w:r w:rsidR="00D16578">
        <w:rPr>
          <w:rFonts w:ascii="Times New Roman" w:eastAsia="Times New Roman" w:hAnsi="Times New Roman" w:cs="Times New Roman"/>
          <w:sz w:val="24"/>
          <w:szCs w:val="24"/>
          <w:lang w:eastAsia="en-AU"/>
        </w:rPr>
        <w:t>Direction</w:t>
      </w:r>
      <w:r w:rsidRPr="00CD57A6">
        <w:rPr>
          <w:rFonts w:ascii="Times New Roman" w:eastAsia="Times New Roman" w:hAnsi="Times New Roman" w:cs="Times New Roman"/>
          <w:sz w:val="24"/>
          <w:szCs w:val="24"/>
          <w:lang w:eastAsia="en-AU"/>
        </w:rPr>
        <w:t xml:space="preserve"> specifies the mandatory criteria that an Investment Proposal must satisfy. To be eligible for financial assistance from the Facility, Project Proponents must satisfy all </w:t>
      </w:r>
      <w:r w:rsidR="00D5721B">
        <w:rPr>
          <w:rFonts w:ascii="Times New Roman" w:eastAsia="Times New Roman" w:hAnsi="Times New Roman" w:cs="Times New Roman"/>
          <w:sz w:val="24"/>
          <w:szCs w:val="24"/>
          <w:lang w:eastAsia="en-AU"/>
        </w:rPr>
        <w:t>5</w:t>
      </w:r>
      <w:r w:rsidRPr="00CD57A6">
        <w:rPr>
          <w:rFonts w:ascii="Times New Roman" w:eastAsia="Times New Roman" w:hAnsi="Times New Roman" w:cs="Times New Roman"/>
          <w:sz w:val="24"/>
          <w:szCs w:val="24"/>
          <w:lang w:eastAsia="en-AU"/>
        </w:rPr>
        <w:t xml:space="preserve"> criteria.</w:t>
      </w:r>
      <w:r w:rsidR="007339B8">
        <w:rPr>
          <w:rFonts w:ascii="Times New Roman" w:eastAsia="Times New Roman" w:hAnsi="Times New Roman" w:cs="Times New Roman"/>
          <w:sz w:val="24"/>
          <w:szCs w:val="24"/>
          <w:lang w:eastAsia="en-AU"/>
        </w:rPr>
        <w:t xml:space="preserve"> These criteria are discussed in section 7 above.</w:t>
      </w:r>
    </w:p>
    <w:p w14:paraId="715E29AB" w14:textId="3DBB25FF" w:rsidR="009F0924" w:rsidRPr="009F0924" w:rsidRDefault="009F0924" w:rsidP="005823FB">
      <w:pPr>
        <w:spacing w:before="0" w:after="240" w:line="280" w:lineRule="atLeast"/>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 </w:t>
      </w:r>
    </w:p>
    <w:sectPr w:rsidR="009F0924" w:rsidRPr="009F09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924"/>
    <w:rsid w:val="00033835"/>
    <w:rsid w:val="000556A6"/>
    <w:rsid w:val="0006355E"/>
    <w:rsid w:val="00071544"/>
    <w:rsid w:val="00073480"/>
    <w:rsid w:val="000905C9"/>
    <w:rsid w:val="00092BF2"/>
    <w:rsid w:val="0009308E"/>
    <w:rsid w:val="000A4C5F"/>
    <w:rsid w:val="000B05A1"/>
    <w:rsid w:val="000E20B2"/>
    <w:rsid w:val="000E5E91"/>
    <w:rsid w:val="000F14CA"/>
    <w:rsid w:val="000F68DD"/>
    <w:rsid w:val="00100734"/>
    <w:rsid w:val="001153E1"/>
    <w:rsid w:val="00145099"/>
    <w:rsid w:val="00147B6B"/>
    <w:rsid w:val="001523F2"/>
    <w:rsid w:val="0016486A"/>
    <w:rsid w:val="00170B14"/>
    <w:rsid w:val="00184A8C"/>
    <w:rsid w:val="001B7D65"/>
    <w:rsid w:val="00202D05"/>
    <w:rsid w:val="00221034"/>
    <w:rsid w:val="00225159"/>
    <w:rsid w:val="0022798D"/>
    <w:rsid w:val="0024399B"/>
    <w:rsid w:val="00247444"/>
    <w:rsid w:val="00261A32"/>
    <w:rsid w:val="00275BA1"/>
    <w:rsid w:val="002836FD"/>
    <w:rsid w:val="00296D6C"/>
    <w:rsid w:val="00296E5C"/>
    <w:rsid w:val="002B56FE"/>
    <w:rsid w:val="002C18C1"/>
    <w:rsid w:val="002E58D5"/>
    <w:rsid w:val="002F653B"/>
    <w:rsid w:val="00300DCF"/>
    <w:rsid w:val="003035BD"/>
    <w:rsid w:val="00307798"/>
    <w:rsid w:val="00317B3C"/>
    <w:rsid w:val="0036536D"/>
    <w:rsid w:val="0039753A"/>
    <w:rsid w:val="003B4199"/>
    <w:rsid w:val="004270EA"/>
    <w:rsid w:val="00427FC0"/>
    <w:rsid w:val="00432FD9"/>
    <w:rsid w:val="00435572"/>
    <w:rsid w:val="004450A7"/>
    <w:rsid w:val="004573A1"/>
    <w:rsid w:val="00465427"/>
    <w:rsid w:val="00466935"/>
    <w:rsid w:val="004A13E3"/>
    <w:rsid w:val="004B32AB"/>
    <w:rsid w:val="004C1ACF"/>
    <w:rsid w:val="004E7BC3"/>
    <w:rsid w:val="004F0129"/>
    <w:rsid w:val="00504B13"/>
    <w:rsid w:val="005320C7"/>
    <w:rsid w:val="00571FEE"/>
    <w:rsid w:val="0058109E"/>
    <w:rsid w:val="005823FB"/>
    <w:rsid w:val="00592666"/>
    <w:rsid w:val="005C0146"/>
    <w:rsid w:val="005C308A"/>
    <w:rsid w:val="005D037E"/>
    <w:rsid w:val="005E0761"/>
    <w:rsid w:val="005E2961"/>
    <w:rsid w:val="0060190A"/>
    <w:rsid w:val="006446A6"/>
    <w:rsid w:val="00644A5E"/>
    <w:rsid w:val="006506BE"/>
    <w:rsid w:val="006577A7"/>
    <w:rsid w:val="00681071"/>
    <w:rsid w:val="006D68B2"/>
    <w:rsid w:val="006E508E"/>
    <w:rsid w:val="007256E9"/>
    <w:rsid w:val="007339B8"/>
    <w:rsid w:val="00747EBB"/>
    <w:rsid w:val="00773178"/>
    <w:rsid w:val="00795BF1"/>
    <w:rsid w:val="007D193C"/>
    <w:rsid w:val="007D7783"/>
    <w:rsid w:val="007E200C"/>
    <w:rsid w:val="00826BE8"/>
    <w:rsid w:val="00831E14"/>
    <w:rsid w:val="00857A3B"/>
    <w:rsid w:val="00857AB4"/>
    <w:rsid w:val="00880CD9"/>
    <w:rsid w:val="008811B3"/>
    <w:rsid w:val="008919A7"/>
    <w:rsid w:val="00895CA8"/>
    <w:rsid w:val="008A2A4A"/>
    <w:rsid w:val="008E0541"/>
    <w:rsid w:val="00903392"/>
    <w:rsid w:val="009155A5"/>
    <w:rsid w:val="009214AD"/>
    <w:rsid w:val="00932BCB"/>
    <w:rsid w:val="009400EB"/>
    <w:rsid w:val="00967FF5"/>
    <w:rsid w:val="0098654F"/>
    <w:rsid w:val="009966D5"/>
    <w:rsid w:val="009A569C"/>
    <w:rsid w:val="009B0E04"/>
    <w:rsid w:val="009C0676"/>
    <w:rsid w:val="009C5F2F"/>
    <w:rsid w:val="009E4238"/>
    <w:rsid w:val="009F0924"/>
    <w:rsid w:val="00A009C8"/>
    <w:rsid w:val="00A11CF9"/>
    <w:rsid w:val="00A37C2F"/>
    <w:rsid w:val="00A576B2"/>
    <w:rsid w:val="00A82730"/>
    <w:rsid w:val="00AA2405"/>
    <w:rsid w:val="00AC7567"/>
    <w:rsid w:val="00AF37CE"/>
    <w:rsid w:val="00B07F40"/>
    <w:rsid w:val="00B31E3E"/>
    <w:rsid w:val="00B33A31"/>
    <w:rsid w:val="00B51497"/>
    <w:rsid w:val="00B668C3"/>
    <w:rsid w:val="00B86B1B"/>
    <w:rsid w:val="00B9592D"/>
    <w:rsid w:val="00BB35AD"/>
    <w:rsid w:val="00BC47A9"/>
    <w:rsid w:val="00BD07E4"/>
    <w:rsid w:val="00C032EC"/>
    <w:rsid w:val="00C33201"/>
    <w:rsid w:val="00C713F7"/>
    <w:rsid w:val="00C83EAF"/>
    <w:rsid w:val="00C911F6"/>
    <w:rsid w:val="00CB3E2E"/>
    <w:rsid w:val="00CC1C38"/>
    <w:rsid w:val="00CC2D46"/>
    <w:rsid w:val="00CD35EF"/>
    <w:rsid w:val="00CF4C8B"/>
    <w:rsid w:val="00D16578"/>
    <w:rsid w:val="00D5721B"/>
    <w:rsid w:val="00D61F05"/>
    <w:rsid w:val="00D80C95"/>
    <w:rsid w:val="00D87C1B"/>
    <w:rsid w:val="00D93827"/>
    <w:rsid w:val="00D96A3A"/>
    <w:rsid w:val="00DB598E"/>
    <w:rsid w:val="00DD0099"/>
    <w:rsid w:val="00DD49EB"/>
    <w:rsid w:val="00DE5E78"/>
    <w:rsid w:val="00E81724"/>
    <w:rsid w:val="00EA086D"/>
    <w:rsid w:val="00EA72DD"/>
    <w:rsid w:val="00EC0068"/>
    <w:rsid w:val="00ED332B"/>
    <w:rsid w:val="00ED4CB5"/>
    <w:rsid w:val="00EE62CE"/>
    <w:rsid w:val="00EE7D76"/>
    <w:rsid w:val="00EF1299"/>
    <w:rsid w:val="00F163C0"/>
    <w:rsid w:val="00F24D3F"/>
    <w:rsid w:val="00F31F93"/>
    <w:rsid w:val="00F33278"/>
    <w:rsid w:val="00F54F6C"/>
    <w:rsid w:val="00F756CF"/>
    <w:rsid w:val="00F768FA"/>
    <w:rsid w:val="00F8248E"/>
    <w:rsid w:val="00F87E42"/>
    <w:rsid w:val="00F961F0"/>
    <w:rsid w:val="00F96C9C"/>
    <w:rsid w:val="00FB4555"/>
    <w:rsid w:val="00FB5A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29A5"/>
  <w15:docId w15:val="{160F571A-C11B-4CAA-A48A-B919D9AA5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98"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8"/>
    <w:rsid w:val="009F0924"/>
    <w:pPr>
      <w:spacing w:before="120" w:after="120" w:line="240" w:lineRule="auto"/>
    </w:pPr>
    <w:rPr>
      <w:rFonts w:ascii="Arial" w:hAnsi="Arial"/>
    </w:rPr>
  </w:style>
  <w:style w:type="paragraph" w:styleId="Heading1">
    <w:name w:val="heading 1"/>
    <w:basedOn w:val="Normal"/>
    <w:next w:val="Normal"/>
    <w:link w:val="Heading1Char"/>
    <w:uiPriority w:val="9"/>
    <w:qFormat/>
    <w:rsid w:val="009F0924"/>
    <w:pPr>
      <w:keepNext/>
      <w:keepLines/>
      <w:spacing w:before="0" w:after="240" w:line="276" w:lineRule="auto"/>
      <w:jc w:val="center"/>
      <w:outlineLvl w:val="0"/>
    </w:pPr>
    <w:rPr>
      <w:rFonts w:ascii="Times New Roman" w:eastAsia="Times New Roman" w:hAnsi="Times New Roman" w:cs="Times New Roman"/>
      <w:b/>
      <w:bCs/>
      <w:sz w:val="28"/>
      <w:szCs w:val="28"/>
      <w:u w:val="single"/>
    </w:rPr>
  </w:style>
  <w:style w:type="paragraph" w:styleId="Heading2">
    <w:name w:val="heading 2"/>
    <w:basedOn w:val="Normal"/>
    <w:next w:val="Normal"/>
    <w:link w:val="Heading2Char"/>
    <w:uiPriority w:val="9"/>
    <w:unhideWhenUsed/>
    <w:qFormat/>
    <w:rsid w:val="009F0924"/>
    <w:pPr>
      <w:keepNext/>
      <w:keepLines/>
      <w:spacing w:before="200" w:after="240" w:line="276" w:lineRule="auto"/>
      <w:outlineLvl w:val="1"/>
    </w:pPr>
    <w:rPr>
      <w:rFonts w:ascii="Times New Roman" w:eastAsia="Times New Roman" w:hAnsi="Times New Roman" w:cs="Times New Roman"/>
      <w:b/>
      <w:bCs/>
      <w:sz w:val="24"/>
      <w:szCs w:val="26"/>
      <w:lang w:eastAsia="en-AU"/>
    </w:rPr>
  </w:style>
  <w:style w:type="paragraph" w:styleId="Heading3">
    <w:name w:val="heading 3"/>
    <w:basedOn w:val="Normal"/>
    <w:next w:val="Normal"/>
    <w:link w:val="Heading3Char"/>
    <w:uiPriority w:val="9"/>
    <w:unhideWhenUsed/>
    <w:qFormat/>
    <w:rsid w:val="009F0924"/>
    <w:pPr>
      <w:keepNext/>
      <w:keepLines/>
      <w:spacing w:before="200" w:after="240" w:line="276" w:lineRule="auto"/>
      <w:outlineLvl w:val="2"/>
    </w:pPr>
    <w:rPr>
      <w:rFonts w:ascii="Times New Roman" w:eastAsia="Times New Roman" w:hAnsi="Times New Roman" w:cs="Times New Roman"/>
      <w:b/>
      <w:bCs/>
      <w:iCs/>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ab"/>
    <w:link w:val="BodyTextChar"/>
    <w:qFormat/>
    <w:rsid w:val="009F0924"/>
    <w:pPr>
      <w:spacing w:before="120" w:after="120" w:line="240" w:lineRule="auto"/>
    </w:pPr>
    <w:rPr>
      <w:rFonts w:ascii="Arial" w:hAnsi="Arial"/>
    </w:rPr>
  </w:style>
  <w:style w:type="character" w:customStyle="1" w:styleId="BodyTextChar">
    <w:name w:val="Body Text Char"/>
    <w:aliases w:val="Body Text Cab Char"/>
    <w:basedOn w:val="DefaultParagraphFont"/>
    <w:link w:val="BodyText"/>
    <w:rsid w:val="009F0924"/>
    <w:rPr>
      <w:rFonts w:ascii="Arial" w:hAnsi="Arial"/>
    </w:rPr>
  </w:style>
  <w:style w:type="character" w:customStyle="1" w:styleId="Heading1Char">
    <w:name w:val="Heading 1 Char"/>
    <w:basedOn w:val="DefaultParagraphFont"/>
    <w:link w:val="Heading1"/>
    <w:uiPriority w:val="9"/>
    <w:rsid w:val="009F0924"/>
    <w:rPr>
      <w:rFonts w:ascii="Times New Roman" w:eastAsia="Times New Roman" w:hAnsi="Times New Roman" w:cs="Times New Roman"/>
      <w:b/>
      <w:bCs/>
      <w:sz w:val="28"/>
      <w:szCs w:val="28"/>
      <w:u w:val="single"/>
    </w:rPr>
  </w:style>
  <w:style w:type="character" w:customStyle="1" w:styleId="Heading2Char">
    <w:name w:val="Heading 2 Char"/>
    <w:basedOn w:val="DefaultParagraphFont"/>
    <w:link w:val="Heading2"/>
    <w:uiPriority w:val="9"/>
    <w:rsid w:val="009F0924"/>
    <w:rPr>
      <w:rFonts w:ascii="Times New Roman" w:eastAsia="Times New Roman" w:hAnsi="Times New Roman" w:cs="Times New Roman"/>
      <w:b/>
      <w:bCs/>
      <w:sz w:val="24"/>
      <w:szCs w:val="26"/>
      <w:lang w:eastAsia="en-AU"/>
    </w:rPr>
  </w:style>
  <w:style w:type="character" w:customStyle="1" w:styleId="Heading3Char">
    <w:name w:val="Heading 3 Char"/>
    <w:basedOn w:val="DefaultParagraphFont"/>
    <w:link w:val="Heading3"/>
    <w:uiPriority w:val="9"/>
    <w:rsid w:val="009F0924"/>
    <w:rPr>
      <w:rFonts w:ascii="Times New Roman" w:eastAsia="Times New Roman" w:hAnsi="Times New Roman" w:cs="Times New Roman"/>
      <w:b/>
      <w:bCs/>
      <w:iCs/>
      <w:sz w:val="24"/>
      <w:lang w:eastAsia="en-AU"/>
    </w:rPr>
  </w:style>
  <w:style w:type="paragraph" w:styleId="BalloonText">
    <w:name w:val="Balloon Text"/>
    <w:basedOn w:val="Normal"/>
    <w:link w:val="BalloonTextChar"/>
    <w:uiPriority w:val="99"/>
    <w:semiHidden/>
    <w:unhideWhenUsed/>
    <w:rsid w:val="009C5F2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F2F"/>
    <w:rPr>
      <w:rFonts w:ascii="Segoe UI" w:hAnsi="Segoe UI" w:cs="Segoe UI"/>
      <w:sz w:val="18"/>
      <w:szCs w:val="18"/>
    </w:rPr>
  </w:style>
  <w:style w:type="character" w:styleId="CommentReference">
    <w:name w:val="annotation reference"/>
    <w:basedOn w:val="DefaultParagraphFont"/>
    <w:uiPriority w:val="99"/>
    <w:semiHidden/>
    <w:unhideWhenUsed/>
    <w:rsid w:val="00773178"/>
    <w:rPr>
      <w:sz w:val="16"/>
      <w:szCs w:val="16"/>
    </w:rPr>
  </w:style>
  <w:style w:type="paragraph" w:styleId="CommentText">
    <w:name w:val="annotation text"/>
    <w:basedOn w:val="Normal"/>
    <w:link w:val="CommentTextChar"/>
    <w:uiPriority w:val="99"/>
    <w:semiHidden/>
    <w:unhideWhenUsed/>
    <w:rsid w:val="00773178"/>
    <w:rPr>
      <w:sz w:val="20"/>
      <w:szCs w:val="20"/>
    </w:rPr>
  </w:style>
  <w:style w:type="character" w:customStyle="1" w:styleId="CommentTextChar">
    <w:name w:val="Comment Text Char"/>
    <w:basedOn w:val="DefaultParagraphFont"/>
    <w:link w:val="CommentText"/>
    <w:uiPriority w:val="99"/>
    <w:semiHidden/>
    <w:rsid w:val="0077317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73178"/>
    <w:rPr>
      <w:b/>
      <w:bCs/>
    </w:rPr>
  </w:style>
  <w:style w:type="character" w:customStyle="1" w:styleId="CommentSubjectChar">
    <w:name w:val="Comment Subject Char"/>
    <w:basedOn w:val="CommentTextChar"/>
    <w:link w:val="CommentSubject"/>
    <w:uiPriority w:val="99"/>
    <w:semiHidden/>
    <w:rsid w:val="0077317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658670">
      <w:bodyDiv w:val="1"/>
      <w:marLeft w:val="0"/>
      <w:marRight w:val="0"/>
      <w:marTop w:val="0"/>
      <w:marBottom w:val="0"/>
      <w:divBdr>
        <w:top w:val="none" w:sz="0" w:space="0" w:color="auto"/>
        <w:left w:val="none" w:sz="0" w:space="0" w:color="auto"/>
        <w:bottom w:val="none" w:sz="0" w:space="0" w:color="auto"/>
        <w:right w:val="none" w:sz="0" w:space="0" w:color="auto"/>
      </w:divBdr>
      <w:divsChild>
        <w:div w:id="1731541155">
          <w:marLeft w:val="0"/>
          <w:marRight w:val="0"/>
          <w:marTop w:val="0"/>
          <w:marBottom w:val="0"/>
          <w:divBdr>
            <w:top w:val="none" w:sz="0" w:space="0" w:color="auto"/>
            <w:left w:val="none" w:sz="0" w:space="0" w:color="auto"/>
            <w:bottom w:val="none" w:sz="0" w:space="0" w:color="auto"/>
            <w:right w:val="none" w:sz="0" w:space="0" w:color="auto"/>
          </w:divBdr>
          <w:divsChild>
            <w:div w:id="586573530">
              <w:marLeft w:val="0"/>
              <w:marRight w:val="0"/>
              <w:marTop w:val="0"/>
              <w:marBottom w:val="0"/>
              <w:divBdr>
                <w:top w:val="none" w:sz="0" w:space="0" w:color="auto"/>
                <w:left w:val="none" w:sz="0" w:space="0" w:color="auto"/>
                <w:bottom w:val="none" w:sz="0" w:space="0" w:color="auto"/>
                <w:right w:val="none" w:sz="0" w:space="0" w:color="auto"/>
              </w:divBdr>
              <w:divsChild>
                <w:div w:id="440413745">
                  <w:marLeft w:val="0"/>
                  <w:marRight w:val="0"/>
                  <w:marTop w:val="0"/>
                  <w:marBottom w:val="0"/>
                  <w:divBdr>
                    <w:top w:val="none" w:sz="0" w:space="0" w:color="auto"/>
                    <w:left w:val="none" w:sz="0" w:space="0" w:color="auto"/>
                    <w:bottom w:val="none" w:sz="0" w:space="0" w:color="auto"/>
                    <w:right w:val="none" w:sz="0" w:space="0" w:color="auto"/>
                  </w:divBdr>
                  <w:divsChild>
                    <w:div w:id="1554930345">
                      <w:marLeft w:val="0"/>
                      <w:marRight w:val="0"/>
                      <w:marTop w:val="0"/>
                      <w:marBottom w:val="0"/>
                      <w:divBdr>
                        <w:top w:val="none" w:sz="0" w:space="0" w:color="auto"/>
                        <w:left w:val="none" w:sz="0" w:space="0" w:color="auto"/>
                        <w:bottom w:val="none" w:sz="0" w:space="0" w:color="auto"/>
                        <w:right w:val="none" w:sz="0" w:space="0" w:color="auto"/>
                      </w:divBdr>
                      <w:divsChild>
                        <w:div w:id="2002735199">
                          <w:marLeft w:val="0"/>
                          <w:marRight w:val="0"/>
                          <w:marTop w:val="0"/>
                          <w:marBottom w:val="0"/>
                          <w:divBdr>
                            <w:top w:val="none" w:sz="0" w:space="0" w:color="auto"/>
                            <w:left w:val="none" w:sz="0" w:space="0" w:color="auto"/>
                            <w:bottom w:val="none" w:sz="0" w:space="0" w:color="auto"/>
                            <w:right w:val="none" w:sz="0" w:space="0" w:color="auto"/>
                          </w:divBdr>
                          <w:divsChild>
                            <w:div w:id="175927727">
                              <w:marLeft w:val="0"/>
                              <w:marRight w:val="0"/>
                              <w:marTop w:val="0"/>
                              <w:marBottom w:val="0"/>
                              <w:divBdr>
                                <w:top w:val="none" w:sz="0" w:space="0" w:color="auto"/>
                                <w:left w:val="none" w:sz="0" w:space="0" w:color="auto"/>
                                <w:bottom w:val="none" w:sz="0" w:space="0" w:color="auto"/>
                                <w:right w:val="none" w:sz="0" w:space="0" w:color="auto"/>
                              </w:divBdr>
                              <w:divsChild>
                                <w:div w:id="256644565">
                                  <w:marLeft w:val="0"/>
                                  <w:marRight w:val="0"/>
                                  <w:marTop w:val="0"/>
                                  <w:marBottom w:val="0"/>
                                  <w:divBdr>
                                    <w:top w:val="none" w:sz="0" w:space="0" w:color="auto"/>
                                    <w:left w:val="none" w:sz="0" w:space="0" w:color="auto"/>
                                    <w:bottom w:val="none" w:sz="0" w:space="0" w:color="auto"/>
                                    <w:right w:val="none" w:sz="0" w:space="0" w:color="auto"/>
                                  </w:divBdr>
                                  <w:divsChild>
                                    <w:div w:id="1947345496">
                                      <w:marLeft w:val="0"/>
                                      <w:marRight w:val="0"/>
                                      <w:marTop w:val="0"/>
                                      <w:marBottom w:val="0"/>
                                      <w:divBdr>
                                        <w:top w:val="none" w:sz="0" w:space="0" w:color="auto"/>
                                        <w:left w:val="none" w:sz="0" w:space="0" w:color="auto"/>
                                        <w:bottom w:val="none" w:sz="0" w:space="0" w:color="auto"/>
                                        <w:right w:val="none" w:sz="0" w:space="0" w:color="auto"/>
                                      </w:divBdr>
                                      <w:divsChild>
                                        <w:div w:id="1511287898">
                                          <w:marLeft w:val="0"/>
                                          <w:marRight w:val="0"/>
                                          <w:marTop w:val="0"/>
                                          <w:marBottom w:val="0"/>
                                          <w:divBdr>
                                            <w:top w:val="none" w:sz="0" w:space="0" w:color="auto"/>
                                            <w:left w:val="none" w:sz="0" w:space="0" w:color="auto"/>
                                            <w:bottom w:val="none" w:sz="0" w:space="0" w:color="auto"/>
                                            <w:right w:val="none" w:sz="0" w:space="0" w:color="auto"/>
                                          </w:divBdr>
                                          <w:divsChild>
                                            <w:div w:id="500848879">
                                              <w:marLeft w:val="0"/>
                                              <w:marRight w:val="0"/>
                                              <w:marTop w:val="0"/>
                                              <w:marBottom w:val="0"/>
                                              <w:divBdr>
                                                <w:top w:val="none" w:sz="0" w:space="0" w:color="auto"/>
                                                <w:left w:val="none" w:sz="0" w:space="0" w:color="auto"/>
                                                <w:bottom w:val="none" w:sz="0" w:space="0" w:color="auto"/>
                                                <w:right w:val="none" w:sz="0" w:space="0" w:color="auto"/>
                                              </w:divBdr>
                                              <w:divsChild>
                                                <w:div w:id="403333641">
                                                  <w:marLeft w:val="0"/>
                                                  <w:marRight w:val="0"/>
                                                  <w:marTop w:val="0"/>
                                                  <w:marBottom w:val="0"/>
                                                  <w:divBdr>
                                                    <w:top w:val="none" w:sz="0" w:space="0" w:color="auto"/>
                                                    <w:left w:val="none" w:sz="0" w:space="0" w:color="auto"/>
                                                    <w:bottom w:val="none" w:sz="0" w:space="0" w:color="auto"/>
                                                    <w:right w:val="none" w:sz="0" w:space="0" w:color="auto"/>
                                                  </w:divBdr>
                                                  <w:divsChild>
                                                    <w:div w:id="324361156">
                                                      <w:marLeft w:val="0"/>
                                                      <w:marRight w:val="0"/>
                                                      <w:marTop w:val="0"/>
                                                      <w:marBottom w:val="0"/>
                                                      <w:divBdr>
                                                        <w:top w:val="none" w:sz="0" w:space="0" w:color="auto"/>
                                                        <w:left w:val="none" w:sz="0" w:space="0" w:color="auto"/>
                                                        <w:bottom w:val="none" w:sz="0" w:space="0" w:color="auto"/>
                                                        <w:right w:val="none" w:sz="0" w:space="0" w:color="auto"/>
                                                      </w:divBdr>
                                                      <w:divsChild>
                                                        <w:div w:id="13300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0362913">
      <w:bodyDiv w:val="1"/>
      <w:marLeft w:val="0"/>
      <w:marRight w:val="0"/>
      <w:marTop w:val="0"/>
      <w:marBottom w:val="0"/>
      <w:divBdr>
        <w:top w:val="none" w:sz="0" w:space="0" w:color="auto"/>
        <w:left w:val="none" w:sz="0" w:space="0" w:color="auto"/>
        <w:bottom w:val="none" w:sz="0" w:space="0" w:color="auto"/>
        <w:right w:val="none" w:sz="0" w:space="0" w:color="auto"/>
      </w:divBdr>
      <w:divsChild>
        <w:div w:id="217477087">
          <w:marLeft w:val="0"/>
          <w:marRight w:val="0"/>
          <w:marTop w:val="0"/>
          <w:marBottom w:val="0"/>
          <w:divBdr>
            <w:top w:val="none" w:sz="0" w:space="0" w:color="auto"/>
            <w:left w:val="none" w:sz="0" w:space="0" w:color="auto"/>
            <w:bottom w:val="none" w:sz="0" w:space="0" w:color="auto"/>
            <w:right w:val="none" w:sz="0" w:space="0" w:color="auto"/>
          </w:divBdr>
          <w:divsChild>
            <w:div w:id="82190959">
              <w:marLeft w:val="0"/>
              <w:marRight w:val="0"/>
              <w:marTop w:val="0"/>
              <w:marBottom w:val="0"/>
              <w:divBdr>
                <w:top w:val="none" w:sz="0" w:space="0" w:color="auto"/>
                <w:left w:val="none" w:sz="0" w:space="0" w:color="auto"/>
                <w:bottom w:val="none" w:sz="0" w:space="0" w:color="auto"/>
                <w:right w:val="none" w:sz="0" w:space="0" w:color="auto"/>
              </w:divBdr>
              <w:divsChild>
                <w:div w:id="1400132600">
                  <w:marLeft w:val="0"/>
                  <w:marRight w:val="0"/>
                  <w:marTop w:val="0"/>
                  <w:marBottom w:val="0"/>
                  <w:divBdr>
                    <w:top w:val="none" w:sz="0" w:space="0" w:color="auto"/>
                    <w:left w:val="none" w:sz="0" w:space="0" w:color="auto"/>
                    <w:bottom w:val="none" w:sz="0" w:space="0" w:color="auto"/>
                    <w:right w:val="none" w:sz="0" w:space="0" w:color="auto"/>
                  </w:divBdr>
                  <w:divsChild>
                    <w:div w:id="976496885">
                      <w:marLeft w:val="0"/>
                      <w:marRight w:val="0"/>
                      <w:marTop w:val="0"/>
                      <w:marBottom w:val="0"/>
                      <w:divBdr>
                        <w:top w:val="none" w:sz="0" w:space="0" w:color="auto"/>
                        <w:left w:val="none" w:sz="0" w:space="0" w:color="auto"/>
                        <w:bottom w:val="none" w:sz="0" w:space="0" w:color="auto"/>
                        <w:right w:val="none" w:sz="0" w:space="0" w:color="auto"/>
                      </w:divBdr>
                      <w:divsChild>
                        <w:div w:id="1950433319">
                          <w:marLeft w:val="0"/>
                          <w:marRight w:val="0"/>
                          <w:marTop w:val="0"/>
                          <w:marBottom w:val="0"/>
                          <w:divBdr>
                            <w:top w:val="none" w:sz="0" w:space="0" w:color="auto"/>
                            <w:left w:val="none" w:sz="0" w:space="0" w:color="auto"/>
                            <w:bottom w:val="none" w:sz="0" w:space="0" w:color="auto"/>
                            <w:right w:val="none" w:sz="0" w:space="0" w:color="auto"/>
                          </w:divBdr>
                          <w:divsChild>
                            <w:div w:id="746339605">
                              <w:marLeft w:val="0"/>
                              <w:marRight w:val="0"/>
                              <w:marTop w:val="0"/>
                              <w:marBottom w:val="0"/>
                              <w:divBdr>
                                <w:top w:val="none" w:sz="0" w:space="0" w:color="auto"/>
                                <w:left w:val="none" w:sz="0" w:space="0" w:color="auto"/>
                                <w:bottom w:val="none" w:sz="0" w:space="0" w:color="auto"/>
                                <w:right w:val="none" w:sz="0" w:space="0" w:color="auto"/>
                              </w:divBdr>
                              <w:divsChild>
                                <w:div w:id="740718895">
                                  <w:marLeft w:val="0"/>
                                  <w:marRight w:val="0"/>
                                  <w:marTop w:val="0"/>
                                  <w:marBottom w:val="0"/>
                                  <w:divBdr>
                                    <w:top w:val="none" w:sz="0" w:space="0" w:color="auto"/>
                                    <w:left w:val="none" w:sz="0" w:space="0" w:color="auto"/>
                                    <w:bottom w:val="none" w:sz="0" w:space="0" w:color="auto"/>
                                    <w:right w:val="none" w:sz="0" w:space="0" w:color="auto"/>
                                  </w:divBdr>
                                  <w:divsChild>
                                    <w:div w:id="2016609338">
                                      <w:marLeft w:val="0"/>
                                      <w:marRight w:val="0"/>
                                      <w:marTop w:val="0"/>
                                      <w:marBottom w:val="0"/>
                                      <w:divBdr>
                                        <w:top w:val="none" w:sz="0" w:space="0" w:color="auto"/>
                                        <w:left w:val="none" w:sz="0" w:space="0" w:color="auto"/>
                                        <w:bottom w:val="none" w:sz="0" w:space="0" w:color="auto"/>
                                        <w:right w:val="none" w:sz="0" w:space="0" w:color="auto"/>
                                      </w:divBdr>
                                      <w:divsChild>
                                        <w:div w:id="810052098">
                                          <w:marLeft w:val="0"/>
                                          <w:marRight w:val="0"/>
                                          <w:marTop w:val="0"/>
                                          <w:marBottom w:val="0"/>
                                          <w:divBdr>
                                            <w:top w:val="none" w:sz="0" w:space="0" w:color="auto"/>
                                            <w:left w:val="none" w:sz="0" w:space="0" w:color="auto"/>
                                            <w:bottom w:val="none" w:sz="0" w:space="0" w:color="auto"/>
                                            <w:right w:val="none" w:sz="0" w:space="0" w:color="auto"/>
                                          </w:divBdr>
                                          <w:divsChild>
                                            <w:div w:id="2039503349">
                                              <w:marLeft w:val="0"/>
                                              <w:marRight w:val="0"/>
                                              <w:marTop w:val="0"/>
                                              <w:marBottom w:val="0"/>
                                              <w:divBdr>
                                                <w:top w:val="none" w:sz="0" w:space="0" w:color="auto"/>
                                                <w:left w:val="none" w:sz="0" w:space="0" w:color="auto"/>
                                                <w:bottom w:val="none" w:sz="0" w:space="0" w:color="auto"/>
                                                <w:right w:val="none" w:sz="0" w:space="0" w:color="auto"/>
                                              </w:divBdr>
                                              <w:divsChild>
                                                <w:div w:id="1108038842">
                                                  <w:marLeft w:val="0"/>
                                                  <w:marRight w:val="0"/>
                                                  <w:marTop w:val="0"/>
                                                  <w:marBottom w:val="0"/>
                                                  <w:divBdr>
                                                    <w:top w:val="none" w:sz="0" w:space="0" w:color="auto"/>
                                                    <w:left w:val="none" w:sz="0" w:space="0" w:color="auto"/>
                                                    <w:bottom w:val="none" w:sz="0" w:space="0" w:color="auto"/>
                                                    <w:right w:val="none" w:sz="0" w:space="0" w:color="auto"/>
                                                  </w:divBdr>
                                                  <w:divsChild>
                                                    <w:div w:id="1484155333">
                                                      <w:marLeft w:val="0"/>
                                                      <w:marRight w:val="0"/>
                                                      <w:marTop w:val="0"/>
                                                      <w:marBottom w:val="0"/>
                                                      <w:divBdr>
                                                        <w:top w:val="none" w:sz="0" w:space="0" w:color="auto"/>
                                                        <w:left w:val="none" w:sz="0" w:space="0" w:color="auto"/>
                                                        <w:bottom w:val="none" w:sz="0" w:space="0" w:color="auto"/>
                                                        <w:right w:val="none" w:sz="0" w:space="0" w:color="auto"/>
                                                      </w:divBdr>
                                                      <w:divsChild>
                                                        <w:div w:id="60399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950eb60-a35e-4b14-88a9-41f408f74491">CVP4KWCTENUR-347592896-372</_dlc_DocId>
    <_dlc_DocIdUrl xmlns="e950eb60-a35e-4b14-88a9-41f408f74491">
      <Url>http://dochub/div/officeofnorthernaustralia/businessfunctions/northernaustraliainfrastructurefacility/policydevadv/_layouts/15/DocIdRedir.aspx?ID=CVP4KWCTENUR-347592896-372</Url>
      <Description>CVP4KWCTENUR-347592896-372</Description>
    </_dlc_DocIdUrl>
    <TaxCatchAll xmlns="e950eb60-a35e-4b14-88a9-41f408f74491">
      <Value>545</Value>
      <Value>935</Value>
      <Value>3</Value>
      <Value>518</Value>
    </TaxCatchAll>
    <pe2555c81638466f9eb614edb9ecde52 xmlns="e950eb60-a35e-4b14-88a9-41f408f74491">
      <Terms xmlns="http://schemas.microsoft.com/office/infopath/2007/PartnerControls">
        <TermInfo xmlns="http://schemas.microsoft.com/office/infopath/2007/PartnerControls">
          <TermName xmlns="http://schemas.microsoft.com/office/infopath/2007/PartnerControls">Explanatory Memorandum</TermName>
          <TermId xmlns="http://schemas.microsoft.com/office/infopath/2007/PartnerControls">e1baf4eb-cfb1-4562-a99a-5aebab1aca70</TermId>
        </TermInfo>
      </Terms>
    </pe2555c81638466f9eb614edb9ecde52>
    <g7bcb40ba23249a78edca7d43a67c1c9 xmlns="e950eb60-a35e-4b14-88a9-41f408f74491">
      <Terms xmlns="http://schemas.microsoft.com/office/infopath/2007/PartnerControls"/>
    </g7bcb40ba23249a78edca7d43a67c1c9>
    <aa25a1a23adf4c92a153145de6afe324 xmlns="e950eb60-a35e-4b14-88a9-41f408f7449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n99e4c9942c6404eb103464a00e6097b xmlns="e950eb60-a35e-4b14-88a9-41f408f74491">
      <Terms xmlns="http://schemas.microsoft.com/office/infopath/2007/PartnerControls"/>
    </n99e4c9942c6404eb103464a00e6097b>
    <adb9bed2e36e4a93af574aeb444da63e xmlns="e950eb60-a35e-4b14-88a9-41f408f74491">
      <Terms xmlns="http://schemas.microsoft.com/office/infopath/2007/PartnerControls">
        <TermInfo xmlns="http://schemas.microsoft.com/office/infopath/2007/PartnerControls">
          <TermName xmlns="http://schemas.microsoft.com/office/infopath/2007/PartnerControls">Shepherd review</TermName>
          <TermId xmlns="http://schemas.microsoft.com/office/infopath/2007/PartnerControls">ffa0c544-fb2f-484c-9d6d-c7e7126ddea0</TermId>
        </TermInfo>
        <TermInfo xmlns="http://schemas.microsoft.com/office/infopath/2007/PartnerControls">
          <TermName xmlns="http://schemas.microsoft.com/office/infopath/2007/PartnerControls">Investment Mandate</TermName>
          <TermId xmlns="http://schemas.microsoft.com/office/infopath/2007/PartnerControls">1dedfe5b-d02d-4b8f-b03b-69cbc5f325b2</TermId>
        </TermInfo>
      </Terms>
    </adb9bed2e36e4a93af574aeb444da63e>
    <Comment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56749EC60CD654F9623EF72D8FC5E57" ma:contentTypeVersion="13" ma:contentTypeDescription="Create a new document." ma:contentTypeScope="" ma:versionID="10ae2d25ea4c066c7439dbd070fdf473">
  <xsd:schema xmlns:xsd="http://www.w3.org/2001/XMLSchema" xmlns:xs="http://www.w3.org/2001/XMLSchema" xmlns:p="http://schemas.microsoft.com/office/2006/metadata/properties" xmlns:ns1="http://schemas.microsoft.com/sharepoint/v3" xmlns:ns2="e950eb60-a35e-4b14-88a9-41f408f74491" targetNamespace="http://schemas.microsoft.com/office/2006/metadata/properties" ma:root="true" ma:fieldsID="87fda434d5fa16bedf2a2e3fe8fdb7bd" ns1:_="" ns2:_="">
    <xsd:import namespace="http://schemas.microsoft.com/sharepoint/v3"/>
    <xsd:import namespace="e950eb60-a35e-4b14-88a9-41f408f74491"/>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50eb60-a35e-4b14-88a9-41f408f7449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2dff2eb7-e297-4992-b865-1a47fdf64e6a}" ma:internalName="TaxCatchAll" ma:showField="CatchAllData" ma:web="e950eb60-a35e-4b14-88a9-41f408f74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acf7d73-44f1-4bad-9de4-dfdec5c74e03"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3C713D-5389-452C-A2F4-D8F0CAF68C7A}">
  <ds:schemaRefs>
    <ds:schemaRef ds:uri="http://schemas.microsoft.com/office/2006/documentManagement/types"/>
    <ds:schemaRef ds:uri="http://schemas.microsoft.com/office/2006/metadata/properties"/>
    <ds:schemaRef ds:uri="http://schemas.microsoft.com/sharepoint/v3"/>
    <ds:schemaRef ds:uri="http://purl.org/dc/elements/1.1/"/>
    <ds:schemaRef ds:uri="http://schemas.openxmlformats.org/package/2006/metadata/core-properties"/>
    <ds:schemaRef ds:uri="http://purl.org/dc/terms/"/>
    <ds:schemaRef ds:uri="http://www.w3.org/XML/1998/namespace"/>
    <ds:schemaRef ds:uri="http://schemas.microsoft.com/office/infopath/2007/PartnerControls"/>
    <ds:schemaRef ds:uri="e950eb60-a35e-4b14-88a9-41f408f74491"/>
    <ds:schemaRef ds:uri="http://purl.org/dc/dcmitype/"/>
  </ds:schemaRefs>
</ds:datastoreItem>
</file>

<file path=customXml/itemProps2.xml><?xml version="1.0" encoding="utf-8"?>
<ds:datastoreItem xmlns:ds="http://schemas.openxmlformats.org/officeDocument/2006/customXml" ds:itemID="{60928237-59DE-4BB8-9D8E-EF255339DB30}">
  <ds:schemaRefs>
    <ds:schemaRef ds:uri="http://schemas.microsoft.com/sharepoint/v3/contenttype/forms"/>
  </ds:schemaRefs>
</ds:datastoreItem>
</file>

<file path=customXml/itemProps3.xml><?xml version="1.0" encoding="utf-8"?>
<ds:datastoreItem xmlns:ds="http://schemas.openxmlformats.org/officeDocument/2006/customXml" ds:itemID="{C8AE0C55-59DF-4F0C-B0F2-F8B23499A56E}">
  <ds:schemaRefs>
    <ds:schemaRef ds:uri="http://schemas.microsoft.com/sharepoint/events"/>
  </ds:schemaRefs>
</ds:datastoreItem>
</file>

<file path=customXml/itemProps4.xml><?xml version="1.0" encoding="utf-8"?>
<ds:datastoreItem xmlns:ds="http://schemas.openxmlformats.org/officeDocument/2006/customXml" ds:itemID="{D67415F0-DEB8-4CCA-8CA4-86657F20D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50eb60-a35e-4b14-88a9-41f408f744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3216</Words>
  <Characters>18332</Characters>
  <Application>Microsoft Office Word</Application>
  <DocSecurity>4</DocSecurity>
  <Lines>152</Lines>
  <Paragraphs>43</Paragraphs>
  <ScaleCrop>false</ScaleCrop>
  <HeadingPairs>
    <vt:vector size="2" baseType="variant">
      <vt:variant>
        <vt:lpstr>Title</vt:lpstr>
      </vt:variant>
      <vt:variant>
        <vt:i4>1</vt:i4>
      </vt:variant>
    </vt:vector>
  </HeadingPairs>
  <TitlesOfParts>
    <vt:vector size="1" baseType="lpstr">
      <vt:lpstr>Northern Australia Infrastructure Facility Investment Mandate Explanatory Statement</vt:lpstr>
    </vt:vector>
  </TitlesOfParts>
  <Company>Department of Industry, Innovation and Science</Company>
  <LinksUpToDate>false</LinksUpToDate>
  <CharactersWithSpaces>21505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Australia Infrastructure Facility Investment Mandate Explanatory Statement</dc:title>
  <dc:subject>Explanatory Statement</dc:subject>
  <dc:creator>Portfolio Strategic Policy</dc:creator>
  <cp:lastModifiedBy>Robinson, Lisa</cp:lastModifiedBy>
  <cp:revision>2</cp:revision>
  <dcterms:created xsi:type="dcterms:W3CDTF">2018-04-25T23:27:00Z</dcterms:created>
  <dcterms:modified xsi:type="dcterms:W3CDTF">2018-04-25T23:27:00Z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0x010100456749EC60CD654F9623EF72D8FC5E57</vt:lpwstr>
  </property>
  <property fmtid="{D5CDD505-2E9C-101B-9397-08002B2CF9AE}" pid="7" name="_dlc_DocIdItemGuid">
    <vt:lpwstr>8b582d04-417d-4619-99bb-f8cb109f654e</vt:lpwstr>
  </property>
  <property fmtid="{D5CDD505-2E9C-101B-9397-08002B2CF9AE}" pid="8" name="DocHub_Year">
    <vt:lpwstr/>
  </property>
  <property fmtid="{D5CDD505-2E9C-101B-9397-08002B2CF9AE}" pid="9" name="DocHub_DocumentType">
    <vt:lpwstr>545;#Explanatory Memorandum|e1baf4eb-cfb1-4562-a99a-5aebab1aca70</vt:lpwstr>
  </property>
  <property fmtid="{D5CDD505-2E9C-101B-9397-08002B2CF9AE}" pid="10" name="DocHub_SecurityClassification">
    <vt:lpwstr>3;#UNCLASSIFIED|6106d03b-a1a0-4e30-9d91-d5e9fb4314f9</vt:lpwstr>
  </property>
  <property fmtid="{D5CDD505-2E9C-101B-9397-08002B2CF9AE}" pid="11" name="DocHub_Keywords">
    <vt:lpwstr>935;#Shepherd review|ffa0c544-fb2f-484c-9d6d-c7e7126ddea0;#518;#Investment Mandate|1dedfe5b-d02d-4b8f-b03b-69cbc5f325b2</vt:lpwstr>
  </property>
  <property fmtid="{D5CDD505-2E9C-101B-9397-08002B2CF9AE}" pid="12" name="DocHub_WorkActivity">
    <vt:lpwstr/>
  </property>
</Properties>
</file>