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74F847FB" w:rsidR="00637B19" w:rsidRPr="00A456F8" w:rsidRDefault="00587565" w:rsidP="00637B19">
      <w:pPr>
        <w:pStyle w:val="Heading1"/>
        <w:rPr>
          <w:rFonts w:ascii="Calibri" w:hAnsi="Calibri" w:cs="Calibri"/>
          <w:i/>
          <w:spacing w:val="-2"/>
        </w:rPr>
      </w:pPr>
      <w:bookmarkStart w:id="0" w:name="_GoBack"/>
      <w:bookmarkEnd w:id="0"/>
      <w:r>
        <w:rPr>
          <w:rFonts w:ascii="Calibri" w:hAnsi="Calibri" w:cs="Calibri"/>
          <w:i/>
          <w:spacing w:val="-2"/>
        </w:rPr>
        <w:t>Legislation (Tobacco</w:t>
      </w:r>
      <w:r w:rsidR="009543D6" w:rsidRPr="00A456F8">
        <w:rPr>
          <w:rFonts w:ascii="Calibri" w:hAnsi="Calibri" w:cs="Calibri"/>
          <w:i/>
          <w:spacing w:val="-2"/>
        </w:rPr>
        <w:t xml:space="preserve"> Instruments) Sunset-altering Declaration 2018</w:t>
      </w:r>
    </w:p>
    <w:p w14:paraId="116A3D29" w14:textId="77777777" w:rsidR="00637B19" w:rsidRDefault="00637B19" w:rsidP="00637B19">
      <w:pPr>
        <w:pStyle w:val="Heading1"/>
        <w:rPr>
          <w:rFonts w:ascii="Calibri" w:hAnsi="Calibri" w:cs="Calibri"/>
        </w:rPr>
      </w:pPr>
      <w:r>
        <w:rPr>
          <w:rFonts w:ascii="Calibri" w:hAnsi="Calibri" w:cs="Calibri"/>
        </w:rPr>
        <w:t>EXPLANATORY STATEMENT</w:t>
      </w:r>
    </w:p>
    <w:p w14:paraId="33B9148E" w14:textId="1A5578E3" w:rsidR="00637B19" w:rsidRDefault="005125E8" w:rsidP="00E22920">
      <w:pPr>
        <w:spacing w:before="240" w:line="240" w:lineRule="auto"/>
        <w:jc w:val="center"/>
        <w:rPr>
          <w:rFonts w:ascii="Calibri" w:hAnsi="Calibri" w:cs="Calibri"/>
          <w:i/>
        </w:rPr>
      </w:pPr>
      <w:r w:rsidRPr="00B232F6">
        <w:rPr>
          <w:rFonts w:ascii="Calibri" w:hAnsi="Calibri" w:cs="Calibri"/>
        </w:rPr>
        <w:t>Issued by the Attorney</w:t>
      </w:r>
      <w:r w:rsidRPr="00B232F6">
        <w:rPr>
          <w:rFonts w:ascii="Calibri" w:hAnsi="Calibri" w:cs="Calibri"/>
        </w:rPr>
        <w:noBreakHyphen/>
        <w:t xml:space="preserve">General in compliance with section 15G of the </w:t>
      </w:r>
      <w:r w:rsidRPr="00B232F6">
        <w:rPr>
          <w:rFonts w:ascii="Calibri" w:hAnsi="Calibri" w:cs="Calibri"/>
          <w:i/>
        </w:rPr>
        <w:t>Legislation Act 2003</w:t>
      </w:r>
    </w:p>
    <w:p w14:paraId="5E564A13" w14:textId="77777777" w:rsidR="00637B19" w:rsidRDefault="00637B19" w:rsidP="00637B19">
      <w:pPr>
        <w:pBdr>
          <w:bottom w:val="single" w:sz="4" w:space="1" w:color="auto"/>
        </w:pBdr>
        <w:spacing w:after="240"/>
        <w:jc w:val="center"/>
        <w:rPr>
          <w:rFonts w:ascii="Calibri" w:hAnsi="Calibri" w:cs="Calibri"/>
        </w:rPr>
      </w:pPr>
    </w:p>
    <w:p w14:paraId="2F64A77A" w14:textId="77777777" w:rsidR="00637B19" w:rsidRDefault="00637B19" w:rsidP="00637B19">
      <w:pPr>
        <w:pStyle w:val="Heading2"/>
        <w:rPr>
          <w:rFonts w:ascii="Calibri" w:hAnsi="Calibri" w:cs="Calibri"/>
        </w:rPr>
      </w:pPr>
      <w:r>
        <w:rPr>
          <w:rFonts w:ascii="Calibri" w:hAnsi="Calibri" w:cs="Calibri"/>
        </w:rPr>
        <w:t>INTRODUCTION</w:t>
      </w:r>
    </w:p>
    <w:p w14:paraId="4379AE5D" w14:textId="7B40F62E" w:rsidR="00637B19" w:rsidRDefault="00637B19" w:rsidP="00637B19">
      <w:pPr>
        <w:spacing w:before="180" w:line="240" w:lineRule="auto"/>
        <w:rPr>
          <w:rFonts w:ascii="Calibri" w:hAnsi="Calibri" w:cs="Calibri"/>
        </w:rPr>
      </w:pPr>
      <w:r>
        <w:rPr>
          <w:rFonts w:ascii="Calibri" w:hAnsi="Calibri" w:cs="Calibri"/>
        </w:rPr>
        <w:t>This declaration was made under subsection 51A</w:t>
      </w:r>
      <w:r w:rsidR="00EE3F45">
        <w:rPr>
          <w:rFonts w:ascii="Calibri" w:hAnsi="Calibri" w:cs="Calibri"/>
        </w:rPr>
        <w:t>(1)</w:t>
      </w:r>
      <w:r>
        <w:rPr>
          <w:rFonts w:ascii="Calibri" w:hAnsi="Calibri" w:cs="Calibri"/>
        </w:rPr>
        <w:t xml:space="preserve"> of the </w:t>
      </w:r>
      <w:r w:rsidR="00D3246B">
        <w:rPr>
          <w:rFonts w:ascii="Calibri" w:hAnsi="Calibri" w:cs="Calibri"/>
          <w:i/>
        </w:rPr>
        <w:t xml:space="preserve">Legislation Act 2003 </w:t>
      </w:r>
      <w:r>
        <w:rPr>
          <w:rFonts w:ascii="Calibri" w:hAnsi="Calibri" w:cs="Calibri"/>
        </w:rPr>
        <w:t xml:space="preserve">and is a legislative instrument for the purposes of the </w:t>
      </w:r>
      <w:r w:rsidR="00882B43">
        <w:rPr>
          <w:rFonts w:ascii="Calibri" w:hAnsi="Calibri" w:cs="Calibri"/>
        </w:rPr>
        <w:t>Legislation Act</w:t>
      </w:r>
      <w:r>
        <w:rPr>
          <w:rFonts w:ascii="Calibri" w:hAnsi="Calibri" w:cs="Calibri"/>
        </w:rPr>
        <w:t xml:space="preserve">. The declaration is subject to the disallowance provisions of the </w:t>
      </w:r>
      <w:r w:rsidR="00882B43">
        <w:rPr>
          <w:rFonts w:ascii="Calibri" w:hAnsi="Calibri" w:cs="Calibri"/>
        </w:rPr>
        <w:t>Legislation Act</w:t>
      </w:r>
      <w:r>
        <w:rPr>
          <w:rFonts w:ascii="Calibri" w:hAnsi="Calibri" w:cs="Calibri"/>
        </w:rPr>
        <w:t xml:space="preserve">. </w:t>
      </w:r>
    </w:p>
    <w:p w14:paraId="2E2304B9" w14:textId="77777777" w:rsidR="00637B19" w:rsidRDefault="00637B19" w:rsidP="00637B19">
      <w:pPr>
        <w:pStyle w:val="Heading2"/>
        <w:rPr>
          <w:rFonts w:ascii="Calibri" w:hAnsi="Calibri" w:cs="Calibri"/>
        </w:rPr>
      </w:pPr>
      <w:r>
        <w:rPr>
          <w:rFonts w:ascii="Calibri" w:hAnsi="Calibri" w:cs="Calibri"/>
        </w:rPr>
        <w:t>OUTLINE</w:t>
      </w:r>
    </w:p>
    <w:p w14:paraId="1078E602" w14:textId="22E5515C" w:rsidR="00637B19" w:rsidRDefault="00637B19" w:rsidP="00637B19">
      <w:pPr>
        <w:spacing w:before="180" w:line="240" w:lineRule="auto"/>
        <w:rPr>
          <w:rFonts w:ascii="Calibri" w:hAnsi="Calibri" w:cs="Calibri"/>
        </w:rPr>
      </w:pPr>
      <w:r>
        <w:rPr>
          <w:rFonts w:ascii="Calibri" w:hAnsi="Calibri" w:cs="Calibri"/>
        </w:rPr>
        <w:t xml:space="preserve">The purpose of </w:t>
      </w:r>
      <w:r w:rsidR="008C1ECD">
        <w:rPr>
          <w:rFonts w:ascii="Calibri" w:hAnsi="Calibri" w:cs="Calibri"/>
        </w:rPr>
        <w:t>Part 4 of Chapter 3 of the Legislation Act</w:t>
      </w:r>
      <w:r>
        <w:rPr>
          <w:rFonts w:ascii="Calibri" w:hAnsi="Calibri" w:cs="Calibri"/>
        </w:rPr>
        <w:t>, which provides for the sunsetting of legislative instruments, is to ensure that legislative instruments are kept up to date and only remain in force for so long as they are needed.</w:t>
      </w:r>
    </w:p>
    <w:p w14:paraId="091C8211" w14:textId="77777777" w:rsidR="00637B19" w:rsidRDefault="00637B19" w:rsidP="00637B19">
      <w:pPr>
        <w:spacing w:before="180" w:line="240" w:lineRule="auto"/>
        <w:rPr>
          <w:rFonts w:ascii="Calibri" w:hAnsi="Calibri" w:cs="Calibri"/>
        </w:rPr>
      </w:pPr>
      <w:r>
        <w:rPr>
          <w:rFonts w:ascii="Calibri" w:hAnsi="Calibri" w:cs="Calibri"/>
        </w:rPr>
        <w:t xml:space="preserve">Section 51A enables the Attorney-General to align the sunsetting dates of two or more instruments by declaration. The instruments will then all cease to be in force on the day specified in the declaration instead of the scheduled sunsetting day of each instrument. </w:t>
      </w:r>
    </w:p>
    <w:p w14:paraId="25B68784" w14:textId="12E6DE16" w:rsidR="00637B19" w:rsidRDefault="00637B19" w:rsidP="00637B19">
      <w:pPr>
        <w:spacing w:before="180" w:line="240" w:lineRule="auto"/>
        <w:rPr>
          <w:rFonts w:ascii="Calibri" w:hAnsi="Calibri" w:cs="Calibri"/>
        </w:rPr>
      </w:pPr>
      <w:r>
        <w:rPr>
          <w:rFonts w:ascii="Calibri" w:hAnsi="Calibri" w:cs="Calibri"/>
        </w:rPr>
        <w:t>This allows instruments to continue to be in force for a further but limited period of time w</w:t>
      </w:r>
      <w:r w:rsidR="005E7489">
        <w:rPr>
          <w:rFonts w:ascii="Calibri" w:hAnsi="Calibri" w:cs="Calibri"/>
        </w:rPr>
        <w:t>hen they would otherwise sunset,</w:t>
      </w:r>
      <w:r>
        <w:rPr>
          <w:rFonts w:ascii="Calibri" w:hAnsi="Calibri" w:cs="Calibri"/>
        </w:rPr>
        <w:t xml:space="preserve"> or to sunset earlier than the originally scheduled sunsetting day. The purpose of </w:t>
      </w:r>
      <w:r w:rsidR="00E450F5">
        <w:rPr>
          <w:rFonts w:ascii="Calibri" w:hAnsi="Calibri" w:cs="Calibri"/>
        </w:rPr>
        <w:t>this</w:t>
      </w:r>
      <w:r>
        <w:rPr>
          <w:rFonts w:ascii="Calibri" w:hAnsi="Calibri" w:cs="Calibri"/>
        </w:rPr>
        <w:t xml:space="preserve"> alignment is to </w:t>
      </w:r>
      <w:r w:rsidR="003939FB" w:rsidRPr="003939FB">
        <w:rPr>
          <w:rFonts w:ascii="Calibri" w:hAnsi="Calibri" w:cs="Calibri"/>
        </w:rPr>
        <w:t>facilitate more efficient and effective review processes by enabling a single thematic review into the fitness-for-purpose of all instruments relevant to a particular industry</w:t>
      </w:r>
      <w:r w:rsidR="00EA0796">
        <w:rPr>
          <w:rFonts w:ascii="Calibri" w:hAnsi="Calibri" w:cs="Calibri"/>
        </w:rPr>
        <w:t>, enabling Act</w:t>
      </w:r>
      <w:r w:rsidR="003939FB" w:rsidRPr="003939FB">
        <w:rPr>
          <w:rFonts w:ascii="Calibri" w:hAnsi="Calibri" w:cs="Calibri"/>
        </w:rPr>
        <w:t xml:space="preserve"> or theme</w:t>
      </w:r>
      <w:r w:rsidR="00E22920">
        <w:rPr>
          <w:rFonts w:ascii="Calibri" w:hAnsi="Calibri" w:cs="Calibri"/>
        </w:rPr>
        <w:t xml:space="preserve">. </w:t>
      </w:r>
    </w:p>
    <w:p w14:paraId="6679956A" w14:textId="0532BD70" w:rsidR="00637B19" w:rsidRDefault="00637B19" w:rsidP="00637B19">
      <w:pPr>
        <w:spacing w:before="180" w:line="240" w:lineRule="auto"/>
        <w:rPr>
          <w:rFonts w:ascii="Calibri" w:hAnsi="Calibri" w:cs="Calibri"/>
        </w:rPr>
      </w:pPr>
      <w:r>
        <w:rPr>
          <w:rFonts w:ascii="Calibri" w:hAnsi="Calibri" w:cs="Calibri"/>
        </w:rPr>
        <w:t xml:space="preserve">This </w:t>
      </w:r>
      <w:r w:rsidR="00E75700">
        <w:rPr>
          <w:rFonts w:ascii="Calibri" w:hAnsi="Calibri" w:cs="Calibri"/>
        </w:rPr>
        <w:t xml:space="preserve">reduces </w:t>
      </w:r>
      <w:r>
        <w:rPr>
          <w:rFonts w:ascii="Calibri" w:hAnsi="Calibri" w:cs="Calibri"/>
        </w:rPr>
        <w:t xml:space="preserve">the administrative burden as well as legislative inconsistencies </w:t>
      </w:r>
      <w:r w:rsidR="00FA2F4A">
        <w:rPr>
          <w:rFonts w:ascii="Calibri" w:hAnsi="Calibri" w:cs="Calibri"/>
        </w:rPr>
        <w:t xml:space="preserve">that can </w:t>
      </w:r>
      <w:r>
        <w:rPr>
          <w:rFonts w:ascii="Calibri" w:hAnsi="Calibri" w:cs="Calibri"/>
        </w:rPr>
        <w:t xml:space="preserve">arise from </w:t>
      </w:r>
      <w:r w:rsidR="002B1F17" w:rsidRPr="002B1F17">
        <w:rPr>
          <w:rFonts w:ascii="Calibri" w:hAnsi="Calibri" w:cs="Calibri"/>
        </w:rPr>
        <w:t xml:space="preserve">reviewing and remaking </w:t>
      </w:r>
      <w:r>
        <w:rPr>
          <w:rFonts w:ascii="Calibri" w:hAnsi="Calibri" w:cs="Calibri"/>
        </w:rPr>
        <w:t xml:space="preserve">related legislation independently at different times. </w:t>
      </w:r>
    </w:p>
    <w:p w14:paraId="6165E1C4" w14:textId="77777777" w:rsidR="00637B19" w:rsidRDefault="00637B19" w:rsidP="00637B19">
      <w:pPr>
        <w:pStyle w:val="Heading2"/>
        <w:rPr>
          <w:rFonts w:ascii="Calibri" w:hAnsi="Calibri" w:cs="Calibri"/>
        </w:rPr>
      </w:pPr>
      <w:r>
        <w:rPr>
          <w:rFonts w:ascii="Calibri" w:hAnsi="Calibri" w:cs="Calibri"/>
        </w:rPr>
        <w:t xml:space="preserve">PROCESS BEFORE CERTIFICATE WAS MADE </w:t>
      </w:r>
    </w:p>
    <w:p w14:paraId="1C930960" w14:textId="77777777" w:rsidR="00637B19" w:rsidRDefault="00637B19" w:rsidP="00637B19">
      <w:pPr>
        <w:pStyle w:val="Heading3"/>
        <w:rPr>
          <w:rFonts w:ascii="Calibri" w:hAnsi="Calibri" w:cs="Calibri"/>
        </w:rPr>
      </w:pPr>
      <w:r>
        <w:rPr>
          <w:rFonts w:ascii="Calibri" w:hAnsi="Calibri" w:cs="Calibri"/>
        </w:rPr>
        <w:t>Regulatory impact analysis</w:t>
      </w:r>
    </w:p>
    <w:p w14:paraId="4FDB744D" w14:textId="77777777" w:rsidR="00637B19" w:rsidRDefault="00637B19" w:rsidP="00637B19">
      <w:pPr>
        <w:spacing w:before="180" w:line="240" w:lineRule="auto"/>
        <w:rPr>
          <w:rFonts w:ascii="Calibri" w:hAnsi="Calibri" w:cs="Calibri"/>
        </w:rPr>
      </w:pPr>
      <w:r>
        <w:rPr>
          <w:rFonts w:ascii="Calibri" w:hAnsi="Calibri"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Default="00637B19" w:rsidP="00637B19">
      <w:pPr>
        <w:pStyle w:val="Heading3"/>
        <w:rPr>
          <w:rFonts w:ascii="Calibri" w:hAnsi="Calibri" w:cs="Calibri"/>
        </w:rPr>
      </w:pPr>
      <w:r>
        <w:rPr>
          <w:rFonts w:ascii="Calibri" w:hAnsi="Calibri" w:cs="Calibri"/>
        </w:rPr>
        <w:t>Statement of compatibility with human rights obligations</w:t>
      </w:r>
    </w:p>
    <w:p w14:paraId="573E7621" w14:textId="069A3367" w:rsidR="00637B19" w:rsidRDefault="00637B19" w:rsidP="00637B19">
      <w:pPr>
        <w:spacing w:before="180" w:line="240" w:lineRule="auto"/>
        <w:rPr>
          <w:rFonts w:ascii="Calibri" w:hAnsi="Calibri" w:cs="Calibri"/>
          <w:highlight w:val="cyan"/>
        </w:rPr>
      </w:pPr>
      <w:r>
        <w:rPr>
          <w:rFonts w:ascii="Calibri" w:hAnsi="Calibri" w:cs="Calibri"/>
        </w:rPr>
        <w:t>Before this declaration was made, its impact on human rights was assessed using tools and guidance published by the Attorney</w:t>
      </w:r>
      <w:r>
        <w:rPr>
          <w:rFonts w:ascii="Calibri" w:hAnsi="Calibri" w:cs="Calibri"/>
        </w:rPr>
        <w:noBreakHyphen/>
        <w:t>General’s Department. It is fully compatible with human rights as defined i</w:t>
      </w:r>
      <w:r>
        <w:rPr>
          <w:rFonts w:ascii="Calibri" w:hAnsi="Calibri" w:cs="Calibri"/>
          <w:color w:val="000000"/>
        </w:rPr>
        <w:t xml:space="preserve">n section 3 of the </w:t>
      </w:r>
      <w:r w:rsidR="00D24AB9" w:rsidRPr="00D24AB9">
        <w:rPr>
          <w:rFonts w:ascii="Calibri" w:hAnsi="Calibri"/>
          <w:i/>
        </w:rPr>
        <w:t>Human Rights (Parliamentary Scrutiny) Act 2011</w:t>
      </w:r>
      <w:r>
        <w:rPr>
          <w:rFonts w:ascii="Calibri" w:hAnsi="Calibri" w:cs="Calibri"/>
          <w:color w:val="000000"/>
        </w:rPr>
        <w:t>.</w:t>
      </w:r>
    </w:p>
    <w:p w14:paraId="1246A7E2" w14:textId="77777777" w:rsidR="00637B19" w:rsidRDefault="00637B19" w:rsidP="00637B19">
      <w:pPr>
        <w:pStyle w:val="Heading3"/>
        <w:rPr>
          <w:rFonts w:ascii="Calibri" w:hAnsi="Calibri" w:cs="Calibri"/>
        </w:rPr>
      </w:pPr>
      <w:r>
        <w:rPr>
          <w:rFonts w:ascii="Calibri" w:hAnsi="Calibri" w:cs="Calibri"/>
        </w:rPr>
        <w:t xml:space="preserve">Consultation before making </w:t>
      </w:r>
    </w:p>
    <w:p w14:paraId="0828C796" w14:textId="4BC5F888" w:rsidR="007B6C83" w:rsidRDefault="00637B19" w:rsidP="00637B19">
      <w:pPr>
        <w:spacing w:before="180" w:line="240" w:lineRule="auto"/>
        <w:rPr>
          <w:rFonts w:ascii="Calibri" w:hAnsi="Calibri" w:cs="Calibri"/>
        </w:rPr>
      </w:pPr>
      <w:r>
        <w:rPr>
          <w:rFonts w:ascii="Calibri" w:hAnsi="Calibri" w:cs="Calibri"/>
        </w:rPr>
        <w:t>Before this declaration was issued, the Attorney</w:t>
      </w:r>
      <w:r>
        <w:rPr>
          <w:rFonts w:ascii="Calibri" w:hAnsi="Calibri" w:cs="Calibri"/>
        </w:rPr>
        <w:noBreakHyphen/>
        <w:t xml:space="preserve">General considered the general obligation to consult imposed by section 17 of the </w:t>
      </w:r>
      <w:r w:rsidR="00E30016">
        <w:rPr>
          <w:rFonts w:ascii="Calibri" w:hAnsi="Calibri" w:cs="Calibri"/>
        </w:rPr>
        <w:t>Legislation Act</w:t>
      </w:r>
      <w:r>
        <w:rPr>
          <w:rFonts w:ascii="Calibri" w:hAnsi="Calibri" w:cs="Calibri"/>
        </w:rPr>
        <w:t xml:space="preserve">. In preparing the application for this declaration, </w:t>
      </w:r>
      <w:r>
        <w:rPr>
          <w:rFonts w:ascii="Calibri" w:hAnsi="Calibri" w:cs="Calibri"/>
        </w:rPr>
        <w:lastRenderedPageBreak/>
        <w:t>the Attorney</w:t>
      </w:r>
      <w:r>
        <w:rPr>
          <w:rFonts w:ascii="Calibri" w:hAnsi="Calibri" w:cs="Calibri"/>
        </w:rPr>
        <w:noBreakHyphen/>
        <w:t>General’s Department</w:t>
      </w:r>
      <w:r w:rsidR="008B58CB">
        <w:rPr>
          <w:rFonts w:ascii="Calibri" w:hAnsi="Calibri" w:cs="Calibri"/>
        </w:rPr>
        <w:t xml:space="preserve"> consulted with</w:t>
      </w:r>
      <w:r w:rsidR="00DB0E1E">
        <w:rPr>
          <w:rFonts w:ascii="Calibri" w:hAnsi="Calibri" w:cs="Calibri"/>
        </w:rPr>
        <w:t xml:space="preserve"> the Department of Health and</w:t>
      </w:r>
      <w:r w:rsidR="00E666A5">
        <w:rPr>
          <w:rFonts w:ascii="Calibri" w:hAnsi="Calibri" w:cs="Calibri"/>
        </w:rPr>
        <w:t xml:space="preserve"> with</w:t>
      </w:r>
      <w:r w:rsidR="008B58CB">
        <w:rPr>
          <w:rFonts w:ascii="Calibri" w:hAnsi="Calibri" w:cs="Calibri"/>
        </w:rPr>
        <w:t xml:space="preserve"> the </w:t>
      </w:r>
      <w:r w:rsidR="00600FA1">
        <w:rPr>
          <w:rFonts w:ascii="Calibri" w:hAnsi="Calibri" w:cs="Calibri"/>
        </w:rPr>
        <w:t>Deregulation Team</w:t>
      </w:r>
      <w:r>
        <w:rPr>
          <w:rFonts w:ascii="Calibri" w:hAnsi="Calibri" w:cs="Calibri"/>
        </w:rPr>
        <w:t xml:space="preserve"> in the Department of </w:t>
      </w:r>
      <w:r w:rsidR="00600FA1">
        <w:rPr>
          <w:rFonts w:ascii="Calibri" w:hAnsi="Calibri" w:cs="Calibri"/>
        </w:rPr>
        <w:t>Jobs and Small Business</w:t>
      </w:r>
      <w:r w:rsidR="008C5DD2">
        <w:rPr>
          <w:rFonts w:ascii="Calibri" w:hAnsi="Calibri" w:cs="Calibri"/>
        </w:rPr>
        <w:t xml:space="preserve">. </w:t>
      </w:r>
      <w:r w:rsidR="008C5DD2" w:rsidRPr="008C5DD2">
        <w:rPr>
          <w:rFonts w:ascii="Calibri" w:hAnsi="Calibri" w:cs="Calibri"/>
        </w:rPr>
        <w:t xml:space="preserve">The Attorney-General was satisfied that </w:t>
      </w:r>
      <w:r w:rsidR="00256FB1">
        <w:rPr>
          <w:rFonts w:ascii="Calibri" w:hAnsi="Calibri" w:cs="Calibri"/>
        </w:rPr>
        <w:t xml:space="preserve">the </w:t>
      </w:r>
      <w:r w:rsidR="008C5DD2" w:rsidRPr="008C5DD2">
        <w:rPr>
          <w:rFonts w:ascii="Calibri" w:hAnsi="Calibri" w:cs="Calibri"/>
        </w:rPr>
        <w:t>consultation was appropriate and reasonably practicable to be undertaken.</w:t>
      </w:r>
    </w:p>
    <w:p w14:paraId="5283612F" w14:textId="77777777" w:rsidR="00637B19" w:rsidRDefault="00637B19" w:rsidP="00637B19">
      <w:pPr>
        <w:pStyle w:val="Heading3"/>
        <w:rPr>
          <w:rFonts w:ascii="Calibri" w:hAnsi="Calibri" w:cs="Calibri"/>
        </w:rPr>
      </w:pPr>
      <w:r>
        <w:rPr>
          <w:rFonts w:ascii="Calibri" w:hAnsi="Calibri" w:cs="Calibri"/>
        </w:rPr>
        <w:t>Statutory preconditions relevant to this declaration</w:t>
      </w:r>
    </w:p>
    <w:p w14:paraId="15341E2B" w14:textId="04DC4C81"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If the Attorney-General is satisfied </w:t>
      </w:r>
      <w:r w:rsidR="00BC668C">
        <w:rPr>
          <w:rFonts w:ascii="Calibri" w:hAnsi="Calibri" w:cs="Calibri"/>
          <w:b w:val="0"/>
          <w:sz w:val="22"/>
        </w:rPr>
        <w:t>on written application fro</w:t>
      </w:r>
      <w:r w:rsidR="0015789B">
        <w:rPr>
          <w:rFonts w:ascii="Calibri" w:hAnsi="Calibri" w:cs="Calibri"/>
          <w:b w:val="0"/>
          <w:sz w:val="22"/>
        </w:rPr>
        <w:t xml:space="preserve">m the rule-maker </w:t>
      </w:r>
      <w:r>
        <w:rPr>
          <w:rFonts w:ascii="Calibri" w:hAnsi="Calibri" w:cs="Calibri"/>
          <w:b w:val="0"/>
          <w:sz w:val="22"/>
        </w:rPr>
        <w:t xml:space="preserve">that the statutory conditions in section 51A of the </w:t>
      </w:r>
      <w:r w:rsidR="00E53B1E">
        <w:rPr>
          <w:rFonts w:ascii="Calibri" w:hAnsi="Calibri" w:cs="Calibri"/>
          <w:b w:val="0"/>
          <w:sz w:val="22"/>
        </w:rPr>
        <w:t xml:space="preserve">Legislation Act </w:t>
      </w:r>
      <w:r>
        <w:rPr>
          <w:rFonts w:ascii="Calibri" w:hAnsi="Calibri" w:cs="Calibri"/>
          <w:b w:val="0"/>
          <w:sz w:val="22"/>
        </w:rPr>
        <w:t>are met, the sunsetting da</w:t>
      </w:r>
      <w:r w:rsidR="00BC79EE">
        <w:rPr>
          <w:rFonts w:ascii="Calibri" w:hAnsi="Calibri" w:cs="Calibri"/>
          <w:b w:val="0"/>
          <w:sz w:val="22"/>
        </w:rPr>
        <w:t>tes</w:t>
      </w:r>
      <w:r>
        <w:rPr>
          <w:rFonts w:ascii="Calibri" w:hAnsi="Calibri" w:cs="Calibri"/>
          <w:b w:val="0"/>
          <w:sz w:val="22"/>
        </w:rPr>
        <w:t xml:space="preserve"> of two or more legislative instruments can be aligned by means of a declaration made under that section. The statutory conditions are that: </w:t>
      </w:r>
    </w:p>
    <w:p w14:paraId="0B762626" w14:textId="58EC6FAE" w:rsidR="00637B19" w:rsidRDefault="00C01C86" w:rsidP="00AE49EA">
      <w:pPr>
        <w:pStyle w:val="Heading2"/>
        <w:numPr>
          <w:ilvl w:val="0"/>
          <w:numId w:val="3"/>
        </w:numPr>
        <w:spacing w:before="0"/>
        <w:rPr>
          <w:rFonts w:ascii="Calibri" w:hAnsi="Calibri" w:cs="Calibri"/>
          <w:b w:val="0"/>
          <w:sz w:val="22"/>
        </w:rPr>
      </w:pPr>
      <w:r w:rsidRPr="00C01C86">
        <w:rPr>
          <w:rFonts w:ascii="Calibri" w:hAnsi="Calibri" w:cs="Calibri"/>
          <w:b w:val="0"/>
          <w:sz w:val="22"/>
        </w:rPr>
        <w:t xml:space="preserve">all the instruments to be reviewed </w:t>
      </w:r>
      <w:r w:rsidR="00637B19">
        <w:rPr>
          <w:rFonts w:ascii="Calibri" w:hAnsi="Calibri" w:cs="Calibri"/>
          <w:b w:val="0"/>
          <w:sz w:val="22"/>
        </w:rPr>
        <w:t xml:space="preserve">would (in the absence of a declaration under section 51A) be subject to sunsetting  </w:t>
      </w:r>
    </w:p>
    <w:p w14:paraId="7B600BA8" w14:textId="3703334A" w:rsidR="00EA0796" w:rsidRDefault="00C01C86" w:rsidP="00AE49EA">
      <w:pPr>
        <w:pStyle w:val="Heading2"/>
        <w:numPr>
          <w:ilvl w:val="0"/>
          <w:numId w:val="3"/>
        </w:numPr>
        <w:spacing w:before="0"/>
        <w:rPr>
          <w:rFonts w:ascii="Calibri" w:hAnsi="Calibri" w:cs="Calibri"/>
          <w:b w:val="0"/>
          <w:sz w:val="22"/>
        </w:rPr>
      </w:pPr>
      <w:r w:rsidRPr="00C01C86">
        <w:rPr>
          <w:rFonts w:ascii="Calibri" w:hAnsi="Calibri" w:cs="Calibri"/>
          <w:b w:val="0"/>
          <w:sz w:val="22"/>
        </w:rPr>
        <w:t xml:space="preserve">the instruments </w:t>
      </w:r>
      <w:r w:rsidR="00637B19">
        <w:rPr>
          <w:rFonts w:ascii="Calibri" w:hAnsi="Calibri" w:cs="Calibri"/>
          <w:b w:val="0"/>
          <w:sz w:val="22"/>
        </w:rPr>
        <w:t xml:space="preserve">are or will be the subject of a single review, and </w:t>
      </w:r>
    </w:p>
    <w:p w14:paraId="41A70B08" w14:textId="1FC45C4D" w:rsidR="00637B19" w:rsidRPr="00EA0796" w:rsidRDefault="00637B19" w:rsidP="00AE49EA">
      <w:pPr>
        <w:pStyle w:val="Heading2"/>
        <w:numPr>
          <w:ilvl w:val="0"/>
          <w:numId w:val="3"/>
        </w:numPr>
        <w:spacing w:before="0"/>
        <w:rPr>
          <w:rFonts w:ascii="Calibri" w:hAnsi="Calibri" w:cs="Calibri"/>
          <w:b w:val="0"/>
          <w:sz w:val="22"/>
        </w:rPr>
      </w:pPr>
      <w:r w:rsidRPr="00EA0796">
        <w:rPr>
          <w:rFonts w:ascii="Calibri" w:hAnsi="Calibri" w:cs="Calibri"/>
          <w:b w:val="0"/>
          <w:sz w:val="22"/>
        </w:rPr>
        <w:t xml:space="preserve">the making of the declaration will facilitate the undertaking of the review and the implementation of its findings.  </w:t>
      </w:r>
    </w:p>
    <w:p w14:paraId="405F144A" w14:textId="5453B981"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In terms of process, the </w:t>
      </w:r>
      <w:r w:rsidR="007E2877">
        <w:rPr>
          <w:rFonts w:ascii="Calibri" w:hAnsi="Calibri" w:cs="Calibri"/>
          <w:b w:val="0"/>
          <w:sz w:val="22"/>
        </w:rPr>
        <w:t xml:space="preserve">Legislation Act </w:t>
      </w:r>
      <w:r>
        <w:rPr>
          <w:rFonts w:ascii="Calibri" w:hAnsi="Calibri" w:cs="Calibri"/>
          <w:b w:val="0"/>
          <w:sz w:val="22"/>
        </w:rPr>
        <w:t xml:space="preserve">requires: </w:t>
      </w:r>
    </w:p>
    <w:p w14:paraId="1A9A2151" w14:textId="3F0E85A8" w:rsidR="00637B19" w:rsidRDefault="00637B19" w:rsidP="00AE49EA">
      <w:pPr>
        <w:pStyle w:val="Heading2"/>
        <w:numPr>
          <w:ilvl w:val="0"/>
          <w:numId w:val="3"/>
        </w:numPr>
        <w:spacing w:before="0"/>
        <w:rPr>
          <w:rFonts w:ascii="Calibri" w:hAnsi="Calibri" w:cs="Calibri"/>
          <w:b w:val="0"/>
          <w:sz w:val="22"/>
        </w:rPr>
      </w:pPr>
      <w:r>
        <w:rPr>
          <w:rFonts w:ascii="Calibri" w:hAnsi="Calibri" w:cs="Calibri"/>
          <w:b w:val="0"/>
          <w:sz w:val="22"/>
        </w:rPr>
        <w:t>the responsible rule</w:t>
      </w:r>
      <w:r w:rsidR="00EF151C">
        <w:rPr>
          <w:rFonts w:ascii="Calibri" w:hAnsi="Calibri" w:cs="Calibri"/>
          <w:b w:val="0"/>
          <w:sz w:val="22"/>
        </w:rPr>
        <w:t>-</w:t>
      </w:r>
      <w:r>
        <w:rPr>
          <w:rFonts w:ascii="Calibri" w:hAnsi="Calibri" w:cs="Calibri"/>
          <w:b w:val="0"/>
          <w:sz w:val="22"/>
        </w:rPr>
        <w:t>maker to apply to the Attorney-General</w:t>
      </w:r>
    </w:p>
    <w:p w14:paraId="25FCF060" w14:textId="77777777" w:rsidR="00637B19" w:rsidRDefault="00637B19" w:rsidP="00AE49EA">
      <w:pPr>
        <w:pStyle w:val="Heading2"/>
        <w:numPr>
          <w:ilvl w:val="0"/>
          <w:numId w:val="3"/>
        </w:numPr>
        <w:spacing w:before="0"/>
        <w:rPr>
          <w:rFonts w:ascii="Calibri" w:hAnsi="Calibri" w:cs="Calibri"/>
          <w:b w:val="0"/>
          <w:sz w:val="22"/>
        </w:rPr>
      </w:pPr>
      <w:r>
        <w:rPr>
          <w:rFonts w:ascii="Calibri" w:hAnsi="Calibri" w:cs="Calibri"/>
          <w:b w:val="0"/>
          <w:sz w:val="22"/>
        </w:rPr>
        <w:t xml:space="preserve">the Attorney-General to be satisfied of the statutory conditions, and </w:t>
      </w:r>
    </w:p>
    <w:p w14:paraId="739E6571" w14:textId="52720F1F" w:rsidR="00637B19" w:rsidRPr="00EA0796" w:rsidRDefault="00637B19" w:rsidP="00AE49EA">
      <w:pPr>
        <w:pStyle w:val="Heading2"/>
        <w:numPr>
          <w:ilvl w:val="0"/>
          <w:numId w:val="3"/>
        </w:numPr>
        <w:spacing w:before="0"/>
        <w:rPr>
          <w:rFonts w:asciiTheme="minorHAnsi" w:hAnsiTheme="minorHAnsi" w:cs="Calibri"/>
          <w:b w:val="0"/>
          <w:sz w:val="22"/>
        </w:rPr>
      </w:pPr>
      <w:r>
        <w:rPr>
          <w:rFonts w:ascii="Calibri" w:hAnsi="Calibri" w:cs="Calibri"/>
          <w:b w:val="0"/>
          <w:sz w:val="22"/>
        </w:rPr>
        <w:t>the Attorney-General to make a declaration</w:t>
      </w:r>
      <w:r w:rsidR="004D52A9">
        <w:rPr>
          <w:rFonts w:ascii="Calibri" w:hAnsi="Calibri" w:cs="Calibri"/>
          <w:b w:val="0"/>
          <w:sz w:val="22"/>
        </w:rPr>
        <w:t>,</w:t>
      </w:r>
      <w:r>
        <w:rPr>
          <w:rFonts w:ascii="Calibri" w:hAnsi="Calibri" w:cs="Calibri"/>
          <w:b w:val="0"/>
          <w:sz w:val="22"/>
        </w:rPr>
        <w:t xml:space="preserve"> which is a legislative instrument and subject to </w:t>
      </w:r>
      <w:r w:rsidRPr="00EA0796">
        <w:rPr>
          <w:rFonts w:asciiTheme="minorHAnsi" w:hAnsiTheme="minorHAnsi" w:cs="Calibri"/>
          <w:b w:val="0"/>
          <w:sz w:val="22"/>
        </w:rPr>
        <w:t xml:space="preserve">disallowance. </w:t>
      </w:r>
    </w:p>
    <w:p w14:paraId="31D2260C" w14:textId="77777777" w:rsidR="00EA0796" w:rsidRPr="00EA0796" w:rsidRDefault="00EA0796" w:rsidP="00EA0796">
      <w:pPr>
        <w:rPr>
          <w:rFonts w:asciiTheme="minorHAnsi" w:hAnsiTheme="minorHAnsi"/>
        </w:rPr>
      </w:pPr>
    </w:p>
    <w:p w14:paraId="6B32CCE2" w14:textId="08E588A3" w:rsidR="00E93CAF" w:rsidRDefault="00FB071A" w:rsidP="00E93CAF">
      <w:pPr>
        <w:rPr>
          <w:rFonts w:asciiTheme="minorHAnsi" w:hAnsiTheme="minorHAnsi"/>
        </w:rPr>
      </w:pPr>
      <w:r>
        <w:rPr>
          <w:rFonts w:asciiTheme="minorHAnsi" w:hAnsiTheme="minorHAnsi"/>
        </w:rPr>
        <w:t xml:space="preserve">This declaration aligns the sunsetting dates of </w:t>
      </w:r>
      <w:r w:rsidR="00E23004">
        <w:rPr>
          <w:rFonts w:asciiTheme="minorHAnsi" w:hAnsiTheme="minorHAnsi"/>
        </w:rPr>
        <w:t xml:space="preserve">the </w:t>
      </w:r>
      <w:r w:rsidR="00587565">
        <w:rPr>
          <w:rFonts w:asciiTheme="minorHAnsi" w:hAnsiTheme="minorHAnsi"/>
          <w:i/>
        </w:rPr>
        <w:t xml:space="preserve">Tobacco Advertising </w:t>
      </w:r>
      <w:r w:rsidR="00BC6097">
        <w:rPr>
          <w:rFonts w:asciiTheme="minorHAnsi" w:hAnsiTheme="minorHAnsi"/>
          <w:i/>
        </w:rPr>
        <w:t xml:space="preserve">Prohibition </w:t>
      </w:r>
      <w:r w:rsidR="00587565">
        <w:rPr>
          <w:rFonts w:asciiTheme="minorHAnsi" w:hAnsiTheme="minorHAnsi"/>
          <w:i/>
        </w:rPr>
        <w:t>Regulation 1993</w:t>
      </w:r>
      <w:r w:rsidR="00E23004">
        <w:rPr>
          <w:rFonts w:asciiTheme="minorHAnsi" w:hAnsiTheme="minorHAnsi"/>
        </w:rPr>
        <w:t xml:space="preserve"> and the </w:t>
      </w:r>
      <w:r w:rsidR="00587565">
        <w:rPr>
          <w:rFonts w:asciiTheme="minorHAnsi" w:hAnsiTheme="minorHAnsi"/>
          <w:i/>
        </w:rPr>
        <w:t>Tobacco Plain Packaging Regulations 2011</w:t>
      </w:r>
      <w:r w:rsidR="00876B24">
        <w:rPr>
          <w:rFonts w:asciiTheme="minorHAnsi" w:hAnsiTheme="minorHAnsi"/>
        </w:rPr>
        <w:t>, which were</w:t>
      </w:r>
      <w:r w:rsidR="00AE49EA">
        <w:rPr>
          <w:rFonts w:asciiTheme="minorHAnsi" w:hAnsiTheme="minorHAnsi"/>
        </w:rPr>
        <w:t xml:space="preserve"> </w:t>
      </w:r>
      <w:r w:rsidR="00587565">
        <w:rPr>
          <w:rFonts w:asciiTheme="minorHAnsi" w:hAnsiTheme="minorHAnsi"/>
        </w:rPr>
        <w:t>scheduled to sunset between 1</w:t>
      </w:r>
      <w:r w:rsidR="00D850CA">
        <w:rPr>
          <w:rFonts w:asciiTheme="minorHAnsi" w:hAnsiTheme="minorHAnsi"/>
        </w:rPr>
        <w:t> </w:t>
      </w:r>
      <w:r w:rsidR="00587565">
        <w:rPr>
          <w:rFonts w:asciiTheme="minorHAnsi" w:hAnsiTheme="minorHAnsi"/>
        </w:rPr>
        <w:t>October 2018 and 1 April 2022. The rule</w:t>
      </w:r>
      <w:r w:rsidR="006B31E8">
        <w:rPr>
          <w:rFonts w:asciiTheme="minorHAnsi" w:hAnsiTheme="minorHAnsi"/>
        </w:rPr>
        <w:t>-</w:t>
      </w:r>
      <w:r w:rsidR="00587565">
        <w:rPr>
          <w:rFonts w:asciiTheme="minorHAnsi" w:hAnsiTheme="minorHAnsi"/>
        </w:rPr>
        <w:t>maker for these in</w:t>
      </w:r>
      <w:r w:rsidR="00AE49EA">
        <w:rPr>
          <w:rFonts w:asciiTheme="minorHAnsi" w:hAnsiTheme="minorHAnsi"/>
        </w:rPr>
        <w:t>s</w:t>
      </w:r>
      <w:r w:rsidR="00587565">
        <w:rPr>
          <w:rFonts w:asciiTheme="minorHAnsi" w:hAnsiTheme="minorHAnsi"/>
        </w:rPr>
        <w:t>truments is the Minister for Rural Health, Senator the Hon Bridget McKenzie</w:t>
      </w:r>
      <w:r w:rsidR="009D6397">
        <w:rPr>
          <w:rFonts w:asciiTheme="minorHAnsi" w:hAnsiTheme="minorHAnsi"/>
        </w:rPr>
        <w:t>, who</w:t>
      </w:r>
      <w:r w:rsidR="00587565">
        <w:rPr>
          <w:rFonts w:asciiTheme="minorHAnsi" w:hAnsiTheme="minorHAnsi"/>
        </w:rPr>
        <w:t xml:space="preserve"> </w:t>
      </w:r>
      <w:r w:rsidR="0080731E">
        <w:rPr>
          <w:rFonts w:asciiTheme="minorHAnsi" w:hAnsiTheme="minorHAnsi"/>
        </w:rPr>
        <w:t>provided a written application</w:t>
      </w:r>
      <w:r w:rsidR="00587565">
        <w:rPr>
          <w:rFonts w:asciiTheme="minorHAnsi" w:hAnsiTheme="minorHAnsi"/>
        </w:rPr>
        <w:t xml:space="preserve"> to the Attorney-</w:t>
      </w:r>
      <w:r w:rsidR="00CE631A">
        <w:rPr>
          <w:rFonts w:asciiTheme="minorHAnsi" w:hAnsiTheme="minorHAnsi"/>
        </w:rPr>
        <w:t>G</w:t>
      </w:r>
      <w:r w:rsidR="00587565">
        <w:rPr>
          <w:rFonts w:asciiTheme="minorHAnsi" w:hAnsiTheme="minorHAnsi"/>
        </w:rPr>
        <w:t>eneral seeking alignment of the two instruments.</w:t>
      </w:r>
    </w:p>
    <w:p w14:paraId="1870E9EC" w14:textId="77421FFF" w:rsidR="00587565" w:rsidRDefault="00587565" w:rsidP="00587565">
      <w:pPr>
        <w:spacing w:before="120" w:after="120" w:line="240" w:lineRule="auto"/>
        <w:rPr>
          <w:rFonts w:asciiTheme="minorHAnsi" w:hAnsiTheme="minorHAnsi"/>
        </w:rPr>
      </w:pPr>
      <w:r>
        <w:rPr>
          <w:rFonts w:asciiTheme="minorHAnsi" w:hAnsiTheme="minorHAnsi"/>
        </w:rPr>
        <w:t>On consideration of this application, the Attorney</w:t>
      </w:r>
      <w:r>
        <w:rPr>
          <w:rFonts w:asciiTheme="minorHAnsi" w:hAnsiTheme="minorHAnsi"/>
        </w:rPr>
        <w:noBreakHyphen/>
        <w:t xml:space="preserve">General was satisfied that the criteria in </w:t>
      </w:r>
      <w:r w:rsidR="00103FF8">
        <w:rPr>
          <w:rFonts w:asciiTheme="minorHAnsi" w:hAnsiTheme="minorHAnsi"/>
        </w:rPr>
        <w:t>paragraphs</w:t>
      </w:r>
      <w:r>
        <w:rPr>
          <w:rFonts w:asciiTheme="minorHAnsi" w:hAnsiTheme="minorHAnsi"/>
        </w:rPr>
        <w:t xml:space="preserve"> 51A(1)(a) and (b) were met, and made the declaration. </w:t>
      </w:r>
    </w:p>
    <w:p w14:paraId="4AE5369E" w14:textId="4B46AB9F" w:rsidR="00CB0127" w:rsidRDefault="00611300" w:rsidP="00CB0127">
      <w:pPr>
        <w:spacing w:before="120" w:after="120" w:line="240" w:lineRule="auto"/>
        <w:rPr>
          <w:rFonts w:asciiTheme="minorHAnsi" w:hAnsiTheme="minorHAnsi"/>
        </w:rPr>
      </w:pPr>
      <w:r>
        <w:rPr>
          <w:rFonts w:asciiTheme="minorHAnsi" w:hAnsiTheme="minorHAnsi"/>
        </w:rPr>
        <w:t xml:space="preserve">The </w:t>
      </w:r>
      <w:r w:rsidRPr="00BC6097">
        <w:rPr>
          <w:rFonts w:asciiTheme="minorHAnsi" w:hAnsiTheme="minorHAnsi"/>
          <w:i/>
        </w:rPr>
        <w:t>T</w:t>
      </w:r>
      <w:r w:rsidR="00BC6097" w:rsidRPr="00BC6097">
        <w:rPr>
          <w:rFonts w:asciiTheme="minorHAnsi" w:hAnsiTheme="minorHAnsi"/>
          <w:i/>
        </w:rPr>
        <w:t xml:space="preserve">obacco </w:t>
      </w:r>
      <w:r w:rsidRPr="00BC6097">
        <w:rPr>
          <w:rFonts w:asciiTheme="minorHAnsi" w:hAnsiTheme="minorHAnsi"/>
          <w:i/>
        </w:rPr>
        <w:t>A</w:t>
      </w:r>
      <w:r w:rsidR="00BC6097" w:rsidRPr="00BC6097">
        <w:rPr>
          <w:rFonts w:asciiTheme="minorHAnsi" w:hAnsiTheme="minorHAnsi"/>
          <w:i/>
        </w:rPr>
        <w:t xml:space="preserve">dvertising Prohibition </w:t>
      </w:r>
      <w:r w:rsidRPr="00BC6097">
        <w:rPr>
          <w:rFonts w:asciiTheme="minorHAnsi" w:hAnsiTheme="minorHAnsi"/>
          <w:i/>
        </w:rPr>
        <w:t>Regulation</w:t>
      </w:r>
      <w:r w:rsidR="00BC6097" w:rsidRPr="00BC6097">
        <w:rPr>
          <w:rFonts w:asciiTheme="minorHAnsi" w:hAnsiTheme="minorHAnsi"/>
          <w:i/>
        </w:rPr>
        <w:t xml:space="preserve"> 1993</w:t>
      </w:r>
      <w:r>
        <w:rPr>
          <w:rFonts w:asciiTheme="minorHAnsi" w:hAnsiTheme="minorHAnsi"/>
        </w:rPr>
        <w:t xml:space="preserve"> </w:t>
      </w:r>
      <w:r w:rsidRPr="00611300">
        <w:rPr>
          <w:rFonts w:asciiTheme="minorHAnsi" w:hAnsiTheme="minorHAnsi"/>
        </w:rPr>
        <w:t>prescribes the requirements that must be met if a tobacco advertisement is permitted</w:t>
      </w:r>
      <w:r>
        <w:rPr>
          <w:rFonts w:asciiTheme="minorHAnsi" w:hAnsiTheme="minorHAnsi"/>
        </w:rPr>
        <w:t>,</w:t>
      </w:r>
      <w:r w:rsidRPr="00611300">
        <w:rPr>
          <w:rFonts w:asciiTheme="minorHAnsi" w:hAnsiTheme="minorHAnsi"/>
        </w:rPr>
        <w:t xml:space="preserve"> </w:t>
      </w:r>
      <w:r w:rsidR="00BC6097">
        <w:rPr>
          <w:rFonts w:asciiTheme="minorHAnsi" w:hAnsiTheme="minorHAnsi"/>
        </w:rPr>
        <w:t xml:space="preserve">and the </w:t>
      </w:r>
      <w:r w:rsidR="00BC6097" w:rsidRPr="00BC6097">
        <w:rPr>
          <w:rFonts w:asciiTheme="minorHAnsi" w:hAnsiTheme="minorHAnsi"/>
          <w:i/>
        </w:rPr>
        <w:t>Tobacco Plain Packaging</w:t>
      </w:r>
      <w:r w:rsidRPr="00BC6097">
        <w:rPr>
          <w:rFonts w:asciiTheme="minorHAnsi" w:hAnsiTheme="minorHAnsi"/>
          <w:i/>
        </w:rPr>
        <w:t xml:space="preserve"> Regulations </w:t>
      </w:r>
      <w:r w:rsidR="00BC6097" w:rsidRPr="00BC6097">
        <w:rPr>
          <w:rFonts w:asciiTheme="minorHAnsi" w:hAnsiTheme="minorHAnsi"/>
          <w:i/>
        </w:rPr>
        <w:t>2011</w:t>
      </w:r>
      <w:r w:rsidR="00BC6097">
        <w:rPr>
          <w:rFonts w:asciiTheme="minorHAnsi" w:hAnsiTheme="minorHAnsi"/>
        </w:rPr>
        <w:t xml:space="preserve"> </w:t>
      </w:r>
      <w:r w:rsidRPr="00611300">
        <w:rPr>
          <w:rFonts w:asciiTheme="minorHAnsi" w:hAnsiTheme="minorHAnsi"/>
        </w:rPr>
        <w:t>prescribe requirements for the appearance and retail packaging of tobacco products</w:t>
      </w:r>
      <w:r>
        <w:rPr>
          <w:rFonts w:asciiTheme="minorHAnsi" w:hAnsiTheme="minorHAnsi"/>
        </w:rPr>
        <w:t>. The instruments</w:t>
      </w:r>
      <w:r w:rsidRPr="00611300">
        <w:rPr>
          <w:rFonts w:asciiTheme="minorHAnsi" w:hAnsiTheme="minorHAnsi"/>
        </w:rPr>
        <w:t xml:space="preserve"> </w:t>
      </w:r>
      <w:r>
        <w:rPr>
          <w:rFonts w:asciiTheme="minorHAnsi" w:hAnsiTheme="minorHAnsi"/>
        </w:rPr>
        <w:t xml:space="preserve">are made under the </w:t>
      </w:r>
      <w:r w:rsidRPr="00611300">
        <w:rPr>
          <w:rFonts w:asciiTheme="minorHAnsi" w:hAnsiTheme="minorHAnsi"/>
          <w:i/>
        </w:rPr>
        <w:t>Tobacco Advertising Prohibition Act 1992</w:t>
      </w:r>
      <w:r w:rsidRPr="00611300">
        <w:rPr>
          <w:rFonts w:asciiTheme="minorHAnsi" w:hAnsiTheme="minorHAnsi"/>
        </w:rPr>
        <w:t xml:space="preserve"> and the </w:t>
      </w:r>
      <w:r w:rsidRPr="00611300">
        <w:rPr>
          <w:rFonts w:asciiTheme="minorHAnsi" w:hAnsiTheme="minorHAnsi"/>
          <w:i/>
        </w:rPr>
        <w:t>Tobacco Plain Packaging Act 2011</w:t>
      </w:r>
      <w:r w:rsidRPr="00611300">
        <w:rPr>
          <w:rFonts w:asciiTheme="minorHAnsi" w:hAnsiTheme="minorHAnsi"/>
        </w:rPr>
        <w:t xml:space="preserve"> respectively</w:t>
      </w:r>
      <w:r>
        <w:rPr>
          <w:rFonts w:asciiTheme="minorHAnsi" w:hAnsiTheme="minorHAnsi"/>
        </w:rPr>
        <w:t>, and the objective of both Acts is to reduce the use of tobacco products and smoking prevalence.</w:t>
      </w:r>
      <w:r w:rsidRPr="00611300">
        <w:rPr>
          <w:rFonts w:asciiTheme="minorHAnsi" w:hAnsiTheme="minorHAnsi"/>
        </w:rPr>
        <w:t xml:space="preserve"> </w:t>
      </w:r>
      <w:r w:rsidR="00CB0127" w:rsidRPr="00CB0127">
        <w:rPr>
          <w:rFonts w:asciiTheme="minorHAnsi" w:hAnsiTheme="minorHAnsi"/>
        </w:rPr>
        <w:t xml:space="preserve">Rather than separately analysing the Acts and instruments, it is timely and appropriate that all tobacco control legislation </w:t>
      </w:r>
      <w:r w:rsidR="00C821D0">
        <w:rPr>
          <w:rFonts w:asciiTheme="minorHAnsi" w:hAnsiTheme="minorHAnsi"/>
        </w:rPr>
        <w:t xml:space="preserve">is </w:t>
      </w:r>
      <w:r w:rsidR="00CB0127" w:rsidRPr="00CB0127">
        <w:rPr>
          <w:rFonts w:asciiTheme="minorHAnsi" w:hAnsiTheme="minorHAnsi"/>
        </w:rPr>
        <w:t xml:space="preserve">reviewed together to ensure a more effective, efficient and comprehensive consideration of </w:t>
      </w:r>
      <w:r w:rsidR="009651DD">
        <w:rPr>
          <w:rFonts w:asciiTheme="minorHAnsi" w:hAnsiTheme="minorHAnsi"/>
        </w:rPr>
        <w:t>this area of regulation</w:t>
      </w:r>
      <w:r w:rsidR="00CB0127">
        <w:rPr>
          <w:rFonts w:asciiTheme="minorHAnsi" w:hAnsiTheme="minorHAnsi"/>
        </w:rPr>
        <w:t xml:space="preserve">. </w:t>
      </w:r>
    </w:p>
    <w:p w14:paraId="4A5F844F" w14:textId="12E9BA85" w:rsidR="00587565" w:rsidRDefault="00CB0127" w:rsidP="00CB0127">
      <w:pPr>
        <w:spacing w:before="120" w:after="120" w:line="240" w:lineRule="auto"/>
        <w:rPr>
          <w:rFonts w:asciiTheme="minorHAnsi" w:hAnsiTheme="minorHAnsi"/>
        </w:rPr>
      </w:pPr>
      <w:r w:rsidRPr="00CB0127">
        <w:rPr>
          <w:rFonts w:asciiTheme="minorHAnsi" w:hAnsiTheme="minorHAnsi"/>
        </w:rPr>
        <w:t>A thematic review presents opportunities to improve consistency</w:t>
      </w:r>
      <w:r w:rsidR="00F110BA">
        <w:rPr>
          <w:rFonts w:asciiTheme="minorHAnsi" w:hAnsiTheme="minorHAnsi"/>
        </w:rPr>
        <w:t>,</w:t>
      </w:r>
      <w:r w:rsidR="00F110BA" w:rsidRPr="00BD1ACE">
        <w:rPr>
          <w:rFonts w:asciiTheme="minorHAnsi" w:hAnsiTheme="minorHAnsi"/>
        </w:rPr>
        <w:t xml:space="preserve"> ensure the legislation and instruments are contemporary </w:t>
      </w:r>
      <w:r w:rsidRPr="00CB0127">
        <w:rPr>
          <w:rFonts w:asciiTheme="minorHAnsi" w:hAnsiTheme="minorHAnsi"/>
        </w:rPr>
        <w:t xml:space="preserve">and reduce unnecessary regulation. The alignment of </w:t>
      </w:r>
      <w:r w:rsidR="000D41EE">
        <w:rPr>
          <w:rFonts w:asciiTheme="minorHAnsi" w:hAnsiTheme="minorHAnsi"/>
        </w:rPr>
        <w:t xml:space="preserve">the </w:t>
      </w:r>
      <w:r w:rsidRPr="00CB0127">
        <w:rPr>
          <w:rFonts w:asciiTheme="minorHAnsi" w:hAnsiTheme="minorHAnsi"/>
        </w:rPr>
        <w:t xml:space="preserve">sunsetting dates of </w:t>
      </w:r>
      <w:r w:rsidR="00241BD1">
        <w:rPr>
          <w:rFonts w:asciiTheme="minorHAnsi" w:hAnsiTheme="minorHAnsi"/>
        </w:rPr>
        <w:t xml:space="preserve">the </w:t>
      </w:r>
      <w:r w:rsidRPr="00CB0127">
        <w:rPr>
          <w:rFonts w:asciiTheme="minorHAnsi" w:hAnsiTheme="minorHAnsi"/>
        </w:rPr>
        <w:t>instruments will facilitate the conduct of a comprehensive and thorough review and the implementation of its findings.</w:t>
      </w:r>
    </w:p>
    <w:p w14:paraId="5092CBCC" w14:textId="03DFC5E8" w:rsidR="00CB0127" w:rsidRPr="00CB0127" w:rsidRDefault="001E6092" w:rsidP="00D21809">
      <w:pPr>
        <w:rPr>
          <w:rFonts w:asciiTheme="minorHAnsi" w:hAnsiTheme="minorHAnsi"/>
        </w:rPr>
      </w:pPr>
      <w:r>
        <w:rPr>
          <w:rFonts w:asciiTheme="minorHAnsi" w:hAnsiTheme="minorHAnsi"/>
        </w:rPr>
        <w:t xml:space="preserve">The aligned sunsetting date of 1 </w:t>
      </w:r>
      <w:r w:rsidR="00587565">
        <w:rPr>
          <w:rFonts w:asciiTheme="minorHAnsi" w:hAnsiTheme="minorHAnsi"/>
        </w:rPr>
        <w:t>April 2022</w:t>
      </w:r>
      <w:r>
        <w:rPr>
          <w:rFonts w:asciiTheme="minorHAnsi" w:hAnsiTheme="minorHAnsi"/>
        </w:rPr>
        <w:t xml:space="preserve"> will facilitate the undertaking of the review and the implementation of its findings by allowing sufficient time </w:t>
      </w:r>
      <w:r w:rsidR="00D21809" w:rsidRPr="00D21809">
        <w:rPr>
          <w:rFonts w:asciiTheme="minorHAnsi" w:hAnsiTheme="minorHAnsi"/>
        </w:rPr>
        <w:t>to</w:t>
      </w:r>
      <w:r w:rsidR="00046360">
        <w:rPr>
          <w:rFonts w:asciiTheme="minorHAnsi" w:hAnsiTheme="minorHAnsi"/>
        </w:rPr>
        <w:t xml:space="preserve"> thoroughly</w:t>
      </w:r>
      <w:r w:rsidR="00D21809" w:rsidRPr="00D21809">
        <w:rPr>
          <w:rFonts w:asciiTheme="minorHAnsi" w:hAnsiTheme="minorHAnsi"/>
        </w:rPr>
        <w:t xml:space="preserve"> review the legislation, </w:t>
      </w:r>
      <w:r w:rsidR="00B10BA2">
        <w:rPr>
          <w:rFonts w:asciiTheme="minorHAnsi" w:hAnsiTheme="minorHAnsi"/>
        </w:rPr>
        <w:t>undertake consultation</w:t>
      </w:r>
      <w:r w:rsidR="00D21809" w:rsidRPr="00D21809">
        <w:rPr>
          <w:rFonts w:asciiTheme="minorHAnsi" w:hAnsiTheme="minorHAnsi"/>
        </w:rPr>
        <w:t xml:space="preserve"> with stakeholders</w:t>
      </w:r>
      <w:r w:rsidR="00B10BA2">
        <w:rPr>
          <w:rFonts w:asciiTheme="minorHAnsi" w:hAnsiTheme="minorHAnsi"/>
        </w:rPr>
        <w:t xml:space="preserve"> as required</w:t>
      </w:r>
      <w:r w:rsidR="00D21809" w:rsidRPr="00D21809">
        <w:rPr>
          <w:rFonts w:asciiTheme="minorHAnsi" w:hAnsiTheme="minorHAnsi"/>
        </w:rPr>
        <w:t xml:space="preserve">, </w:t>
      </w:r>
      <w:r w:rsidR="00847204">
        <w:rPr>
          <w:rFonts w:asciiTheme="minorHAnsi" w:hAnsiTheme="minorHAnsi"/>
        </w:rPr>
        <w:t xml:space="preserve">and </w:t>
      </w:r>
      <w:r w:rsidR="00D21809" w:rsidRPr="00D21809">
        <w:rPr>
          <w:rFonts w:asciiTheme="minorHAnsi" w:hAnsiTheme="minorHAnsi"/>
        </w:rPr>
        <w:t xml:space="preserve">identify improvements and make appropriate </w:t>
      </w:r>
      <w:r w:rsidR="00C747B5">
        <w:rPr>
          <w:rFonts w:asciiTheme="minorHAnsi" w:hAnsiTheme="minorHAnsi"/>
        </w:rPr>
        <w:t>amendments</w:t>
      </w:r>
      <w:r w:rsidR="00CE3A62">
        <w:rPr>
          <w:rFonts w:asciiTheme="minorHAnsi" w:hAnsiTheme="minorHAnsi"/>
        </w:rPr>
        <w:t xml:space="preserve"> to the legislation</w:t>
      </w:r>
      <w:r w:rsidR="00D21809">
        <w:rPr>
          <w:rFonts w:asciiTheme="minorHAnsi" w:hAnsiTheme="minorHAnsi"/>
        </w:rPr>
        <w:t>.</w:t>
      </w:r>
    </w:p>
    <w:p w14:paraId="1EA6A6B3" w14:textId="77777777" w:rsidR="00637B19" w:rsidRPr="00EA0796" w:rsidRDefault="00637B19" w:rsidP="00637B19">
      <w:pPr>
        <w:pStyle w:val="Heading3"/>
        <w:rPr>
          <w:rFonts w:asciiTheme="minorHAnsi" w:hAnsiTheme="minorHAnsi" w:cs="Calibri"/>
        </w:rPr>
      </w:pPr>
      <w:r w:rsidRPr="00EA0796">
        <w:rPr>
          <w:rFonts w:asciiTheme="minorHAnsi" w:hAnsiTheme="minorHAnsi" w:cs="Calibri"/>
        </w:rPr>
        <w:t xml:space="preserve">More information </w:t>
      </w:r>
    </w:p>
    <w:p w14:paraId="7A55E43C" w14:textId="77777777" w:rsidR="00637B19" w:rsidRPr="00EA0796" w:rsidRDefault="00637B19" w:rsidP="00637B19">
      <w:pPr>
        <w:spacing w:before="180" w:line="240" w:lineRule="auto"/>
        <w:rPr>
          <w:rFonts w:asciiTheme="minorHAnsi" w:hAnsiTheme="minorHAnsi" w:cs="Calibri"/>
          <w:highlight w:val="cyan"/>
        </w:rPr>
      </w:pPr>
      <w:r w:rsidRPr="00EA0796">
        <w:rPr>
          <w:rFonts w:asciiTheme="minorHAnsi" w:hAnsiTheme="minorHAnsi" w:cs="Calibri"/>
        </w:rPr>
        <w:t xml:space="preserve">Further details of this declaration are set out in </w:t>
      </w:r>
      <w:r w:rsidRPr="00EA0796">
        <w:rPr>
          <w:rFonts w:asciiTheme="minorHAnsi" w:hAnsiTheme="minorHAnsi" w:cs="Calibri"/>
          <w:u w:val="single"/>
        </w:rPr>
        <w:t>Attachment A</w:t>
      </w:r>
      <w:r w:rsidRPr="00EA0796">
        <w:rPr>
          <w:rFonts w:asciiTheme="minorHAnsi" w:hAnsiTheme="minorHAnsi" w:cs="Calibri"/>
        </w:rPr>
        <w:t>.</w:t>
      </w:r>
    </w:p>
    <w:p w14:paraId="4C21CF60" w14:textId="1C9B89C2" w:rsidR="00637B19" w:rsidRDefault="00637B19" w:rsidP="00637B19">
      <w:pPr>
        <w:spacing w:before="180" w:line="240" w:lineRule="auto"/>
        <w:rPr>
          <w:rFonts w:asciiTheme="minorHAnsi" w:hAnsiTheme="minorHAnsi" w:cs="Calibri"/>
          <w:color w:val="000000"/>
        </w:rPr>
      </w:pPr>
      <w:r w:rsidRPr="00EA0796">
        <w:rPr>
          <w:rFonts w:asciiTheme="minorHAnsi" w:hAnsiTheme="minorHAnsi" w:cs="Calibri"/>
          <w:color w:val="000000"/>
        </w:rPr>
        <w:lastRenderedPageBreak/>
        <w:t>A copy of each instrument which is the subject of this declaration, and which w</w:t>
      </w:r>
      <w:r w:rsidR="0032759D" w:rsidRPr="00EA0796">
        <w:rPr>
          <w:rFonts w:asciiTheme="minorHAnsi" w:hAnsiTheme="minorHAnsi" w:cs="Calibri"/>
          <w:color w:val="000000"/>
        </w:rPr>
        <w:t xml:space="preserve">ill now sunset on </w:t>
      </w:r>
      <w:r w:rsidR="00045110" w:rsidRPr="00045110">
        <w:rPr>
          <w:rFonts w:asciiTheme="minorHAnsi" w:hAnsiTheme="minorHAnsi" w:cs="Calibri"/>
          <w:color w:val="000000"/>
        </w:rPr>
        <w:t>1</w:t>
      </w:r>
      <w:r w:rsidR="005F55E7">
        <w:rPr>
          <w:rFonts w:asciiTheme="minorHAnsi" w:hAnsiTheme="minorHAnsi" w:cs="Calibri"/>
          <w:color w:val="000000"/>
        </w:rPr>
        <w:t> </w:t>
      </w:r>
      <w:r w:rsidR="00CB0127">
        <w:rPr>
          <w:rFonts w:asciiTheme="minorHAnsi" w:hAnsiTheme="minorHAnsi" w:cs="Calibri"/>
          <w:color w:val="000000"/>
        </w:rPr>
        <w:t xml:space="preserve">April </w:t>
      </w:r>
      <w:r w:rsidR="00045110" w:rsidRPr="00045110">
        <w:rPr>
          <w:rFonts w:asciiTheme="minorHAnsi" w:hAnsiTheme="minorHAnsi" w:cs="Calibri"/>
          <w:color w:val="000000"/>
        </w:rPr>
        <w:t>20</w:t>
      </w:r>
      <w:r w:rsidR="00CB0127">
        <w:rPr>
          <w:rFonts w:asciiTheme="minorHAnsi" w:hAnsiTheme="minorHAnsi" w:cs="Calibri"/>
          <w:color w:val="000000"/>
        </w:rPr>
        <w:t>22</w:t>
      </w:r>
      <w:r w:rsidRPr="00EA0796">
        <w:rPr>
          <w:rFonts w:asciiTheme="minorHAnsi" w:hAnsiTheme="minorHAnsi" w:cs="Calibri"/>
          <w:color w:val="000000"/>
        </w:rPr>
        <w:t xml:space="preserve">, is available on the </w:t>
      </w:r>
      <w:r w:rsidR="00BB63C1" w:rsidRPr="00EA0796">
        <w:rPr>
          <w:rFonts w:asciiTheme="minorHAnsi" w:hAnsiTheme="minorHAnsi" w:cs="Calibri"/>
          <w:color w:val="000000"/>
        </w:rPr>
        <w:t>Federal Register of Legislation</w:t>
      </w:r>
      <w:r w:rsidRPr="00EA0796">
        <w:fldChar w:fldCharType="begin"/>
      </w:r>
      <w:r w:rsidRPr="00EA0796">
        <w:rPr>
          <w:rFonts w:asciiTheme="minorHAnsi" w:hAnsiTheme="minorHAnsi" w:cs="Calibri"/>
        </w:rPr>
        <w:instrText>http://www.comlaw.gov.au/</w:instrText>
      </w:r>
      <w:r w:rsidRPr="00EA0796">
        <w:fldChar w:fldCharType="separate"/>
      </w:r>
      <w:r w:rsidRPr="00EA0796">
        <w:rPr>
          <w:rStyle w:val="Hyperlink"/>
          <w:rFonts w:asciiTheme="minorHAnsi" w:hAnsiTheme="minorHAnsi"/>
          <w:color w:val="000000"/>
        </w:rPr>
        <w:t>http://www.comlaw.gov.au</w:t>
      </w:r>
      <w:r w:rsidRPr="00EA0796">
        <w:rPr>
          <w:rStyle w:val="Hyperlink"/>
          <w:rFonts w:asciiTheme="minorHAnsi" w:hAnsiTheme="minorHAnsi" w:cs="Calibri"/>
          <w:color w:val="000000"/>
        </w:rPr>
        <w:fldChar w:fldCharType="end"/>
      </w:r>
      <w:r w:rsidRPr="00EA0796">
        <w:rPr>
          <w:rFonts w:asciiTheme="minorHAnsi" w:hAnsiTheme="minorHAnsi" w:cs="Calibri"/>
          <w:color w:val="000000"/>
        </w:rPr>
        <w:t xml:space="preserve">. </w:t>
      </w:r>
    </w:p>
    <w:p w14:paraId="49E8BFB7" w14:textId="23EEB346" w:rsidR="002C1C61" w:rsidRPr="00EA0796" w:rsidRDefault="002C1C61" w:rsidP="00637B19">
      <w:pPr>
        <w:spacing w:before="180" w:line="240" w:lineRule="auto"/>
        <w:rPr>
          <w:rFonts w:asciiTheme="minorHAnsi" w:hAnsiTheme="minorHAnsi" w:cs="Calibri"/>
          <w:color w:val="000000"/>
        </w:rPr>
      </w:pPr>
      <w:r>
        <w:rPr>
          <w:rFonts w:asciiTheme="minorHAnsi" w:hAnsiTheme="minorHAnsi" w:cs="Calibri"/>
          <w:color w:val="000000"/>
        </w:rPr>
        <w:t>Further information may be requested from the</w:t>
      </w:r>
      <w:r w:rsidR="0010293E">
        <w:rPr>
          <w:rFonts w:asciiTheme="minorHAnsi" w:hAnsiTheme="minorHAnsi" w:cs="Calibri"/>
          <w:color w:val="000000"/>
        </w:rPr>
        <w:t xml:space="preserve"> Attorney-General’s Department</w:t>
      </w:r>
      <w:r w:rsidR="0045379E">
        <w:rPr>
          <w:rFonts w:asciiTheme="minorHAnsi" w:hAnsiTheme="minorHAnsi" w:cs="Calibri"/>
          <w:color w:val="000000"/>
        </w:rPr>
        <w:t xml:space="preserve"> about the operation of this declaration, and from the Department of Health about the instruments to which this declaration applies</w:t>
      </w:r>
      <w:r>
        <w:rPr>
          <w:rFonts w:asciiTheme="minorHAnsi" w:hAnsiTheme="minorHAnsi" w:cs="Calibri"/>
          <w:color w:val="000000"/>
        </w:rPr>
        <w:t xml:space="preserve">. </w:t>
      </w:r>
    </w:p>
    <w:p w14:paraId="481D8033" w14:textId="77777777" w:rsidR="00637B19" w:rsidRPr="00325569" w:rsidRDefault="00637B19" w:rsidP="00637B19">
      <w:pPr>
        <w:pStyle w:val="Heading2"/>
        <w:ind w:left="12" w:hanging="12"/>
        <w:jc w:val="right"/>
        <w:rPr>
          <w:rFonts w:ascii="Calibri" w:hAnsi="Calibri" w:cs="Calibri"/>
          <w:b w:val="0"/>
          <w:u w:val="single"/>
        </w:rPr>
      </w:pPr>
      <w:r>
        <w:rPr>
          <w:rStyle w:val="Heading1Char"/>
          <w:rFonts w:ascii="Calibri" w:hAnsi="Calibri" w:cs="Calibri"/>
          <w:b/>
          <w:highlight w:val="cyan"/>
        </w:rPr>
        <w:br w:type="page"/>
      </w:r>
      <w:r w:rsidRPr="00325569">
        <w:rPr>
          <w:rStyle w:val="Heading1Char"/>
          <w:rFonts w:ascii="Calibri" w:hAnsi="Calibri" w:cs="Calibri"/>
          <w:b/>
        </w:rPr>
        <w:lastRenderedPageBreak/>
        <w:t>ATTACHMENT A</w:t>
      </w:r>
    </w:p>
    <w:p w14:paraId="2ECBF4B4" w14:textId="77777777" w:rsidR="00637B19" w:rsidRDefault="00637B19" w:rsidP="00637B19">
      <w:pPr>
        <w:pStyle w:val="Heading2"/>
        <w:spacing w:before="0"/>
        <w:ind w:left="12" w:hanging="12"/>
        <w:rPr>
          <w:rFonts w:ascii="Calibri" w:hAnsi="Calibri" w:cs="Calibri"/>
        </w:rPr>
      </w:pPr>
      <w:r>
        <w:rPr>
          <w:rFonts w:ascii="Calibri" w:hAnsi="Calibri" w:cs="Calibri"/>
        </w:rPr>
        <w:t>NOTES ON THE DECLARATION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14:paraId="61775E80" w14:textId="481D8C26" w:rsidR="00637B19" w:rsidRDefault="00637B19" w:rsidP="00637B19">
      <w:pPr>
        <w:pStyle w:val="Heading3"/>
        <w:rPr>
          <w:rFonts w:ascii="Calibri" w:hAnsi="Calibri" w:cs="Calibri"/>
        </w:rPr>
      </w:pPr>
      <w:r>
        <w:rPr>
          <w:rFonts w:ascii="Calibri" w:hAnsi="Calibri" w:cs="Calibri"/>
        </w:rPr>
        <w:t>Section 1</w:t>
      </w:r>
      <w:r>
        <w:rPr>
          <w:rFonts w:ascii="Calibri" w:hAnsi="Calibri" w:cs="Calibri"/>
        </w:rPr>
        <w:tab/>
        <w:t xml:space="preserve">Name </w:t>
      </w:r>
    </w:p>
    <w:p w14:paraId="3B714EC9" w14:textId="176044CC"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be named </w:t>
      </w:r>
      <w:r w:rsidRPr="00653E98">
        <w:rPr>
          <w:rFonts w:ascii="Calibri" w:hAnsi="Calibri" w:cs="Calibri"/>
        </w:rPr>
        <w:t xml:space="preserve">the </w:t>
      </w:r>
      <w:r w:rsidR="00D14FB9" w:rsidRPr="00D14FB9">
        <w:rPr>
          <w:rFonts w:ascii="Calibri" w:hAnsi="Calibri" w:cs="Calibri"/>
          <w:i/>
        </w:rPr>
        <w:t>Legislation (</w:t>
      </w:r>
      <w:r w:rsidR="00CB0127">
        <w:rPr>
          <w:rFonts w:ascii="Calibri" w:hAnsi="Calibri" w:cs="Calibri"/>
          <w:i/>
        </w:rPr>
        <w:t>Tobacco Instruments) Sunset</w:t>
      </w:r>
      <w:r w:rsidR="00CB0127">
        <w:rPr>
          <w:rFonts w:ascii="Calibri" w:hAnsi="Calibri" w:cs="Calibri"/>
          <w:i/>
        </w:rPr>
        <w:noBreakHyphen/>
      </w:r>
      <w:r w:rsidR="00D14FB9" w:rsidRPr="00D14FB9">
        <w:rPr>
          <w:rFonts w:ascii="Calibri" w:hAnsi="Calibri" w:cs="Calibri"/>
          <w:i/>
        </w:rPr>
        <w:t>altering Declaration 2018</w:t>
      </w:r>
      <w:r w:rsidR="00CF49A2" w:rsidRPr="00653E98">
        <w:rPr>
          <w:rFonts w:ascii="Calibri" w:hAnsi="Calibri" w:cs="Calibri"/>
        </w:rPr>
        <w:t xml:space="preserve">. </w:t>
      </w:r>
      <w:r w:rsidRPr="00653E98">
        <w:rPr>
          <w:rFonts w:ascii="Calibri" w:hAnsi="Calibri" w:cs="Calibri"/>
        </w:rPr>
        <w:t>The dec</w:t>
      </w:r>
      <w:r>
        <w:rPr>
          <w:rFonts w:ascii="Calibri" w:hAnsi="Calibri" w:cs="Calibri"/>
        </w:rPr>
        <w:t xml:space="preserve">laration may be cited by that name. </w:t>
      </w:r>
    </w:p>
    <w:p w14:paraId="04E83948" w14:textId="77777777" w:rsidR="00637B19" w:rsidRDefault="00637B19" w:rsidP="00637B19">
      <w:pPr>
        <w:pStyle w:val="Heading3"/>
        <w:rPr>
          <w:rFonts w:ascii="Calibri" w:hAnsi="Calibri" w:cs="Calibri"/>
        </w:rPr>
      </w:pPr>
      <w:r>
        <w:rPr>
          <w:rFonts w:ascii="Calibri" w:hAnsi="Calibri" w:cs="Calibri"/>
        </w:rPr>
        <w:t xml:space="preserve">Section 2 </w:t>
      </w:r>
      <w:r>
        <w:rPr>
          <w:rFonts w:ascii="Calibri" w:hAnsi="Calibri" w:cs="Calibri"/>
        </w:rPr>
        <w:tab/>
        <w:t>Commencement</w:t>
      </w:r>
    </w:p>
    <w:p w14:paraId="5BEA44D7" w14:textId="77777777"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commence on the day after it is registered. </w:t>
      </w:r>
    </w:p>
    <w:p w14:paraId="455FC319" w14:textId="77777777" w:rsidR="00637B19" w:rsidRDefault="00637B19" w:rsidP="00637B19">
      <w:pPr>
        <w:pStyle w:val="Heading3"/>
        <w:rPr>
          <w:rFonts w:ascii="Calibri" w:hAnsi="Calibri" w:cs="Calibri"/>
        </w:rPr>
      </w:pPr>
      <w:r>
        <w:rPr>
          <w:rFonts w:ascii="Calibri" w:hAnsi="Calibri" w:cs="Calibri"/>
        </w:rPr>
        <w:t>Section 3</w:t>
      </w:r>
      <w:r>
        <w:rPr>
          <w:rFonts w:ascii="Calibri" w:hAnsi="Calibri" w:cs="Calibri"/>
        </w:rPr>
        <w:tab/>
        <w:t>Authority</w:t>
      </w:r>
    </w:p>
    <w:p w14:paraId="05CC6B81" w14:textId="0ABFB993" w:rsidR="00637B19" w:rsidRDefault="00637B19" w:rsidP="00637B19">
      <w:pPr>
        <w:spacing w:before="180" w:line="240" w:lineRule="auto"/>
        <w:rPr>
          <w:rFonts w:ascii="Calibri" w:hAnsi="Calibri" w:cs="Calibri"/>
        </w:rPr>
      </w:pPr>
      <w:r>
        <w:rPr>
          <w:rFonts w:ascii="Calibri" w:hAnsi="Calibri" w:cs="Calibri"/>
        </w:rPr>
        <w:t>This section provides that the declaration is made under subsection 51A</w:t>
      </w:r>
      <w:r w:rsidR="00C62304">
        <w:rPr>
          <w:rFonts w:ascii="Calibri" w:hAnsi="Calibri" w:cs="Calibri"/>
        </w:rPr>
        <w:t>(1)</w:t>
      </w:r>
      <w:r>
        <w:rPr>
          <w:rFonts w:ascii="Calibri" w:hAnsi="Calibri" w:cs="Calibri"/>
        </w:rPr>
        <w:t xml:space="preserve"> of the </w:t>
      </w:r>
      <w:r w:rsidR="003C5943">
        <w:rPr>
          <w:rFonts w:ascii="Calibri" w:hAnsi="Calibri" w:cs="Calibri"/>
          <w:i/>
        </w:rPr>
        <w:t>Legislation</w:t>
      </w:r>
      <w:r>
        <w:rPr>
          <w:rFonts w:ascii="Calibri" w:hAnsi="Calibri" w:cs="Calibri"/>
          <w:i/>
        </w:rPr>
        <w:t xml:space="preserve"> Act 2003</w:t>
      </w:r>
      <w:r>
        <w:rPr>
          <w:rFonts w:ascii="Calibri" w:hAnsi="Calibri" w:cs="Calibri"/>
        </w:rPr>
        <w:t xml:space="preserve">.  </w:t>
      </w:r>
    </w:p>
    <w:p w14:paraId="0E44EA0A" w14:textId="362426BC" w:rsidR="00637B19" w:rsidRDefault="00637B19" w:rsidP="00637B19">
      <w:pPr>
        <w:pStyle w:val="Heading3"/>
        <w:ind w:left="12" w:hanging="12"/>
        <w:rPr>
          <w:rFonts w:ascii="Calibri" w:hAnsi="Calibri" w:cs="Calibri"/>
          <w:spacing w:val="-6"/>
        </w:rPr>
      </w:pPr>
      <w:r>
        <w:rPr>
          <w:rFonts w:ascii="Calibri" w:hAnsi="Calibri" w:cs="Calibri"/>
          <w:spacing w:val="-6"/>
        </w:rPr>
        <w:t>Section 4</w:t>
      </w:r>
      <w:r>
        <w:rPr>
          <w:rFonts w:ascii="Calibri" w:hAnsi="Calibri" w:cs="Calibri"/>
          <w:spacing w:val="-6"/>
        </w:rPr>
        <w:tab/>
        <w:t xml:space="preserve">Repeal of </w:t>
      </w:r>
      <w:r w:rsidR="00AE49EA">
        <w:rPr>
          <w:rFonts w:ascii="Calibri" w:hAnsi="Calibri" w:cs="Calibri"/>
          <w:spacing w:val="-6"/>
        </w:rPr>
        <w:t>tobacco</w:t>
      </w:r>
      <w:r w:rsidR="00FD4831" w:rsidRPr="00FD4831">
        <w:rPr>
          <w:rFonts w:ascii="Calibri" w:hAnsi="Calibri" w:cs="Calibri"/>
          <w:spacing w:val="-6"/>
        </w:rPr>
        <w:t xml:space="preserve"> </w:t>
      </w:r>
      <w:r>
        <w:rPr>
          <w:rFonts w:ascii="Calibri" w:hAnsi="Calibri" w:cs="Calibri"/>
          <w:spacing w:val="-6"/>
        </w:rPr>
        <w:t>instruments to facilitate review etc.</w:t>
      </w:r>
    </w:p>
    <w:p w14:paraId="04D341A0" w14:textId="5BF8073E" w:rsidR="00637B19" w:rsidRDefault="00637B19" w:rsidP="00637B19">
      <w:pPr>
        <w:spacing w:before="180" w:after="120" w:line="240" w:lineRule="auto"/>
        <w:rPr>
          <w:rFonts w:ascii="Calibri" w:hAnsi="Calibri" w:cs="Calibri"/>
        </w:rPr>
      </w:pPr>
      <w:r>
        <w:rPr>
          <w:rFonts w:ascii="Calibri" w:hAnsi="Calibri" w:cs="Calibri"/>
        </w:rPr>
        <w:t>This section</w:t>
      </w:r>
      <w:r w:rsidR="002F41F9">
        <w:rPr>
          <w:rFonts w:ascii="Calibri" w:hAnsi="Calibri" w:cs="Calibri"/>
        </w:rPr>
        <w:t xml:space="preserve"> provides that the </w:t>
      </w:r>
      <w:r w:rsidR="00CB0127">
        <w:rPr>
          <w:rFonts w:ascii="Calibri" w:hAnsi="Calibri" w:cs="Calibri"/>
          <w:i/>
        </w:rPr>
        <w:t xml:space="preserve">Tobacco </w:t>
      </w:r>
      <w:r w:rsidR="00AE49EA">
        <w:rPr>
          <w:rFonts w:ascii="Calibri" w:hAnsi="Calibri" w:cs="Calibri"/>
          <w:i/>
        </w:rPr>
        <w:t>Advertising</w:t>
      </w:r>
      <w:r w:rsidR="00CB0127">
        <w:rPr>
          <w:rFonts w:ascii="Calibri" w:hAnsi="Calibri" w:cs="Calibri"/>
          <w:i/>
        </w:rPr>
        <w:t xml:space="preserve"> Prohibition Regulation 1993</w:t>
      </w:r>
      <w:r w:rsidR="003079FD">
        <w:rPr>
          <w:rFonts w:ascii="Calibri" w:hAnsi="Calibri" w:cs="Calibri"/>
        </w:rPr>
        <w:t xml:space="preserve"> and the </w:t>
      </w:r>
      <w:r w:rsidR="00AE49EA">
        <w:rPr>
          <w:rFonts w:ascii="Calibri" w:hAnsi="Calibri" w:cs="Calibri"/>
          <w:i/>
        </w:rPr>
        <w:t>Tobacco Plain Packaging Regulations 2011</w:t>
      </w:r>
      <w:r w:rsidR="002E55F5">
        <w:rPr>
          <w:rFonts w:ascii="Calibri" w:hAnsi="Calibri" w:cs="Calibri"/>
        </w:rPr>
        <w:t xml:space="preserve"> are repealed by section 51A of the Legislation Act </w:t>
      </w:r>
      <w:r w:rsidR="00326B1B">
        <w:rPr>
          <w:rFonts w:ascii="Calibri" w:hAnsi="Calibri" w:cs="Calibri"/>
        </w:rPr>
        <w:t>on 1 </w:t>
      </w:r>
      <w:r w:rsidR="00AE49EA">
        <w:rPr>
          <w:rFonts w:ascii="Calibri" w:hAnsi="Calibri" w:cs="Calibri"/>
        </w:rPr>
        <w:t>April</w:t>
      </w:r>
      <w:r w:rsidR="00326B1B">
        <w:rPr>
          <w:rFonts w:ascii="Calibri" w:hAnsi="Calibri" w:cs="Calibri"/>
        </w:rPr>
        <w:t> 20</w:t>
      </w:r>
      <w:r w:rsidR="00AE49EA">
        <w:rPr>
          <w:rFonts w:ascii="Calibri" w:hAnsi="Calibri" w:cs="Calibri"/>
        </w:rPr>
        <w:t>22</w:t>
      </w:r>
      <w:r>
        <w:rPr>
          <w:rFonts w:ascii="Calibri" w:hAnsi="Calibri" w:cs="Calibri"/>
        </w:rPr>
        <w:t xml:space="preserve">. </w:t>
      </w:r>
    </w:p>
    <w:p w14:paraId="29B1FF9A" w14:textId="3F1E1878" w:rsidR="00637B19" w:rsidRDefault="00637B19" w:rsidP="00EF6EDA">
      <w:pPr>
        <w:spacing w:before="180" w:after="120" w:line="240" w:lineRule="auto"/>
        <w:rPr>
          <w:rFonts w:ascii="Calibri" w:hAnsi="Calibri" w:cs="Calibri"/>
        </w:rPr>
      </w:pPr>
      <w:r w:rsidRPr="003C4F6D">
        <w:rPr>
          <w:rFonts w:ascii="Calibri" w:hAnsi="Calibri" w:cs="Calibri"/>
        </w:rPr>
        <w:t>This is the aligned sunsetting day for those instruments, which would otherwise ha</w:t>
      </w:r>
      <w:r w:rsidR="00DE634A" w:rsidRPr="003C4F6D">
        <w:rPr>
          <w:rFonts w:ascii="Calibri" w:hAnsi="Calibri" w:cs="Calibri"/>
        </w:rPr>
        <w:t xml:space="preserve">ve sunset between 1 </w:t>
      </w:r>
      <w:r w:rsidR="00CB0127">
        <w:rPr>
          <w:rFonts w:ascii="Calibri" w:hAnsi="Calibri" w:cs="Calibri"/>
        </w:rPr>
        <w:t>October</w:t>
      </w:r>
      <w:r w:rsidR="00DE634A" w:rsidRPr="003C4F6D">
        <w:rPr>
          <w:rFonts w:ascii="Calibri" w:hAnsi="Calibri" w:cs="Calibri"/>
        </w:rPr>
        <w:t xml:space="preserve"> 2018 and 1 </w:t>
      </w:r>
      <w:r w:rsidR="00CB0127">
        <w:rPr>
          <w:rFonts w:ascii="Calibri" w:hAnsi="Calibri" w:cs="Calibri"/>
        </w:rPr>
        <w:t>April 2022</w:t>
      </w:r>
      <w:r w:rsidR="003C5834" w:rsidRPr="003C4F6D">
        <w:rPr>
          <w:rFonts w:ascii="Calibri" w:hAnsi="Calibri" w:cs="Calibri"/>
        </w:rPr>
        <w:t xml:space="preserve">. </w:t>
      </w:r>
    </w:p>
    <w:p w14:paraId="2CA77703" w14:textId="1FBD21B3" w:rsidR="00637B19" w:rsidRDefault="00637B19" w:rsidP="00637B19">
      <w:pPr>
        <w:pStyle w:val="Heading3"/>
        <w:rPr>
          <w:rFonts w:ascii="Calibri" w:hAnsi="Calibri" w:cs="Calibri"/>
        </w:rPr>
      </w:pPr>
      <w:r>
        <w:rPr>
          <w:rFonts w:ascii="Calibri" w:hAnsi="Calibri" w:cs="Calibri"/>
        </w:rPr>
        <w:t>Section 5</w:t>
      </w:r>
      <w:r>
        <w:rPr>
          <w:rFonts w:ascii="Calibri" w:hAnsi="Calibri" w:cs="Calibri"/>
        </w:rPr>
        <w:tab/>
        <w:t xml:space="preserve">Repeal of this </w:t>
      </w:r>
      <w:r w:rsidR="00077E2B">
        <w:rPr>
          <w:rFonts w:ascii="Calibri" w:hAnsi="Calibri" w:cs="Calibri"/>
        </w:rPr>
        <w:t>instrument</w:t>
      </w:r>
    </w:p>
    <w:p w14:paraId="2F8D6D2E" w14:textId="4984A28B" w:rsidR="00637B19" w:rsidRDefault="00637B19" w:rsidP="00637B19">
      <w:pPr>
        <w:spacing w:before="180" w:line="240" w:lineRule="auto"/>
        <w:rPr>
          <w:rFonts w:ascii="Calibri" w:hAnsi="Calibri" w:cs="Calibri"/>
        </w:rPr>
      </w:pPr>
      <w:r>
        <w:rPr>
          <w:rFonts w:ascii="Calibri" w:hAnsi="Calibri" w:cs="Calibri"/>
        </w:rPr>
        <w:t xml:space="preserve">This section provides that the declaration is repealed on </w:t>
      </w:r>
      <w:r w:rsidR="00AF41CD">
        <w:rPr>
          <w:rFonts w:ascii="Calibri" w:hAnsi="Calibri" w:cs="Calibri"/>
        </w:rPr>
        <w:t>2</w:t>
      </w:r>
      <w:r w:rsidR="003C4F6D">
        <w:rPr>
          <w:rFonts w:ascii="Calibri" w:hAnsi="Calibri" w:cs="Calibri"/>
        </w:rPr>
        <w:t xml:space="preserve"> </w:t>
      </w:r>
      <w:r w:rsidR="00AE49EA">
        <w:rPr>
          <w:rFonts w:ascii="Calibri" w:hAnsi="Calibri" w:cs="Calibri"/>
        </w:rPr>
        <w:t>April</w:t>
      </w:r>
      <w:r w:rsidR="00BF5CBF">
        <w:rPr>
          <w:rFonts w:ascii="Calibri" w:hAnsi="Calibri" w:cs="Calibri"/>
        </w:rPr>
        <w:t xml:space="preserve"> 20</w:t>
      </w:r>
      <w:r w:rsidR="00AE49EA">
        <w:rPr>
          <w:rFonts w:ascii="Calibri" w:hAnsi="Calibri" w:cs="Calibri"/>
        </w:rPr>
        <w:t>22</w:t>
      </w:r>
      <w:r>
        <w:rPr>
          <w:rFonts w:ascii="Calibri" w:hAnsi="Calibri" w:cs="Calibri"/>
        </w:rPr>
        <w:t xml:space="preserve">, which is the day after the aligned sunsetting day. This ensures that the declaration remains in force </w:t>
      </w:r>
      <w:r w:rsidR="001D5C30">
        <w:rPr>
          <w:rFonts w:ascii="Calibri" w:hAnsi="Calibri" w:cs="Calibri"/>
        </w:rPr>
        <w:t xml:space="preserve">for </w:t>
      </w:r>
      <w:r>
        <w:rPr>
          <w:rFonts w:ascii="Calibri" w:hAnsi="Calibri" w:cs="Calibri"/>
        </w:rPr>
        <w:t>only as long as it is needed.</w:t>
      </w:r>
    </w:p>
    <w:p w14:paraId="5FA2554D" w14:textId="77777777" w:rsidR="00637B19" w:rsidRPr="00B334EA" w:rsidRDefault="00637B19" w:rsidP="00637B19"/>
    <w:p w14:paraId="71AF51C6" w14:textId="77777777" w:rsidR="00637B19" w:rsidRPr="0054130A" w:rsidRDefault="00637B19" w:rsidP="00637B19"/>
    <w:p w14:paraId="62E57C41" w14:textId="030E09B5" w:rsidR="004601F7" w:rsidRPr="00637B19" w:rsidRDefault="004601F7" w:rsidP="00637B19"/>
    <w:sectPr w:rsidR="004601F7" w:rsidRPr="00637B19" w:rsidSect="00587565">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7DD5B" w14:textId="77777777" w:rsidR="00CB0127" w:rsidRDefault="00CB0127">
      <w:pPr>
        <w:spacing w:line="240" w:lineRule="auto"/>
      </w:pPr>
      <w:r>
        <w:separator/>
      </w:r>
    </w:p>
  </w:endnote>
  <w:endnote w:type="continuationSeparator" w:id="0">
    <w:p w14:paraId="4BEA642D" w14:textId="77777777" w:rsidR="00CB0127" w:rsidRDefault="00CB0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509388E-BC9E-4CC6-9192-93E36AC29C37}"/>
    <w:embedBold r:id="rId2" w:fontKey="{607AEB84-ED51-4EA4-9539-0655139D6A73}"/>
    <w:embedItalic r:id="rId3" w:fontKey="{41EF5A4F-9988-474A-8C5C-07FD2F5FC6EB}"/>
    <w:embedBoldItalic r:id="rId4" w:fontKey="{6F758DBC-AC43-4C51-B522-72C5E306623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CB0127" w:rsidRDefault="00CB0127" w:rsidP="005875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CB0127" w:rsidRDefault="00CB0127" w:rsidP="00587565">
    <w:pPr>
      <w:pStyle w:val="Footer"/>
      <w:ind w:right="360"/>
    </w:pPr>
  </w:p>
  <w:p w14:paraId="3C743693" w14:textId="256A0DC0" w:rsidR="00CB0127" w:rsidRPr="00172BEB" w:rsidRDefault="00CB0127" w:rsidP="00587565">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CC6E54">
      <w:rPr>
        <w:i/>
        <w:noProof/>
        <w:sz w:val="18"/>
      </w:rPr>
      <w:t>14/5/2018 10:37 AM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0A655" w14:textId="34D2E325" w:rsidR="00CB0127" w:rsidRDefault="00CB0127" w:rsidP="002C1C61">
    <w:pPr>
      <w:pStyle w:val="Footer"/>
      <w:tabs>
        <w:tab w:val="clear" w:pos="4153"/>
        <w:tab w:val="clear" w:pos="8306"/>
        <w:tab w:val="left" w:pos="7680"/>
      </w:tabs>
      <w:ind w:right="27"/>
      <w:jc w:val="right"/>
      <w:rPr>
        <w:rFonts w:asciiTheme="minorHAnsi" w:hAnsiTheme="minorHAnsi"/>
        <w:i/>
      </w:rPr>
    </w:pPr>
    <w:r w:rsidRPr="005B6082">
      <w:rPr>
        <w:rFonts w:asciiTheme="minorHAnsi" w:hAnsiTheme="minorHAnsi"/>
        <w:i/>
      </w:rPr>
      <w:t>L</w:t>
    </w:r>
    <w:r>
      <w:rPr>
        <w:rFonts w:asciiTheme="minorHAnsi" w:hAnsiTheme="minorHAnsi"/>
        <w:i/>
      </w:rPr>
      <w:t>egislation (Tobacco</w:t>
    </w:r>
    <w:r w:rsidRPr="005B6082">
      <w:rPr>
        <w:rFonts w:asciiTheme="minorHAnsi" w:hAnsiTheme="minorHAnsi"/>
        <w:i/>
      </w:rPr>
      <w:t xml:space="preserve"> Instruments) Sunset-altering Declaration 2018</w:t>
    </w:r>
  </w:p>
  <w:p w14:paraId="3C743694" w14:textId="49A9E910" w:rsidR="00CB0127" w:rsidRPr="002C1C61" w:rsidRDefault="00CB0127" w:rsidP="002C1C61">
    <w:pPr>
      <w:pStyle w:val="Footer"/>
      <w:tabs>
        <w:tab w:val="clear" w:pos="4153"/>
        <w:tab w:val="clear" w:pos="8306"/>
        <w:tab w:val="left" w:pos="7680"/>
      </w:tabs>
      <w:ind w:right="27"/>
      <w:jc w:val="right"/>
      <w:rPr>
        <w:rFonts w:asciiTheme="minorHAnsi" w:hAnsiTheme="minorHAnsi"/>
        <w:i/>
      </w:rPr>
    </w:pPr>
    <w:r w:rsidRPr="002C1C61">
      <w:rPr>
        <w:rFonts w:asciiTheme="minorHAnsi" w:hAnsiTheme="minorHAnsi"/>
        <w:i/>
      </w:rPr>
      <w:t xml:space="preserve"> </w:t>
    </w:r>
    <w:r w:rsidRPr="002C1C61">
      <w:rPr>
        <w:rFonts w:asciiTheme="minorHAnsi" w:hAnsiTheme="minorHAnsi"/>
      </w:rPr>
      <w:t xml:space="preserve">Explanatory Statement page </w:t>
    </w:r>
    <w:r w:rsidRPr="002C1C61">
      <w:rPr>
        <w:rFonts w:asciiTheme="minorHAnsi" w:hAnsiTheme="minorHAnsi"/>
      </w:rPr>
      <w:fldChar w:fldCharType="begin"/>
    </w:r>
    <w:r w:rsidRPr="002C1C61">
      <w:rPr>
        <w:rFonts w:asciiTheme="minorHAnsi" w:hAnsiTheme="minorHAnsi"/>
      </w:rPr>
      <w:instrText xml:space="preserve"> PAGE  \* MERGEFORMAT </w:instrText>
    </w:r>
    <w:r w:rsidRPr="002C1C61">
      <w:rPr>
        <w:rFonts w:asciiTheme="minorHAnsi" w:hAnsiTheme="minorHAnsi"/>
      </w:rPr>
      <w:fldChar w:fldCharType="separate"/>
    </w:r>
    <w:r w:rsidR="00CC6E54">
      <w:rPr>
        <w:rFonts w:asciiTheme="minorHAnsi" w:hAnsiTheme="minorHAnsi"/>
        <w:noProof/>
      </w:rPr>
      <w:t>2</w:t>
    </w:r>
    <w:r w:rsidRPr="002C1C61">
      <w:rPr>
        <w:rFonts w:asciiTheme="minorHAnsi" w:hAnsiTheme="minorHAnsi"/>
        <w:noProof/>
      </w:rPr>
      <w:fldChar w:fldCharType="end"/>
    </w:r>
    <w:r w:rsidRPr="002C1C61">
      <w:rPr>
        <w:rFonts w:asciiTheme="minorHAnsi" w:hAnsiTheme="minorHAnsi"/>
        <w:noProof/>
      </w:rPr>
      <w:t xml:space="preserve"> of </w:t>
    </w:r>
    <w:r w:rsidRPr="002C1C61">
      <w:rPr>
        <w:rFonts w:asciiTheme="minorHAnsi" w:hAnsiTheme="minorHAnsi"/>
      </w:rPr>
      <w:fldChar w:fldCharType="begin"/>
    </w:r>
    <w:r w:rsidRPr="002C1C61">
      <w:rPr>
        <w:rFonts w:asciiTheme="minorHAnsi" w:hAnsiTheme="minorHAnsi"/>
      </w:rPr>
      <w:instrText xml:space="preserve"> NUMPAGES </w:instrText>
    </w:r>
    <w:r w:rsidRPr="002C1C61">
      <w:rPr>
        <w:rFonts w:asciiTheme="minorHAnsi" w:hAnsiTheme="minorHAnsi"/>
      </w:rPr>
      <w:fldChar w:fldCharType="separate"/>
    </w:r>
    <w:r w:rsidR="00CC6E54">
      <w:rPr>
        <w:rFonts w:asciiTheme="minorHAnsi" w:hAnsiTheme="minorHAnsi"/>
        <w:noProof/>
      </w:rPr>
      <w:t>4</w:t>
    </w:r>
    <w:r w:rsidRPr="002C1C61">
      <w:rPr>
        <w:rFonts w:asciiTheme="minorHAnsi" w:hAnsiTheme="minorHAnsi"/>
        <w:noProof/>
      </w:rPr>
      <w:fldChar w:fldCharType="end"/>
    </w:r>
  </w:p>
  <w:p w14:paraId="3C743695" w14:textId="77777777" w:rsidR="00CB0127" w:rsidRPr="000B0D5F" w:rsidRDefault="00CB0127" w:rsidP="00587565">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CB0127" w:rsidRDefault="00CB0127">
    <w:pPr>
      <w:pStyle w:val="Footer"/>
    </w:pPr>
  </w:p>
  <w:p w14:paraId="3C743697" w14:textId="605B4CD8" w:rsidR="00CB0127" w:rsidRPr="00172BEB" w:rsidRDefault="00CB0127" w:rsidP="00587565">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CC6E54">
      <w:rPr>
        <w:i/>
        <w:noProof/>
        <w:sz w:val="18"/>
      </w:rPr>
      <w:t>14/5/2018 10:37 AM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65A27" w14:textId="77777777" w:rsidR="00CB0127" w:rsidRDefault="00CB0127">
      <w:pPr>
        <w:spacing w:line="240" w:lineRule="auto"/>
      </w:pPr>
      <w:r>
        <w:separator/>
      </w:r>
    </w:p>
  </w:footnote>
  <w:footnote w:type="continuationSeparator" w:id="0">
    <w:p w14:paraId="2ECD513E" w14:textId="77777777" w:rsidR="00CB0127" w:rsidRDefault="00CB01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CB0127" w:rsidRDefault="00CB0127">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CB0127" w:rsidRPr="004A1869" w:rsidRDefault="00CB0127" w:rsidP="00587565">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CB0127" w:rsidRPr="004A1869" w:rsidRDefault="00CB0127" w:rsidP="00587565">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2">
    <w:nsid w:val="2AA007A2"/>
    <w:multiLevelType w:val="hybridMultilevel"/>
    <w:tmpl w:val="0618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4">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25B1C"/>
    <w:rsid w:val="00033DDE"/>
    <w:rsid w:val="00040454"/>
    <w:rsid w:val="00045110"/>
    <w:rsid w:val="00046360"/>
    <w:rsid w:val="00051D2A"/>
    <w:rsid w:val="00057AAA"/>
    <w:rsid w:val="000715E0"/>
    <w:rsid w:val="00077E2B"/>
    <w:rsid w:val="00087800"/>
    <w:rsid w:val="0009419C"/>
    <w:rsid w:val="000B112C"/>
    <w:rsid w:val="000D41EE"/>
    <w:rsid w:val="0010293E"/>
    <w:rsid w:val="001032BF"/>
    <w:rsid w:val="00103FF8"/>
    <w:rsid w:val="00132A50"/>
    <w:rsid w:val="001369CD"/>
    <w:rsid w:val="0015789B"/>
    <w:rsid w:val="001671A6"/>
    <w:rsid w:val="001718DD"/>
    <w:rsid w:val="0017504D"/>
    <w:rsid w:val="00177705"/>
    <w:rsid w:val="00181E47"/>
    <w:rsid w:val="001A31CD"/>
    <w:rsid w:val="001A51EF"/>
    <w:rsid w:val="001B41FE"/>
    <w:rsid w:val="001C7B54"/>
    <w:rsid w:val="001D5C30"/>
    <w:rsid w:val="001D5E22"/>
    <w:rsid w:val="001E6092"/>
    <w:rsid w:val="001E687F"/>
    <w:rsid w:val="001F26AF"/>
    <w:rsid w:val="001F6A8A"/>
    <w:rsid w:val="00201A2E"/>
    <w:rsid w:val="00206FF7"/>
    <w:rsid w:val="00211D0C"/>
    <w:rsid w:val="00211DFF"/>
    <w:rsid w:val="00223633"/>
    <w:rsid w:val="00241BD1"/>
    <w:rsid w:val="00256FB1"/>
    <w:rsid w:val="002576BC"/>
    <w:rsid w:val="00266B76"/>
    <w:rsid w:val="002816EF"/>
    <w:rsid w:val="00282664"/>
    <w:rsid w:val="00290CCF"/>
    <w:rsid w:val="002A3F4B"/>
    <w:rsid w:val="002A5D7F"/>
    <w:rsid w:val="002A756E"/>
    <w:rsid w:val="002A7D43"/>
    <w:rsid w:val="002A7EFF"/>
    <w:rsid w:val="002B1ADC"/>
    <w:rsid w:val="002B1F17"/>
    <w:rsid w:val="002C1C61"/>
    <w:rsid w:val="002C39BC"/>
    <w:rsid w:val="002C5278"/>
    <w:rsid w:val="002E55F5"/>
    <w:rsid w:val="002F20FA"/>
    <w:rsid w:val="002F41F9"/>
    <w:rsid w:val="003003EF"/>
    <w:rsid w:val="003079FD"/>
    <w:rsid w:val="00325569"/>
    <w:rsid w:val="00326B1B"/>
    <w:rsid w:val="0032759D"/>
    <w:rsid w:val="0033671D"/>
    <w:rsid w:val="00336E84"/>
    <w:rsid w:val="00352289"/>
    <w:rsid w:val="00363055"/>
    <w:rsid w:val="003939FB"/>
    <w:rsid w:val="00393BA5"/>
    <w:rsid w:val="003A7C78"/>
    <w:rsid w:val="003B7B22"/>
    <w:rsid w:val="003C4F6D"/>
    <w:rsid w:val="003C5834"/>
    <w:rsid w:val="003C5943"/>
    <w:rsid w:val="003F1016"/>
    <w:rsid w:val="004157B3"/>
    <w:rsid w:val="00443918"/>
    <w:rsid w:val="00450DCC"/>
    <w:rsid w:val="0045379E"/>
    <w:rsid w:val="004566E8"/>
    <w:rsid w:val="004600FD"/>
    <w:rsid w:val="004601F7"/>
    <w:rsid w:val="00461132"/>
    <w:rsid w:val="00465BB4"/>
    <w:rsid w:val="00466564"/>
    <w:rsid w:val="004C6A2C"/>
    <w:rsid w:val="004D52A9"/>
    <w:rsid w:val="004E5A5B"/>
    <w:rsid w:val="00501802"/>
    <w:rsid w:val="005125E8"/>
    <w:rsid w:val="005306A5"/>
    <w:rsid w:val="00531E48"/>
    <w:rsid w:val="0054130A"/>
    <w:rsid w:val="00543F72"/>
    <w:rsid w:val="005549BB"/>
    <w:rsid w:val="00564FA1"/>
    <w:rsid w:val="0058700F"/>
    <w:rsid w:val="00587565"/>
    <w:rsid w:val="005B6082"/>
    <w:rsid w:val="005C2210"/>
    <w:rsid w:val="005C43FD"/>
    <w:rsid w:val="005C46B3"/>
    <w:rsid w:val="005C7CA5"/>
    <w:rsid w:val="005E7489"/>
    <w:rsid w:val="005F0160"/>
    <w:rsid w:val="005F4385"/>
    <w:rsid w:val="005F55E7"/>
    <w:rsid w:val="00600FA1"/>
    <w:rsid w:val="00611300"/>
    <w:rsid w:val="00621925"/>
    <w:rsid w:val="006319DE"/>
    <w:rsid w:val="00637B19"/>
    <w:rsid w:val="006463BB"/>
    <w:rsid w:val="00647259"/>
    <w:rsid w:val="006525E7"/>
    <w:rsid w:val="00653E98"/>
    <w:rsid w:val="00661D37"/>
    <w:rsid w:val="00663FF2"/>
    <w:rsid w:val="006A139C"/>
    <w:rsid w:val="006A2A90"/>
    <w:rsid w:val="006A592F"/>
    <w:rsid w:val="006B11AF"/>
    <w:rsid w:val="006B168F"/>
    <w:rsid w:val="006B31E8"/>
    <w:rsid w:val="006B6E0D"/>
    <w:rsid w:val="006C4D4A"/>
    <w:rsid w:val="006D7D7B"/>
    <w:rsid w:val="006E004E"/>
    <w:rsid w:val="006E3E2D"/>
    <w:rsid w:val="00704F45"/>
    <w:rsid w:val="00707471"/>
    <w:rsid w:val="007278E6"/>
    <w:rsid w:val="00733DA4"/>
    <w:rsid w:val="00773EE8"/>
    <w:rsid w:val="0078704B"/>
    <w:rsid w:val="007913C5"/>
    <w:rsid w:val="007926E9"/>
    <w:rsid w:val="007B6C83"/>
    <w:rsid w:val="007E2877"/>
    <w:rsid w:val="007F0E66"/>
    <w:rsid w:val="007F794A"/>
    <w:rsid w:val="00805307"/>
    <w:rsid w:val="0080731E"/>
    <w:rsid w:val="0081668F"/>
    <w:rsid w:val="00824712"/>
    <w:rsid w:val="0083351E"/>
    <w:rsid w:val="00836F85"/>
    <w:rsid w:val="00842CC0"/>
    <w:rsid w:val="00845EE1"/>
    <w:rsid w:val="00847204"/>
    <w:rsid w:val="00850169"/>
    <w:rsid w:val="00852844"/>
    <w:rsid w:val="00863C2B"/>
    <w:rsid w:val="00876B24"/>
    <w:rsid w:val="00882B43"/>
    <w:rsid w:val="008A5040"/>
    <w:rsid w:val="008B56AE"/>
    <w:rsid w:val="008B58CB"/>
    <w:rsid w:val="008B6B49"/>
    <w:rsid w:val="008C1ECD"/>
    <w:rsid w:val="008C2F45"/>
    <w:rsid w:val="008C5DD2"/>
    <w:rsid w:val="008D3C4E"/>
    <w:rsid w:val="008E451F"/>
    <w:rsid w:val="008E4A1E"/>
    <w:rsid w:val="008F51C7"/>
    <w:rsid w:val="00900CE2"/>
    <w:rsid w:val="00907B52"/>
    <w:rsid w:val="009113BB"/>
    <w:rsid w:val="009438D9"/>
    <w:rsid w:val="00944F02"/>
    <w:rsid w:val="00953B52"/>
    <w:rsid w:val="009543D6"/>
    <w:rsid w:val="00961D26"/>
    <w:rsid w:val="009651DD"/>
    <w:rsid w:val="0096727B"/>
    <w:rsid w:val="00976A2B"/>
    <w:rsid w:val="00983E69"/>
    <w:rsid w:val="009935EE"/>
    <w:rsid w:val="009A52C9"/>
    <w:rsid w:val="009B1EBA"/>
    <w:rsid w:val="009D0789"/>
    <w:rsid w:val="009D617D"/>
    <w:rsid w:val="009D6397"/>
    <w:rsid w:val="009F171A"/>
    <w:rsid w:val="00A03ACE"/>
    <w:rsid w:val="00A31968"/>
    <w:rsid w:val="00A3511E"/>
    <w:rsid w:val="00A4248B"/>
    <w:rsid w:val="00A456F8"/>
    <w:rsid w:val="00A747E0"/>
    <w:rsid w:val="00A754B5"/>
    <w:rsid w:val="00A81317"/>
    <w:rsid w:val="00A82D93"/>
    <w:rsid w:val="00A91538"/>
    <w:rsid w:val="00AC5BF7"/>
    <w:rsid w:val="00AD04DC"/>
    <w:rsid w:val="00AE49EA"/>
    <w:rsid w:val="00AF41CD"/>
    <w:rsid w:val="00B01D83"/>
    <w:rsid w:val="00B04093"/>
    <w:rsid w:val="00B10BA2"/>
    <w:rsid w:val="00B231FF"/>
    <w:rsid w:val="00B24330"/>
    <w:rsid w:val="00B7188E"/>
    <w:rsid w:val="00B75640"/>
    <w:rsid w:val="00B84B48"/>
    <w:rsid w:val="00BA0B49"/>
    <w:rsid w:val="00BB0804"/>
    <w:rsid w:val="00BB4448"/>
    <w:rsid w:val="00BB63C1"/>
    <w:rsid w:val="00BC5131"/>
    <w:rsid w:val="00BC6097"/>
    <w:rsid w:val="00BC668C"/>
    <w:rsid w:val="00BC79EE"/>
    <w:rsid w:val="00BD1ACE"/>
    <w:rsid w:val="00BD51F6"/>
    <w:rsid w:val="00BF1DE7"/>
    <w:rsid w:val="00BF5CBF"/>
    <w:rsid w:val="00C01C86"/>
    <w:rsid w:val="00C10040"/>
    <w:rsid w:val="00C4438C"/>
    <w:rsid w:val="00C45151"/>
    <w:rsid w:val="00C62304"/>
    <w:rsid w:val="00C747B5"/>
    <w:rsid w:val="00C821D0"/>
    <w:rsid w:val="00CB0127"/>
    <w:rsid w:val="00CC3434"/>
    <w:rsid w:val="00CC5725"/>
    <w:rsid w:val="00CC6E54"/>
    <w:rsid w:val="00CE3A62"/>
    <w:rsid w:val="00CE631A"/>
    <w:rsid w:val="00CF49A2"/>
    <w:rsid w:val="00D01814"/>
    <w:rsid w:val="00D03EF5"/>
    <w:rsid w:val="00D14FB9"/>
    <w:rsid w:val="00D21809"/>
    <w:rsid w:val="00D24AB9"/>
    <w:rsid w:val="00D260CF"/>
    <w:rsid w:val="00D3246B"/>
    <w:rsid w:val="00D51F1E"/>
    <w:rsid w:val="00D8505D"/>
    <w:rsid w:val="00D850CA"/>
    <w:rsid w:val="00D91CB6"/>
    <w:rsid w:val="00DB06AF"/>
    <w:rsid w:val="00DB0E1E"/>
    <w:rsid w:val="00DD00D7"/>
    <w:rsid w:val="00DD7A1C"/>
    <w:rsid w:val="00DE16CA"/>
    <w:rsid w:val="00DE634A"/>
    <w:rsid w:val="00DE6B67"/>
    <w:rsid w:val="00DF76F6"/>
    <w:rsid w:val="00E06F2B"/>
    <w:rsid w:val="00E21878"/>
    <w:rsid w:val="00E22920"/>
    <w:rsid w:val="00E23004"/>
    <w:rsid w:val="00E24037"/>
    <w:rsid w:val="00E27260"/>
    <w:rsid w:val="00E30016"/>
    <w:rsid w:val="00E31A04"/>
    <w:rsid w:val="00E450F5"/>
    <w:rsid w:val="00E50B03"/>
    <w:rsid w:val="00E5349A"/>
    <w:rsid w:val="00E53B1E"/>
    <w:rsid w:val="00E666A5"/>
    <w:rsid w:val="00E75700"/>
    <w:rsid w:val="00E85AD9"/>
    <w:rsid w:val="00E90C80"/>
    <w:rsid w:val="00E926AF"/>
    <w:rsid w:val="00E93CAF"/>
    <w:rsid w:val="00EA0796"/>
    <w:rsid w:val="00EC14E8"/>
    <w:rsid w:val="00EC34EA"/>
    <w:rsid w:val="00EE1B56"/>
    <w:rsid w:val="00EE36D5"/>
    <w:rsid w:val="00EE3F45"/>
    <w:rsid w:val="00EF151C"/>
    <w:rsid w:val="00EF6EDA"/>
    <w:rsid w:val="00F110BA"/>
    <w:rsid w:val="00F26F03"/>
    <w:rsid w:val="00F3732A"/>
    <w:rsid w:val="00F5670A"/>
    <w:rsid w:val="00F608CE"/>
    <w:rsid w:val="00F66F86"/>
    <w:rsid w:val="00F9469E"/>
    <w:rsid w:val="00FA2F4A"/>
    <w:rsid w:val="00FA3DDF"/>
    <w:rsid w:val="00FB071A"/>
    <w:rsid w:val="00FD20AA"/>
    <w:rsid w:val="00FD4831"/>
    <w:rsid w:val="00FF2475"/>
    <w:rsid w:val="00FF6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EBBFE1791B32649923AFE7728E3D17F" ma:contentTypeVersion="" ma:contentTypeDescription="PDMS Document Site Content Type" ma:contentTypeScope="" ma:versionID="a961c225f8689b5c94b4c8933035128c">
  <xsd:schema xmlns:xsd="http://www.w3.org/2001/XMLSchema" xmlns:xs="http://www.w3.org/2001/XMLSchema" xmlns:p="http://schemas.microsoft.com/office/2006/metadata/properties" xmlns:ns2="1CB5E264-0649-463C-983D-734F12C3EA34" targetNamespace="http://schemas.microsoft.com/office/2006/metadata/properties" ma:root="true" ma:fieldsID="aff77db1a451b8332fedf1fd9e449463" ns2:_="">
    <xsd:import namespace="1CB5E264-0649-463C-983D-734F12C3EA3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5E264-0649-463C-983D-734F12C3EA3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CB5E264-0649-463C-983D-734F12C3EA34">Sensitive: Legal  </SecurityClass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DE89-67F8-43C1-954C-8F712BEB2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5E264-0649-463C-983D-734F12C3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90E85555-D017-4E48-B8C0-B3AD23320D2D}">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1CB5E264-0649-463C-983D-734F12C3EA34"/>
  </ds:schemaRefs>
</ds:datastoreItem>
</file>

<file path=customXml/itemProps4.xml><?xml version="1.0" encoding="utf-8"?>
<ds:datastoreItem xmlns:ds="http://schemas.openxmlformats.org/officeDocument/2006/customXml" ds:itemID="{5533A16E-1D9E-4CC5-8CFA-A1C28CB1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1086</Words>
  <Characters>6191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2018-05-14T00:38:00Z</dcterms:created>
  <dcterms:modified xsi:type="dcterms:W3CDTF">2018-05-14T00:38:00Z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0x010100266966F133664895A6EE3632470D45F5009EBBFE1791B32649923AFE7728E3D17F</vt:lpwstr>
  </property>
</Properties>
</file>