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DA" w:rsidRDefault="00A119DA" w:rsidP="00A119DA">
      <w:pPr>
        <w:spacing w:before="0"/>
        <w:ind w:right="-192"/>
        <w:jc w:val="center"/>
      </w:pPr>
      <w:r>
        <w:rPr>
          <w:b/>
          <w:bCs/>
          <w:u w:val="single"/>
        </w:rPr>
        <w:t xml:space="preserve">EXPLANATORY </w:t>
      </w:r>
      <w:r w:rsidR="006A719F">
        <w:rPr>
          <w:b/>
          <w:bCs/>
          <w:u w:val="single"/>
        </w:rPr>
        <w:t>STATEMENT</w:t>
      </w:r>
    </w:p>
    <w:p w:rsidR="00A119DA" w:rsidRDefault="00A119DA" w:rsidP="00A119DA">
      <w:pPr>
        <w:spacing w:before="0"/>
        <w:ind w:right="91"/>
        <w:jc w:val="center"/>
      </w:pPr>
    </w:p>
    <w:p w:rsidR="00A119DA" w:rsidRDefault="00A119DA" w:rsidP="00A119DA">
      <w:pPr>
        <w:spacing w:before="0"/>
        <w:ind w:right="91"/>
        <w:jc w:val="center"/>
        <w:rPr>
          <w:i/>
        </w:rPr>
      </w:pPr>
      <w:bookmarkStart w:id="0" w:name="_GoBack"/>
      <w:bookmarkEnd w:id="0"/>
      <w:r w:rsidRPr="00F7142B">
        <w:rPr>
          <w:i/>
        </w:rPr>
        <w:t>National Health Act 1953</w:t>
      </w:r>
    </w:p>
    <w:p w:rsidR="00A119DA" w:rsidRDefault="00A119DA" w:rsidP="00A119DA">
      <w:pPr>
        <w:spacing w:before="0"/>
        <w:ind w:left="1134" w:right="91"/>
        <w:jc w:val="center"/>
        <w:rPr>
          <w:i/>
        </w:rPr>
      </w:pPr>
    </w:p>
    <w:p w:rsidR="00A119DA" w:rsidRDefault="006E4E96" w:rsidP="00A119DA">
      <w:pPr>
        <w:spacing w:before="0"/>
        <w:ind w:right="-471" w:hanging="142"/>
        <w:jc w:val="center"/>
        <w:rPr>
          <w:i/>
        </w:rPr>
      </w:pPr>
      <w:r w:rsidRPr="002821FC">
        <w:rPr>
          <w:i/>
        </w:rPr>
        <w:t xml:space="preserve">National Health (Pharmaceutical Benefits) </w:t>
      </w:r>
      <w:r>
        <w:rPr>
          <w:i/>
        </w:rPr>
        <w:t xml:space="preserve">Amendment </w:t>
      </w:r>
      <w:r w:rsidR="00CB7C62">
        <w:rPr>
          <w:i/>
        </w:rPr>
        <w:t>(</w:t>
      </w:r>
      <w:r w:rsidR="00CD108A">
        <w:rPr>
          <w:i/>
        </w:rPr>
        <w:t>Safety Net</w:t>
      </w:r>
      <w:r w:rsidR="00CB7C62">
        <w:rPr>
          <w:i/>
        </w:rPr>
        <w:t xml:space="preserve">) </w:t>
      </w:r>
      <w:r w:rsidRPr="002821FC">
        <w:rPr>
          <w:i/>
        </w:rPr>
        <w:t>Regulation</w:t>
      </w:r>
      <w:r w:rsidR="001050AA">
        <w:rPr>
          <w:i/>
        </w:rPr>
        <w:t>s</w:t>
      </w:r>
      <w:r w:rsidRPr="002821FC">
        <w:rPr>
          <w:i/>
        </w:rPr>
        <w:t xml:space="preserve"> </w:t>
      </w:r>
      <w:r>
        <w:rPr>
          <w:i/>
        </w:rPr>
        <w:t>201</w:t>
      </w:r>
      <w:r w:rsidR="00FC58D2">
        <w:rPr>
          <w:i/>
        </w:rPr>
        <w:t>8</w:t>
      </w:r>
    </w:p>
    <w:p w:rsidR="00A119DA" w:rsidRPr="00001163" w:rsidRDefault="00A119DA" w:rsidP="00A119DA">
      <w:pPr>
        <w:jc w:val="center"/>
      </w:pPr>
      <w:r w:rsidRPr="00001163">
        <w:t>By authority of the Minister for Health</w:t>
      </w:r>
    </w:p>
    <w:p w:rsidR="003D6A50" w:rsidRDefault="003D6A50" w:rsidP="0081255B">
      <w:pPr>
        <w:spacing w:before="0"/>
        <w:ind w:right="91"/>
      </w:pPr>
    </w:p>
    <w:p w:rsidR="006A719F" w:rsidRDefault="006A719F" w:rsidP="006A719F">
      <w:pPr>
        <w:spacing w:before="0" w:after="180"/>
        <w:ind w:right="91"/>
      </w:pPr>
      <w:r w:rsidRPr="00230D84">
        <w:t>The</w:t>
      </w:r>
      <w:r>
        <w:t xml:space="preserve"> </w:t>
      </w:r>
      <w:r w:rsidRPr="00A85E24">
        <w:t>Pharmaceutical Benefits Scheme (PBS)</w:t>
      </w:r>
      <w:r>
        <w:t xml:space="preserve"> is established under the </w:t>
      </w:r>
      <w:r w:rsidRPr="00A85E24">
        <w:rPr>
          <w:i/>
        </w:rPr>
        <w:t xml:space="preserve">National Health Act 1953 </w:t>
      </w:r>
      <w:r>
        <w:t>(the Act) and provides Australians with timely, reliable and affordable access to necessary and cost-effective medicines. The Act regulates the listing, prescribing, pricing, charging and payment of subsidies for supply of drugs and medicinal preparations as pharmaceutical benefits.</w:t>
      </w:r>
    </w:p>
    <w:p w:rsidR="006A719F" w:rsidRDefault="006A719F" w:rsidP="006A719F">
      <w:pPr>
        <w:spacing w:before="0" w:after="180"/>
        <w:ind w:right="91"/>
      </w:pPr>
      <w:r>
        <w:t xml:space="preserve">Section 140 of the Act provides that the Governor-General may make regulations, </w:t>
      </w:r>
      <w:r w:rsidRPr="0081255B">
        <w:t>not inconsistent with the Act,</w:t>
      </w:r>
      <w:r>
        <w:t xml:space="preserve"> prescribing all matters which are required or permitted to be prescribed, or which are necessary or convenient to be prescribed, for carrying out or giving effect to the Act.</w:t>
      </w:r>
    </w:p>
    <w:p w:rsidR="006A719F" w:rsidRDefault="006A719F" w:rsidP="006A719F">
      <w:pPr>
        <w:spacing w:before="0" w:after="180"/>
        <w:ind w:right="91"/>
      </w:pPr>
      <w:r>
        <w:t>Subsection </w:t>
      </w:r>
      <w:proofErr w:type="gramStart"/>
      <w:r>
        <w:t>84C(</w:t>
      </w:r>
      <w:proofErr w:type="gramEnd"/>
      <w:r>
        <w:t>1E) of the Act provides that the r</w:t>
      </w:r>
      <w:r w:rsidRPr="00432746">
        <w:t>egulations may prescribe the value for safety net purposes of a sup</w:t>
      </w:r>
      <w:r>
        <w:t>ply of a pharmaceutical benefit. Subsection 84C(1F) of the Act provides that the value</w:t>
      </w:r>
      <w:r w:rsidRPr="00432746">
        <w:t xml:space="preserve"> must take into account the amount charged for the supply, but may make adjustments for safety net purposes such as excluding certain components of the amount charged or setting a maximum limit on the value.</w:t>
      </w:r>
    </w:p>
    <w:p w:rsidR="006A719F" w:rsidRPr="00FF745B" w:rsidRDefault="006A719F" w:rsidP="00057120">
      <w:pPr>
        <w:spacing w:before="0" w:after="180"/>
        <w:ind w:right="-187"/>
      </w:pPr>
      <w:r>
        <w:t>The </w:t>
      </w:r>
      <w:r w:rsidRPr="00856702">
        <w:rPr>
          <w:i/>
          <w:lang w:val="en-US"/>
        </w:rPr>
        <w:t>National Health (Pharmaceutical Benefits) Regulations</w:t>
      </w:r>
      <w:r>
        <w:rPr>
          <w:i/>
          <w:lang w:val="en-US"/>
        </w:rPr>
        <w:t> </w:t>
      </w:r>
      <w:r w:rsidRPr="00431271">
        <w:rPr>
          <w:i/>
          <w:lang w:val="en-US"/>
        </w:rPr>
        <w:t>2017</w:t>
      </w:r>
      <w:r w:rsidRPr="00431271">
        <w:rPr>
          <w:lang w:val="en-US"/>
        </w:rPr>
        <w:t xml:space="preserve"> (the Principal Regulations)</w:t>
      </w:r>
      <w:r w:rsidRPr="00431271">
        <w:t xml:space="preserve"> prescribe matters and set out details in relation to the operation of the PBS. The </w:t>
      </w:r>
      <w:r w:rsidRPr="00CF2E31">
        <w:rPr>
          <w:i/>
        </w:rPr>
        <w:t>National Health (</w:t>
      </w:r>
      <w:r w:rsidRPr="00FF745B">
        <w:rPr>
          <w:i/>
        </w:rPr>
        <w:t>Pharmaceutical Benefits) Amendment (Safety Net) Regulations 2018</w:t>
      </w:r>
      <w:r w:rsidRPr="00FF745B">
        <w:rPr>
          <w:lang w:val="en-US"/>
        </w:rPr>
        <w:t xml:space="preserve"> (the Regulations) amend</w:t>
      </w:r>
      <w:r w:rsidR="00057120">
        <w:rPr>
          <w:lang w:val="en-US"/>
        </w:rPr>
        <w:t>s</w:t>
      </w:r>
      <w:r w:rsidRPr="00FF745B">
        <w:rPr>
          <w:lang w:val="en-US"/>
        </w:rPr>
        <w:t xml:space="preserve"> the Principal Regulations to set</w:t>
      </w:r>
      <w:r w:rsidRPr="00FF745B">
        <w:t xml:space="preserve"> the amount which can be tallied toward the general patient or concessional patient safety net. This</w:t>
      </w:r>
      <w:r>
        <w:t> </w:t>
      </w:r>
      <w:r w:rsidRPr="00FF745B">
        <w:t>include</w:t>
      </w:r>
      <w:r w:rsidR="00057120">
        <w:t>s</w:t>
      </w:r>
      <w:r w:rsidRPr="00FF745B">
        <w:t xml:space="preserve"> the amount where the cost of the pharmaceutical benefit exceeds the maximum patient co</w:t>
      </w:r>
      <w:r w:rsidRPr="00FF745B">
        <w:noBreakHyphen/>
        <w:t>payment (over co-payment pharmaceutical benefits) and where the cost of the pharmaceutical benefit is equal to or less than the maximum patient co</w:t>
      </w:r>
      <w:r w:rsidRPr="00FF745B">
        <w:noBreakHyphen/>
        <w:t>payment (under co</w:t>
      </w:r>
      <w:r w:rsidRPr="00FF745B">
        <w:noBreakHyphen/>
        <w:t>payment pharmaceutical benefits).</w:t>
      </w:r>
    </w:p>
    <w:p w:rsidR="006A719F" w:rsidRPr="00FF745B" w:rsidRDefault="006A719F" w:rsidP="006A719F">
      <w:pPr>
        <w:spacing w:before="0" w:after="180"/>
        <w:ind w:right="96"/>
      </w:pPr>
      <w:r w:rsidRPr="00FF745B">
        <w:t xml:space="preserve">Where the cost is greater than the patient co-payment amount, the amount which can be tallied towards the patient safety net </w:t>
      </w:r>
      <w:r w:rsidR="00057120">
        <w:t xml:space="preserve">is </w:t>
      </w:r>
      <w:r w:rsidRPr="00FF745B">
        <w:t>the co-payment amount charged to the patient, not including any additional charges such as brand premiums.</w:t>
      </w:r>
    </w:p>
    <w:p w:rsidR="006A719F" w:rsidRPr="00FF745B" w:rsidRDefault="006A719F" w:rsidP="006A719F">
      <w:pPr>
        <w:spacing w:before="0" w:after="60"/>
        <w:ind w:right="-187"/>
      </w:pPr>
      <w:r w:rsidRPr="00FF745B">
        <w:t>Where the cost is less than the patient co-payment amount, the amount which c</w:t>
      </w:r>
      <w:r w:rsidR="00057120">
        <w:t>an</w:t>
      </w:r>
      <w:r w:rsidRPr="00FF745B">
        <w:t xml:space="preserve"> be tallied towards the patient safety net </w:t>
      </w:r>
      <w:r w:rsidR="00057120">
        <w:t xml:space="preserve">is </w:t>
      </w:r>
      <w:r w:rsidRPr="00FF745B">
        <w:t>the lesser of:</w:t>
      </w:r>
    </w:p>
    <w:p w:rsidR="006A719F" w:rsidRPr="00A662D5" w:rsidRDefault="006A719F" w:rsidP="006A719F">
      <w:pPr>
        <w:pStyle w:val="ListParagraph"/>
        <w:numPr>
          <w:ilvl w:val="0"/>
          <w:numId w:val="10"/>
        </w:numPr>
        <w:spacing w:after="60"/>
        <w:ind w:left="567" w:right="-187" w:hanging="283"/>
        <w:contextualSpacing/>
        <w:rPr>
          <w:rFonts w:ascii="Times New Roman" w:hAnsi="Times New Roman"/>
          <w:sz w:val="24"/>
          <w:szCs w:val="24"/>
        </w:rPr>
      </w:pPr>
      <w:r w:rsidRPr="00A662D5">
        <w:rPr>
          <w:rFonts w:ascii="Times New Roman" w:hAnsi="Times New Roman"/>
          <w:sz w:val="24"/>
          <w:szCs w:val="24"/>
        </w:rPr>
        <w:t xml:space="preserve">the sum of the price of the pharmaceutical benefit worked out under a determination under subsection 84C(7) of the Act, minus any </w:t>
      </w:r>
      <w:r w:rsidRPr="00A662D5">
        <w:rPr>
          <w:rFonts w:ascii="Times New Roman" w:hAnsi="Times New Roman"/>
          <w:i/>
          <w:sz w:val="24"/>
          <w:szCs w:val="24"/>
        </w:rPr>
        <w:t>additional patient charge</w:t>
      </w:r>
      <w:r w:rsidRPr="00A662D5">
        <w:rPr>
          <w:rFonts w:ascii="Times New Roman" w:hAnsi="Times New Roman"/>
          <w:sz w:val="24"/>
          <w:szCs w:val="24"/>
        </w:rPr>
        <w:t xml:space="preserve">; </w:t>
      </w:r>
    </w:p>
    <w:p w:rsidR="006A719F" w:rsidRPr="00A662D5" w:rsidRDefault="006A719F" w:rsidP="006A719F">
      <w:pPr>
        <w:pStyle w:val="ListParagraph"/>
        <w:spacing w:after="60"/>
        <w:ind w:left="567" w:right="-18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662D5">
        <w:rPr>
          <w:rFonts w:ascii="Times New Roman" w:hAnsi="Times New Roman"/>
          <w:sz w:val="24"/>
          <w:szCs w:val="24"/>
        </w:rPr>
        <w:t>and</w:t>
      </w:r>
      <w:proofErr w:type="gramEnd"/>
      <w:r w:rsidRPr="00A662D5">
        <w:rPr>
          <w:rFonts w:ascii="Times New Roman" w:hAnsi="Times New Roman"/>
          <w:sz w:val="24"/>
          <w:szCs w:val="24"/>
        </w:rPr>
        <w:t xml:space="preserve"> </w:t>
      </w:r>
    </w:p>
    <w:p w:rsidR="006A719F" w:rsidRPr="00A662D5" w:rsidRDefault="006A719F" w:rsidP="006A719F">
      <w:pPr>
        <w:pStyle w:val="ListParagraph"/>
        <w:numPr>
          <w:ilvl w:val="0"/>
          <w:numId w:val="10"/>
        </w:numPr>
        <w:spacing w:after="180"/>
        <w:ind w:left="567" w:right="-187" w:hanging="283"/>
        <w:rPr>
          <w:rFonts w:ascii="Times New Roman" w:hAnsi="Times New Roman"/>
          <w:sz w:val="24"/>
          <w:szCs w:val="24"/>
        </w:rPr>
      </w:pPr>
      <w:proofErr w:type="gramStart"/>
      <w:r w:rsidRPr="00A662D5">
        <w:rPr>
          <w:rFonts w:ascii="Times New Roman" w:hAnsi="Times New Roman"/>
          <w:sz w:val="24"/>
          <w:szCs w:val="24"/>
        </w:rPr>
        <w:t>the</w:t>
      </w:r>
      <w:proofErr w:type="gramEnd"/>
      <w:r w:rsidRPr="00A662D5">
        <w:rPr>
          <w:rFonts w:ascii="Times New Roman" w:hAnsi="Times New Roman"/>
          <w:sz w:val="24"/>
          <w:szCs w:val="24"/>
        </w:rPr>
        <w:t xml:space="preserve"> amount charged for the supply.</w:t>
      </w:r>
    </w:p>
    <w:p w:rsidR="006A719F" w:rsidRDefault="006A719F" w:rsidP="006A719F">
      <w:pPr>
        <w:spacing w:before="120" w:after="180"/>
        <w:ind w:right="-187"/>
      </w:pPr>
      <w:r w:rsidRPr="00FF745B">
        <w:t xml:space="preserve">The Regulations also insert a definition for </w:t>
      </w:r>
      <w:r w:rsidRPr="00FF745B">
        <w:rPr>
          <w:i/>
        </w:rPr>
        <w:t>‘additional patient charge’.</w:t>
      </w:r>
      <w:r w:rsidRPr="00FF745B">
        <w:t xml:space="preserve"> This term </w:t>
      </w:r>
      <w:r w:rsidR="00057120">
        <w:t>has</w:t>
      </w:r>
      <w:r w:rsidRPr="00FF745B">
        <w:t xml:space="preserve"> the same meaning as the further additional patient charge referred to in the Sixth Community Pharmacy</w:t>
      </w:r>
      <w:r w:rsidR="008B0D80">
        <w:t xml:space="preserve"> Agreement, as in force on 1 June</w:t>
      </w:r>
      <w:r w:rsidRPr="00FF745B">
        <w:t xml:space="preserve"> 2018 – the commencement date of the Regulations.</w:t>
      </w:r>
    </w:p>
    <w:p w:rsidR="006A719F" w:rsidRPr="00EC54BC" w:rsidRDefault="00057120" w:rsidP="006A719F">
      <w:pPr>
        <w:spacing w:before="120" w:after="180"/>
        <w:ind w:right="96"/>
      </w:pPr>
      <w:r>
        <w:t>A</w:t>
      </w:r>
      <w:r w:rsidR="006A719F">
        <w:t xml:space="preserve"> determination </w:t>
      </w:r>
      <w:r>
        <w:t xml:space="preserve">made </w:t>
      </w:r>
      <w:r w:rsidR="006A719F">
        <w:t>under subsection </w:t>
      </w:r>
      <w:proofErr w:type="gramStart"/>
      <w:r w:rsidR="006A719F">
        <w:t>84C(</w:t>
      </w:r>
      <w:proofErr w:type="gramEnd"/>
      <w:r w:rsidR="006A719F">
        <w:t>7) of the Act w</w:t>
      </w:r>
      <w:r w:rsidR="008B0D80">
        <w:t>hich also has effect from 1 June</w:t>
      </w:r>
      <w:r>
        <w:t> 2018</w:t>
      </w:r>
      <w:r w:rsidR="006A719F">
        <w:t xml:space="preserve"> include</w:t>
      </w:r>
      <w:r>
        <w:t>s</w:t>
      </w:r>
      <w:r w:rsidR="006A719F">
        <w:t xml:space="preserve"> the same definition for </w:t>
      </w:r>
      <w:r w:rsidR="006A719F">
        <w:rPr>
          <w:i/>
        </w:rPr>
        <w:t xml:space="preserve">additional patient charge </w:t>
      </w:r>
      <w:r w:rsidR="006A719F">
        <w:t>and include</w:t>
      </w:r>
      <w:r>
        <w:t>s</w:t>
      </w:r>
      <w:r w:rsidR="006A719F">
        <w:t xml:space="preserve"> this charge in the manner for calculating the price of pharmaceutical benefits. The Regulations, together with the </w:t>
      </w:r>
      <w:r>
        <w:t xml:space="preserve">subsection 84C(7) </w:t>
      </w:r>
      <w:r w:rsidR="006A719F">
        <w:t xml:space="preserve">determination, </w:t>
      </w:r>
      <w:r w:rsidR="006A719F" w:rsidRPr="00FF745B">
        <w:t xml:space="preserve">clarify the legislative basis for existing </w:t>
      </w:r>
      <w:r w:rsidR="006A719F" w:rsidRPr="00FF745B">
        <w:lastRenderedPageBreak/>
        <w:t xml:space="preserve">administrative practice for calculating the maximum patient charge for under co-payment pharmaceutical benefits and the amount </w:t>
      </w:r>
      <w:r>
        <w:t xml:space="preserve">which is the value for </w:t>
      </w:r>
      <w:r w:rsidR="006A719F" w:rsidRPr="00FF745B">
        <w:t>safety net</w:t>
      </w:r>
      <w:r>
        <w:t xml:space="preserve"> purposes</w:t>
      </w:r>
      <w:r w:rsidR="006A719F" w:rsidRPr="00FF745B">
        <w:t>.</w:t>
      </w:r>
    </w:p>
    <w:p w:rsidR="006A719F" w:rsidRDefault="006A719F" w:rsidP="00057120">
      <w:pPr>
        <w:widowControl w:val="0"/>
        <w:spacing w:after="180"/>
        <w:ind w:right="96"/>
      </w:pPr>
      <w:r>
        <w:t xml:space="preserve">Consultation regarding the safety net provisions has been undertaken previously with the </w:t>
      </w:r>
      <w:r w:rsidRPr="00FD62EC">
        <w:t>Pharmacy Guild of Australia</w:t>
      </w:r>
      <w:r>
        <w:t>,</w:t>
      </w:r>
      <w:r w:rsidRPr="00DD0402">
        <w:t xml:space="preserve"> Medicines Australia, the</w:t>
      </w:r>
      <w:r>
        <w:t> </w:t>
      </w:r>
      <w:r w:rsidRPr="00DD0402">
        <w:t>Generic and Biosimilar Medicines Association, the National Pharmaceutical Services Association, the</w:t>
      </w:r>
      <w:r>
        <w:t xml:space="preserve"> Medical Software Industry Association and the Consumers Health Forum of Australia. No specific consultation was undertaken in relation to the Regulations as it is a technical requirement for implementation.</w:t>
      </w:r>
    </w:p>
    <w:p w:rsidR="006A719F" w:rsidRDefault="006A719F" w:rsidP="00057120">
      <w:pPr>
        <w:shd w:val="clear" w:color="auto" w:fill="FFFFFF" w:themeFill="background1"/>
        <w:spacing w:before="0" w:after="180"/>
        <w:ind w:right="-45"/>
      </w:pPr>
      <w:r w:rsidRPr="00FF5479">
        <w:t xml:space="preserve">Details of the </w:t>
      </w:r>
      <w:r>
        <w:t>Regulations</w:t>
      </w:r>
      <w:r w:rsidRPr="00FF5479">
        <w:t xml:space="preserve"> are set out in the </w:t>
      </w:r>
      <w:r w:rsidRPr="00D07337">
        <w:rPr>
          <w:u w:val="single"/>
        </w:rPr>
        <w:t>Attachment</w:t>
      </w:r>
      <w:r w:rsidRPr="00FF5479">
        <w:t>.</w:t>
      </w:r>
      <w:r>
        <w:t xml:space="preserve"> </w:t>
      </w:r>
    </w:p>
    <w:p w:rsidR="006A719F" w:rsidRDefault="006A719F" w:rsidP="00057120">
      <w:pPr>
        <w:shd w:val="clear" w:color="auto" w:fill="FFFFFF" w:themeFill="background1"/>
        <w:spacing w:before="0" w:after="180"/>
        <w:ind w:right="-45"/>
      </w:pPr>
      <w:r>
        <w:t xml:space="preserve">The Act specifies no conditions that need to be satisfied before the power to make the Regulations </w:t>
      </w:r>
      <w:r w:rsidR="00022183">
        <w:t>is</w:t>
      </w:r>
      <w:r>
        <w:t xml:space="preserve"> exercised.</w:t>
      </w:r>
    </w:p>
    <w:p w:rsidR="006A719F" w:rsidRDefault="006A719F" w:rsidP="00057120">
      <w:pPr>
        <w:widowControl w:val="0"/>
        <w:spacing w:before="0" w:after="180"/>
        <w:ind w:right="96"/>
        <w:rPr>
          <w:i/>
        </w:rPr>
      </w:pPr>
      <w:r>
        <w:t xml:space="preserve">The Regulations </w:t>
      </w:r>
      <w:r w:rsidR="003266D3">
        <w:t xml:space="preserve">are </w:t>
      </w:r>
      <w:r>
        <w:t xml:space="preserve">a legislative instrument for the purposes of the </w:t>
      </w:r>
      <w:r w:rsidRPr="008449BB">
        <w:rPr>
          <w:i/>
        </w:rPr>
        <w:t>Legislati</w:t>
      </w:r>
      <w:r>
        <w:rPr>
          <w:i/>
        </w:rPr>
        <w:t>on Act</w:t>
      </w:r>
      <w:r w:rsidRPr="008449BB">
        <w:rPr>
          <w:i/>
        </w:rPr>
        <w:t> 2003.</w:t>
      </w:r>
    </w:p>
    <w:p w:rsidR="006A719F" w:rsidRPr="0054725A" w:rsidRDefault="006A719F" w:rsidP="00057120">
      <w:pPr>
        <w:widowControl w:val="0"/>
        <w:spacing w:before="0" w:after="180"/>
        <w:ind w:right="96"/>
      </w:pPr>
      <w:r w:rsidRPr="00CD108A">
        <w:t>The</w:t>
      </w:r>
      <w:r>
        <w:t xml:space="preserve"> </w:t>
      </w:r>
      <w:r w:rsidRPr="00CD108A">
        <w:t xml:space="preserve">Regulations </w:t>
      </w:r>
      <w:r w:rsidR="008B0D80">
        <w:t>commence on 1 June</w:t>
      </w:r>
      <w:r w:rsidRPr="00FF745B">
        <w:t xml:space="preserve"> 2018. The Sixth Community Pharmacy Agreement is referenced as being the version in force on this date, consistent with the requirements outlined in the </w:t>
      </w:r>
      <w:r w:rsidRPr="00FF745B">
        <w:rPr>
          <w:i/>
        </w:rPr>
        <w:t>Legislation Act 2003</w:t>
      </w:r>
      <w:r w:rsidRPr="00FF745B">
        <w:t xml:space="preserve">. </w:t>
      </w:r>
      <w:r w:rsidR="00057120">
        <w:t>Nominating a</w:t>
      </w:r>
      <w:r w:rsidRPr="00FF745B">
        <w:t xml:space="preserve"> specific commencement date enable</w:t>
      </w:r>
      <w:r w:rsidR="00057120">
        <w:t>s</w:t>
      </w:r>
      <w:r w:rsidRPr="00FF745B">
        <w:t xml:space="preserve"> </w:t>
      </w:r>
      <w:r w:rsidR="00057120">
        <w:t xml:space="preserve">the Regulations and the </w:t>
      </w:r>
      <w:r w:rsidRPr="00FF745B">
        <w:t>determination made under section </w:t>
      </w:r>
      <w:proofErr w:type="gramStart"/>
      <w:r w:rsidRPr="00FF745B">
        <w:t>84C(</w:t>
      </w:r>
      <w:proofErr w:type="gramEnd"/>
      <w:r w:rsidRPr="00FF745B">
        <w:t>7) of the Act to have effect from the same day.</w:t>
      </w:r>
    </w:p>
    <w:p w:rsidR="006A719F" w:rsidRDefault="006A719F" w:rsidP="009F02B8">
      <w:pPr>
        <w:widowControl w:val="0"/>
        <w:spacing w:after="240"/>
        <w:ind w:right="-187"/>
      </w:pPr>
    </w:p>
    <w:p w:rsidR="00963FBD" w:rsidRDefault="00963FBD" w:rsidP="006A719F">
      <w:pPr>
        <w:tabs>
          <w:tab w:val="left" w:pos="5387"/>
        </w:tabs>
        <w:spacing w:before="0"/>
        <w:ind w:left="6521" w:right="-136" w:hanging="1134"/>
        <w:rPr>
          <w:i/>
        </w:rPr>
      </w:pPr>
      <w:r w:rsidRPr="009F7D70">
        <w:rPr>
          <w:u w:val="single"/>
        </w:rPr>
        <w:t>Authority</w:t>
      </w:r>
      <w:r w:rsidRPr="009F7D70">
        <w:t>:</w:t>
      </w:r>
      <w:r w:rsidR="006A719F">
        <w:tab/>
        <w:t xml:space="preserve"> S</w:t>
      </w:r>
      <w:r w:rsidR="004C7D17" w:rsidRPr="009F7D70">
        <w:t xml:space="preserve">ection 140 </w:t>
      </w:r>
      <w:r w:rsidRPr="009F7D70">
        <w:t xml:space="preserve">of the </w:t>
      </w:r>
      <w:r w:rsidRPr="009F7D70">
        <w:rPr>
          <w:i/>
        </w:rPr>
        <w:t>National Health</w:t>
      </w:r>
      <w:r w:rsidR="0039738E" w:rsidRPr="009F7D70">
        <w:rPr>
          <w:i/>
        </w:rPr>
        <w:t> </w:t>
      </w:r>
      <w:r w:rsidRPr="009F7D70">
        <w:rPr>
          <w:i/>
        </w:rPr>
        <w:t>Act</w:t>
      </w:r>
      <w:r w:rsidR="0039738E" w:rsidRPr="009F7D70">
        <w:rPr>
          <w:i/>
        </w:rPr>
        <w:t> </w:t>
      </w:r>
      <w:r w:rsidRPr="009F7D70">
        <w:rPr>
          <w:i/>
        </w:rPr>
        <w:t>1953</w:t>
      </w:r>
    </w:p>
    <w:p w:rsidR="00BE4281" w:rsidRDefault="00BE4281">
      <w:pPr>
        <w:spacing w:before="0"/>
        <w:rPr>
          <w:b/>
          <w:bCs/>
          <w:u w:val="single"/>
        </w:rPr>
        <w:sectPr w:rsidR="00BE4281" w:rsidSect="004F2EAB">
          <w:headerReference w:type="default" r:id="rId9"/>
          <w:footerReference w:type="default" r:id="rId10"/>
          <w:pgSz w:w="11907" w:h="16840" w:code="9"/>
          <w:pgMar w:top="1244" w:right="1440" w:bottom="1135" w:left="1440" w:header="426" w:footer="306" w:gutter="0"/>
          <w:cols w:space="720"/>
          <w:titlePg/>
          <w:docGrid w:linePitch="254"/>
        </w:sectPr>
      </w:pPr>
    </w:p>
    <w:p w:rsidR="00797AB2" w:rsidRDefault="00797AB2" w:rsidP="00931D16">
      <w:pPr>
        <w:tabs>
          <w:tab w:val="left" w:pos="5103"/>
        </w:tabs>
        <w:spacing w:before="0"/>
        <w:ind w:right="91"/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ATTACHMENT</w:t>
      </w:r>
    </w:p>
    <w:p w:rsidR="00797AB2" w:rsidRDefault="005675BF" w:rsidP="00D53897">
      <w:pPr>
        <w:ind w:right="45"/>
      </w:pPr>
      <w:r w:rsidRPr="005675BF">
        <w:rPr>
          <w:b/>
          <w:bCs/>
          <w:u w:val="single"/>
        </w:rPr>
        <w:t xml:space="preserve">National Health (Pharmaceutical Benefits) Amendment </w:t>
      </w:r>
      <w:r w:rsidR="00015705">
        <w:rPr>
          <w:b/>
          <w:bCs/>
          <w:u w:val="single"/>
        </w:rPr>
        <w:t>(</w:t>
      </w:r>
      <w:r w:rsidR="00CD108A">
        <w:rPr>
          <w:b/>
          <w:bCs/>
          <w:u w:val="single"/>
        </w:rPr>
        <w:t>Safety Net</w:t>
      </w:r>
      <w:r w:rsidR="00015705">
        <w:rPr>
          <w:b/>
          <w:bCs/>
          <w:u w:val="single"/>
        </w:rPr>
        <w:t xml:space="preserve">) </w:t>
      </w:r>
      <w:r w:rsidRPr="005675BF">
        <w:rPr>
          <w:b/>
          <w:bCs/>
          <w:u w:val="single"/>
        </w:rPr>
        <w:t>Regulation</w:t>
      </w:r>
      <w:r w:rsidR="006A7BA8">
        <w:rPr>
          <w:b/>
          <w:bCs/>
          <w:u w:val="single"/>
        </w:rPr>
        <w:t>s</w:t>
      </w:r>
      <w:r w:rsidRPr="005675BF">
        <w:rPr>
          <w:b/>
          <w:bCs/>
          <w:u w:val="single"/>
        </w:rPr>
        <w:t xml:space="preserve"> 2018</w:t>
      </w:r>
    </w:p>
    <w:p w:rsidR="00797AB2" w:rsidRPr="00BE4281" w:rsidRDefault="00F219DC" w:rsidP="00D319E6">
      <w:pPr>
        <w:spacing w:before="360"/>
        <w:rPr>
          <w:u w:val="single"/>
        </w:rPr>
      </w:pPr>
      <w:r w:rsidRPr="00BE4281">
        <w:rPr>
          <w:u w:val="single"/>
        </w:rPr>
        <w:t>1</w:t>
      </w:r>
      <w:r w:rsidR="00BE4281" w:rsidRPr="00BE4281">
        <w:rPr>
          <w:u w:val="single"/>
        </w:rPr>
        <w:t xml:space="preserve"> - </w:t>
      </w:r>
      <w:r w:rsidR="00797AB2" w:rsidRPr="00BE4281">
        <w:rPr>
          <w:u w:val="single"/>
        </w:rPr>
        <w:t>Name</w:t>
      </w:r>
    </w:p>
    <w:p w:rsidR="00797AB2" w:rsidRDefault="00797AB2" w:rsidP="00BE4281">
      <w:pPr>
        <w:spacing w:before="0"/>
      </w:pPr>
      <w:r>
        <w:t xml:space="preserve">This </w:t>
      </w:r>
      <w:r w:rsidR="00B458F3">
        <w:t>section</w:t>
      </w:r>
      <w:r w:rsidR="00744F1E">
        <w:t xml:space="preserve"> </w:t>
      </w:r>
      <w:r w:rsidR="00DF4F17">
        <w:t>provide</w:t>
      </w:r>
      <w:r w:rsidR="00171439">
        <w:t>s</w:t>
      </w:r>
      <w:r w:rsidR="00DF4F17">
        <w:t xml:space="preserve"> </w:t>
      </w:r>
      <w:r>
        <w:t xml:space="preserve">that the title of the </w:t>
      </w:r>
      <w:r w:rsidR="006A7BA8">
        <w:t>instrument</w:t>
      </w:r>
      <w:r>
        <w:t xml:space="preserve"> </w:t>
      </w:r>
      <w:r w:rsidR="00DF4F17">
        <w:t xml:space="preserve">is </w:t>
      </w:r>
      <w:r w:rsidR="001465BB">
        <w:rPr>
          <w:i/>
        </w:rPr>
        <w:t>National Health (Pharmaceutical Benefits) Amendment (</w:t>
      </w:r>
      <w:r w:rsidR="00CD108A">
        <w:rPr>
          <w:i/>
        </w:rPr>
        <w:t>Safety Net</w:t>
      </w:r>
      <w:r w:rsidR="00015705">
        <w:rPr>
          <w:i/>
        </w:rPr>
        <w:t>) Regulations 2018</w:t>
      </w:r>
      <w:r w:rsidR="001465BB">
        <w:t>.</w:t>
      </w:r>
    </w:p>
    <w:p w:rsidR="00797AB2" w:rsidRPr="00BE4281" w:rsidRDefault="00F219DC" w:rsidP="00797AB2">
      <w:pPr>
        <w:rPr>
          <w:u w:val="single"/>
        </w:rPr>
      </w:pPr>
      <w:r w:rsidRPr="00BE4281">
        <w:rPr>
          <w:u w:val="single"/>
        </w:rPr>
        <w:t>2</w:t>
      </w:r>
      <w:r w:rsidR="00BE4281" w:rsidRPr="00BE4281">
        <w:rPr>
          <w:u w:val="single"/>
        </w:rPr>
        <w:t xml:space="preserve"> - </w:t>
      </w:r>
      <w:r w:rsidR="00797AB2" w:rsidRPr="00BE4281">
        <w:rPr>
          <w:u w:val="single"/>
        </w:rPr>
        <w:t>Commencement</w:t>
      </w:r>
    </w:p>
    <w:p w:rsidR="00797AB2" w:rsidRDefault="00797AB2" w:rsidP="00BE4281">
      <w:pPr>
        <w:spacing w:before="0"/>
      </w:pPr>
      <w:r w:rsidRPr="00CD108A">
        <w:t xml:space="preserve">This </w:t>
      </w:r>
      <w:r w:rsidR="00B458F3" w:rsidRPr="00CD108A">
        <w:t>section</w:t>
      </w:r>
      <w:r w:rsidR="00885917" w:rsidRPr="00CD108A">
        <w:t xml:space="preserve"> </w:t>
      </w:r>
      <w:r w:rsidR="00DF4F17" w:rsidRPr="00CD108A">
        <w:t>provide</w:t>
      </w:r>
      <w:r w:rsidR="00171439" w:rsidRPr="00CD108A">
        <w:t>s</w:t>
      </w:r>
      <w:r w:rsidR="00DF4F17" w:rsidRPr="00CD108A">
        <w:t xml:space="preserve"> </w:t>
      </w:r>
      <w:r w:rsidR="00F73DD4" w:rsidRPr="00CD108A">
        <w:t xml:space="preserve">that </w:t>
      </w:r>
      <w:r w:rsidR="00CD108A" w:rsidRPr="00CD108A">
        <w:t>t</w:t>
      </w:r>
      <w:r w:rsidR="008B0D80">
        <w:t>he instrument commences on 1 June</w:t>
      </w:r>
      <w:r w:rsidR="00CD108A" w:rsidRPr="00CD108A">
        <w:t xml:space="preserve"> 2018.</w:t>
      </w:r>
    </w:p>
    <w:p w:rsidR="00797AB2" w:rsidRPr="00BE4281" w:rsidRDefault="00F219DC" w:rsidP="00797AB2">
      <w:pPr>
        <w:rPr>
          <w:u w:val="single"/>
        </w:rPr>
      </w:pPr>
      <w:r w:rsidRPr="00BE4281">
        <w:rPr>
          <w:u w:val="single"/>
        </w:rPr>
        <w:t>3</w:t>
      </w:r>
      <w:r w:rsidR="00BE4281" w:rsidRPr="00BE4281">
        <w:rPr>
          <w:u w:val="single"/>
        </w:rPr>
        <w:t xml:space="preserve"> - </w:t>
      </w:r>
      <w:r w:rsidR="00B36108" w:rsidRPr="00BE4281">
        <w:rPr>
          <w:u w:val="single"/>
        </w:rPr>
        <w:t>Authority</w:t>
      </w:r>
    </w:p>
    <w:p w:rsidR="00797AB2" w:rsidRDefault="00797AB2" w:rsidP="00171439">
      <w:pPr>
        <w:spacing w:before="0"/>
        <w:ind w:right="-187"/>
      </w:pPr>
      <w:r>
        <w:t>This</w:t>
      </w:r>
      <w:r w:rsidR="00885917">
        <w:t xml:space="preserve"> s</w:t>
      </w:r>
      <w:r w:rsidR="00B458F3">
        <w:t>ection</w:t>
      </w:r>
      <w:r w:rsidR="00744F1E">
        <w:t xml:space="preserve"> </w:t>
      </w:r>
      <w:r w:rsidR="00F219DC">
        <w:t>provide</w:t>
      </w:r>
      <w:r w:rsidR="00171439">
        <w:t>s</w:t>
      </w:r>
      <w:r>
        <w:t xml:space="preserve"> </w:t>
      </w:r>
      <w:r w:rsidR="00B36108">
        <w:t xml:space="preserve">that </w:t>
      </w:r>
      <w:r>
        <w:t xml:space="preserve">the </w:t>
      </w:r>
      <w:r w:rsidR="000C74B3">
        <w:t xml:space="preserve">instrument </w:t>
      </w:r>
      <w:r w:rsidR="00B36108">
        <w:t xml:space="preserve">is made under the </w:t>
      </w:r>
      <w:r w:rsidR="00B36108" w:rsidRPr="00B36108">
        <w:rPr>
          <w:i/>
        </w:rPr>
        <w:t>National Health Act</w:t>
      </w:r>
      <w:r w:rsidR="001A6D7F">
        <w:rPr>
          <w:i/>
        </w:rPr>
        <w:t> </w:t>
      </w:r>
      <w:r w:rsidR="00B36108" w:rsidRPr="00B36108">
        <w:rPr>
          <w:i/>
        </w:rPr>
        <w:t>1953</w:t>
      </w:r>
      <w:r w:rsidR="00344A2C">
        <w:rPr>
          <w:i/>
        </w:rPr>
        <w:t xml:space="preserve"> </w:t>
      </w:r>
      <w:r w:rsidR="00344A2C" w:rsidRPr="00344A2C">
        <w:t>(the Act)</w:t>
      </w:r>
      <w:r>
        <w:t>.</w:t>
      </w:r>
    </w:p>
    <w:p w:rsidR="00C40D0D" w:rsidRPr="00695FEA" w:rsidRDefault="00F219DC" w:rsidP="00797AB2">
      <w:pPr>
        <w:rPr>
          <w:u w:val="single"/>
        </w:rPr>
      </w:pPr>
      <w:r w:rsidRPr="00695FEA">
        <w:rPr>
          <w:u w:val="single"/>
        </w:rPr>
        <w:t>4</w:t>
      </w:r>
      <w:r w:rsidR="00BE4281" w:rsidRPr="00695FEA">
        <w:rPr>
          <w:u w:val="single"/>
        </w:rPr>
        <w:t xml:space="preserve"> - </w:t>
      </w:r>
      <w:r w:rsidR="00C40D0D" w:rsidRPr="00695FEA">
        <w:rPr>
          <w:u w:val="single"/>
        </w:rPr>
        <w:t>Schedule</w:t>
      </w:r>
      <w:r w:rsidR="00290E70" w:rsidRPr="00695FEA">
        <w:rPr>
          <w:u w:val="single"/>
        </w:rPr>
        <w:t>s</w:t>
      </w:r>
    </w:p>
    <w:p w:rsidR="00C40D0D" w:rsidRPr="006B69A0" w:rsidRDefault="00696EFA" w:rsidP="00BE4281">
      <w:pPr>
        <w:spacing w:before="0"/>
        <w:ind w:right="-187"/>
      </w:pPr>
      <w:r>
        <w:t>This</w:t>
      </w:r>
      <w:r w:rsidR="00A73561">
        <w:t xml:space="preserve"> </w:t>
      </w:r>
      <w:r w:rsidR="00F822D6">
        <w:t xml:space="preserve">section </w:t>
      </w:r>
      <w:r w:rsidR="00A73561">
        <w:t>provide</w:t>
      </w:r>
      <w:r w:rsidR="00171439">
        <w:t>s</w:t>
      </w:r>
      <w:r w:rsidR="00A73561">
        <w:t xml:space="preserve"> that e</w:t>
      </w:r>
      <w:r w:rsidR="00C40D0D">
        <w:t xml:space="preserve">ach instrument that is specified in </w:t>
      </w:r>
      <w:r w:rsidR="004B0CDA">
        <w:t xml:space="preserve">a </w:t>
      </w:r>
      <w:r>
        <w:t>s</w:t>
      </w:r>
      <w:r w:rsidR="00C40D0D">
        <w:t>chedule to this instrument is am</w:t>
      </w:r>
      <w:r w:rsidR="000A1BE0">
        <w:t>ended or rep</w:t>
      </w:r>
      <w:r w:rsidR="00C40D0D">
        <w:t xml:space="preserve">ealed as set out in </w:t>
      </w:r>
      <w:r w:rsidR="000A1BE0">
        <w:t xml:space="preserve">the </w:t>
      </w:r>
      <w:r w:rsidR="00C40D0D">
        <w:t xml:space="preserve">applicable items in </w:t>
      </w:r>
      <w:r w:rsidR="004B0CDA">
        <w:t>the</w:t>
      </w:r>
      <w:r>
        <w:t xml:space="preserve"> s</w:t>
      </w:r>
      <w:r w:rsidR="00C40D0D">
        <w:t xml:space="preserve">chedule </w:t>
      </w:r>
      <w:r w:rsidR="004B0CDA">
        <w:t xml:space="preserve">concerned, </w:t>
      </w:r>
      <w:r w:rsidR="00C40D0D">
        <w:t xml:space="preserve">and any other item in </w:t>
      </w:r>
      <w:r w:rsidR="000A1BE0">
        <w:t>a</w:t>
      </w:r>
      <w:r>
        <w:t xml:space="preserve"> s</w:t>
      </w:r>
      <w:r w:rsidR="00C40D0D">
        <w:t xml:space="preserve">chedule </w:t>
      </w:r>
      <w:r w:rsidR="000A1BE0">
        <w:t xml:space="preserve">to this instrument </w:t>
      </w:r>
      <w:r w:rsidR="00C40D0D">
        <w:t>has effect according to its terms.</w:t>
      </w:r>
    </w:p>
    <w:p w:rsidR="00015705" w:rsidRDefault="00015705" w:rsidP="00E80CB5">
      <w:pPr>
        <w:spacing w:after="120"/>
        <w:rPr>
          <w:b/>
        </w:rPr>
      </w:pPr>
      <w:r>
        <w:rPr>
          <w:b/>
        </w:rPr>
        <w:t>Schedule 1 – Amendments</w:t>
      </w:r>
    </w:p>
    <w:p w:rsidR="0015528E" w:rsidRDefault="00F219DC" w:rsidP="00E80CB5">
      <w:pPr>
        <w:pStyle w:val="Headingbold0"/>
        <w:spacing w:before="0" w:after="120"/>
        <w:rPr>
          <w:i/>
        </w:rPr>
      </w:pPr>
      <w:r w:rsidRPr="006106A0">
        <w:rPr>
          <w:i/>
        </w:rPr>
        <w:t xml:space="preserve">National Health (Pharmaceutical Benefits) Regulations </w:t>
      </w:r>
      <w:r w:rsidR="00CA5BA7" w:rsidRPr="006106A0">
        <w:rPr>
          <w:i/>
        </w:rPr>
        <w:t>2017</w:t>
      </w:r>
    </w:p>
    <w:p w:rsidR="0059669E" w:rsidRPr="00F219DC" w:rsidRDefault="001B3774" w:rsidP="00B63A16">
      <w:pPr>
        <w:pStyle w:val="Headingbold0"/>
        <w:tabs>
          <w:tab w:val="left" w:pos="1134"/>
        </w:tabs>
        <w:spacing w:before="0"/>
      </w:pPr>
      <w:r w:rsidRPr="00F219DC">
        <w:t>Item</w:t>
      </w:r>
      <w:r w:rsidR="00E53DC4">
        <w:t>s</w:t>
      </w:r>
      <w:r w:rsidRPr="00F219DC">
        <w:t xml:space="preserve"> </w:t>
      </w:r>
      <w:r w:rsidR="004B2279">
        <w:t>[</w:t>
      </w:r>
      <w:r w:rsidRPr="00F219DC">
        <w:t>1</w:t>
      </w:r>
      <w:r w:rsidR="004B2279">
        <w:t>]</w:t>
      </w:r>
      <w:r w:rsidR="006C5FF1">
        <w:t xml:space="preserve">, </w:t>
      </w:r>
      <w:r w:rsidR="004B2279">
        <w:t>[</w:t>
      </w:r>
      <w:r w:rsidR="006C5FF1">
        <w:t>2</w:t>
      </w:r>
      <w:r w:rsidR="004B2279">
        <w:t>]</w:t>
      </w:r>
      <w:r w:rsidR="006C5FF1">
        <w:t xml:space="preserve"> and</w:t>
      </w:r>
      <w:r w:rsidR="004B2279">
        <w:t xml:space="preserve"> [</w:t>
      </w:r>
      <w:r w:rsidR="006C5FF1">
        <w:t>3</w:t>
      </w:r>
      <w:r w:rsidR="004B2279">
        <w:t>]</w:t>
      </w:r>
      <w:r w:rsidR="00CA5BA7">
        <w:t xml:space="preserve"> </w:t>
      </w:r>
      <w:r w:rsidR="00CE6E00">
        <w:t xml:space="preserve">– </w:t>
      </w:r>
      <w:r w:rsidR="0050619A">
        <w:t>s</w:t>
      </w:r>
      <w:r w:rsidR="00CA5BA7">
        <w:t xml:space="preserve">ubsection </w:t>
      </w:r>
      <w:r w:rsidR="00CA5BA7" w:rsidRPr="00CA5BA7">
        <w:t xml:space="preserve">5(1) </w:t>
      </w:r>
    </w:p>
    <w:p w:rsidR="00456004" w:rsidRDefault="00456004" w:rsidP="00456004">
      <w:pPr>
        <w:pStyle w:val="Textbody0"/>
        <w:spacing w:after="120"/>
        <w:ind w:right="-45"/>
        <w:rPr>
          <w:bCs w:val="0"/>
        </w:rPr>
      </w:pPr>
      <w:r>
        <w:rPr>
          <w:bCs w:val="0"/>
        </w:rPr>
        <w:t>Item</w:t>
      </w:r>
      <w:r w:rsidR="003266D3">
        <w:rPr>
          <w:bCs w:val="0"/>
        </w:rPr>
        <w:t> </w:t>
      </w:r>
      <w:r>
        <w:rPr>
          <w:bCs w:val="0"/>
        </w:rPr>
        <w:t>1 inserts a new definition ‘</w:t>
      </w:r>
      <w:r w:rsidRPr="00EB62F0">
        <w:rPr>
          <w:bCs w:val="0"/>
          <w:i/>
        </w:rPr>
        <w:t>additional patient charge</w:t>
      </w:r>
      <w:r w:rsidR="00EC52A9">
        <w:rPr>
          <w:bCs w:val="0"/>
        </w:rPr>
        <w:t>’</w:t>
      </w:r>
      <w:r w:rsidR="006C5FF1">
        <w:rPr>
          <w:bCs w:val="0"/>
        </w:rPr>
        <w:t xml:space="preserve"> </w:t>
      </w:r>
      <w:r w:rsidR="003266D3">
        <w:rPr>
          <w:bCs w:val="0"/>
        </w:rPr>
        <w:t xml:space="preserve">to </w:t>
      </w:r>
      <w:r w:rsidR="0050619A">
        <w:rPr>
          <w:bCs w:val="0"/>
        </w:rPr>
        <w:t xml:space="preserve">mean </w:t>
      </w:r>
      <w:r w:rsidR="00EC52A9">
        <w:rPr>
          <w:bCs w:val="0"/>
        </w:rPr>
        <w:t xml:space="preserve">the further additional patient charge </w:t>
      </w:r>
      <w:r w:rsidR="0050619A">
        <w:rPr>
          <w:bCs w:val="0"/>
        </w:rPr>
        <w:t xml:space="preserve">referred to in </w:t>
      </w:r>
      <w:r w:rsidR="006C5FF1">
        <w:rPr>
          <w:bCs w:val="0"/>
        </w:rPr>
        <w:t>paragraphs</w:t>
      </w:r>
      <w:r w:rsidR="0050619A">
        <w:rPr>
          <w:bCs w:val="0"/>
        </w:rPr>
        <w:t xml:space="preserve"> 5.2.2(c) and</w:t>
      </w:r>
      <w:r w:rsidR="00EC52A9">
        <w:rPr>
          <w:bCs w:val="0"/>
        </w:rPr>
        <w:t xml:space="preserve"> 5.2.3(c) of the Sixth Community Pharmacy Agreement</w:t>
      </w:r>
      <w:r w:rsidR="006C5FF1">
        <w:rPr>
          <w:bCs w:val="0"/>
        </w:rPr>
        <w:t xml:space="preserve"> </w:t>
      </w:r>
      <w:r w:rsidR="0050619A">
        <w:rPr>
          <w:bCs w:val="0"/>
        </w:rPr>
        <w:t xml:space="preserve">as in force on </w:t>
      </w:r>
      <w:r w:rsidR="008B0D80">
        <w:rPr>
          <w:bCs w:val="0"/>
        </w:rPr>
        <w:t>1 June</w:t>
      </w:r>
      <w:r w:rsidR="006C5FF1">
        <w:rPr>
          <w:bCs w:val="0"/>
        </w:rPr>
        <w:t xml:space="preserve"> 2018. The clauses containing those paragraphs are as follows: </w:t>
      </w:r>
    </w:p>
    <w:p w:rsidR="00EC52A9" w:rsidRDefault="00EC52A9" w:rsidP="009F02B8">
      <w:pPr>
        <w:pStyle w:val="Textbody0"/>
        <w:spacing w:after="120"/>
        <w:ind w:left="851" w:right="-45" w:hanging="567"/>
        <w:rPr>
          <w:bCs w:val="0"/>
        </w:rPr>
      </w:pPr>
      <w:r w:rsidRPr="00EC52A9">
        <w:rPr>
          <w:bCs w:val="0"/>
        </w:rPr>
        <w:t xml:space="preserve">5.2.2 </w:t>
      </w:r>
      <w:proofErr w:type="gramStart"/>
      <w:r w:rsidRPr="00EC52A9">
        <w:rPr>
          <w:bCs w:val="0"/>
        </w:rPr>
        <w:t>For</w:t>
      </w:r>
      <w:proofErr w:type="gramEnd"/>
      <w:r w:rsidRPr="00EC52A9">
        <w:rPr>
          <w:bCs w:val="0"/>
        </w:rPr>
        <w:t xml:space="preserve"> Ready-Prepared Pharmaceutical Bene</w:t>
      </w:r>
      <w:r w:rsidR="006C5FF1">
        <w:rPr>
          <w:bCs w:val="0"/>
        </w:rPr>
        <w:t xml:space="preserve">fits that are priced below the maximum </w:t>
      </w:r>
      <w:r w:rsidR="006C5FF1">
        <w:rPr>
          <w:bCs w:val="0"/>
        </w:rPr>
        <w:br/>
        <w:t>co-p</w:t>
      </w:r>
      <w:r w:rsidRPr="00EC52A9">
        <w:rPr>
          <w:bCs w:val="0"/>
        </w:rPr>
        <w:t>ayment (other than Admixed Ready-Prepared Pharmaceutical Benefits), approved pharmacists can charge the sum of:</w:t>
      </w:r>
    </w:p>
    <w:p w:rsidR="006C5FF1" w:rsidRDefault="006C5FF1" w:rsidP="009F02B8">
      <w:pPr>
        <w:pStyle w:val="Textbody0"/>
        <w:spacing w:after="120"/>
        <w:ind w:left="1134" w:right="-45" w:hanging="283"/>
        <w:rPr>
          <w:bCs w:val="0"/>
        </w:rPr>
      </w:pPr>
      <w:r>
        <w:rPr>
          <w:bCs w:val="0"/>
        </w:rPr>
        <w:t xml:space="preserve">(a) </w:t>
      </w:r>
      <w:proofErr w:type="gramStart"/>
      <w:r>
        <w:rPr>
          <w:bCs w:val="0"/>
        </w:rPr>
        <w:t>the</w:t>
      </w:r>
      <w:proofErr w:type="gramEnd"/>
      <w:r>
        <w:rPr>
          <w:bCs w:val="0"/>
        </w:rPr>
        <w:t xml:space="preserve"> Commonwealth price;</w:t>
      </w:r>
    </w:p>
    <w:p w:rsidR="006C5FF1" w:rsidRDefault="006C5FF1" w:rsidP="009F02B8">
      <w:pPr>
        <w:pStyle w:val="Textbody0"/>
        <w:spacing w:after="120"/>
        <w:ind w:left="1134" w:right="-45" w:hanging="283"/>
        <w:rPr>
          <w:bCs w:val="0"/>
        </w:rPr>
      </w:pPr>
      <w:r>
        <w:rPr>
          <w:bCs w:val="0"/>
        </w:rPr>
        <w:t>(b) $1.17; and</w:t>
      </w:r>
    </w:p>
    <w:p w:rsidR="00EC52A9" w:rsidRDefault="00EC52A9" w:rsidP="009F02B8">
      <w:pPr>
        <w:pStyle w:val="Textbody0"/>
        <w:spacing w:after="120"/>
        <w:ind w:left="1134" w:right="-45" w:hanging="283"/>
        <w:rPr>
          <w:bCs w:val="0"/>
        </w:rPr>
      </w:pPr>
      <w:r w:rsidRPr="00EC52A9">
        <w:rPr>
          <w:bCs w:val="0"/>
        </w:rPr>
        <w:t xml:space="preserve">(c) </w:t>
      </w:r>
      <w:proofErr w:type="gramStart"/>
      <w:r w:rsidRPr="00EC52A9">
        <w:rPr>
          <w:bCs w:val="0"/>
        </w:rPr>
        <w:t>a</w:t>
      </w:r>
      <w:proofErr w:type="gramEnd"/>
      <w:r w:rsidRPr="00EC52A9">
        <w:rPr>
          <w:bCs w:val="0"/>
        </w:rPr>
        <w:t xml:space="preserve"> further additional patient </w:t>
      </w:r>
      <w:r w:rsidR="006C5FF1">
        <w:rPr>
          <w:bCs w:val="0"/>
        </w:rPr>
        <w:t>charge amounting to 10% of the m</w:t>
      </w:r>
      <w:r w:rsidRPr="00EC52A9">
        <w:rPr>
          <w:bCs w:val="0"/>
        </w:rPr>
        <w:t xml:space="preserve">aximum </w:t>
      </w:r>
      <w:r w:rsidR="006C5FF1">
        <w:rPr>
          <w:bCs w:val="0"/>
        </w:rPr>
        <w:br/>
        <w:t>co-p</w:t>
      </w:r>
      <w:r w:rsidRPr="00EC52A9">
        <w:rPr>
          <w:bCs w:val="0"/>
        </w:rPr>
        <w:t>ayment plus 50 cents,</w:t>
      </w:r>
    </w:p>
    <w:p w:rsidR="00EC52A9" w:rsidRDefault="00EC52A9" w:rsidP="009F02B8">
      <w:pPr>
        <w:pStyle w:val="Textbody0"/>
        <w:ind w:left="851" w:right="-45" w:hanging="567"/>
        <w:rPr>
          <w:bCs w:val="0"/>
        </w:rPr>
      </w:pPr>
      <w:proofErr w:type="gramStart"/>
      <w:r w:rsidRPr="00EC52A9">
        <w:rPr>
          <w:bCs w:val="0"/>
        </w:rPr>
        <w:t>provided</w:t>
      </w:r>
      <w:proofErr w:type="gramEnd"/>
      <w:r w:rsidRPr="00EC52A9">
        <w:rPr>
          <w:bCs w:val="0"/>
        </w:rPr>
        <w:t xml:space="preserve"> that </w:t>
      </w:r>
      <w:r w:rsidR="006C5FF1">
        <w:rPr>
          <w:bCs w:val="0"/>
        </w:rPr>
        <w:t>such a sum does not exceed the maximum co-p</w:t>
      </w:r>
      <w:r w:rsidRPr="00EC52A9">
        <w:rPr>
          <w:bCs w:val="0"/>
        </w:rPr>
        <w:t>ayment.</w:t>
      </w:r>
    </w:p>
    <w:p w:rsidR="00161990" w:rsidRDefault="00161990" w:rsidP="009F02B8">
      <w:pPr>
        <w:pStyle w:val="Textbody0"/>
        <w:spacing w:after="120"/>
        <w:ind w:left="851" w:right="-45" w:hanging="567"/>
        <w:rPr>
          <w:bCs w:val="0"/>
        </w:rPr>
      </w:pPr>
      <w:r w:rsidRPr="00161990">
        <w:rPr>
          <w:bCs w:val="0"/>
        </w:rPr>
        <w:t xml:space="preserve">5.2.3 For Extemporaneously-Prepared Pharmaceutical Benefits and Admixed Ready-Prepared Pharmaceutical Benefits that are priced below the </w:t>
      </w:r>
      <w:r w:rsidR="006C5FF1">
        <w:rPr>
          <w:bCs w:val="0"/>
        </w:rPr>
        <w:t>maximum co-p</w:t>
      </w:r>
      <w:r w:rsidRPr="00161990">
        <w:rPr>
          <w:bCs w:val="0"/>
        </w:rPr>
        <w:t>ayment, approved pharmacists can charge the sum of:</w:t>
      </w:r>
    </w:p>
    <w:p w:rsidR="006C5FF1" w:rsidRDefault="006C5FF1" w:rsidP="009F02B8">
      <w:pPr>
        <w:pStyle w:val="Textbody0"/>
        <w:spacing w:after="120"/>
        <w:ind w:left="1276" w:right="-45" w:hanging="425"/>
        <w:rPr>
          <w:bCs w:val="0"/>
        </w:rPr>
      </w:pPr>
      <w:r>
        <w:rPr>
          <w:bCs w:val="0"/>
        </w:rPr>
        <w:t xml:space="preserve">(a) </w:t>
      </w:r>
      <w:proofErr w:type="gramStart"/>
      <w:r>
        <w:rPr>
          <w:bCs w:val="0"/>
        </w:rPr>
        <w:t>the</w:t>
      </w:r>
      <w:proofErr w:type="gramEnd"/>
      <w:r>
        <w:rPr>
          <w:bCs w:val="0"/>
        </w:rPr>
        <w:t xml:space="preserve"> Commonwealth price;</w:t>
      </w:r>
    </w:p>
    <w:p w:rsidR="006C5FF1" w:rsidRDefault="006C5FF1" w:rsidP="009F02B8">
      <w:pPr>
        <w:pStyle w:val="Textbody0"/>
        <w:spacing w:after="120"/>
        <w:ind w:left="1276" w:right="-45" w:hanging="425"/>
        <w:rPr>
          <w:bCs w:val="0"/>
        </w:rPr>
      </w:pPr>
      <w:r>
        <w:rPr>
          <w:bCs w:val="0"/>
        </w:rPr>
        <w:t xml:space="preserve">(b) $1.53; and </w:t>
      </w:r>
    </w:p>
    <w:p w:rsidR="00161990" w:rsidRDefault="00161990" w:rsidP="009F02B8">
      <w:pPr>
        <w:pStyle w:val="Textbody0"/>
        <w:spacing w:after="120"/>
        <w:ind w:left="1276" w:right="-45" w:hanging="425"/>
        <w:rPr>
          <w:bCs w:val="0"/>
        </w:rPr>
      </w:pPr>
      <w:r w:rsidRPr="00161990">
        <w:rPr>
          <w:bCs w:val="0"/>
        </w:rPr>
        <w:t xml:space="preserve">(c) </w:t>
      </w:r>
      <w:proofErr w:type="gramStart"/>
      <w:r w:rsidRPr="00161990">
        <w:rPr>
          <w:bCs w:val="0"/>
        </w:rPr>
        <w:t>a</w:t>
      </w:r>
      <w:proofErr w:type="gramEnd"/>
      <w:r w:rsidRPr="00161990">
        <w:rPr>
          <w:bCs w:val="0"/>
        </w:rPr>
        <w:t xml:space="preserve"> further additional patient </w:t>
      </w:r>
      <w:r w:rsidR="006C5FF1">
        <w:rPr>
          <w:bCs w:val="0"/>
        </w:rPr>
        <w:t>charge amounting to 10% of the maximum co-p</w:t>
      </w:r>
      <w:r w:rsidRPr="00161990">
        <w:rPr>
          <w:bCs w:val="0"/>
        </w:rPr>
        <w:t>ayment plus 50 cents,</w:t>
      </w:r>
    </w:p>
    <w:p w:rsidR="00161990" w:rsidRDefault="00161990" w:rsidP="009F02B8">
      <w:pPr>
        <w:pStyle w:val="Textbody0"/>
        <w:ind w:left="851" w:right="-45" w:hanging="567"/>
        <w:rPr>
          <w:bCs w:val="0"/>
        </w:rPr>
      </w:pPr>
      <w:proofErr w:type="gramStart"/>
      <w:r w:rsidRPr="00161990">
        <w:rPr>
          <w:bCs w:val="0"/>
        </w:rPr>
        <w:t>provided</w:t>
      </w:r>
      <w:proofErr w:type="gramEnd"/>
      <w:r w:rsidRPr="00161990">
        <w:rPr>
          <w:bCs w:val="0"/>
        </w:rPr>
        <w:t xml:space="preserve"> that such a sum does not exceed the </w:t>
      </w:r>
      <w:r w:rsidR="009F02B8">
        <w:rPr>
          <w:bCs w:val="0"/>
        </w:rPr>
        <w:t>maximum co-p</w:t>
      </w:r>
      <w:r w:rsidRPr="00161990">
        <w:rPr>
          <w:bCs w:val="0"/>
        </w:rPr>
        <w:t>ayment.</w:t>
      </w:r>
    </w:p>
    <w:p w:rsidR="00CA5BA7" w:rsidRDefault="00CA5BA7" w:rsidP="00CA5BA7">
      <w:pPr>
        <w:pStyle w:val="Textbody0"/>
        <w:ind w:right="-45"/>
        <w:rPr>
          <w:bCs w:val="0"/>
        </w:rPr>
      </w:pPr>
      <w:r>
        <w:rPr>
          <w:bCs w:val="0"/>
        </w:rPr>
        <w:t>Item</w:t>
      </w:r>
      <w:r w:rsidR="00456004">
        <w:rPr>
          <w:bCs w:val="0"/>
        </w:rPr>
        <w:t> 2</w:t>
      </w:r>
      <w:r w:rsidR="00B63A16" w:rsidRPr="00B63A16">
        <w:rPr>
          <w:bCs w:val="0"/>
        </w:rPr>
        <w:t xml:space="preserve"> </w:t>
      </w:r>
      <w:r>
        <w:rPr>
          <w:bCs w:val="0"/>
        </w:rPr>
        <w:t>repeals the definition for ‘</w:t>
      </w:r>
      <w:r w:rsidRPr="00CA5BA7">
        <w:rPr>
          <w:bCs w:val="0"/>
          <w:i/>
        </w:rPr>
        <w:t>maximum value for safety net</w:t>
      </w:r>
      <w:r w:rsidR="00161990">
        <w:rPr>
          <w:bCs w:val="0"/>
          <w:i/>
        </w:rPr>
        <w:t xml:space="preserve"> purposes</w:t>
      </w:r>
      <w:r>
        <w:rPr>
          <w:bCs w:val="0"/>
        </w:rPr>
        <w:t xml:space="preserve">’ from </w:t>
      </w:r>
      <w:r w:rsidR="00161990">
        <w:rPr>
          <w:bCs w:val="0"/>
        </w:rPr>
        <w:br/>
      </w:r>
      <w:r>
        <w:rPr>
          <w:bCs w:val="0"/>
        </w:rPr>
        <w:t>subsection 5(1)</w:t>
      </w:r>
      <w:r w:rsidR="009F02B8">
        <w:rPr>
          <w:bCs w:val="0"/>
        </w:rPr>
        <w:t xml:space="preserve"> as it </w:t>
      </w:r>
      <w:r w:rsidR="003266D3">
        <w:rPr>
          <w:bCs w:val="0"/>
        </w:rPr>
        <w:t>is</w:t>
      </w:r>
      <w:r w:rsidR="0050619A">
        <w:rPr>
          <w:bCs w:val="0"/>
        </w:rPr>
        <w:t xml:space="preserve"> no longer </w:t>
      </w:r>
      <w:proofErr w:type="gramStart"/>
      <w:r w:rsidR="009F02B8">
        <w:rPr>
          <w:bCs w:val="0"/>
        </w:rPr>
        <w:t>be</w:t>
      </w:r>
      <w:proofErr w:type="gramEnd"/>
      <w:r w:rsidR="009F02B8">
        <w:rPr>
          <w:bCs w:val="0"/>
        </w:rPr>
        <w:t xml:space="preserve"> </w:t>
      </w:r>
      <w:r w:rsidR="0050619A">
        <w:rPr>
          <w:bCs w:val="0"/>
        </w:rPr>
        <w:t>required.</w:t>
      </w:r>
    </w:p>
    <w:p w:rsidR="006C5FF1" w:rsidRPr="006C5FF1" w:rsidRDefault="006C5FF1" w:rsidP="00CA5BA7">
      <w:pPr>
        <w:pStyle w:val="Textbody0"/>
        <w:ind w:right="-45"/>
      </w:pPr>
      <w:r>
        <w:rPr>
          <w:bCs w:val="0"/>
        </w:rPr>
        <w:lastRenderedPageBreak/>
        <w:t>Item</w:t>
      </w:r>
      <w:r w:rsidR="003266D3">
        <w:rPr>
          <w:bCs w:val="0"/>
        </w:rPr>
        <w:t> </w:t>
      </w:r>
      <w:r>
        <w:rPr>
          <w:bCs w:val="0"/>
        </w:rPr>
        <w:t xml:space="preserve">3 inserts a new definition for </w:t>
      </w:r>
      <w:r>
        <w:rPr>
          <w:bCs w:val="0"/>
          <w:i/>
        </w:rPr>
        <w:t>value for safety net purposes</w:t>
      </w:r>
      <w:r>
        <w:t xml:space="preserve"> </w:t>
      </w:r>
      <w:r w:rsidR="003266D3">
        <w:t xml:space="preserve">to </w:t>
      </w:r>
      <w:r>
        <w:t>have the same meaning as in Part</w:t>
      </w:r>
      <w:r w:rsidR="003266D3">
        <w:t> </w:t>
      </w:r>
      <w:r>
        <w:t>VII of the Act.</w:t>
      </w:r>
    </w:p>
    <w:p w:rsidR="0069541E" w:rsidRPr="00E80CB5" w:rsidRDefault="0069541E" w:rsidP="003B796D">
      <w:pPr>
        <w:pStyle w:val="Headingbold0"/>
        <w:tabs>
          <w:tab w:val="left" w:pos="1134"/>
        </w:tabs>
        <w:spacing w:before="0"/>
      </w:pPr>
      <w:r>
        <w:t>Item</w:t>
      </w:r>
      <w:r w:rsidR="00082CF1">
        <w:t> </w:t>
      </w:r>
      <w:r w:rsidR="004B2279">
        <w:t>[</w:t>
      </w:r>
      <w:r w:rsidR="00161990">
        <w:t>4</w:t>
      </w:r>
      <w:r w:rsidR="004B2279">
        <w:t>]</w:t>
      </w:r>
      <w:r w:rsidR="000231E1">
        <w:t xml:space="preserve"> – </w:t>
      </w:r>
      <w:r w:rsidR="003F2D16">
        <w:t>s</w:t>
      </w:r>
      <w:r w:rsidR="00B221C4">
        <w:t>ection 6</w:t>
      </w:r>
    </w:p>
    <w:p w:rsidR="00BD227A" w:rsidRDefault="00161990" w:rsidP="0038280E">
      <w:pPr>
        <w:pStyle w:val="Textbody0"/>
        <w:ind w:right="-471"/>
        <w:rPr>
          <w:bCs w:val="0"/>
        </w:rPr>
      </w:pPr>
      <w:r>
        <w:rPr>
          <w:bCs w:val="0"/>
        </w:rPr>
        <w:t>Item 4</w:t>
      </w:r>
      <w:r w:rsidR="00A905D0">
        <w:rPr>
          <w:bCs w:val="0"/>
        </w:rPr>
        <w:t xml:space="preserve"> </w:t>
      </w:r>
      <w:r w:rsidR="00B221C4">
        <w:rPr>
          <w:bCs w:val="0"/>
        </w:rPr>
        <w:t xml:space="preserve">repeals </w:t>
      </w:r>
      <w:r w:rsidR="00347B27">
        <w:rPr>
          <w:bCs w:val="0"/>
        </w:rPr>
        <w:t>section</w:t>
      </w:r>
      <w:r w:rsidR="00022183">
        <w:rPr>
          <w:bCs w:val="0"/>
        </w:rPr>
        <w:t> </w:t>
      </w:r>
      <w:r w:rsidR="00347B27">
        <w:rPr>
          <w:bCs w:val="0"/>
        </w:rPr>
        <w:t>6 of the</w:t>
      </w:r>
      <w:r w:rsidR="0050619A">
        <w:rPr>
          <w:bCs w:val="0"/>
        </w:rPr>
        <w:t xml:space="preserve"> Principal</w:t>
      </w:r>
      <w:r w:rsidR="00347B27">
        <w:rPr>
          <w:bCs w:val="0"/>
        </w:rPr>
        <w:t xml:space="preserve"> </w:t>
      </w:r>
      <w:r w:rsidR="00432746">
        <w:rPr>
          <w:bCs w:val="0"/>
        </w:rPr>
        <w:t>Regulations</w:t>
      </w:r>
      <w:r w:rsidR="00347B27">
        <w:rPr>
          <w:bCs w:val="0"/>
        </w:rPr>
        <w:t xml:space="preserve"> which </w:t>
      </w:r>
      <w:r w:rsidR="0050619A">
        <w:rPr>
          <w:bCs w:val="0"/>
        </w:rPr>
        <w:t>sets out</w:t>
      </w:r>
      <w:r w:rsidR="00044B67" w:rsidRPr="00044B67">
        <w:rPr>
          <w:bCs w:val="0"/>
        </w:rPr>
        <w:t xml:space="preserve"> the </w:t>
      </w:r>
      <w:r w:rsidR="0092175A">
        <w:rPr>
          <w:bCs w:val="0"/>
        </w:rPr>
        <w:t>‘</w:t>
      </w:r>
      <w:r w:rsidR="00044B67" w:rsidRPr="0092175A">
        <w:rPr>
          <w:bCs w:val="0"/>
          <w:i/>
        </w:rPr>
        <w:t>maximum value for safety net purposes</w:t>
      </w:r>
      <w:r w:rsidR="0092175A">
        <w:rPr>
          <w:bCs w:val="0"/>
          <w:i/>
        </w:rPr>
        <w:t>’</w:t>
      </w:r>
      <w:r w:rsidR="006C5FF1">
        <w:rPr>
          <w:bCs w:val="0"/>
          <w:i/>
        </w:rPr>
        <w:t xml:space="preserve">, </w:t>
      </w:r>
      <w:r w:rsidR="006C5FF1">
        <w:rPr>
          <w:bCs w:val="0"/>
        </w:rPr>
        <w:t>that is,</w:t>
      </w:r>
      <w:r w:rsidR="00044B67" w:rsidRPr="00044B67">
        <w:rPr>
          <w:bCs w:val="0"/>
        </w:rPr>
        <w:t xml:space="preserve"> </w:t>
      </w:r>
      <w:r w:rsidR="0050619A">
        <w:rPr>
          <w:bCs w:val="0"/>
        </w:rPr>
        <w:t>for the purposes of</w:t>
      </w:r>
      <w:r w:rsidR="00044B67" w:rsidRPr="00044B67">
        <w:rPr>
          <w:bCs w:val="0"/>
        </w:rPr>
        <w:t xml:space="preserve"> recording the safety net value on a prescription record form.</w:t>
      </w:r>
      <w:r w:rsidR="000231E1">
        <w:rPr>
          <w:bCs w:val="0"/>
        </w:rPr>
        <w:t xml:space="preserve"> </w:t>
      </w:r>
      <w:r w:rsidR="009F02B8">
        <w:rPr>
          <w:bCs w:val="0"/>
        </w:rPr>
        <w:t xml:space="preserve">The section </w:t>
      </w:r>
      <w:r w:rsidR="003266D3">
        <w:rPr>
          <w:bCs w:val="0"/>
        </w:rPr>
        <w:t>is</w:t>
      </w:r>
      <w:r w:rsidR="0050619A">
        <w:rPr>
          <w:bCs w:val="0"/>
        </w:rPr>
        <w:t xml:space="preserve"> no longer</w:t>
      </w:r>
      <w:r w:rsidR="009F02B8">
        <w:rPr>
          <w:bCs w:val="0"/>
        </w:rPr>
        <w:t xml:space="preserve"> be</w:t>
      </w:r>
      <w:r w:rsidR="0050619A">
        <w:rPr>
          <w:bCs w:val="0"/>
        </w:rPr>
        <w:t xml:space="preserve"> required as </w:t>
      </w:r>
      <w:r w:rsidR="000231E1" w:rsidRPr="0095001F">
        <w:rPr>
          <w:bCs w:val="0"/>
        </w:rPr>
        <w:t>the new provision under section 17A (</w:t>
      </w:r>
      <w:r w:rsidR="0095001F" w:rsidRPr="0095001F">
        <w:rPr>
          <w:bCs w:val="0"/>
        </w:rPr>
        <w:t>item 5</w:t>
      </w:r>
      <w:r w:rsidR="0050619A">
        <w:rPr>
          <w:bCs w:val="0"/>
        </w:rPr>
        <w:t xml:space="preserve"> refers</w:t>
      </w:r>
      <w:r w:rsidR="000231E1" w:rsidRPr="0095001F">
        <w:rPr>
          <w:bCs w:val="0"/>
        </w:rPr>
        <w:t xml:space="preserve">) </w:t>
      </w:r>
      <w:r w:rsidR="009F02B8">
        <w:rPr>
          <w:bCs w:val="0"/>
        </w:rPr>
        <w:t>provide</w:t>
      </w:r>
      <w:r w:rsidR="003266D3">
        <w:rPr>
          <w:bCs w:val="0"/>
        </w:rPr>
        <w:t>s</w:t>
      </w:r>
      <w:r w:rsidR="0050619A">
        <w:rPr>
          <w:bCs w:val="0"/>
        </w:rPr>
        <w:t xml:space="preserve"> </w:t>
      </w:r>
      <w:r w:rsidR="0092175A" w:rsidRPr="0095001F">
        <w:rPr>
          <w:bCs w:val="0"/>
        </w:rPr>
        <w:t xml:space="preserve">the </w:t>
      </w:r>
      <w:r w:rsidR="000231E1" w:rsidRPr="0095001F">
        <w:rPr>
          <w:bCs w:val="0"/>
        </w:rPr>
        <w:t>value for</w:t>
      </w:r>
      <w:r w:rsidR="000231E1">
        <w:rPr>
          <w:bCs w:val="0"/>
        </w:rPr>
        <w:t xml:space="preserve"> safety net purposes.</w:t>
      </w:r>
    </w:p>
    <w:p w:rsidR="00082CF1" w:rsidRDefault="00082CF1" w:rsidP="00082CF1">
      <w:pPr>
        <w:pStyle w:val="Headingbold0"/>
        <w:tabs>
          <w:tab w:val="left" w:pos="1134"/>
        </w:tabs>
        <w:spacing w:before="0"/>
      </w:pPr>
      <w:r>
        <w:t>Item </w:t>
      </w:r>
      <w:r w:rsidR="004B2279">
        <w:t>[</w:t>
      </w:r>
      <w:r w:rsidR="0092175A">
        <w:t>5</w:t>
      </w:r>
      <w:r w:rsidR="004B2279">
        <w:t>]</w:t>
      </w:r>
      <w:r w:rsidR="000231E1">
        <w:t xml:space="preserve"> – </w:t>
      </w:r>
      <w:r w:rsidR="000231E1" w:rsidRPr="000231E1">
        <w:t xml:space="preserve">Before </w:t>
      </w:r>
      <w:r w:rsidR="007E0502">
        <w:t>d</w:t>
      </w:r>
      <w:r w:rsidR="000231E1" w:rsidRPr="000231E1">
        <w:t xml:space="preserve">ivision 1 of </w:t>
      </w:r>
      <w:r w:rsidR="007E0502">
        <w:t>p</w:t>
      </w:r>
      <w:r w:rsidR="000231E1" w:rsidRPr="000231E1">
        <w:t>art 3</w:t>
      </w:r>
    </w:p>
    <w:p w:rsidR="000231E1" w:rsidRDefault="00082CF1" w:rsidP="0011041E">
      <w:pPr>
        <w:pStyle w:val="Textbody0"/>
        <w:rPr>
          <w:bCs w:val="0"/>
        </w:rPr>
      </w:pPr>
      <w:r w:rsidRPr="00082CF1">
        <w:rPr>
          <w:bCs w:val="0"/>
        </w:rPr>
        <w:t>Item </w:t>
      </w:r>
      <w:r w:rsidR="004E2508">
        <w:rPr>
          <w:bCs w:val="0"/>
        </w:rPr>
        <w:t>5</w:t>
      </w:r>
      <w:r w:rsidRPr="00082CF1">
        <w:rPr>
          <w:bCs w:val="0"/>
        </w:rPr>
        <w:t xml:space="preserve"> </w:t>
      </w:r>
      <w:r w:rsidR="000231E1">
        <w:rPr>
          <w:bCs w:val="0"/>
        </w:rPr>
        <w:t xml:space="preserve">inserts new section 17A </w:t>
      </w:r>
      <w:r w:rsidR="009F02B8">
        <w:rPr>
          <w:bCs w:val="0"/>
        </w:rPr>
        <w:t>to</w:t>
      </w:r>
      <w:r w:rsidR="000231E1">
        <w:rPr>
          <w:bCs w:val="0"/>
        </w:rPr>
        <w:t xml:space="preserve"> </w:t>
      </w:r>
      <w:r w:rsidR="009F02B8">
        <w:rPr>
          <w:bCs w:val="0"/>
        </w:rPr>
        <w:t>define</w:t>
      </w:r>
      <w:r w:rsidR="000231E1">
        <w:rPr>
          <w:bCs w:val="0"/>
        </w:rPr>
        <w:t xml:space="preserve"> the value for safety net </w:t>
      </w:r>
      <w:r w:rsidR="000231E1" w:rsidRPr="000231E1">
        <w:rPr>
          <w:bCs w:val="0"/>
        </w:rPr>
        <w:t>purposes of the supply of a pharmaceutical benefit</w:t>
      </w:r>
      <w:r w:rsidR="006C5FF1">
        <w:rPr>
          <w:bCs w:val="0"/>
        </w:rPr>
        <w:t xml:space="preserve"> </w:t>
      </w:r>
      <w:r w:rsidR="000A10BF">
        <w:rPr>
          <w:bCs w:val="0"/>
        </w:rPr>
        <w:t>for the purposes of</w:t>
      </w:r>
      <w:r w:rsidR="000231E1">
        <w:rPr>
          <w:bCs w:val="0"/>
        </w:rPr>
        <w:t xml:space="preserve"> subsection 84C(1E) of the Act.</w:t>
      </w:r>
    </w:p>
    <w:p w:rsidR="002B71E2" w:rsidRDefault="000231E1" w:rsidP="009F02B8">
      <w:pPr>
        <w:pStyle w:val="Textbody0"/>
        <w:rPr>
          <w:bCs w:val="0"/>
        </w:rPr>
      </w:pPr>
      <w:r>
        <w:rPr>
          <w:bCs w:val="0"/>
        </w:rPr>
        <w:t xml:space="preserve">Subsection </w:t>
      </w:r>
      <w:proofErr w:type="gramStart"/>
      <w:r>
        <w:rPr>
          <w:bCs w:val="0"/>
        </w:rPr>
        <w:t>17A(</w:t>
      </w:r>
      <w:proofErr w:type="gramEnd"/>
      <w:r w:rsidR="006C5FF1">
        <w:rPr>
          <w:bCs w:val="0"/>
        </w:rPr>
        <w:t>2) provides</w:t>
      </w:r>
      <w:r>
        <w:rPr>
          <w:bCs w:val="0"/>
        </w:rPr>
        <w:t xml:space="preserve"> the value for safety net purposes for the supply of a pharmaceutical benefit to which subsection 99(2A), (2AB) or (2B) of the Act applies. That is, the </w:t>
      </w:r>
      <w:r w:rsidR="000A10BF">
        <w:rPr>
          <w:bCs w:val="0"/>
        </w:rPr>
        <w:t xml:space="preserve">Commonwealth price </w:t>
      </w:r>
      <w:r w:rsidR="009D2816">
        <w:rPr>
          <w:bCs w:val="0"/>
        </w:rPr>
        <w:t>for the supply is</w:t>
      </w:r>
      <w:r w:rsidR="000A10BF">
        <w:rPr>
          <w:bCs w:val="0"/>
        </w:rPr>
        <w:t xml:space="preserve"> equal to or</w:t>
      </w:r>
      <w:r w:rsidR="009D2816">
        <w:rPr>
          <w:bCs w:val="0"/>
        </w:rPr>
        <w:t xml:space="preserve"> less than</w:t>
      </w:r>
      <w:r w:rsidR="000F57FE">
        <w:rPr>
          <w:bCs w:val="0"/>
        </w:rPr>
        <w:t xml:space="preserve"> the </w:t>
      </w:r>
      <w:r w:rsidR="000A10BF">
        <w:rPr>
          <w:bCs w:val="0"/>
        </w:rPr>
        <w:t>patient co-</w:t>
      </w:r>
      <w:r>
        <w:rPr>
          <w:bCs w:val="0"/>
        </w:rPr>
        <w:t>payment amount</w:t>
      </w:r>
      <w:r w:rsidR="009A6D37">
        <w:rPr>
          <w:bCs w:val="0"/>
        </w:rPr>
        <w:t>.</w:t>
      </w:r>
      <w:r w:rsidR="002B71E2">
        <w:rPr>
          <w:bCs w:val="0"/>
        </w:rPr>
        <w:t xml:space="preserve"> In such cases, the val</w:t>
      </w:r>
      <w:r w:rsidR="006C5FF1">
        <w:rPr>
          <w:bCs w:val="0"/>
        </w:rPr>
        <w:t xml:space="preserve">ue for safety net purposes </w:t>
      </w:r>
      <w:r w:rsidR="003266D3">
        <w:rPr>
          <w:bCs w:val="0"/>
        </w:rPr>
        <w:t>is</w:t>
      </w:r>
      <w:r w:rsidR="002B71E2">
        <w:rPr>
          <w:bCs w:val="0"/>
        </w:rPr>
        <w:t xml:space="preserve"> the lesser of:</w:t>
      </w:r>
      <w:r w:rsidR="000F57FE">
        <w:rPr>
          <w:bCs w:val="0"/>
        </w:rPr>
        <w:t xml:space="preserve"> </w:t>
      </w:r>
      <w:r w:rsidR="002B71E2">
        <w:t xml:space="preserve">the price of the pharmaceutical benefit worked out in accordance with a determination in force under subsection </w:t>
      </w:r>
      <w:proofErr w:type="gramStart"/>
      <w:r w:rsidR="002B71E2">
        <w:t>84C(</w:t>
      </w:r>
      <w:proofErr w:type="gramEnd"/>
      <w:r w:rsidR="002B71E2">
        <w:t>7) of the Act at th</w:t>
      </w:r>
      <w:r w:rsidR="004E2508">
        <w:t>e time of the supply, minus</w:t>
      </w:r>
      <w:r w:rsidR="000F57FE">
        <w:t xml:space="preserve"> any additional patient charge (or part thereof) included in the amount charged for the supply; </w:t>
      </w:r>
      <w:r w:rsidR="000F57FE">
        <w:rPr>
          <w:bCs w:val="0"/>
        </w:rPr>
        <w:t xml:space="preserve">and </w:t>
      </w:r>
      <w:r w:rsidR="002B71E2" w:rsidRPr="002B71E2">
        <w:rPr>
          <w:bCs w:val="0"/>
        </w:rPr>
        <w:t>the amount charged for the supply.</w:t>
      </w:r>
    </w:p>
    <w:p w:rsidR="002B71E2" w:rsidRDefault="002B71E2" w:rsidP="002B71E2">
      <w:pPr>
        <w:pStyle w:val="Textbody0"/>
        <w:rPr>
          <w:bCs w:val="0"/>
        </w:rPr>
      </w:pPr>
      <w:r>
        <w:rPr>
          <w:bCs w:val="0"/>
        </w:rPr>
        <w:t xml:space="preserve">Subsection </w:t>
      </w:r>
      <w:proofErr w:type="gramStart"/>
      <w:r>
        <w:rPr>
          <w:bCs w:val="0"/>
        </w:rPr>
        <w:t>17A(</w:t>
      </w:r>
      <w:proofErr w:type="gramEnd"/>
      <w:r>
        <w:rPr>
          <w:bCs w:val="0"/>
        </w:rPr>
        <w:t>3) pr</w:t>
      </w:r>
      <w:r w:rsidR="006C5FF1">
        <w:rPr>
          <w:bCs w:val="0"/>
        </w:rPr>
        <w:t>ovides</w:t>
      </w:r>
      <w:r w:rsidRPr="002B71E2">
        <w:rPr>
          <w:bCs w:val="0"/>
        </w:rPr>
        <w:t xml:space="preserve"> </w:t>
      </w:r>
      <w:r>
        <w:rPr>
          <w:bCs w:val="0"/>
        </w:rPr>
        <w:t>the value for safety net purposes for the supply of a pharmaceutical benefit where subsection (2) does not apply.</w:t>
      </w:r>
      <w:r w:rsidR="000F57FE">
        <w:rPr>
          <w:bCs w:val="0"/>
        </w:rPr>
        <w:t xml:space="preserve"> That is, the Commonwealth price for the supply is greater than the patient co-payment amount. </w:t>
      </w:r>
      <w:r w:rsidR="00727A73">
        <w:rPr>
          <w:bCs w:val="0"/>
        </w:rPr>
        <w:t xml:space="preserve">In such cases, </w:t>
      </w:r>
      <w:r w:rsidR="00727A73" w:rsidRPr="002B71E2">
        <w:rPr>
          <w:bCs w:val="0"/>
        </w:rPr>
        <w:t>the value for safety net purposes</w:t>
      </w:r>
      <w:r w:rsidR="00727A73">
        <w:rPr>
          <w:bCs w:val="0"/>
        </w:rPr>
        <w:t xml:space="preserve"> </w:t>
      </w:r>
      <w:r w:rsidR="00022183">
        <w:rPr>
          <w:bCs w:val="0"/>
        </w:rPr>
        <w:t xml:space="preserve">is </w:t>
      </w:r>
      <w:r w:rsidRPr="002B71E2">
        <w:rPr>
          <w:bCs w:val="0"/>
        </w:rPr>
        <w:t>the amount charged under whichever of paragraphs</w:t>
      </w:r>
      <w:r w:rsidR="00022183">
        <w:rPr>
          <w:bCs w:val="0"/>
        </w:rPr>
        <w:t> </w:t>
      </w:r>
      <w:r w:rsidRPr="002B71E2">
        <w:rPr>
          <w:bCs w:val="0"/>
        </w:rPr>
        <w:t>87(2)(a)</w:t>
      </w:r>
      <w:r w:rsidR="00727A73">
        <w:rPr>
          <w:bCs w:val="0"/>
        </w:rPr>
        <w:t>, (b) or</w:t>
      </w:r>
      <w:r w:rsidR="000F57FE">
        <w:rPr>
          <w:bCs w:val="0"/>
        </w:rPr>
        <w:t> </w:t>
      </w:r>
      <w:r w:rsidR="00727A73">
        <w:rPr>
          <w:bCs w:val="0"/>
        </w:rPr>
        <w:t xml:space="preserve">(e) of the Act applies, </w:t>
      </w:r>
      <w:r w:rsidRPr="002B71E2">
        <w:rPr>
          <w:bCs w:val="0"/>
        </w:rPr>
        <w:t xml:space="preserve">not including any amount charged under </w:t>
      </w:r>
      <w:r w:rsidR="00727A73">
        <w:rPr>
          <w:bCs w:val="0"/>
        </w:rPr>
        <w:t>other subsections of section</w:t>
      </w:r>
      <w:r w:rsidR="000F57FE">
        <w:rPr>
          <w:bCs w:val="0"/>
        </w:rPr>
        <w:t> </w:t>
      </w:r>
      <w:r w:rsidR="00727A73">
        <w:rPr>
          <w:bCs w:val="0"/>
        </w:rPr>
        <w:t>87</w:t>
      </w:r>
      <w:r w:rsidRPr="002B71E2">
        <w:rPr>
          <w:bCs w:val="0"/>
        </w:rPr>
        <w:t>.</w:t>
      </w:r>
      <w:r w:rsidR="00727A73">
        <w:rPr>
          <w:bCs w:val="0"/>
        </w:rPr>
        <w:t xml:space="preserve"> </w:t>
      </w:r>
    </w:p>
    <w:p w:rsidR="004E2508" w:rsidRPr="0011041E" w:rsidRDefault="004E2508" w:rsidP="002B71E2">
      <w:pPr>
        <w:pStyle w:val="Textbody0"/>
        <w:rPr>
          <w:bCs w:val="0"/>
        </w:rPr>
      </w:pPr>
      <w:r>
        <w:rPr>
          <w:bCs w:val="0"/>
        </w:rPr>
        <w:t xml:space="preserve">Subsection 17A(4) </w:t>
      </w:r>
      <w:r w:rsidR="00970554">
        <w:rPr>
          <w:bCs w:val="0"/>
        </w:rPr>
        <w:t>pr</w:t>
      </w:r>
      <w:r w:rsidR="006C5FF1">
        <w:rPr>
          <w:bCs w:val="0"/>
        </w:rPr>
        <w:t>ovides that</w:t>
      </w:r>
      <w:r w:rsidR="00970554">
        <w:rPr>
          <w:bCs w:val="0"/>
        </w:rPr>
        <w:t xml:space="preserve"> the</w:t>
      </w:r>
      <w:r w:rsidR="006C5FF1">
        <w:rPr>
          <w:bCs w:val="0"/>
        </w:rPr>
        <w:t xml:space="preserve"> value for safety net purposes </w:t>
      </w:r>
      <w:r w:rsidR="00022183">
        <w:rPr>
          <w:bCs w:val="0"/>
        </w:rPr>
        <w:t>is</w:t>
      </w:r>
      <w:r w:rsidR="00970554">
        <w:rPr>
          <w:bCs w:val="0"/>
        </w:rPr>
        <w:t xml:space="preserve"> zero in cases where the amount charged for the supply is not in accordance with the Act.</w:t>
      </w:r>
    </w:p>
    <w:p w:rsidR="00BD227A" w:rsidRPr="006675DA" w:rsidRDefault="0011041E" w:rsidP="0011041E">
      <w:pPr>
        <w:pStyle w:val="Headingbold0"/>
        <w:tabs>
          <w:tab w:val="left" w:pos="1134"/>
        </w:tabs>
        <w:spacing w:before="0"/>
      </w:pPr>
      <w:r>
        <w:t>Item </w:t>
      </w:r>
      <w:r w:rsidR="004B2279">
        <w:t>[</w:t>
      </w:r>
      <w:r w:rsidR="00D046AE">
        <w:t>6</w:t>
      </w:r>
      <w:r w:rsidR="004B2279">
        <w:t>]</w:t>
      </w:r>
      <w:r w:rsidR="000231E1">
        <w:t xml:space="preserve"> –</w:t>
      </w:r>
      <w:r w:rsidR="00D7479C">
        <w:t xml:space="preserve"> sections 18, 19 and 21 </w:t>
      </w:r>
    </w:p>
    <w:p w:rsidR="005675BF" w:rsidRDefault="005675BF" w:rsidP="005675BF">
      <w:pPr>
        <w:pStyle w:val="Textbody0"/>
        <w:rPr>
          <w:bCs w:val="0"/>
        </w:rPr>
      </w:pPr>
      <w:r>
        <w:rPr>
          <w:bCs w:val="0"/>
        </w:rPr>
        <w:t xml:space="preserve">Item </w:t>
      </w:r>
      <w:r w:rsidR="00D046AE">
        <w:rPr>
          <w:bCs w:val="0"/>
        </w:rPr>
        <w:t>6</w:t>
      </w:r>
      <w:r w:rsidR="00A716F5">
        <w:rPr>
          <w:bCs w:val="0"/>
        </w:rPr>
        <w:t xml:space="preserve"> omits the word ‘maxim</w:t>
      </w:r>
      <w:r w:rsidR="000F57FE">
        <w:rPr>
          <w:bCs w:val="0"/>
        </w:rPr>
        <w:t>um’ from sections 18, 19 and 21.</w:t>
      </w:r>
      <w:r w:rsidR="00A716F5">
        <w:rPr>
          <w:bCs w:val="0"/>
        </w:rPr>
        <w:t xml:space="preserve"> </w:t>
      </w:r>
      <w:r w:rsidR="000F57FE">
        <w:rPr>
          <w:bCs w:val="0"/>
        </w:rPr>
        <w:t>The effect</w:t>
      </w:r>
      <w:r w:rsidR="00022183">
        <w:rPr>
          <w:bCs w:val="0"/>
        </w:rPr>
        <w:t xml:space="preserve"> is</w:t>
      </w:r>
      <w:r w:rsidR="000F57FE">
        <w:rPr>
          <w:bCs w:val="0"/>
        </w:rPr>
        <w:t xml:space="preserve"> th</w:t>
      </w:r>
      <w:r w:rsidR="00A716F5">
        <w:rPr>
          <w:bCs w:val="0"/>
        </w:rPr>
        <w:t>at what was previously described as the ‘</w:t>
      </w:r>
      <w:r w:rsidR="00A716F5" w:rsidRPr="00CA5BA7">
        <w:rPr>
          <w:bCs w:val="0"/>
          <w:i/>
        </w:rPr>
        <w:t>maximum value for safety net</w:t>
      </w:r>
      <w:r w:rsidR="002E3C4D">
        <w:rPr>
          <w:bCs w:val="0"/>
          <w:i/>
        </w:rPr>
        <w:t xml:space="preserve"> purposes</w:t>
      </w:r>
      <w:r w:rsidR="00A716F5">
        <w:rPr>
          <w:bCs w:val="0"/>
        </w:rPr>
        <w:t xml:space="preserve">’ with regard to prescription record forms, </w:t>
      </w:r>
      <w:r w:rsidR="000F57FE">
        <w:rPr>
          <w:bCs w:val="0"/>
        </w:rPr>
        <w:t>become</w:t>
      </w:r>
      <w:r w:rsidR="00022183">
        <w:rPr>
          <w:bCs w:val="0"/>
        </w:rPr>
        <w:t>s</w:t>
      </w:r>
      <w:r w:rsidR="00A716F5">
        <w:rPr>
          <w:bCs w:val="0"/>
        </w:rPr>
        <w:t xml:space="preserve"> ‘</w:t>
      </w:r>
      <w:r w:rsidR="00A716F5" w:rsidRPr="00A716F5">
        <w:rPr>
          <w:bCs w:val="0"/>
          <w:i/>
        </w:rPr>
        <w:t>value for safety net purposes’</w:t>
      </w:r>
      <w:r w:rsidR="00A716F5">
        <w:rPr>
          <w:bCs w:val="0"/>
          <w:i/>
        </w:rPr>
        <w:t xml:space="preserve"> </w:t>
      </w:r>
      <w:r w:rsidR="00A716F5" w:rsidRPr="00970554">
        <w:rPr>
          <w:bCs w:val="0"/>
        </w:rPr>
        <w:t>(refer to items 1, 2 and</w:t>
      </w:r>
      <w:r w:rsidR="004B2279">
        <w:rPr>
          <w:bCs w:val="0"/>
        </w:rPr>
        <w:t> </w:t>
      </w:r>
      <w:r w:rsidR="00A716F5" w:rsidRPr="00970554">
        <w:rPr>
          <w:bCs w:val="0"/>
        </w:rPr>
        <w:t>4).</w:t>
      </w:r>
    </w:p>
    <w:p w:rsidR="00161990" w:rsidRPr="005675BF" w:rsidRDefault="00161990" w:rsidP="005675BF">
      <w:pPr>
        <w:pStyle w:val="Textbody0"/>
        <w:rPr>
          <w:bCs w:val="0"/>
        </w:rPr>
        <w:sectPr w:rsidR="00161990" w:rsidRPr="005675BF" w:rsidSect="005550C4">
          <w:footerReference w:type="default" r:id="rId11"/>
          <w:pgSz w:w="11907" w:h="16840" w:code="9"/>
          <w:pgMar w:top="1276" w:right="1440" w:bottom="1135" w:left="1440" w:header="426" w:footer="454" w:gutter="0"/>
          <w:cols w:space="720"/>
          <w:docGrid w:linePitch="326"/>
        </w:sectPr>
      </w:pPr>
    </w:p>
    <w:p w:rsidR="00E376BD" w:rsidRDefault="00E376BD" w:rsidP="00DC337F">
      <w:pPr>
        <w:shd w:val="clear" w:color="auto" w:fill="FFFFFF" w:themeFill="background1"/>
        <w:spacing w:after="120"/>
        <w:jc w:val="center"/>
        <w:rPr>
          <w:b/>
        </w:rPr>
      </w:pPr>
      <w:r w:rsidRPr="00D41E19">
        <w:rPr>
          <w:b/>
        </w:rPr>
        <w:lastRenderedPageBreak/>
        <w:t>Statement of Compatibility with Human Rights</w:t>
      </w:r>
    </w:p>
    <w:p w:rsidR="00E376BD" w:rsidRPr="00D41E19" w:rsidRDefault="00E376BD" w:rsidP="00DC337F">
      <w:pPr>
        <w:shd w:val="clear" w:color="auto" w:fill="FFFFFF" w:themeFill="background1"/>
        <w:spacing w:after="240"/>
        <w:jc w:val="center"/>
      </w:pPr>
      <w:r w:rsidRPr="00D41E19">
        <w:rPr>
          <w:i/>
        </w:rPr>
        <w:t>Prepared in accordance with Part 3 of the Human Rights (Parliamentary Scrutiny) Act 2011</w:t>
      </w:r>
    </w:p>
    <w:p w:rsidR="00E376BD" w:rsidRDefault="005675BF" w:rsidP="0079425B">
      <w:pPr>
        <w:shd w:val="clear" w:color="auto" w:fill="FFFFFF" w:themeFill="background1"/>
        <w:spacing w:before="120" w:after="180"/>
        <w:ind w:right="-45" w:hanging="142"/>
        <w:jc w:val="center"/>
        <w:rPr>
          <w:b/>
        </w:rPr>
      </w:pPr>
      <w:r w:rsidRPr="005675BF">
        <w:rPr>
          <w:b/>
        </w:rPr>
        <w:t>National Health (Pharmaceutical Benefits) Amendment</w:t>
      </w:r>
      <w:r w:rsidR="0079425B">
        <w:rPr>
          <w:b/>
        </w:rPr>
        <w:t xml:space="preserve"> </w:t>
      </w:r>
      <w:r w:rsidR="00CD108A">
        <w:rPr>
          <w:b/>
        </w:rPr>
        <w:t>(Safety Net</w:t>
      </w:r>
      <w:r w:rsidR="0079425B">
        <w:rPr>
          <w:b/>
        </w:rPr>
        <w:t>)</w:t>
      </w:r>
      <w:r w:rsidRPr="005675BF">
        <w:rPr>
          <w:b/>
        </w:rPr>
        <w:t xml:space="preserve"> Regulation</w:t>
      </w:r>
      <w:r w:rsidR="00BD6036">
        <w:rPr>
          <w:b/>
        </w:rPr>
        <w:t>s</w:t>
      </w:r>
      <w:r w:rsidR="0079425B">
        <w:rPr>
          <w:b/>
        </w:rPr>
        <w:t> </w:t>
      </w:r>
      <w:r w:rsidRPr="005675BF">
        <w:rPr>
          <w:b/>
        </w:rPr>
        <w:t>2018</w:t>
      </w:r>
    </w:p>
    <w:p w:rsidR="00E376BD" w:rsidRDefault="00BD6036" w:rsidP="00C6083A">
      <w:pPr>
        <w:shd w:val="clear" w:color="auto" w:fill="FFFFFF" w:themeFill="background1"/>
        <w:spacing w:before="0" w:after="240"/>
      </w:pPr>
      <w:r>
        <w:t>The</w:t>
      </w:r>
      <w:r w:rsidR="00E376BD" w:rsidRPr="00D41E19">
        <w:t xml:space="preserve"> </w:t>
      </w:r>
      <w:r w:rsidR="0079425B" w:rsidRPr="005675BF">
        <w:rPr>
          <w:i/>
        </w:rPr>
        <w:t xml:space="preserve">National Health (Pharmaceutical Benefits) Amendment </w:t>
      </w:r>
      <w:r w:rsidR="0079425B">
        <w:rPr>
          <w:i/>
        </w:rPr>
        <w:t>(</w:t>
      </w:r>
      <w:r w:rsidR="00CD108A">
        <w:rPr>
          <w:i/>
        </w:rPr>
        <w:t>Safety Net</w:t>
      </w:r>
      <w:r w:rsidR="0079425B">
        <w:rPr>
          <w:i/>
        </w:rPr>
        <w:t xml:space="preserve">) </w:t>
      </w:r>
      <w:r w:rsidR="0079425B" w:rsidRPr="005675BF">
        <w:rPr>
          <w:i/>
        </w:rPr>
        <w:t>Regulation</w:t>
      </w:r>
      <w:r w:rsidR="0079425B">
        <w:rPr>
          <w:i/>
        </w:rPr>
        <w:t>s</w:t>
      </w:r>
      <w:r w:rsidR="0079425B" w:rsidRPr="005675BF">
        <w:rPr>
          <w:i/>
        </w:rPr>
        <w:t xml:space="preserve"> 2018</w:t>
      </w:r>
      <w:r w:rsidR="0079425B" w:rsidRPr="00D41E19">
        <w:t xml:space="preserve"> </w:t>
      </w:r>
      <w:r w:rsidR="0079425B">
        <w:t xml:space="preserve">(the </w:t>
      </w:r>
      <w:r w:rsidR="006C0DC8">
        <w:t>Regulations</w:t>
      </w:r>
      <w:r w:rsidR="0079425B">
        <w:t>)</w:t>
      </w:r>
      <w:r w:rsidR="006C0DC8">
        <w:t xml:space="preserve"> are</w:t>
      </w:r>
      <w:r w:rsidR="00E376BD" w:rsidRPr="00D41E19">
        <w:t xml:space="preserve"> compatible with the human rights and freedoms recognised or declared in the international instruments listed in section 3 of the </w:t>
      </w:r>
      <w:r w:rsidR="00E376BD" w:rsidRPr="00D41E19">
        <w:rPr>
          <w:i/>
        </w:rPr>
        <w:t>Human Rights (Parliamentary Scrutiny) Act 2011</w:t>
      </w:r>
      <w:r w:rsidR="00E376BD" w:rsidRPr="00D41E19">
        <w:t>.</w:t>
      </w:r>
    </w:p>
    <w:p w:rsidR="00E376BD" w:rsidRPr="00D41E19" w:rsidRDefault="00E376BD" w:rsidP="00C6083A">
      <w:pPr>
        <w:shd w:val="clear" w:color="auto" w:fill="FFFFFF" w:themeFill="background1"/>
        <w:spacing w:before="0"/>
        <w:jc w:val="both"/>
        <w:rPr>
          <w:b/>
        </w:rPr>
      </w:pPr>
      <w:r w:rsidRPr="00D41E19">
        <w:rPr>
          <w:b/>
        </w:rPr>
        <w:t>Overview of the Legislative Instrument</w:t>
      </w:r>
    </w:p>
    <w:p w:rsidR="00E376BD" w:rsidRDefault="0026402E" w:rsidP="00C6083A">
      <w:pPr>
        <w:shd w:val="clear" w:color="auto" w:fill="FFFFFF" w:themeFill="background1"/>
        <w:spacing w:before="0" w:after="240"/>
        <w:ind w:right="-187"/>
      </w:pPr>
      <w:r>
        <w:t>The</w:t>
      </w:r>
      <w:r w:rsidR="00E376BD">
        <w:t xml:space="preserve"> Regulation</w:t>
      </w:r>
      <w:r w:rsidR="00B15EFF">
        <w:t>s</w:t>
      </w:r>
      <w:r w:rsidR="00E376BD">
        <w:t xml:space="preserve"> </w:t>
      </w:r>
      <w:r w:rsidR="00B15EFF">
        <w:rPr>
          <w:lang w:val="en-US"/>
        </w:rPr>
        <w:t>amend</w:t>
      </w:r>
      <w:r w:rsidR="00E376BD" w:rsidRPr="00D41E19">
        <w:rPr>
          <w:lang w:val="en-US"/>
        </w:rPr>
        <w:t xml:space="preserve"> the </w:t>
      </w:r>
      <w:r w:rsidR="00E376BD" w:rsidRPr="00D41E19">
        <w:rPr>
          <w:i/>
          <w:lang w:val="en-US"/>
        </w:rPr>
        <w:t>National Health</w:t>
      </w:r>
      <w:r w:rsidR="00E376BD" w:rsidRPr="00D41E19">
        <w:rPr>
          <w:lang w:val="en-US"/>
        </w:rPr>
        <w:t xml:space="preserve"> </w:t>
      </w:r>
      <w:r w:rsidR="00E376BD" w:rsidRPr="00D41E19">
        <w:rPr>
          <w:i/>
        </w:rPr>
        <w:t>(Pharm</w:t>
      </w:r>
      <w:r w:rsidR="00E376BD">
        <w:rPr>
          <w:i/>
        </w:rPr>
        <w:t>aceutical Benefits) Regulations </w:t>
      </w:r>
      <w:r w:rsidR="005675BF">
        <w:rPr>
          <w:i/>
        </w:rPr>
        <w:t>2017</w:t>
      </w:r>
      <w:r w:rsidR="00E376BD" w:rsidRPr="00D41E19">
        <w:rPr>
          <w:i/>
        </w:rPr>
        <w:t xml:space="preserve"> </w:t>
      </w:r>
      <w:r w:rsidR="00E376BD" w:rsidRPr="00D41E19">
        <w:t>(the</w:t>
      </w:r>
      <w:r w:rsidR="004B2279">
        <w:t> </w:t>
      </w:r>
      <w:r w:rsidR="00B15EFF">
        <w:t xml:space="preserve">Principal </w:t>
      </w:r>
      <w:r w:rsidR="00E376BD" w:rsidRPr="00D41E19">
        <w:t xml:space="preserve">Regulations) to </w:t>
      </w:r>
      <w:r w:rsidR="00E376BD">
        <w:t xml:space="preserve">support </w:t>
      </w:r>
      <w:r w:rsidR="00E376BD" w:rsidRPr="00D41E19">
        <w:t xml:space="preserve">amendments to the </w:t>
      </w:r>
      <w:r w:rsidR="00E376BD" w:rsidRPr="00D41E19">
        <w:rPr>
          <w:i/>
        </w:rPr>
        <w:t xml:space="preserve">National </w:t>
      </w:r>
      <w:r w:rsidR="00E376BD">
        <w:rPr>
          <w:i/>
        </w:rPr>
        <w:t>Health Act </w:t>
      </w:r>
      <w:r w:rsidR="00E376BD" w:rsidRPr="00D41E19">
        <w:rPr>
          <w:i/>
        </w:rPr>
        <w:t xml:space="preserve">1953 </w:t>
      </w:r>
      <w:r w:rsidR="00E376BD" w:rsidRPr="00D41E19">
        <w:t xml:space="preserve">(the Act) made by </w:t>
      </w:r>
      <w:r w:rsidR="001909AD">
        <w:t xml:space="preserve">the </w:t>
      </w:r>
      <w:r w:rsidR="001909AD" w:rsidRPr="00DF74C2">
        <w:rPr>
          <w:i/>
        </w:rPr>
        <w:t xml:space="preserve">National Health </w:t>
      </w:r>
      <w:r w:rsidR="001909AD">
        <w:rPr>
          <w:i/>
        </w:rPr>
        <w:t xml:space="preserve">Amendment </w:t>
      </w:r>
      <w:r w:rsidR="001909AD" w:rsidRPr="00DF74C2">
        <w:rPr>
          <w:i/>
        </w:rPr>
        <w:t>(Pharmaceutical Benefits – Budget and Other M</w:t>
      </w:r>
      <w:r w:rsidR="001909AD">
        <w:rPr>
          <w:i/>
        </w:rPr>
        <w:t>easures</w:t>
      </w:r>
      <w:r w:rsidR="001909AD" w:rsidRPr="00DF74C2">
        <w:rPr>
          <w:i/>
        </w:rPr>
        <w:t xml:space="preserve">) </w:t>
      </w:r>
      <w:r w:rsidR="001909AD">
        <w:rPr>
          <w:i/>
        </w:rPr>
        <w:t xml:space="preserve">Act </w:t>
      </w:r>
      <w:r w:rsidR="001909AD" w:rsidRPr="00DF74C2">
        <w:rPr>
          <w:i/>
        </w:rPr>
        <w:t>201</w:t>
      </w:r>
      <w:r w:rsidR="00B15EFF">
        <w:rPr>
          <w:i/>
        </w:rPr>
        <w:t>8</w:t>
      </w:r>
      <w:r w:rsidR="00BD6036">
        <w:t>.</w:t>
      </w:r>
      <w:r w:rsidR="001909AD">
        <w:t xml:space="preserve"> </w:t>
      </w:r>
    </w:p>
    <w:p w:rsidR="00E376BD" w:rsidRPr="001909AD" w:rsidRDefault="00E376BD" w:rsidP="00C6083A">
      <w:pPr>
        <w:shd w:val="clear" w:color="auto" w:fill="FFFFFF" w:themeFill="background1"/>
        <w:spacing w:before="0" w:after="240"/>
        <w:ind w:right="-187"/>
      </w:pPr>
      <w:r w:rsidRPr="001909AD">
        <w:t xml:space="preserve">The </w:t>
      </w:r>
      <w:r w:rsidRPr="001909AD">
        <w:rPr>
          <w:lang w:val="en-US"/>
        </w:rPr>
        <w:t>Pharmaceutical Benefits Scheme (PBS)</w:t>
      </w:r>
      <w:r w:rsidRPr="001909AD">
        <w:t xml:space="preserve"> provides Australians with timely, reliable and affordable access to necessary and cost-effective medicines. The PBS operates under Part VII of the Act </w:t>
      </w:r>
      <w:r w:rsidR="002923A0" w:rsidRPr="001909AD">
        <w:t>which</w:t>
      </w:r>
      <w:r w:rsidR="000A5FC1" w:rsidRPr="001909AD">
        <w:t xml:space="preserve"> </w:t>
      </w:r>
      <w:r w:rsidRPr="001909AD">
        <w:t>regulates the listing, prescribing, pricing, charging and payment of subsidies for supply of drugs and medicinal preparatio</w:t>
      </w:r>
      <w:r w:rsidR="00BD6036">
        <w:t xml:space="preserve">ns as pharmaceutical benefits. </w:t>
      </w:r>
      <w:r w:rsidRPr="001909AD">
        <w:t>The</w:t>
      </w:r>
      <w:r w:rsidR="00BD6036">
        <w:t xml:space="preserve"> </w:t>
      </w:r>
      <w:r w:rsidR="00B15EFF">
        <w:t>Principal</w:t>
      </w:r>
      <w:r w:rsidR="004C2489">
        <w:t xml:space="preserve"> </w:t>
      </w:r>
      <w:r w:rsidRPr="001909AD">
        <w:t>Regulations prescribe matters and set out details in relation to the operation of the PBS.</w:t>
      </w:r>
    </w:p>
    <w:p w:rsidR="000304E7" w:rsidRDefault="00A0730A" w:rsidP="00C6083A">
      <w:pPr>
        <w:spacing w:before="0" w:after="240"/>
        <w:ind w:right="-285"/>
      </w:pPr>
      <w:r>
        <w:rPr>
          <w:color w:val="000000" w:themeColor="text1"/>
          <w:lang w:val="en-US"/>
        </w:rPr>
        <w:t xml:space="preserve">The Regulations make </w:t>
      </w:r>
      <w:r>
        <w:rPr>
          <w:color w:val="000000" w:themeColor="text1"/>
        </w:rPr>
        <w:t xml:space="preserve">amendments to PBS safety net provisions </w:t>
      </w:r>
      <w:r w:rsidR="000304E7">
        <w:rPr>
          <w:color w:val="000000" w:themeColor="text1"/>
        </w:rPr>
        <w:t xml:space="preserve">to set values for safety net purposes. The value for safety net is </w:t>
      </w:r>
      <w:r w:rsidR="000304E7" w:rsidRPr="00481366">
        <w:t>the amoun</w:t>
      </w:r>
      <w:r w:rsidR="000304E7">
        <w:t>t of the patient charge for a PBS prescription which can be counted toward</w:t>
      </w:r>
      <w:r w:rsidR="000304E7" w:rsidRPr="00481366">
        <w:t xml:space="preserve"> the general or concessional </w:t>
      </w:r>
      <w:r w:rsidR="000304E7">
        <w:t xml:space="preserve">patient safety net threshold for the purposes of issuing a safety net card. </w:t>
      </w:r>
      <w:r w:rsidR="000304E7">
        <w:rPr>
          <w:color w:val="000000" w:themeColor="text1"/>
        </w:rPr>
        <w:t xml:space="preserve">The Regulations </w:t>
      </w:r>
      <w:r w:rsidR="000304E7">
        <w:rPr>
          <w:color w:val="000000" w:themeColor="text1"/>
          <w:lang w:val="en-US"/>
        </w:rPr>
        <w:t xml:space="preserve">set safety net </w:t>
      </w:r>
      <w:r w:rsidR="00C6083A">
        <w:rPr>
          <w:color w:val="000000" w:themeColor="text1"/>
          <w:lang w:val="en-US"/>
        </w:rPr>
        <w:t>values for</w:t>
      </w:r>
      <w:r w:rsidR="000304E7">
        <w:rPr>
          <w:color w:val="000000" w:themeColor="text1"/>
          <w:lang w:val="en-US"/>
        </w:rPr>
        <w:t xml:space="preserve"> pharmaceutical benefits where the government price of </w:t>
      </w:r>
      <w:r w:rsidR="00C6083A">
        <w:rPr>
          <w:color w:val="000000" w:themeColor="text1"/>
          <w:lang w:val="en-US"/>
        </w:rPr>
        <w:t>a</w:t>
      </w:r>
      <w:r w:rsidR="000304E7">
        <w:rPr>
          <w:color w:val="000000" w:themeColor="text1"/>
          <w:lang w:val="en-US"/>
        </w:rPr>
        <w:t xml:space="preserve"> PBS medicine is greater than the maximum patient co</w:t>
      </w:r>
      <w:r w:rsidR="00C6083A">
        <w:rPr>
          <w:color w:val="000000" w:themeColor="text1"/>
          <w:lang w:val="en-US"/>
        </w:rPr>
        <w:noBreakHyphen/>
      </w:r>
      <w:r w:rsidR="000304E7">
        <w:rPr>
          <w:color w:val="000000" w:themeColor="text1"/>
          <w:lang w:val="en-US"/>
        </w:rPr>
        <w:t>payment (</w:t>
      </w:r>
      <w:r w:rsidR="00C6083A">
        <w:rPr>
          <w:color w:val="000000" w:themeColor="text1"/>
          <w:lang w:val="en-US"/>
        </w:rPr>
        <w:t xml:space="preserve">ie. </w:t>
      </w:r>
      <w:r w:rsidR="000304E7">
        <w:rPr>
          <w:color w:val="000000" w:themeColor="text1"/>
          <w:lang w:val="en-US"/>
        </w:rPr>
        <w:t>over co</w:t>
      </w:r>
      <w:r w:rsidR="000304E7">
        <w:rPr>
          <w:color w:val="000000" w:themeColor="text1"/>
          <w:lang w:val="en-US"/>
        </w:rPr>
        <w:noBreakHyphen/>
        <w:t>payment) and where it is less (under co</w:t>
      </w:r>
      <w:r w:rsidR="00C6083A">
        <w:rPr>
          <w:color w:val="000000" w:themeColor="text1"/>
          <w:lang w:val="en-US"/>
        </w:rPr>
        <w:noBreakHyphen/>
      </w:r>
      <w:r w:rsidR="000304E7">
        <w:rPr>
          <w:color w:val="000000" w:themeColor="text1"/>
          <w:lang w:val="en-US"/>
        </w:rPr>
        <w:t xml:space="preserve">payment). </w:t>
      </w:r>
    </w:p>
    <w:p w:rsidR="00A0730A" w:rsidRPr="000304E7" w:rsidRDefault="00A0730A" w:rsidP="00C6083A">
      <w:pPr>
        <w:spacing w:before="0" w:after="240"/>
        <w:ind w:right="-285"/>
      </w:pPr>
      <w:r>
        <w:rPr>
          <w:color w:val="000000" w:themeColor="text1"/>
          <w:lang w:val="en-US"/>
        </w:rPr>
        <w:t xml:space="preserve">The new provisions </w:t>
      </w:r>
      <w:r w:rsidR="00C6083A">
        <w:rPr>
          <w:color w:val="000000" w:themeColor="text1"/>
          <w:lang w:val="en-US"/>
        </w:rPr>
        <w:t xml:space="preserve">also </w:t>
      </w:r>
      <w:r w:rsidR="00DD2DD1">
        <w:rPr>
          <w:color w:val="000000" w:themeColor="text1"/>
          <w:lang w:val="en-US"/>
        </w:rPr>
        <w:t>include a definition for ‘additional patient charge’</w:t>
      </w:r>
      <w:r w:rsidR="00507CDA">
        <w:rPr>
          <w:color w:val="000000" w:themeColor="text1"/>
          <w:lang w:val="en-US"/>
        </w:rPr>
        <w:t xml:space="preserve">, a charge </w:t>
      </w:r>
      <w:r w:rsidR="00507CDA">
        <w:rPr>
          <w:color w:val="000000" w:themeColor="text1"/>
        </w:rPr>
        <w:t xml:space="preserve">provided for under the Sixth Community Pharmacy Agreement, and which can be included in full or in part in the patient charge for an under co-payment PBS prescription. The changes </w:t>
      </w:r>
      <w:r>
        <w:rPr>
          <w:color w:val="000000" w:themeColor="text1"/>
          <w:lang w:val="en-US"/>
        </w:rPr>
        <w:t>provide expressly for the safety net value of an under co</w:t>
      </w:r>
      <w:r>
        <w:rPr>
          <w:color w:val="000000" w:themeColor="text1"/>
          <w:lang w:val="en-US"/>
        </w:rPr>
        <w:noBreakHyphen/>
        <w:t>payment prescription to be the price calculated according to a determination under subsection 84C(7) of the Act minus any amount due to the </w:t>
      </w:r>
      <w:r w:rsidR="000304E7">
        <w:rPr>
          <w:color w:val="000000" w:themeColor="text1"/>
          <w:lang w:val="en-US"/>
        </w:rPr>
        <w:t>additional patient charge</w:t>
      </w:r>
      <w:r>
        <w:rPr>
          <w:color w:val="000000" w:themeColor="text1"/>
          <w:lang w:val="en-US"/>
        </w:rPr>
        <w:t>, or the amount paid, whichever is less. Th</w:t>
      </w:r>
      <w:r w:rsidR="00507CDA">
        <w:rPr>
          <w:color w:val="000000" w:themeColor="text1"/>
          <w:lang w:val="en-US"/>
        </w:rPr>
        <w:t xml:space="preserve">ese provisions </w:t>
      </w:r>
      <w:r>
        <w:rPr>
          <w:color w:val="000000" w:themeColor="text1"/>
          <w:lang w:val="en-US"/>
        </w:rPr>
        <w:t xml:space="preserve">introduce the </w:t>
      </w:r>
      <w:r w:rsidR="000304E7">
        <w:rPr>
          <w:color w:val="000000" w:themeColor="text1"/>
          <w:lang w:val="en-US"/>
        </w:rPr>
        <w:t>additional patient charge</w:t>
      </w:r>
      <w:r>
        <w:rPr>
          <w:color w:val="000000" w:themeColor="text1"/>
          <w:lang w:val="en-US"/>
        </w:rPr>
        <w:t xml:space="preserve"> into legislation.</w:t>
      </w:r>
    </w:p>
    <w:p w:rsidR="00507CDA" w:rsidRDefault="00507CDA" w:rsidP="00C6083A">
      <w:pPr>
        <w:spacing w:before="0" w:after="240"/>
        <w:ind w:right="-285"/>
        <w:rPr>
          <w:color w:val="000000" w:themeColor="text1"/>
        </w:rPr>
      </w:pPr>
      <w:r>
        <w:rPr>
          <w:color w:val="000000" w:themeColor="text1"/>
        </w:rPr>
        <w:t xml:space="preserve">The amendments are required to ensure that where the additional patient charge is included in the patient charge for a PBS prescription, the prescription can be counted towards the safety net </w:t>
      </w:r>
      <w:r w:rsidR="003531D3">
        <w:rPr>
          <w:color w:val="000000" w:themeColor="text1"/>
        </w:rPr>
        <w:t xml:space="preserve">and </w:t>
      </w:r>
      <w:r>
        <w:rPr>
          <w:color w:val="000000" w:themeColor="text1"/>
        </w:rPr>
        <w:t xml:space="preserve">at the correct value. </w:t>
      </w:r>
    </w:p>
    <w:p w:rsidR="00E376BD" w:rsidRPr="00144200" w:rsidRDefault="00E376BD" w:rsidP="00B57D10">
      <w:pPr>
        <w:shd w:val="clear" w:color="auto" w:fill="FFFFFF" w:themeFill="background1"/>
        <w:spacing w:before="120"/>
        <w:jc w:val="both"/>
        <w:rPr>
          <w:b/>
        </w:rPr>
      </w:pPr>
      <w:r w:rsidRPr="00144200">
        <w:rPr>
          <w:b/>
        </w:rPr>
        <w:t>Human rights implications</w:t>
      </w:r>
    </w:p>
    <w:p w:rsidR="00C6083A" w:rsidRDefault="00B57D10" w:rsidP="00B57D10">
      <w:pPr>
        <w:shd w:val="clear" w:color="auto" w:fill="FFFFFF" w:themeFill="background1"/>
        <w:spacing w:before="0" w:after="180"/>
      </w:pPr>
      <w:r>
        <w:t>Broadly, t</w:t>
      </w:r>
      <w:r w:rsidR="00E376BD" w:rsidRPr="00B57D10">
        <w:t xml:space="preserve">he PBS </w:t>
      </w:r>
      <w:r w:rsidRPr="00B57D10">
        <w:t xml:space="preserve">is a benefit scheme which assists with providing subsidised access to medicines for people in the community. It engages Articles 2 and 12 of the </w:t>
      </w:r>
      <w:r w:rsidRPr="00144200">
        <w:t xml:space="preserve">International Covenant on Economic, Social and Cultural Rights </w:t>
      </w:r>
      <w:r>
        <w:t>(</w:t>
      </w:r>
      <w:r w:rsidRPr="00B57D10">
        <w:t>ICESCR</w:t>
      </w:r>
      <w:r>
        <w:t>)</w:t>
      </w:r>
      <w:r w:rsidRPr="00B57D10">
        <w:t>, as it is a positive step towards attaining the highest standard of health for all Australians,</w:t>
      </w:r>
      <w:r>
        <w:t xml:space="preserve"> and</w:t>
      </w:r>
      <w:r w:rsidRPr="00B57D10">
        <w:t xml:space="preserve"> it assists in the progressive realisation by all appropriate means of the right of everyone to the enjoyment of the highest attainable standard of physical and mental health. </w:t>
      </w:r>
      <w:r w:rsidRPr="00144200">
        <w:t>Th</w:t>
      </w:r>
      <w:r>
        <w:t>e</w:t>
      </w:r>
      <w:r w:rsidRPr="00144200">
        <w:t xml:space="preserve"> </w:t>
      </w:r>
      <w:r w:rsidR="00B15EFF">
        <w:t xml:space="preserve">Principal </w:t>
      </w:r>
      <w:r w:rsidRPr="00144200">
        <w:t xml:space="preserve">Regulations are compatible with Articles 2 and 12 of the </w:t>
      </w:r>
      <w:r w:rsidR="004C2489">
        <w:t>ICESCR as they contribute</w:t>
      </w:r>
      <w:r>
        <w:t xml:space="preserve"> to the</w:t>
      </w:r>
      <w:r w:rsidRPr="00B57D10">
        <w:t xml:space="preserve"> efficient </w:t>
      </w:r>
      <w:r>
        <w:t>operation and</w:t>
      </w:r>
      <w:r w:rsidRPr="00B57D10">
        <w:t xml:space="preserve"> effective administration of the scheme</w:t>
      </w:r>
      <w:r>
        <w:t>.</w:t>
      </w:r>
      <w:r w:rsidR="00293CF3">
        <w:t xml:space="preserve"> </w:t>
      </w:r>
    </w:p>
    <w:p w:rsidR="0079425B" w:rsidRDefault="004C2489" w:rsidP="00C6083A">
      <w:pPr>
        <w:keepNext/>
        <w:keepLines/>
        <w:shd w:val="clear" w:color="auto" w:fill="FFFFFF" w:themeFill="background1"/>
        <w:spacing w:before="0" w:after="180"/>
      </w:pPr>
      <w:r>
        <w:lastRenderedPageBreak/>
        <w:t>T</w:t>
      </w:r>
      <w:r w:rsidR="00B57D10">
        <w:t>he Regulation</w:t>
      </w:r>
      <w:r w:rsidR="00293CF3">
        <w:t>s</w:t>
      </w:r>
      <w:r w:rsidR="00B57D10">
        <w:t xml:space="preserve"> </w:t>
      </w:r>
      <w:r w:rsidR="00C6083A" w:rsidRPr="00F729B7">
        <w:rPr>
          <w:color w:val="000000" w:themeColor="text1"/>
          <w:lang w:val="en-US"/>
        </w:rPr>
        <w:t xml:space="preserve">make no </w:t>
      </w:r>
      <w:r w:rsidR="00C6083A">
        <w:rPr>
          <w:color w:val="000000" w:themeColor="text1"/>
          <w:lang w:val="en-US"/>
        </w:rPr>
        <w:t xml:space="preserve">practical </w:t>
      </w:r>
      <w:r w:rsidR="00C6083A" w:rsidRPr="00F729B7">
        <w:rPr>
          <w:color w:val="000000" w:themeColor="text1"/>
          <w:lang w:val="en-US"/>
        </w:rPr>
        <w:t xml:space="preserve">change to the </w:t>
      </w:r>
      <w:r w:rsidR="00C6083A">
        <w:rPr>
          <w:color w:val="000000" w:themeColor="text1"/>
          <w:lang w:val="en-US"/>
        </w:rPr>
        <w:t>calculation of patient charges or safety net amounts.</w:t>
      </w:r>
      <w:r w:rsidR="00293CF3">
        <w:t xml:space="preserve"> </w:t>
      </w:r>
      <w:r>
        <w:t xml:space="preserve">The </w:t>
      </w:r>
      <w:r w:rsidR="003531D3">
        <w:t xml:space="preserve">purpose </w:t>
      </w:r>
      <w:r>
        <w:t>is to</w:t>
      </w:r>
      <w:r w:rsidR="00293CF3">
        <w:t xml:space="preserve"> </w:t>
      </w:r>
      <w:r w:rsidR="003531D3">
        <w:t xml:space="preserve">ensure </w:t>
      </w:r>
      <w:r w:rsidR="00293CF3">
        <w:t xml:space="preserve">legislative </w:t>
      </w:r>
      <w:r w:rsidR="003531D3">
        <w:t xml:space="preserve">clarity </w:t>
      </w:r>
      <w:r w:rsidR="00293CF3">
        <w:t>for e</w:t>
      </w:r>
      <w:r w:rsidR="003531D3">
        <w:t xml:space="preserve">stablished policy and administrative </w:t>
      </w:r>
      <w:r w:rsidR="00293CF3">
        <w:t xml:space="preserve">practice. </w:t>
      </w:r>
      <w:r w:rsidR="0079425B">
        <w:t xml:space="preserve">There is no effect on the listing, pricing, prescribing, subsidy or cost to consumers of PBS medicines. There is no change to </w:t>
      </w:r>
      <w:r w:rsidR="004B2279">
        <w:t xml:space="preserve">PBS </w:t>
      </w:r>
      <w:r w:rsidR="0079425B">
        <w:t xml:space="preserve">safety net thresholds, </w:t>
      </w:r>
      <w:r w:rsidR="004B2279">
        <w:t xml:space="preserve">or </w:t>
      </w:r>
      <w:r w:rsidR="0079425B">
        <w:t>the operation of</w:t>
      </w:r>
      <w:r w:rsidR="004B2279">
        <w:t xml:space="preserve"> and</w:t>
      </w:r>
      <w:r w:rsidR="0079425B">
        <w:t xml:space="preserve"> benefits provided by, the PBS safety net.</w:t>
      </w:r>
    </w:p>
    <w:p w:rsidR="00E376BD" w:rsidRPr="00293CF3" w:rsidRDefault="00E376BD" w:rsidP="00DC337F">
      <w:pPr>
        <w:shd w:val="clear" w:color="auto" w:fill="FFFFFF" w:themeFill="background1"/>
        <w:spacing w:before="120"/>
        <w:rPr>
          <w:b/>
        </w:rPr>
      </w:pPr>
      <w:r w:rsidRPr="00293CF3">
        <w:rPr>
          <w:b/>
        </w:rPr>
        <w:t xml:space="preserve">Conclusion </w:t>
      </w:r>
    </w:p>
    <w:p w:rsidR="00E376BD" w:rsidRPr="00293CF3" w:rsidRDefault="004C2489" w:rsidP="00B15EFF">
      <w:pPr>
        <w:shd w:val="clear" w:color="auto" w:fill="FFFFFF" w:themeFill="background1"/>
        <w:autoSpaceDE w:val="0"/>
        <w:autoSpaceDN w:val="0"/>
        <w:adjustRightInd w:val="0"/>
        <w:spacing w:before="0"/>
        <w:rPr>
          <w:b/>
        </w:rPr>
      </w:pPr>
      <w:r>
        <w:t>The Regulations are</w:t>
      </w:r>
      <w:r w:rsidR="00E376BD" w:rsidRPr="00293CF3">
        <w:t xml:space="preserve"> c</w:t>
      </w:r>
      <w:r>
        <w:t>ompatible with human rights as they do</w:t>
      </w:r>
      <w:r w:rsidR="00293CF3" w:rsidRPr="00293CF3">
        <w:t xml:space="preserve"> not raise any</w:t>
      </w:r>
      <w:r w:rsidR="002923A0" w:rsidRPr="00293CF3">
        <w:t xml:space="preserve"> human rights</w:t>
      </w:r>
      <w:r w:rsidR="00293CF3" w:rsidRPr="00293CF3">
        <w:t xml:space="preserve"> issues</w:t>
      </w:r>
      <w:r>
        <w:t xml:space="preserve"> or impinge on any applicable rights or freedoms.</w:t>
      </w:r>
    </w:p>
    <w:p w:rsidR="00E376BD" w:rsidRPr="00D41E19" w:rsidRDefault="00E376BD" w:rsidP="00A86189">
      <w:pPr>
        <w:widowControl w:val="0"/>
        <w:shd w:val="clear" w:color="auto" w:fill="FFFFFF" w:themeFill="background1"/>
        <w:tabs>
          <w:tab w:val="left" w:pos="3119"/>
        </w:tabs>
        <w:jc w:val="center"/>
        <w:rPr>
          <w:rFonts w:eastAsia="Calibri"/>
          <w:b/>
          <w:lang w:eastAsia="en-US"/>
        </w:rPr>
      </w:pPr>
      <w:r w:rsidRPr="00293CF3">
        <w:rPr>
          <w:b/>
        </w:rPr>
        <w:t xml:space="preserve">The Hon. </w:t>
      </w:r>
      <w:r w:rsidR="00704423" w:rsidRPr="00293CF3">
        <w:rPr>
          <w:b/>
        </w:rPr>
        <w:t>Greg Hunt</w:t>
      </w:r>
      <w:r w:rsidRPr="00293CF3">
        <w:rPr>
          <w:b/>
        </w:rPr>
        <w:t xml:space="preserve"> MP, </w:t>
      </w:r>
      <w:r w:rsidRPr="00293CF3">
        <w:rPr>
          <w:rFonts w:eastAsia="Calibri"/>
          <w:b/>
          <w:lang w:eastAsia="en-US"/>
        </w:rPr>
        <w:t>Minister for Health</w:t>
      </w:r>
    </w:p>
    <w:sectPr w:rsidR="00E376BD" w:rsidRPr="00D41E19" w:rsidSect="005550C4">
      <w:pgSz w:w="11907" w:h="16840" w:code="9"/>
      <w:pgMar w:top="1276" w:right="1440" w:bottom="1135" w:left="1440" w:header="426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99" w:rsidRDefault="00E72599">
      <w:r>
        <w:separator/>
      </w:r>
    </w:p>
  </w:endnote>
  <w:endnote w:type="continuationSeparator" w:id="0">
    <w:p w:rsidR="00E72599" w:rsidRDefault="00E7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674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DCE" w:rsidRDefault="00016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6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030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222" w:rsidRDefault="00D232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6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99" w:rsidRDefault="00E72599">
      <w:r>
        <w:separator/>
      </w:r>
    </w:p>
  </w:footnote>
  <w:footnote w:type="continuationSeparator" w:id="0">
    <w:p w:rsidR="00E72599" w:rsidRDefault="00E7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93" w:rsidRDefault="004000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F20"/>
    <w:multiLevelType w:val="hybridMultilevel"/>
    <w:tmpl w:val="18BC3CAA"/>
    <w:lvl w:ilvl="0" w:tplc="6C94F24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05F4B"/>
    <w:multiLevelType w:val="hybridMultilevel"/>
    <w:tmpl w:val="20B64190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</w:rPr>
    </w:lvl>
  </w:abstractNum>
  <w:abstractNum w:abstractNumId="3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CAF3B85"/>
    <w:multiLevelType w:val="hybridMultilevel"/>
    <w:tmpl w:val="3AC06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645C629E"/>
    <w:multiLevelType w:val="hybridMultilevel"/>
    <w:tmpl w:val="42E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10A2D"/>
    <w:multiLevelType w:val="hybridMultilevel"/>
    <w:tmpl w:val="19E82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9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567"/>
  <w:doNotHyphenateCaps/>
  <w:drawingGridHorizontalSpacing w:val="187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69"/>
    <w:rsid w:val="00000942"/>
    <w:rsid w:val="0000102A"/>
    <w:rsid w:val="00001774"/>
    <w:rsid w:val="000017C5"/>
    <w:rsid w:val="00003068"/>
    <w:rsid w:val="000032E6"/>
    <w:rsid w:val="000042A6"/>
    <w:rsid w:val="00005314"/>
    <w:rsid w:val="000055B0"/>
    <w:rsid w:val="0000611E"/>
    <w:rsid w:val="00007523"/>
    <w:rsid w:val="00007ABE"/>
    <w:rsid w:val="00012002"/>
    <w:rsid w:val="00013E75"/>
    <w:rsid w:val="000143F0"/>
    <w:rsid w:val="000147C5"/>
    <w:rsid w:val="00015705"/>
    <w:rsid w:val="00015FE5"/>
    <w:rsid w:val="00016D7D"/>
    <w:rsid w:val="00016DCE"/>
    <w:rsid w:val="00017DB1"/>
    <w:rsid w:val="00021E67"/>
    <w:rsid w:val="00022183"/>
    <w:rsid w:val="00022606"/>
    <w:rsid w:val="00022D2E"/>
    <w:rsid w:val="000231E1"/>
    <w:rsid w:val="0002425E"/>
    <w:rsid w:val="000242FB"/>
    <w:rsid w:val="000248F4"/>
    <w:rsid w:val="000304E7"/>
    <w:rsid w:val="00031EC1"/>
    <w:rsid w:val="000341A4"/>
    <w:rsid w:val="0003495D"/>
    <w:rsid w:val="0003645E"/>
    <w:rsid w:val="00036829"/>
    <w:rsid w:val="00042141"/>
    <w:rsid w:val="0004226D"/>
    <w:rsid w:val="00043262"/>
    <w:rsid w:val="0004425F"/>
    <w:rsid w:val="00044B67"/>
    <w:rsid w:val="00044EDA"/>
    <w:rsid w:val="000463EB"/>
    <w:rsid w:val="00047EA7"/>
    <w:rsid w:val="00051322"/>
    <w:rsid w:val="00051E49"/>
    <w:rsid w:val="000524E6"/>
    <w:rsid w:val="00052AEA"/>
    <w:rsid w:val="00053C4A"/>
    <w:rsid w:val="00054067"/>
    <w:rsid w:val="00055359"/>
    <w:rsid w:val="000556EF"/>
    <w:rsid w:val="00056055"/>
    <w:rsid w:val="00057120"/>
    <w:rsid w:val="000577C8"/>
    <w:rsid w:val="00057BB2"/>
    <w:rsid w:val="00061BE4"/>
    <w:rsid w:val="00061DFD"/>
    <w:rsid w:val="00062A18"/>
    <w:rsid w:val="00063242"/>
    <w:rsid w:val="000675ED"/>
    <w:rsid w:val="00067612"/>
    <w:rsid w:val="00067FC3"/>
    <w:rsid w:val="0007075F"/>
    <w:rsid w:val="00070AD8"/>
    <w:rsid w:val="00070BD5"/>
    <w:rsid w:val="000718DF"/>
    <w:rsid w:val="00072A1E"/>
    <w:rsid w:val="000742BD"/>
    <w:rsid w:val="000756B5"/>
    <w:rsid w:val="00076248"/>
    <w:rsid w:val="000804AE"/>
    <w:rsid w:val="00081C7E"/>
    <w:rsid w:val="00081CC3"/>
    <w:rsid w:val="00082CF1"/>
    <w:rsid w:val="000836BC"/>
    <w:rsid w:val="00083D6B"/>
    <w:rsid w:val="00085DC8"/>
    <w:rsid w:val="0008768D"/>
    <w:rsid w:val="000876DA"/>
    <w:rsid w:val="0009055B"/>
    <w:rsid w:val="000918CE"/>
    <w:rsid w:val="00092071"/>
    <w:rsid w:val="00094AB2"/>
    <w:rsid w:val="000953C5"/>
    <w:rsid w:val="000978AD"/>
    <w:rsid w:val="000A0C14"/>
    <w:rsid w:val="000A10BF"/>
    <w:rsid w:val="000A1BE0"/>
    <w:rsid w:val="000A39CF"/>
    <w:rsid w:val="000A40A0"/>
    <w:rsid w:val="000A5FC1"/>
    <w:rsid w:val="000A65B9"/>
    <w:rsid w:val="000A6887"/>
    <w:rsid w:val="000B03B8"/>
    <w:rsid w:val="000B06E6"/>
    <w:rsid w:val="000B124A"/>
    <w:rsid w:val="000B263E"/>
    <w:rsid w:val="000B275F"/>
    <w:rsid w:val="000B3BA1"/>
    <w:rsid w:val="000B71E1"/>
    <w:rsid w:val="000B7C68"/>
    <w:rsid w:val="000C0710"/>
    <w:rsid w:val="000C1DDB"/>
    <w:rsid w:val="000C302B"/>
    <w:rsid w:val="000C3E50"/>
    <w:rsid w:val="000C5F2E"/>
    <w:rsid w:val="000C74B3"/>
    <w:rsid w:val="000D06B9"/>
    <w:rsid w:val="000D08F2"/>
    <w:rsid w:val="000D1B54"/>
    <w:rsid w:val="000D1C7C"/>
    <w:rsid w:val="000D25C3"/>
    <w:rsid w:val="000D2631"/>
    <w:rsid w:val="000D5225"/>
    <w:rsid w:val="000D64DF"/>
    <w:rsid w:val="000D6A12"/>
    <w:rsid w:val="000D6AB6"/>
    <w:rsid w:val="000D748A"/>
    <w:rsid w:val="000D77B0"/>
    <w:rsid w:val="000E29AB"/>
    <w:rsid w:val="000E2B99"/>
    <w:rsid w:val="000E2BA6"/>
    <w:rsid w:val="000E2BC4"/>
    <w:rsid w:val="000E2F94"/>
    <w:rsid w:val="000E4252"/>
    <w:rsid w:val="000E72F4"/>
    <w:rsid w:val="000F2D9A"/>
    <w:rsid w:val="000F57FE"/>
    <w:rsid w:val="000F625B"/>
    <w:rsid w:val="000F6922"/>
    <w:rsid w:val="000F6F76"/>
    <w:rsid w:val="000F779B"/>
    <w:rsid w:val="000F7A49"/>
    <w:rsid w:val="00101EAB"/>
    <w:rsid w:val="00102949"/>
    <w:rsid w:val="00102DC5"/>
    <w:rsid w:val="001036C5"/>
    <w:rsid w:val="00103AF4"/>
    <w:rsid w:val="0010497A"/>
    <w:rsid w:val="001050AA"/>
    <w:rsid w:val="00105F69"/>
    <w:rsid w:val="00106056"/>
    <w:rsid w:val="0011041E"/>
    <w:rsid w:val="001108A5"/>
    <w:rsid w:val="0011112A"/>
    <w:rsid w:val="00111414"/>
    <w:rsid w:val="001121E4"/>
    <w:rsid w:val="00112855"/>
    <w:rsid w:val="0011576C"/>
    <w:rsid w:val="00115EBA"/>
    <w:rsid w:val="001203BA"/>
    <w:rsid w:val="00120CA6"/>
    <w:rsid w:val="001218B3"/>
    <w:rsid w:val="00122706"/>
    <w:rsid w:val="001242E7"/>
    <w:rsid w:val="001249CE"/>
    <w:rsid w:val="00124B4D"/>
    <w:rsid w:val="00125117"/>
    <w:rsid w:val="00125904"/>
    <w:rsid w:val="00126FC1"/>
    <w:rsid w:val="00127A05"/>
    <w:rsid w:val="00127F91"/>
    <w:rsid w:val="0013159A"/>
    <w:rsid w:val="001315C6"/>
    <w:rsid w:val="001337C7"/>
    <w:rsid w:val="001342B4"/>
    <w:rsid w:val="001346A7"/>
    <w:rsid w:val="0013794D"/>
    <w:rsid w:val="00137D0F"/>
    <w:rsid w:val="0014119D"/>
    <w:rsid w:val="00141B82"/>
    <w:rsid w:val="001428E5"/>
    <w:rsid w:val="00142FF0"/>
    <w:rsid w:val="00144200"/>
    <w:rsid w:val="0014501F"/>
    <w:rsid w:val="00146322"/>
    <w:rsid w:val="001465BB"/>
    <w:rsid w:val="001469DE"/>
    <w:rsid w:val="00147111"/>
    <w:rsid w:val="00147A54"/>
    <w:rsid w:val="00151266"/>
    <w:rsid w:val="00151974"/>
    <w:rsid w:val="0015528E"/>
    <w:rsid w:val="00161990"/>
    <w:rsid w:val="00161C42"/>
    <w:rsid w:val="00163A88"/>
    <w:rsid w:val="00164400"/>
    <w:rsid w:val="00165786"/>
    <w:rsid w:val="001661D0"/>
    <w:rsid w:val="001661F7"/>
    <w:rsid w:val="00170E2E"/>
    <w:rsid w:val="0017111F"/>
    <w:rsid w:val="001712F0"/>
    <w:rsid w:val="00171439"/>
    <w:rsid w:val="00172A4F"/>
    <w:rsid w:val="0017640C"/>
    <w:rsid w:val="00177527"/>
    <w:rsid w:val="001779FC"/>
    <w:rsid w:val="00177D6D"/>
    <w:rsid w:val="00181A18"/>
    <w:rsid w:val="00182B34"/>
    <w:rsid w:val="00182B38"/>
    <w:rsid w:val="00183D17"/>
    <w:rsid w:val="00186F4C"/>
    <w:rsid w:val="001870D1"/>
    <w:rsid w:val="001872D9"/>
    <w:rsid w:val="00187E4A"/>
    <w:rsid w:val="001909AD"/>
    <w:rsid w:val="00191B22"/>
    <w:rsid w:val="0019323B"/>
    <w:rsid w:val="00193ADE"/>
    <w:rsid w:val="00194B26"/>
    <w:rsid w:val="00195D95"/>
    <w:rsid w:val="001969F3"/>
    <w:rsid w:val="00197158"/>
    <w:rsid w:val="001971BE"/>
    <w:rsid w:val="00197C24"/>
    <w:rsid w:val="001A0954"/>
    <w:rsid w:val="001A2434"/>
    <w:rsid w:val="001A4EF5"/>
    <w:rsid w:val="001A536D"/>
    <w:rsid w:val="001A5851"/>
    <w:rsid w:val="001A6507"/>
    <w:rsid w:val="001A6D7F"/>
    <w:rsid w:val="001B0E9E"/>
    <w:rsid w:val="001B19AE"/>
    <w:rsid w:val="001B1B3E"/>
    <w:rsid w:val="001B34EC"/>
    <w:rsid w:val="001B36D6"/>
    <w:rsid w:val="001B3774"/>
    <w:rsid w:val="001B41A8"/>
    <w:rsid w:val="001B444B"/>
    <w:rsid w:val="001B4737"/>
    <w:rsid w:val="001B490F"/>
    <w:rsid w:val="001B5095"/>
    <w:rsid w:val="001B64C6"/>
    <w:rsid w:val="001B6BB1"/>
    <w:rsid w:val="001B6FF6"/>
    <w:rsid w:val="001C03F3"/>
    <w:rsid w:val="001C0DFC"/>
    <w:rsid w:val="001C255C"/>
    <w:rsid w:val="001C34C7"/>
    <w:rsid w:val="001C3C74"/>
    <w:rsid w:val="001C411F"/>
    <w:rsid w:val="001C53CE"/>
    <w:rsid w:val="001C5B32"/>
    <w:rsid w:val="001C5C38"/>
    <w:rsid w:val="001C66C1"/>
    <w:rsid w:val="001C6BF3"/>
    <w:rsid w:val="001C7F77"/>
    <w:rsid w:val="001D29F1"/>
    <w:rsid w:val="001D2EFE"/>
    <w:rsid w:val="001D3EB7"/>
    <w:rsid w:val="001D497A"/>
    <w:rsid w:val="001D4BA6"/>
    <w:rsid w:val="001D4CDD"/>
    <w:rsid w:val="001D64D7"/>
    <w:rsid w:val="001D6A1F"/>
    <w:rsid w:val="001D75A5"/>
    <w:rsid w:val="001E0434"/>
    <w:rsid w:val="001E1D77"/>
    <w:rsid w:val="001E26FC"/>
    <w:rsid w:val="001E3323"/>
    <w:rsid w:val="001E4EC2"/>
    <w:rsid w:val="001E70B8"/>
    <w:rsid w:val="001E76E6"/>
    <w:rsid w:val="001E787E"/>
    <w:rsid w:val="001F0305"/>
    <w:rsid w:val="001F0B29"/>
    <w:rsid w:val="001F0B90"/>
    <w:rsid w:val="001F1DB6"/>
    <w:rsid w:val="001F2BFC"/>
    <w:rsid w:val="001F34EB"/>
    <w:rsid w:val="001F4779"/>
    <w:rsid w:val="001F4828"/>
    <w:rsid w:val="001F5DFF"/>
    <w:rsid w:val="001F6827"/>
    <w:rsid w:val="00200BF3"/>
    <w:rsid w:val="00200E1A"/>
    <w:rsid w:val="0020118D"/>
    <w:rsid w:val="00202706"/>
    <w:rsid w:val="002032CC"/>
    <w:rsid w:val="00205B24"/>
    <w:rsid w:val="00206635"/>
    <w:rsid w:val="00210AD6"/>
    <w:rsid w:val="0021130D"/>
    <w:rsid w:val="00211506"/>
    <w:rsid w:val="002128CB"/>
    <w:rsid w:val="002129EC"/>
    <w:rsid w:val="00213204"/>
    <w:rsid w:val="00213713"/>
    <w:rsid w:val="00213C66"/>
    <w:rsid w:val="00214D30"/>
    <w:rsid w:val="002160FF"/>
    <w:rsid w:val="00216474"/>
    <w:rsid w:val="002169BD"/>
    <w:rsid w:val="0022217B"/>
    <w:rsid w:val="00222480"/>
    <w:rsid w:val="00222C6E"/>
    <w:rsid w:val="00222E1D"/>
    <w:rsid w:val="00223465"/>
    <w:rsid w:val="00223646"/>
    <w:rsid w:val="00223B6E"/>
    <w:rsid w:val="00223C9D"/>
    <w:rsid w:val="00224A9F"/>
    <w:rsid w:val="00225C04"/>
    <w:rsid w:val="00225D0F"/>
    <w:rsid w:val="0022766A"/>
    <w:rsid w:val="00230D84"/>
    <w:rsid w:val="00232D84"/>
    <w:rsid w:val="00234233"/>
    <w:rsid w:val="00237666"/>
    <w:rsid w:val="00240AE1"/>
    <w:rsid w:val="002412CB"/>
    <w:rsid w:val="00243DE7"/>
    <w:rsid w:val="0024601A"/>
    <w:rsid w:val="002471AA"/>
    <w:rsid w:val="00247C03"/>
    <w:rsid w:val="002524B2"/>
    <w:rsid w:val="002529EB"/>
    <w:rsid w:val="00252FDC"/>
    <w:rsid w:val="002546B4"/>
    <w:rsid w:val="002559B9"/>
    <w:rsid w:val="00256964"/>
    <w:rsid w:val="002574BF"/>
    <w:rsid w:val="0026152B"/>
    <w:rsid w:val="00262CC8"/>
    <w:rsid w:val="00263F6F"/>
    <w:rsid w:val="0026402E"/>
    <w:rsid w:val="00265D15"/>
    <w:rsid w:val="00265FB8"/>
    <w:rsid w:val="00267D25"/>
    <w:rsid w:val="00270427"/>
    <w:rsid w:val="002745B1"/>
    <w:rsid w:val="00274903"/>
    <w:rsid w:val="00274DDC"/>
    <w:rsid w:val="002811AC"/>
    <w:rsid w:val="00281877"/>
    <w:rsid w:val="00284220"/>
    <w:rsid w:val="002850E3"/>
    <w:rsid w:val="00286148"/>
    <w:rsid w:val="00287CBE"/>
    <w:rsid w:val="00290E70"/>
    <w:rsid w:val="00291437"/>
    <w:rsid w:val="002923A0"/>
    <w:rsid w:val="0029291A"/>
    <w:rsid w:val="00293221"/>
    <w:rsid w:val="00293CF2"/>
    <w:rsid w:val="00293CF3"/>
    <w:rsid w:val="00293DB3"/>
    <w:rsid w:val="00294795"/>
    <w:rsid w:val="00295B49"/>
    <w:rsid w:val="00297038"/>
    <w:rsid w:val="002971C0"/>
    <w:rsid w:val="00297C9C"/>
    <w:rsid w:val="002A07A2"/>
    <w:rsid w:val="002A0C87"/>
    <w:rsid w:val="002A2749"/>
    <w:rsid w:val="002A39F9"/>
    <w:rsid w:val="002A4FED"/>
    <w:rsid w:val="002A50BB"/>
    <w:rsid w:val="002A5194"/>
    <w:rsid w:val="002A66EE"/>
    <w:rsid w:val="002A774D"/>
    <w:rsid w:val="002A7D2B"/>
    <w:rsid w:val="002B0370"/>
    <w:rsid w:val="002B1545"/>
    <w:rsid w:val="002B42C9"/>
    <w:rsid w:val="002B60F8"/>
    <w:rsid w:val="002B64B5"/>
    <w:rsid w:val="002B71E2"/>
    <w:rsid w:val="002C0F95"/>
    <w:rsid w:val="002C290A"/>
    <w:rsid w:val="002C3563"/>
    <w:rsid w:val="002C42F9"/>
    <w:rsid w:val="002C5281"/>
    <w:rsid w:val="002C6CA1"/>
    <w:rsid w:val="002D105C"/>
    <w:rsid w:val="002D278C"/>
    <w:rsid w:val="002D365E"/>
    <w:rsid w:val="002D4D5F"/>
    <w:rsid w:val="002D4ECD"/>
    <w:rsid w:val="002D4F69"/>
    <w:rsid w:val="002D5C1F"/>
    <w:rsid w:val="002D7400"/>
    <w:rsid w:val="002E0CF4"/>
    <w:rsid w:val="002E378C"/>
    <w:rsid w:val="002E3C4D"/>
    <w:rsid w:val="002E41E9"/>
    <w:rsid w:val="002E4AC7"/>
    <w:rsid w:val="002E64EB"/>
    <w:rsid w:val="002E65C6"/>
    <w:rsid w:val="002E71FE"/>
    <w:rsid w:val="002E779A"/>
    <w:rsid w:val="002E78B8"/>
    <w:rsid w:val="002F0054"/>
    <w:rsid w:val="002F120E"/>
    <w:rsid w:val="002F1264"/>
    <w:rsid w:val="002F151F"/>
    <w:rsid w:val="002F1BA9"/>
    <w:rsid w:val="002F2948"/>
    <w:rsid w:val="002F38BD"/>
    <w:rsid w:val="002F3998"/>
    <w:rsid w:val="002F4372"/>
    <w:rsid w:val="002F49FC"/>
    <w:rsid w:val="002F4C44"/>
    <w:rsid w:val="002F741A"/>
    <w:rsid w:val="00300352"/>
    <w:rsid w:val="00301E53"/>
    <w:rsid w:val="00302427"/>
    <w:rsid w:val="00302882"/>
    <w:rsid w:val="00302DF1"/>
    <w:rsid w:val="00303508"/>
    <w:rsid w:val="00303889"/>
    <w:rsid w:val="00303BCD"/>
    <w:rsid w:val="00303C79"/>
    <w:rsid w:val="00304BE0"/>
    <w:rsid w:val="0030560C"/>
    <w:rsid w:val="00305A17"/>
    <w:rsid w:val="00305D64"/>
    <w:rsid w:val="00305F11"/>
    <w:rsid w:val="00307EA6"/>
    <w:rsid w:val="00311EBC"/>
    <w:rsid w:val="003128B5"/>
    <w:rsid w:val="00313984"/>
    <w:rsid w:val="00314D36"/>
    <w:rsid w:val="00314DF1"/>
    <w:rsid w:val="0031520D"/>
    <w:rsid w:val="00315301"/>
    <w:rsid w:val="003155F8"/>
    <w:rsid w:val="00317A5F"/>
    <w:rsid w:val="00317B11"/>
    <w:rsid w:val="00317EC7"/>
    <w:rsid w:val="003214A2"/>
    <w:rsid w:val="00321911"/>
    <w:rsid w:val="003244D6"/>
    <w:rsid w:val="00324909"/>
    <w:rsid w:val="00324C19"/>
    <w:rsid w:val="00325C2C"/>
    <w:rsid w:val="00325E78"/>
    <w:rsid w:val="003266D3"/>
    <w:rsid w:val="00326EFA"/>
    <w:rsid w:val="003307C0"/>
    <w:rsid w:val="0033167C"/>
    <w:rsid w:val="003317B8"/>
    <w:rsid w:val="0033193A"/>
    <w:rsid w:val="00332EFF"/>
    <w:rsid w:val="00334FB5"/>
    <w:rsid w:val="00337171"/>
    <w:rsid w:val="0034010D"/>
    <w:rsid w:val="00340466"/>
    <w:rsid w:val="00341454"/>
    <w:rsid w:val="003424A5"/>
    <w:rsid w:val="00343230"/>
    <w:rsid w:val="003433A5"/>
    <w:rsid w:val="003441A3"/>
    <w:rsid w:val="00344A2C"/>
    <w:rsid w:val="00346C74"/>
    <w:rsid w:val="00346DED"/>
    <w:rsid w:val="003471BB"/>
    <w:rsid w:val="003472A6"/>
    <w:rsid w:val="00347A71"/>
    <w:rsid w:val="00347B27"/>
    <w:rsid w:val="00347BC0"/>
    <w:rsid w:val="003511D6"/>
    <w:rsid w:val="00351500"/>
    <w:rsid w:val="003521A5"/>
    <w:rsid w:val="003531D3"/>
    <w:rsid w:val="00354A0D"/>
    <w:rsid w:val="00355ADC"/>
    <w:rsid w:val="00357C08"/>
    <w:rsid w:val="00360615"/>
    <w:rsid w:val="00360AC6"/>
    <w:rsid w:val="0036132E"/>
    <w:rsid w:val="003632AF"/>
    <w:rsid w:val="00363382"/>
    <w:rsid w:val="003648EF"/>
    <w:rsid w:val="00364B44"/>
    <w:rsid w:val="003662FF"/>
    <w:rsid w:val="00366976"/>
    <w:rsid w:val="00366DCA"/>
    <w:rsid w:val="00367F4D"/>
    <w:rsid w:val="0037058E"/>
    <w:rsid w:val="003720FF"/>
    <w:rsid w:val="003724DD"/>
    <w:rsid w:val="00372C4B"/>
    <w:rsid w:val="003737D3"/>
    <w:rsid w:val="00373AD4"/>
    <w:rsid w:val="003740C9"/>
    <w:rsid w:val="00375086"/>
    <w:rsid w:val="00375498"/>
    <w:rsid w:val="0037669A"/>
    <w:rsid w:val="003775EC"/>
    <w:rsid w:val="00377AB1"/>
    <w:rsid w:val="00380186"/>
    <w:rsid w:val="0038280E"/>
    <w:rsid w:val="00383574"/>
    <w:rsid w:val="00383BD1"/>
    <w:rsid w:val="00383FA8"/>
    <w:rsid w:val="00386060"/>
    <w:rsid w:val="00386509"/>
    <w:rsid w:val="00386CF0"/>
    <w:rsid w:val="00387692"/>
    <w:rsid w:val="0038771F"/>
    <w:rsid w:val="00393DA6"/>
    <w:rsid w:val="0039404D"/>
    <w:rsid w:val="00395975"/>
    <w:rsid w:val="0039738E"/>
    <w:rsid w:val="0039771F"/>
    <w:rsid w:val="003A0C58"/>
    <w:rsid w:val="003A0DAB"/>
    <w:rsid w:val="003A138A"/>
    <w:rsid w:val="003A15F9"/>
    <w:rsid w:val="003A3DA7"/>
    <w:rsid w:val="003A5CC4"/>
    <w:rsid w:val="003A6D5C"/>
    <w:rsid w:val="003A719C"/>
    <w:rsid w:val="003B105A"/>
    <w:rsid w:val="003B2559"/>
    <w:rsid w:val="003B29F9"/>
    <w:rsid w:val="003B4058"/>
    <w:rsid w:val="003B4176"/>
    <w:rsid w:val="003B430A"/>
    <w:rsid w:val="003B4FDB"/>
    <w:rsid w:val="003B65B4"/>
    <w:rsid w:val="003B796D"/>
    <w:rsid w:val="003B7C56"/>
    <w:rsid w:val="003C118F"/>
    <w:rsid w:val="003C1401"/>
    <w:rsid w:val="003C27DC"/>
    <w:rsid w:val="003C2BC5"/>
    <w:rsid w:val="003C2F74"/>
    <w:rsid w:val="003C37AF"/>
    <w:rsid w:val="003C3D3E"/>
    <w:rsid w:val="003C527B"/>
    <w:rsid w:val="003C570F"/>
    <w:rsid w:val="003C5D50"/>
    <w:rsid w:val="003C6F0B"/>
    <w:rsid w:val="003C7DBE"/>
    <w:rsid w:val="003D0C4A"/>
    <w:rsid w:val="003D326E"/>
    <w:rsid w:val="003D44FD"/>
    <w:rsid w:val="003D5069"/>
    <w:rsid w:val="003D6A50"/>
    <w:rsid w:val="003D7C6B"/>
    <w:rsid w:val="003D7E90"/>
    <w:rsid w:val="003D7FCB"/>
    <w:rsid w:val="003E1F5B"/>
    <w:rsid w:val="003E29AD"/>
    <w:rsid w:val="003E34E7"/>
    <w:rsid w:val="003E5F44"/>
    <w:rsid w:val="003E6739"/>
    <w:rsid w:val="003E780A"/>
    <w:rsid w:val="003F099A"/>
    <w:rsid w:val="003F0A8D"/>
    <w:rsid w:val="003F0B3F"/>
    <w:rsid w:val="003F0C18"/>
    <w:rsid w:val="003F19D3"/>
    <w:rsid w:val="003F1E7A"/>
    <w:rsid w:val="003F27A3"/>
    <w:rsid w:val="003F2D16"/>
    <w:rsid w:val="003F3173"/>
    <w:rsid w:val="003F6B1A"/>
    <w:rsid w:val="003F714F"/>
    <w:rsid w:val="003F7A64"/>
    <w:rsid w:val="00400093"/>
    <w:rsid w:val="00404F07"/>
    <w:rsid w:val="0040672D"/>
    <w:rsid w:val="00406850"/>
    <w:rsid w:val="004070BB"/>
    <w:rsid w:val="004108C8"/>
    <w:rsid w:val="00410B90"/>
    <w:rsid w:val="00410C70"/>
    <w:rsid w:val="00411F5B"/>
    <w:rsid w:val="004123BD"/>
    <w:rsid w:val="004141E6"/>
    <w:rsid w:val="00414D5B"/>
    <w:rsid w:val="00414E10"/>
    <w:rsid w:val="004154C4"/>
    <w:rsid w:val="00415BCA"/>
    <w:rsid w:val="004164AB"/>
    <w:rsid w:val="0041655F"/>
    <w:rsid w:val="004166D7"/>
    <w:rsid w:val="004175CB"/>
    <w:rsid w:val="00421816"/>
    <w:rsid w:val="00423EBF"/>
    <w:rsid w:val="0042449C"/>
    <w:rsid w:val="00425316"/>
    <w:rsid w:val="0042594D"/>
    <w:rsid w:val="00425D4C"/>
    <w:rsid w:val="00430B11"/>
    <w:rsid w:val="00430B1C"/>
    <w:rsid w:val="004320F0"/>
    <w:rsid w:val="00432746"/>
    <w:rsid w:val="0043303E"/>
    <w:rsid w:val="00433F32"/>
    <w:rsid w:val="00434116"/>
    <w:rsid w:val="00434433"/>
    <w:rsid w:val="00434BAC"/>
    <w:rsid w:val="00435A64"/>
    <w:rsid w:val="00436DEE"/>
    <w:rsid w:val="00440236"/>
    <w:rsid w:val="00440A44"/>
    <w:rsid w:val="00441A76"/>
    <w:rsid w:val="0044234D"/>
    <w:rsid w:val="00442617"/>
    <w:rsid w:val="004429D7"/>
    <w:rsid w:val="004455B8"/>
    <w:rsid w:val="00445F75"/>
    <w:rsid w:val="004467DF"/>
    <w:rsid w:val="00446D1E"/>
    <w:rsid w:val="0045013A"/>
    <w:rsid w:val="00450562"/>
    <w:rsid w:val="0045124D"/>
    <w:rsid w:val="00451FF0"/>
    <w:rsid w:val="0045365A"/>
    <w:rsid w:val="0045451F"/>
    <w:rsid w:val="004551EA"/>
    <w:rsid w:val="00455433"/>
    <w:rsid w:val="00455439"/>
    <w:rsid w:val="00456004"/>
    <w:rsid w:val="0045664F"/>
    <w:rsid w:val="00457E45"/>
    <w:rsid w:val="0046026E"/>
    <w:rsid w:val="00460B92"/>
    <w:rsid w:val="00461D84"/>
    <w:rsid w:val="004623EA"/>
    <w:rsid w:val="00462957"/>
    <w:rsid w:val="004637E0"/>
    <w:rsid w:val="004638E7"/>
    <w:rsid w:val="0046452B"/>
    <w:rsid w:val="004647CE"/>
    <w:rsid w:val="00465FFA"/>
    <w:rsid w:val="004664F9"/>
    <w:rsid w:val="00466C48"/>
    <w:rsid w:val="00466CDE"/>
    <w:rsid w:val="004670C2"/>
    <w:rsid w:val="0046723B"/>
    <w:rsid w:val="00467707"/>
    <w:rsid w:val="00471069"/>
    <w:rsid w:val="0047454D"/>
    <w:rsid w:val="00476B45"/>
    <w:rsid w:val="00476B94"/>
    <w:rsid w:val="0048094F"/>
    <w:rsid w:val="00480FFB"/>
    <w:rsid w:val="0048144F"/>
    <w:rsid w:val="004818B3"/>
    <w:rsid w:val="00482374"/>
    <w:rsid w:val="00484B4F"/>
    <w:rsid w:val="0048717E"/>
    <w:rsid w:val="004875AE"/>
    <w:rsid w:val="00487B74"/>
    <w:rsid w:val="00491310"/>
    <w:rsid w:val="00492CFD"/>
    <w:rsid w:val="00492FFC"/>
    <w:rsid w:val="0049328F"/>
    <w:rsid w:val="00494BB2"/>
    <w:rsid w:val="00497000"/>
    <w:rsid w:val="004A0583"/>
    <w:rsid w:val="004A1F82"/>
    <w:rsid w:val="004A36C7"/>
    <w:rsid w:val="004A3FA2"/>
    <w:rsid w:val="004A4660"/>
    <w:rsid w:val="004A5411"/>
    <w:rsid w:val="004A5DFA"/>
    <w:rsid w:val="004A63C2"/>
    <w:rsid w:val="004B0B1A"/>
    <w:rsid w:val="004B0CDA"/>
    <w:rsid w:val="004B193D"/>
    <w:rsid w:val="004B2279"/>
    <w:rsid w:val="004B4266"/>
    <w:rsid w:val="004B517D"/>
    <w:rsid w:val="004B51BB"/>
    <w:rsid w:val="004B645A"/>
    <w:rsid w:val="004B69E9"/>
    <w:rsid w:val="004C1DDC"/>
    <w:rsid w:val="004C1F3E"/>
    <w:rsid w:val="004C2489"/>
    <w:rsid w:val="004C28F3"/>
    <w:rsid w:val="004C3ED2"/>
    <w:rsid w:val="004C50AE"/>
    <w:rsid w:val="004C51A7"/>
    <w:rsid w:val="004C7D17"/>
    <w:rsid w:val="004C7F01"/>
    <w:rsid w:val="004D0D57"/>
    <w:rsid w:val="004D1473"/>
    <w:rsid w:val="004D1E6F"/>
    <w:rsid w:val="004D218F"/>
    <w:rsid w:val="004D26B3"/>
    <w:rsid w:val="004D28FA"/>
    <w:rsid w:val="004D4E66"/>
    <w:rsid w:val="004D4F04"/>
    <w:rsid w:val="004D5890"/>
    <w:rsid w:val="004D5B75"/>
    <w:rsid w:val="004D6876"/>
    <w:rsid w:val="004D7431"/>
    <w:rsid w:val="004D7999"/>
    <w:rsid w:val="004E000C"/>
    <w:rsid w:val="004E02B5"/>
    <w:rsid w:val="004E06A8"/>
    <w:rsid w:val="004E1358"/>
    <w:rsid w:val="004E153B"/>
    <w:rsid w:val="004E156B"/>
    <w:rsid w:val="004E1B88"/>
    <w:rsid w:val="004E2508"/>
    <w:rsid w:val="004E2CB7"/>
    <w:rsid w:val="004E417F"/>
    <w:rsid w:val="004E4A83"/>
    <w:rsid w:val="004E53F8"/>
    <w:rsid w:val="004E5AD9"/>
    <w:rsid w:val="004E71C1"/>
    <w:rsid w:val="004E7448"/>
    <w:rsid w:val="004F053E"/>
    <w:rsid w:val="004F0BFB"/>
    <w:rsid w:val="004F0DD8"/>
    <w:rsid w:val="004F2EAB"/>
    <w:rsid w:val="004F3C8F"/>
    <w:rsid w:val="004F42FD"/>
    <w:rsid w:val="004F5085"/>
    <w:rsid w:val="004F5583"/>
    <w:rsid w:val="004F6DFA"/>
    <w:rsid w:val="004F7042"/>
    <w:rsid w:val="004F7AD8"/>
    <w:rsid w:val="004F7C36"/>
    <w:rsid w:val="005014C0"/>
    <w:rsid w:val="005021D6"/>
    <w:rsid w:val="00502F95"/>
    <w:rsid w:val="00503656"/>
    <w:rsid w:val="00504A61"/>
    <w:rsid w:val="0050619A"/>
    <w:rsid w:val="00506459"/>
    <w:rsid w:val="00506818"/>
    <w:rsid w:val="00506E9C"/>
    <w:rsid w:val="00507591"/>
    <w:rsid w:val="00507CDA"/>
    <w:rsid w:val="00510820"/>
    <w:rsid w:val="00510A02"/>
    <w:rsid w:val="0051154B"/>
    <w:rsid w:val="00514BC9"/>
    <w:rsid w:val="00514D8F"/>
    <w:rsid w:val="00515E6F"/>
    <w:rsid w:val="00516529"/>
    <w:rsid w:val="005167E9"/>
    <w:rsid w:val="00516F02"/>
    <w:rsid w:val="005177A1"/>
    <w:rsid w:val="005201EC"/>
    <w:rsid w:val="005213E9"/>
    <w:rsid w:val="005215FF"/>
    <w:rsid w:val="00521DE2"/>
    <w:rsid w:val="00522CDC"/>
    <w:rsid w:val="005239BD"/>
    <w:rsid w:val="00523A54"/>
    <w:rsid w:val="00523C9F"/>
    <w:rsid w:val="005241C5"/>
    <w:rsid w:val="00524AF3"/>
    <w:rsid w:val="00525342"/>
    <w:rsid w:val="00525ECB"/>
    <w:rsid w:val="00527C63"/>
    <w:rsid w:val="00530D75"/>
    <w:rsid w:val="005328F5"/>
    <w:rsid w:val="00532ADC"/>
    <w:rsid w:val="00533A4A"/>
    <w:rsid w:val="005341B2"/>
    <w:rsid w:val="00534B61"/>
    <w:rsid w:val="00535574"/>
    <w:rsid w:val="0053596A"/>
    <w:rsid w:val="00535DAA"/>
    <w:rsid w:val="00536020"/>
    <w:rsid w:val="005362E7"/>
    <w:rsid w:val="00536759"/>
    <w:rsid w:val="00536A28"/>
    <w:rsid w:val="00540C12"/>
    <w:rsid w:val="00541F5A"/>
    <w:rsid w:val="0054217F"/>
    <w:rsid w:val="00543D37"/>
    <w:rsid w:val="00544198"/>
    <w:rsid w:val="00544B88"/>
    <w:rsid w:val="00545A14"/>
    <w:rsid w:val="00545F5D"/>
    <w:rsid w:val="00546B83"/>
    <w:rsid w:val="00546F6C"/>
    <w:rsid w:val="00547E56"/>
    <w:rsid w:val="00550273"/>
    <w:rsid w:val="00551572"/>
    <w:rsid w:val="00552D66"/>
    <w:rsid w:val="0055388B"/>
    <w:rsid w:val="00553BEB"/>
    <w:rsid w:val="005550C4"/>
    <w:rsid w:val="00556294"/>
    <w:rsid w:val="005564F0"/>
    <w:rsid w:val="005565AE"/>
    <w:rsid w:val="00557638"/>
    <w:rsid w:val="005576CA"/>
    <w:rsid w:val="0056111F"/>
    <w:rsid w:val="00562C8C"/>
    <w:rsid w:val="00563CDF"/>
    <w:rsid w:val="005657D4"/>
    <w:rsid w:val="0056587E"/>
    <w:rsid w:val="005662D1"/>
    <w:rsid w:val="005675BF"/>
    <w:rsid w:val="00567A12"/>
    <w:rsid w:val="00570059"/>
    <w:rsid w:val="005706BA"/>
    <w:rsid w:val="005724C6"/>
    <w:rsid w:val="00573327"/>
    <w:rsid w:val="005747F2"/>
    <w:rsid w:val="00575F0C"/>
    <w:rsid w:val="00576C42"/>
    <w:rsid w:val="00576D08"/>
    <w:rsid w:val="00577FEB"/>
    <w:rsid w:val="005808CD"/>
    <w:rsid w:val="00582AD5"/>
    <w:rsid w:val="005838EC"/>
    <w:rsid w:val="00584593"/>
    <w:rsid w:val="00584E41"/>
    <w:rsid w:val="00586702"/>
    <w:rsid w:val="005907BD"/>
    <w:rsid w:val="00590807"/>
    <w:rsid w:val="00593535"/>
    <w:rsid w:val="0059381B"/>
    <w:rsid w:val="00593FDE"/>
    <w:rsid w:val="005945D9"/>
    <w:rsid w:val="00594888"/>
    <w:rsid w:val="0059669E"/>
    <w:rsid w:val="005969F7"/>
    <w:rsid w:val="00596BEF"/>
    <w:rsid w:val="00596D81"/>
    <w:rsid w:val="005A0611"/>
    <w:rsid w:val="005A0BA0"/>
    <w:rsid w:val="005A4221"/>
    <w:rsid w:val="005A4484"/>
    <w:rsid w:val="005A51C6"/>
    <w:rsid w:val="005A5284"/>
    <w:rsid w:val="005B1287"/>
    <w:rsid w:val="005B19C9"/>
    <w:rsid w:val="005B2AA9"/>
    <w:rsid w:val="005B2B86"/>
    <w:rsid w:val="005B2E36"/>
    <w:rsid w:val="005B3E8E"/>
    <w:rsid w:val="005B73A9"/>
    <w:rsid w:val="005C0918"/>
    <w:rsid w:val="005C13C0"/>
    <w:rsid w:val="005C37B4"/>
    <w:rsid w:val="005C384E"/>
    <w:rsid w:val="005C4448"/>
    <w:rsid w:val="005C456D"/>
    <w:rsid w:val="005C4F52"/>
    <w:rsid w:val="005C5391"/>
    <w:rsid w:val="005C5C44"/>
    <w:rsid w:val="005C653E"/>
    <w:rsid w:val="005C6F4F"/>
    <w:rsid w:val="005C6F60"/>
    <w:rsid w:val="005D0672"/>
    <w:rsid w:val="005D098F"/>
    <w:rsid w:val="005D16D3"/>
    <w:rsid w:val="005D1DC7"/>
    <w:rsid w:val="005D2801"/>
    <w:rsid w:val="005D3546"/>
    <w:rsid w:val="005D6C71"/>
    <w:rsid w:val="005D7433"/>
    <w:rsid w:val="005D7B91"/>
    <w:rsid w:val="005D7CDC"/>
    <w:rsid w:val="005E1237"/>
    <w:rsid w:val="005E2BCD"/>
    <w:rsid w:val="005E345B"/>
    <w:rsid w:val="005E5417"/>
    <w:rsid w:val="005E61FC"/>
    <w:rsid w:val="005E6940"/>
    <w:rsid w:val="005E699A"/>
    <w:rsid w:val="005F0E60"/>
    <w:rsid w:val="005F1794"/>
    <w:rsid w:val="005F271B"/>
    <w:rsid w:val="005F2733"/>
    <w:rsid w:val="005F432B"/>
    <w:rsid w:val="005F44C3"/>
    <w:rsid w:val="005F45C1"/>
    <w:rsid w:val="005F4691"/>
    <w:rsid w:val="00600537"/>
    <w:rsid w:val="00602DE8"/>
    <w:rsid w:val="006033C8"/>
    <w:rsid w:val="00603E87"/>
    <w:rsid w:val="00604833"/>
    <w:rsid w:val="0060541D"/>
    <w:rsid w:val="00605847"/>
    <w:rsid w:val="00606707"/>
    <w:rsid w:val="00607F1D"/>
    <w:rsid w:val="006106A0"/>
    <w:rsid w:val="00612E87"/>
    <w:rsid w:val="0061626E"/>
    <w:rsid w:val="006167D6"/>
    <w:rsid w:val="00617215"/>
    <w:rsid w:val="006175FF"/>
    <w:rsid w:val="00617EA1"/>
    <w:rsid w:val="00620323"/>
    <w:rsid w:val="00620781"/>
    <w:rsid w:val="00622D56"/>
    <w:rsid w:val="00622FFF"/>
    <w:rsid w:val="00623BE8"/>
    <w:rsid w:val="0062427A"/>
    <w:rsid w:val="006245ED"/>
    <w:rsid w:val="00625AB0"/>
    <w:rsid w:val="006261B0"/>
    <w:rsid w:val="00627116"/>
    <w:rsid w:val="00627663"/>
    <w:rsid w:val="00631427"/>
    <w:rsid w:val="00632A1A"/>
    <w:rsid w:val="00632E0B"/>
    <w:rsid w:val="006334EE"/>
    <w:rsid w:val="0063462B"/>
    <w:rsid w:val="00635479"/>
    <w:rsid w:val="006355DB"/>
    <w:rsid w:val="00640194"/>
    <w:rsid w:val="00641548"/>
    <w:rsid w:val="006431C5"/>
    <w:rsid w:val="00644363"/>
    <w:rsid w:val="006456D4"/>
    <w:rsid w:val="006466B5"/>
    <w:rsid w:val="00646703"/>
    <w:rsid w:val="0064796C"/>
    <w:rsid w:val="00650873"/>
    <w:rsid w:val="006516ED"/>
    <w:rsid w:val="00651C3E"/>
    <w:rsid w:val="006520E5"/>
    <w:rsid w:val="006539D7"/>
    <w:rsid w:val="00653F54"/>
    <w:rsid w:val="00654207"/>
    <w:rsid w:val="00654A52"/>
    <w:rsid w:val="00657D3E"/>
    <w:rsid w:val="00661E56"/>
    <w:rsid w:val="00662776"/>
    <w:rsid w:val="00662795"/>
    <w:rsid w:val="00662900"/>
    <w:rsid w:val="00663899"/>
    <w:rsid w:val="0066433D"/>
    <w:rsid w:val="00664C93"/>
    <w:rsid w:val="00664ED4"/>
    <w:rsid w:val="00665120"/>
    <w:rsid w:val="006653FB"/>
    <w:rsid w:val="00665E8D"/>
    <w:rsid w:val="00665EB8"/>
    <w:rsid w:val="006664D8"/>
    <w:rsid w:val="00666D74"/>
    <w:rsid w:val="00666D79"/>
    <w:rsid w:val="00667804"/>
    <w:rsid w:val="0067608E"/>
    <w:rsid w:val="006766FC"/>
    <w:rsid w:val="006806F6"/>
    <w:rsid w:val="00685933"/>
    <w:rsid w:val="00685D8F"/>
    <w:rsid w:val="006871E2"/>
    <w:rsid w:val="006871F8"/>
    <w:rsid w:val="006874B0"/>
    <w:rsid w:val="006909BC"/>
    <w:rsid w:val="00693B5E"/>
    <w:rsid w:val="00693C82"/>
    <w:rsid w:val="006946F0"/>
    <w:rsid w:val="00694916"/>
    <w:rsid w:val="00694C09"/>
    <w:rsid w:val="00695009"/>
    <w:rsid w:val="0069541E"/>
    <w:rsid w:val="00695FEA"/>
    <w:rsid w:val="00696000"/>
    <w:rsid w:val="00696EFA"/>
    <w:rsid w:val="006971C4"/>
    <w:rsid w:val="006A11CE"/>
    <w:rsid w:val="006A4908"/>
    <w:rsid w:val="006A5143"/>
    <w:rsid w:val="006A5F03"/>
    <w:rsid w:val="006A719F"/>
    <w:rsid w:val="006A7BA8"/>
    <w:rsid w:val="006B159E"/>
    <w:rsid w:val="006B1C41"/>
    <w:rsid w:val="006B206C"/>
    <w:rsid w:val="006B2CE4"/>
    <w:rsid w:val="006B35B7"/>
    <w:rsid w:val="006B3A47"/>
    <w:rsid w:val="006B5FA6"/>
    <w:rsid w:val="006B7340"/>
    <w:rsid w:val="006B74E0"/>
    <w:rsid w:val="006C0D39"/>
    <w:rsid w:val="006C0D50"/>
    <w:rsid w:val="006C0DC8"/>
    <w:rsid w:val="006C19EE"/>
    <w:rsid w:val="006C1F03"/>
    <w:rsid w:val="006C26F5"/>
    <w:rsid w:val="006C3886"/>
    <w:rsid w:val="006C5C11"/>
    <w:rsid w:val="006C5FF1"/>
    <w:rsid w:val="006D0556"/>
    <w:rsid w:val="006D0A7E"/>
    <w:rsid w:val="006D2B8F"/>
    <w:rsid w:val="006D3110"/>
    <w:rsid w:val="006D33F6"/>
    <w:rsid w:val="006D3F27"/>
    <w:rsid w:val="006D5506"/>
    <w:rsid w:val="006D620E"/>
    <w:rsid w:val="006D6D01"/>
    <w:rsid w:val="006D7819"/>
    <w:rsid w:val="006E1823"/>
    <w:rsid w:val="006E202B"/>
    <w:rsid w:val="006E280D"/>
    <w:rsid w:val="006E2CEF"/>
    <w:rsid w:val="006E4BAA"/>
    <w:rsid w:val="006E4E96"/>
    <w:rsid w:val="006E50C4"/>
    <w:rsid w:val="006E55F0"/>
    <w:rsid w:val="006E59ED"/>
    <w:rsid w:val="006E6663"/>
    <w:rsid w:val="006E7A7C"/>
    <w:rsid w:val="006F18CB"/>
    <w:rsid w:val="006F2115"/>
    <w:rsid w:val="006F4112"/>
    <w:rsid w:val="006F49DF"/>
    <w:rsid w:val="006F4BD3"/>
    <w:rsid w:val="006F7C2E"/>
    <w:rsid w:val="00703275"/>
    <w:rsid w:val="00704193"/>
    <w:rsid w:val="00704423"/>
    <w:rsid w:val="00707BC2"/>
    <w:rsid w:val="00710421"/>
    <w:rsid w:val="00710904"/>
    <w:rsid w:val="00711DBF"/>
    <w:rsid w:val="00712A84"/>
    <w:rsid w:val="00714215"/>
    <w:rsid w:val="00716301"/>
    <w:rsid w:val="00717094"/>
    <w:rsid w:val="0071736B"/>
    <w:rsid w:val="007210AC"/>
    <w:rsid w:val="0072157C"/>
    <w:rsid w:val="0072259C"/>
    <w:rsid w:val="00722C6E"/>
    <w:rsid w:val="00724E73"/>
    <w:rsid w:val="007253DB"/>
    <w:rsid w:val="00725757"/>
    <w:rsid w:val="007257A1"/>
    <w:rsid w:val="00725B08"/>
    <w:rsid w:val="00727623"/>
    <w:rsid w:val="00727A73"/>
    <w:rsid w:val="00730622"/>
    <w:rsid w:val="007317F4"/>
    <w:rsid w:val="00731BBB"/>
    <w:rsid w:val="00732172"/>
    <w:rsid w:val="007322A5"/>
    <w:rsid w:val="007336D8"/>
    <w:rsid w:val="00734D23"/>
    <w:rsid w:val="00734E8C"/>
    <w:rsid w:val="00736262"/>
    <w:rsid w:val="00736C2D"/>
    <w:rsid w:val="007376F4"/>
    <w:rsid w:val="007409A7"/>
    <w:rsid w:val="00740ACE"/>
    <w:rsid w:val="00741599"/>
    <w:rsid w:val="00743A13"/>
    <w:rsid w:val="00744F1E"/>
    <w:rsid w:val="00750260"/>
    <w:rsid w:val="00750CFB"/>
    <w:rsid w:val="00757E65"/>
    <w:rsid w:val="00760681"/>
    <w:rsid w:val="0076118F"/>
    <w:rsid w:val="007611A6"/>
    <w:rsid w:val="00762015"/>
    <w:rsid w:val="007649E2"/>
    <w:rsid w:val="00767571"/>
    <w:rsid w:val="0077057F"/>
    <w:rsid w:val="00770AA3"/>
    <w:rsid w:val="0077180A"/>
    <w:rsid w:val="00771B41"/>
    <w:rsid w:val="00772596"/>
    <w:rsid w:val="007734D7"/>
    <w:rsid w:val="00774720"/>
    <w:rsid w:val="007747F5"/>
    <w:rsid w:val="007754E8"/>
    <w:rsid w:val="00775BEB"/>
    <w:rsid w:val="0077695B"/>
    <w:rsid w:val="00777006"/>
    <w:rsid w:val="00777122"/>
    <w:rsid w:val="00777B8A"/>
    <w:rsid w:val="00780F83"/>
    <w:rsid w:val="00780FC5"/>
    <w:rsid w:val="007821E0"/>
    <w:rsid w:val="00782949"/>
    <w:rsid w:val="0078380B"/>
    <w:rsid w:val="00783878"/>
    <w:rsid w:val="00783D01"/>
    <w:rsid w:val="007840CD"/>
    <w:rsid w:val="0078705C"/>
    <w:rsid w:val="0078791A"/>
    <w:rsid w:val="0079084B"/>
    <w:rsid w:val="00792668"/>
    <w:rsid w:val="00792B6B"/>
    <w:rsid w:val="0079425B"/>
    <w:rsid w:val="00794FAF"/>
    <w:rsid w:val="00795B53"/>
    <w:rsid w:val="00796115"/>
    <w:rsid w:val="0079657E"/>
    <w:rsid w:val="00797AB2"/>
    <w:rsid w:val="00797FE9"/>
    <w:rsid w:val="007A026C"/>
    <w:rsid w:val="007A051A"/>
    <w:rsid w:val="007A09CC"/>
    <w:rsid w:val="007A12F1"/>
    <w:rsid w:val="007A3EB1"/>
    <w:rsid w:val="007A4169"/>
    <w:rsid w:val="007A44CD"/>
    <w:rsid w:val="007A6E46"/>
    <w:rsid w:val="007A780F"/>
    <w:rsid w:val="007B0638"/>
    <w:rsid w:val="007B313E"/>
    <w:rsid w:val="007B57D4"/>
    <w:rsid w:val="007B5C34"/>
    <w:rsid w:val="007B6D6C"/>
    <w:rsid w:val="007B6E90"/>
    <w:rsid w:val="007B7374"/>
    <w:rsid w:val="007B77A3"/>
    <w:rsid w:val="007B7F02"/>
    <w:rsid w:val="007C08AC"/>
    <w:rsid w:val="007C0B5E"/>
    <w:rsid w:val="007C1B9F"/>
    <w:rsid w:val="007C46D3"/>
    <w:rsid w:val="007C4D7B"/>
    <w:rsid w:val="007C5302"/>
    <w:rsid w:val="007C5E1C"/>
    <w:rsid w:val="007C62FC"/>
    <w:rsid w:val="007C75C2"/>
    <w:rsid w:val="007C7921"/>
    <w:rsid w:val="007D074E"/>
    <w:rsid w:val="007D11F9"/>
    <w:rsid w:val="007D40CB"/>
    <w:rsid w:val="007D4469"/>
    <w:rsid w:val="007D4EE6"/>
    <w:rsid w:val="007D5AEC"/>
    <w:rsid w:val="007D5C1A"/>
    <w:rsid w:val="007D5D14"/>
    <w:rsid w:val="007D696B"/>
    <w:rsid w:val="007D782E"/>
    <w:rsid w:val="007E02E3"/>
    <w:rsid w:val="007E0502"/>
    <w:rsid w:val="007E1295"/>
    <w:rsid w:val="007E1754"/>
    <w:rsid w:val="007E181E"/>
    <w:rsid w:val="007E2AF3"/>
    <w:rsid w:val="007E5843"/>
    <w:rsid w:val="007E628D"/>
    <w:rsid w:val="007E6644"/>
    <w:rsid w:val="007F14DF"/>
    <w:rsid w:val="007F15D0"/>
    <w:rsid w:val="007F28CF"/>
    <w:rsid w:val="007F2AD9"/>
    <w:rsid w:val="007F5BBA"/>
    <w:rsid w:val="007F5E70"/>
    <w:rsid w:val="007F661A"/>
    <w:rsid w:val="007F6DC9"/>
    <w:rsid w:val="007F6ED2"/>
    <w:rsid w:val="00800166"/>
    <w:rsid w:val="00800208"/>
    <w:rsid w:val="00801F96"/>
    <w:rsid w:val="00803945"/>
    <w:rsid w:val="00803FC0"/>
    <w:rsid w:val="00806BE2"/>
    <w:rsid w:val="008121BC"/>
    <w:rsid w:val="0081238D"/>
    <w:rsid w:val="0081255B"/>
    <w:rsid w:val="00812711"/>
    <w:rsid w:val="00812B15"/>
    <w:rsid w:val="00815D12"/>
    <w:rsid w:val="00815E9C"/>
    <w:rsid w:val="0081622C"/>
    <w:rsid w:val="00816448"/>
    <w:rsid w:val="00816D62"/>
    <w:rsid w:val="00816E06"/>
    <w:rsid w:val="00817DC2"/>
    <w:rsid w:val="00820BC4"/>
    <w:rsid w:val="008217B3"/>
    <w:rsid w:val="008223D9"/>
    <w:rsid w:val="0082301C"/>
    <w:rsid w:val="0082340C"/>
    <w:rsid w:val="00823AA6"/>
    <w:rsid w:val="00823B52"/>
    <w:rsid w:val="0082405B"/>
    <w:rsid w:val="00825F72"/>
    <w:rsid w:val="008269CF"/>
    <w:rsid w:val="00826E97"/>
    <w:rsid w:val="0083051E"/>
    <w:rsid w:val="00831D16"/>
    <w:rsid w:val="00834060"/>
    <w:rsid w:val="00840709"/>
    <w:rsid w:val="00840D1F"/>
    <w:rsid w:val="00841737"/>
    <w:rsid w:val="00844783"/>
    <w:rsid w:val="008449BB"/>
    <w:rsid w:val="0084552F"/>
    <w:rsid w:val="00847545"/>
    <w:rsid w:val="00847596"/>
    <w:rsid w:val="00847D45"/>
    <w:rsid w:val="00850820"/>
    <w:rsid w:val="00852317"/>
    <w:rsid w:val="008526E2"/>
    <w:rsid w:val="00856702"/>
    <w:rsid w:val="00856DD6"/>
    <w:rsid w:val="00857866"/>
    <w:rsid w:val="00862383"/>
    <w:rsid w:val="00862B91"/>
    <w:rsid w:val="008641CB"/>
    <w:rsid w:val="008642D3"/>
    <w:rsid w:val="008662C6"/>
    <w:rsid w:val="0087070C"/>
    <w:rsid w:val="00871E48"/>
    <w:rsid w:val="00873DA2"/>
    <w:rsid w:val="008743F8"/>
    <w:rsid w:val="00874857"/>
    <w:rsid w:val="00875D04"/>
    <w:rsid w:val="00876BED"/>
    <w:rsid w:val="00880685"/>
    <w:rsid w:val="00881A6C"/>
    <w:rsid w:val="00881E1A"/>
    <w:rsid w:val="00883B9F"/>
    <w:rsid w:val="00883BCD"/>
    <w:rsid w:val="0088504A"/>
    <w:rsid w:val="00885917"/>
    <w:rsid w:val="00885A3A"/>
    <w:rsid w:val="00885CF0"/>
    <w:rsid w:val="00886EB2"/>
    <w:rsid w:val="0089056D"/>
    <w:rsid w:val="008907EF"/>
    <w:rsid w:val="0089085F"/>
    <w:rsid w:val="00893971"/>
    <w:rsid w:val="00894B7A"/>
    <w:rsid w:val="00895C2B"/>
    <w:rsid w:val="00897125"/>
    <w:rsid w:val="008971C2"/>
    <w:rsid w:val="00897DF7"/>
    <w:rsid w:val="008A0EDA"/>
    <w:rsid w:val="008A1E8D"/>
    <w:rsid w:val="008A2E53"/>
    <w:rsid w:val="008A3786"/>
    <w:rsid w:val="008A4542"/>
    <w:rsid w:val="008A5351"/>
    <w:rsid w:val="008A6337"/>
    <w:rsid w:val="008B000E"/>
    <w:rsid w:val="008B0D80"/>
    <w:rsid w:val="008B2C50"/>
    <w:rsid w:val="008B2F44"/>
    <w:rsid w:val="008B4716"/>
    <w:rsid w:val="008B5486"/>
    <w:rsid w:val="008B552C"/>
    <w:rsid w:val="008B5638"/>
    <w:rsid w:val="008B60A5"/>
    <w:rsid w:val="008B748D"/>
    <w:rsid w:val="008C08D9"/>
    <w:rsid w:val="008C1613"/>
    <w:rsid w:val="008C29A6"/>
    <w:rsid w:val="008C2E31"/>
    <w:rsid w:val="008C3120"/>
    <w:rsid w:val="008C7179"/>
    <w:rsid w:val="008D0B39"/>
    <w:rsid w:val="008D10C0"/>
    <w:rsid w:val="008D54BB"/>
    <w:rsid w:val="008D5EDE"/>
    <w:rsid w:val="008D637A"/>
    <w:rsid w:val="008D6BC1"/>
    <w:rsid w:val="008D7321"/>
    <w:rsid w:val="008D7EB7"/>
    <w:rsid w:val="008E16A9"/>
    <w:rsid w:val="008E1D0D"/>
    <w:rsid w:val="008E2D9E"/>
    <w:rsid w:val="008E506C"/>
    <w:rsid w:val="008E55D8"/>
    <w:rsid w:val="008E67EB"/>
    <w:rsid w:val="008E79D9"/>
    <w:rsid w:val="008E7AE8"/>
    <w:rsid w:val="008F0C9A"/>
    <w:rsid w:val="008F1EBA"/>
    <w:rsid w:val="008F2588"/>
    <w:rsid w:val="008F34EF"/>
    <w:rsid w:val="008F3FA0"/>
    <w:rsid w:val="008F48AF"/>
    <w:rsid w:val="008F4D57"/>
    <w:rsid w:val="008F5231"/>
    <w:rsid w:val="008F57B4"/>
    <w:rsid w:val="008F5D38"/>
    <w:rsid w:val="008F69B2"/>
    <w:rsid w:val="008F79B8"/>
    <w:rsid w:val="0090006D"/>
    <w:rsid w:val="0090048C"/>
    <w:rsid w:val="009016FB"/>
    <w:rsid w:val="00901D51"/>
    <w:rsid w:val="00903D65"/>
    <w:rsid w:val="009043B9"/>
    <w:rsid w:val="00906AEE"/>
    <w:rsid w:val="00907E89"/>
    <w:rsid w:val="009104C4"/>
    <w:rsid w:val="00911CE4"/>
    <w:rsid w:val="00911E9C"/>
    <w:rsid w:val="00912956"/>
    <w:rsid w:val="00912EE3"/>
    <w:rsid w:val="00912F1D"/>
    <w:rsid w:val="009136F0"/>
    <w:rsid w:val="00913B2A"/>
    <w:rsid w:val="00914BA8"/>
    <w:rsid w:val="0091618A"/>
    <w:rsid w:val="00916701"/>
    <w:rsid w:val="00916B4F"/>
    <w:rsid w:val="0091749F"/>
    <w:rsid w:val="00921121"/>
    <w:rsid w:val="00921262"/>
    <w:rsid w:val="0092175A"/>
    <w:rsid w:val="00923C0E"/>
    <w:rsid w:val="00924000"/>
    <w:rsid w:val="009253BD"/>
    <w:rsid w:val="009264DC"/>
    <w:rsid w:val="00926754"/>
    <w:rsid w:val="0093037E"/>
    <w:rsid w:val="009311C4"/>
    <w:rsid w:val="00931D16"/>
    <w:rsid w:val="00933B3B"/>
    <w:rsid w:val="009340C8"/>
    <w:rsid w:val="00934DD2"/>
    <w:rsid w:val="00934E64"/>
    <w:rsid w:val="00935D36"/>
    <w:rsid w:val="0093644D"/>
    <w:rsid w:val="00937092"/>
    <w:rsid w:val="009377AD"/>
    <w:rsid w:val="00940113"/>
    <w:rsid w:val="00941FE2"/>
    <w:rsid w:val="0094284C"/>
    <w:rsid w:val="0094488B"/>
    <w:rsid w:val="0094674B"/>
    <w:rsid w:val="0095001F"/>
    <w:rsid w:val="00951B73"/>
    <w:rsid w:val="0095494C"/>
    <w:rsid w:val="00955706"/>
    <w:rsid w:val="009558DF"/>
    <w:rsid w:val="00956BE3"/>
    <w:rsid w:val="00960C6E"/>
    <w:rsid w:val="009610D8"/>
    <w:rsid w:val="0096110A"/>
    <w:rsid w:val="00961E6C"/>
    <w:rsid w:val="00962AB6"/>
    <w:rsid w:val="009636A1"/>
    <w:rsid w:val="009638AB"/>
    <w:rsid w:val="00963D05"/>
    <w:rsid w:val="00963D0C"/>
    <w:rsid w:val="00963D2D"/>
    <w:rsid w:val="00963FBD"/>
    <w:rsid w:val="00964278"/>
    <w:rsid w:val="00964401"/>
    <w:rsid w:val="009653AE"/>
    <w:rsid w:val="00966CDB"/>
    <w:rsid w:val="00966F16"/>
    <w:rsid w:val="00970554"/>
    <w:rsid w:val="00971B99"/>
    <w:rsid w:val="009725F6"/>
    <w:rsid w:val="0097356C"/>
    <w:rsid w:val="00973A7C"/>
    <w:rsid w:val="009740AA"/>
    <w:rsid w:val="0097452D"/>
    <w:rsid w:val="0097471D"/>
    <w:rsid w:val="00975B1C"/>
    <w:rsid w:val="009765BC"/>
    <w:rsid w:val="00980A67"/>
    <w:rsid w:val="00984140"/>
    <w:rsid w:val="00987449"/>
    <w:rsid w:val="009878AF"/>
    <w:rsid w:val="00992714"/>
    <w:rsid w:val="00992719"/>
    <w:rsid w:val="00994DAD"/>
    <w:rsid w:val="00995196"/>
    <w:rsid w:val="009A0055"/>
    <w:rsid w:val="009A0904"/>
    <w:rsid w:val="009A1361"/>
    <w:rsid w:val="009A1765"/>
    <w:rsid w:val="009A19DC"/>
    <w:rsid w:val="009A1B39"/>
    <w:rsid w:val="009A1CE0"/>
    <w:rsid w:val="009A1DE4"/>
    <w:rsid w:val="009A411A"/>
    <w:rsid w:val="009A51DC"/>
    <w:rsid w:val="009A6B09"/>
    <w:rsid w:val="009A6D37"/>
    <w:rsid w:val="009A6F2C"/>
    <w:rsid w:val="009A7D25"/>
    <w:rsid w:val="009B23FE"/>
    <w:rsid w:val="009B505D"/>
    <w:rsid w:val="009B5378"/>
    <w:rsid w:val="009B5F7A"/>
    <w:rsid w:val="009B60D1"/>
    <w:rsid w:val="009C0831"/>
    <w:rsid w:val="009C15D9"/>
    <w:rsid w:val="009C185F"/>
    <w:rsid w:val="009C231F"/>
    <w:rsid w:val="009D0822"/>
    <w:rsid w:val="009D265E"/>
    <w:rsid w:val="009D2816"/>
    <w:rsid w:val="009D46DC"/>
    <w:rsid w:val="009D5474"/>
    <w:rsid w:val="009D5AF1"/>
    <w:rsid w:val="009D79B0"/>
    <w:rsid w:val="009E00EE"/>
    <w:rsid w:val="009E0D07"/>
    <w:rsid w:val="009E1A87"/>
    <w:rsid w:val="009E2211"/>
    <w:rsid w:val="009E2301"/>
    <w:rsid w:val="009E2516"/>
    <w:rsid w:val="009E2904"/>
    <w:rsid w:val="009E39BB"/>
    <w:rsid w:val="009E4713"/>
    <w:rsid w:val="009E5361"/>
    <w:rsid w:val="009E5414"/>
    <w:rsid w:val="009E54F1"/>
    <w:rsid w:val="009E65F5"/>
    <w:rsid w:val="009E68D3"/>
    <w:rsid w:val="009E739E"/>
    <w:rsid w:val="009E7487"/>
    <w:rsid w:val="009F02B8"/>
    <w:rsid w:val="009F0DD0"/>
    <w:rsid w:val="009F1162"/>
    <w:rsid w:val="009F11BF"/>
    <w:rsid w:val="009F32FF"/>
    <w:rsid w:val="009F424D"/>
    <w:rsid w:val="009F6923"/>
    <w:rsid w:val="009F69A3"/>
    <w:rsid w:val="009F7367"/>
    <w:rsid w:val="009F756F"/>
    <w:rsid w:val="009F7799"/>
    <w:rsid w:val="009F7D17"/>
    <w:rsid w:val="009F7D70"/>
    <w:rsid w:val="00A00145"/>
    <w:rsid w:val="00A0110C"/>
    <w:rsid w:val="00A018CE"/>
    <w:rsid w:val="00A05B5A"/>
    <w:rsid w:val="00A063BA"/>
    <w:rsid w:val="00A0730A"/>
    <w:rsid w:val="00A119DA"/>
    <w:rsid w:val="00A121EC"/>
    <w:rsid w:val="00A12B3E"/>
    <w:rsid w:val="00A136E2"/>
    <w:rsid w:val="00A14084"/>
    <w:rsid w:val="00A1451F"/>
    <w:rsid w:val="00A15D43"/>
    <w:rsid w:val="00A17B02"/>
    <w:rsid w:val="00A17B53"/>
    <w:rsid w:val="00A20661"/>
    <w:rsid w:val="00A20AAA"/>
    <w:rsid w:val="00A238FC"/>
    <w:rsid w:val="00A24083"/>
    <w:rsid w:val="00A257CC"/>
    <w:rsid w:val="00A27231"/>
    <w:rsid w:val="00A27730"/>
    <w:rsid w:val="00A301AB"/>
    <w:rsid w:val="00A3155F"/>
    <w:rsid w:val="00A3356B"/>
    <w:rsid w:val="00A33B49"/>
    <w:rsid w:val="00A344A1"/>
    <w:rsid w:val="00A3544A"/>
    <w:rsid w:val="00A36200"/>
    <w:rsid w:val="00A36331"/>
    <w:rsid w:val="00A36C0B"/>
    <w:rsid w:val="00A36F7D"/>
    <w:rsid w:val="00A4025B"/>
    <w:rsid w:val="00A41A3F"/>
    <w:rsid w:val="00A41ACC"/>
    <w:rsid w:val="00A42C9D"/>
    <w:rsid w:val="00A42FB0"/>
    <w:rsid w:val="00A43A0E"/>
    <w:rsid w:val="00A4441E"/>
    <w:rsid w:val="00A44E54"/>
    <w:rsid w:val="00A44F5B"/>
    <w:rsid w:val="00A45409"/>
    <w:rsid w:val="00A461AE"/>
    <w:rsid w:val="00A46704"/>
    <w:rsid w:val="00A46EF0"/>
    <w:rsid w:val="00A47106"/>
    <w:rsid w:val="00A471FE"/>
    <w:rsid w:val="00A5243E"/>
    <w:rsid w:val="00A53F88"/>
    <w:rsid w:val="00A547E1"/>
    <w:rsid w:val="00A55EF2"/>
    <w:rsid w:val="00A56509"/>
    <w:rsid w:val="00A5798B"/>
    <w:rsid w:val="00A57C1D"/>
    <w:rsid w:val="00A60302"/>
    <w:rsid w:val="00A6314F"/>
    <w:rsid w:val="00A63913"/>
    <w:rsid w:val="00A64666"/>
    <w:rsid w:val="00A652A1"/>
    <w:rsid w:val="00A6767F"/>
    <w:rsid w:val="00A67AAD"/>
    <w:rsid w:val="00A67ED9"/>
    <w:rsid w:val="00A70689"/>
    <w:rsid w:val="00A716F5"/>
    <w:rsid w:val="00A71943"/>
    <w:rsid w:val="00A72055"/>
    <w:rsid w:val="00A72356"/>
    <w:rsid w:val="00A7239D"/>
    <w:rsid w:val="00A729BD"/>
    <w:rsid w:val="00A73329"/>
    <w:rsid w:val="00A73561"/>
    <w:rsid w:val="00A738A0"/>
    <w:rsid w:val="00A75D6C"/>
    <w:rsid w:val="00A7617D"/>
    <w:rsid w:val="00A7743D"/>
    <w:rsid w:val="00A80C2B"/>
    <w:rsid w:val="00A825B6"/>
    <w:rsid w:val="00A826EA"/>
    <w:rsid w:val="00A835D2"/>
    <w:rsid w:val="00A84059"/>
    <w:rsid w:val="00A86189"/>
    <w:rsid w:val="00A86BE8"/>
    <w:rsid w:val="00A87A39"/>
    <w:rsid w:val="00A87F18"/>
    <w:rsid w:val="00A900C2"/>
    <w:rsid w:val="00A905D0"/>
    <w:rsid w:val="00A9199B"/>
    <w:rsid w:val="00A93818"/>
    <w:rsid w:val="00A96097"/>
    <w:rsid w:val="00A961EC"/>
    <w:rsid w:val="00A9658F"/>
    <w:rsid w:val="00AA08D1"/>
    <w:rsid w:val="00AA16C3"/>
    <w:rsid w:val="00AA25FD"/>
    <w:rsid w:val="00AA264E"/>
    <w:rsid w:val="00AA2B97"/>
    <w:rsid w:val="00AA30EC"/>
    <w:rsid w:val="00AA3F2E"/>
    <w:rsid w:val="00AA52A3"/>
    <w:rsid w:val="00AA5772"/>
    <w:rsid w:val="00AA5A06"/>
    <w:rsid w:val="00AA6021"/>
    <w:rsid w:val="00AA60B6"/>
    <w:rsid w:val="00AA6C30"/>
    <w:rsid w:val="00AB06B8"/>
    <w:rsid w:val="00AB08D8"/>
    <w:rsid w:val="00AB113F"/>
    <w:rsid w:val="00AB17DC"/>
    <w:rsid w:val="00AB2715"/>
    <w:rsid w:val="00AB3BA5"/>
    <w:rsid w:val="00AB45A9"/>
    <w:rsid w:val="00AB45F4"/>
    <w:rsid w:val="00AB7193"/>
    <w:rsid w:val="00AB7206"/>
    <w:rsid w:val="00AB7226"/>
    <w:rsid w:val="00AC2CAF"/>
    <w:rsid w:val="00AC41C5"/>
    <w:rsid w:val="00AC5AE7"/>
    <w:rsid w:val="00AC5BF8"/>
    <w:rsid w:val="00AC5E12"/>
    <w:rsid w:val="00AC6305"/>
    <w:rsid w:val="00AC739B"/>
    <w:rsid w:val="00AC7C42"/>
    <w:rsid w:val="00AD2078"/>
    <w:rsid w:val="00AD52B6"/>
    <w:rsid w:val="00AD6531"/>
    <w:rsid w:val="00AD67C0"/>
    <w:rsid w:val="00AE3C5F"/>
    <w:rsid w:val="00AE467C"/>
    <w:rsid w:val="00AE53EC"/>
    <w:rsid w:val="00AE561D"/>
    <w:rsid w:val="00AE5CBF"/>
    <w:rsid w:val="00AE6458"/>
    <w:rsid w:val="00AE6BD4"/>
    <w:rsid w:val="00AE7962"/>
    <w:rsid w:val="00AF0615"/>
    <w:rsid w:val="00AF086B"/>
    <w:rsid w:val="00AF420A"/>
    <w:rsid w:val="00AF64A3"/>
    <w:rsid w:val="00B0026E"/>
    <w:rsid w:val="00B00370"/>
    <w:rsid w:val="00B006CE"/>
    <w:rsid w:val="00B00C4E"/>
    <w:rsid w:val="00B0101F"/>
    <w:rsid w:val="00B01153"/>
    <w:rsid w:val="00B015EE"/>
    <w:rsid w:val="00B0392A"/>
    <w:rsid w:val="00B04501"/>
    <w:rsid w:val="00B06757"/>
    <w:rsid w:val="00B06AAC"/>
    <w:rsid w:val="00B11223"/>
    <w:rsid w:val="00B114C8"/>
    <w:rsid w:val="00B11546"/>
    <w:rsid w:val="00B1292A"/>
    <w:rsid w:val="00B13384"/>
    <w:rsid w:val="00B13F0C"/>
    <w:rsid w:val="00B152F8"/>
    <w:rsid w:val="00B15B79"/>
    <w:rsid w:val="00B15EFF"/>
    <w:rsid w:val="00B17B9F"/>
    <w:rsid w:val="00B204E1"/>
    <w:rsid w:val="00B20EF2"/>
    <w:rsid w:val="00B21389"/>
    <w:rsid w:val="00B221C4"/>
    <w:rsid w:val="00B22282"/>
    <w:rsid w:val="00B2250A"/>
    <w:rsid w:val="00B240F4"/>
    <w:rsid w:val="00B2515F"/>
    <w:rsid w:val="00B252C2"/>
    <w:rsid w:val="00B27D8A"/>
    <w:rsid w:val="00B30DCD"/>
    <w:rsid w:val="00B3457F"/>
    <w:rsid w:val="00B34D9C"/>
    <w:rsid w:val="00B34E9A"/>
    <w:rsid w:val="00B352F1"/>
    <w:rsid w:val="00B36108"/>
    <w:rsid w:val="00B3620E"/>
    <w:rsid w:val="00B37482"/>
    <w:rsid w:val="00B37C27"/>
    <w:rsid w:val="00B4017E"/>
    <w:rsid w:val="00B40903"/>
    <w:rsid w:val="00B40A4A"/>
    <w:rsid w:val="00B41A32"/>
    <w:rsid w:val="00B41F3A"/>
    <w:rsid w:val="00B43E85"/>
    <w:rsid w:val="00B43F8B"/>
    <w:rsid w:val="00B458F3"/>
    <w:rsid w:val="00B45CE1"/>
    <w:rsid w:val="00B47A8C"/>
    <w:rsid w:val="00B50AE0"/>
    <w:rsid w:val="00B51283"/>
    <w:rsid w:val="00B52927"/>
    <w:rsid w:val="00B52E44"/>
    <w:rsid w:val="00B535D3"/>
    <w:rsid w:val="00B53E54"/>
    <w:rsid w:val="00B5589A"/>
    <w:rsid w:val="00B55BB4"/>
    <w:rsid w:val="00B55E0B"/>
    <w:rsid w:val="00B57D10"/>
    <w:rsid w:val="00B61845"/>
    <w:rsid w:val="00B6217B"/>
    <w:rsid w:val="00B62E1A"/>
    <w:rsid w:val="00B63A16"/>
    <w:rsid w:val="00B6573B"/>
    <w:rsid w:val="00B66F55"/>
    <w:rsid w:val="00B674B7"/>
    <w:rsid w:val="00B7008A"/>
    <w:rsid w:val="00B70245"/>
    <w:rsid w:val="00B72522"/>
    <w:rsid w:val="00B72F1B"/>
    <w:rsid w:val="00B74454"/>
    <w:rsid w:val="00B75271"/>
    <w:rsid w:val="00B806D9"/>
    <w:rsid w:val="00B80ED1"/>
    <w:rsid w:val="00B81FCD"/>
    <w:rsid w:val="00B82F57"/>
    <w:rsid w:val="00B847A8"/>
    <w:rsid w:val="00B85786"/>
    <w:rsid w:val="00B86809"/>
    <w:rsid w:val="00B86D95"/>
    <w:rsid w:val="00B87A91"/>
    <w:rsid w:val="00B90419"/>
    <w:rsid w:val="00B90648"/>
    <w:rsid w:val="00B90A38"/>
    <w:rsid w:val="00B927D1"/>
    <w:rsid w:val="00B92AA7"/>
    <w:rsid w:val="00B92C31"/>
    <w:rsid w:val="00B9359A"/>
    <w:rsid w:val="00B9388D"/>
    <w:rsid w:val="00B93F4F"/>
    <w:rsid w:val="00B94B0F"/>
    <w:rsid w:val="00B950C3"/>
    <w:rsid w:val="00B95A76"/>
    <w:rsid w:val="00B95CB3"/>
    <w:rsid w:val="00BA2377"/>
    <w:rsid w:val="00BA4182"/>
    <w:rsid w:val="00BA42FC"/>
    <w:rsid w:val="00BA43D5"/>
    <w:rsid w:val="00BA585A"/>
    <w:rsid w:val="00BA6046"/>
    <w:rsid w:val="00BA654E"/>
    <w:rsid w:val="00BA6EB8"/>
    <w:rsid w:val="00BA762C"/>
    <w:rsid w:val="00BB1B2A"/>
    <w:rsid w:val="00BB2DFC"/>
    <w:rsid w:val="00BB4377"/>
    <w:rsid w:val="00BB5423"/>
    <w:rsid w:val="00BB61D8"/>
    <w:rsid w:val="00BB65B3"/>
    <w:rsid w:val="00BB71B3"/>
    <w:rsid w:val="00BC175A"/>
    <w:rsid w:val="00BC1C4F"/>
    <w:rsid w:val="00BC289D"/>
    <w:rsid w:val="00BC2E13"/>
    <w:rsid w:val="00BC3BEE"/>
    <w:rsid w:val="00BC4346"/>
    <w:rsid w:val="00BC47F3"/>
    <w:rsid w:val="00BC4982"/>
    <w:rsid w:val="00BC4A02"/>
    <w:rsid w:val="00BD07B0"/>
    <w:rsid w:val="00BD09FD"/>
    <w:rsid w:val="00BD0A12"/>
    <w:rsid w:val="00BD1FB7"/>
    <w:rsid w:val="00BD227A"/>
    <w:rsid w:val="00BD443C"/>
    <w:rsid w:val="00BD5152"/>
    <w:rsid w:val="00BD6036"/>
    <w:rsid w:val="00BD6C94"/>
    <w:rsid w:val="00BD6E97"/>
    <w:rsid w:val="00BE03A0"/>
    <w:rsid w:val="00BE13FB"/>
    <w:rsid w:val="00BE1880"/>
    <w:rsid w:val="00BE275D"/>
    <w:rsid w:val="00BE32B6"/>
    <w:rsid w:val="00BE3E0D"/>
    <w:rsid w:val="00BE4281"/>
    <w:rsid w:val="00BE5AAD"/>
    <w:rsid w:val="00BE5AB4"/>
    <w:rsid w:val="00BE60E3"/>
    <w:rsid w:val="00BF047A"/>
    <w:rsid w:val="00BF0AC0"/>
    <w:rsid w:val="00BF0B4B"/>
    <w:rsid w:val="00BF0F48"/>
    <w:rsid w:val="00BF2FAC"/>
    <w:rsid w:val="00BF369E"/>
    <w:rsid w:val="00BF3970"/>
    <w:rsid w:val="00BF4147"/>
    <w:rsid w:val="00BF527A"/>
    <w:rsid w:val="00BF65EA"/>
    <w:rsid w:val="00BF720A"/>
    <w:rsid w:val="00BF75FE"/>
    <w:rsid w:val="00BF7FC5"/>
    <w:rsid w:val="00C00665"/>
    <w:rsid w:val="00C00F81"/>
    <w:rsid w:val="00C0105E"/>
    <w:rsid w:val="00C01688"/>
    <w:rsid w:val="00C01F1A"/>
    <w:rsid w:val="00C024CB"/>
    <w:rsid w:val="00C0255D"/>
    <w:rsid w:val="00C0279A"/>
    <w:rsid w:val="00C0328F"/>
    <w:rsid w:val="00C0361A"/>
    <w:rsid w:val="00C04515"/>
    <w:rsid w:val="00C06C43"/>
    <w:rsid w:val="00C079D1"/>
    <w:rsid w:val="00C11BFD"/>
    <w:rsid w:val="00C122E8"/>
    <w:rsid w:val="00C160DD"/>
    <w:rsid w:val="00C165D9"/>
    <w:rsid w:val="00C20366"/>
    <w:rsid w:val="00C20D62"/>
    <w:rsid w:val="00C21EF8"/>
    <w:rsid w:val="00C22F38"/>
    <w:rsid w:val="00C23CD3"/>
    <w:rsid w:val="00C241BE"/>
    <w:rsid w:val="00C24B75"/>
    <w:rsid w:val="00C27C9B"/>
    <w:rsid w:val="00C340F6"/>
    <w:rsid w:val="00C34138"/>
    <w:rsid w:val="00C34377"/>
    <w:rsid w:val="00C34D38"/>
    <w:rsid w:val="00C3563A"/>
    <w:rsid w:val="00C36651"/>
    <w:rsid w:val="00C36841"/>
    <w:rsid w:val="00C3689A"/>
    <w:rsid w:val="00C40D0D"/>
    <w:rsid w:val="00C4193E"/>
    <w:rsid w:val="00C425DA"/>
    <w:rsid w:val="00C428B0"/>
    <w:rsid w:val="00C43F33"/>
    <w:rsid w:val="00C44830"/>
    <w:rsid w:val="00C4646F"/>
    <w:rsid w:val="00C468F3"/>
    <w:rsid w:val="00C4699C"/>
    <w:rsid w:val="00C46DA6"/>
    <w:rsid w:val="00C470B1"/>
    <w:rsid w:val="00C474E0"/>
    <w:rsid w:val="00C4774E"/>
    <w:rsid w:val="00C501C8"/>
    <w:rsid w:val="00C50707"/>
    <w:rsid w:val="00C50BE8"/>
    <w:rsid w:val="00C519DD"/>
    <w:rsid w:val="00C52A64"/>
    <w:rsid w:val="00C53CEC"/>
    <w:rsid w:val="00C53E1B"/>
    <w:rsid w:val="00C5405D"/>
    <w:rsid w:val="00C54C89"/>
    <w:rsid w:val="00C54D4E"/>
    <w:rsid w:val="00C55453"/>
    <w:rsid w:val="00C5660F"/>
    <w:rsid w:val="00C579FE"/>
    <w:rsid w:val="00C60480"/>
    <w:rsid w:val="00C6083A"/>
    <w:rsid w:val="00C60964"/>
    <w:rsid w:val="00C61CF0"/>
    <w:rsid w:val="00C660FE"/>
    <w:rsid w:val="00C66342"/>
    <w:rsid w:val="00C70CE0"/>
    <w:rsid w:val="00C71EEF"/>
    <w:rsid w:val="00C7223D"/>
    <w:rsid w:val="00C7304A"/>
    <w:rsid w:val="00C73999"/>
    <w:rsid w:val="00C73D30"/>
    <w:rsid w:val="00C75105"/>
    <w:rsid w:val="00C753F1"/>
    <w:rsid w:val="00C76953"/>
    <w:rsid w:val="00C76EF8"/>
    <w:rsid w:val="00C800CE"/>
    <w:rsid w:val="00C807FD"/>
    <w:rsid w:val="00C80CEC"/>
    <w:rsid w:val="00C8123B"/>
    <w:rsid w:val="00C815CD"/>
    <w:rsid w:val="00C8184A"/>
    <w:rsid w:val="00C8193C"/>
    <w:rsid w:val="00C83830"/>
    <w:rsid w:val="00C83A1C"/>
    <w:rsid w:val="00C84544"/>
    <w:rsid w:val="00C86929"/>
    <w:rsid w:val="00C86DE9"/>
    <w:rsid w:val="00C87C56"/>
    <w:rsid w:val="00C87D1D"/>
    <w:rsid w:val="00C87E5B"/>
    <w:rsid w:val="00C87F1A"/>
    <w:rsid w:val="00C9032C"/>
    <w:rsid w:val="00C92D07"/>
    <w:rsid w:val="00C94DB4"/>
    <w:rsid w:val="00C963B2"/>
    <w:rsid w:val="00C97554"/>
    <w:rsid w:val="00CA16E9"/>
    <w:rsid w:val="00CA2E39"/>
    <w:rsid w:val="00CA3555"/>
    <w:rsid w:val="00CA5BA7"/>
    <w:rsid w:val="00CB19C2"/>
    <w:rsid w:val="00CB20E6"/>
    <w:rsid w:val="00CB2318"/>
    <w:rsid w:val="00CB2777"/>
    <w:rsid w:val="00CB33E1"/>
    <w:rsid w:val="00CB3FDF"/>
    <w:rsid w:val="00CB50C2"/>
    <w:rsid w:val="00CB5C41"/>
    <w:rsid w:val="00CB7104"/>
    <w:rsid w:val="00CB7C62"/>
    <w:rsid w:val="00CC065A"/>
    <w:rsid w:val="00CC154A"/>
    <w:rsid w:val="00CC3302"/>
    <w:rsid w:val="00CC3BF5"/>
    <w:rsid w:val="00CC4476"/>
    <w:rsid w:val="00CC4A6C"/>
    <w:rsid w:val="00CC526E"/>
    <w:rsid w:val="00CD0AC6"/>
    <w:rsid w:val="00CD108A"/>
    <w:rsid w:val="00CD4F0F"/>
    <w:rsid w:val="00CD5919"/>
    <w:rsid w:val="00CD63D4"/>
    <w:rsid w:val="00CD6D23"/>
    <w:rsid w:val="00CD7677"/>
    <w:rsid w:val="00CD79F4"/>
    <w:rsid w:val="00CE00AD"/>
    <w:rsid w:val="00CE04D6"/>
    <w:rsid w:val="00CE1DBF"/>
    <w:rsid w:val="00CE2FD5"/>
    <w:rsid w:val="00CE3A08"/>
    <w:rsid w:val="00CE3D05"/>
    <w:rsid w:val="00CE4CD2"/>
    <w:rsid w:val="00CE641B"/>
    <w:rsid w:val="00CE69FA"/>
    <w:rsid w:val="00CE6B74"/>
    <w:rsid w:val="00CE6E00"/>
    <w:rsid w:val="00CE6FA7"/>
    <w:rsid w:val="00CE7263"/>
    <w:rsid w:val="00CE783A"/>
    <w:rsid w:val="00CF1A1C"/>
    <w:rsid w:val="00CF2B94"/>
    <w:rsid w:val="00CF6E6A"/>
    <w:rsid w:val="00CF71B5"/>
    <w:rsid w:val="00CF794D"/>
    <w:rsid w:val="00D00DFD"/>
    <w:rsid w:val="00D01CCC"/>
    <w:rsid w:val="00D0214B"/>
    <w:rsid w:val="00D02E0E"/>
    <w:rsid w:val="00D046AE"/>
    <w:rsid w:val="00D04E5B"/>
    <w:rsid w:val="00D059CE"/>
    <w:rsid w:val="00D11ACD"/>
    <w:rsid w:val="00D139E9"/>
    <w:rsid w:val="00D14F46"/>
    <w:rsid w:val="00D1533F"/>
    <w:rsid w:val="00D15694"/>
    <w:rsid w:val="00D17A17"/>
    <w:rsid w:val="00D21275"/>
    <w:rsid w:val="00D21A28"/>
    <w:rsid w:val="00D22F5F"/>
    <w:rsid w:val="00D23222"/>
    <w:rsid w:val="00D2357C"/>
    <w:rsid w:val="00D243B3"/>
    <w:rsid w:val="00D25477"/>
    <w:rsid w:val="00D25563"/>
    <w:rsid w:val="00D2612F"/>
    <w:rsid w:val="00D26B21"/>
    <w:rsid w:val="00D27D35"/>
    <w:rsid w:val="00D27D84"/>
    <w:rsid w:val="00D27F39"/>
    <w:rsid w:val="00D319E6"/>
    <w:rsid w:val="00D32A23"/>
    <w:rsid w:val="00D32E54"/>
    <w:rsid w:val="00D3402C"/>
    <w:rsid w:val="00D34CAB"/>
    <w:rsid w:val="00D37BB0"/>
    <w:rsid w:val="00D40465"/>
    <w:rsid w:val="00D407AA"/>
    <w:rsid w:val="00D40918"/>
    <w:rsid w:val="00D4141B"/>
    <w:rsid w:val="00D45899"/>
    <w:rsid w:val="00D47A5D"/>
    <w:rsid w:val="00D47E31"/>
    <w:rsid w:val="00D50134"/>
    <w:rsid w:val="00D51B31"/>
    <w:rsid w:val="00D524ED"/>
    <w:rsid w:val="00D532A6"/>
    <w:rsid w:val="00D53897"/>
    <w:rsid w:val="00D56212"/>
    <w:rsid w:val="00D564DD"/>
    <w:rsid w:val="00D57CA5"/>
    <w:rsid w:val="00D57DE1"/>
    <w:rsid w:val="00D6065C"/>
    <w:rsid w:val="00D60FB9"/>
    <w:rsid w:val="00D62C3E"/>
    <w:rsid w:val="00D631B2"/>
    <w:rsid w:val="00D63BB0"/>
    <w:rsid w:val="00D63D8E"/>
    <w:rsid w:val="00D654ED"/>
    <w:rsid w:val="00D65F27"/>
    <w:rsid w:val="00D6735D"/>
    <w:rsid w:val="00D71112"/>
    <w:rsid w:val="00D7271D"/>
    <w:rsid w:val="00D74651"/>
    <w:rsid w:val="00D7479C"/>
    <w:rsid w:val="00D756E0"/>
    <w:rsid w:val="00D75F26"/>
    <w:rsid w:val="00D77B4D"/>
    <w:rsid w:val="00D80AC9"/>
    <w:rsid w:val="00D822F9"/>
    <w:rsid w:val="00D83078"/>
    <w:rsid w:val="00D83133"/>
    <w:rsid w:val="00D83507"/>
    <w:rsid w:val="00D8462A"/>
    <w:rsid w:val="00D85D4C"/>
    <w:rsid w:val="00D861F7"/>
    <w:rsid w:val="00D91535"/>
    <w:rsid w:val="00D91AFC"/>
    <w:rsid w:val="00D91B7A"/>
    <w:rsid w:val="00D91B8F"/>
    <w:rsid w:val="00D94551"/>
    <w:rsid w:val="00D95361"/>
    <w:rsid w:val="00D95A10"/>
    <w:rsid w:val="00D966EB"/>
    <w:rsid w:val="00DA2C04"/>
    <w:rsid w:val="00DA379A"/>
    <w:rsid w:val="00DA3871"/>
    <w:rsid w:val="00DA7757"/>
    <w:rsid w:val="00DB1D5F"/>
    <w:rsid w:val="00DB2B88"/>
    <w:rsid w:val="00DB33A5"/>
    <w:rsid w:val="00DB4553"/>
    <w:rsid w:val="00DB5CA6"/>
    <w:rsid w:val="00DB6CF0"/>
    <w:rsid w:val="00DB6D79"/>
    <w:rsid w:val="00DB70C7"/>
    <w:rsid w:val="00DC052C"/>
    <w:rsid w:val="00DC09C4"/>
    <w:rsid w:val="00DC3082"/>
    <w:rsid w:val="00DC337F"/>
    <w:rsid w:val="00DC3D83"/>
    <w:rsid w:val="00DC3F01"/>
    <w:rsid w:val="00DC400C"/>
    <w:rsid w:val="00DC424B"/>
    <w:rsid w:val="00DC5A79"/>
    <w:rsid w:val="00DC71AC"/>
    <w:rsid w:val="00DC7875"/>
    <w:rsid w:val="00DD095B"/>
    <w:rsid w:val="00DD0AD8"/>
    <w:rsid w:val="00DD138B"/>
    <w:rsid w:val="00DD2DD1"/>
    <w:rsid w:val="00DD59BF"/>
    <w:rsid w:val="00DE101B"/>
    <w:rsid w:val="00DE43D7"/>
    <w:rsid w:val="00DE43E0"/>
    <w:rsid w:val="00DE5478"/>
    <w:rsid w:val="00DE5EA7"/>
    <w:rsid w:val="00DE6328"/>
    <w:rsid w:val="00DE66A7"/>
    <w:rsid w:val="00DE6783"/>
    <w:rsid w:val="00DE69A0"/>
    <w:rsid w:val="00DF2C66"/>
    <w:rsid w:val="00DF32E1"/>
    <w:rsid w:val="00DF396E"/>
    <w:rsid w:val="00DF3B85"/>
    <w:rsid w:val="00DF3E8E"/>
    <w:rsid w:val="00DF4F17"/>
    <w:rsid w:val="00DF5421"/>
    <w:rsid w:val="00DF5842"/>
    <w:rsid w:val="00DF7F0B"/>
    <w:rsid w:val="00DF7F5E"/>
    <w:rsid w:val="00E007E9"/>
    <w:rsid w:val="00E02F31"/>
    <w:rsid w:val="00E03CC9"/>
    <w:rsid w:val="00E05398"/>
    <w:rsid w:val="00E05FCA"/>
    <w:rsid w:val="00E066FC"/>
    <w:rsid w:val="00E06C21"/>
    <w:rsid w:val="00E106BF"/>
    <w:rsid w:val="00E10CCD"/>
    <w:rsid w:val="00E12F66"/>
    <w:rsid w:val="00E144AA"/>
    <w:rsid w:val="00E14B1D"/>
    <w:rsid w:val="00E152CA"/>
    <w:rsid w:val="00E15563"/>
    <w:rsid w:val="00E17A7F"/>
    <w:rsid w:val="00E229AE"/>
    <w:rsid w:val="00E22ECC"/>
    <w:rsid w:val="00E23C5A"/>
    <w:rsid w:val="00E242F7"/>
    <w:rsid w:val="00E2471E"/>
    <w:rsid w:val="00E247A2"/>
    <w:rsid w:val="00E25247"/>
    <w:rsid w:val="00E25C07"/>
    <w:rsid w:val="00E26C19"/>
    <w:rsid w:val="00E26F80"/>
    <w:rsid w:val="00E271CA"/>
    <w:rsid w:val="00E3063D"/>
    <w:rsid w:val="00E30B02"/>
    <w:rsid w:val="00E30D55"/>
    <w:rsid w:val="00E30F12"/>
    <w:rsid w:val="00E32EBA"/>
    <w:rsid w:val="00E339A4"/>
    <w:rsid w:val="00E3414D"/>
    <w:rsid w:val="00E34B33"/>
    <w:rsid w:val="00E376BD"/>
    <w:rsid w:val="00E3782B"/>
    <w:rsid w:val="00E41B69"/>
    <w:rsid w:val="00E43363"/>
    <w:rsid w:val="00E43B70"/>
    <w:rsid w:val="00E43CD8"/>
    <w:rsid w:val="00E4429F"/>
    <w:rsid w:val="00E458D0"/>
    <w:rsid w:val="00E464C6"/>
    <w:rsid w:val="00E502DB"/>
    <w:rsid w:val="00E50860"/>
    <w:rsid w:val="00E51522"/>
    <w:rsid w:val="00E51F79"/>
    <w:rsid w:val="00E53DC4"/>
    <w:rsid w:val="00E54046"/>
    <w:rsid w:val="00E55B1D"/>
    <w:rsid w:val="00E567E7"/>
    <w:rsid w:val="00E56E8C"/>
    <w:rsid w:val="00E5725E"/>
    <w:rsid w:val="00E60B39"/>
    <w:rsid w:val="00E656E2"/>
    <w:rsid w:val="00E65E42"/>
    <w:rsid w:val="00E6690C"/>
    <w:rsid w:val="00E66929"/>
    <w:rsid w:val="00E670EC"/>
    <w:rsid w:val="00E71E09"/>
    <w:rsid w:val="00E72599"/>
    <w:rsid w:val="00E72A34"/>
    <w:rsid w:val="00E72B52"/>
    <w:rsid w:val="00E72B79"/>
    <w:rsid w:val="00E72F6A"/>
    <w:rsid w:val="00E72FC1"/>
    <w:rsid w:val="00E74A72"/>
    <w:rsid w:val="00E77BD9"/>
    <w:rsid w:val="00E80CB5"/>
    <w:rsid w:val="00E812F4"/>
    <w:rsid w:val="00E81C9C"/>
    <w:rsid w:val="00E82B86"/>
    <w:rsid w:val="00E82CE9"/>
    <w:rsid w:val="00E836E6"/>
    <w:rsid w:val="00E83CAA"/>
    <w:rsid w:val="00E862E8"/>
    <w:rsid w:val="00E908A0"/>
    <w:rsid w:val="00E90BEA"/>
    <w:rsid w:val="00E914DB"/>
    <w:rsid w:val="00E9259A"/>
    <w:rsid w:val="00E9308C"/>
    <w:rsid w:val="00E93F7D"/>
    <w:rsid w:val="00E94AB8"/>
    <w:rsid w:val="00E95D16"/>
    <w:rsid w:val="00E97731"/>
    <w:rsid w:val="00EA025C"/>
    <w:rsid w:val="00EA0E7C"/>
    <w:rsid w:val="00EA1528"/>
    <w:rsid w:val="00EA18E8"/>
    <w:rsid w:val="00EA753F"/>
    <w:rsid w:val="00EB0A39"/>
    <w:rsid w:val="00EB15F9"/>
    <w:rsid w:val="00EB170A"/>
    <w:rsid w:val="00EB1727"/>
    <w:rsid w:val="00EB2452"/>
    <w:rsid w:val="00EB3C09"/>
    <w:rsid w:val="00EB47A1"/>
    <w:rsid w:val="00EB4D9D"/>
    <w:rsid w:val="00EB56F1"/>
    <w:rsid w:val="00EB5780"/>
    <w:rsid w:val="00EB5CAC"/>
    <w:rsid w:val="00EB62F0"/>
    <w:rsid w:val="00EB7540"/>
    <w:rsid w:val="00EC1105"/>
    <w:rsid w:val="00EC1E31"/>
    <w:rsid w:val="00EC2BDE"/>
    <w:rsid w:val="00EC37D5"/>
    <w:rsid w:val="00EC52A9"/>
    <w:rsid w:val="00EC574C"/>
    <w:rsid w:val="00EC6A4E"/>
    <w:rsid w:val="00ED19A9"/>
    <w:rsid w:val="00ED202C"/>
    <w:rsid w:val="00ED2D70"/>
    <w:rsid w:val="00ED3B38"/>
    <w:rsid w:val="00ED3D2D"/>
    <w:rsid w:val="00ED40A2"/>
    <w:rsid w:val="00ED4C56"/>
    <w:rsid w:val="00ED6AF5"/>
    <w:rsid w:val="00ED7348"/>
    <w:rsid w:val="00EE0F26"/>
    <w:rsid w:val="00EE2D95"/>
    <w:rsid w:val="00EE3793"/>
    <w:rsid w:val="00EE4302"/>
    <w:rsid w:val="00EE44BE"/>
    <w:rsid w:val="00EE4D27"/>
    <w:rsid w:val="00EE650C"/>
    <w:rsid w:val="00EF0A58"/>
    <w:rsid w:val="00EF29DD"/>
    <w:rsid w:val="00EF3015"/>
    <w:rsid w:val="00EF36A4"/>
    <w:rsid w:val="00EF4239"/>
    <w:rsid w:val="00EF4F6D"/>
    <w:rsid w:val="00F01957"/>
    <w:rsid w:val="00F02249"/>
    <w:rsid w:val="00F02B4B"/>
    <w:rsid w:val="00F04875"/>
    <w:rsid w:val="00F05002"/>
    <w:rsid w:val="00F0534C"/>
    <w:rsid w:val="00F05D17"/>
    <w:rsid w:val="00F065FC"/>
    <w:rsid w:val="00F07048"/>
    <w:rsid w:val="00F0743D"/>
    <w:rsid w:val="00F10C3F"/>
    <w:rsid w:val="00F112C1"/>
    <w:rsid w:val="00F11859"/>
    <w:rsid w:val="00F11A67"/>
    <w:rsid w:val="00F125DB"/>
    <w:rsid w:val="00F156F5"/>
    <w:rsid w:val="00F1597F"/>
    <w:rsid w:val="00F163B5"/>
    <w:rsid w:val="00F21356"/>
    <w:rsid w:val="00F219DC"/>
    <w:rsid w:val="00F24497"/>
    <w:rsid w:val="00F247C9"/>
    <w:rsid w:val="00F248C0"/>
    <w:rsid w:val="00F26478"/>
    <w:rsid w:val="00F26A4C"/>
    <w:rsid w:val="00F275F4"/>
    <w:rsid w:val="00F27854"/>
    <w:rsid w:val="00F27C0D"/>
    <w:rsid w:val="00F30527"/>
    <w:rsid w:val="00F30BE4"/>
    <w:rsid w:val="00F31ED8"/>
    <w:rsid w:val="00F33A19"/>
    <w:rsid w:val="00F34659"/>
    <w:rsid w:val="00F36325"/>
    <w:rsid w:val="00F3765A"/>
    <w:rsid w:val="00F40F10"/>
    <w:rsid w:val="00F413EB"/>
    <w:rsid w:val="00F433CC"/>
    <w:rsid w:val="00F4394B"/>
    <w:rsid w:val="00F45AED"/>
    <w:rsid w:val="00F45E7C"/>
    <w:rsid w:val="00F45EAD"/>
    <w:rsid w:val="00F4694C"/>
    <w:rsid w:val="00F476E5"/>
    <w:rsid w:val="00F479BD"/>
    <w:rsid w:val="00F5070E"/>
    <w:rsid w:val="00F512C3"/>
    <w:rsid w:val="00F51489"/>
    <w:rsid w:val="00F514D3"/>
    <w:rsid w:val="00F547F3"/>
    <w:rsid w:val="00F54961"/>
    <w:rsid w:val="00F57094"/>
    <w:rsid w:val="00F5720F"/>
    <w:rsid w:val="00F601C0"/>
    <w:rsid w:val="00F6045E"/>
    <w:rsid w:val="00F60F32"/>
    <w:rsid w:val="00F65C6E"/>
    <w:rsid w:val="00F669B3"/>
    <w:rsid w:val="00F678E7"/>
    <w:rsid w:val="00F703F1"/>
    <w:rsid w:val="00F7073C"/>
    <w:rsid w:val="00F70D4B"/>
    <w:rsid w:val="00F7142B"/>
    <w:rsid w:val="00F71A6B"/>
    <w:rsid w:val="00F728E1"/>
    <w:rsid w:val="00F72A9F"/>
    <w:rsid w:val="00F73DD4"/>
    <w:rsid w:val="00F747DF"/>
    <w:rsid w:val="00F76983"/>
    <w:rsid w:val="00F76AA9"/>
    <w:rsid w:val="00F80AC6"/>
    <w:rsid w:val="00F812A2"/>
    <w:rsid w:val="00F822D6"/>
    <w:rsid w:val="00F8268B"/>
    <w:rsid w:val="00F83E24"/>
    <w:rsid w:val="00F83E95"/>
    <w:rsid w:val="00F84E7B"/>
    <w:rsid w:val="00F84FC0"/>
    <w:rsid w:val="00F8503A"/>
    <w:rsid w:val="00F85366"/>
    <w:rsid w:val="00F85759"/>
    <w:rsid w:val="00F86E34"/>
    <w:rsid w:val="00F90AFF"/>
    <w:rsid w:val="00F9216E"/>
    <w:rsid w:val="00F9233A"/>
    <w:rsid w:val="00F9389E"/>
    <w:rsid w:val="00F93B0C"/>
    <w:rsid w:val="00F9410F"/>
    <w:rsid w:val="00F94E5B"/>
    <w:rsid w:val="00F953DC"/>
    <w:rsid w:val="00F96845"/>
    <w:rsid w:val="00F97FDB"/>
    <w:rsid w:val="00FA26D6"/>
    <w:rsid w:val="00FA2DE6"/>
    <w:rsid w:val="00FA3F5F"/>
    <w:rsid w:val="00FA4514"/>
    <w:rsid w:val="00FA481D"/>
    <w:rsid w:val="00FA4F4F"/>
    <w:rsid w:val="00FA5C2B"/>
    <w:rsid w:val="00FA66A8"/>
    <w:rsid w:val="00FB0C6A"/>
    <w:rsid w:val="00FB161C"/>
    <w:rsid w:val="00FB3F81"/>
    <w:rsid w:val="00FB58BD"/>
    <w:rsid w:val="00FB6081"/>
    <w:rsid w:val="00FB6A19"/>
    <w:rsid w:val="00FB76E2"/>
    <w:rsid w:val="00FB772C"/>
    <w:rsid w:val="00FC1606"/>
    <w:rsid w:val="00FC2077"/>
    <w:rsid w:val="00FC3BD4"/>
    <w:rsid w:val="00FC462F"/>
    <w:rsid w:val="00FC4AA0"/>
    <w:rsid w:val="00FC4DD9"/>
    <w:rsid w:val="00FC58D2"/>
    <w:rsid w:val="00FC60FA"/>
    <w:rsid w:val="00FD0563"/>
    <w:rsid w:val="00FD0FBA"/>
    <w:rsid w:val="00FD14F5"/>
    <w:rsid w:val="00FD445A"/>
    <w:rsid w:val="00FD5E65"/>
    <w:rsid w:val="00FD6399"/>
    <w:rsid w:val="00FD7EE6"/>
    <w:rsid w:val="00FD7F07"/>
    <w:rsid w:val="00FE1153"/>
    <w:rsid w:val="00FE2C2F"/>
    <w:rsid w:val="00FE39B5"/>
    <w:rsid w:val="00FE474B"/>
    <w:rsid w:val="00FE6C77"/>
    <w:rsid w:val="00FE716B"/>
    <w:rsid w:val="00FE7E23"/>
    <w:rsid w:val="00FF0339"/>
    <w:rsid w:val="00FF0C54"/>
    <w:rsid w:val="00FF1869"/>
    <w:rsid w:val="00FF2D23"/>
    <w:rsid w:val="00FF45BC"/>
    <w:rsid w:val="00FF4924"/>
    <w:rsid w:val="00FF5479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36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360" w:after="120"/>
      <w:ind w:left="720" w:hanging="72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pPr>
      <w:numPr>
        <w:numId w:val="5"/>
      </w:numPr>
      <w:tabs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pPr>
      <w:spacing w:before="0"/>
      <w:jc w:val="right"/>
    </w:pPr>
    <w:rPr>
      <w:b/>
      <w:bCs/>
    </w:rPr>
  </w:style>
  <w:style w:type="character" w:customStyle="1" w:styleId="AppendixCharChar">
    <w:name w:val="Appendix Char Char"/>
    <w:rPr>
      <w:b/>
      <w:bCs/>
      <w:sz w:val="24"/>
      <w:szCs w:val="24"/>
      <w:lang w:val="en-AU" w:eastAsia="en-AU"/>
    </w:rPr>
  </w:style>
  <w:style w:type="paragraph" w:styleId="BlockText">
    <w:name w:val="Block Text"/>
    <w:basedOn w:val="Normal"/>
    <w:pPr>
      <w:ind w:left="1440" w:right="90" w:hanging="720"/>
    </w:pPr>
  </w:style>
  <w:style w:type="paragraph" w:customStyle="1" w:styleId="AppendixTitle">
    <w:name w:val="Appendix Title"/>
    <w:basedOn w:val="Normal"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bCs/>
    </w:rPr>
  </w:style>
  <w:style w:type="paragraph" w:styleId="TOC2">
    <w:name w:val="toc 2"/>
    <w:basedOn w:val="Normal"/>
    <w:next w:val="Normal"/>
    <w:autoRedefine/>
    <w:semiHidden/>
    <w:pPr>
      <w:spacing w:before="120" w:after="120"/>
      <w:ind w:left="240"/>
    </w:pPr>
  </w:style>
  <w:style w:type="paragraph" w:styleId="TOC3">
    <w:name w:val="toc 3"/>
    <w:basedOn w:val="Normal"/>
    <w:next w:val="Normal"/>
    <w:autoRedefine/>
    <w:semiHidden/>
    <w:pPr>
      <w:spacing w:before="120" w:after="120"/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customStyle="1" w:styleId="HB-Paragraph-unnumberedCharChar">
    <w:name w:val="HB - Paragraph - unnumbered Char Char"/>
    <w:rPr>
      <w:sz w:val="24"/>
      <w:szCs w:val="24"/>
      <w:lang w:val="en-AU" w:eastAsia="en-AU"/>
    </w:rPr>
  </w:style>
  <w:style w:type="paragraph" w:customStyle="1" w:styleId="HB-Paragraph-unnumbered">
    <w:name w:val="HB - Paragraph - unnumbered"/>
    <w:basedOn w:val="Normal"/>
    <w:pPr>
      <w:ind w:left="851"/>
    </w:pPr>
  </w:style>
  <w:style w:type="paragraph" w:customStyle="1" w:styleId="HB-dotpoint">
    <w:name w:val="HB - dotpoint"/>
    <w:basedOn w:val="Normal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rPr>
      <w:sz w:val="24"/>
      <w:szCs w:val="24"/>
      <w:lang w:val="en-AU" w:eastAsia="en-AU"/>
    </w:rPr>
  </w:style>
  <w:style w:type="paragraph" w:customStyle="1" w:styleId="HB-Paragraph-alphpoint">
    <w:name w:val="HB - Paragraph - alph point"/>
    <w:basedOn w:val="Normal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pPr>
      <w:tabs>
        <w:tab w:val="left" w:pos="720"/>
      </w:tabs>
      <w:spacing w:before="0"/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0"/>
      <w:jc w:val="center"/>
    </w:pPr>
    <w:rPr>
      <w:b/>
      <w:bCs/>
      <w:sz w:val="36"/>
      <w:szCs w:val="36"/>
    </w:rPr>
  </w:style>
  <w:style w:type="paragraph" w:customStyle="1" w:styleId="HB-Table-Subpoint">
    <w:name w:val="HB - Table - Subpoint"/>
    <w:basedOn w:val="Normal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300"/>
    </w:p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rsid w:val="00B75271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7A44CD"/>
    <w:pPr>
      <w:spacing w:before="0"/>
    </w:pPr>
    <w:rPr>
      <w:rFonts w:ascii="Arial" w:hAnsi="Arial" w:cs="Arial"/>
      <w:sz w:val="22"/>
      <w:szCs w:val="22"/>
      <w:lang w:eastAsia="en-US"/>
    </w:rPr>
  </w:style>
  <w:style w:type="paragraph" w:customStyle="1" w:styleId="numberpara">
    <w:name w:val="numberpara"/>
    <w:basedOn w:val="Footer"/>
    <w:rsid w:val="006B3A47"/>
    <w:pPr>
      <w:tabs>
        <w:tab w:val="clear" w:pos="4153"/>
        <w:tab w:val="clear" w:pos="8306"/>
        <w:tab w:val="left" w:pos="360"/>
        <w:tab w:val="left" w:pos="567"/>
      </w:tabs>
      <w:spacing w:before="120" w:line="360" w:lineRule="auto"/>
    </w:pPr>
    <w:rPr>
      <w:szCs w:val="20"/>
      <w:lang w:val="en-US"/>
    </w:rPr>
  </w:style>
  <w:style w:type="paragraph" w:customStyle="1" w:styleId="Char2">
    <w:name w:val="Char2"/>
    <w:basedOn w:val="Normal"/>
    <w:rsid w:val="00963FBD"/>
    <w:pPr>
      <w:widowControl w:val="0"/>
      <w:adjustRightInd w:val="0"/>
      <w:spacing w:before="0" w:line="360" w:lineRule="atLeast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definition">
    <w:name w:val="definition"/>
    <w:basedOn w:val="Normal"/>
    <w:rsid w:val="00797AB2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Note">
    <w:name w:val="Note"/>
    <w:basedOn w:val="Normal"/>
    <w:rsid w:val="00797AB2"/>
    <w:pPr>
      <w:spacing w:before="120" w:line="221" w:lineRule="auto"/>
      <w:ind w:left="964"/>
      <w:jc w:val="both"/>
    </w:pPr>
    <w:rPr>
      <w:sz w:val="20"/>
    </w:rPr>
  </w:style>
  <w:style w:type="paragraph" w:customStyle="1" w:styleId="P1">
    <w:name w:val="P1"/>
    <w:aliases w:val="(a)"/>
    <w:basedOn w:val="Normal"/>
    <w:rsid w:val="00797AB2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Headingbold0">
    <w:name w:val="Heading bold 0"/>
    <w:aliases w:val="3"/>
    <w:basedOn w:val="Normal"/>
    <w:next w:val="PlainText"/>
    <w:rsid w:val="00847D45"/>
    <w:pPr>
      <w:keepNext/>
      <w:spacing w:after="60"/>
      <w:ind w:right="45"/>
    </w:pPr>
    <w:rPr>
      <w:b/>
      <w:bCs/>
    </w:rPr>
  </w:style>
  <w:style w:type="paragraph" w:customStyle="1" w:styleId="Textbody0">
    <w:name w:val="Text body 0"/>
    <w:aliases w:val="12"/>
    <w:basedOn w:val="Normal"/>
    <w:rsid w:val="00847D45"/>
    <w:pPr>
      <w:spacing w:before="0" w:after="240"/>
      <w:ind w:right="45"/>
    </w:pPr>
    <w:rPr>
      <w:bCs/>
    </w:rPr>
  </w:style>
  <w:style w:type="paragraph" w:styleId="PlainText">
    <w:name w:val="Plain Text"/>
    <w:basedOn w:val="Normal"/>
    <w:rsid w:val="00847D4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7DB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8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E7"/>
    <w:pPr>
      <w:spacing w:before="0"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60">
    <w:name w:val="Heading6"/>
    <w:basedOn w:val="Normal"/>
    <w:link w:val="Heading6Char"/>
    <w:rsid w:val="00BE4281"/>
    <w:pPr>
      <w:keepNext/>
      <w:keepLines/>
      <w:suppressAutoHyphens/>
      <w:spacing w:before="0"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locked/>
    <w:rsid w:val="00BE4281"/>
    <w:rPr>
      <w:b/>
    </w:rPr>
  </w:style>
  <w:style w:type="paragraph" w:customStyle="1" w:styleId="ActHead3">
    <w:name w:val="ActHead 3"/>
    <w:aliases w:val="d"/>
    <w:basedOn w:val="Normal"/>
    <w:next w:val="ActHead4"/>
    <w:qFormat/>
    <w:rsid w:val="00BD227A"/>
    <w:pPr>
      <w:keepNext/>
      <w:keepLines/>
      <w:ind w:left="1134" w:hanging="1134"/>
      <w:outlineLvl w:val="2"/>
    </w:pPr>
    <w:rPr>
      <w:b/>
      <w:kern w:val="28"/>
      <w:sz w:val="28"/>
      <w:szCs w:val="20"/>
    </w:rPr>
  </w:style>
  <w:style w:type="paragraph" w:customStyle="1" w:styleId="ActHead4">
    <w:name w:val="ActHead 4"/>
    <w:aliases w:val="sd"/>
    <w:basedOn w:val="Normal"/>
    <w:next w:val="ActHead5"/>
    <w:qFormat/>
    <w:rsid w:val="00BD227A"/>
    <w:pPr>
      <w:keepNext/>
      <w:keepLines/>
      <w:spacing w:before="220"/>
      <w:ind w:left="1134" w:hanging="1134"/>
      <w:outlineLvl w:val="3"/>
    </w:pPr>
    <w:rPr>
      <w:b/>
      <w:kern w:val="28"/>
      <w:sz w:val="26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BD227A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DivNo">
    <w:name w:val="CharDivNo"/>
    <w:basedOn w:val="DefaultParagraphFont"/>
    <w:uiPriority w:val="1"/>
    <w:qFormat/>
    <w:rsid w:val="00BD227A"/>
  </w:style>
  <w:style w:type="character" w:customStyle="1" w:styleId="CharDivText">
    <w:name w:val="CharDivText"/>
    <w:basedOn w:val="DefaultParagraphFont"/>
    <w:uiPriority w:val="1"/>
    <w:qFormat/>
    <w:rsid w:val="00BD227A"/>
  </w:style>
  <w:style w:type="character" w:customStyle="1" w:styleId="CharSectno">
    <w:name w:val="CharSectno"/>
    <w:basedOn w:val="DefaultParagraphFont"/>
    <w:qFormat/>
    <w:rsid w:val="00BD227A"/>
  </w:style>
  <w:style w:type="character" w:customStyle="1" w:styleId="CharSubdNo">
    <w:name w:val="CharSubdNo"/>
    <w:basedOn w:val="DefaultParagraphFont"/>
    <w:uiPriority w:val="1"/>
    <w:qFormat/>
    <w:rsid w:val="00BD227A"/>
  </w:style>
  <w:style w:type="character" w:customStyle="1" w:styleId="CharSubdText">
    <w:name w:val="CharSubdText"/>
    <w:basedOn w:val="DefaultParagraphFont"/>
    <w:uiPriority w:val="1"/>
    <w:qFormat/>
    <w:rsid w:val="00BD227A"/>
  </w:style>
  <w:style w:type="paragraph" w:customStyle="1" w:styleId="subsection">
    <w:name w:val="subsection"/>
    <w:aliases w:val="ss"/>
    <w:basedOn w:val="Normal"/>
    <w:link w:val="subsectionChar"/>
    <w:rsid w:val="00BD227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0">
    <w:name w:val="Definition"/>
    <w:aliases w:val="dd"/>
    <w:basedOn w:val="Normal"/>
    <w:rsid w:val="00BD227A"/>
    <w:pPr>
      <w:spacing w:before="180"/>
      <w:ind w:left="1134"/>
    </w:pPr>
    <w:rPr>
      <w:sz w:val="22"/>
      <w:szCs w:val="20"/>
    </w:rPr>
  </w:style>
  <w:style w:type="paragraph" w:customStyle="1" w:styleId="Item">
    <w:name w:val="Item"/>
    <w:aliases w:val="i"/>
    <w:basedOn w:val="Normal"/>
    <w:next w:val="ItemHead"/>
    <w:rsid w:val="00BD227A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BD227A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sub">
    <w:name w:val="paragraph(sub)"/>
    <w:aliases w:val="aa"/>
    <w:basedOn w:val="Normal"/>
    <w:rsid w:val="00BD227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BD227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2">
    <w:name w:val="subsection2"/>
    <w:aliases w:val="ss2"/>
    <w:basedOn w:val="Normal"/>
    <w:next w:val="subsection"/>
    <w:rsid w:val="00BD227A"/>
    <w:pPr>
      <w:spacing w:before="4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BD227A"/>
    <w:pPr>
      <w:spacing w:before="122"/>
      <w:ind w:left="1985" w:hanging="851"/>
    </w:pPr>
    <w:rPr>
      <w:sz w:val="18"/>
      <w:szCs w:val="20"/>
    </w:rPr>
  </w:style>
  <w:style w:type="character" w:customStyle="1" w:styleId="subsectionChar">
    <w:name w:val="subsection Char"/>
    <w:aliases w:val="ss Char"/>
    <w:link w:val="subsection"/>
    <w:locked/>
    <w:rsid w:val="00BD227A"/>
    <w:rPr>
      <w:sz w:val="22"/>
    </w:rPr>
  </w:style>
  <w:style w:type="character" w:customStyle="1" w:styleId="notetextChar">
    <w:name w:val="note(text) Char"/>
    <w:aliases w:val="n Char"/>
    <w:link w:val="notetext"/>
    <w:rsid w:val="00BD227A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16DCE"/>
    <w:rPr>
      <w:sz w:val="24"/>
      <w:szCs w:val="24"/>
    </w:rPr>
  </w:style>
  <w:style w:type="paragraph" w:styleId="FootnoteText">
    <w:name w:val="footnote text"/>
    <w:basedOn w:val="Normal"/>
    <w:link w:val="FootnoteTextChar"/>
    <w:rsid w:val="004A5411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5411"/>
  </w:style>
  <w:style w:type="character" w:styleId="FootnoteReference">
    <w:name w:val="footnote reference"/>
    <w:basedOn w:val="DefaultParagraphFont"/>
    <w:rsid w:val="004A54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36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360" w:after="120"/>
      <w:ind w:left="720" w:hanging="72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pPr>
      <w:numPr>
        <w:numId w:val="5"/>
      </w:numPr>
      <w:tabs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pPr>
      <w:spacing w:before="0"/>
      <w:jc w:val="right"/>
    </w:pPr>
    <w:rPr>
      <w:b/>
      <w:bCs/>
    </w:rPr>
  </w:style>
  <w:style w:type="character" w:customStyle="1" w:styleId="AppendixCharChar">
    <w:name w:val="Appendix Char Char"/>
    <w:rPr>
      <w:b/>
      <w:bCs/>
      <w:sz w:val="24"/>
      <w:szCs w:val="24"/>
      <w:lang w:val="en-AU" w:eastAsia="en-AU"/>
    </w:rPr>
  </w:style>
  <w:style w:type="paragraph" w:styleId="BlockText">
    <w:name w:val="Block Text"/>
    <w:basedOn w:val="Normal"/>
    <w:pPr>
      <w:ind w:left="1440" w:right="90" w:hanging="720"/>
    </w:pPr>
  </w:style>
  <w:style w:type="paragraph" w:customStyle="1" w:styleId="AppendixTitle">
    <w:name w:val="Appendix Title"/>
    <w:basedOn w:val="Normal"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bCs/>
    </w:rPr>
  </w:style>
  <w:style w:type="paragraph" w:styleId="TOC2">
    <w:name w:val="toc 2"/>
    <w:basedOn w:val="Normal"/>
    <w:next w:val="Normal"/>
    <w:autoRedefine/>
    <w:semiHidden/>
    <w:pPr>
      <w:spacing w:before="120" w:after="120"/>
      <w:ind w:left="240"/>
    </w:pPr>
  </w:style>
  <w:style w:type="paragraph" w:styleId="TOC3">
    <w:name w:val="toc 3"/>
    <w:basedOn w:val="Normal"/>
    <w:next w:val="Normal"/>
    <w:autoRedefine/>
    <w:semiHidden/>
    <w:pPr>
      <w:spacing w:before="120" w:after="120"/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customStyle="1" w:styleId="HB-Paragraph-unnumberedCharChar">
    <w:name w:val="HB - Paragraph - unnumbered Char Char"/>
    <w:rPr>
      <w:sz w:val="24"/>
      <w:szCs w:val="24"/>
      <w:lang w:val="en-AU" w:eastAsia="en-AU"/>
    </w:rPr>
  </w:style>
  <w:style w:type="paragraph" w:customStyle="1" w:styleId="HB-Paragraph-unnumbered">
    <w:name w:val="HB - Paragraph - unnumbered"/>
    <w:basedOn w:val="Normal"/>
    <w:pPr>
      <w:ind w:left="851"/>
    </w:pPr>
  </w:style>
  <w:style w:type="paragraph" w:customStyle="1" w:styleId="HB-dotpoint">
    <w:name w:val="HB - dotpoint"/>
    <w:basedOn w:val="Normal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rPr>
      <w:sz w:val="24"/>
      <w:szCs w:val="24"/>
      <w:lang w:val="en-AU" w:eastAsia="en-AU"/>
    </w:rPr>
  </w:style>
  <w:style w:type="paragraph" w:customStyle="1" w:styleId="HB-Paragraph-alphpoint">
    <w:name w:val="HB - Paragraph - alph point"/>
    <w:basedOn w:val="Normal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pPr>
      <w:tabs>
        <w:tab w:val="left" w:pos="720"/>
      </w:tabs>
      <w:spacing w:before="0"/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0"/>
      <w:jc w:val="center"/>
    </w:pPr>
    <w:rPr>
      <w:b/>
      <w:bCs/>
      <w:sz w:val="36"/>
      <w:szCs w:val="36"/>
    </w:rPr>
  </w:style>
  <w:style w:type="paragraph" w:customStyle="1" w:styleId="HB-Table-Subpoint">
    <w:name w:val="HB - Table - Subpoint"/>
    <w:basedOn w:val="Normal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300"/>
    </w:p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rsid w:val="00B75271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7A44CD"/>
    <w:pPr>
      <w:spacing w:before="0"/>
    </w:pPr>
    <w:rPr>
      <w:rFonts w:ascii="Arial" w:hAnsi="Arial" w:cs="Arial"/>
      <w:sz w:val="22"/>
      <w:szCs w:val="22"/>
      <w:lang w:eastAsia="en-US"/>
    </w:rPr>
  </w:style>
  <w:style w:type="paragraph" w:customStyle="1" w:styleId="numberpara">
    <w:name w:val="numberpara"/>
    <w:basedOn w:val="Footer"/>
    <w:rsid w:val="006B3A47"/>
    <w:pPr>
      <w:tabs>
        <w:tab w:val="clear" w:pos="4153"/>
        <w:tab w:val="clear" w:pos="8306"/>
        <w:tab w:val="left" w:pos="360"/>
        <w:tab w:val="left" w:pos="567"/>
      </w:tabs>
      <w:spacing w:before="120" w:line="360" w:lineRule="auto"/>
    </w:pPr>
    <w:rPr>
      <w:szCs w:val="20"/>
      <w:lang w:val="en-US"/>
    </w:rPr>
  </w:style>
  <w:style w:type="paragraph" w:customStyle="1" w:styleId="Char2">
    <w:name w:val="Char2"/>
    <w:basedOn w:val="Normal"/>
    <w:rsid w:val="00963FBD"/>
    <w:pPr>
      <w:widowControl w:val="0"/>
      <w:adjustRightInd w:val="0"/>
      <w:spacing w:before="0" w:line="360" w:lineRule="atLeast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definition">
    <w:name w:val="definition"/>
    <w:basedOn w:val="Normal"/>
    <w:rsid w:val="00797AB2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Note">
    <w:name w:val="Note"/>
    <w:basedOn w:val="Normal"/>
    <w:rsid w:val="00797AB2"/>
    <w:pPr>
      <w:spacing w:before="120" w:line="221" w:lineRule="auto"/>
      <w:ind w:left="964"/>
      <w:jc w:val="both"/>
    </w:pPr>
    <w:rPr>
      <w:sz w:val="20"/>
    </w:rPr>
  </w:style>
  <w:style w:type="paragraph" w:customStyle="1" w:styleId="P1">
    <w:name w:val="P1"/>
    <w:aliases w:val="(a)"/>
    <w:basedOn w:val="Normal"/>
    <w:rsid w:val="00797AB2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Headingbold0">
    <w:name w:val="Heading bold 0"/>
    <w:aliases w:val="3"/>
    <w:basedOn w:val="Normal"/>
    <w:next w:val="PlainText"/>
    <w:rsid w:val="00847D45"/>
    <w:pPr>
      <w:keepNext/>
      <w:spacing w:after="60"/>
      <w:ind w:right="45"/>
    </w:pPr>
    <w:rPr>
      <w:b/>
      <w:bCs/>
    </w:rPr>
  </w:style>
  <w:style w:type="paragraph" w:customStyle="1" w:styleId="Textbody0">
    <w:name w:val="Text body 0"/>
    <w:aliases w:val="12"/>
    <w:basedOn w:val="Normal"/>
    <w:rsid w:val="00847D45"/>
    <w:pPr>
      <w:spacing w:before="0" w:after="240"/>
      <w:ind w:right="45"/>
    </w:pPr>
    <w:rPr>
      <w:bCs/>
    </w:rPr>
  </w:style>
  <w:style w:type="paragraph" w:styleId="PlainText">
    <w:name w:val="Plain Text"/>
    <w:basedOn w:val="Normal"/>
    <w:rsid w:val="00847D4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7DB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8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E7"/>
    <w:pPr>
      <w:spacing w:before="0"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60">
    <w:name w:val="Heading6"/>
    <w:basedOn w:val="Normal"/>
    <w:link w:val="Heading6Char"/>
    <w:rsid w:val="00BE4281"/>
    <w:pPr>
      <w:keepNext/>
      <w:keepLines/>
      <w:suppressAutoHyphens/>
      <w:spacing w:before="0"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locked/>
    <w:rsid w:val="00BE4281"/>
    <w:rPr>
      <w:b/>
    </w:rPr>
  </w:style>
  <w:style w:type="paragraph" w:customStyle="1" w:styleId="ActHead3">
    <w:name w:val="ActHead 3"/>
    <w:aliases w:val="d"/>
    <w:basedOn w:val="Normal"/>
    <w:next w:val="ActHead4"/>
    <w:qFormat/>
    <w:rsid w:val="00BD227A"/>
    <w:pPr>
      <w:keepNext/>
      <w:keepLines/>
      <w:ind w:left="1134" w:hanging="1134"/>
      <w:outlineLvl w:val="2"/>
    </w:pPr>
    <w:rPr>
      <w:b/>
      <w:kern w:val="28"/>
      <w:sz w:val="28"/>
      <w:szCs w:val="20"/>
    </w:rPr>
  </w:style>
  <w:style w:type="paragraph" w:customStyle="1" w:styleId="ActHead4">
    <w:name w:val="ActHead 4"/>
    <w:aliases w:val="sd"/>
    <w:basedOn w:val="Normal"/>
    <w:next w:val="ActHead5"/>
    <w:qFormat/>
    <w:rsid w:val="00BD227A"/>
    <w:pPr>
      <w:keepNext/>
      <w:keepLines/>
      <w:spacing w:before="220"/>
      <w:ind w:left="1134" w:hanging="1134"/>
      <w:outlineLvl w:val="3"/>
    </w:pPr>
    <w:rPr>
      <w:b/>
      <w:kern w:val="28"/>
      <w:sz w:val="26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BD227A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DivNo">
    <w:name w:val="CharDivNo"/>
    <w:basedOn w:val="DefaultParagraphFont"/>
    <w:uiPriority w:val="1"/>
    <w:qFormat/>
    <w:rsid w:val="00BD227A"/>
  </w:style>
  <w:style w:type="character" w:customStyle="1" w:styleId="CharDivText">
    <w:name w:val="CharDivText"/>
    <w:basedOn w:val="DefaultParagraphFont"/>
    <w:uiPriority w:val="1"/>
    <w:qFormat/>
    <w:rsid w:val="00BD227A"/>
  </w:style>
  <w:style w:type="character" w:customStyle="1" w:styleId="CharSectno">
    <w:name w:val="CharSectno"/>
    <w:basedOn w:val="DefaultParagraphFont"/>
    <w:qFormat/>
    <w:rsid w:val="00BD227A"/>
  </w:style>
  <w:style w:type="character" w:customStyle="1" w:styleId="CharSubdNo">
    <w:name w:val="CharSubdNo"/>
    <w:basedOn w:val="DefaultParagraphFont"/>
    <w:uiPriority w:val="1"/>
    <w:qFormat/>
    <w:rsid w:val="00BD227A"/>
  </w:style>
  <w:style w:type="character" w:customStyle="1" w:styleId="CharSubdText">
    <w:name w:val="CharSubdText"/>
    <w:basedOn w:val="DefaultParagraphFont"/>
    <w:uiPriority w:val="1"/>
    <w:qFormat/>
    <w:rsid w:val="00BD227A"/>
  </w:style>
  <w:style w:type="paragraph" w:customStyle="1" w:styleId="subsection">
    <w:name w:val="subsection"/>
    <w:aliases w:val="ss"/>
    <w:basedOn w:val="Normal"/>
    <w:link w:val="subsectionChar"/>
    <w:rsid w:val="00BD227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0">
    <w:name w:val="Definition"/>
    <w:aliases w:val="dd"/>
    <w:basedOn w:val="Normal"/>
    <w:rsid w:val="00BD227A"/>
    <w:pPr>
      <w:spacing w:before="180"/>
      <w:ind w:left="1134"/>
    </w:pPr>
    <w:rPr>
      <w:sz w:val="22"/>
      <w:szCs w:val="20"/>
    </w:rPr>
  </w:style>
  <w:style w:type="paragraph" w:customStyle="1" w:styleId="Item">
    <w:name w:val="Item"/>
    <w:aliases w:val="i"/>
    <w:basedOn w:val="Normal"/>
    <w:next w:val="ItemHead"/>
    <w:rsid w:val="00BD227A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BD227A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sub">
    <w:name w:val="paragraph(sub)"/>
    <w:aliases w:val="aa"/>
    <w:basedOn w:val="Normal"/>
    <w:rsid w:val="00BD227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BD227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2">
    <w:name w:val="subsection2"/>
    <w:aliases w:val="ss2"/>
    <w:basedOn w:val="Normal"/>
    <w:next w:val="subsection"/>
    <w:rsid w:val="00BD227A"/>
    <w:pPr>
      <w:spacing w:before="4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BD227A"/>
    <w:pPr>
      <w:spacing w:before="122"/>
      <w:ind w:left="1985" w:hanging="851"/>
    </w:pPr>
    <w:rPr>
      <w:sz w:val="18"/>
      <w:szCs w:val="20"/>
    </w:rPr>
  </w:style>
  <w:style w:type="character" w:customStyle="1" w:styleId="subsectionChar">
    <w:name w:val="subsection Char"/>
    <w:aliases w:val="ss Char"/>
    <w:link w:val="subsection"/>
    <w:locked/>
    <w:rsid w:val="00BD227A"/>
    <w:rPr>
      <w:sz w:val="22"/>
    </w:rPr>
  </w:style>
  <w:style w:type="character" w:customStyle="1" w:styleId="notetextChar">
    <w:name w:val="note(text) Char"/>
    <w:aliases w:val="n Char"/>
    <w:link w:val="notetext"/>
    <w:rsid w:val="00BD227A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16DCE"/>
    <w:rPr>
      <w:sz w:val="24"/>
      <w:szCs w:val="24"/>
    </w:rPr>
  </w:style>
  <w:style w:type="paragraph" w:styleId="FootnoteText">
    <w:name w:val="footnote text"/>
    <w:basedOn w:val="Normal"/>
    <w:link w:val="FootnoteTextChar"/>
    <w:rsid w:val="004A5411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5411"/>
  </w:style>
  <w:style w:type="character" w:styleId="FootnoteReference">
    <w:name w:val="footnote reference"/>
    <w:basedOn w:val="DefaultParagraphFont"/>
    <w:rsid w:val="004A5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0930-4BD7-4F1D-A22A-12C469E8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1898</Words>
  <Characters>10824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Executive Council Handbook - Appendix E3</vt:lpstr>
    </vt:vector>
  </TitlesOfParts>
  <Company>Matthew Pegg Consulting</Company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Executive Council Handbook - Appendix E3</dc:title>
  <dc:creator>TR2</dc:creator>
  <cp:lastModifiedBy>NADINE, Tamara</cp:lastModifiedBy>
  <cp:revision>2</cp:revision>
  <cp:lastPrinted>2018-04-05T11:34:00Z</cp:lastPrinted>
  <dcterms:created xsi:type="dcterms:W3CDTF">2018-05-15T03:58:00Z</dcterms:created>
  <dcterms:modified xsi:type="dcterms:W3CDTF">2018-05-15T03:58:00Z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