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AEB" w:rsidRDefault="000B1AEB" w:rsidP="000B1AEB">
      <w:pPr>
        <w:pStyle w:val="Title"/>
        <w:pBdr>
          <w:bottom w:val="single" w:sz="4" w:space="3" w:color="auto"/>
        </w:pBdr>
        <w:spacing w:before="0"/>
        <w:rPr>
          <w:sz w:val="36"/>
          <w:szCs w:val="36"/>
        </w:rPr>
      </w:pPr>
      <w:bookmarkStart w:id="0" w:name="Citation"/>
    </w:p>
    <w:p w:rsidR="000B1AEB" w:rsidRDefault="000B1AEB" w:rsidP="000B1AEB">
      <w:pPr>
        <w:pStyle w:val="Title"/>
        <w:pBdr>
          <w:bottom w:val="single" w:sz="4" w:space="3" w:color="auto"/>
        </w:pBdr>
        <w:spacing w:before="0"/>
        <w:rPr>
          <w:sz w:val="36"/>
          <w:szCs w:val="36"/>
        </w:rPr>
      </w:pPr>
    </w:p>
    <w:p w:rsidR="000B1AEB" w:rsidRPr="00135F7D" w:rsidRDefault="000B1AEB" w:rsidP="000B1AEB">
      <w:pPr>
        <w:pStyle w:val="Title"/>
        <w:pBdr>
          <w:bottom w:val="single" w:sz="4" w:space="3" w:color="auto"/>
        </w:pBdr>
        <w:spacing w:before="0"/>
        <w:rPr>
          <w:sz w:val="36"/>
          <w:szCs w:val="36"/>
        </w:rPr>
      </w:pPr>
      <w:r w:rsidRPr="009E7092">
        <w:rPr>
          <w:sz w:val="36"/>
          <w:szCs w:val="36"/>
        </w:rPr>
        <w:t xml:space="preserve">Superannuation </w:t>
      </w:r>
      <w:r>
        <w:rPr>
          <w:sz w:val="36"/>
          <w:szCs w:val="36"/>
        </w:rPr>
        <w:t>(PSS)</w:t>
      </w:r>
      <w:r w:rsidRPr="009E7092">
        <w:rPr>
          <w:sz w:val="36"/>
          <w:szCs w:val="36"/>
        </w:rPr>
        <w:t xml:space="preserve"> </w:t>
      </w:r>
      <w:r>
        <w:rPr>
          <w:sz w:val="36"/>
          <w:szCs w:val="36"/>
        </w:rPr>
        <w:t>Productivity Contribution (</w:t>
      </w:r>
      <w:r w:rsidR="00B34DB8">
        <w:rPr>
          <w:sz w:val="36"/>
          <w:szCs w:val="36"/>
        </w:rPr>
        <w:t>201</w:t>
      </w:r>
      <w:r w:rsidR="002E6CD5">
        <w:rPr>
          <w:sz w:val="36"/>
          <w:szCs w:val="36"/>
        </w:rPr>
        <w:t>8</w:t>
      </w:r>
      <w:r>
        <w:rPr>
          <w:sz w:val="36"/>
          <w:szCs w:val="36"/>
        </w:rPr>
        <w:t>-</w:t>
      </w:r>
      <w:r w:rsidR="004674A7">
        <w:rPr>
          <w:sz w:val="36"/>
          <w:szCs w:val="36"/>
        </w:rPr>
        <w:t>201</w:t>
      </w:r>
      <w:r w:rsidR="002E6CD5">
        <w:rPr>
          <w:sz w:val="36"/>
          <w:szCs w:val="36"/>
        </w:rPr>
        <w:t>9</w:t>
      </w:r>
      <w:r>
        <w:rPr>
          <w:sz w:val="36"/>
          <w:szCs w:val="36"/>
        </w:rPr>
        <w:t>)</w:t>
      </w:r>
      <w:r w:rsidRPr="009E7092">
        <w:rPr>
          <w:sz w:val="36"/>
          <w:szCs w:val="36"/>
        </w:rPr>
        <w:t xml:space="preserve"> Determination </w:t>
      </w:r>
      <w:bookmarkEnd w:id="0"/>
      <w:r w:rsidR="004674A7">
        <w:rPr>
          <w:sz w:val="36"/>
          <w:szCs w:val="36"/>
        </w:rPr>
        <w:t>201</w:t>
      </w:r>
      <w:r w:rsidR="002E6CD5">
        <w:rPr>
          <w:sz w:val="36"/>
          <w:szCs w:val="36"/>
        </w:rPr>
        <w:t>8</w:t>
      </w:r>
      <w:r>
        <w:rPr>
          <w:sz w:val="36"/>
          <w:szCs w:val="36"/>
        </w:rPr>
        <w:t xml:space="preserve"> – Explanatory Statement </w:t>
      </w:r>
    </w:p>
    <w:p w:rsidR="000B1AEB" w:rsidRDefault="000B1AEB" w:rsidP="000B1AEB">
      <w:pPr>
        <w:pStyle w:val="A1"/>
        <w:spacing w:before="240"/>
      </w:pPr>
    </w:p>
    <w:p w:rsidR="000B1AEB" w:rsidRDefault="000B1AEB" w:rsidP="000B1AEB">
      <w:pPr>
        <w:pStyle w:val="A1"/>
        <w:spacing w:before="240"/>
        <w:ind w:left="0"/>
      </w:pPr>
      <w:r>
        <w:tab/>
      </w:r>
      <w:r w:rsidRPr="00EE76F1">
        <w:t>1</w:t>
      </w:r>
      <w:r>
        <w:tab/>
      </w:r>
      <w:r w:rsidRPr="00BD6B01">
        <w:t>Name of Determination</w:t>
      </w:r>
    </w:p>
    <w:p w:rsidR="000B1AEB" w:rsidRPr="00F84BC5" w:rsidRDefault="000B1AEB" w:rsidP="000B1AEB"/>
    <w:p w:rsidR="000B1AEB" w:rsidRDefault="000B1AEB" w:rsidP="000B1AEB">
      <w:r w:rsidRPr="00BD6B01">
        <w:tab/>
        <w:t xml:space="preserve">This </w:t>
      </w:r>
      <w:r>
        <w:t>d</w:t>
      </w:r>
      <w:r w:rsidRPr="00BD6B01">
        <w:t xml:space="preserve">etermination is the </w:t>
      </w:r>
      <w:r w:rsidRPr="008204F3">
        <w:rPr>
          <w:i/>
        </w:rPr>
        <w:t xml:space="preserve">Superannuation (PSS) Productivity Contribution </w:t>
      </w:r>
      <w:r>
        <w:rPr>
          <w:i/>
        </w:rPr>
        <w:tab/>
      </w:r>
      <w:r w:rsidRPr="008204F3">
        <w:rPr>
          <w:i/>
        </w:rPr>
        <w:t>(</w:t>
      </w:r>
      <w:r w:rsidR="005E6C06">
        <w:rPr>
          <w:i/>
        </w:rPr>
        <w:t>201</w:t>
      </w:r>
      <w:r w:rsidR="002E6CD5">
        <w:rPr>
          <w:i/>
        </w:rPr>
        <w:t>8</w:t>
      </w:r>
      <w:r w:rsidRPr="008204F3">
        <w:rPr>
          <w:i/>
        </w:rPr>
        <w:t>-</w:t>
      </w:r>
      <w:r w:rsidR="00B34DB8">
        <w:rPr>
          <w:i/>
        </w:rPr>
        <w:t>201</w:t>
      </w:r>
      <w:r w:rsidR="002E6CD5">
        <w:rPr>
          <w:i/>
        </w:rPr>
        <w:t>9</w:t>
      </w:r>
      <w:r w:rsidRPr="008204F3">
        <w:rPr>
          <w:i/>
        </w:rPr>
        <w:t>) Determination</w:t>
      </w:r>
      <w:r>
        <w:rPr>
          <w:i/>
        </w:rPr>
        <w:t xml:space="preserve"> </w:t>
      </w:r>
      <w:r w:rsidR="00B34DB8">
        <w:rPr>
          <w:i/>
        </w:rPr>
        <w:t>201</w:t>
      </w:r>
      <w:r w:rsidR="002E6CD5">
        <w:rPr>
          <w:i/>
        </w:rPr>
        <w:t>8</w:t>
      </w:r>
    </w:p>
    <w:p w:rsidR="000B1AEB" w:rsidRDefault="000B1AEB" w:rsidP="000B1AEB"/>
    <w:p w:rsidR="000B1AEB" w:rsidRPr="002444FA" w:rsidRDefault="000B1AEB" w:rsidP="000B1AEB">
      <w:pPr>
        <w:pStyle w:val="SchedSectionBreak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ab/>
        <w:t>Commencement</w:t>
      </w:r>
    </w:p>
    <w:p w:rsidR="000B1AEB" w:rsidRDefault="000B1AEB" w:rsidP="000B1AEB">
      <w:pPr>
        <w:ind w:left="1800"/>
      </w:pPr>
    </w:p>
    <w:p w:rsidR="000B1AEB" w:rsidRPr="00665888" w:rsidRDefault="000B1AEB" w:rsidP="000B1AEB">
      <w:pPr>
        <w:ind w:left="1800" w:hanging="1080"/>
      </w:pPr>
      <w:r>
        <w:t xml:space="preserve">This determination takes effect on 1 July </w:t>
      </w:r>
      <w:r w:rsidR="005E6C06">
        <w:t>201</w:t>
      </w:r>
      <w:r w:rsidR="002E6CD5">
        <w:t>8</w:t>
      </w:r>
      <w:r>
        <w:t xml:space="preserve">. </w:t>
      </w:r>
    </w:p>
    <w:p w:rsidR="000B1AEB" w:rsidRPr="002444FA" w:rsidRDefault="000B1AEB" w:rsidP="000B1AEB">
      <w:r>
        <w:tab/>
      </w:r>
    </w:p>
    <w:p w:rsidR="000B1AEB" w:rsidRPr="00AE5CDE" w:rsidRDefault="000B1AEB" w:rsidP="000B1AEB"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 w:rsidRPr="002444FA">
        <w:rPr>
          <w:rFonts w:ascii="Arial" w:hAnsi="Arial" w:cs="Arial"/>
          <w:b/>
        </w:rPr>
        <w:t>Purpose</w:t>
      </w:r>
    </w:p>
    <w:p w:rsidR="000B1AEB" w:rsidRDefault="000B1AEB" w:rsidP="000B1AEB">
      <w:r>
        <w:tab/>
      </w:r>
    </w:p>
    <w:p w:rsidR="000B1AEB" w:rsidRDefault="000B1AEB" w:rsidP="000B1AEB">
      <w:r>
        <w:tab/>
        <w:t xml:space="preserve">The purpose of this determination is to set new productivity contribution rates </w:t>
      </w:r>
      <w:r>
        <w:tab/>
        <w:t xml:space="preserve">for the Public Sector Superannuation (PSS) scheme to apply for the financial </w:t>
      </w:r>
      <w:r>
        <w:tab/>
        <w:t xml:space="preserve">year beginning on 1 July </w:t>
      </w:r>
      <w:r w:rsidR="005E6C06">
        <w:t>201</w:t>
      </w:r>
      <w:r w:rsidR="002E6CD5">
        <w:t>8</w:t>
      </w:r>
      <w:r>
        <w:t xml:space="preserve">. </w:t>
      </w:r>
    </w:p>
    <w:p w:rsidR="000B1AEB" w:rsidRDefault="000B1AEB" w:rsidP="000B1AEB"/>
    <w:p w:rsidR="000B1AEB" w:rsidRPr="009468C1" w:rsidRDefault="000B1AEB" w:rsidP="000B1AEB">
      <w:pPr>
        <w:rPr>
          <w:rFonts w:ascii="Arial" w:hAnsi="Arial" w:cs="Arial"/>
          <w:b/>
        </w:rPr>
      </w:pPr>
      <w:r w:rsidRPr="009468C1">
        <w:rPr>
          <w:rFonts w:ascii="Arial" w:hAnsi="Arial" w:cs="Arial"/>
          <w:b/>
        </w:rPr>
        <w:t>4</w:t>
      </w:r>
      <w:r w:rsidRPr="009468C1">
        <w:rPr>
          <w:rFonts w:ascii="Arial" w:hAnsi="Arial" w:cs="Arial"/>
          <w:b/>
        </w:rPr>
        <w:tab/>
        <w:t>Background</w:t>
      </w:r>
    </w:p>
    <w:p w:rsidR="000B1AEB" w:rsidRDefault="000B1AEB" w:rsidP="000B1AEB"/>
    <w:p w:rsidR="000B1AEB" w:rsidRPr="009468C1" w:rsidRDefault="000B1AEB" w:rsidP="000B1AEB">
      <w:pPr>
        <w:rPr>
          <w:i/>
        </w:rPr>
      </w:pPr>
      <w:r>
        <w:tab/>
      </w:r>
      <w:r>
        <w:rPr>
          <w:i/>
        </w:rPr>
        <w:t>Establishment of the PSS Scheme</w:t>
      </w:r>
    </w:p>
    <w:p w:rsidR="000B1AEB" w:rsidRPr="00AE5CDE" w:rsidRDefault="000B1AEB" w:rsidP="000B1AEB"/>
    <w:p w:rsidR="000B1AEB" w:rsidRDefault="000B1AEB" w:rsidP="000B1AEB">
      <w:r>
        <w:tab/>
        <w:t xml:space="preserve">The PSS scheme is established by the </w:t>
      </w:r>
      <w:r w:rsidRPr="00087F8B">
        <w:rPr>
          <w:i/>
        </w:rPr>
        <w:t>Superannuation Act 1990</w:t>
      </w:r>
      <w:r>
        <w:t>, a Trust Deed</w:t>
      </w:r>
      <w:r>
        <w:tab/>
        <w:t xml:space="preserve">and Rules. </w:t>
      </w:r>
    </w:p>
    <w:p w:rsidR="000B1AEB" w:rsidRDefault="000B1AEB" w:rsidP="000B1AEB"/>
    <w:p w:rsidR="000B1AEB" w:rsidRDefault="000B1AEB" w:rsidP="000B1AEB">
      <w:pPr>
        <w:ind w:left="720"/>
      </w:pPr>
      <w:r>
        <w:t xml:space="preserve">The PSS Rules were renumbered with effect from 1 July 1995, as a result of amendments made by the Ninth Amending Trust Deed. </w:t>
      </w:r>
      <w:r>
        <w:br/>
      </w:r>
      <w:r>
        <w:br/>
        <w:t>The PSS Rules were further amended by the Twenty-Eighth Amending Trust Deed executed in 2007 by the deletion of a “B” before each rule with effect from 29 June 2007.</w:t>
      </w:r>
    </w:p>
    <w:p w:rsidR="000B1AEB" w:rsidRDefault="000B1AEB" w:rsidP="000B1AEB">
      <w:pPr>
        <w:ind w:left="720" w:hanging="720"/>
      </w:pPr>
      <w:r>
        <w:tab/>
      </w:r>
    </w:p>
    <w:p w:rsidR="000B1AEB" w:rsidRPr="00537C27" w:rsidRDefault="000B1AEB" w:rsidP="000B1AEB">
      <w:pPr>
        <w:ind w:firstLine="720"/>
        <w:rPr>
          <w:i/>
        </w:rPr>
      </w:pPr>
      <w:r>
        <w:rPr>
          <w:i/>
        </w:rPr>
        <w:t>Productivity Contribution Rates</w:t>
      </w:r>
    </w:p>
    <w:p w:rsidR="000B1AEB" w:rsidRDefault="000B1AEB" w:rsidP="000B1AEB"/>
    <w:p w:rsidR="000B1AEB" w:rsidRPr="00087F8B" w:rsidRDefault="000B1AEB" w:rsidP="000B1AEB">
      <w:r>
        <w:tab/>
        <w:t xml:space="preserve">PSS Rule 4.3.2 sets out a </w:t>
      </w:r>
      <w:r w:rsidRPr="00E32E72">
        <w:rPr>
          <w:i/>
          <w:iCs/>
        </w:rPr>
        <w:t>Table of Productivity Contributions Rates</w:t>
      </w:r>
      <w:r>
        <w:rPr>
          <w:iCs/>
        </w:rPr>
        <w:t xml:space="preserve"> to apply </w:t>
      </w:r>
      <w:r>
        <w:rPr>
          <w:iCs/>
        </w:rPr>
        <w:tab/>
        <w:t xml:space="preserve">from 1 July 1995 until amended.  </w:t>
      </w:r>
    </w:p>
    <w:p w:rsidR="000B1AEB" w:rsidRDefault="000B1AEB" w:rsidP="000B1AEB"/>
    <w:p w:rsidR="000B1AEB" w:rsidRDefault="000B1AEB" w:rsidP="000B1AEB">
      <w:r>
        <w:tab/>
        <w:t xml:space="preserve">PSS Rule 4.3.3 provides for the productivity contribution rates set out in </w:t>
      </w:r>
    </w:p>
    <w:p w:rsidR="000B1AEB" w:rsidRDefault="000B1AEB" w:rsidP="000B1AEB">
      <w:pPr>
        <w:ind w:left="720"/>
      </w:pPr>
      <w:r>
        <w:t xml:space="preserve">the Table in rule 4.3.2 to be amended by the Commonwealth Superannuation Corporation (CSC) with effect from 1 July each year, </w:t>
      </w:r>
      <w:r w:rsidRPr="00E32E72">
        <w:t>to reflect</w:t>
      </w:r>
      <w:r>
        <w:t xml:space="preserve"> </w:t>
      </w:r>
      <w:r w:rsidRPr="00E32E72">
        <w:t>changes in the general salary levels of members.</w:t>
      </w:r>
      <w:r>
        <w:t xml:space="preserve"> </w:t>
      </w:r>
      <w:r w:rsidRPr="00E32E72">
        <w:t xml:space="preserve">The increase in the amounts in the </w:t>
      </w:r>
      <w:r w:rsidRPr="00E32E72">
        <w:rPr>
          <w:i/>
          <w:iCs/>
        </w:rPr>
        <w:t>Table of Productivity</w:t>
      </w:r>
      <w:r>
        <w:rPr>
          <w:i/>
          <w:iCs/>
        </w:rPr>
        <w:t xml:space="preserve"> </w:t>
      </w:r>
      <w:r w:rsidRPr="00E32E72">
        <w:rPr>
          <w:i/>
          <w:iCs/>
        </w:rPr>
        <w:t>Contribution Rates</w:t>
      </w:r>
      <w:r>
        <w:t xml:space="preserve"> </w:t>
      </w:r>
      <w:r w:rsidRPr="00E32E72">
        <w:t>maintains the real</w:t>
      </w:r>
      <w:r>
        <w:t xml:space="preserve"> </w:t>
      </w:r>
      <w:r w:rsidRPr="00E32E72">
        <w:t>value of the productivity contributions</w:t>
      </w:r>
      <w:r>
        <w:t xml:space="preserve"> </w:t>
      </w:r>
      <w:r w:rsidRPr="00E32E72">
        <w:t>in relation to the</w:t>
      </w:r>
      <w:r>
        <w:t xml:space="preserve"> </w:t>
      </w:r>
      <w:r w:rsidRPr="00E32E72">
        <w:t>overall salaries</w:t>
      </w:r>
      <w:r>
        <w:t xml:space="preserve"> </w:t>
      </w:r>
      <w:r w:rsidRPr="00E32E72">
        <w:t>of PSS</w:t>
      </w:r>
      <w:r>
        <w:t xml:space="preserve"> </w:t>
      </w:r>
      <w:r w:rsidRPr="00E32E72">
        <w:t>members.</w:t>
      </w:r>
    </w:p>
    <w:p w:rsidR="000B1AEB" w:rsidRDefault="000B1AEB" w:rsidP="000B1AEB">
      <w:pPr>
        <w:sectPr w:rsidR="000B1AEB" w:rsidSect="00EC23A9">
          <w:headerReference w:type="even" r:id="rId9"/>
          <w:footerReference w:type="default" r:id="rId10"/>
          <w:pgSz w:w="11906" w:h="16838" w:code="9"/>
          <w:pgMar w:top="567" w:right="1797" w:bottom="1134" w:left="1797" w:header="720" w:footer="720" w:gutter="0"/>
          <w:cols w:space="720"/>
        </w:sectPr>
      </w:pPr>
    </w:p>
    <w:p w:rsidR="000B1AEB" w:rsidRPr="00537C27" w:rsidRDefault="000B1AEB" w:rsidP="000B1AEB">
      <w:pPr>
        <w:rPr>
          <w:i/>
        </w:rPr>
      </w:pPr>
      <w:r>
        <w:lastRenderedPageBreak/>
        <w:t xml:space="preserve">  </w:t>
      </w:r>
      <w:r>
        <w:tab/>
      </w:r>
      <w:r>
        <w:rPr>
          <w:i/>
        </w:rPr>
        <w:t>Delegation</w:t>
      </w:r>
    </w:p>
    <w:p w:rsidR="000B1AEB" w:rsidRDefault="000B1AEB" w:rsidP="000B1AEB"/>
    <w:p w:rsidR="000B1AEB" w:rsidRDefault="000B1AEB" w:rsidP="00387DF9">
      <w:pPr>
        <w:ind w:left="720"/>
      </w:pPr>
      <w:r>
        <w:t xml:space="preserve">CSC has delegated its power under rule 4.3.3 to relevant </w:t>
      </w:r>
      <w:r w:rsidR="00387DF9" w:rsidRPr="001B560E">
        <w:t xml:space="preserve">officers of the </w:t>
      </w:r>
      <w:r w:rsidR="00FA46EC">
        <w:t>organisation</w:t>
      </w:r>
      <w:r w:rsidR="00387DF9" w:rsidRPr="001B560E">
        <w:t>.</w:t>
      </w:r>
    </w:p>
    <w:p w:rsidR="00387DF9" w:rsidRDefault="00387DF9" w:rsidP="00387DF9">
      <w:pPr>
        <w:ind w:left="720"/>
        <w:rPr>
          <w:i/>
        </w:rPr>
      </w:pPr>
    </w:p>
    <w:p w:rsidR="000B1AEB" w:rsidRDefault="000B1AEB" w:rsidP="000B1AEB">
      <w:pPr>
        <w:ind w:left="720"/>
      </w:pPr>
      <w:r w:rsidRPr="00B067FA">
        <w:rPr>
          <w:i/>
        </w:rPr>
        <w:t>Productivity Contribution Rates in the Period 1 July 1996-30 July 2005</w:t>
      </w:r>
    </w:p>
    <w:p w:rsidR="000B1AEB" w:rsidRDefault="000B1AEB" w:rsidP="000B1AEB">
      <w:pPr>
        <w:ind w:left="720"/>
        <w:rPr>
          <w:i/>
        </w:rPr>
      </w:pPr>
    </w:p>
    <w:p w:rsidR="000B1AEB" w:rsidRDefault="000B1AEB" w:rsidP="000B1AEB">
      <w:pPr>
        <w:ind w:left="720"/>
      </w:pPr>
      <w:r>
        <w:t xml:space="preserve">In the period from 1 July 1996 to 30 July 2005, the amounts set out in the table in rule 4.3.2 were replaced on 1 July each year, pursuant to the </w:t>
      </w:r>
      <w:r w:rsidRPr="003622E7">
        <w:rPr>
          <w:i/>
        </w:rPr>
        <w:t>PSS (Productivity Contribution Rates) Determination No. 1</w:t>
      </w:r>
      <w:r>
        <w:t xml:space="preserve">, which was amended each year in consecutively-numbered determinations.  That Determination was revoked on 1 July 2005 by the </w:t>
      </w:r>
      <w:r w:rsidRPr="003622E7">
        <w:rPr>
          <w:i/>
        </w:rPr>
        <w:t>Superannuation (PSS) Productivity Contribution (2006-2007) Determination 2006</w:t>
      </w:r>
      <w:r>
        <w:t xml:space="preserve">, which set out the productivity contribution rates for the financial year commencing on 1 July 2005. </w:t>
      </w:r>
    </w:p>
    <w:p w:rsidR="000B1AEB" w:rsidRDefault="000B1AEB" w:rsidP="000B1AEB">
      <w:pPr>
        <w:ind w:left="964"/>
      </w:pPr>
    </w:p>
    <w:p w:rsidR="000B1AEB" w:rsidRPr="00D45FB4" w:rsidRDefault="000B1AEB" w:rsidP="000B1AEB">
      <w:pPr>
        <w:ind w:left="720"/>
        <w:rPr>
          <w:i/>
        </w:rPr>
      </w:pPr>
      <w:r>
        <w:rPr>
          <w:i/>
        </w:rPr>
        <w:t>Productivity Contribution Rates</w:t>
      </w:r>
      <w:r w:rsidRPr="00D45FB4">
        <w:rPr>
          <w:i/>
        </w:rPr>
        <w:t xml:space="preserve"> in the Period </w:t>
      </w:r>
      <w:r>
        <w:rPr>
          <w:i/>
        </w:rPr>
        <w:t xml:space="preserve">from </w:t>
      </w:r>
      <w:r w:rsidRPr="00D45FB4">
        <w:rPr>
          <w:i/>
        </w:rPr>
        <w:t>1 July 200</w:t>
      </w:r>
      <w:r>
        <w:rPr>
          <w:i/>
        </w:rPr>
        <w:t>5</w:t>
      </w:r>
    </w:p>
    <w:p w:rsidR="000B1AEB" w:rsidRDefault="000B1AEB" w:rsidP="000B1AEB">
      <w:pPr>
        <w:ind w:left="964"/>
      </w:pPr>
    </w:p>
    <w:p w:rsidR="000B1AEB" w:rsidRDefault="000B1AEB" w:rsidP="000B1AEB">
      <w:pPr>
        <w:ind w:left="720"/>
      </w:pPr>
      <w:r>
        <w:t xml:space="preserve">Productivity contribution rates in the period from 1 July 2005 are set out in annual determinations that apply for the financial year commencing on 1 July each year.  </w:t>
      </w:r>
    </w:p>
    <w:p w:rsidR="000B1AEB" w:rsidRDefault="000B1AEB" w:rsidP="000B1AEB"/>
    <w:p w:rsidR="000B1AEB" w:rsidRPr="009468C1" w:rsidRDefault="000B1AEB" w:rsidP="000B1A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9468C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New Productivity Contribution Rates</w:t>
      </w:r>
    </w:p>
    <w:p w:rsidR="000B1AEB" w:rsidRDefault="000B1AEB" w:rsidP="000B1AEB"/>
    <w:p w:rsidR="000B1AEB" w:rsidRPr="00537C27" w:rsidRDefault="000B1AEB" w:rsidP="00404037">
      <w:pPr>
        <w:ind w:left="709" w:firstLine="11"/>
      </w:pPr>
      <w:r w:rsidRPr="00537C27">
        <w:t>The new productivity contribution rates that apply with effect from</w:t>
      </w:r>
      <w:r w:rsidR="00404037">
        <w:t xml:space="preserve"> </w:t>
      </w:r>
      <w:r w:rsidRPr="00537C27">
        <w:t>1 July</w:t>
      </w:r>
      <w:r>
        <w:t xml:space="preserve"> </w:t>
      </w:r>
      <w:r w:rsidR="00B34DB8">
        <w:t>201</w:t>
      </w:r>
      <w:r w:rsidR="002E6CD5">
        <w:t>8</w:t>
      </w:r>
      <w:r w:rsidRPr="00537C27">
        <w:t xml:space="preserve"> are set out in the determination. </w:t>
      </w:r>
    </w:p>
    <w:p w:rsidR="000B1AEB" w:rsidRDefault="000B1AEB" w:rsidP="000B1AEB">
      <w:r>
        <w:tab/>
      </w:r>
    </w:p>
    <w:p w:rsidR="000B1AEB" w:rsidRDefault="000B1AEB" w:rsidP="000B1AEB">
      <w:pPr>
        <w:ind w:left="709" w:hanging="709"/>
        <w:rPr>
          <w:rFonts w:ascii="Arial" w:hAnsi="Arial" w:cs="Arial"/>
          <w:b/>
          <w:lang w:eastAsia="en-AU"/>
        </w:rPr>
      </w:pPr>
      <w:r>
        <w:rPr>
          <w:rFonts w:ascii="Arial" w:hAnsi="Arial" w:cs="Arial"/>
          <w:b/>
        </w:rPr>
        <w:t>6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lang w:eastAsia="en-AU"/>
        </w:rPr>
        <w:t xml:space="preserve">References to CSC </w:t>
      </w:r>
      <w:bookmarkStart w:id="1" w:name="_GoBack"/>
      <w:bookmarkEnd w:id="1"/>
    </w:p>
    <w:p w:rsidR="000B1AEB" w:rsidRDefault="000B1AEB" w:rsidP="000B1AEB">
      <w:pPr>
        <w:tabs>
          <w:tab w:val="left" w:pos="8080"/>
        </w:tabs>
        <w:autoSpaceDE w:val="0"/>
        <w:autoSpaceDN w:val="0"/>
        <w:adjustRightInd w:val="0"/>
        <w:rPr>
          <w:color w:val="000000"/>
        </w:rPr>
      </w:pPr>
    </w:p>
    <w:p w:rsidR="000B1AEB" w:rsidRDefault="000B1AEB" w:rsidP="000B1AEB">
      <w:pPr>
        <w:tabs>
          <w:tab w:val="left" w:pos="8080"/>
        </w:tabs>
        <w:autoSpaceDE w:val="0"/>
        <w:autoSpaceDN w:val="0"/>
        <w:adjustRightInd w:val="0"/>
        <w:ind w:left="709"/>
        <w:rPr>
          <w:color w:val="000000"/>
        </w:rPr>
      </w:pPr>
      <w:r>
        <w:rPr>
          <w:color w:val="000000"/>
        </w:rPr>
        <w:t xml:space="preserve">Section 5 of the </w:t>
      </w:r>
      <w:r w:rsidRPr="00264CB1">
        <w:rPr>
          <w:i/>
          <w:color w:val="000000"/>
        </w:rPr>
        <w:t>Governance of Australian Government Superannuation Schemes Act 2011</w:t>
      </w:r>
      <w:r>
        <w:rPr>
          <w:color w:val="000000"/>
        </w:rPr>
        <w:t xml:space="preserve"> provides that “the board established by section 20 of the </w:t>
      </w:r>
      <w:r w:rsidRPr="00264CB1">
        <w:rPr>
          <w:i/>
          <w:color w:val="000000"/>
        </w:rPr>
        <w:t>Superannuation Act 1990</w:t>
      </w:r>
      <w:r>
        <w:rPr>
          <w:color w:val="000000"/>
        </w:rPr>
        <w:t xml:space="preserve"> as the Australian Reward Investment Alliance continues in existence by force of that section as a body corporate, under and subject to the provisions of this Act, under the name Commonwealth Superannuation Corporation (</w:t>
      </w:r>
      <w:r w:rsidRPr="00D929D0">
        <w:rPr>
          <w:b/>
          <w:color w:val="000000"/>
        </w:rPr>
        <w:t>CSC</w:t>
      </w:r>
      <w:r>
        <w:rPr>
          <w:color w:val="000000"/>
        </w:rPr>
        <w:t xml:space="preserve">)”. </w:t>
      </w:r>
    </w:p>
    <w:p w:rsidR="000B1AEB" w:rsidRDefault="000B1AEB" w:rsidP="000B1AEB">
      <w:pPr>
        <w:tabs>
          <w:tab w:val="left" w:pos="8080"/>
        </w:tabs>
        <w:autoSpaceDE w:val="0"/>
        <w:autoSpaceDN w:val="0"/>
        <w:adjustRightInd w:val="0"/>
        <w:ind w:left="709"/>
        <w:rPr>
          <w:color w:val="000000"/>
        </w:rPr>
      </w:pPr>
    </w:p>
    <w:p w:rsidR="000B1AEB" w:rsidRDefault="000B1AEB" w:rsidP="000B1AEB">
      <w:pPr>
        <w:ind w:left="709"/>
      </w:pPr>
      <w:r>
        <w:rPr>
          <w:color w:val="000000"/>
        </w:rPr>
        <w:t xml:space="preserve">In accordance with section 25B of the </w:t>
      </w:r>
      <w:r w:rsidRPr="002459B6">
        <w:rPr>
          <w:i/>
          <w:color w:val="000000"/>
        </w:rPr>
        <w:t>Acts Interpretation Act 1901</w:t>
      </w:r>
      <w:r>
        <w:rPr>
          <w:color w:val="000000"/>
        </w:rPr>
        <w:t>, any reference to Australian Reward Investment Alliance (ARIA) in an instrument made prior to 1 July 2011 shall be construed as a reference to CSC.</w:t>
      </w:r>
    </w:p>
    <w:p w:rsidR="000B1AEB" w:rsidRDefault="000B1AEB" w:rsidP="000B1AEB">
      <w:pPr>
        <w:tabs>
          <w:tab w:val="left" w:pos="709"/>
        </w:tabs>
        <w:autoSpaceDE w:val="0"/>
        <w:autoSpaceDN w:val="0"/>
        <w:adjustRightInd w:val="0"/>
        <w:ind w:left="709"/>
        <w:rPr>
          <w:color w:val="000000"/>
        </w:rPr>
      </w:pPr>
    </w:p>
    <w:p w:rsidR="000B1AEB" w:rsidRPr="009468C1" w:rsidRDefault="000B1AEB" w:rsidP="000B1A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9468C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Consultation</w:t>
      </w:r>
    </w:p>
    <w:p w:rsidR="000B1AEB" w:rsidRDefault="000B1AEB" w:rsidP="000B1AEB"/>
    <w:p w:rsidR="000D188B" w:rsidRPr="00512E31" w:rsidRDefault="000D188B" w:rsidP="005E6C06">
      <w:pPr>
        <w:autoSpaceDE w:val="0"/>
        <w:autoSpaceDN w:val="0"/>
        <w:adjustRightInd w:val="0"/>
        <w:ind w:left="720"/>
      </w:pPr>
      <w:r>
        <w:t xml:space="preserve">As the instrument is for internal machinery of Government purposes only, no consultation was considered necessary with other persons </w:t>
      </w:r>
      <w:r w:rsidRPr="00512E31">
        <w:t xml:space="preserve">(see sections </w:t>
      </w:r>
      <w:r>
        <w:t xml:space="preserve">15J(2) and </w:t>
      </w:r>
      <w:r w:rsidRPr="00512E31">
        <w:t xml:space="preserve">17 of the </w:t>
      </w:r>
      <w:r w:rsidRPr="00512E31">
        <w:rPr>
          <w:i/>
        </w:rPr>
        <w:t>Legislat</w:t>
      </w:r>
      <w:r>
        <w:rPr>
          <w:i/>
        </w:rPr>
        <w:t>ion Act 2003</w:t>
      </w:r>
      <w:r w:rsidRPr="00512E31">
        <w:t>).</w:t>
      </w:r>
    </w:p>
    <w:p w:rsidR="00BC0FF9" w:rsidRDefault="00BC0FF9" w:rsidP="00BC0FF9"/>
    <w:p w:rsidR="000B1AEB" w:rsidRDefault="000B1AEB" w:rsidP="00BC0FF9"/>
    <w:p w:rsidR="000B1AEB" w:rsidRDefault="000B1AEB" w:rsidP="00BC0FF9"/>
    <w:p w:rsidR="000B1AEB" w:rsidRDefault="000B1AEB" w:rsidP="00BC0FF9"/>
    <w:p w:rsidR="000B1AEB" w:rsidRDefault="000B1AEB" w:rsidP="00BC0FF9"/>
    <w:p w:rsidR="00D67AC6" w:rsidRDefault="00D67AC6">
      <w:pPr>
        <w:spacing w:after="200" w:line="276" w:lineRule="auto"/>
      </w:pPr>
      <w:r>
        <w:br w:type="page"/>
      </w:r>
    </w:p>
    <w:p w:rsidR="000B1AEB" w:rsidRDefault="000B1AEB" w:rsidP="00BC0FF9"/>
    <w:p w:rsidR="000B1AEB" w:rsidRDefault="000B1AEB" w:rsidP="000B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851"/>
        <w:rPr>
          <w:rFonts w:ascii="Arial" w:eastAsia="Calibri" w:hAnsi="Arial" w:cs="Arial"/>
          <w:b/>
        </w:rPr>
      </w:pPr>
    </w:p>
    <w:p w:rsidR="000B1AEB" w:rsidRPr="00B62D15" w:rsidRDefault="000B1AEB" w:rsidP="000B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851"/>
        <w:jc w:val="center"/>
        <w:rPr>
          <w:rFonts w:ascii="Arial" w:eastAsia="Calibri" w:hAnsi="Arial" w:cs="Arial"/>
          <w:b/>
        </w:rPr>
      </w:pPr>
      <w:r w:rsidRPr="00B62D15">
        <w:rPr>
          <w:rFonts w:ascii="Arial" w:eastAsia="Calibri" w:hAnsi="Arial" w:cs="Arial"/>
          <w:b/>
        </w:rPr>
        <w:t>Statement of Compatibility with Human Rights</w:t>
      </w:r>
    </w:p>
    <w:p w:rsidR="000B1AEB" w:rsidRPr="00B62D15" w:rsidRDefault="000B1AEB" w:rsidP="000B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851"/>
        <w:rPr>
          <w:rFonts w:eastAsia="Calibri"/>
        </w:rPr>
      </w:pPr>
      <w:r w:rsidRPr="00B62D15">
        <w:rPr>
          <w:rFonts w:eastAsia="Calibri"/>
          <w:i/>
        </w:rPr>
        <w:t>Prepared in accordance with Part 3 of the Human Rights (Parliamentary Scrutiny) Act 2011</w:t>
      </w:r>
    </w:p>
    <w:p w:rsidR="000B1AEB" w:rsidRPr="00B62D15" w:rsidRDefault="000B1AEB" w:rsidP="000B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851"/>
        <w:rPr>
          <w:rFonts w:eastAsia="Calibri"/>
        </w:rPr>
      </w:pPr>
      <w:r>
        <w:rPr>
          <w:rFonts w:eastAsia="Calibri"/>
        </w:rPr>
        <w:t xml:space="preserve">This </w:t>
      </w:r>
      <w:r w:rsidRPr="00B62D15">
        <w:rPr>
          <w:rFonts w:eastAsia="Calibri"/>
        </w:rPr>
        <w:t xml:space="preserve">Legislative Instrument is compatible with the human rights and freedoms recognised or declared in the international instruments listed in section 3 of the </w:t>
      </w:r>
      <w:r w:rsidRPr="00B62D15">
        <w:rPr>
          <w:rFonts w:eastAsia="Calibri"/>
          <w:i/>
        </w:rPr>
        <w:t>Human Rights (Parliamentary Scrutiny) Act 2011</w:t>
      </w:r>
      <w:r w:rsidRPr="00B62D15">
        <w:rPr>
          <w:rFonts w:eastAsia="Calibri"/>
        </w:rPr>
        <w:t>.</w:t>
      </w:r>
    </w:p>
    <w:p w:rsidR="000B1AEB" w:rsidRPr="00B62D15" w:rsidRDefault="000B1AEB" w:rsidP="000B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851"/>
        <w:rPr>
          <w:rFonts w:ascii="Arial" w:eastAsia="Calibri" w:hAnsi="Arial" w:cs="Arial"/>
          <w:b/>
        </w:rPr>
      </w:pPr>
      <w:r w:rsidRPr="00B62D15">
        <w:rPr>
          <w:rFonts w:ascii="Arial" w:eastAsia="Calibri" w:hAnsi="Arial" w:cs="Arial"/>
          <w:b/>
        </w:rPr>
        <w:t>Human rights implications</w:t>
      </w:r>
    </w:p>
    <w:p w:rsidR="000B1AEB" w:rsidRPr="00B62D15" w:rsidRDefault="000B1AEB" w:rsidP="000B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851"/>
        <w:rPr>
          <w:rFonts w:eastAsia="Calibri"/>
        </w:rPr>
      </w:pPr>
      <w:r w:rsidRPr="00B62D15">
        <w:rPr>
          <w:rFonts w:eastAsia="Calibri"/>
        </w:rPr>
        <w:t>This Legislative Instrument does not engage any of the applicable rights or freedoms.</w:t>
      </w:r>
    </w:p>
    <w:p w:rsidR="000B1AEB" w:rsidRPr="00B62D15" w:rsidRDefault="000B1AEB" w:rsidP="000B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851"/>
        <w:rPr>
          <w:rFonts w:ascii="Arial" w:eastAsia="Calibri" w:hAnsi="Arial" w:cs="Arial"/>
          <w:b/>
        </w:rPr>
      </w:pPr>
      <w:r w:rsidRPr="00B62D15">
        <w:rPr>
          <w:rFonts w:ascii="Arial" w:eastAsia="Calibri" w:hAnsi="Arial" w:cs="Arial"/>
          <w:b/>
        </w:rPr>
        <w:t>Conclusion</w:t>
      </w:r>
    </w:p>
    <w:p w:rsidR="000B1AEB" w:rsidRDefault="000B1AEB" w:rsidP="000B1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851"/>
        <w:rPr>
          <w:rFonts w:eastAsia="Calibri"/>
        </w:rPr>
      </w:pPr>
      <w:r w:rsidRPr="00B62D15">
        <w:rPr>
          <w:rFonts w:eastAsia="Calibri"/>
        </w:rPr>
        <w:t>This Legislative Instrument is compatible with human rights as it does not raise any human rights issues.</w:t>
      </w:r>
    </w:p>
    <w:p w:rsidR="000B1AEB" w:rsidRPr="00BC0FF9" w:rsidRDefault="000B1AEB" w:rsidP="00BC0FF9"/>
    <w:sectPr w:rsidR="000B1AEB" w:rsidRPr="00BC0FF9" w:rsidSect="00C35EEC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45F" w:rsidRDefault="00C2045F" w:rsidP="007238EE">
      <w:r>
        <w:separator/>
      </w:r>
    </w:p>
  </w:endnote>
  <w:endnote w:type="continuationSeparator" w:id="0">
    <w:p w:rsidR="00C2045F" w:rsidRDefault="00C2045F" w:rsidP="0072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AEB" w:rsidRDefault="000B1AEB">
    <w:pPr>
      <w:spacing w:line="200" w:lineRule="exact"/>
    </w:pPr>
  </w:p>
  <w:p w:rsidR="000B1AEB" w:rsidRDefault="000B1AEB" w:rsidP="00EC23A9">
    <w:pPr>
      <w:pStyle w:val="FooterInf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45F" w:rsidRDefault="00C2045F" w:rsidP="007238EE">
      <w:r>
        <w:separator/>
      </w:r>
    </w:p>
  </w:footnote>
  <w:footnote w:type="continuationSeparator" w:id="0">
    <w:p w:rsidR="00C2045F" w:rsidRDefault="00C2045F" w:rsidP="00723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68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494"/>
      <w:gridCol w:w="12574"/>
    </w:tblGrid>
    <w:tr w:rsidR="000B1AEB">
      <w:tc>
        <w:tcPr>
          <w:tcW w:w="1494" w:type="dxa"/>
        </w:tcPr>
        <w:p w:rsidR="000B1AEB" w:rsidRDefault="000B1AEB">
          <w:pPr>
            <w:pStyle w:val="HeaderLiteEven"/>
          </w:pPr>
        </w:p>
      </w:tc>
      <w:tc>
        <w:tcPr>
          <w:tcW w:w="12574" w:type="dxa"/>
        </w:tcPr>
        <w:p w:rsidR="000B1AEB" w:rsidRDefault="000B1AEB">
          <w:pPr>
            <w:pStyle w:val="HeaderLiteEven"/>
          </w:pPr>
        </w:p>
      </w:tc>
    </w:tr>
    <w:tr w:rsidR="000B1AEB">
      <w:tc>
        <w:tcPr>
          <w:tcW w:w="1494" w:type="dxa"/>
        </w:tcPr>
        <w:p w:rsidR="000B1AEB" w:rsidRDefault="000B1AEB">
          <w:pPr>
            <w:pStyle w:val="HeaderLiteEven"/>
          </w:pPr>
        </w:p>
      </w:tc>
      <w:tc>
        <w:tcPr>
          <w:tcW w:w="12574" w:type="dxa"/>
        </w:tcPr>
        <w:p w:rsidR="000B1AEB" w:rsidRDefault="000B1AEB">
          <w:pPr>
            <w:pStyle w:val="HeaderLiteEven"/>
          </w:pPr>
        </w:p>
      </w:tc>
    </w:tr>
    <w:tr w:rsidR="000B1AEB">
      <w:tc>
        <w:tcPr>
          <w:tcW w:w="14068" w:type="dxa"/>
          <w:gridSpan w:val="2"/>
          <w:tcBorders>
            <w:bottom w:val="single" w:sz="4" w:space="0" w:color="auto"/>
          </w:tcBorders>
        </w:tcPr>
        <w:p w:rsidR="000B1AEB" w:rsidRDefault="000B1AEB">
          <w:pPr>
            <w:pStyle w:val="HeaderBoldEven"/>
          </w:pPr>
        </w:p>
      </w:tc>
    </w:tr>
  </w:tbl>
  <w:p w:rsidR="000B1AEB" w:rsidRDefault="000B1A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42D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6E6BF2"/>
    <w:multiLevelType w:val="hybridMultilevel"/>
    <w:tmpl w:val="C9C07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8192C"/>
    <w:multiLevelType w:val="multilevel"/>
    <w:tmpl w:val="6A5A7C9A"/>
    <w:lvl w:ilvl="0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2135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248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ind w:left="3824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5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24" w:hanging="180"/>
      </w:pPr>
      <w:rPr>
        <w:rFonts w:hint="default"/>
      </w:rPr>
    </w:lvl>
  </w:abstractNum>
  <w:abstractNum w:abstractNumId="3" w15:restartNumberingAfterBreak="0">
    <w:nsid w:val="0ED40EE6"/>
    <w:multiLevelType w:val="hybridMultilevel"/>
    <w:tmpl w:val="79E606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245EE"/>
    <w:multiLevelType w:val="multilevel"/>
    <w:tmpl w:val="A2BCAD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1191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74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51906A8"/>
    <w:multiLevelType w:val="hybridMultilevel"/>
    <w:tmpl w:val="07E8C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73487"/>
    <w:multiLevelType w:val="multilevel"/>
    <w:tmpl w:val="24762DF0"/>
    <w:lvl w:ilvl="0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626CF6"/>
    <w:multiLevelType w:val="hybridMultilevel"/>
    <w:tmpl w:val="C970577C"/>
    <w:lvl w:ilvl="0" w:tplc="97CE5C88">
      <w:start w:val="1"/>
      <w:numFmt w:val="bullet"/>
      <w:lvlText w:val=""/>
      <w:lvlJc w:val="left"/>
      <w:pPr>
        <w:ind w:left="147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B2D30"/>
    <w:multiLevelType w:val="hybridMultilevel"/>
    <w:tmpl w:val="7758F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32E85"/>
    <w:multiLevelType w:val="hybridMultilevel"/>
    <w:tmpl w:val="E40421E4"/>
    <w:lvl w:ilvl="0" w:tplc="E3BC3ED8">
      <w:start w:val="1"/>
      <w:numFmt w:val="bullet"/>
      <w:lvlText w:val=""/>
      <w:lvlJc w:val="left"/>
      <w:pPr>
        <w:ind w:left="147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53437"/>
    <w:multiLevelType w:val="hybridMultilevel"/>
    <w:tmpl w:val="D48ED7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7F3E88"/>
    <w:multiLevelType w:val="hybridMultilevel"/>
    <w:tmpl w:val="5A98E3FC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8974CD4C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B3B3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B221E9"/>
    <w:multiLevelType w:val="hybridMultilevel"/>
    <w:tmpl w:val="262004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03DB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3926841"/>
    <w:multiLevelType w:val="hybridMultilevel"/>
    <w:tmpl w:val="B2CCAB2E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8257D8">
      <w:start w:val="1"/>
      <w:numFmt w:val="bullet"/>
      <w:lvlText w:val=""/>
      <w:lvlJc w:val="left"/>
      <w:pPr>
        <w:ind w:left="1191" w:hanging="34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6351B"/>
    <w:multiLevelType w:val="hybridMultilevel"/>
    <w:tmpl w:val="383251D0"/>
    <w:lvl w:ilvl="0" w:tplc="381E342A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720C3"/>
    <w:multiLevelType w:val="hybridMultilevel"/>
    <w:tmpl w:val="392CC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0195E">
      <w:start w:val="1"/>
      <w:numFmt w:val="bullet"/>
      <w:lvlText w:val="o"/>
      <w:lvlJc w:val="left"/>
      <w:pPr>
        <w:ind w:left="1191" w:hanging="34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65B2D"/>
    <w:multiLevelType w:val="hybridMultilevel"/>
    <w:tmpl w:val="47921C62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308B8"/>
    <w:multiLevelType w:val="hybridMultilevel"/>
    <w:tmpl w:val="37FAB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731A2"/>
    <w:multiLevelType w:val="hybridMultilevel"/>
    <w:tmpl w:val="C36CB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21BE">
      <w:start w:val="1"/>
      <w:numFmt w:val="bullet"/>
      <w:lvlText w:val=""/>
      <w:lvlJc w:val="left"/>
      <w:pPr>
        <w:ind w:left="1758" w:hanging="34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31CF3"/>
    <w:multiLevelType w:val="hybridMultilevel"/>
    <w:tmpl w:val="AF32BB00"/>
    <w:lvl w:ilvl="0" w:tplc="E870C98C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169E2924">
      <w:start w:val="1"/>
      <w:numFmt w:val="bullet"/>
      <w:lvlText w:val="o"/>
      <w:lvlJc w:val="left"/>
      <w:pPr>
        <w:ind w:left="1191" w:firstLine="22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D6B5B"/>
    <w:multiLevelType w:val="multilevel"/>
    <w:tmpl w:val="A2BCAD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1191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74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6D76618"/>
    <w:multiLevelType w:val="hybridMultilevel"/>
    <w:tmpl w:val="E1BA5D34"/>
    <w:lvl w:ilvl="0" w:tplc="C1FEDE54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3"/>
  </w:num>
  <w:num w:numId="5">
    <w:abstractNumId w:val="12"/>
  </w:num>
  <w:num w:numId="6">
    <w:abstractNumId w:val="0"/>
  </w:num>
  <w:num w:numId="7">
    <w:abstractNumId w:val="14"/>
  </w:num>
  <w:num w:numId="8">
    <w:abstractNumId w:val="4"/>
  </w:num>
  <w:num w:numId="9">
    <w:abstractNumId w:val="2"/>
  </w:num>
  <w:num w:numId="10">
    <w:abstractNumId w:val="1"/>
  </w:num>
  <w:num w:numId="11">
    <w:abstractNumId w:val="5"/>
  </w:num>
  <w:num w:numId="12">
    <w:abstractNumId w:val="23"/>
  </w:num>
  <w:num w:numId="13">
    <w:abstractNumId w:val="18"/>
  </w:num>
  <w:num w:numId="14">
    <w:abstractNumId w:val="17"/>
  </w:num>
  <w:num w:numId="15">
    <w:abstractNumId w:val="20"/>
  </w:num>
  <w:num w:numId="16">
    <w:abstractNumId w:val="16"/>
  </w:num>
  <w:num w:numId="17">
    <w:abstractNumId w:val="21"/>
  </w:num>
  <w:num w:numId="18">
    <w:abstractNumId w:val="11"/>
  </w:num>
  <w:num w:numId="19">
    <w:abstractNumId w:val="15"/>
  </w:num>
  <w:num w:numId="20">
    <w:abstractNumId w:val="7"/>
  </w:num>
  <w:num w:numId="21">
    <w:abstractNumId w:val="9"/>
  </w:num>
  <w:num w:numId="22">
    <w:abstractNumId w:val="6"/>
  </w:num>
  <w:num w:numId="23">
    <w:abstractNumId w:val="22"/>
  </w:num>
  <w:num w:numId="24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7" w:hanging="34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91" w:hanging="34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7" w:hanging="51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1" w:hanging="45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304" w:hanging="45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268" w:hanging="141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7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6"/>
    <w:lvlOverride w:ilvl="0">
      <w:lvl w:ilvl="0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432"/>
    <w:rsid w:val="00017C95"/>
    <w:rsid w:val="000B1909"/>
    <w:rsid w:val="000B1AEB"/>
    <w:rsid w:val="000D188B"/>
    <w:rsid w:val="0012327C"/>
    <w:rsid w:val="00183C86"/>
    <w:rsid w:val="00185CD0"/>
    <w:rsid w:val="00195B88"/>
    <w:rsid w:val="001A5A8E"/>
    <w:rsid w:val="001E5A87"/>
    <w:rsid w:val="001F4487"/>
    <w:rsid w:val="00210F0A"/>
    <w:rsid w:val="002265DE"/>
    <w:rsid w:val="00290B2A"/>
    <w:rsid w:val="002D5F02"/>
    <w:rsid w:val="002D7F00"/>
    <w:rsid w:val="002E6CD5"/>
    <w:rsid w:val="002F2DA7"/>
    <w:rsid w:val="00385CFC"/>
    <w:rsid w:val="00387DF9"/>
    <w:rsid w:val="00404037"/>
    <w:rsid w:val="00433550"/>
    <w:rsid w:val="00447169"/>
    <w:rsid w:val="004610A8"/>
    <w:rsid w:val="00463181"/>
    <w:rsid w:val="004674A7"/>
    <w:rsid w:val="0051529E"/>
    <w:rsid w:val="005157EA"/>
    <w:rsid w:val="005212CA"/>
    <w:rsid w:val="00522D8F"/>
    <w:rsid w:val="00524E64"/>
    <w:rsid w:val="00576505"/>
    <w:rsid w:val="005E488D"/>
    <w:rsid w:val="005E6C06"/>
    <w:rsid w:val="005F14D0"/>
    <w:rsid w:val="006A35D7"/>
    <w:rsid w:val="006B38EB"/>
    <w:rsid w:val="007238EE"/>
    <w:rsid w:val="007901BA"/>
    <w:rsid w:val="00796DDD"/>
    <w:rsid w:val="007A105E"/>
    <w:rsid w:val="007D17D5"/>
    <w:rsid w:val="007D4C57"/>
    <w:rsid w:val="007F57DD"/>
    <w:rsid w:val="00844743"/>
    <w:rsid w:val="00862AED"/>
    <w:rsid w:val="008718A1"/>
    <w:rsid w:val="00896EBC"/>
    <w:rsid w:val="008B0F8C"/>
    <w:rsid w:val="008C52F1"/>
    <w:rsid w:val="008E4416"/>
    <w:rsid w:val="008E707C"/>
    <w:rsid w:val="008F546D"/>
    <w:rsid w:val="008F7237"/>
    <w:rsid w:val="00960284"/>
    <w:rsid w:val="009619C3"/>
    <w:rsid w:val="009F6ADA"/>
    <w:rsid w:val="00A01A30"/>
    <w:rsid w:val="00A23748"/>
    <w:rsid w:val="00AA24D6"/>
    <w:rsid w:val="00B34DB8"/>
    <w:rsid w:val="00B37A5A"/>
    <w:rsid w:val="00B53B85"/>
    <w:rsid w:val="00BA1C7F"/>
    <w:rsid w:val="00BB771C"/>
    <w:rsid w:val="00BC0FF9"/>
    <w:rsid w:val="00C2045F"/>
    <w:rsid w:val="00C2115F"/>
    <w:rsid w:val="00C35EEC"/>
    <w:rsid w:val="00C40570"/>
    <w:rsid w:val="00C5036B"/>
    <w:rsid w:val="00C774F5"/>
    <w:rsid w:val="00CA7988"/>
    <w:rsid w:val="00CA7A92"/>
    <w:rsid w:val="00CB72CE"/>
    <w:rsid w:val="00CD3990"/>
    <w:rsid w:val="00CE0687"/>
    <w:rsid w:val="00CE5006"/>
    <w:rsid w:val="00D4339A"/>
    <w:rsid w:val="00D67AC6"/>
    <w:rsid w:val="00D93A78"/>
    <w:rsid w:val="00DE10ED"/>
    <w:rsid w:val="00E35432"/>
    <w:rsid w:val="00E654A4"/>
    <w:rsid w:val="00E77AC7"/>
    <w:rsid w:val="00E87A23"/>
    <w:rsid w:val="00E93998"/>
    <w:rsid w:val="00EB566D"/>
    <w:rsid w:val="00F168B3"/>
    <w:rsid w:val="00F94F7E"/>
    <w:rsid w:val="00FA46EC"/>
    <w:rsid w:val="00FC578D"/>
    <w:rsid w:val="00F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604E2D-DDEF-439F-A8AD-4C653565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8B3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8B3"/>
    <w:pPr>
      <w:keepNext/>
      <w:keepLines/>
      <w:spacing w:before="24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168B3"/>
    <w:pPr>
      <w:keepNext/>
      <w:keepLines/>
      <w:spacing w:before="120" w:after="1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168B3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017C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8B3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68B3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68B3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168B3"/>
    <w:rPr>
      <w:rFonts w:ascii="Arial" w:eastAsiaTheme="majorEastAsia" w:hAnsi="Arial" w:cstheme="majorBidi"/>
      <w:b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BC0FF9"/>
    <w:pPr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C0FF9"/>
    <w:rPr>
      <w:rFonts w:ascii="Arial" w:hAnsi="Arial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15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autoRedefine/>
    <w:uiPriority w:val="99"/>
    <w:qFormat/>
    <w:rsid w:val="00017C95"/>
  </w:style>
  <w:style w:type="character" w:customStyle="1" w:styleId="BodyTextChar">
    <w:name w:val="Body Text Char"/>
    <w:basedOn w:val="DefaultParagraphFont"/>
    <w:link w:val="BodyText"/>
    <w:uiPriority w:val="99"/>
    <w:rsid w:val="00017C9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C0FF9"/>
    <w:pPr>
      <w:tabs>
        <w:tab w:val="left" w:pos="0"/>
        <w:tab w:val="right" w:pos="9015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C0FF9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8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38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erBoldEven">
    <w:name w:val="HeaderBoldEven"/>
    <w:basedOn w:val="Normal"/>
    <w:rsid w:val="000B1AEB"/>
    <w:pPr>
      <w:spacing w:before="120" w:after="60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0B1AEB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FooterInfo">
    <w:name w:val="FooterInfo"/>
    <w:basedOn w:val="Normal"/>
    <w:semiHidden/>
    <w:rsid w:val="000B1AEB"/>
    <w:rPr>
      <w:rFonts w:ascii="Arial" w:hAnsi="Arial"/>
      <w:sz w:val="12"/>
    </w:rPr>
  </w:style>
  <w:style w:type="paragraph" w:styleId="Title">
    <w:name w:val="Title"/>
    <w:basedOn w:val="Normal"/>
    <w:next w:val="Normal"/>
    <w:link w:val="TitleChar"/>
    <w:qFormat/>
    <w:rsid w:val="000B1AEB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B1AEB"/>
    <w:rPr>
      <w:rFonts w:ascii="Arial" w:eastAsia="Times New Roman" w:hAnsi="Arial" w:cs="Arial"/>
      <w:b/>
      <w:bCs/>
      <w:sz w:val="40"/>
      <w:szCs w:val="40"/>
      <w:lang w:val="en-AU"/>
    </w:rPr>
  </w:style>
  <w:style w:type="paragraph" w:customStyle="1" w:styleId="A1">
    <w:name w:val="A1"/>
    <w:aliases w:val="Heading Amendment,1. Amendment"/>
    <w:basedOn w:val="Normal"/>
    <w:next w:val="Normal"/>
    <w:rsid w:val="000B1AEB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SchedSectionBreak">
    <w:name w:val="SchedSectionBreak"/>
    <w:basedOn w:val="Normal"/>
    <w:next w:val="Normal"/>
    <w:rsid w:val="000B1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6F09E9-EED5-406A-8364-972A90BF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602</Words>
  <Characters>3434</Characters>
  <Application>Microsoft Office Word</Application>
  <DocSecurity>0</DocSecurity>
  <Lines>28</Lines>
  <Paragraphs>8</Paragraphs>
  <ScaleCrop>false</ScaleCrop>
  <Company>ComSuper</Company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forda</dc:creator>
  <cp:lastModifiedBy>Arthur Marusevich</cp:lastModifiedBy>
  <cp:revision>12</cp:revision>
  <cp:lastPrinted>2016-06-01T01:48:00Z</cp:lastPrinted>
  <dcterms:created xsi:type="dcterms:W3CDTF">2016-05-26T07:14:00Z</dcterms:created>
  <dcterms:modified xsi:type="dcterms:W3CDTF">2018-05-14T04:40:00Z</dcterms:modified>
</cp:coreProperties>
</file>