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59FC" w14:textId="0D27D8B6" w:rsidR="00384232" w:rsidRPr="00541899" w:rsidRDefault="00384232" w:rsidP="00384232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14:paraId="14735F2C" w14:textId="73ACCF5F" w:rsidR="001B4A7B" w:rsidRPr="006C2E1D" w:rsidRDefault="001B4A7B" w:rsidP="001B4A7B">
      <w:pPr>
        <w:jc w:val="center"/>
        <w:rPr>
          <w:rFonts w:asciiTheme="minorHAnsi" w:hAnsiTheme="minorHAnsi" w:cstheme="minorHAnsi"/>
          <w:b/>
          <w:lang w:val="en-GB"/>
        </w:rPr>
      </w:pPr>
      <w:r w:rsidRPr="006C2E1D">
        <w:rPr>
          <w:rFonts w:asciiTheme="minorHAnsi" w:hAnsiTheme="minorHAnsi" w:cstheme="minorHAnsi"/>
          <w:b/>
          <w:lang w:val="en-GB"/>
        </w:rPr>
        <w:t>EXPLANATORY STATEMENT</w:t>
      </w:r>
    </w:p>
    <w:p w14:paraId="2916CA7E" w14:textId="77777777" w:rsidR="001B4A7B" w:rsidRPr="006C2E1D" w:rsidRDefault="001B4A7B" w:rsidP="001B4A7B">
      <w:pPr>
        <w:jc w:val="center"/>
        <w:rPr>
          <w:rFonts w:asciiTheme="minorHAnsi" w:hAnsiTheme="minorHAnsi" w:cstheme="minorHAnsi"/>
          <w:i/>
          <w:lang w:val="en-GB"/>
        </w:rPr>
      </w:pPr>
      <w:r w:rsidRPr="006C2E1D">
        <w:rPr>
          <w:rFonts w:asciiTheme="minorHAnsi" w:hAnsiTheme="minorHAnsi" w:cstheme="minorHAnsi"/>
          <w:i/>
          <w:lang w:val="en-GB"/>
        </w:rPr>
        <w:t>Consumer Goods (</w:t>
      </w:r>
      <w:r w:rsidR="0015075E">
        <w:rPr>
          <w:rFonts w:asciiTheme="minorHAnsi" w:hAnsiTheme="minorHAnsi" w:cstheme="minorHAnsi"/>
          <w:i/>
          <w:lang w:val="en-GB"/>
        </w:rPr>
        <w:t>Self-balancing Scooters</w:t>
      </w:r>
      <w:r w:rsidRPr="006C2E1D">
        <w:rPr>
          <w:rFonts w:asciiTheme="minorHAnsi" w:hAnsiTheme="minorHAnsi" w:cstheme="minorHAnsi"/>
          <w:i/>
          <w:lang w:val="en-GB"/>
        </w:rPr>
        <w:t>) Safety Standard 201</w:t>
      </w:r>
      <w:r w:rsidR="008D5474">
        <w:rPr>
          <w:rFonts w:asciiTheme="minorHAnsi" w:hAnsiTheme="minorHAnsi" w:cstheme="minorHAnsi"/>
          <w:i/>
          <w:lang w:val="en-GB"/>
        </w:rPr>
        <w:t>8</w:t>
      </w:r>
    </w:p>
    <w:p w14:paraId="6A62FD64" w14:textId="77777777" w:rsidR="001B4A7B" w:rsidRPr="006C2E1D" w:rsidRDefault="001B4A7B" w:rsidP="001B4A7B">
      <w:pPr>
        <w:rPr>
          <w:rFonts w:cs="Arial"/>
          <w:b/>
          <w:lang w:val="en-GB"/>
        </w:rPr>
      </w:pPr>
      <w:r w:rsidRPr="006C2E1D">
        <w:rPr>
          <w:rFonts w:cs="Arial"/>
          <w:b/>
          <w:lang w:val="en-GB"/>
        </w:rPr>
        <w:t>Overview</w:t>
      </w:r>
    </w:p>
    <w:p w14:paraId="729FD950" w14:textId="77777777" w:rsidR="00820DAD" w:rsidRDefault="00644E3A" w:rsidP="001B4A7B">
      <w:pPr>
        <w:rPr>
          <w:rFonts w:cs="Arial"/>
          <w:lang w:val="en-GB"/>
        </w:rPr>
      </w:pPr>
      <w:r w:rsidRPr="002F6A17">
        <w:rPr>
          <w:rFonts w:cs="Arial"/>
          <w:lang w:val="en-GB"/>
        </w:rPr>
        <w:t>The Commonwealth</w:t>
      </w:r>
      <w:r w:rsidR="003D221E">
        <w:rPr>
          <w:rFonts w:cs="Arial"/>
          <w:lang w:val="en-GB"/>
        </w:rPr>
        <w:t xml:space="preserve"> Assistant </w:t>
      </w:r>
      <w:r w:rsidRPr="002F6A17">
        <w:rPr>
          <w:rFonts w:cs="Arial"/>
          <w:lang w:val="en-GB"/>
        </w:rPr>
        <w:t>Minister</w:t>
      </w:r>
      <w:r w:rsidR="003D221E">
        <w:rPr>
          <w:rFonts w:cs="Arial"/>
          <w:lang w:val="en-GB"/>
        </w:rPr>
        <w:t xml:space="preserve"> to the Treasurer</w:t>
      </w:r>
      <w:r w:rsidR="00FF59CB">
        <w:rPr>
          <w:rFonts w:cs="Arial"/>
          <w:lang w:val="en-GB"/>
        </w:rPr>
        <w:t xml:space="preserve"> and Parliamentary Secretary to the Treasurer</w:t>
      </w:r>
      <w:r w:rsidR="003D221E">
        <w:rPr>
          <w:rFonts w:cs="Arial"/>
          <w:lang w:val="en-GB"/>
        </w:rPr>
        <w:t>, the Hon. Michael Sukkar MP</w:t>
      </w:r>
      <w:r w:rsidRPr="002F6A17">
        <w:rPr>
          <w:rFonts w:cs="Arial"/>
          <w:lang w:val="en-GB"/>
        </w:rPr>
        <w:t xml:space="preserve"> (the Minister)</w:t>
      </w:r>
      <w:r w:rsidR="003D221E">
        <w:rPr>
          <w:rFonts w:cs="Arial"/>
          <w:lang w:val="en-GB"/>
        </w:rPr>
        <w:t>,</w:t>
      </w:r>
      <w:r w:rsidRPr="002F6A17">
        <w:rPr>
          <w:rFonts w:cs="Arial"/>
          <w:lang w:val="en-GB"/>
        </w:rPr>
        <w:t xml:space="preserve"> has made a safety standard for </w:t>
      </w:r>
      <w:r w:rsidR="0015075E">
        <w:rPr>
          <w:rFonts w:cs="Arial"/>
          <w:lang w:val="en-GB"/>
        </w:rPr>
        <w:t>self-balancing scooters</w:t>
      </w:r>
      <w:r w:rsidR="00852C8E" w:rsidRPr="002F6A17">
        <w:rPr>
          <w:rFonts w:cs="Arial"/>
          <w:lang w:val="en-GB"/>
        </w:rPr>
        <w:t xml:space="preserve"> </w:t>
      </w:r>
      <w:r w:rsidRPr="002F6A17">
        <w:rPr>
          <w:rFonts w:cs="Arial"/>
          <w:lang w:val="en-GB"/>
        </w:rPr>
        <w:t>pursuant to section 104</w:t>
      </w:r>
      <w:r w:rsidR="004024D9">
        <w:rPr>
          <w:rFonts w:cs="Arial"/>
          <w:lang w:val="en-GB"/>
        </w:rPr>
        <w:t xml:space="preserve"> </w:t>
      </w:r>
      <w:r w:rsidRPr="002F6A17">
        <w:rPr>
          <w:rFonts w:cs="Arial"/>
          <w:lang w:val="en-GB"/>
        </w:rPr>
        <w:t xml:space="preserve">of the Australian Consumer Law, which is Schedule 2 of the </w:t>
      </w:r>
      <w:r w:rsidRPr="002F6A17">
        <w:rPr>
          <w:rFonts w:cs="Arial"/>
          <w:i/>
          <w:lang w:val="en-GB"/>
        </w:rPr>
        <w:t xml:space="preserve">Competition and Consumer Act 2010 </w:t>
      </w:r>
      <w:r w:rsidRPr="00FF59CB">
        <w:rPr>
          <w:rFonts w:cs="Arial"/>
          <w:lang w:val="en-GB"/>
        </w:rPr>
        <w:t>(Cth</w:t>
      </w:r>
      <w:r w:rsidR="00197372" w:rsidRPr="00FF59CB">
        <w:rPr>
          <w:rFonts w:cs="Arial"/>
          <w:lang w:val="en-GB"/>
        </w:rPr>
        <w:t>)</w:t>
      </w:r>
      <w:r w:rsidRPr="002F6A17">
        <w:rPr>
          <w:rFonts w:cs="Arial"/>
          <w:lang w:val="en-GB"/>
        </w:rPr>
        <w:t>.</w:t>
      </w:r>
    </w:p>
    <w:p w14:paraId="7960D928" w14:textId="49720174" w:rsidR="00820DAD" w:rsidRDefault="00820DAD" w:rsidP="00884D6C">
      <w:pPr>
        <w:rPr>
          <w:rFonts w:cs="Arial"/>
          <w:lang w:val="en-GB"/>
        </w:rPr>
      </w:pPr>
      <w:r w:rsidRPr="0015075E">
        <w:rPr>
          <w:rFonts w:cs="Arial"/>
          <w:lang w:val="en-GB"/>
        </w:rPr>
        <w:t>The safety standard comes into effect on the day after it is registered on the Federal Register of Legislation.</w:t>
      </w:r>
    </w:p>
    <w:p w14:paraId="35AE9D67" w14:textId="3066279C" w:rsidR="008D3F02" w:rsidRPr="008D3F02" w:rsidRDefault="008D3F02" w:rsidP="00884D6C">
      <w:pPr>
        <w:rPr>
          <w:rFonts w:eastAsia="Arial" w:cs="Arial"/>
        </w:rPr>
      </w:pPr>
      <w:r>
        <w:rPr>
          <w:rFonts w:eastAsia="Arial" w:cs="Arial"/>
        </w:rPr>
        <w:t>The safety standard was introduced to address a regulatory gap that exists in some state and territory electrical safety regimes, which do not regulate extra low-voltage electrical products which includes self-balancing scooters.</w:t>
      </w:r>
    </w:p>
    <w:p w14:paraId="1377C08E" w14:textId="4D4682CD" w:rsidR="00931ECF" w:rsidRDefault="001B4A7B" w:rsidP="00925D12">
      <w:pPr>
        <w:rPr>
          <w:rFonts w:eastAsia="Arial" w:cs="Arial"/>
        </w:rPr>
      </w:pPr>
      <w:r w:rsidRPr="0015075E">
        <w:rPr>
          <w:rFonts w:eastAsia="Arial" w:cs="Arial"/>
        </w:rPr>
        <w:t xml:space="preserve">The </w:t>
      </w:r>
      <w:r w:rsidR="0091775F" w:rsidRPr="0015075E">
        <w:rPr>
          <w:rFonts w:eastAsia="Arial" w:cs="Arial"/>
        </w:rPr>
        <w:t xml:space="preserve">purpose of the </w:t>
      </w:r>
      <w:r w:rsidR="001F4C58" w:rsidRPr="0015075E">
        <w:rPr>
          <w:rFonts w:eastAsia="Arial" w:cs="Arial"/>
        </w:rPr>
        <w:t xml:space="preserve">safety </w:t>
      </w:r>
      <w:r w:rsidR="0091775F" w:rsidRPr="0015075E">
        <w:rPr>
          <w:rFonts w:eastAsia="Arial" w:cs="Arial"/>
        </w:rPr>
        <w:t>standard is to</w:t>
      </w:r>
      <w:r w:rsidRPr="0015075E">
        <w:rPr>
          <w:rFonts w:eastAsia="Arial" w:cs="Arial"/>
        </w:rPr>
        <w:t xml:space="preserve"> reduce the risk of </w:t>
      </w:r>
      <w:r w:rsidR="00A71F5F" w:rsidRPr="0015075E">
        <w:rPr>
          <w:rFonts w:eastAsia="Arial" w:cs="Arial"/>
        </w:rPr>
        <w:t>death and serious injuries</w:t>
      </w:r>
      <w:r w:rsidR="0061612B">
        <w:rPr>
          <w:rFonts w:eastAsia="Arial" w:cs="Arial"/>
        </w:rPr>
        <w:t xml:space="preserve"> to consumers from</w:t>
      </w:r>
      <w:r w:rsidR="00A257B6">
        <w:rPr>
          <w:rFonts w:eastAsia="Arial" w:cs="Arial"/>
        </w:rPr>
        <w:t xml:space="preserve"> </w:t>
      </w:r>
      <w:r w:rsidR="00321F35">
        <w:rPr>
          <w:rFonts w:eastAsia="Arial" w:cs="Arial"/>
        </w:rPr>
        <w:t>self-balancing scooter</w:t>
      </w:r>
      <w:r w:rsidR="00321F35" w:rsidDel="00856255">
        <w:rPr>
          <w:rFonts w:eastAsia="Arial" w:cs="Arial"/>
        </w:rPr>
        <w:t xml:space="preserve"> </w:t>
      </w:r>
      <w:r w:rsidR="00A257B6">
        <w:rPr>
          <w:rFonts w:eastAsia="Arial" w:cs="Arial"/>
        </w:rPr>
        <w:t>related</w:t>
      </w:r>
      <w:r w:rsidR="008D3F02">
        <w:rPr>
          <w:rFonts w:eastAsia="Arial" w:cs="Arial"/>
        </w:rPr>
        <w:t xml:space="preserve"> fires including</w:t>
      </w:r>
      <w:r w:rsidR="00A257B6">
        <w:rPr>
          <w:rFonts w:eastAsia="Arial" w:cs="Arial"/>
        </w:rPr>
        <w:t xml:space="preserve"> </w:t>
      </w:r>
      <w:r w:rsidR="00991AAD">
        <w:rPr>
          <w:rFonts w:eastAsia="Arial" w:cs="Arial"/>
        </w:rPr>
        <w:t xml:space="preserve">house </w:t>
      </w:r>
      <w:r w:rsidR="0064458B">
        <w:rPr>
          <w:rFonts w:eastAsia="Arial" w:cs="Arial"/>
        </w:rPr>
        <w:t>fires</w:t>
      </w:r>
      <w:r w:rsidR="007D02AF">
        <w:rPr>
          <w:rFonts w:eastAsia="Arial" w:cs="Arial"/>
        </w:rPr>
        <w:t xml:space="preserve">. </w:t>
      </w:r>
      <w:r w:rsidR="008D3F02">
        <w:rPr>
          <w:rFonts w:eastAsia="Arial" w:cs="Arial"/>
        </w:rPr>
        <w:t>House fires</w:t>
      </w:r>
      <w:r w:rsidR="00C23AAA" w:rsidRPr="00C23AAA">
        <w:rPr>
          <w:rFonts w:eastAsia="Arial" w:cs="Arial"/>
        </w:rPr>
        <w:t xml:space="preserve"> have occurred when</w:t>
      </w:r>
      <w:r w:rsidR="00C47B62">
        <w:rPr>
          <w:rFonts w:eastAsia="Arial" w:cs="Arial"/>
        </w:rPr>
        <w:t xml:space="preserve"> some</w:t>
      </w:r>
      <w:r w:rsidR="00931ECF">
        <w:rPr>
          <w:rFonts w:eastAsia="Arial" w:cs="Arial"/>
        </w:rPr>
        <w:t xml:space="preserve"> </w:t>
      </w:r>
      <w:r w:rsidR="00C23AAA" w:rsidRPr="00C23AAA">
        <w:rPr>
          <w:rFonts w:eastAsia="Arial" w:cs="Arial"/>
        </w:rPr>
        <w:t>self-balancing scooters have overheated when charged via a mains power supply.</w:t>
      </w:r>
    </w:p>
    <w:p w14:paraId="303F9A60" w14:textId="726BE208" w:rsidR="00856255" w:rsidRDefault="00856255" w:rsidP="00925D12">
      <w:pPr>
        <w:rPr>
          <w:rFonts w:eastAsia="Arial" w:cs="Arial"/>
        </w:rPr>
      </w:pPr>
      <w:r>
        <w:rPr>
          <w:rFonts w:eastAsia="Arial" w:cs="Arial"/>
        </w:rPr>
        <w:t>Based on Australian and international evidence, house fires are most likely caused by self-balancing scooters with one or more of the following characteristics:</w:t>
      </w:r>
    </w:p>
    <w:p w14:paraId="36B77C3F" w14:textId="77777777" w:rsidR="00856255" w:rsidRDefault="00856255" w:rsidP="00321F35">
      <w:pPr>
        <w:pStyle w:val="ListParagraph"/>
        <w:numPr>
          <w:ilvl w:val="0"/>
          <w:numId w:val="49"/>
        </w:numPr>
        <w:rPr>
          <w:rFonts w:eastAsia="Arial" w:cs="Arial"/>
        </w:rPr>
      </w:pPr>
      <w:r>
        <w:rPr>
          <w:rFonts w:eastAsia="Arial" w:cs="Arial"/>
        </w:rPr>
        <w:t>they contain substandard lithium-ion batteries</w:t>
      </w:r>
    </w:p>
    <w:p w14:paraId="4653BA69" w14:textId="77777777" w:rsidR="00856255" w:rsidRDefault="00856255" w:rsidP="00321F35">
      <w:pPr>
        <w:pStyle w:val="ListParagraph"/>
        <w:numPr>
          <w:ilvl w:val="0"/>
          <w:numId w:val="49"/>
        </w:numPr>
        <w:rPr>
          <w:rFonts w:eastAsia="Arial" w:cs="Arial"/>
        </w:rPr>
      </w:pPr>
      <w:r>
        <w:rPr>
          <w:rFonts w:eastAsia="Arial" w:cs="Arial"/>
        </w:rPr>
        <w:t>they are designed and manufactured with substandard mechanical protection for the batteries</w:t>
      </w:r>
    </w:p>
    <w:p w14:paraId="216ECA21" w14:textId="77777777" w:rsidR="00856255" w:rsidRDefault="00856255" w:rsidP="00321F35">
      <w:pPr>
        <w:pStyle w:val="ListParagraph"/>
        <w:numPr>
          <w:ilvl w:val="0"/>
          <w:numId w:val="49"/>
        </w:numPr>
        <w:rPr>
          <w:rFonts w:eastAsia="Arial" w:cs="Arial"/>
        </w:rPr>
      </w:pPr>
      <w:r>
        <w:rPr>
          <w:rFonts w:eastAsia="Arial" w:cs="Arial"/>
        </w:rPr>
        <w:t>they are designed and manufactured with substandard electrical circuitry</w:t>
      </w:r>
    </w:p>
    <w:p w14:paraId="15B982EE" w14:textId="085BEE55" w:rsidR="00856255" w:rsidRPr="00321F35" w:rsidRDefault="00856255" w:rsidP="00321F35">
      <w:pPr>
        <w:pStyle w:val="ListParagraph"/>
        <w:numPr>
          <w:ilvl w:val="0"/>
          <w:numId w:val="49"/>
        </w:numPr>
        <w:rPr>
          <w:rFonts w:eastAsia="Arial" w:cs="Arial"/>
        </w:rPr>
      </w:pPr>
      <w:r>
        <w:rPr>
          <w:rFonts w:eastAsia="Arial" w:cs="Arial"/>
        </w:rPr>
        <w:t>they have non-compliant electrical chargers.</w:t>
      </w:r>
    </w:p>
    <w:p w14:paraId="6F8C6A04" w14:textId="77777777" w:rsidR="008D3F02" w:rsidRDefault="008D3F02" w:rsidP="00925D12">
      <w:r w:rsidRPr="008D3F02">
        <w:t>The safety standard includes requirements that the components and electrical circuitry used in the manufacture of self-balancing scooters safely manage battery charging, battery discharging, battery temperature controls and unbalanced charge in multiple lithium-ion battery cells.</w:t>
      </w:r>
      <w:r>
        <w:t xml:space="preserve"> </w:t>
      </w:r>
    </w:p>
    <w:p w14:paraId="7422C626" w14:textId="3665842C" w:rsidR="00931ECF" w:rsidRDefault="008D3F02" w:rsidP="00925D12">
      <w:r>
        <w:t>The</w:t>
      </w:r>
      <w:r w:rsidR="007F7AD2">
        <w:t xml:space="preserve"> safety</w:t>
      </w:r>
      <w:r w:rsidR="00931ECF">
        <w:t xml:space="preserve"> standard </w:t>
      </w:r>
      <w:r w:rsidR="00650B50">
        <w:t>updates</w:t>
      </w:r>
      <w:r w:rsidR="00931ECF">
        <w:t xml:space="preserve"> requirements</w:t>
      </w:r>
      <w:r>
        <w:t xml:space="preserve"> that are detailed in the repealed safety standard</w:t>
      </w:r>
      <w:r w:rsidR="00931ECF">
        <w:t xml:space="preserve"> to address design and construction flaws that</w:t>
      </w:r>
      <w:r w:rsidR="007F7AD2">
        <w:t xml:space="preserve"> pose a risk of thermal runaway </w:t>
      </w:r>
      <w:r w:rsidR="00FA69C8">
        <w:t xml:space="preserve">of </w:t>
      </w:r>
      <w:r w:rsidR="00321F35">
        <w:t xml:space="preserve">lithium-ion </w:t>
      </w:r>
      <w:r w:rsidR="00FA69C8">
        <w:t xml:space="preserve">batteries causing </w:t>
      </w:r>
      <w:r w:rsidR="002C1DFC">
        <w:t xml:space="preserve">them to </w:t>
      </w:r>
      <w:r w:rsidR="007F7AD2">
        <w:t>overheat</w:t>
      </w:r>
      <w:r w:rsidR="00FA69C8">
        <w:t xml:space="preserve">, </w:t>
      </w:r>
      <w:r w:rsidR="007F7AD2">
        <w:t>spark</w:t>
      </w:r>
      <w:r w:rsidR="00FA69C8">
        <w:t xml:space="preserve"> and emit smoke, leading to fires</w:t>
      </w:r>
      <w:r w:rsidR="00931ECF">
        <w:t xml:space="preserve">. </w:t>
      </w:r>
    </w:p>
    <w:p w14:paraId="135380BE" w14:textId="77777777" w:rsidR="00F5752F" w:rsidRPr="0015075E" w:rsidRDefault="00F5752F" w:rsidP="00F5752F">
      <w:pPr>
        <w:rPr>
          <w:rFonts w:cs="Arial"/>
          <w:b/>
          <w:lang w:val="en-GB"/>
        </w:rPr>
      </w:pPr>
      <w:r w:rsidRPr="0015075E">
        <w:rPr>
          <w:rFonts w:cs="Arial"/>
          <w:b/>
          <w:lang w:val="en-GB"/>
        </w:rPr>
        <w:t>Repealed Standard</w:t>
      </w:r>
    </w:p>
    <w:p w14:paraId="057EAD07" w14:textId="77777777" w:rsidR="002B60C9" w:rsidRPr="0015075E" w:rsidRDefault="002B60C9" w:rsidP="001B4A7B">
      <w:pPr>
        <w:rPr>
          <w:rFonts w:cs="Arial"/>
          <w:lang w:val="en-GB"/>
        </w:rPr>
      </w:pPr>
      <w:r w:rsidRPr="0015075E">
        <w:rPr>
          <w:rFonts w:cs="Arial"/>
          <w:lang w:val="en-GB"/>
        </w:rPr>
        <w:t xml:space="preserve">The </w:t>
      </w:r>
      <w:r w:rsidR="00A624C1" w:rsidRPr="0015075E">
        <w:rPr>
          <w:rFonts w:cs="Arial"/>
          <w:lang w:val="en-GB"/>
        </w:rPr>
        <w:t xml:space="preserve">previous safety </w:t>
      </w:r>
      <w:r w:rsidRPr="0015075E">
        <w:rPr>
          <w:rFonts w:cs="Arial"/>
          <w:lang w:val="en-GB"/>
        </w:rPr>
        <w:t xml:space="preserve">standard </w:t>
      </w:r>
      <w:r w:rsidR="00F5752F" w:rsidRPr="0015075E">
        <w:rPr>
          <w:rFonts w:cs="Arial"/>
          <w:lang w:val="en-GB"/>
        </w:rPr>
        <w:t xml:space="preserve">for </w:t>
      </w:r>
      <w:r w:rsidR="0015075E" w:rsidRPr="0015075E">
        <w:rPr>
          <w:rFonts w:cs="Arial"/>
          <w:lang w:val="en-GB"/>
        </w:rPr>
        <w:t xml:space="preserve">self-balancing scooters </w:t>
      </w:r>
      <w:r w:rsidRPr="0015075E">
        <w:rPr>
          <w:rFonts w:cs="Arial"/>
          <w:lang w:val="en-GB"/>
        </w:rPr>
        <w:t>was</w:t>
      </w:r>
      <w:r w:rsidR="005D6AFC" w:rsidRPr="0015075E">
        <w:rPr>
          <w:rFonts w:cs="Arial"/>
          <w:lang w:val="en-GB"/>
        </w:rPr>
        <w:t xml:space="preserve"> the</w:t>
      </w:r>
      <w:r w:rsidR="0015075E" w:rsidRPr="0015075E">
        <w:rPr>
          <w:rFonts w:cs="Arial"/>
          <w:lang w:val="en-GB"/>
        </w:rPr>
        <w:t xml:space="preserve"> </w:t>
      </w:r>
      <w:r w:rsidR="0015075E" w:rsidRPr="0015075E">
        <w:rPr>
          <w:rFonts w:cs="Arial"/>
          <w:i/>
          <w:lang w:val="en-GB"/>
        </w:rPr>
        <w:t>Consumer Goods (Self-balancing Scooters) Standard 2016</w:t>
      </w:r>
      <w:r w:rsidR="0049090A" w:rsidRPr="0015075E">
        <w:rPr>
          <w:rFonts w:cs="Arial"/>
          <w:lang w:val="en-GB"/>
        </w:rPr>
        <w:t>.</w:t>
      </w:r>
    </w:p>
    <w:p w14:paraId="67C09B44" w14:textId="77777777" w:rsidR="008C5FAA" w:rsidRPr="0015075E" w:rsidRDefault="008C5FAA" w:rsidP="008C5FAA">
      <w:pPr>
        <w:rPr>
          <w:rFonts w:cs="Arial"/>
          <w:lang w:val="en-GB"/>
        </w:rPr>
      </w:pPr>
      <w:r w:rsidRPr="0015075E">
        <w:rPr>
          <w:rFonts w:cs="Arial"/>
          <w:lang w:val="en-GB"/>
        </w:rPr>
        <w:t xml:space="preserve">Under subsection 33(3) of the </w:t>
      </w:r>
      <w:r w:rsidRPr="0015075E">
        <w:rPr>
          <w:rFonts w:cs="Arial"/>
          <w:i/>
          <w:lang w:val="en-GB"/>
        </w:rPr>
        <w:t>Acts Interpretation Act 1901</w:t>
      </w:r>
      <w:r w:rsidR="00640E07">
        <w:rPr>
          <w:rFonts w:cs="Arial"/>
          <w:lang w:val="en-GB"/>
        </w:rPr>
        <w:t xml:space="preserve"> (Cth)</w:t>
      </w:r>
      <w:r w:rsidRPr="0015075E">
        <w:rPr>
          <w:rFonts w:cs="Arial"/>
          <w:lang w:val="en-GB"/>
        </w:rPr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</w:t>
      </w:r>
    </w:p>
    <w:p w14:paraId="6311629B" w14:textId="77777777" w:rsidR="001B4A7B" w:rsidRPr="0015075E" w:rsidRDefault="001B4A7B" w:rsidP="00825DB6">
      <w:pPr>
        <w:keepNext/>
        <w:rPr>
          <w:rFonts w:cs="Arial"/>
          <w:b/>
          <w:lang w:val="en-GB"/>
        </w:rPr>
      </w:pPr>
      <w:r w:rsidRPr="0015075E">
        <w:rPr>
          <w:rFonts w:cs="Arial"/>
          <w:b/>
          <w:lang w:val="en-GB"/>
        </w:rPr>
        <w:t xml:space="preserve">Requirements </w:t>
      </w:r>
      <w:r w:rsidR="007A502D" w:rsidRPr="0015075E">
        <w:rPr>
          <w:rFonts w:cs="Arial"/>
          <w:b/>
          <w:lang w:val="en-GB"/>
        </w:rPr>
        <w:t xml:space="preserve">of </w:t>
      </w:r>
      <w:r w:rsidRPr="0015075E">
        <w:rPr>
          <w:rFonts w:cs="Arial"/>
          <w:b/>
          <w:lang w:val="en-GB"/>
        </w:rPr>
        <w:t>the safety standard</w:t>
      </w:r>
    </w:p>
    <w:p w14:paraId="2D00CB85" w14:textId="2F6C608B" w:rsidR="007E682E" w:rsidRPr="002B7260" w:rsidRDefault="007E682E" w:rsidP="007E682E">
      <w:pPr>
        <w:pStyle w:val="Definition"/>
        <w:ind w:left="0"/>
        <w:rPr>
          <w:rFonts w:asciiTheme="minorHAnsi" w:hAnsiTheme="minorHAnsi" w:cstheme="minorHAnsi"/>
          <w:lang w:val="en-US"/>
        </w:rPr>
      </w:pPr>
      <w:r w:rsidRPr="003E7B5A">
        <w:rPr>
          <w:rFonts w:asciiTheme="minorHAnsi" w:hAnsiTheme="minorHAnsi" w:cstheme="minorHAnsi"/>
          <w:lang w:val="en-GB"/>
        </w:rPr>
        <w:t>The safety standard applies to</w:t>
      </w:r>
      <w:r>
        <w:rPr>
          <w:rFonts w:asciiTheme="minorHAnsi" w:hAnsiTheme="minorHAnsi" w:cstheme="minorHAnsi"/>
          <w:lang w:val="en-GB"/>
        </w:rPr>
        <w:t xml:space="preserve"> single</w:t>
      </w:r>
      <w:r w:rsidR="00FA69C8">
        <w:rPr>
          <w:rFonts w:asciiTheme="minorHAnsi" w:hAnsiTheme="minorHAnsi" w:cstheme="minorHAnsi"/>
          <w:lang w:val="en-GB"/>
        </w:rPr>
        <w:t>-wheeled</w:t>
      </w:r>
      <w:r>
        <w:rPr>
          <w:rFonts w:asciiTheme="minorHAnsi" w:hAnsiTheme="minorHAnsi" w:cstheme="minorHAnsi"/>
          <w:lang w:val="en-GB"/>
        </w:rPr>
        <w:t xml:space="preserve"> and two-wheeled</w:t>
      </w:r>
      <w:r w:rsidRPr="003E7B5A">
        <w:rPr>
          <w:rFonts w:asciiTheme="minorHAnsi" w:hAnsiTheme="minorHAnsi" w:cstheme="minorHAnsi"/>
          <w:lang w:val="en-GB"/>
        </w:rPr>
        <w:t xml:space="preserve"> self-balancing scooters and requires that they comply with </w:t>
      </w:r>
      <w:r w:rsidRPr="00E656EF">
        <w:rPr>
          <w:rFonts w:asciiTheme="minorHAnsi" w:hAnsiTheme="minorHAnsi" w:cstheme="minorHAnsi"/>
          <w:lang w:val="en-GB"/>
        </w:rPr>
        <w:t xml:space="preserve">either the mandated clauses of the voluntary standards </w:t>
      </w:r>
      <w:r w:rsidRPr="00E656EF">
        <w:rPr>
          <w:rFonts w:asciiTheme="minorHAnsi" w:hAnsiTheme="minorHAnsi" w:cstheme="minorHAnsi"/>
          <w:lang w:val="en-GB"/>
        </w:rPr>
        <w:lastRenderedPageBreak/>
        <w:t>listed in this safety standard or the</w:t>
      </w:r>
      <w:r>
        <w:rPr>
          <w:rFonts w:asciiTheme="minorHAnsi" w:hAnsiTheme="minorHAnsi" w:cstheme="minorHAnsi"/>
          <w:lang w:val="en-GB"/>
        </w:rPr>
        <w:t xml:space="preserve"> mandated clauses of the voluntary standards listed in the</w:t>
      </w:r>
      <w:r w:rsidRPr="00E656EF">
        <w:rPr>
          <w:rFonts w:asciiTheme="minorHAnsi" w:hAnsiTheme="minorHAnsi" w:cstheme="minorHAnsi"/>
          <w:lang w:val="en-GB"/>
        </w:rPr>
        <w:t xml:space="preserve"> superseded </w:t>
      </w:r>
      <w:r w:rsidRPr="00856255">
        <w:rPr>
          <w:rFonts w:asciiTheme="minorHAnsi" w:hAnsiTheme="minorHAnsi" w:cstheme="minorHAnsi"/>
          <w:i/>
          <w:lang w:val="en-GB"/>
        </w:rPr>
        <w:t>Consumer Goods (Self-balancing Scooters) Safety Standard 2016</w:t>
      </w:r>
      <w:r w:rsidRPr="00E656EF">
        <w:rPr>
          <w:rFonts w:asciiTheme="minorHAnsi" w:hAnsiTheme="minorHAnsi" w:cstheme="minorHAnsi"/>
          <w:lang w:val="en-GB"/>
        </w:rPr>
        <w:t>.</w:t>
      </w:r>
    </w:p>
    <w:p w14:paraId="128C86C9" w14:textId="77777777" w:rsidR="00634102" w:rsidRPr="00EF27B8" w:rsidRDefault="00634102" w:rsidP="001B4A7B">
      <w:pPr>
        <w:rPr>
          <w:rFonts w:cs="Arial"/>
          <w:lang w:val="en-GB"/>
        </w:rPr>
      </w:pPr>
      <w:r w:rsidRPr="00EF27B8">
        <w:rPr>
          <w:rFonts w:cs="Arial"/>
          <w:lang w:val="en-GB"/>
        </w:rPr>
        <w:t>The safety standard includes the following definition</w:t>
      </w:r>
      <w:r w:rsidR="005D4A09" w:rsidRPr="00EF27B8">
        <w:rPr>
          <w:rFonts w:cs="Arial"/>
          <w:lang w:val="en-GB"/>
        </w:rPr>
        <w:t>s:</w:t>
      </w:r>
    </w:p>
    <w:p w14:paraId="341B7BDA" w14:textId="77777777" w:rsidR="003E7B5A" w:rsidRPr="003E7B5A" w:rsidRDefault="003E7B5A" w:rsidP="003E7B5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en-US" w:eastAsia="en-AU"/>
        </w:rPr>
      </w:pPr>
      <w:r w:rsidRPr="003E7B5A">
        <w:rPr>
          <w:rFonts w:asciiTheme="minorHAnsi" w:eastAsia="Times New Roman" w:hAnsiTheme="minorHAnsi" w:cstheme="minorHAnsi"/>
          <w:b/>
          <w:bCs/>
          <w:i/>
          <w:iCs/>
          <w:lang w:val="en-GB" w:eastAsia="en-AU"/>
        </w:rPr>
        <w:t xml:space="preserve">Australian Consumer Law </w:t>
      </w:r>
      <w:r w:rsidRPr="003E7B5A">
        <w:rPr>
          <w:rFonts w:asciiTheme="minorHAnsi" w:eastAsia="Times New Roman" w:hAnsiTheme="minorHAnsi" w:cstheme="minorHAnsi"/>
          <w:lang w:val="en-GB" w:eastAsia="en-AU"/>
        </w:rPr>
        <w:t xml:space="preserve">means Schedule 2 to the </w:t>
      </w:r>
      <w:r w:rsidRPr="003E7B5A">
        <w:rPr>
          <w:rFonts w:asciiTheme="minorHAnsi" w:eastAsia="Times New Roman" w:hAnsiTheme="minorHAnsi" w:cstheme="minorHAnsi"/>
          <w:i/>
          <w:iCs/>
          <w:lang w:val="en-GB" w:eastAsia="en-AU"/>
        </w:rPr>
        <w:t>Competition and Consumer Act 2010.</w:t>
      </w:r>
    </w:p>
    <w:p w14:paraId="1D6B21D4" w14:textId="77777777" w:rsidR="00F37F83" w:rsidRDefault="003E7B5A" w:rsidP="003E7B5A">
      <w:pPr>
        <w:shd w:val="clear" w:color="auto" w:fill="FFFFFF"/>
        <w:spacing w:before="100" w:beforeAutospacing="1" w:after="100" w:afterAutospacing="1"/>
        <w:rPr>
          <w:i/>
        </w:rPr>
      </w:pPr>
      <w:r w:rsidRPr="003E7B5A">
        <w:rPr>
          <w:rFonts w:asciiTheme="minorHAnsi" w:eastAsia="Times New Roman" w:hAnsiTheme="minorHAnsi" w:cstheme="minorHAnsi"/>
          <w:b/>
          <w:bCs/>
          <w:i/>
          <w:iCs/>
          <w:lang w:val="en-GB" w:eastAsia="en-AU"/>
        </w:rPr>
        <w:t>AS/NZS 60335.1:2011</w:t>
      </w:r>
      <w:r w:rsidRPr="003E7B5A">
        <w:rPr>
          <w:rFonts w:asciiTheme="minorHAnsi" w:eastAsia="Times New Roman" w:hAnsiTheme="minorHAnsi" w:cstheme="minorHAnsi"/>
          <w:i/>
          <w:iCs/>
          <w:lang w:val="en-GB" w:eastAsia="en-AU"/>
        </w:rPr>
        <w:t xml:space="preserve"> </w:t>
      </w:r>
      <w:r w:rsidRPr="003E7B5A">
        <w:rPr>
          <w:rFonts w:asciiTheme="minorHAnsi" w:eastAsia="Times New Roman" w:hAnsiTheme="minorHAnsi" w:cstheme="minorHAnsi"/>
          <w:lang w:val="en-GB" w:eastAsia="en-AU"/>
        </w:rPr>
        <w:t xml:space="preserve">means </w:t>
      </w:r>
      <w:r w:rsidR="00BF26B5" w:rsidRPr="00B07CAB">
        <w:t xml:space="preserve">Australian/New Zealand Standard </w:t>
      </w:r>
      <w:r w:rsidR="00BF26B5" w:rsidRPr="00B07CAB">
        <w:rPr>
          <w:i/>
        </w:rPr>
        <w:t>AS/NZS 60335.1:2011</w:t>
      </w:r>
      <w:r w:rsidR="008C0852">
        <w:rPr>
          <w:i/>
        </w:rPr>
        <w:t xml:space="preserve"> </w:t>
      </w:r>
      <w:r w:rsidR="00CD1F7E" w:rsidRPr="00C13D18">
        <w:rPr>
          <w:i/>
        </w:rPr>
        <w:t>Household and similar electrical appliances—Safety Part 1: General Requirements (IEC 60335</w:t>
      </w:r>
      <w:r w:rsidR="00CD1F7E" w:rsidRPr="00C13D18">
        <w:rPr>
          <w:i/>
        </w:rPr>
        <w:noBreakHyphen/>
        <w:t>1 Ed 5.2, MOD)</w:t>
      </w:r>
    </w:p>
    <w:p w14:paraId="31FD8E5E" w14:textId="77777777" w:rsidR="00F37F83" w:rsidRDefault="00F37F83" w:rsidP="00F37F83">
      <w:pPr>
        <w:rPr>
          <w:rFonts w:cs="Arial"/>
          <w:i/>
          <w:iCs/>
        </w:rPr>
      </w:pPr>
      <w:r>
        <w:rPr>
          <w:rFonts w:cs="Arial"/>
          <w:b/>
          <w:bCs/>
        </w:rPr>
        <w:t>AS/NZS 60335.2.201:2016</w:t>
      </w:r>
      <w:r>
        <w:rPr>
          <w:rFonts w:cs="Arial"/>
        </w:rPr>
        <w:t xml:space="preserve"> means Australian/ New Zealand Standard </w:t>
      </w:r>
      <w:r>
        <w:rPr>
          <w:rFonts w:cs="Arial"/>
          <w:i/>
          <w:iCs/>
        </w:rPr>
        <w:t>AS/NZS 60335.2.201:2016 Household and similar electrical appliances – Safety – Particular requirements for battery powered self-balancing personal transport devices</w:t>
      </w:r>
    </w:p>
    <w:p w14:paraId="674B8982" w14:textId="77777777" w:rsidR="00524C33" w:rsidRPr="007E682E" w:rsidRDefault="00524C33" w:rsidP="007E682E">
      <w:pPr>
        <w:shd w:val="clear" w:color="auto" w:fill="FFFFFF"/>
        <w:spacing w:before="100" w:beforeAutospacing="1" w:after="100" w:afterAutospacing="1"/>
        <w:rPr>
          <w:i/>
        </w:rPr>
      </w:pPr>
      <w:r w:rsidRPr="003E7B5A">
        <w:rPr>
          <w:rFonts w:asciiTheme="minorHAnsi" w:hAnsiTheme="minorHAnsi" w:cstheme="minorHAnsi"/>
          <w:b/>
          <w:bCs/>
          <w:i/>
          <w:iCs/>
          <w:lang w:val="en-GB"/>
        </w:rPr>
        <w:t>IEC 60335-1</w:t>
      </w:r>
      <w:r>
        <w:rPr>
          <w:rFonts w:asciiTheme="minorHAnsi" w:hAnsiTheme="minorHAnsi" w:cstheme="minorHAnsi"/>
          <w:b/>
          <w:bCs/>
          <w:i/>
          <w:iCs/>
          <w:lang w:val="en-GB"/>
        </w:rPr>
        <w:t xml:space="preserve">:2010 </w:t>
      </w:r>
      <w:r w:rsidRPr="008C0852">
        <w:rPr>
          <w:rFonts w:asciiTheme="minorHAnsi" w:hAnsiTheme="minorHAnsi" w:cstheme="minorHAnsi"/>
          <w:bCs/>
          <w:i/>
          <w:iCs/>
          <w:lang w:val="en-GB"/>
        </w:rPr>
        <w:t>means</w:t>
      </w:r>
      <w:r>
        <w:rPr>
          <w:rFonts w:asciiTheme="minorHAnsi" w:hAnsiTheme="minorHAnsi" w:cstheme="minorHAnsi"/>
          <w:b/>
          <w:bCs/>
          <w:i/>
          <w:iCs/>
          <w:lang w:val="en-GB"/>
        </w:rPr>
        <w:t xml:space="preserve"> </w:t>
      </w:r>
      <w:r w:rsidRPr="00BF26B5">
        <w:rPr>
          <w:rFonts w:asciiTheme="minorHAnsi" w:hAnsiTheme="minorHAnsi" w:cstheme="minorHAnsi"/>
          <w:i/>
        </w:rPr>
        <w:t>IEC 60335</w:t>
      </w:r>
      <w:r w:rsidRPr="00BF26B5">
        <w:rPr>
          <w:rFonts w:asciiTheme="minorHAnsi" w:hAnsiTheme="minorHAnsi" w:cstheme="minorHAnsi"/>
          <w:i/>
        </w:rPr>
        <w:noBreakHyphen/>
        <w:t>1:2010</w:t>
      </w:r>
      <w:r>
        <w:rPr>
          <w:rFonts w:asciiTheme="minorHAnsi" w:hAnsiTheme="minorHAnsi" w:cstheme="minorHAnsi"/>
          <w:i/>
        </w:rPr>
        <w:t xml:space="preserve">+AMD1:2013+AMD2:2016 </w:t>
      </w:r>
      <w:r w:rsidRPr="00BF26B5">
        <w:rPr>
          <w:rFonts w:asciiTheme="minorHAnsi" w:hAnsiTheme="minorHAnsi" w:cstheme="minorHAnsi"/>
          <w:i/>
        </w:rPr>
        <w:t xml:space="preserve">Household and similar electrical appliances </w:t>
      </w:r>
      <w:r w:rsidRPr="00BF26B5">
        <w:rPr>
          <w:rFonts w:asciiTheme="minorHAnsi" w:hAnsiTheme="minorHAnsi" w:cstheme="minorHAnsi"/>
          <w:i/>
        </w:rPr>
        <w:noBreakHyphen/>
        <w:t xml:space="preserve"> Safety </w:t>
      </w:r>
      <w:r w:rsidRPr="00BF26B5">
        <w:rPr>
          <w:rFonts w:asciiTheme="minorHAnsi" w:hAnsiTheme="minorHAnsi" w:cstheme="minorHAnsi"/>
          <w:i/>
        </w:rPr>
        <w:noBreakHyphen/>
        <w:t xml:space="preserve"> Part 1: General requirements</w:t>
      </w:r>
      <w:r w:rsidRPr="003E7B5A">
        <w:rPr>
          <w:rFonts w:asciiTheme="minorHAnsi" w:hAnsiTheme="minorHAnsi" w:cstheme="minorHAnsi"/>
          <w:i/>
          <w:iCs/>
          <w:lang w:val="en-GB"/>
        </w:rPr>
        <w:t>.</w:t>
      </w:r>
    </w:p>
    <w:p w14:paraId="57E72681" w14:textId="77777777" w:rsidR="003E7B5A" w:rsidRDefault="003E7B5A" w:rsidP="00EF27B8">
      <w:pPr>
        <w:pStyle w:val="Default"/>
        <w:spacing w:before="120" w:after="2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IEC 62133</w:t>
      </w:r>
      <w:r w:rsidR="00BF26B5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-2:2017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Pr="00186159">
        <w:rPr>
          <w:rFonts w:ascii="Arial" w:hAnsi="Arial" w:cs="Arial"/>
          <w:sz w:val="22"/>
          <w:szCs w:val="22"/>
          <w:lang w:val="en-GB"/>
        </w:rPr>
        <w:t>means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E7B5A">
        <w:rPr>
          <w:rFonts w:ascii="Arial" w:hAnsi="Arial" w:cs="Arial"/>
          <w:i/>
          <w:sz w:val="22"/>
          <w:szCs w:val="22"/>
          <w:lang w:val="en-GB"/>
        </w:rPr>
        <w:t>IEC 62133-2:2017 Secondary cells and batteries containing alkaline or other non-acid electrolytes – Safety requirements for portable sealed secondary lithium cells, and for batteries made from them, for use in portable applications – Part 2: Lithium systems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9BCFA61" w14:textId="77777777" w:rsidR="00EF27B8" w:rsidRDefault="00EF27B8" w:rsidP="00EF27B8">
      <w:pPr>
        <w:pStyle w:val="Default"/>
        <w:spacing w:before="120" w:after="200"/>
        <w:rPr>
          <w:rFonts w:ascii="Arial" w:hAnsi="Arial" w:cs="Arial"/>
          <w:sz w:val="22"/>
          <w:szCs w:val="22"/>
          <w:lang w:val="en-GB"/>
        </w:rPr>
      </w:pPr>
      <w:r w:rsidRPr="0018615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Self-balancing scooter</w:t>
      </w:r>
      <w:r w:rsidRPr="00186159">
        <w:rPr>
          <w:rFonts w:ascii="Arial" w:hAnsi="Arial" w:cs="Arial"/>
          <w:sz w:val="22"/>
          <w:szCs w:val="22"/>
          <w:lang w:val="en-GB"/>
        </w:rPr>
        <w:t xml:space="preserve"> means a</w:t>
      </w:r>
      <w:r w:rsidR="006460BB">
        <w:rPr>
          <w:rFonts w:ascii="Arial" w:hAnsi="Arial" w:cs="Arial"/>
          <w:sz w:val="22"/>
          <w:szCs w:val="22"/>
          <w:lang w:val="en-GB"/>
        </w:rPr>
        <w:t xml:space="preserve"> ride-on device that:</w:t>
      </w:r>
    </w:p>
    <w:p w14:paraId="41DE3B12" w14:textId="77777777" w:rsidR="006460BB" w:rsidRDefault="006460BB" w:rsidP="006460BB">
      <w:pPr>
        <w:pStyle w:val="Default"/>
        <w:numPr>
          <w:ilvl w:val="0"/>
          <w:numId w:val="48"/>
        </w:numPr>
        <w:spacing w:before="120" w:after="2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has 1 or 2 wheels; and</w:t>
      </w:r>
    </w:p>
    <w:p w14:paraId="058D0798" w14:textId="77777777" w:rsidR="006460BB" w:rsidRDefault="006460BB" w:rsidP="006460BB">
      <w:pPr>
        <w:pStyle w:val="Default"/>
        <w:numPr>
          <w:ilvl w:val="0"/>
          <w:numId w:val="48"/>
        </w:numPr>
        <w:spacing w:before="120" w:after="2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has no steering grips, seat or handlebars; and</w:t>
      </w:r>
    </w:p>
    <w:p w14:paraId="0E6914D5" w14:textId="1563B8B4" w:rsidR="006460BB" w:rsidRPr="00186159" w:rsidRDefault="006460BB" w:rsidP="006460BB">
      <w:pPr>
        <w:pStyle w:val="Default"/>
        <w:numPr>
          <w:ilvl w:val="0"/>
          <w:numId w:val="48"/>
        </w:numPr>
        <w:spacing w:before="120" w:after="2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is powered by a lithium-ion battery that is rechargeable via connec</w:t>
      </w:r>
      <w:r w:rsidR="00C5056D">
        <w:rPr>
          <w:rFonts w:ascii="Arial" w:hAnsi="Arial" w:cs="Arial"/>
          <w:sz w:val="22"/>
          <w:szCs w:val="22"/>
          <w:lang w:val="en-GB"/>
        </w:rPr>
        <w:t>tion to a mains power supply.</w:t>
      </w:r>
    </w:p>
    <w:p w14:paraId="7050F536" w14:textId="77777777" w:rsidR="00EF27B8" w:rsidRDefault="00EF27B8" w:rsidP="00EF27B8">
      <w:pPr>
        <w:pStyle w:val="Definition"/>
        <w:ind w:left="0"/>
        <w:rPr>
          <w:rFonts w:ascii="Arial" w:hAnsi="Arial" w:cs="Arial"/>
          <w:szCs w:val="22"/>
        </w:rPr>
      </w:pPr>
      <w:r w:rsidRPr="00EF5802">
        <w:rPr>
          <w:rFonts w:ascii="Arial" w:hAnsi="Arial" w:cs="Arial"/>
          <w:szCs w:val="22"/>
        </w:rPr>
        <w:t>Note: Self-balancing scooters are also known as hoverboards, gliders, smart boards, sky walkers</w:t>
      </w:r>
      <w:r>
        <w:rPr>
          <w:rFonts w:ascii="Arial" w:hAnsi="Arial" w:cs="Arial"/>
          <w:szCs w:val="22"/>
        </w:rPr>
        <w:t>, monoboards,</w:t>
      </w:r>
      <w:r w:rsidRPr="00EF5802">
        <w:rPr>
          <w:rFonts w:ascii="Arial" w:hAnsi="Arial" w:cs="Arial"/>
          <w:szCs w:val="22"/>
        </w:rPr>
        <w:t xml:space="preserve"> or mod boards.</w:t>
      </w:r>
    </w:p>
    <w:p w14:paraId="6CDBFD8B" w14:textId="77777777" w:rsidR="003E7B5A" w:rsidRDefault="003E7B5A" w:rsidP="00EF27B8">
      <w:pPr>
        <w:pStyle w:val="Definition"/>
        <w:ind w:left="0"/>
        <w:rPr>
          <w:rFonts w:asciiTheme="minorHAnsi" w:hAnsiTheme="minorHAnsi" w:cstheme="minorHAnsi"/>
          <w:i/>
          <w:iCs/>
          <w:szCs w:val="22"/>
          <w:lang w:val="en-GB"/>
        </w:rPr>
      </w:pPr>
      <w:r w:rsidRPr="003E7B5A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UL 2272</w:t>
      </w:r>
      <w:r w:rsidRPr="003E7B5A">
        <w:rPr>
          <w:rFonts w:asciiTheme="minorHAnsi" w:hAnsiTheme="minorHAnsi" w:cstheme="minorHAnsi"/>
          <w:szCs w:val="22"/>
          <w:lang w:val="en-GB"/>
        </w:rPr>
        <w:t xml:space="preserve"> means </w:t>
      </w:r>
      <w:r w:rsidRPr="003E7B5A">
        <w:rPr>
          <w:rFonts w:asciiTheme="minorHAnsi" w:hAnsiTheme="minorHAnsi" w:cstheme="minorHAnsi"/>
          <w:i/>
          <w:iCs/>
          <w:szCs w:val="22"/>
          <w:lang w:val="en-GB"/>
        </w:rPr>
        <w:t>UL 2272 –</w:t>
      </w:r>
      <w:r w:rsidRPr="00BF26B5">
        <w:rPr>
          <w:rFonts w:asciiTheme="minorHAnsi" w:hAnsiTheme="minorHAnsi" w:cstheme="minorHAnsi"/>
          <w:i/>
          <w:iCs/>
          <w:szCs w:val="22"/>
          <w:lang w:val="en-GB"/>
        </w:rPr>
        <w:t xml:space="preserve"> </w:t>
      </w:r>
      <w:r w:rsidR="00BF26B5" w:rsidRPr="00BF26B5">
        <w:rPr>
          <w:rFonts w:asciiTheme="minorHAnsi" w:hAnsiTheme="minorHAnsi" w:cstheme="minorHAnsi"/>
          <w:i/>
          <w:lang w:eastAsia="en-US"/>
        </w:rPr>
        <w:t xml:space="preserve">UL 2272 </w:t>
      </w:r>
      <w:r w:rsidR="00BF26B5" w:rsidRPr="00BF26B5">
        <w:rPr>
          <w:rFonts w:asciiTheme="minorHAnsi" w:hAnsiTheme="minorHAnsi" w:cstheme="minorHAnsi"/>
          <w:i/>
          <w:lang w:eastAsia="en-US"/>
        </w:rPr>
        <w:noBreakHyphen/>
        <w:t xml:space="preserve"> Standard for Electrical Systems for Personal E</w:t>
      </w:r>
      <w:r w:rsidR="00BF26B5" w:rsidRPr="00BF26B5">
        <w:rPr>
          <w:rFonts w:asciiTheme="minorHAnsi" w:hAnsiTheme="minorHAnsi" w:cstheme="minorHAnsi"/>
          <w:i/>
          <w:lang w:eastAsia="en-US"/>
        </w:rPr>
        <w:noBreakHyphen/>
        <w:t>Mobility Devices</w:t>
      </w:r>
      <w:r w:rsidRPr="00BF26B5">
        <w:rPr>
          <w:rFonts w:asciiTheme="minorHAnsi" w:hAnsiTheme="minorHAnsi" w:cstheme="minorHAnsi"/>
          <w:i/>
          <w:iCs/>
          <w:szCs w:val="22"/>
          <w:lang w:val="en-GB"/>
        </w:rPr>
        <w:t>.</w:t>
      </w:r>
    </w:p>
    <w:p w14:paraId="4E9AB11C" w14:textId="77777777" w:rsidR="00474CC5" w:rsidRPr="00EF27B8" w:rsidRDefault="00474CC5" w:rsidP="00474CC5">
      <w:pPr>
        <w:rPr>
          <w:rFonts w:cs="Arial"/>
          <w:b/>
          <w:lang w:val="en-GB"/>
        </w:rPr>
      </w:pPr>
      <w:r w:rsidRPr="00EF27B8">
        <w:rPr>
          <w:rFonts w:cs="Arial"/>
          <w:b/>
          <w:lang w:val="en-GB"/>
        </w:rPr>
        <w:t>Access to Australian and international standards</w:t>
      </w:r>
    </w:p>
    <w:p w14:paraId="1F896381" w14:textId="77777777" w:rsidR="00474CC5" w:rsidRPr="0015075E" w:rsidRDefault="00474CC5" w:rsidP="00474CC5">
      <w:pPr>
        <w:rPr>
          <w:iCs/>
          <w:highlight w:val="yellow"/>
        </w:rPr>
      </w:pPr>
      <w:r w:rsidRPr="00EF27B8">
        <w:rPr>
          <w:iCs/>
        </w:rPr>
        <w:t xml:space="preserve">Where practicable, product safety legislative instruments only reference extrinsic material that is </w:t>
      </w:r>
      <w:r w:rsidRPr="006460BB">
        <w:rPr>
          <w:iCs/>
        </w:rPr>
        <w:t>readily</w:t>
      </w:r>
      <w:r w:rsidR="00CB6E44">
        <w:rPr>
          <w:iCs/>
        </w:rPr>
        <w:t xml:space="preserve"> accessible for free to</w:t>
      </w:r>
      <w:r w:rsidRPr="00EF27B8">
        <w:rPr>
          <w:iCs/>
        </w:rPr>
        <w:t xml:space="preserve"> the public. However, as in the current case, many product safety legislative instruments need to incorporate extrinsic technical standards over which certain bodies have copyright.</w:t>
      </w:r>
      <w:r w:rsidR="007D0E99">
        <w:rPr>
          <w:iCs/>
        </w:rPr>
        <w:t xml:space="preserve"> </w:t>
      </w:r>
      <w:r w:rsidR="00293736" w:rsidRPr="007D0E99">
        <w:rPr>
          <w:i/>
          <w:iCs/>
        </w:rPr>
        <w:t xml:space="preserve">AS/NZS </w:t>
      </w:r>
      <w:r w:rsidR="00293736" w:rsidRPr="007D0E99">
        <w:rPr>
          <w:rFonts w:asciiTheme="minorHAnsi" w:eastAsia="Times New Roman" w:hAnsiTheme="minorHAnsi" w:cstheme="minorHAnsi"/>
          <w:i/>
          <w:iCs/>
          <w:lang w:val="en-GB" w:eastAsia="en-AU"/>
        </w:rPr>
        <w:t>60335.1:2011</w:t>
      </w:r>
      <w:r w:rsidR="00293736" w:rsidRPr="007D0E99">
        <w:rPr>
          <w:iCs/>
        </w:rPr>
        <w:t xml:space="preserve"> </w:t>
      </w:r>
      <w:r w:rsidR="005C6CE3">
        <w:rPr>
          <w:iCs/>
        </w:rPr>
        <w:t xml:space="preserve">and </w:t>
      </w:r>
      <w:r w:rsidR="005C6CE3" w:rsidRPr="00623283">
        <w:rPr>
          <w:i/>
          <w:iCs/>
        </w:rPr>
        <w:t>AS/NZS 60335.2.201:2016</w:t>
      </w:r>
      <w:r w:rsidR="00623283">
        <w:rPr>
          <w:iCs/>
        </w:rPr>
        <w:t xml:space="preserve"> referenced in this instrument</w:t>
      </w:r>
      <w:r w:rsidR="005C6CE3">
        <w:rPr>
          <w:iCs/>
        </w:rPr>
        <w:t xml:space="preserve"> are</w:t>
      </w:r>
      <w:r w:rsidRPr="007D0E99">
        <w:rPr>
          <w:iCs/>
        </w:rPr>
        <w:t xml:space="preserve"> available for purchase at SAI Global’s website (</w:t>
      </w:r>
      <w:hyperlink r:id="rId9" w:history="1">
        <w:r w:rsidRPr="007D0E99">
          <w:rPr>
            <w:rStyle w:val="Hyperlink"/>
            <w:iCs/>
          </w:rPr>
          <w:t>https://www.saiglobal.com</w:t>
        </w:r>
      </w:hyperlink>
      <w:r w:rsidRPr="007D0E99">
        <w:rPr>
          <w:iCs/>
        </w:rPr>
        <w:t>).</w:t>
      </w:r>
      <w:r w:rsidR="007D0E99" w:rsidRPr="007D0E99">
        <w:rPr>
          <w:iCs/>
        </w:rPr>
        <w:t xml:space="preserve"> </w:t>
      </w:r>
      <w:r w:rsidR="007D0E99">
        <w:rPr>
          <w:iCs/>
        </w:rPr>
        <w:t xml:space="preserve">The </w:t>
      </w:r>
      <w:r w:rsidR="007D0E99" w:rsidRPr="007D0E99">
        <w:rPr>
          <w:i/>
          <w:iCs/>
        </w:rPr>
        <w:t>IEC 62133-2:2017</w:t>
      </w:r>
      <w:r w:rsidR="007D0E99">
        <w:rPr>
          <w:iCs/>
        </w:rPr>
        <w:t xml:space="preserve"> and</w:t>
      </w:r>
      <w:r w:rsidR="007D0E99" w:rsidRPr="007D0E99">
        <w:rPr>
          <w:iCs/>
        </w:rPr>
        <w:t xml:space="preserve"> </w:t>
      </w:r>
      <w:r w:rsidR="007D0E99" w:rsidRPr="007D0E99">
        <w:rPr>
          <w:i/>
          <w:iCs/>
        </w:rPr>
        <w:t xml:space="preserve">IEC </w:t>
      </w:r>
      <w:r w:rsidR="007D0E99" w:rsidRPr="007D0E99">
        <w:rPr>
          <w:rFonts w:asciiTheme="minorHAnsi" w:eastAsia="Times New Roman" w:hAnsiTheme="minorHAnsi" w:cstheme="minorHAnsi"/>
          <w:i/>
          <w:iCs/>
          <w:lang w:val="en-GB" w:eastAsia="en-AU"/>
        </w:rPr>
        <w:t>60335-1:2010</w:t>
      </w:r>
      <w:r w:rsidR="00623283">
        <w:rPr>
          <w:iCs/>
        </w:rPr>
        <w:t xml:space="preserve"> standards</w:t>
      </w:r>
      <w:r w:rsidR="007D0E99">
        <w:rPr>
          <w:iCs/>
        </w:rPr>
        <w:t xml:space="preserve"> </w:t>
      </w:r>
      <w:r w:rsidR="007D0E99" w:rsidRPr="007D0E99">
        <w:rPr>
          <w:iCs/>
        </w:rPr>
        <w:t>are available for purchase at the IEC webstore</w:t>
      </w:r>
      <w:r w:rsidR="007D0E99">
        <w:rPr>
          <w:iCs/>
        </w:rPr>
        <w:t xml:space="preserve"> (</w:t>
      </w:r>
      <w:hyperlink r:id="rId10" w:history="1">
        <w:r w:rsidR="007D0E99" w:rsidRPr="001A292B">
          <w:rPr>
            <w:rStyle w:val="Hyperlink"/>
            <w:iCs/>
          </w:rPr>
          <w:t>https://webstore.iec.ch</w:t>
        </w:r>
      </w:hyperlink>
      <w:r w:rsidR="007D0E99">
        <w:rPr>
          <w:iCs/>
        </w:rPr>
        <w:t>)</w:t>
      </w:r>
      <w:r w:rsidR="00F16E52">
        <w:rPr>
          <w:iCs/>
        </w:rPr>
        <w:t>.</w:t>
      </w:r>
      <w:r w:rsidR="007D0E99" w:rsidRPr="007D0E99">
        <w:rPr>
          <w:iCs/>
        </w:rPr>
        <w:t xml:space="preserve"> </w:t>
      </w:r>
      <w:r w:rsidR="00293736">
        <w:rPr>
          <w:lang w:val="en-GB"/>
        </w:rPr>
        <w:t xml:space="preserve">The first edition of </w:t>
      </w:r>
      <w:r w:rsidR="00293736">
        <w:rPr>
          <w:i/>
          <w:iCs/>
          <w:lang w:val="en-GB"/>
        </w:rPr>
        <w:t>UL 2272</w:t>
      </w:r>
      <w:r w:rsidR="00293736">
        <w:rPr>
          <w:lang w:val="en-GB"/>
        </w:rPr>
        <w:t xml:space="preserve"> </w:t>
      </w:r>
      <w:r w:rsidR="00160F0F">
        <w:rPr>
          <w:lang w:val="en-GB"/>
        </w:rPr>
        <w:t xml:space="preserve">standard </w:t>
      </w:r>
      <w:r w:rsidR="00293736">
        <w:rPr>
          <w:lang w:val="en-GB"/>
        </w:rPr>
        <w:t>can be purchased from Underwriters Laboratories Inc. (</w:t>
      </w:r>
      <w:hyperlink r:id="rId11" w:history="1">
        <w:r w:rsidR="00AF4D15" w:rsidRPr="001A292B">
          <w:rPr>
            <w:rStyle w:val="Hyperlink"/>
            <w:lang w:val="en-GB"/>
          </w:rPr>
          <w:t>https://standardscatalog.ul.com</w:t>
        </w:r>
      </w:hyperlink>
      <w:r w:rsidR="00293736">
        <w:rPr>
          <w:lang w:val="en-GB"/>
        </w:rPr>
        <w:t>)</w:t>
      </w:r>
      <w:r w:rsidR="006460BB">
        <w:rPr>
          <w:lang w:val="en-GB"/>
        </w:rPr>
        <w:t xml:space="preserve"> and SAI Global’s </w:t>
      </w:r>
      <w:r w:rsidR="00A1556B">
        <w:rPr>
          <w:lang w:val="en-GB"/>
        </w:rPr>
        <w:t>website</w:t>
      </w:r>
      <w:r w:rsidR="00293736">
        <w:rPr>
          <w:lang w:val="en-GB"/>
        </w:rPr>
        <w:t>.</w:t>
      </w:r>
    </w:p>
    <w:p w14:paraId="74BB07A7" w14:textId="77777777" w:rsidR="00474CC5" w:rsidRDefault="00474CC5" w:rsidP="00474CC5">
      <w:pPr>
        <w:rPr>
          <w:iCs/>
        </w:rPr>
      </w:pPr>
      <w:r w:rsidRPr="00293736">
        <w:rPr>
          <w:iCs/>
        </w:rPr>
        <w:t>The Australian Comp</w:t>
      </w:r>
      <w:r w:rsidR="00FA0D56" w:rsidRPr="00293736">
        <w:rPr>
          <w:iCs/>
        </w:rPr>
        <w:t>etition and Consumer Commission</w:t>
      </w:r>
      <w:r w:rsidR="00A44171">
        <w:rPr>
          <w:iCs/>
        </w:rPr>
        <w:t xml:space="preserve"> (ACCC)</w:t>
      </w:r>
      <w:r w:rsidRPr="00293736">
        <w:rPr>
          <w:iCs/>
        </w:rPr>
        <w:t xml:space="preserve"> can </w:t>
      </w:r>
      <w:r w:rsidR="00D22586" w:rsidRPr="00293736">
        <w:rPr>
          <w:iCs/>
        </w:rPr>
        <w:t xml:space="preserve">also </w:t>
      </w:r>
      <w:r w:rsidRPr="00293736">
        <w:rPr>
          <w:iCs/>
        </w:rPr>
        <w:t>make a copy of the</w:t>
      </w:r>
      <w:r w:rsidR="00A44171">
        <w:rPr>
          <w:iCs/>
        </w:rPr>
        <w:t xml:space="preserve">se </w:t>
      </w:r>
      <w:r w:rsidR="00293736">
        <w:rPr>
          <w:rFonts w:asciiTheme="minorHAnsi" w:eastAsia="Times New Roman" w:hAnsiTheme="minorHAnsi" w:cstheme="minorHAnsi"/>
          <w:iCs/>
          <w:lang w:val="en-GB" w:eastAsia="en-AU"/>
        </w:rPr>
        <w:t>standard</w:t>
      </w:r>
      <w:r w:rsidR="00A44171">
        <w:rPr>
          <w:rFonts w:asciiTheme="minorHAnsi" w:eastAsia="Times New Roman" w:hAnsiTheme="minorHAnsi" w:cstheme="minorHAnsi"/>
          <w:iCs/>
          <w:lang w:val="en-GB" w:eastAsia="en-AU"/>
        </w:rPr>
        <w:t>s</w:t>
      </w:r>
      <w:r w:rsidRPr="00293736">
        <w:rPr>
          <w:iCs/>
        </w:rPr>
        <w:t xml:space="preserve"> available for viewing at one of its offices, subject to licensing conditions.</w:t>
      </w:r>
    </w:p>
    <w:p w14:paraId="46218FEC" w14:textId="77777777" w:rsidR="001B4A7B" w:rsidRPr="00030CFA" w:rsidRDefault="001B4A7B" w:rsidP="00825DB6">
      <w:pPr>
        <w:keepNext/>
        <w:rPr>
          <w:rFonts w:cs="Arial"/>
          <w:lang w:val="en-GB"/>
        </w:rPr>
      </w:pPr>
      <w:r w:rsidRPr="00030CFA">
        <w:rPr>
          <w:rFonts w:cs="Arial"/>
          <w:b/>
          <w:lang w:val="en-GB"/>
        </w:rPr>
        <w:t>Consultation</w:t>
      </w:r>
    </w:p>
    <w:p w14:paraId="109B2D20" w14:textId="13C77966" w:rsidR="00D03B3C" w:rsidRPr="0015075E" w:rsidRDefault="0056249F" w:rsidP="00D03B3C">
      <w:pPr>
        <w:rPr>
          <w:rFonts w:cs="Arial"/>
          <w:highlight w:val="yellow"/>
          <w:lang w:val="en-GB"/>
        </w:rPr>
      </w:pPr>
      <w:r>
        <w:rPr>
          <w:rFonts w:cs="Arial"/>
          <w:lang w:val="en-GB"/>
        </w:rPr>
        <w:t xml:space="preserve">The </w:t>
      </w:r>
      <w:r w:rsidR="001B4A7B" w:rsidRPr="00030CFA">
        <w:rPr>
          <w:rFonts w:cs="Arial"/>
          <w:lang w:val="en-GB"/>
        </w:rPr>
        <w:t>ACCC</w:t>
      </w:r>
      <w:r w:rsidR="00D03B3C" w:rsidRPr="00030CFA">
        <w:rPr>
          <w:rFonts w:cs="Arial"/>
          <w:lang w:val="en-GB"/>
        </w:rPr>
        <w:t xml:space="preserve"> published a consultation paper </w:t>
      </w:r>
      <w:r w:rsidR="00D47F69" w:rsidRPr="00030CFA">
        <w:rPr>
          <w:rFonts w:cs="Arial"/>
          <w:lang w:val="en-GB"/>
        </w:rPr>
        <w:t xml:space="preserve">for </w:t>
      </w:r>
      <w:r w:rsidR="00030CFA" w:rsidRPr="00030CFA">
        <w:rPr>
          <w:rFonts w:cs="Arial"/>
          <w:lang w:val="en-GB"/>
        </w:rPr>
        <w:t xml:space="preserve">self-balancing scooters </w:t>
      </w:r>
      <w:r w:rsidR="009F0946" w:rsidRPr="00030CFA">
        <w:rPr>
          <w:rFonts w:cs="Arial"/>
          <w:lang w:val="en-GB"/>
        </w:rPr>
        <w:t xml:space="preserve">from </w:t>
      </w:r>
      <w:r w:rsidR="00F144F7" w:rsidRPr="00F144F7">
        <w:rPr>
          <w:rFonts w:cs="Arial"/>
          <w:lang w:val="en-GB"/>
        </w:rPr>
        <w:t>14 June</w:t>
      </w:r>
      <w:r w:rsidR="00D03B3C" w:rsidRPr="00F144F7">
        <w:rPr>
          <w:rFonts w:cs="Arial"/>
          <w:lang w:val="en-GB"/>
        </w:rPr>
        <w:t xml:space="preserve"> </w:t>
      </w:r>
      <w:r w:rsidR="009F0946" w:rsidRPr="00F144F7">
        <w:rPr>
          <w:rFonts w:cs="Arial"/>
          <w:lang w:val="en-GB"/>
        </w:rPr>
        <w:t>to</w:t>
      </w:r>
      <w:r w:rsidR="00D03B3C" w:rsidRPr="00F144F7">
        <w:rPr>
          <w:rFonts w:cs="Arial"/>
          <w:lang w:val="en-GB"/>
        </w:rPr>
        <w:t xml:space="preserve"> </w:t>
      </w:r>
      <w:r w:rsidR="00F144F7" w:rsidRPr="00F144F7">
        <w:rPr>
          <w:rFonts w:cs="Arial"/>
          <w:lang w:val="en-GB"/>
        </w:rPr>
        <w:t>28</w:t>
      </w:r>
      <w:r w:rsidR="00B00ACE">
        <w:rPr>
          <w:rFonts w:cs="Arial"/>
          <w:lang w:val="en-GB"/>
        </w:rPr>
        <w:t> </w:t>
      </w:r>
      <w:r w:rsidR="00F144F7" w:rsidRPr="00F144F7">
        <w:rPr>
          <w:rFonts w:cs="Arial"/>
          <w:lang w:val="en-GB"/>
        </w:rPr>
        <w:t>July 2017</w:t>
      </w:r>
      <w:r w:rsidR="00D03B3C" w:rsidRPr="00F144F7">
        <w:rPr>
          <w:rFonts w:cs="Arial"/>
          <w:lang w:val="en-GB"/>
        </w:rPr>
        <w:t>.</w:t>
      </w:r>
      <w:r w:rsidR="001B4A7B" w:rsidRPr="00F144F7">
        <w:rPr>
          <w:rFonts w:cs="Arial"/>
          <w:lang w:val="en-GB"/>
        </w:rPr>
        <w:t xml:space="preserve"> </w:t>
      </w:r>
      <w:r w:rsidR="00D03B3C" w:rsidRPr="00F144F7">
        <w:rPr>
          <w:rFonts w:cs="Arial"/>
          <w:lang w:val="en-GB"/>
        </w:rPr>
        <w:t>The paper</w:t>
      </w:r>
      <w:r w:rsidR="00F144F7">
        <w:rPr>
          <w:rFonts w:cs="Arial"/>
          <w:lang w:val="en-GB"/>
        </w:rPr>
        <w:t xml:space="preserve"> </w:t>
      </w:r>
      <w:r w:rsidR="00F144F7">
        <w:t xml:space="preserve">assessed the suitability of </w:t>
      </w:r>
      <w:r w:rsidR="00334741">
        <w:t xml:space="preserve">expanding </w:t>
      </w:r>
      <w:r w:rsidR="00587F09">
        <w:t>the scope of the safety</w:t>
      </w:r>
      <w:r w:rsidR="00F144F7">
        <w:t xml:space="preserve"> </w:t>
      </w:r>
      <w:r w:rsidR="00F144F7">
        <w:lastRenderedPageBreak/>
        <w:t>standard to include single-wheeled self-balancing scooters.</w:t>
      </w:r>
      <w:r w:rsidR="00E80E12">
        <w:t xml:space="preserve"> </w:t>
      </w:r>
      <w:r w:rsidR="00A44171">
        <w:t>It</w:t>
      </w:r>
      <w:r w:rsidR="00E80E12">
        <w:t xml:space="preserve"> </w:t>
      </w:r>
      <w:r w:rsidR="00A1556B">
        <w:rPr>
          <w:rFonts w:cs="Arial"/>
          <w:lang w:val="en-GB"/>
        </w:rPr>
        <w:t>provided stakeholders with two alternative policy options</w:t>
      </w:r>
      <w:r w:rsidR="00A1556B">
        <w:t>:</w:t>
      </w:r>
    </w:p>
    <w:p w14:paraId="2C1ED6AE" w14:textId="66890C81" w:rsidR="00D03B3C" w:rsidRPr="00E80E12" w:rsidRDefault="00D03B3C" w:rsidP="00D03B3C">
      <w:pPr>
        <w:rPr>
          <w:rFonts w:cs="Arial"/>
          <w:lang w:val="en-GB"/>
        </w:rPr>
      </w:pPr>
      <w:r w:rsidRPr="00E80E12">
        <w:rPr>
          <w:rFonts w:cs="Arial"/>
          <w:lang w:val="en-GB"/>
        </w:rPr>
        <w:t>Option</w:t>
      </w:r>
      <w:r w:rsidR="00A44171">
        <w:rPr>
          <w:rFonts w:cs="Arial"/>
          <w:lang w:val="en-GB"/>
        </w:rPr>
        <w:t xml:space="preserve"> 1 </w:t>
      </w:r>
      <w:r w:rsidR="00334741" w:rsidRPr="003A38F1">
        <w:rPr>
          <w:rFonts w:cs="Arial"/>
          <w:lang w:val="en-GB"/>
        </w:rPr>
        <w:t xml:space="preserve">- </w:t>
      </w:r>
      <w:r w:rsidR="00A44171">
        <w:rPr>
          <w:rFonts w:cs="Arial"/>
          <w:lang w:val="en-GB"/>
        </w:rPr>
        <w:t xml:space="preserve">Keep the current </w:t>
      </w:r>
      <w:r w:rsidRPr="00E80E12">
        <w:rPr>
          <w:rFonts w:cs="Arial"/>
          <w:lang w:val="en-GB"/>
        </w:rPr>
        <w:t>safety standard</w:t>
      </w:r>
      <w:r w:rsidR="00E80E12" w:rsidRPr="00E80E12">
        <w:rPr>
          <w:rFonts w:cs="Arial"/>
          <w:lang w:val="en-GB"/>
        </w:rPr>
        <w:t>, which does not include single</w:t>
      </w:r>
      <w:r w:rsidR="00CF7787">
        <w:rPr>
          <w:rFonts w:cs="Arial"/>
          <w:lang w:val="en-GB"/>
        </w:rPr>
        <w:t>-</w:t>
      </w:r>
      <w:r w:rsidR="00E80E12" w:rsidRPr="00E80E12">
        <w:rPr>
          <w:rFonts w:cs="Arial"/>
          <w:lang w:val="en-GB"/>
        </w:rPr>
        <w:t>wheeled self-balancing scooters</w:t>
      </w:r>
      <w:r w:rsidR="00FA0D2F" w:rsidRPr="00E80E12">
        <w:rPr>
          <w:rFonts w:cs="Arial"/>
          <w:lang w:val="en-GB"/>
        </w:rPr>
        <w:t xml:space="preserve"> (status quo)</w:t>
      </w:r>
    </w:p>
    <w:p w14:paraId="361E9193" w14:textId="6128814B" w:rsidR="00D03B3C" w:rsidRPr="00E80E12" w:rsidRDefault="00D03B3C" w:rsidP="00D03B3C">
      <w:pPr>
        <w:rPr>
          <w:rFonts w:cs="Arial"/>
          <w:lang w:val="en-GB"/>
        </w:rPr>
      </w:pPr>
      <w:r w:rsidRPr="00E80E12">
        <w:rPr>
          <w:rFonts w:cs="Arial"/>
          <w:lang w:val="en-GB"/>
        </w:rPr>
        <w:t xml:space="preserve">Option 2 </w:t>
      </w:r>
      <w:r w:rsidR="00334741" w:rsidRPr="003A38F1">
        <w:rPr>
          <w:rFonts w:cs="Arial"/>
          <w:lang w:val="en-GB"/>
        </w:rPr>
        <w:t xml:space="preserve">- </w:t>
      </w:r>
      <w:r w:rsidR="00E80E12" w:rsidRPr="00E80E12">
        <w:rPr>
          <w:rFonts w:cs="Arial"/>
          <w:lang w:val="en-GB"/>
        </w:rPr>
        <w:t xml:space="preserve">Remake the </w:t>
      </w:r>
      <w:r w:rsidR="00E80E12">
        <w:rPr>
          <w:rFonts w:cs="Arial"/>
          <w:lang w:val="en-GB"/>
        </w:rPr>
        <w:t>safety standard to include single</w:t>
      </w:r>
      <w:r w:rsidR="00CF7787">
        <w:rPr>
          <w:rFonts w:cs="Arial"/>
          <w:lang w:val="en-GB"/>
        </w:rPr>
        <w:t>-</w:t>
      </w:r>
      <w:r w:rsidR="00E80E12">
        <w:rPr>
          <w:rFonts w:cs="Arial"/>
          <w:lang w:val="en-GB"/>
        </w:rPr>
        <w:t>wheeled self-balancing scooters.</w:t>
      </w:r>
    </w:p>
    <w:p w14:paraId="625FD041" w14:textId="77777777" w:rsidR="00782B62" w:rsidRDefault="00782B62" w:rsidP="00782B62">
      <w:pPr>
        <w:pStyle w:val="Bulletpoint"/>
        <w:numPr>
          <w:ilvl w:val="0"/>
          <w:numId w:val="0"/>
        </w:numPr>
      </w:pPr>
      <w:r>
        <w:t>In December 2017</w:t>
      </w:r>
      <w:r w:rsidR="00DE39F6">
        <w:t xml:space="preserve"> and January 2018</w:t>
      </w:r>
      <w:r>
        <w:t xml:space="preserve"> stakeholders were contacted for their views on</w:t>
      </w:r>
      <w:r w:rsidR="00587F09">
        <w:t xml:space="preserve"> referencing the latest editions</w:t>
      </w:r>
      <w:r>
        <w:t xml:space="preserve"> of the voluntary standards</w:t>
      </w:r>
      <w:r w:rsidR="00587F09">
        <w:t xml:space="preserve"> and the voluntary Australian/</w:t>
      </w:r>
      <w:r w:rsidR="00DE39F6">
        <w:t xml:space="preserve">New Zealand standard </w:t>
      </w:r>
      <w:r w:rsidR="00DE39F6" w:rsidRPr="00DE39F6">
        <w:rPr>
          <w:i/>
        </w:rPr>
        <w:t>AS/NZS 60335.2.201:2016</w:t>
      </w:r>
      <w:r>
        <w:t>.</w:t>
      </w:r>
    </w:p>
    <w:p w14:paraId="10C535EB" w14:textId="77777777" w:rsidR="001B4A7B" w:rsidRPr="004C32C5" w:rsidRDefault="001B4A7B" w:rsidP="00066377">
      <w:pPr>
        <w:keepNext/>
        <w:rPr>
          <w:rFonts w:cs="Arial"/>
          <w:highlight w:val="yellow"/>
          <w:lang w:val="en-GB"/>
        </w:rPr>
      </w:pPr>
      <w:r w:rsidRPr="0015075E">
        <w:rPr>
          <w:rFonts w:cs="Arial"/>
          <w:b/>
        </w:rPr>
        <w:t>Disallowance</w:t>
      </w:r>
    </w:p>
    <w:p w14:paraId="78B225D9" w14:textId="77777777" w:rsidR="00820DAD" w:rsidRPr="0015075E" w:rsidRDefault="00820DAD" w:rsidP="00066377">
      <w:pPr>
        <w:keepNext/>
        <w:rPr>
          <w:rFonts w:cs="Arial"/>
        </w:rPr>
      </w:pPr>
      <w:r w:rsidRPr="0015075E">
        <w:rPr>
          <w:rFonts w:cs="Arial"/>
        </w:rPr>
        <w:t xml:space="preserve">This legislative instrument is not subject to disallowance due to </w:t>
      </w:r>
      <w:r w:rsidRPr="00334741">
        <w:rPr>
          <w:rFonts w:cs="Arial"/>
        </w:rPr>
        <w:t>section 44 of the</w:t>
      </w:r>
      <w:r w:rsidRPr="0015075E">
        <w:rPr>
          <w:rFonts w:cs="Arial"/>
        </w:rPr>
        <w:t xml:space="preserve"> </w:t>
      </w:r>
      <w:r w:rsidRPr="0015075E">
        <w:rPr>
          <w:rFonts w:cs="Arial"/>
          <w:i/>
        </w:rPr>
        <w:t>Legislation Act 2003</w:t>
      </w:r>
      <w:r w:rsidR="00B246FB">
        <w:rPr>
          <w:rFonts w:cs="Arial"/>
          <w:i/>
        </w:rPr>
        <w:t xml:space="preserve"> </w:t>
      </w:r>
      <w:r w:rsidR="00B246FB">
        <w:rPr>
          <w:rFonts w:cs="Arial"/>
        </w:rPr>
        <w:t>(Cth)</w:t>
      </w:r>
      <w:r w:rsidR="00CF4B39" w:rsidRPr="0015075E">
        <w:rPr>
          <w:rFonts w:cs="Arial"/>
        </w:rPr>
        <w:t>.</w:t>
      </w:r>
    </w:p>
    <w:p w14:paraId="6562FFD9" w14:textId="77777777" w:rsidR="001B4A7B" w:rsidRPr="0015075E" w:rsidRDefault="001B4A7B" w:rsidP="001B4A7B">
      <w:pPr>
        <w:rPr>
          <w:rFonts w:cs="Arial"/>
          <w:b/>
          <w:lang w:val="en-GB"/>
        </w:rPr>
      </w:pPr>
      <w:r w:rsidRPr="0015075E">
        <w:rPr>
          <w:rFonts w:cs="Arial"/>
          <w:b/>
          <w:lang w:val="en-GB"/>
        </w:rPr>
        <w:t>Commencement</w:t>
      </w:r>
    </w:p>
    <w:p w14:paraId="21FE1827" w14:textId="77777777" w:rsidR="001B4A7B" w:rsidRDefault="00587F09" w:rsidP="001B4A7B">
      <w:pPr>
        <w:rPr>
          <w:rFonts w:cs="Arial"/>
          <w:lang w:val="en-GB"/>
        </w:rPr>
      </w:pPr>
      <w:r>
        <w:rPr>
          <w:rFonts w:cs="Arial"/>
          <w:lang w:val="en-GB"/>
        </w:rPr>
        <w:t>This</w:t>
      </w:r>
      <w:r w:rsidR="00F960D1" w:rsidRPr="0015075E">
        <w:rPr>
          <w:rFonts w:cs="Arial"/>
          <w:lang w:val="en-GB"/>
        </w:rPr>
        <w:t xml:space="preserve"> </w:t>
      </w:r>
      <w:r w:rsidR="001B4A7B" w:rsidRPr="0015075E">
        <w:rPr>
          <w:rFonts w:cs="Arial"/>
          <w:lang w:val="en-GB"/>
        </w:rPr>
        <w:t>legislative instrument commences on the day after it is registered on the Federal Register of Legislation.</w:t>
      </w:r>
    </w:p>
    <w:p w14:paraId="2BF14E5C" w14:textId="77777777" w:rsidR="00FA4DCB" w:rsidRPr="00FA4DCB" w:rsidRDefault="00FA4DCB" w:rsidP="00FA4DCB">
      <w:pPr>
        <w:keepNext/>
        <w:rPr>
          <w:rFonts w:cs="Arial"/>
          <w:b/>
        </w:rPr>
      </w:pPr>
      <w:r>
        <w:rPr>
          <w:rFonts w:cs="Arial"/>
          <w:b/>
        </w:rPr>
        <w:t>Period of effect</w:t>
      </w:r>
    </w:p>
    <w:p w14:paraId="6357F01E" w14:textId="77777777" w:rsidR="00FA4DCB" w:rsidRPr="0015075E" w:rsidRDefault="00587F09" w:rsidP="001B4A7B">
      <w:pPr>
        <w:rPr>
          <w:rFonts w:cs="Arial"/>
          <w:lang w:val="en-GB"/>
        </w:rPr>
      </w:pPr>
      <w:r>
        <w:rPr>
          <w:rFonts w:cs="Arial"/>
          <w:lang w:val="en-GB"/>
        </w:rPr>
        <w:t>This</w:t>
      </w:r>
      <w:r w:rsidR="00B00ACE">
        <w:rPr>
          <w:rFonts w:cs="Arial"/>
          <w:lang w:val="en-GB"/>
        </w:rPr>
        <w:t xml:space="preserve"> legislative </w:t>
      </w:r>
      <w:r w:rsidR="00FA4DCB">
        <w:rPr>
          <w:rFonts w:cs="Arial"/>
          <w:lang w:val="en-GB"/>
        </w:rPr>
        <w:t>instrument ends on 16 July 2019.</w:t>
      </w:r>
    </w:p>
    <w:p w14:paraId="3FA3A0CA" w14:textId="77777777" w:rsidR="001B4A7B" w:rsidRPr="00FA4DCB" w:rsidRDefault="001B4A7B" w:rsidP="004142D7">
      <w:pPr>
        <w:keepNext/>
        <w:rPr>
          <w:rFonts w:cs="Arial"/>
          <w:b/>
        </w:rPr>
      </w:pPr>
      <w:r w:rsidRPr="00FA4DCB">
        <w:rPr>
          <w:rFonts w:cs="Arial"/>
          <w:b/>
        </w:rPr>
        <w:t>Sunsetting</w:t>
      </w:r>
    </w:p>
    <w:p w14:paraId="035C42D3" w14:textId="3079BD33" w:rsidR="000E78EA" w:rsidRPr="0007010B" w:rsidRDefault="0002511E" w:rsidP="000E78EA">
      <w:pPr>
        <w:rPr>
          <w:iCs/>
        </w:rPr>
      </w:pPr>
      <w:r>
        <w:rPr>
          <w:iCs/>
        </w:rPr>
        <w:t xml:space="preserve">This legislative instrument is not subject to sunsetting due to section 54 of the </w:t>
      </w:r>
      <w:r w:rsidRPr="00AD1E89">
        <w:rPr>
          <w:i/>
          <w:iCs/>
        </w:rPr>
        <w:t>Legislation Act 2003</w:t>
      </w:r>
      <w:r w:rsidR="00587F09">
        <w:rPr>
          <w:iCs/>
        </w:rPr>
        <w:t xml:space="preserve"> (Cth)</w:t>
      </w:r>
      <w:r w:rsidR="000E78EA">
        <w:rPr>
          <w:i/>
        </w:rPr>
        <w:t>.</w:t>
      </w:r>
      <w:r w:rsidR="008D3F02">
        <w:t xml:space="preserve"> Although not subject to</w:t>
      </w:r>
      <w:r w:rsidR="00285C4C">
        <w:t xml:space="preserve"> sunsetting provisions</w:t>
      </w:r>
      <w:r w:rsidR="008D3F02">
        <w:t xml:space="preserve"> the safety standard</w:t>
      </w:r>
      <w:r w:rsidR="0007010B">
        <w:t xml:space="preserve"> </w:t>
      </w:r>
      <w:r w:rsidR="00285C4C">
        <w:t>lapses on</w:t>
      </w:r>
      <w:r w:rsidR="0007010B">
        <w:t xml:space="preserve"> 16 July 2019.</w:t>
      </w:r>
    </w:p>
    <w:p w14:paraId="057C392D" w14:textId="77777777" w:rsidR="00820DAD" w:rsidRPr="0015075E" w:rsidRDefault="00820DAD" w:rsidP="00820DAD">
      <w:pPr>
        <w:rPr>
          <w:rFonts w:cs="Arial"/>
          <w:b/>
        </w:rPr>
      </w:pPr>
      <w:r w:rsidRPr="0015075E">
        <w:rPr>
          <w:rFonts w:cs="Arial"/>
          <w:b/>
        </w:rPr>
        <w:t>Regulation impact assessment</w:t>
      </w:r>
    </w:p>
    <w:p w14:paraId="09AA2062" w14:textId="77777777" w:rsidR="00820DAD" w:rsidRPr="007C7632" w:rsidRDefault="00820DAD" w:rsidP="00820DAD">
      <w:pPr>
        <w:rPr>
          <w:rFonts w:cs="Arial"/>
        </w:rPr>
      </w:pPr>
      <w:r w:rsidRPr="0015075E">
        <w:rPr>
          <w:rFonts w:cs="Arial"/>
        </w:rPr>
        <w:t xml:space="preserve">The Office of Best Practice Regulation advised </w:t>
      </w:r>
      <w:r w:rsidR="00587F09">
        <w:rPr>
          <w:rFonts w:cs="Arial"/>
        </w:rPr>
        <w:t xml:space="preserve">that </w:t>
      </w:r>
      <w:r w:rsidRPr="0015075E">
        <w:rPr>
          <w:rFonts w:cs="Arial"/>
        </w:rPr>
        <w:t>a Regulation Impact Statement was not required.</w:t>
      </w:r>
    </w:p>
    <w:sectPr w:rsidR="00820DAD" w:rsidRPr="007C7632" w:rsidSect="003B6396">
      <w:footerReference w:type="first" r:id="rId12"/>
      <w:pgSz w:w="11906" w:h="16838" w:code="9"/>
      <w:pgMar w:top="1134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E0D2" w14:textId="77777777" w:rsidR="001B4A7B" w:rsidRDefault="001B4A7B" w:rsidP="004B4412">
      <w:pPr>
        <w:spacing w:before="0"/>
      </w:pPr>
      <w:r>
        <w:separator/>
      </w:r>
    </w:p>
  </w:endnote>
  <w:endnote w:type="continuationSeparator" w:id="0">
    <w:p w14:paraId="41CE1790" w14:textId="77777777" w:rsidR="001B4A7B" w:rsidRDefault="001B4A7B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88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2FC8D" w14:textId="77777777"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1F6F16" w14:textId="77777777"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6063" w14:textId="77777777" w:rsidR="001B4A7B" w:rsidRDefault="001B4A7B" w:rsidP="004B4412">
      <w:pPr>
        <w:spacing w:before="0"/>
      </w:pPr>
      <w:r>
        <w:separator/>
      </w:r>
    </w:p>
  </w:footnote>
  <w:footnote w:type="continuationSeparator" w:id="0">
    <w:p w14:paraId="241C6254" w14:textId="77777777" w:rsidR="001B4A7B" w:rsidRDefault="001B4A7B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6662CFE"/>
    <w:multiLevelType w:val="hybridMultilevel"/>
    <w:tmpl w:val="24400F96"/>
    <w:lvl w:ilvl="0" w:tplc="3630508A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16959"/>
    <w:multiLevelType w:val="hybridMultilevel"/>
    <w:tmpl w:val="2892E406"/>
    <w:lvl w:ilvl="0" w:tplc="2F06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D74A6"/>
    <w:multiLevelType w:val="hybridMultilevel"/>
    <w:tmpl w:val="7F58B22A"/>
    <w:lvl w:ilvl="0" w:tplc="23ACDAFC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44113A"/>
    <w:multiLevelType w:val="hybridMultilevel"/>
    <w:tmpl w:val="FB56CC68"/>
    <w:lvl w:ilvl="0" w:tplc="CBE23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2785F"/>
    <w:multiLevelType w:val="hybridMultilevel"/>
    <w:tmpl w:val="692ACE56"/>
    <w:lvl w:ilvl="0" w:tplc="A770ED0C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51AF"/>
    <w:multiLevelType w:val="hybridMultilevel"/>
    <w:tmpl w:val="3776342C"/>
    <w:lvl w:ilvl="0" w:tplc="070A6A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86ECD"/>
    <w:multiLevelType w:val="hybridMultilevel"/>
    <w:tmpl w:val="7CCAE4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534B1"/>
    <w:multiLevelType w:val="hybridMultilevel"/>
    <w:tmpl w:val="A6300AE6"/>
    <w:lvl w:ilvl="0" w:tplc="647AF29C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36161A02"/>
    <w:multiLevelType w:val="hybridMultilevel"/>
    <w:tmpl w:val="E9CCE2E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7630067"/>
    <w:multiLevelType w:val="hybridMultilevel"/>
    <w:tmpl w:val="20944214"/>
    <w:lvl w:ilvl="0" w:tplc="58F8B21A">
      <w:start w:val="1"/>
      <w:numFmt w:val="lowerRoman"/>
      <w:lvlText w:val="(%1)"/>
      <w:lvlJc w:val="left"/>
      <w:pPr>
        <w:ind w:left="1950" w:hanging="720"/>
      </w:pPr>
      <w:rPr>
        <w:rFonts w:ascii="Arial" w:eastAsiaTheme="minorHAnsi" w:hAnsi="Arial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2310" w:hanging="360"/>
      </w:pPr>
    </w:lvl>
    <w:lvl w:ilvl="2" w:tplc="0C09001B" w:tentative="1">
      <w:start w:val="1"/>
      <w:numFmt w:val="lowerRoman"/>
      <w:lvlText w:val="%3."/>
      <w:lvlJc w:val="right"/>
      <w:pPr>
        <w:ind w:left="3030" w:hanging="180"/>
      </w:pPr>
    </w:lvl>
    <w:lvl w:ilvl="3" w:tplc="0C09000F" w:tentative="1">
      <w:start w:val="1"/>
      <w:numFmt w:val="decimal"/>
      <w:lvlText w:val="%4."/>
      <w:lvlJc w:val="left"/>
      <w:pPr>
        <w:ind w:left="3750" w:hanging="360"/>
      </w:pPr>
    </w:lvl>
    <w:lvl w:ilvl="4" w:tplc="0C090019" w:tentative="1">
      <w:start w:val="1"/>
      <w:numFmt w:val="lowerLetter"/>
      <w:lvlText w:val="%5."/>
      <w:lvlJc w:val="left"/>
      <w:pPr>
        <w:ind w:left="4470" w:hanging="360"/>
      </w:pPr>
    </w:lvl>
    <w:lvl w:ilvl="5" w:tplc="0C09001B" w:tentative="1">
      <w:start w:val="1"/>
      <w:numFmt w:val="lowerRoman"/>
      <w:lvlText w:val="%6."/>
      <w:lvlJc w:val="right"/>
      <w:pPr>
        <w:ind w:left="5190" w:hanging="180"/>
      </w:pPr>
    </w:lvl>
    <w:lvl w:ilvl="6" w:tplc="0C09000F" w:tentative="1">
      <w:start w:val="1"/>
      <w:numFmt w:val="decimal"/>
      <w:lvlText w:val="%7."/>
      <w:lvlJc w:val="left"/>
      <w:pPr>
        <w:ind w:left="5910" w:hanging="360"/>
      </w:pPr>
    </w:lvl>
    <w:lvl w:ilvl="7" w:tplc="0C090019" w:tentative="1">
      <w:start w:val="1"/>
      <w:numFmt w:val="lowerLetter"/>
      <w:lvlText w:val="%8."/>
      <w:lvlJc w:val="left"/>
      <w:pPr>
        <w:ind w:left="6630" w:hanging="360"/>
      </w:pPr>
    </w:lvl>
    <w:lvl w:ilvl="8" w:tplc="0C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86A71B3"/>
    <w:multiLevelType w:val="hybridMultilevel"/>
    <w:tmpl w:val="6046E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43204"/>
    <w:multiLevelType w:val="hybridMultilevel"/>
    <w:tmpl w:val="79007700"/>
    <w:lvl w:ilvl="0" w:tplc="AAF88CF2">
      <w:start w:val="1"/>
      <w:numFmt w:val="lowerLetter"/>
      <w:lvlText w:val="%1."/>
      <w:lvlJc w:val="left"/>
      <w:pPr>
        <w:ind w:left="748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9" w15:restartNumberingAfterBreak="0">
    <w:nsid w:val="468A5C55"/>
    <w:multiLevelType w:val="hybridMultilevel"/>
    <w:tmpl w:val="FBF69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82683"/>
    <w:multiLevelType w:val="hybridMultilevel"/>
    <w:tmpl w:val="F9A24746"/>
    <w:lvl w:ilvl="0" w:tplc="44E0C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33" w15:restartNumberingAfterBreak="0">
    <w:nsid w:val="5D0F5012"/>
    <w:multiLevelType w:val="hybridMultilevel"/>
    <w:tmpl w:val="034608EA"/>
    <w:lvl w:ilvl="0" w:tplc="A440B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752E4"/>
    <w:multiLevelType w:val="hybridMultilevel"/>
    <w:tmpl w:val="6608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71D71BE5"/>
    <w:multiLevelType w:val="hybridMultilevel"/>
    <w:tmpl w:val="1BEEE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1" w15:restartNumberingAfterBreak="0">
    <w:nsid w:val="744E190A"/>
    <w:multiLevelType w:val="hybridMultilevel"/>
    <w:tmpl w:val="3E523078"/>
    <w:lvl w:ilvl="0" w:tplc="715410C8">
      <w:start w:val="1"/>
      <w:numFmt w:val="lowerRoman"/>
      <w:lvlText w:val="(%1)"/>
      <w:lvlJc w:val="left"/>
      <w:pPr>
        <w:ind w:left="1950" w:hanging="720"/>
      </w:pPr>
      <w:rPr>
        <w:rFonts w:ascii="Arial" w:eastAsiaTheme="minorHAnsi" w:hAnsi="Arial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2310" w:hanging="360"/>
      </w:pPr>
    </w:lvl>
    <w:lvl w:ilvl="2" w:tplc="0C09001B" w:tentative="1">
      <w:start w:val="1"/>
      <w:numFmt w:val="lowerRoman"/>
      <w:lvlText w:val="%3."/>
      <w:lvlJc w:val="right"/>
      <w:pPr>
        <w:ind w:left="3030" w:hanging="180"/>
      </w:pPr>
    </w:lvl>
    <w:lvl w:ilvl="3" w:tplc="0C09000F" w:tentative="1">
      <w:start w:val="1"/>
      <w:numFmt w:val="decimal"/>
      <w:lvlText w:val="%4."/>
      <w:lvlJc w:val="left"/>
      <w:pPr>
        <w:ind w:left="3750" w:hanging="360"/>
      </w:pPr>
    </w:lvl>
    <w:lvl w:ilvl="4" w:tplc="0C090019" w:tentative="1">
      <w:start w:val="1"/>
      <w:numFmt w:val="lowerLetter"/>
      <w:lvlText w:val="%5."/>
      <w:lvlJc w:val="left"/>
      <w:pPr>
        <w:ind w:left="4470" w:hanging="360"/>
      </w:pPr>
    </w:lvl>
    <w:lvl w:ilvl="5" w:tplc="0C09001B" w:tentative="1">
      <w:start w:val="1"/>
      <w:numFmt w:val="lowerRoman"/>
      <w:lvlText w:val="%6."/>
      <w:lvlJc w:val="right"/>
      <w:pPr>
        <w:ind w:left="5190" w:hanging="180"/>
      </w:pPr>
    </w:lvl>
    <w:lvl w:ilvl="6" w:tplc="0C09000F" w:tentative="1">
      <w:start w:val="1"/>
      <w:numFmt w:val="decimal"/>
      <w:lvlText w:val="%7."/>
      <w:lvlJc w:val="left"/>
      <w:pPr>
        <w:ind w:left="5910" w:hanging="360"/>
      </w:pPr>
    </w:lvl>
    <w:lvl w:ilvl="7" w:tplc="0C090019" w:tentative="1">
      <w:start w:val="1"/>
      <w:numFmt w:val="lowerLetter"/>
      <w:lvlText w:val="%8."/>
      <w:lvlJc w:val="left"/>
      <w:pPr>
        <w:ind w:left="6630" w:hanging="360"/>
      </w:pPr>
    </w:lvl>
    <w:lvl w:ilvl="8" w:tplc="0C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2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3" w15:restartNumberingAfterBreak="0">
    <w:nsid w:val="773D3946"/>
    <w:multiLevelType w:val="hybridMultilevel"/>
    <w:tmpl w:val="2EC21FA2"/>
    <w:lvl w:ilvl="0" w:tplc="24BA34F6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7"/>
  </w:num>
  <w:num w:numId="10">
    <w:abstractNumId w:val="26"/>
  </w:num>
  <w:num w:numId="11">
    <w:abstractNumId w:val="10"/>
  </w:num>
  <w:num w:numId="12">
    <w:abstractNumId w:val="15"/>
  </w:num>
  <w:num w:numId="13">
    <w:abstractNumId w:val="23"/>
  </w:num>
  <w:num w:numId="14">
    <w:abstractNumId w:val="2"/>
  </w:num>
  <w:num w:numId="15">
    <w:abstractNumId w:val="38"/>
  </w:num>
  <w:num w:numId="16">
    <w:abstractNumId w:val="44"/>
  </w:num>
  <w:num w:numId="17">
    <w:abstractNumId w:val="42"/>
  </w:num>
  <w:num w:numId="18">
    <w:abstractNumId w:val="32"/>
  </w:num>
  <w:num w:numId="19">
    <w:abstractNumId w:val="21"/>
  </w:num>
  <w:num w:numId="20">
    <w:abstractNumId w:val="28"/>
  </w:num>
  <w:num w:numId="21">
    <w:abstractNumId w:val="40"/>
  </w:num>
  <w:num w:numId="22">
    <w:abstractNumId w:val="35"/>
  </w:num>
  <w:num w:numId="23">
    <w:abstractNumId w:val="8"/>
  </w:num>
  <w:num w:numId="24">
    <w:abstractNumId w:val="3"/>
  </w:num>
  <w:num w:numId="25">
    <w:abstractNumId w:val="30"/>
  </w:num>
  <w:num w:numId="26">
    <w:abstractNumId w:val="14"/>
  </w:num>
  <w:num w:numId="27">
    <w:abstractNumId w:val="36"/>
  </w:num>
  <w:num w:numId="28">
    <w:abstractNumId w:val="20"/>
  </w:num>
  <w:num w:numId="29">
    <w:abstractNumId w:val="33"/>
  </w:num>
  <w:num w:numId="30">
    <w:abstractNumId w:val="43"/>
  </w:num>
  <w:num w:numId="31">
    <w:abstractNumId w:val="10"/>
  </w:num>
  <w:num w:numId="32">
    <w:abstractNumId w:val="31"/>
  </w:num>
  <w:num w:numId="33">
    <w:abstractNumId w:val="27"/>
  </w:num>
  <w:num w:numId="34">
    <w:abstractNumId w:val="18"/>
  </w:num>
  <w:num w:numId="35">
    <w:abstractNumId w:val="11"/>
  </w:num>
  <w:num w:numId="36">
    <w:abstractNumId w:val="19"/>
  </w:num>
  <w:num w:numId="37">
    <w:abstractNumId w:val="39"/>
  </w:num>
  <w:num w:numId="38">
    <w:abstractNumId w:val="22"/>
  </w:num>
  <w:num w:numId="39">
    <w:abstractNumId w:val="10"/>
  </w:num>
  <w:num w:numId="40">
    <w:abstractNumId w:val="25"/>
  </w:num>
  <w:num w:numId="41">
    <w:abstractNumId w:val="29"/>
  </w:num>
  <w:num w:numId="42">
    <w:abstractNumId w:val="10"/>
  </w:num>
  <w:num w:numId="43">
    <w:abstractNumId w:val="17"/>
  </w:num>
  <w:num w:numId="44">
    <w:abstractNumId w:val="9"/>
  </w:num>
  <w:num w:numId="45">
    <w:abstractNumId w:val="12"/>
  </w:num>
  <w:num w:numId="46">
    <w:abstractNumId w:val="24"/>
  </w:num>
  <w:num w:numId="47">
    <w:abstractNumId w:val="41"/>
  </w:num>
  <w:num w:numId="48">
    <w:abstractNumId w:val="16"/>
  </w:num>
  <w:num w:numId="4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3920\D17 23987  CPS - SP - Trolley jacks - Explanatory statement - 2017.DOCX"/>
  </w:docVars>
  <w:rsids>
    <w:rsidRoot w:val="001B4A7B"/>
    <w:rsid w:val="0002115F"/>
    <w:rsid w:val="00021202"/>
    <w:rsid w:val="000225C4"/>
    <w:rsid w:val="0002511E"/>
    <w:rsid w:val="00030CFA"/>
    <w:rsid w:val="0003578C"/>
    <w:rsid w:val="00044BE7"/>
    <w:rsid w:val="00045B25"/>
    <w:rsid w:val="00061003"/>
    <w:rsid w:val="00063247"/>
    <w:rsid w:val="00065A07"/>
    <w:rsid w:val="00066377"/>
    <w:rsid w:val="0007010B"/>
    <w:rsid w:val="00070F9F"/>
    <w:rsid w:val="0007137B"/>
    <w:rsid w:val="00085663"/>
    <w:rsid w:val="00085EBF"/>
    <w:rsid w:val="000A02AD"/>
    <w:rsid w:val="000B779C"/>
    <w:rsid w:val="000D122C"/>
    <w:rsid w:val="000D48CE"/>
    <w:rsid w:val="000D5A29"/>
    <w:rsid w:val="000E1819"/>
    <w:rsid w:val="000E1BC4"/>
    <w:rsid w:val="000E230E"/>
    <w:rsid w:val="000E3CA1"/>
    <w:rsid w:val="000E6C72"/>
    <w:rsid w:val="000E70CC"/>
    <w:rsid w:val="000E78EA"/>
    <w:rsid w:val="000F119E"/>
    <w:rsid w:val="000F2368"/>
    <w:rsid w:val="000F7A89"/>
    <w:rsid w:val="0010399E"/>
    <w:rsid w:val="001059B1"/>
    <w:rsid w:val="00116EB2"/>
    <w:rsid w:val="00124609"/>
    <w:rsid w:val="001265CE"/>
    <w:rsid w:val="00127FD6"/>
    <w:rsid w:val="00140C59"/>
    <w:rsid w:val="001426C5"/>
    <w:rsid w:val="0015075E"/>
    <w:rsid w:val="001573E4"/>
    <w:rsid w:val="00160756"/>
    <w:rsid w:val="00160F0F"/>
    <w:rsid w:val="00162F93"/>
    <w:rsid w:val="0017181A"/>
    <w:rsid w:val="0017232E"/>
    <w:rsid w:val="00174102"/>
    <w:rsid w:val="00175E01"/>
    <w:rsid w:val="00176BBC"/>
    <w:rsid w:val="00180157"/>
    <w:rsid w:val="00181223"/>
    <w:rsid w:val="00186F77"/>
    <w:rsid w:val="001926A4"/>
    <w:rsid w:val="00195820"/>
    <w:rsid w:val="00196801"/>
    <w:rsid w:val="00197372"/>
    <w:rsid w:val="001A04D9"/>
    <w:rsid w:val="001A30A4"/>
    <w:rsid w:val="001A3A19"/>
    <w:rsid w:val="001B246B"/>
    <w:rsid w:val="001B45A0"/>
    <w:rsid w:val="001B4A7B"/>
    <w:rsid w:val="001C18EE"/>
    <w:rsid w:val="001D055E"/>
    <w:rsid w:val="001D7724"/>
    <w:rsid w:val="001E3C4F"/>
    <w:rsid w:val="001F492E"/>
    <w:rsid w:val="001F4C58"/>
    <w:rsid w:val="001F6DA3"/>
    <w:rsid w:val="002004E3"/>
    <w:rsid w:val="00205FF5"/>
    <w:rsid w:val="00212737"/>
    <w:rsid w:val="002128E0"/>
    <w:rsid w:val="00216111"/>
    <w:rsid w:val="00224DB9"/>
    <w:rsid w:val="002345C4"/>
    <w:rsid w:val="00235815"/>
    <w:rsid w:val="00241D74"/>
    <w:rsid w:val="00247C27"/>
    <w:rsid w:val="00251745"/>
    <w:rsid w:val="00263AC0"/>
    <w:rsid w:val="0026772D"/>
    <w:rsid w:val="00285C4C"/>
    <w:rsid w:val="00286874"/>
    <w:rsid w:val="00293736"/>
    <w:rsid w:val="00293F07"/>
    <w:rsid w:val="00296B65"/>
    <w:rsid w:val="002A6EF6"/>
    <w:rsid w:val="002A7DEF"/>
    <w:rsid w:val="002B14FE"/>
    <w:rsid w:val="002B17A9"/>
    <w:rsid w:val="002B24FE"/>
    <w:rsid w:val="002B60C9"/>
    <w:rsid w:val="002B6B9B"/>
    <w:rsid w:val="002B7260"/>
    <w:rsid w:val="002C1DFC"/>
    <w:rsid w:val="002C7257"/>
    <w:rsid w:val="002E2F3B"/>
    <w:rsid w:val="002F6062"/>
    <w:rsid w:val="002F6A17"/>
    <w:rsid w:val="002F7986"/>
    <w:rsid w:val="00303C4A"/>
    <w:rsid w:val="003046B6"/>
    <w:rsid w:val="00307F6D"/>
    <w:rsid w:val="00314977"/>
    <w:rsid w:val="00314EF1"/>
    <w:rsid w:val="003177A2"/>
    <w:rsid w:val="00320408"/>
    <w:rsid w:val="00321028"/>
    <w:rsid w:val="00321F35"/>
    <w:rsid w:val="003271B5"/>
    <w:rsid w:val="003301BA"/>
    <w:rsid w:val="00330CA0"/>
    <w:rsid w:val="00331264"/>
    <w:rsid w:val="00332C56"/>
    <w:rsid w:val="0033341C"/>
    <w:rsid w:val="0033405D"/>
    <w:rsid w:val="00334741"/>
    <w:rsid w:val="00334C8D"/>
    <w:rsid w:val="00340655"/>
    <w:rsid w:val="003459E6"/>
    <w:rsid w:val="00347964"/>
    <w:rsid w:val="003518B3"/>
    <w:rsid w:val="00352350"/>
    <w:rsid w:val="003636FA"/>
    <w:rsid w:val="0036502C"/>
    <w:rsid w:val="00371641"/>
    <w:rsid w:val="00372AF2"/>
    <w:rsid w:val="00373486"/>
    <w:rsid w:val="00377287"/>
    <w:rsid w:val="00383C29"/>
    <w:rsid w:val="00384232"/>
    <w:rsid w:val="003846F1"/>
    <w:rsid w:val="00387AFB"/>
    <w:rsid w:val="003A38F1"/>
    <w:rsid w:val="003A673F"/>
    <w:rsid w:val="003B093B"/>
    <w:rsid w:val="003B0CD8"/>
    <w:rsid w:val="003B21A7"/>
    <w:rsid w:val="003B5A70"/>
    <w:rsid w:val="003B6396"/>
    <w:rsid w:val="003C1789"/>
    <w:rsid w:val="003D221E"/>
    <w:rsid w:val="003E7B5A"/>
    <w:rsid w:val="003F008A"/>
    <w:rsid w:val="003F3DCD"/>
    <w:rsid w:val="004024D9"/>
    <w:rsid w:val="004142D7"/>
    <w:rsid w:val="004219B3"/>
    <w:rsid w:val="0044351B"/>
    <w:rsid w:val="004454B6"/>
    <w:rsid w:val="00454DDE"/>
    <w:rsid w:val="00474CC5"/>
    <w:rsid w:val="00475DDE"/>
    <w:rsid w:val="00480B4B"/>
    <w:rsid w:val="00483832"/>
    <w:rsid w:val="00485DC4"/>
    <w:rsid w:val="0049090A"/>
    <w:rsid w:val="004B2959"/>
    <w:rsid w:val="004B3CD5"/>
    <w:rsid w:val="004B4412"/>
    <w:rsid w:val="004B6617"/>
    <w:rsid w:val="004C32C5"/>
    <w:rsid w:val="004C348C"/>
    <w:rsid w:val="004D506D"/>
    <w:rsid w:val="004D55BA"/>
    <w:rsid w:val="005038DB"/>
    <w:rsid w:val="005061E7"/>
    <w:rsid w:val="005215FD"/>
    <w:rsid w:val="0052379B"/>
    <w:rsid w:val="00524C33"/>
    <w:rsid w:val="00530128"/>
    <w:rsid w:val="00532467"/>
    <w:rsid w:val="00536441"/>
    <w:rsid w:val="00541899"/>
    <w:rsid w:val="00547BA2"/>
    <w:rsid w:val="00547CCF"/>
    <w:rsid w:val="0056249F"/>
    <w:rsid w:val="00564A4D"/>
    <w:rsid w:val="00565A20"/>
    <w:rsid w:val="00567DB7"/>
    <w:rsid w:val="00571B35"/>
    <w:rsid w:val="00571C9F"/>
    <w:rsid w:val="00577A09"/>
    <w:rsid w:val="00580B78"/>
    <w:rsid w:val="00581715"/>
    <w:rsid w:val="00584D8F"/>
    <w:rsid w:val="00587F09"/>
    <w:rsid w:val="00596D42"/>
    <w:rsid w:val="00597A5A"/>
    <w:rsid w:val="005A404D"/>
    <w:rsid w:val="005B1E3C"/>
    <w:rsid w:val="005B3C27"/>
    <w:rsid w:val="005C24AC"/>
    <w:rsid w:val="005C26CC"/>
    <w:rsid w:val="005C6CE3"/>
    <w:rsid w:val="005D4A09"/>
    <w:rsid w:val="005D6AFC"/>
    <w:rsid w:val="005E6C0E"/>
    <w:rsid w:val="00600EC0"/>
    <w:rsid w:val="0060463D"/>
    <w:rsid w:val="0060505E"/>
    <w:rsid w:val="00612ADC"/>
    <w:rsid w:val="00615C6B"/>
    <w:rsid w:val="0061612B"/>
    <w:rsid w:val="00623283"/>
    <w:rsid w:val="0062508F"/>
    <w:rsid w:val="006274B3"/>
    <w:rsid w:val="00632D6D"/>
    <w:rsid w:val="00634102"/>
    <w:rsid w:val="00640E07"/>
    <w:rsid w:val="00642C3E"/>
    <w:rsid w:val="0064458B"/>
    <w:rsid w:val="00644E3A"/>
    <w:rsid w:val="00646025"/>
    <w:rsid w:val="006460BB"/>
    <w:rsid w:val="006479A1"/>
    <w:rsid w:val="00650B50"/>
    <w:rsid w:val="0065488F"/>
    <w:rsid w:val="00663DAD"/>
    <w:rsid w:val="00676679"/>
    <w:rsid w:val="006808CA"/>
    <w:rsid w:val="00680C5D"/>
    <w:rsid w:val="00686D33"/>
    <w:rsid w:val="006909DD"/>
    <w:rsid w:val="00691616"/>
    <w:rsid w:val="00692E2E"/>
    <w:rsid w:val="006957B5"/>
    <w:rsid w:val="006A5E88"/>
    <w:rsid w:val="006B361C"/>
    <w:rsid w:val="006B4CF9"/>
    <w:rsid w:val="006B7AC8"/>
    <w:rsid w:val="006C2E1D"/>
    <w:rsid w:val="006D40F3"/>
    <w:rsid w:val="006D550F"/>
    <w:rsid w:val="006D75F6"/>
    <w:rsid w:val="006D77F3"/>
    <w:rsid w:val="006F615F"/>
    <w:rsid w:val="00701CAB"/>
    <w:rsid w:val="007053A6"/>
    <w:rsid w:val="0070632B"/>
    <w:rsid w:val="00707563"/>
    <w:rsid w:val="007228A8"/>
    <w:rsid w:val="0072348C"/>
    <w:rsid w:val="007249B6"/>
    <w:rsid w:val="00724A37"/>
    <w:rsid w:val="007303C3"/>
    <w:rsid w:val="00743223"/>
    <w:rsid w:val="00746E01"/>
    <w:rsid w:val="007578E8"/>
    <w:rsid w:val="00763E5D"/>
    <w:rsid w:val="00767740"/>
    <w:rsid w:val="0077733B"/>
    <w:rsid w:val="00777EE6"/>
    <w:rsid w:val="00782B62"/>
    <w:rsid w:val="00782EEA"/>
    <w:rsid w:val="007A1FD7"/>
    <w:rsid w:val="007A502D"/>
    <w:rsid w:val="007A7A84"/>
    <w:rsid w:val="007A7BE6"/>
    <w:rsid w:val="007B2C72"/>
    <w:rsid w:val="007B699F"/>
    <w:rsid w:val="007B6CB9"/>
    <w:rsid w:val="007C1C53"/>
    <w:rsid w:val="007D02AF"/>
    <w:rsid w:val="007D0E99"/>
    <w:rsid w:val="007E26A9"/>
    <w:rsid w:val="007E4904"/>
    <w:rsid w:val="007E4A75"/>
    <w:rsid w:val="007E4CB5"/>
    <w:rsid w:val="007E682E"/>
    <w:rsid w:val="007F066B"/>
    <w:rsid w:val="007F42ED"/>
    <w:rsid w:val="007F7AD2"/>
    <w:rsid w:val="008033C4"/>
    <w:rsid w:val="00806C88"/>
    <w:rsid w:val="0081034E"/>
    <w:rsid w:val="00820DAD"/>
    <w:rsid w:val="00825DB6"/>
    <w:rsid w:val="008344F6"/>
    <w:rsid w:val="0083510F"/>
    <w:rsid w:val="00844F80"/>
    <w:rsid w:val="0084628F"/>
    <w:rsid w:val="00851209"/>
    <w:rsid w:val="00852C8E"/>
    <w:rsid w:val="00853240"/>
    <w:rsid w:val="00856255"/>
    <w:rsid w:val="0088007E"/>
    <w:rsid w:val="008837AC"/>
    <w:rsid w:val="00884D6C"/>
    <w:rsid w:val="008852B3"/>
    <w:rsid w:val="008945B4"/>
    <w:rsid w:val="008A587D"/>
    <w:rsid w:val="008B08E6"/>
    <w:rsid w:val="008B1C1B"/>
    <w:rsid w:val="008B4EEA"/>
    <w:rsid w:val="008B726D"/>
    <w:rsid w:val="008C0852"/>
    <w:rsid w:val="008C5486"/>
    <w:rsid w:val="008C5FAA"/>
    <w:rsid w:val="008D2431"/>
    <w:rsid w:val="008D3F02"/>
    <w:rsid w:val="008D5474"/>
    <w:rsid w:val="008E1947"/>
    <w:rsid w:val="008E3847"/>
    <w:rsid w:val="008E7031"/>
    <w:rsid w:val="0091775F"/>
    <w:rsid w:val="00922C95"/>
    <w:rsid w:val="009233EE"/>
    <w:rsid w:val="00923A21"/>
    <w:rsid w:val="00925D12"/>
    <w:rsid w:val="00925F66"/>
    <w:rsid w:val="00926885"/>
    <w:rsid w:val="00931ECF"/>
    <w:rsid w:val="00933697"/>
    <w:rsid w:val="00933788"/>
    <w:rsid w:val="009514B0"/>
    <w:rsid w:val="00956584"/>
    <w:rsid w:val="0096385B"/>
    <w:rsid w:val="0096386C"/>
    <w:rsid w:val="009661DE"/>
    <w:rsid w:val="00972BEE"/>
    <w:rsid w:val="00973980"/>
    <w:rsid w:val="00982246"/>
    <w:rsid w:val="009856B7"/>
    <w:rsid w:val="00985AE4"/>
    <w:rsid w:val="0098602B"/>
    <w:rsid w:val="00991AAD"/>
    <w:rsid w:val="00991B3B"/>
    <w:rsid w:val="009962BA"/>
    <w:rsid w:val="009A0FB2"/>
    <w:rsid w:val="009B6C2C"/>
    <w:rsid w:val="009B74B0"/>
    <w:rsid w:val="009C0369"/>
    <w:rsid w:val="009C7EB9"/>
    <w:rsid w:val="009D4414"/>
    <w:rsid w:val="009D6B46"/>
    <w:rsid w:val="009E304C"/>
    <w:rsid w:val="009E6D2B"/>
    <w:rsid w:val="009F0946"/>
    <w:rsid w:val="009F4940"/>
    <w:rsid w:val="00A1556B"/>
    <w:rsid w:val="00A1665B"/>
    <w:rsid w:val="00A257B6"/>
    <w:rsid w:val="00A31A03"/>
    <w:rsid w:val="00A44171"/>
    <w:rsid w:val="00A4478A"/>
    <w:rsid w:val="00A44852"/>
    <w:rsid w:val="00A508CC"/>
    <w:rsid w:val="00A57D04"/>
    <w:rsid w:val="00A60A26"/>
    <w:rsid w:val="00A61598"/>
    <w:rsid w:val="00A624C1"/>
    <w:rsid w:val="00A64B37"/>
    <w:rsid w:val="00A71F5F"/>
    <w:rsid w:val="00A7241C"/>
    <w:rsid w:val="00A74ECB"/>
    <w:rsid w:val="00A7581D"/>
    <w:rsid w:val="00A75A7D"/>
    <w:rsid w:val="00A8324F"/>
    <w:rsid w:val="00A84F46"/>
    <w:rsid w:val="00A86D26"/>
    <w:rsid w:val="00A871F4"/>
    <w:rsid w:val="00AA1718"/>
    <w:rsid w:val="00AB282C"/>
    <w:rsid w:val="00AB36CB"/>
    <w:rsid w:val="00AC1B2C"/>
    <w:rsid w:val="00AC3264"/>
    <w:rsid w:val="00AC51F5"/>
    <w:rsid w:val="00AC6AE0"/>
    <w:rsid w:val="00AC6F01"/>
    <w:rsid w:val="00AD050D"/>
    <w:rsid w:val="00AD26AA"/>
    <w:rsid w:val="00AE0FE2"/>
    <w:rsid w:val="00AE1694"/>
    <w:rsid w:val="00AE1BF1"/>
    <w:rsid w:val="00AE4373"/>
    <w:rsid w:val="00AF0DD2"/>
    <w:rsid w:val="00AF4D15"/>
    <w:rsid w:val="00B00ACE"/>
    <w:rsid w:val="00B10314"/>
    <w:rsid w:val="00B13048"/>
    <w:rsid w:val="00B15998"/>
    <w:rsid w:val="00B1716D"/>
    <w:rsid w:val="00B17482"/>
    <w:rsid w:val="00B17A1D"/>
    <w:rsid w:val="00B207A0"/>
    <w:rsid w:val="00B246FB"/>
    <w:rsid w:val="00B44060"/>
    <w:rsid w:val="00B4565B"/>
    <w:rsid w:val="00B47C2D"/>
    <w:rsid w:val="00B50BAE"/>
    <w:rsid w:val="00B56E03"/>
    <w:rsid w:val="00B60F5D"/>
    <w:rsid w:val="00B61E83"/>
    <w:rsid w:val="00B67E91"/>
    <w:rsid w:val="00B8080B"/>
    <w:rsid w:val="00B87C39"/>
    <w:rsid w:val="00B9628B"/>
    <w:rsid w:val="00BA0F87"/>
    <w:rsid w:val="00BA4665"/>
    <w:rsid w:val="00BB2FB2"/>
    <w:rsid w:val="00BB3304"/>
    <w:rsid w:val="00BC1FDD"/>
    <w:rsid w:val="00BD3446"/>
    <w:rsid w:val="00BD7474"/>
    <w:rsid w:val="00BE1F1B"/>
    <w:rsid w:val="00BE47B5"/>
    <w:rsid w:val="00BE4C99"/>
    <w:rsid w:val="00BF26B5"/>
    <w:rsid w:val="00C058AB"/>
    <w:rsid w:val="00C06739"/>
    <w:rsid w:val="00C12FCF"/>
    <w:rsid w:val="00C23AAA"/>
    <w:rsid w:val="00C257F1"/>
    <w:rsid w:val="00C35F47"/>
    <w:rsid w:val="00C47B62"/>
    <w:rsid w:val="00C5056D"/>
    <w:rsid w:val="00C50BD2"/>
    <w:rsid w:val="00C50FC9"/>
    <w:rsid w:val="00C538A9"/>
    <w:rsid w:val="00C53B5A"/>
    <w:rsid w:val="00C54F5A"/>
    <w:rsid w:val="00C64DB3"/>
    <w:rsid w:val="00C64FC8"/>
    <w:rsid w:val="00C755AD"/>
    <w:rsid w:val="00C86679"/>
    <w:rsid w:val="00C874A8"/>
    <w:rsid w:val="00C920FF"/>
    <w:rsid w:val="00C92358"/>
    <w:rsid w:val="00CA22ED"/>
    <w:rsid w:val="00CB666B"/>
    <w:rsid w:val="00CB6E44"/>
    <w:rsid w:val="00CC3175"/>
    <w:rsid w:val="00CD1F7E"/>
    <w:rsid w:val="00CD3F48"/>
    <w:rsid w:val="00CD5755"/>
    <w:rsid w:val="00CF0530"/>
    <w:rsid w:val="00CF4B39"/>
    <w:rsid w:val="00CF7787"/>
    <w:rsid w:val="00CF799E"/>
    <w:rsid w:val="00D01CF0"/>
    <w:rsid w:val="00D03B3C"/>
    <w:rsid w:val="00D0442A"/>
    <w:rsid w:val="00D203E1"/>
    <w:rsid w:val="00D22586"/>
    <w:rsid w:val="00D241D2"/>
    <w:rsid w:val="00D308CC"/>
    <w:rsid w:val="00D34930"/>
    <w:rsid w:val="00D446B1"/>
    <w:rsid w:val="00D47F69"/>
    <w:rsid w:val="00D544B8"/>
    <w:rsid w:val="00D61388"/>
    <w:rsid w:val="00D61A54"/>
    <w:rsid w:val="00D62CFD"/>
    <w:rsid w:val="00D64DEA"/>
    <w:rsid w:val="00D6522D"/>
    <w:rsid w:val="00D73912"/>
    <w:rsid w:val="00D80893"/>
    <w:rsid w:val="00D87C84"/>
    <w:rsid w:val="00D92CF1"/>
    <w:rsid w:val="00D92D38"/>
    <w:rsid w:val="00D950F5"/>
    <w:rsid w:val="00DB0F93"/>
    <w:rsid w:val="00DB18E0"/>
    <w:rsid w:val="00DC079C"/>
    <w:rsid w:val="00DC129E"/>
    <w:rsid w:val="00DC4EDE"/>
    <w:rsid w:val="00DC542F"/>
    <w:rsid w:val="00DC7981"/>
    <w:rsid w:val="00DE1007"/>
    <w:rsid w:val="00DE39F6"/>
    <w:rsid w:val="00DE4EFA"/>
    <w:rsid w:val="00DE5520"/>
    <w:rsid w:val="00E04818"/>
    <w:rsid w:val="00E0502D"/>
    <w:rsid w:val="00E06442"/>
    <w:rsid w:val="00E1358F"/>
    <w:rsid w:val="00E23993"/>
    <w:rsid w:val="00E25B8C"/>
    <w:rsid w:val="00E27BF7"/>
    <w:rsid w:val="00E36DC2"/>
    <w:rsid w:val="00E426EE"/>
    <w:rsid w:val="00E444C4"/>
    <w:rsid w:val="00E4674F"/>
    <w:rsid w:val="00E53F2F"/>
    <w:rsid w:val="00E6426C"/>
    <w:rsid w:val="00E656EF"/>
    <w:rsid w:val="00E65C85"/>
    <w:rsid w:val="00E66199"/>
    <w:rsid w:val="00E7033E"/>
    <w:rsid w:val="00E755EC"/>
    <w:rsid w:val="00E7624D"/>
    <w:rsid w:val="00E766EE"/>
    <w:rsid w:val="00E80E12"/>
    <w:rsid w:val="00E87D83"/>
    <w:rsid w:val="00E91FE0"/>
    <w:rsid w:val="00E97A3E"/>
    <w:rsid w:val="00EA3D42"/>
    <w:rsid w:val="00EA6B1B"/>
    <w:rsid w:val="00EC24EA"/>
    <w:rsid w:val="00EC754B"/>
    <w:rsid w:val="00ED46F2"/>
    <w:rsid w:val="00EE24AB"/>
    <w:rsid w:val="00EE28F3"/>
    <w:rsid w:val="00EE620E"/>
    <w:rsid w:val="00EF27B8"/>
    <w:rsid w:val="00EF5110"/>
    <w:rsid w:val="00F144F7"/>
    <w:rsid w:val="00F15882"/>
    <w:rsid w:val="00F16E52"/>
    <w:rsid w:val="00F20BD3"/>
    <w:rsid w:val="00F24562"/>
    <w:rsid w:val="00F32C0D"/>
    <w:rsid w:val="00F373A5"/>
    <w:rsid w:val="00F37F83"/>
    <w:rsid w:val="00F461D6"/>
    <w:rsid w:val="00F47559"/>
    <w:rsid w:val="00F5752F"/>
    <w:rsid w:val="00F57D97"/>
    <w:rsid w:val="00F60BE4"/>
    <w:rsid w:val="00F61B84"/>
    <w:rsid w:val="00F64C7B"/>
    <w:rsid w:val="00F676DD"/>
    <w:rsid w:val="00F75A26"/>
    <w:rsid w:val="00F76FA1"/>
    <w:rsid w:val="00F778EE"/>
    <w:rsid w:val="00F83FAD"/>
    <w:rsid w:val="00F904CD"/>
    <w:rsid w:val="00F91102"/>
    <w:rsid w:val="00F91DC6"/>
    <w:rsid w:val="00F952A0"/>
    <w:rsid w:val="00F960D1"/>
    <w:rsid w:val="00FA0D2F"/>
    <w:rsid w:val="00FA0D56"/>
    <w:rsid w:val="00FA3C7F"/>
    <w:rsid w:val="00FA42AD"/>
    <w:rsid w:val="00FA4DCB"/>
    <w:rsid w:val="00FA64A4"/>
    <w:rsid w:val="00FA69C8"/>
    <w:rsid w:val="00FB27DA"/>
    <w:rsid w:val="00FB52D7"/>
    <w:rsid w:val="00FB74E2"/>
    <w:rsid w:val="00FC2348"/>
    <w:rsid w:val="00FC590E"/>
    <w:rsid w:val="00FD5614"/>
    <w:rsid w:val="00FD7AEF"/>
    <w:rsid w:val="00FE0BE1"/>
    <w:rsid w:val="00FE1DE9"/>
    <w:rsid w:val="00FE39C2"/>
    <w:rsid w:val="00FE64AE"/>
    <w:rsid w:val="00FF4C0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CCAF"/>
  <w15:docId w15:val="{ECC08AB4-CD2F-4C7E-9100-805973D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1B4A7B"/>
    <w:pPr>
      <w:spacing w:before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A7B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4A7B"/>
    <w:rPr>
      <w:sz w:val="16"/>
      <w:szCs w:val="16"/>
    </w:rPr>
  </w:style>
  <w:style w:type="paragraph" w:customStyle="1" w:styleId="R2">
    <w:name w:val="R2"/>
    <w:aliases w:val="(2)"/>
    <w:basedOn w:val="Normal"/>
    <w:rsid w:val="00CC3175"/>
    <w:pPr>
      <w:tabs>
        <w:tab w:val="right" w:pos="794"/>
      </w:tabs>
      <w:spacing w:before="18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R">
    <w:name w:val="HSR"/>
    <w:aliases w:val="Subregulation Heading"/>
    <w:basedOn w:val="Normal"/>
    <w:next w:val="R2"/>
    <w:rsid w:val="00CC3175"/>
    <w:pPr>
      <w:keepNext/>
      <w:spacing w:before="300"/>
      <w:ind w:left="964"/>
    </w:pPr>
    <w:rPr>
      <w:rFonts w:eastAsia="Times New Roman" w:cs="Times New Roman"/>
      <w:i/>
      <w:sz w:val="24"/>
      <w:szCs w:val="24"/>
    </w:rPr>
  </w:style>
  <w:style w:type="paragraph" w:customStyle="1" w:styleId="P1">
    <w:name w:val="P1"/>
    <w:aliases w:val="(a)"/>
    <w:basedOn w:val="Normal"/>
    <w:rsid w:val="00CC3175"/>
    <w:pPr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102"/>
    <w:pPr>
      <w:spacing w:before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102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Definition">
    <w:name w:val="Definition"/>
    <w:aliases w:val="dd"/>
    <w:basedOn w:val="Normal"/>
    <w:rsid w:val="00567DB7"/>
    <w:pPr>
      <w:spacing w:before="180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legsubtitle1">
    <w:name w:val="legsubtitle1"/>
    <w:basedOn w:val="DefaultParagraphFont"/>
    <w:rsid w:val="000F7A89"/>
    <w:rPr>
      <w:b/>
      <w:bCs/>
    </w:rPr>
  </w:style>
  <w:style w:type="paragraph" w:customStyle="1" w:styleId="Default">
    <w:name w:val="Default"/>
    <w:rsid w:val="00EF27B8"/>
    <w:pPr>
      <w:autoSpaceDE w:val="0"/>
      <w:autoSpaceDN w:val="0"/>
      <w:adjustRightInd w:val="0"/>
      <w:spacing w:before="0"/>
    </w:pPr>
    <w:rPr>
      <w:rFonts w:ascii="Lucida Fax" w:hAnsi="Lucida Fax" w:cs="Lucida Fax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D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565B"/>
    <w:pPr>
      <w:spacing w:befor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8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7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0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96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ndardscatalog.u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store.iec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iglob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EA437-7AD8-489B-9C22-8EF579B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Charlotte Marshall</dc:creator>
  <cp:lastModifiedBy>Moss, William</cp:lastModifiedBy>
  <cp:revision>2</cp:revision>
  <cp:lastPrinted>2018-01-25T00:28:00Z</cp:lastPrinted>
  <dcterms:created xsi:type="dcterms:W3CDTF">2018-05-24T03:58:00Z</dcterms:created>
  <dcterms:modified xsi:type="dcterms:W3CDTF">2018-05-24T03:58:00Z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8898559</vt:lpwstr>
  </property>
  <property fmtid="{D5CDD505-2E9C-101B-9397-08002B2CF9AE}" pid="3" name="currfile">
    <vt:lpwstr>\\cdchnas-evs02\home$\towen\cps - sp - stands - explanatory statement - 2017 (D2017-00066475).docx</vt:lpwstr>
  </property>
</Properties>
</file>