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30BBD" w14:textId="77777777" w:rsidR="00925162" w:rsidRPr="00645B27" w:rsidRDefault="00925162" w:rsidP="008701A0">
      <w:pPr>
        <w:spacing w:before="0"/>
        <w:ind w:right="40"/>
        <w:jc w:val="center"/>
        <w:rPr>
          <w:b/>
          <w:szCs w:val="24"/>
          <w:u w:val="single"/>
        </w:rPr>
      </w:pPr>
      <w:r w:rsidRPr="00645B27">
        <w:rPr>
          <w:b/>
          <w:szCs w:val="24"/>
          <w:u w:val="single"/>
        </w:rPr>
        <w:t xml:space="preserve">EXPLANATORY </w:t>
      </w:r>
      <w:r w:rsidR="0074366F" w:rsidRPr="00645B27">
        <w:rPr>
          <w:b/>
          <w:szCs w:val="24"/>
          <w:u w:val="single"/>
        </w:rPr>
        <w:t>STATEMENT</w:t>
      </w:r>
    </w:p>
    <w:p w14:paraId="40A635FD" w14:textId="77777777" w:rsidR="0043632A" w:rsidRPr="00645B27" w:rsidRDefault="0043632A" w:rsidP="008701A0">
      <w:pPr>
        <w:spacing w:before="0"/>
        <w:ind w:right="40"/>
        <w:jc w:val="center"/>
        <w:rPr>
          <w:b/>
          <w:szCs w:val="24"/>
          <w:u w:val="single"/>
        </w:rPr>
      </w:pPr>
      <w:bookmarkStart w:id="0" w:name="_GoBack"/>
      <w:bookmarkEnd w:id="0"/>
    </w:p>
    <w:p w14:paraId="43720D11" w14:textId="77777777" w:rsidR="00BF6037" w:rsidRPr="00645B27" w:rsidRDefault="00BF6037" w:rsidP="008701A0">
      <w:pPr>
        <w:spacing w:before="0"/>
        <w:ind w:right="40"/>
        <w:jc w:val="center"/>
        <w:rPr>
          <w:szCs w:val="24"/>
        </w:rPr>
      </w:pPr>
      <w:r w:rsidRPr="00645B27">
        <w:rPr>
          <w:szCs w:val="24"/>
        </w:rPr>
        <w:t xml:space="preserve">Issued by the Minister for </w:t>
      </w:r>
      <w:r w:rsidR="00C53AC7">
        <w:rPr>
          <w:szCs w:val="24"/>
        </w:rPr>
        <w:t xml:space="preserve">Home Affairs and Minister for </w:t>
      </w:r>
      <w:r w:rsidRPr="00645B27">
        <w:rPr>
          <w:szCs w:val="24"/>
        </w:rPr>
        <w:t>Immigration and Border Protection</w:t>
      </w:r>
    </w:p>
    <w:p w14:paraId="096C1D12" w14:textId="77777777" w:rsidR="00BF6037" w:rsidRPr="00645B27" w:rsidRDefault="00BF6037" w:rsidP="008701A0">
      <w:pPr>
        <w:spacing w:before="0"/>
        <w:ind w:right="40"/>
        <w:jc w:val="center"/>
        <w:rPr>
          <w:szCs w:val="24"/>
        </w:rPr>
      </w:pPr>
    </w:p>
    <w:p w14:paraId="13A3F17E" w14:textId="77777777" w:rsidR="00D0525E" w:rsidRPr="00645B27" w:rsidRDefault="00BF6037" w:rsidP="008701A0">
      <w:pPr>
        <w:spacing w:before="0"/>
        <w:ind w:right="40"/>
        <w:jc w:val="center"/>
        <w:rPr>
          <w:i/>
          <w:szCs w:val="24"/>
        </w:rPr>
      </w:pPr>
      <w:r w:rsidRPr="00645B27">
        <w:rPr>
          <w:i/>
          <w:szCs w:val="24"/>
        </w:rPr>
        <w:t>Migration Act 1958</w:t>
      </w:r>
    </w:p>
    <w:p w14:paraId="137419DC" w14:textId="77777777" w:rsidR="0060602C" w:rsidRPr="00645B27" w:rsidRDefault="0060602C" w:rsidP="008701A0">
      <w:pPr>
        <w:spacing w:before="0"/>
        <w:ind w:right="40"/>
        <w:jc w:val="center"/>
        <w:rPr>
          <w:i/>
          <w:szCs w:val="24"/>
        </w:rPr>
      </w:pPr>
    </w:p>
    <w:p w14:paraId="6810D167" w14:textId="77777777" w:rsidR="003C4F46" w:rsidRPr="00B65BF6" w:rsidRDefault="00FF60E7" w:rsidP="00FF60E7">
      <w:pPr>
        <w:spacing w:before="0"/>
        <w:ind w:left="1440" w:right="91"/>
        <w:rPr>
          <w:i/>
        </w:rPr>
      </w:pPr>
      <w:r>
        <w:rPr>
          <w:i/>
        </w:rPr>
        <w:t>Migration Amendment (Investor Retirement Visa) Regulations 2018</w:t>
      </w:r>
    </w:p>
    <w:p w14:paraId="683E5D5E" w14:textId="77777777" w:rsidR="001C42BB" w:rsidRPr="00DA166B" w:rsidRDefault="001C42BB" w:rsidP="008701A0">
      <w:pPr>
        <w:spacing w:before="0"/>
        <w:ind w:right="40"/>
        <w:jc w:val="center"/>
        <w:rPr>
          <w:i/>
          <w:szCs w:val="24"/>
        </w:rPr>
      </w:pPr>
    </w:p>
    <w:p w14:paraId="3B90D024" w14:textId="77777777" w:rsidR="00186DA1" w:rsidRPr="00186DA1" w:rsidRDefault="00DA166B" w:rsidP="008701A0">
      <w:pPr>
        <w:keepNext/>
        <w:keepLines/>
        <w:spacing w:before="0"/>
        <w:ind w:right="91"/>
        <w:rPr>
          <w:szCs w:val="24"/>
        </w:rPr>
      </w:pPr>
      <w:r>
        <w:rPr>
          <w:szCs w:val="24"/>
        </w:rPr>
        <w:t>T</w:t>
      </w:r>
      <w:r w:rsidR="00186DA1" w:rsidRPr="00186DA1">
        <w:rPr>
          <w:szCs w:val="24"/>
        </w:rPr>
        <w:t xml:space="preserve">he </w:t>
      </w:r>
      <w:r w:rsidR="00186DA1" w:rsidRPr="00186DA1">
        <w:rPr>
          <w:i/>
          <w:szCs w:val="24"/>
        </w:rPr>
        <w:t>Migration Act 1958</w:t>
      </w:r>
      <w:r w:rsidR="00186DA1" w:rsidRPr="00186DA1">
        <w:rPr>
          <w:szCs w:val="24"/>
        </w:rPr>
        <w:t xml:space="preserve"> (the Migration Act) is an Act relating to the entry into, and presence in, Australia of aliens, and the departure or deportation from Australia of aliens and certain other persons.</w:t>
      </w:r>
    </w:p>
    <w:p w14:paraId="3D8DCB9F" w14:textId="77777777" w:rsidR="00186DA1" w:rsidRPr="00186DA1" w:rsidRDefault="00186DA1" w:rsidP="008701A0">
      <w:pPr>
        <w:keepNext/>
        <w:keepLines/>
        <w:spacing w:before="0"/>
        <w:ind w:right="91"/>
        <w:rPr>
          <w:szCs w:val="24"/>
        </w:rPr>
      </w:pPr>
    </w:p>
    <w:p w14:paraId="03C964BD" w14:textId="77777777" w:rsidR="00186DA1" w:rsidRPr="00186DA1" w:rsidRDefault="00186DA1" w:rsidP="008701A0">
      <w:pPr>
        <w:keepNext/>
        <w:keepLines/>
        <w:spacing w:before="0"/>
        <w:ind w:right="91"/>
        <w:rPr>
          <w:szCs w:val="24"/>
        </w:rPr>
      </w:pPr>
      <w:r w:rsidRPr="00186DA1">
        <w:rPr>
          <w:szCs w:val="24"/>
        </w:rPr>
        <w:t xml:space="preserve">Subsection 504(1) of the Migration Act in summary provides that the Governor-General may make regulations prescribing matters required or permitted by the Migration Act to be prescribed, or which are necessary or convenient to be prescribed for carrying out or giving effect to the Migration Act. </w:t>
      </w:r>
    </w:p>
    <w:p w14:paraId="602A4F32" w14:textId="77777777" w:rsidR="00186DA1" w:rsidRPr="00186DA1" w:rsidRDefault="00186DA1" w:rsidP="008701A0">
      <w:pPr>
        <w:keepNext/>
        <w:keepLines/>
        <w:spacing w:before="0"/>
        <w:ind w:right="91"/>
        <w:rPr>
          <w:szCs w:val="24"/>
        </w:rPr>
      </w:pPr>
    </w:p>
    <w:p w14:paraId="522D1544" w14:textId="77777777" w:rsidR="003C4F46" w:rsidRPr="00186DA1" w:rsidRDefault="003C4F46" w:rsidP="008701A0">
      <w:pPr>
        <w:spacing w:before="0"/>
        <w:rPr>
          <w:szCs w:val="24"/>
        </w:rPr>
      </w:pPr>
      <w:r>
        <w:rPr>
          <w:szCs w:val="24"/>
        </w:rPr>
        <w:t xml:space="preserve">In </w:t>
      </w:r>
      <w:r w:rsidRPr="000455E0">
        <w:rPr>
          <w:szCs w:val="24"/>
        </w:rPr>
        <w:t xml:space="preserve">addition, subsection 46(3) of the </w:t>
      </w:r>
      <w:r w:rsidR="008B4BD3">
        <w:rPr>
          <w:szCs w:val="24"/>
        </w:rPr>
        <w:t xml:space="preserve">Migration </w:t>
      </w:r>
      <w:r w:rsidRPr="000455E0">
        <w:rPr>
          <w:szCs w:val="24"/>
        </w:rPr>
        <w:t xml:space="preserve">Act provides that the </w:t>
      </w:r>
      <w:r w:rsidR="008B4BD3">
        <w:rPr>
          <w:szCs w:val="24"/>
        </w:rPr>
        <w:t>r</w:t>
      </w:r>
      <w:r w:rsidRPr="000455E0">
        <w:rPr>
          <w:szCs w:val="24"/>
        </w:rPr>
        <w:t>egulations may prescribe criteria that must be satisfied for an application for a visa of a specified class to be a valid application.</w:t>
      </w:r>
    </w:p>
    <w:p w14:paraId="2695C552" w14:textId="77777777" w:rsidR="00186DA1" w:rsidRPr="00186DA1" w:rsidRDefault="00186DA1" w:rsidP="008701A0">
      <w:pPr>
        <w:keepNext/>
        <w:keepLines/>
        <w:spacing w:before="0"/>
        <w:ind w:right="91"/>
        <w:rPr>
          <w:szCs w:val="24"/>
          <w:lang w:val="en"/>
        </w:rPr>
      </w:pPr>
    </w:p>
    <w:p w14:paraId="5ABF98AE" w14:textId="77777777" w:rsidR="00F06A3E" w:rsidRPr="004618E8" w:rsidRDefault="003C4F46" w:rsidP="004618E8">
      <w:pPr>
        <w:spacing w:before="0"/>
        <w:ind w:right="91"/>
        <w:rPr>
          <w:i/>
        </w:rPr>
      </w:pPr>
      <w:r w:rsidRPr="00186DA1">
        <w:rPr>
          <w:szCs w:val="24"/>
          <w:lang w:val="en"/>
        </w:rPr>
        <w:t xml:space="preserve">The </w:t>
      </w:r>
      <w:r w:rsidR="00FF60E7">
        <w:rPr>
          <w:i/>
        </w:rPr>
        <w:t>Migration Amendment (Investor Retirement Visa) Regulations 2018</w:t>
      </w:r>
      <w:r w:rsidR="00FF60E7" w:rsidRPr="00186DA1">
        <w:rPr>
          <w:szCs w:val="24"/>
        </w:rPr>
        <w:t xml:space="preserve"> </w:t>
      </w:r>
      <w:r w:rsidRPr="00186DA1">
        <w:rPr>
          <w:szCs w:val="24"/>
        </w:rPr>
        <w:t xml:space="preserve">(the Regulations) </w:t>
      </w:r>
      <w:r>
        <w:rPr>
          <w:szCs w:val="24"/>
        </w:rPr>
        <w:t xml:space="preserve">amend </w:t>
      </w:r>
      <w:r w:rsidRPr="00F53E30">
        <w:rPr>
          <w:szCs w:val="24"/>
        </w:rPr>
        <w:t xml:space="preserve">the </w:t>
      </w:r>
      <w:r w:rsidRPr="00F53E30">
        <w:rPr>
          <w:i/>
          <w:szCs w:val="24"/>
        </w:rPr>
        <w:t>Migration Regulations 1994</w:t>
      </w:r>
      <w:r w:rsidRPr="00F53E30">
        <w:rPr>
          <w:szCs w:val="24"/>
        </w:rPr>
        <w:t xml:space="preserve"> </w:t>
      </w:r>
      <w:r w:rsidRPr="006A3720">
        <w:t xml:space="preserve">to </w:t>
      </w:r>
      <w:r>
        <w:t>provide that applications</w:t>
      </w:r>
      <w:r w:rsidR="00C53AC7">
        <w:t xml:space="preserve"> for an Investor Retirement (Class UY)</w:t>
      </w:r>
      <w:r w:rsidR="00CA47F6">
        <w:t xml:space="preserve"> </w:t>
      </w:r>
      <w:r w:rsidR="00C53AC7">
        <w:t>visa</w:t>
      </w:r>
      <w:r>
        <w:t xml:space="preserve"> made on or after 1</w:t>
      </w:r>
      <w:r w:rsidR="008E2C7B">
        <w:t> </w:t>
      </w:r>
      <w:r>
        <w:t>June</w:t>
      </w:r>
      <w:r w:rsidR="008E2C7B">
        <w:t> </w:t>
      </w:r>
      <w:r>
        <w:t xml:space="preserve">2018 are only valid if the applicant is the holder of </w:t>
      </w:r>
      <w:r w:rsidR="00C53AC7">
        <w:t>a Class UY</w:t>
      </w:r>
      <w:r>
        <w:t xml:space="preserve"> visa, or </w:t>
      </w:r>
      <w:r w:rsidR="00CA47F6">
        <w:t xml:space="preserve">if </w:t>
      </w:r>
      <w:r>
        <w:t>the last substantive visa held</w:t>
      </w:r>
      <w:r w:rsidR="004310B8">
        <w:t xml:space="preserve"> by the applicant</w:t>
      </w:r>
      <w:r>
        <w:t xml:space="preserve"> since </w:t>
      </w:r>
      <w:r w:rsidR="00304B5B">
        <w:t xml:space="preserve">last </w:t>
      </w:r>
      <w:r>
        <w:t xml:space="preserve">entering Australia was a Class UY visa. </w:t>
      </w:r>
    </w:p>
    <w:p w14:paraId="03512667" w14:textId="77777777" w:rsidR="00F06A3E" w:rsidRDefault="00F06A3E" w:rsidP="008701A0">
      <w:pPr>
        <w:keepNext/>
        <w:keepLines/>
        <w:spacing w:before="0"/>
        <w:ind w:right="91"/>
      </w:pPr>
    </w:p>
    <w:p w14:paraId="5B3AF311" w14:textId="77777777" w:rsidR="003C4F46" w:rsidRDefault="00573916" w:rsidP="008701A0">
      <w:pPr>
        <w:keepNext/>
        <w:keepLines/>
        <w:spacing w:before="0"/>
        <w:ind w:right="91"/>
      </w:pPr>
      <w:r>
        <w:t>The closure of the Class UY visa</w:t>
      </w:r>
      <w:r w:rsidR="005F682B">
        <w:t>,</w:t>
      </w:r>
      <w:r>
        <w:t xml:space="preserve"> </w:t>
      </w:r>
      <w:r w:rsidR="005F682B">
        <w:t xml:space="preserve">which consists of one visa subclass, the Subclass 405 (Investor Retirement) visa, </w:t>
      </w:r>
      <w:r w:rsidR="00304B5B">
        <w:t xml:space="preserve">was announced </w:t>
      </w:r>
      <w:r>
        <w:t>in</w:t>
      </w:r>
      <w:r w:rsidR="00304B5B">
        <w:t xml:space="preserve"> the 2018-19 Federal Budget, as part of the</w:t>
      </w:r>
      <w:r w:rsidR="00712954">
        <w:t xml:space="preserve"> establishment of </w:t>
      </w:r>
      <w:r w:rsidR="00304B5B">
        <w:t xml:space="preserve">a pathway to permanent residence for </w:t>
      </w:r>
      <w:r w:rsidR="004A2813">
        <w:t>current holders of</w:t>
      </w:r>
      <w:r w:rsidR="001A0BCA">
        <w:t xml:space="preserve"> the </w:t>
      </w:r>
      <w:hyperlink r:id="rId8" w:tooltip="Additional information" w:history="1">
        <w:r w:rsidR="001A0BCA" w:rsidRPr="001A0BCA">
          <w:t>Retirement (Temporary)(Class TQ)</w:t>
        </w:r>
      </w:hyperlink>
      <w:r w:rsidR="001A0BCA">
        <w:t xml:space="preserve"> visas and the Class UY visa</w:t>
      </w:r>
      <w:r w:rsidR="00304B5B">
        <w:t>.</w:t>
      </w:r>
      <w:r w:rsidR="00CA47F6">
        <w:t xml:space="preserve"> </w:t>
      </w:r>
      <w:r w:rsidR="006F59D2">
        <w:t xml:space="preserve"> </w:t>
      </w:r>
      <w:r>
        <w:t>The</w:t>
      </w:r>
      <w:r w:rsidR="00F06A3E">
        <w:t xml:space="preserve"> </w:t>
      </w:r>
      <w:r w:rsidR="001A0BCA">
        <w:t>Class TQ</w:t>
      </w:r>
      <w:r w:rsidR="00F06A3E">
        <w:t xml:space="preserve"> visa</w:t>
      </w:r>
      <w:r w:rsidR="005F682B">
        <w:t>, which consists of one visa subclass, the Subclass 410 (Retirement) visa</w:t>
      </w:r>
      <w:r w:rsidR="00211FF6">
        <w:t>,</w:t>
      </w:r>
      <w:r w:rsidR="00F06A3E">
        <w:t xml:space="preserve"> is already closed to new applicants.</w:t>
      </w:r>
      <w:r w:rsidR="00CA47F6">
        <w:t xml:space="preserve"> </w:t>
      </w:r>
      <w:r w:rsidR="006F59D2">
        <w:t xml:space="preserve"> </w:t>
      </w:r>
      <w:r w:rsidR="00CA47F6">
        <w:t>The reason for the closure</w:t>
      </w:r>
      <w:r w:rsidR="0061401C">
        <w:t xml:space="preserve"> of the Class UY visa</w:t>
      </w:r>
      <w:r w:rsidR="00CA47F6">
        <w:t xml:space="preserve"> is that the visa no longer align</w:t>
      </w:r>
      <w:r w:rsidR="0061401C">
        <w:t>s</w:t>
      </w:r>
      <w:r w:rsidR="00CA47F6">
        <w:t xml:space="preserve"> with Australia’s economic priorities.</w:t>
      </w:r>
    </w:p>
    <w:p w14:paraId="7F8BAF1D" w14:textId="77777777" w:rsidR="009B10E2" w:rsidRDefault="009B10E2" w:rsidP="008701A0">
      <w:pPr>
        <w:keepNext/>
        <w:keepLines/>
        <w:spacing w:before="0"/>
        <w:ind w:right="91"/>
      </w:pPr>
    </w:p>
    <w:p w14:paraId="2CC9D782" w14:textId="77777777" w:rsidR="00B37BDF" w:rsidRDefault="00B37BDF" w:rsidP="008701A0">
      <w:pPr>
        <w:spacing w:before="0"/>
        <w:ind w:right="42"/>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xml:space="preserve">. </w:t>
      </w:r>
      <w:r w:rsidR="004E18C4">
        <w:rPr>
          <w:szCs w:val="24"/>
        </w:rPr>
        <w:t xml:space="preserve"> </w:t>
      </w:r>
      <w:r w:rsidRPr="00982FFE">
        <w:rPr>
          <w:szCs w:val="24"/>
        </w:rPr>
        <w:t>The overall assessment is that the Regulation</w:t>
      </w:r>
      <w:r w:rsidR="008D4431">
        <w:rPr>
          <w:szCs w:val="24"/>
        </w:rPr>
        <w:t>s are</w:t>
      </w:r>
      <w:r w:rsidRPr="00982FFE">
        <w:rPr>
          <w:szCs w:val="24"/>
        </w:rPr>
        <w:t xml:space="preserve"> compatible with human rig</w:t>
      </w:r>
      <w:r w:rsidR="00EA2117" w:rsidRPr="00982FFE">
        <w:rPr>
          <w:szCs w:val="24"/>
        </w:rPr>
        <w:t xml:space="preserve">hts. </w:t>
      </w:r>
      <w:r w:rsidR="006F59D2">
        <w:rPr>
          <w:szCs w:val="24"/>
        </w:rPr>
        <w:t xml:space="preserve"> </w:t>
      </w:r>
      <w:r w:rsidR="00EA2117" w:rsidRPr="00982FFE">
        <w:rPr>
          <w:szCs w:val="24"/>
        </w:rPr>
        <w:t>A copy of the Statement is </w:t>
      </w:r>
      <w:r w:rsidRPr="00982FFE">
        <w:rPr>
          <w:szCs w:val="24"/>
        </w:rPr>
        <w:t xml:space="preserve">at </w:t>
      </w:r>
      <w:r w:rsidRPr="00982FFE">
        <w:rPr>
          <w:szCs w:val="24"/>
          <w:u w:val="single"/>
        </w:rPr>
        <w:t xml:space="preserve">Attachment </w:t>
      </w:r>
      <w:r w:rsidR="003C4F46">
        <w:rPr>
          <w:szCs w:val="24"/>
          <w:u w:val="single"/>
        </w:rPr>
        <w:t>A</w:t>
      </w:r>
      <w:r w:rsidRPr="00982FFE">
        <w:rPr>
          <w:szCs w:val="24"/>
        </w:rPr>
        <w:t>.</w:t>
      </w:r>
    </w:p>
    <w:p w14:paraId="565D6653" w14:textId="77777777" w:rsidR="00043DE4" w:rsidRDefault="00043DE4" w:rsidP="008701A0">
      <w:pPr>
        <w:spacing w:before="0"/>
        <w:ind w:right="42"/>
        <w:rPr>
          <w:szCs w:val="24"/>
        </w:rPr>
      </w:pPr>
    </w:p>
    <w:p w14:paraId="582B5EA9" w14:textId="77777777" w:rsidR="00043DE4" w:rsidRPr="00043DE4" w:rsidRDefault="00043DE4" w:rsidP="008701A0">
      <w:pPr>
        <w:spacing w:before="0"/>
        <w:ind w:right="42"/>
        <w:rPr>
          <w:szCs w:val="24"/>
        </w:rPr>
      </w:pPr>
      <w:r>
        <w:rPr>
          <w:szCs w:val="24"/>
        </w:rPr>
        <w:t>Details of the Regulation</w:t>
      </w:r>
      <w:r w:rsidR="008D4431">
        <w:rPr>
          <w:szCs w:val="24"/>
        </w:rPr>
        <w:t>s</w:t>
      </w:r>
      <w:r>
        <w:rPr>
          <w:szCs w:val="24"/>
        </w:rPr>
        <w:t xml:space="preserve"> are set out in </w:t>
      </w:r>
      <w:r>
        <w:rPr>
          <w:szCs w:val="24"/>
          <w:u w:val="single"/>
        </w:rPr>
        <w:t xml:space="preserve">Attachment </w:t>
      </w:r>
      <w:r w:rsidR="003C4F46">
        <w:rPr>
          <w:szCs w:val="24"/>
          <w:u w:val="single"/>
        </w:rPr>
        <w:t>B</w:t>
      </w:r>
      <w:r>
        <w:rPr>
          <w:szCs w:val="24"/>
        </w:rPr>
        <w:t>.</w:t>
      </w:r>
    </w:p>
    <w:p w14:paraId="12DB5170" w14:textId="77777777" w:rsidR="00043DE4" w:rsidRDefault="00043DE4" w:rsidP="008701A0">
      <w:pPr>
        <w:spacing w:before="0"/>
        <w:ind w:right="42"/>
        <w:rPr>
          <w:color w:val="FF0000"/>
          <w:szCs w:val="24"/>
        </w:rPr>
      </w:pPr>
    </w:p>
    <w:p w14:paraId="02CFF994" w14:textId="77777777" w:rsidR="001C42BB" w:rsidRDefault="001C42BB" w:rsidP="008701A0">
      <w:pPr>
        <w:spacing w:before="0"/>
        <w:ind w:right="42"/>
        <w:rPr>
          <w:szCs w:val="24"/>
        </w:rPr>
      </w:pPr>
      <w:r w:rsidRPr="00FA1E24">
        <w:rPr>
          <w:szCs w:val="24"/>
        </w:rPr>
        <w:t>The Office of Best Practice Regulation (the OBPR) has been consulted in relation to the amendments made by the Regulation</w:t>
      </w:r>
      <w:r>
        <w:rPr>
          <w:szCs w:val="24"/>
        </w:rPr>
        <w:t xml:space="preserve">s. </w:t>
      </w:r>
      <w:r w:rsidR="001D4186">
        <w:rPr>
          <w:szCs w:val="24"/>
        </w:rPr>
        <w:t xml:space="preserve"> </w:t>
      </w:r>
      <w:r>
        <w:rPr>
          <w:szCs w:val="24"/>
        </w:rPr>
        <w:t>No</w:t>
      </w:r>
      <w:r w:rsidRPr="00FA1E24">
        <w:rPr>
          <w:szCs w:val="24"/>
        </w:rPr>
        <w:t xml:space="preserve"> Regulation Impact Statement is required. </w:t>
      </w:r>
      <w:r w:rsidR="003F2D10">
        <w:rPr>
          <w:szCs w:val="24"/>
        </w:rPr>
        <w:t xml:space="preserve"> </w:t>
      </w:r>
      <w:r>
        <w:rPr>
          <w:szCs w:val="24"/>
        </w:rPr>
        <w:t>The OBPR consultation reference is 23745</w:t>
      </w:r>
      <w:r w:rsidRPr="00FA1E24">
        <w:rPr>
          <w:szCs w:val="24"/>
        </w:rPr>
        <w:t>.</w:t>
      </w:r>
    </w:p>
    <w:p w14:paraId="7FA6459B" w14:textId="77777777" w:rsidR="001C42BB" w:rsidRDefault="001C42BB" w:rsidP="008701A0">
      <w:pPr>
        <w:tabs>
          <w:tab w:val="left" w:pos="6521"/>
        </w:tabs>
        <w:spacing w:before="0"/>
        <w:ind w:right="42"/>
        <w:rPr>
          <w:szCs w:val="24"/>
        </w:rPr>
      </w:pPr>
    </w:p>
    <w:p w14:paraId="28C936E9" w14:textId="77777777" w:rsidR="001C42BB" w:rsidRDefault="001004B0" w:rsidP="008701A0">
      <w:pPr>
        <w:tabs>
          <w:tab w:val="left" w:pos="6521"/>
        </w:tabs>
        <w:spacing w:before="0"/>
        <w:ind w:right="91"/>
      </w:pPr>
      <w:r>
        <w:rPr>
          <w:rFonts w:cstheme="minorHAnsi"/>
          <w:szCs w:val="24"/>
        </w:rPr>
        <w:t xml:space="preserve">Consultation has been undertaken in relation to the Class UY visa as part of a review of Australia’s business, investment and talent visas.  </w:t>
      </w:r>
      <w:r w:rsidR="001C42BB">
        <w:rPr>
          <w:rFonts w:cstheme="minorHAnsi"/>
          <w:szCs w:val="24"/>
        </w:rPr>
        <w:t xml:space="preserve">No further consultation was undertaken because the proposed amendments relate to a budget measure.  This accords with </w:t>
      </w:r>
      <w:r w:rsidR="001C42BB">
        <w:rPr>
          <w:rFonts w:cstheme="minorHAnsi"/>
          <w:szCs w:val="24"/>
        </w:rPr>
        <w:lastRenderedPageBreak/>
        <w:t>subsection</w:t>
      </w:r>
      <w:r w:rsidR="00F61DCF">
        <w:rPr>
          <w:rFonts w:cstheme="minorHAnsi"/>
          <w:szCs w:val="24"/>
        </w:rPr>
        <w:t> </w:t>
      </w:r>
      <w:r w:rsidR="001C42BB">
        <w:rPr>
          <w:rFonts w:cstheme="minorHAnsi"/>
          <w:szCs w:val="24"/>
        </w:rPr>
        <w:t xml:space="preserve">17(1) of the </w:t>
      </w:r>
      <w:r w:rsidR="001C42BB">
        <w:rPr>
          <w:rFonts w:cstheme="minorHAnsi"/>
          <w:i/>
          <w:szCs w:val="24"/>
        </w:rPr>
        <w:t xml:space="preserve">Legislation Act 2003 </w:t>
      </w:r>
      <w:r w:rsidR="001C42BB">
        <w:rPr>
          <w:rFonts w:cstheme="minorHAnsi"/>
          <w:szCs w:val="24"/>
        </w:rPr>
        <w:t xml:space="preserve">(the Legislation Act) which requires consultations to be appropriate and reasonably practicable.  </w:t>
      </w:r>
    </w:p>
    <w:p w14:paraId="4A4C4CE7" w14:textId="77777777" w:rsidR="001C42BB" w:rsidRDefault="001C42BB" w:rsidP="008701A0">
      <w:pPr>
        <w:tabs>
          <w:tab w:val="left" w:pos="6521"/>
        </w:tabs>
        <w:spacing w:before="0"/>
        <w:ind w:right="91"/>
      </w:pPr>
    </w:p>
    <w:p w14:paraId="6C2F25F6" w14:textId="77777777" w:rsidR="006C356F" w:rsidRPr="00B6180D" w:rsidRDefault="006C356F" w:rsidP="008701A0">
      <w:pPr>
        <w:tabs>
          <w:tab w:val="left" w:pos="6521"/>
        </w:tabs>
        <w:spacing w:before="0"/>
        <w:ind w:right="42"/>
        <w:rPr>
          <w:szCs w:val="24"/>
        </w:rPr>
      </w:pPr>
      <w:r w:rsidRPr="00B6180D">
        <w:rPr>
          <w:szCs w:val="24"/>
        </w:rPr>
        <w:t>The Migration Act</w:t>
      </w:r>
      <w:r>
        <w:rPr>
          <w:szCs w:val="24"/>
        </w:rPr>
        <w:t xml:space="preserve"> specifies</w:t>
      </w:r>
      <w:r w:rsidRPr="00B6180D">
        <w:rPr>
          <w:szCs w:val="24"/>
        </w:rPr>
        <w:t xml:space="preserve"> no conditions that need to be satisfied before the power to make the Regulation</w:t>
      </w:r>
      <w:r w:rsidR="008D4431">
        <w:rPr>
          <w:szCs w:val="24"/>
        </w:rPr>
        <w:t>s</w:t>
      </w:r>
      <w:r w:rsidRPr="00B6180D">
        <w:rPr>
          <w:szCs w:val="24"/>
        </w:rPr>
        <w:t xml:space="preserve"> may be exercised. </w:t>
      </w:r>
    </w:p>
    <w:p w14:paraId="67D04BB8" w14:textId="77777777" w:rsidR="002A4DB4" w:rsidRDefault="002A4DB4" w:rsidP="008701A0">
      <w:pPr>
        <w:tabs>
          <w:tab w:val="left" w:pos="6521"/>
        </w:tabs>
        <w:spacing w:before="0"/>
        <w:ind w:right="-2"/>
        <w:rPr>
          <w:szCs w:val="24"/>
        </w:rPr>
      </w:pPr>
    </w:p>
    <w:p w14:paraId="3CF5CDB3" w14:textId="77777777" w:rsidR="006C356F" w:rsidRPr="0061423F" w:rsidRDefault="006C356F" w:rsidP="008701A0">
      <w:pPr>
        <w:tabs>
          <w:tab w:val="left" w:pos="6521"/>
        </w:tabs>
        <w:spacing w:before="0"/>
        <w:ind w:right="-2"/>
        <w:rPr>
          <w:szCs w:val="24"/>
        </w:rPr>
      </w:pPr>
      <w:r w:rsidRPr="005D7CFC">
        <w:rPr>
          <w:szCs w:val="24"/>
        </w:rPr>
        <w:t xml:space="preserve">The </w:t>
      </w:r>
      <w:r>
        <w:rPr>
          <w:szCs w:val="24"/>
        </w:rPr>
        <w:t>Regulation</w:t>
      </w:r>
      <w:r w:rsidR="008D4431">
        <w:rPr>
          <w:szCs w:val="24"/>
        </w:rPr>
        <w:t>s</w:t>
      </w:r>
      <w:r>
        <w:rPr>
          <w:szCs w:val="24"/>
        </w:rPr>
        <w:t xml:space="preserve"> </w:t>
      </w:r>
      <w:r w:rsidR="00D768EE">
        <w:rPr>
          <w:szCs w:val="24"/>
        </w:rPr>
        <w:t>are</w:t>
      </w:r>
      <w:r w:rsidRPr="0061423F">
        <w:rPr>
          <w:szCs w:val="24"/>
        </w:rPr>
        <w:t xml:space="preserve"> a legislative instrument for the purposes of the </w:t>
      </w:r>
      <w:r w:rsidRPr="00C93500">
        <w:rPr>
          <w:szCs w:val="24"/>
        </w:rPr>
        <w:t>Legislat</w:t>
      </w:r>
      <w:r w:rsidR="00572D83" w:rsidRPr="00C93500">
        <w:rPr>
          <w:szCs w:val="24"/>
        </w:rPr>
        <w:t>ion Act</w:t>
      </w:r>
      <w:r w:rsidRPr="0061423F">
        <w:rPr>
          <w:szCs w:val="24"/>
        </w:rPr>
        <w:t>.</w:t>
      </w:r>
      <w:r w:rsidR="004A3528">
        <w:rPr>
          <w:szCs w:val="24"/>
        </w:rPr>
        <w:t xml:space="preserve">  </w:t>
      </w:r>
    </w:p>
    <w:p w14:paraId="3CE12F88" w14:textId="77777777" w:rsidR="006C356F" w:rsidRDefault="006C356F" w:rsidP="008701A0">
      <w:pPr>
        <w:tabs>
          <w:tab w:val="left" w:pos="6521"/>
        </w:tabs>
        <w:spacing w:before="0"/>
        <w:ind w:right="521"/>
        <w:rPr>
          <w:szCs w:val="24"/>
        </w:rPr>
      </w:pPr>
    </w:p>
    <w:p w14:paraId="25E956A4" w14:textId="77777777" w:rsidR="006C356F" w:rsidRDefault="004426ED" w:rsidP="008701A0">
      <w:pPr>
        <w:tabs>
          <w:tab w:val="left" w:pos="6521"/>
        </w:tabs>
        <w:spacing w:before="0"/>
        <w:ind w:right="521"/>
        <w:rPr>
          <w:color w:val="FF0000"/>
          <w:szCs w:val="24"/>
        </w:rPr>
      </w:pPr>
      <w:r>
        <w:rPr>
          <w:szCs w:val="24"/>
        </w:rPr>
        <w:t>The</w:t>
      </w:r>
      <w:r w:rsidR="00986CC9">
        <w:rPr>
          <w:szCs w:val="24"/>
        </w:rPr>
        <w:t xml:space="preserve"> Regulation</w:t>
      </w:r>
      <w:r w:rsidR="008D4431">
        <w:rPr>
          <w:szCs w:val="24"/>
        </w:rPr>
        <w:t>s commence</w:t>
      </w:r>
      <w:r w:rsidR="00986CC9">
        <w:rPr>
          <w:szCs w:val="24"/>
        </w:rPr>
        <w:t xml:space="preserve"> on </w:t>
      </w:r>
      <w:r w:rsidR="001C42BB">
        <w:rPr>
          <w:szCs w:val="24"/>
        </w:rPr>
        <w:t>1 June</w:t>
      </w:r>
      <w:r w:rsidR="0060376E">
        <w:rPr>
          <w:szCs w:val="24"/>
        </w:rPr>
        <w:t xml:space="preserve"> 2018.  </w:t>
      </w:r>
    </w:p>
    <w:p w14:paraId="03AD8A14" w14:textId="77777777" w:rsidR="006C356F" w:rsidRPr="00645B27" w:rsidRDefault="006C356F" w:rsidP="008701A0">
      <w:pPr>
        <w:spacing w:before="0"/>
        <w:ind w:right="42"/>
        <w:jc w:val="right"/>
        <w:rPr>
          <w:szCs w:val="24"/>
        </w:rPr>
        <w:sectPr w:rsidR="006C356F" w:rsidRPr="00645B27" w:rsidSect="00B5488E">
          <w:headerReference w:type="default" r:id="rId9"/>
          <w:headerReference w:type="first" r:id="rId10"/>
          <w:pgSz w:w="11906" w:h="16838"/>
          <w:pgMar w:top="1440" w:right="1418" w:bottom="1440" w:left="1418" w:header="709" w:footer="709" w:gutter="0"/>
          <w:pgNumType w:start="1"/>
          <w:cols w:space="708"/>
          <w:titlePg/>
          <w:docGrid w:linePitch="360"/>
        </w:sectPr>
      </w:pPr>
    </w:p>
    <w:p w14:paraId="3396D318" w14:textId="77777777" w:rsidR="00D6132D" w:rsidRPr="00645B27" w:rsidRDefault="00D6132D" w:rsidP="008701A0">
      <w:pPr>
        <w:tabs>
          <w:tab w:val="left" w:pos="345"/>
        </w:tabs>
        <w:spacing w:before="0"/>
        <w:ind w:left="360" w:right="43"/>
        <w:rPr>
          <w:szCs w:val="24"/>
        </w:rPr>
      </w:pPr>
    </w:p>
    <w:p w14:paraId="3C2D118A" w14:textId="77777777" w:rsidR="00F536DE" w:rsidRPr="00645B27" w:rsidRDefault="003C4F46" w:rsidP="008701A0">
      <w:pPr>
        <w:tabs>
          <w:tab w:val="left" w:pos="345"/>
        </w:tabs>
        <w:spacing w:before="0"/>
        <w:ind w:right="43"/>
        <w:contextualSpacing/>
        <w:jc w:val="right"/>
        <w:rPr>
          <w:b/>
          <w:szCs w:val="24"/>
          <w:u w:val="single"/>
        </w:rPr>
      </w:pPr>
      <w:r>
        <w:rPr>
          <w:b/>
          <w:szCs w:val="24"/>
          <w:u w:val="single"/>
        </w:rPr>
        <w:t>ATTACHMENT A</w:t>
      </w:r>
    </w:p>
    <w:p w14:paraId="2806C276" w14:textId="77777777" w:rsidR="00F536DE" w:rsidRPr="00645B27" w:rsidRDefault="00F536DE" w:rsidP="008701A0">
      <w:pPr>
        <w:tabs>
          <w:tab w:val="left" w:pos="345"/>
        </w:tabs>
        <w:spacing w:before="0"/>
        <w:ind w:right="43"/>
        <w:contextualSpacing/>
        <w:jc w:val="right"/>
        <w:rPr>
          <w:b/>
          <w:szCs w:val="24"/>
          <w:u w:val="single"/>
        </w:rPr>
      </w:pPr>
    </w:p>
    <w:p w14:paraId="265EEEDA" w14:textId="77777777" w:rsidR="008A4DE2" w:rsidRPr="00645B27" w:rsidRDefault="008A4DE2" w:rsidP="008701A0">
      <w:pPr>
        <w:pStyle w:val="Default"/>
        <w:jc w:val="center"/>
        <w:rPr>
          <w:color w:val="auto"/>
        </w:rPr>
      </w:pPr>
      <w:r w:rsidRPr="00645B27">
        <w:rPr>
          <w:b/>
          <w:bCs/>
          <w:color w:val="auto"/>
        </w:rPr>
        <w:t>Statement of Compatibility with Human Rights</w:t>
      </w:r>
    </w:p>
    <w:p w14:paraId="22FDEDB3" w14:textId="77777777" w:rsidR="008A4DE2" w:rsidRPr="00645B27" w:rsidRDefault="008A4DE2" w:rsidP="008701A0">
      <w:pPr>
        <w:pStyle w:val="Default"/>
        <w:jc w:val="center"/>
        <w:rPr>
          <w:i/>
          <w:iCs/>
          <w:color w:val="auto"/>
        </w:rPr>
      </w:pPr>
      <w:r w:rsidRPr="00645B27">
        <w:rPr>
          <w:i/>
          <w:iCs/>
          <w:color w:val="auto"/>
        </w:rPr>
        <w:t>Prepared in accordance with Part 3 of the Human Rights (Parliamentary Scrutiny) Act 2011</w:t>
      </w:r>
    </w:p>
    <w:p w14:paraId="0294B0F7" w14:textId="77777777" w:rsidR="00FC2BAB" w:rsidRPr="00645B27" w:rsidRDefault="00FC2BAB" w:rsidP="008701A0">
      <w:pPr>
        <w:pStyle w:val="Default"/>
        <w:jc w:val="center"/>
        <w:rPr>
          <w:b/>
          <w:i/>
          <w:iCs/>
          <w:color w:val="auto"/>
        </w:rPr>
      </w:pPr>
    </w:p>
    <w:p w14:paraId="1D55AB68" w14:textId="77777777" w:rsidR="00645B27" w:rsidRPr="00645B27" w:rsidRDefault="00645B27" w:rsidP="008701A0">
      <w:pPr>
        <w:spacing w:before="0"/>
        <w:ind w:right="40"/>
        <w:jc w:val="center"/>
        <w:rPr>
          <w:b/>
          <w:i/>
          <w:szCs w:val="24"/>
        </w:rPr>
      </w:pPr>
      <w:r w:rsidRPr="00D50F97">
        <w:rPr>
          <w:b/>
          <w:i/>
          <w:szCs w:val="24"/>
        </w:rPr>
        <w:t>Migra</w:t>
      </w:r>
      <w:r w:rsidR="006F1AFF">
        <w:rPr>
          <w:b/>
          <w:i/>
          <w:szCs w:val="24"/>
        </w:rPr>
        <w:t xml:space="preserve">tion </w:t>
      </w:r>
      <w:r w:rsidR="00383765">
        <w:rPr>
          <w:b/>
          <w:i/>
          <w:szCs w:val="24"/>
        </w:rPr>
        <w:t>Amendment (</w:t>
      </w:r>
      <w:r w:rsidR="003C4F46">
        <w:rPr>
          <w:b/>
          <w:i/>
          <w:szCs w:val="24"/>
        </w:rPr>
        <w:t>Investor Retirement Visa</w:t>
      </w:r>
      <w:r w:rsidRPr="00D50F97">
        <w:rPr>
          <w:b/>
          <w:i/>
          <w:szCs w:val="24"/>
        </w:rPr>
        <w:t>) Regulation</w:t>
      </w:r>
      <w:r w:rsidR="00A27634" w:rsidRPr="00D50F97">
        <w:rPr>
          <w:b/>
          <w:i/>
          <w:szCs w:val="24"/>
        </w:rPr>
        <w:t>s</w:t>
      </w:r>
      <w:r w:rsidR="00383765">
        <w:rPr>
          <w:b/>
          <w:i/>
          <w:szCs w:val="24"/>
        </w:rPr>
        <w:t> 2018</w:t>
      </w:r>
    </w:p>
    <w:p w14:paraId="7A9D66AF" w14:textId="77777777" w:rsidR="00FC2BAB" w:rsidRPr="00645B27" w:rsidRDefault="00FC2BAB" w:rsidP="008701A0">
      <w:pPr>
        <w:pStyle w:val="Default"/>
        <w:jc w:val="center"/>
        <w:rPr>
          <w:color w:val="auto"/>
        </w:rPr>
      </w:pPr>
    </w:p>
    <w:p w14:paraId="0379375F" w14:textId="77777777" w:rsidR="008A4DE2" w:rsidRPr="00645B27" w:rsidRDefault="00EE3000" w:rsidP="008701A0">
      <w:pPr>
        <w:pStyle w:val="Default"/>
        <w:jc w:val="center"/>
        <w:rPr>
          <w:color w:val="auto"/>
        </w:rPr>
      </w:pPr>
      <w:r w:rsidRPr="00645B27">
        <w:rPr>
          <w:color w:val="auto"/>
        </w:rPr>
        <w:t xml:space="preserve">This legislative instrument is </w:t>
      </w:r>
      <w:r w:rsidR="008A4DE2" w:rsidRPr="00645B27">
        <w:rPr>
          <w:color w:val="auto"/>
        </w:rPr>
        <w:t xml:space="preserve">compatible with the human rights and freedoms recognised or declared in the international instruments listed in section 3 of the </w:t>
      </w:r>
      <w:r w:rsidR="008A4DE2" w:rsidRPr="00645B27">
        <w:rPr>
          <w:i/>
          <w:iCs/>
          <w:color w:val="auto"/>
        </w:rPr>
        <w:t>Human Rights (Parliamentary Scrutiny) Act 2011</w:t>
      </w:r>
      <w:r w:rsidR="008A4DE2" w:rsidRPr="00645B27">
        <w:rPr>
          <w:color w:val="auto"/>
        </w:rPr>
        <w:t>.</w:t>
      </w:r>
    </w:p>
    <w:p w14:paraId="5C4DEB49" w14:textId="77777777" w:rsidR="000424E3" w:rsidRPr="00645B27" w:rsidRDefault="000424E3" w:rsidP="008701A0">
      <w:pPr>
        <w:spacing w:before="0"/>
        <w:contextualSpacing/>
        <w:rPr>
          <w:b/>
          <w:szCs w:val="24"/>
          <w:u w:val="single"/>
        </w:rPr>
      </w:pPr>
    </w:p>
    <w:p w14:paraId="34483D11" w14:textId="77777777" w:rsidR="00BA77DA" w:rsidRDefault="00E419C7" w:rsidP="008701A0">
      <w:pPr>
        <w:tabs>
          <w:tab w:val="left" w:pos="601"/>
        </w:tabs>
        <w:spacing w:before="0"/>
        <w:ind w:left="601" w:hanging="601"/>
        <w:rPr>
          <w:b/>
          <w:szCs w:val="24"/>
        </w:rPr>
      </w:pPr>
      <w:r>
        <w:rPr>
          <w:b/>
          <w:szCs w:val="24"/>
        </w:rPr>
        <w:t xml:space="preserve">Overview </w:t>
      </w:r>
    </w:p>
    <w:p w14:paraId="525B7E15" w14:textId="0E9979E5" w:rsidR="008F10A1" w:rsidRDefault="008F10A1" w:rsidP="008701A0">
      <w:pPr>
        <w:spacing w:before="0"/>
      </w:pPr>
      <w:r>
        <w:rPr>
          <w:szCs w:val="24"/>
          <w:lang w:val="en"/>
        </w:rPr>
        <w:t xml:space="preserve">The </w:t>
      </w:r>
      <w:r w:rsidR="00FF60E7">
        <w:rPr>
          <w:i/>
        </w:rPr>
        <w:t>Migration Amendment (Investor Retirement Visa) Regulations 2018</w:t>
      </w:r>
      <w:r>
        <w:rPr>
          <w:i/>
          <w:szCs w:val="24"/>
        </w:rPr>
        <w:t xml:space="preserve"> </w:t>
      </w:r>
      <w:r>
        <w:rPr>
          <w:szCs w:val="24"/>
        </w:rPr>
        <w:t xml:space="preserve">(the Regulations) amend the </w:t>
      </w:r>
      <w:r>
        <w:rPr>
          <w:i/>
          <w:szCs w:val="24"/>
        </w:rPr>
        <w:t>Migrations Regulations 1994</w:t>
      </w:r>
      <w:r>
        <w:rPr>
          <w:szCs w:val="24"/>
        </w:rPr>
        <w:t xml:space="preserve"> </w:t>
      </w:r>
      <w:r>
        <w:t xml:space="preserve">to provide that applications for </w:t>
      </w:r>
      <w:r w:rsidR="00D51FED">
        <w:t xml:space="preserve">an </w:t>
      </w:r>
      <w:r>
        <w:t>Investor Retirement (Class UY)</w:t>
      </w:r>
      <w:r w:rsidR="00211FF6">
        <w:t xml:space="preserve"> visa</w:t>
      </w:r>
      <w:r w:rsidR="00721025">
        <w:t xml:space="preserve"> </w:t>
      </w:r>
      <w:r>
        <w:t xml:space="preserve">made on or after 1 June 2018 would only be valid if the applicant is the holder of a </w:t>
      </w:r>
      <w:r w:rsidR="00211FF6">
        <w:t>Class UY</w:t>
      </w:r>
      <w:r>
        <w:t xml:space="preserve"> visa, or the last substantive visa held since entering Australia was a </w:t>
      </w:r>
      <w:r w:rsidR="00211FF6">
        <w:t>Class UY</w:t>
      </w:r>
      <w:r>
        <w:t xml:space="preserve"> visa. </w:t>
      </w:r>
      <w:r w:rsidR="008701A0">
        <w:t xml:space="preserve"> </w:t>
      </w:r>
      <w:r w:rsidR="00211FF6">
        <w:t>The Class UY visa has only one subclass, the Subclass 405 (Investor Retirement)</w:t>
      </w:r>
      <w:r w:rsidR="009F0D5E">
        <w:t xml:space="preserve"> visa (Subclass 405 visa).  T</w:t>
      </w:r>
      <w:r>
        <w:t xml:space="preserve">he purpose of this amendment is to close the visa class to new applicants who have not previously held a Subclass 405 visa.  </w:t>
      </w:r>
    </w:p>
    <w:p w14:paraId="1B00BB5B" w14:textId="77777777" w:rsidR="00D443C9" w:rsidRDefault="00D443C9" w:rsidP="008701A0">
      <w:pPr>
        <w:spacing w:before="0"/>
        <w:rPr>
          <w:szCs w:val="24"/>
        </w:rPr>
      </w:pPr>
    </w:p>
    <w:p w14:paraId="06204FBA" w14:textId="77777777" w:rsidR="008F10A1" w:rsidRDefault="008F10A1" w:rsidP="008701A0">
      <w:pPr>
        <w:spacing w:before="0"/>
      </w:pPr>
      <w:r>
        <w:rPr>
          <w:szCs w:val="24"/>
        </w:rPr>
        <w:t xml:space="preserve">The Regulations apply only to new visa applications.  They </w:t>
      </w:r>
      <w:r w:rsidR="008701A0">
        <w:rPr>
          <w:szCs w:val="24"/>
        </w:rPr>
        <w:t>do</w:t>
      </w:r>
      <w:r>
        <w:rPr>
          <w:szCs w:val="24"/>
        </w:rPr>
        <w:t xml:space="preserve"> not apply to applications that have already been made, but not yet decided, at the time the </w:t>
      </w:r>
      <w:r w:rsidRPr="001613FA">
        <w:t>Regulations commence.</w:t>
      </w:r>
      <w:r>
        <w:t xml:space="preserve"> </w:t>
      </w:r>
      <w:r w:rsidR="008701A0">
        <w:t xml:space="preserve"> </w:t>
      </w:r>
      <w:r>
        <w:t xml:space="preserve">Individuals who currently hold a Subclass 405 visa </w:t>
      </w:r>
      <w:r w:rsidR="008701A0">
        <w:t>are</w:t>
      </w:r>
      <w:r>
        <w:t xml:space="preserve"> not affected by the Regulations, and will be able to apply for new Subclass 405 visas when their current one expires.</w:t>
      </w:r>
      <w:r w:rsidR="008701A0">
        <w:t xml:space="preserve">  </w:t>
      </w:r>
    </w:p>
    <w:p w14:paraId="209F58DB" w14:textId="77777777" w:rsidR="00D443C9" w:rsidRDefault="00D443C9" w:rsidP="008701A0">
      <w:pPr>
        <w:spacing w:before="0"/>
        <w:rPr>
          <w:szCs w:val="24"/>
        </w:rPr>
      </w:pPr>
    </w:p>
    <w:p w14:paraId="1C208B93" w14:textId="77777777" w:rsidR="00BA77DA" w:rsidRDefault="008F10A1" w:rsidP="008701A0">
      <w:pPr>
        <w:tabs>
          <w:tab w:val="left" w:pos="0"/>
        </w:tabs>
        <w:spacing w:before="0"/>
      </w:pPr>
      <w:r w:rsidRPr="001613FA">
        <w:t xml:space="preserve">With the heavy focus on passive investment into state and territory bonds, the economic benefits that this visa originally offered in 2005 </w:t>
      </w:r>
      <w:r>
        <w:t>do not</w:t>
      </w:r>
      <w:r w:rsidRPr="001613FA">
        <w:t xml:space="preserve"> align with</w:t>
      </w:r>
      <w:r w:rsidR="00AD2E34">
        <w:t xml:space="preserve"> Australia’s</w:t>
      </w:r>
      <w:r w:rsidRPr="001613FA">
        <w:t xml:space="preserve"> current economic priorities</w:t>
      </w:r>
      <w:r>
        <w:t xml:space="preserve">.  </w:t>
      </w:r>
    </w:p>
    <w:p w14:paraId="27973ADB" w14:textId="77777777" w:rsidR="008701A0" w:rsidRDefault="008701A0" w:rsidP="008701A0">
      <w:pPr>
        <w:tabs>
          <w:tab w:val="left" w:pos="0"/>
        </w:tabs>
        <w:spacing w:before="0"/>
      </w:pPr>
    </w:p>
    <w:p w14:paraId="6FB99CBA" w14:textId="77777777" w:rsidR="008701A0" w:rsidRDefault="008701A0" w:rsidP="008701A0">
      <w:pPr>
        <w:tabs>
          <w:tab w:val="left" w:pos="601"/>
        </w:tabs>
        <w:spacing w:before="0"/>
        <w:ind w:left="601" w:hanging="601"/>
        <w:rPr>
          <w:b/>
          <w:szCs w:val="24"/>
        </w:rPr>
      </w:pPr>
      <w:r>
        <w:rPr>
          <w:b/>
          <w:szCs w:val="24"/>
        </w:rPr>
        <w:t xml:space="preserve">Human rights implications </w:t>
      </w:r>
    </w:p>
    <w:p w14:paraId="3EBE7C1D" w14:textId="77777777" w:rsidR="008701A0" w:rsidRDefault="00D443C9" w:rsidP="008701A0">
      <w:pPr>
        <w:tabs>
          <w:tab w:val="left" w:pos="0"/>
        </w:tabs>
        <w:spacing w:before="0"/>
        <w:rPr>
          <w:rFonts w:eastAsia="Calibri"/>
          <w:szCs w:val="24"/>
          <w:lang w:eastAsia="en-US"/>
        </w:rPr>
      </w:pPr>
      <w:r>
        <w:rPr>
          <w:rFonts w:eastAsia="Calibri"/>
          <w:szCs w:val="24"/>
          <w:lang w:eastAsia="en-US"/>
        </w:rPr>
        <w:t xml:space="preserve">These Regulations do not engage any applicable human rights (or more generally Australia’s international legal obligations).  This is because current Subclass 405 visa holders retain their visa, and will be able to apply for a new Subclass 405 visa when their current one expires.  </w:t>
      </w:r>
    </w:p>
    <w:p w14:paraId="2CAC37C8" w14:textId="77777777" w:rsidR="007805FE" w:rsidRDefault="007805FE" w:rsidP="008701A0">
      <w:pPr>
        <w:tabs>
          <w:tab w:val="left" w:pos="0"/>
        </w:tabs>
        <w:spacing w:before="0"/>
        <w:rPr>
          <w:rFonts w:eastAsia="Calibri"/>
          <w:szCs w:val="24"/>
          <w:lang w:eastAsia="en-US"/>
        </w:rPr>
      </w:pPr>
    </w:p>
    <w:p w14:paraId="65E4C5ED" w14:textId="77777777" w:rsidR="00CF7E65" w:rsidRDefault="00CF7E65" w:rsidP="008701A0">
      <w:pPr>
        <w:tabs>
          <w:tab w:val="left" w:pos="0"/>
        </w:tabs>
        <w:spacing w:before="0"/>
        <w:rPr>
          <w:rFonts w:eastAsia="Calibri"/>
          <w:szCs w:val="24"/>
          <w:lang w:eastAsia="en-US"/>
        </w:rPr>
      </w:pPr>
      <w:r>
        <w:rPr>
          <w:b/>
          <w:szCs w:val="24"/>
        </w:rPr>
        <w:t>Conclusion</w:t>
      </w:r>
    </w:p>
    <w:p w14:paraId="1489FFE0" w14:textId="77777777" w:rsidR="007805FE" w:rsidRDefault="007805FE" w:rsidP="008701A0">
      <w:pPr>
        <w:tabs>
          <w:tab w:val="left" w:pos="0"/>
        </w:tabs>
        <w:spacing w:before="0"/>
        <w:rPr>
          <w:rFonts w:eastAsia="Calibri"/>
          <w:szCs w:val="24"/>
          <w:lang w:eastAsia="en-US"/>
        </w:rPr>
      </w:pPr>
      <w:r>
        <w:rPr>
          <w:rFonts w:eastAsia="Calibri"/>
          <w:szCs w:val="24"/>
          <w:lang w:eastAsia="en-US"/>
        </w:rPr>
        <w:t xml:space="preserve">This Disallowable Legislative Instrument is compatible with human rights as it does not raise any human rights issues.  </w:t>
      </w:r>
    </w:p>
    <w:p w14:paraId="0D29E1A3" w14:textId="77777777" w:rsidR="00401580" w:rsidRDefault="00401580" w:rsidP="008701A0">
      <w:pPr>
        <w:tabs>
          <w:tab w:val="left" w:pos="601"/>
        </w:tabs>
        <w:spacing w:before="0"/>
        <w:rPr>
          <w:rFonts w:eastAsia="Calibri"/>
          <w:szCs w:val="24"/>
          <w:lang w:eastAsia="en-US"/>
        </w:rPr>
      </w:pPr>
    </w:p>
    <w:p w14:paraId="1AC1D29B" w14:textId="77777777" w:rsidR="006F1AFF" w:rsidRDefault="006F1AFF" w:rsidP="008701A0">
      <w:pPr>
        <w:tabs>
          <w:tab w:val="left" w:pos="601"/>
        </w:tabs>
        <w:spacing w:before="0"/>
        <w:ind w:left="601" w:hanging="601"/>
        <w:rPr>
          <w:rFonts w:eastAsia="Calibri"/>
          <w:szCs w:val="24"/>
          <w:lang w:eastAsia="en-US"/>
        </w:rPr>
      </w:pPr>
    </w:p>
    <w:p w14:paraId="18B9341E" w14:textId="77777777" w:rsidR="00F76B54" w:rsidRDefault="00F76B54" w:rsidP="008701A0">
      <w:pPr>
        <w:spacing w:before="0"/>
      </w:pPr>
    </w:p>
    <w:p w14:paraId="14111208" w14:textId="77777777" w:rsidR="00E268D4" w:rsidRDefault="00E268D4" w:rsidP="008701A0">
      <w:pPr>
        <w:keepNext/>
        <w:keepLines/>
        <w:spacing w:before="0"/>
        <w:jc w:val="center"/>
        <w:rPr>
          <w:rFonts w:eastAsiaTheme="minorHAnsi"/>
          <w:b/>
          <w:szCs w:val="24"/>
          <w:lang w:eastAsia="en-US"/>
        </w:rPr>
      </w:pPr>
      <w:r>
        <w:rPr>
          <w:rFonts w:eastAsiaTheme="minorHAnsi"/>
          <w:b/>
          <w:szCs w:val="24"/>
          <w:lang w:eastAsia="en-US"/>
        </w:rPr>
        <w:t>The Hon Peter Dutton MP</w:t>
      </w:r>
    </w:p>
    <w:p w14:paraId="6DED7A0C" w14:textId="77777777" w:rsidR="00CF7E65" w:rsidRDefault="00E419C7" w:rsidP="008701A0">
      <w:pPr>
        <w:keepNext/>
        <w:keepLines/>
        <w:spacing w:before="0"/>
        <w:jc w:val="center"/>
        <w:rPr>
          <w:rFonts w:eastAsiaTheme="minorHAnsi"/>
          <w:b/>
          <w:szCs w:val="24"/>
          <w:lang w:eastAsia="en-US"/>
        </w:rPr>
      </w:pPr>
      <w:r>
        <w:rPr>
          <w:rFonts w:eastAsiaTheme="minorHAnsi"/>
          <w:b/>
          <w:szCs w:val="24"/>
          <w:lang w:eastAsia="en-US"/>
        </w:rPr>
        <w:t>Minister for</w:t>
      </w:r>
      <w:r w:rsidR="00C53AC7">
        <w:rPr>
          <w:rFonts w:eastAsiaTheme="minorHAnsi"/>
          <w:b/>
          <w:szCs w:val="24"/>
          <w:lang w:eastAsia="en-US"/>
        </w:rPr>
        <w:t xml:space="preserve"> Home Affairs </w:t>
      </w:r>
    </w:p>
    <w:p w14:paraId="4A700097" w14:textId="77777777" w:rsidR="00AD3210" w:rsidRPr="00E419C7" w:rsidRDefault="00C53AC7" w:rsidP="008701A0">
      <w:pPr>
        <w:keepNext/>
        <w:keepLines/>
        <w:spacing w:before="0"/>
        <w:jc w:val="center"/>
        <w:rPr>
          <w:rFonts w:eastAsiaTheme="minorHAnsi"/>
          <w:b/>
          <w:szCs w:val="24"/>
          <w:lang w:eastAsia="en-US"/>
        </w:rPr>
      </w:pPr>
      <w:r>
        <w:rPr>
          <w:rFonts w:eastAsiaTheme="minorHAnsi"/>
          <w:b/>
          <w:szCs w:val="24"/>
          <w:lang w:eastAsia="en-US"/>
        </w:rPr>
        <w:t>Minister for</w:t>
      </w:r>
      <w:r w:rsidR="00E419C7">
        <w:rPr>
          <w:rFonts w:eastAsiaTheme="minorHAnsi"/>
          <w:b/>
          <w:szCs w:val="24"/>
          <w:lang w:eastAsia="en-US"/>
        </w:rPr>
        <w:t xml:space="preserve"> Immigration and Border Protection</w:t>
      </w:r>
    </w:p>
    <w:p w14:paraId="45D37FCA" w14:textId="77777777" w:rsidR="00645B27" w:rsidRDefault="00645B27" w:rsidP="008701A0">
      <w:pPr>
        <w:spacing w:before="0"/>
        <w:rPr>
          <w:b/>
          <w:szCs w:val="24"/>
          <w:u w:val="single"/>
        </w:rPr>
      </w:pPr>
      <w:r>
        <w:rPr>
          <w:b/>
          <w:szCs w:val="24"/>
          <w:u w:val="single"/>
        </w:rPr>
        <w:br w:type="page"/>
      </w:r>
    </w:p>
    <w:p w14:paraId="5DDA478A" w14:textId="77777777" w:rsidR="00781B14" w:rsidRPr="00B87B61" w:rsidRDefault="00781B14" w:rsidP="008701A0">
      <w:pPr>
        <w:tabs>
          <w:tab w:val="left" w:pos="345"/>
        </w:tabs>
        <w:spacing w:before="0"/>
        <w:ind w:right="43"/>
        <w:jc w:val="right"/>
        <w:rPr>
          <w:b/>
          <w:szCs w:val="24"/>
          <w:u w:val="single"/>
        </w:rPr>
      </w:pPr>
      <w:r w:rsidRPr="00B87B61">
        <w:rPr>
          <w:b/>
          <w:szCs w:val="24"/>
          <w:u w:val="single"/>
        </w:rPr>
        <w:lastRenderedPageBreak/>
        <w:t xml:space="preserve">ATTACHMENT </w:t>
      </w:r>
      <w:r w:rsidR="003C4F46">
        <w:rPr>
          <w:b/>
          <w:szCs w:val="24"/>
          <w:u w:val="single"/>
        </w:rPr>
        <w:t>B</w:t>
      </w:r>
    </w:p>
    <w:p w14:paraId="19F76D33" w14:textId="77777777" w:rsidR="00781B14" w:rsidRPr="00B87B61" w:rsidRDefault="00781B14" w:rsidP="008701A0">
      <w:pPr>
        <w:tabs>
          <w:tab w:val="left" w:pos="345"/>
        </w:tabs>
        <w:spacing w:before="0"/>
        <w:ind w:right="43"/>
        <w:jc w:val="right"/>
        <w:rPr>
          <w:b/>
          <w:szCs w:val="24"/>
          <w:u w:val="single"/>
        </w:rPr>
      </w:pPr>
    </w:p>
    <w:p w14:paraId="4424FEDD" w14:textId="77777777" w:rsidR="0085440C" w:rsidRPr="00B87B61" w:rsidRDefault="006C1B9B" w:rsidP="008701A0">
      <w:pPr>
        <w:pStyle w:val="Default"/>
        <w:rPr>
          <w:b/>
          <w:i/>
          <w:color w:val="auto"/>
          <w:u w:val="single"/>
        </w:rPr>
      </w:pPr>
      <w:r w:rsidRPr="00D50F97">
        <w:rPr>
          <w:b/>
          <w:color w:val="auto"/>
          <w:u w:val="single"/>
        </w:rPr>
        <w:t xml:space="preserve">Details of the </w:t>
      </w:r>
      <w:r w:rsidR="0085440C" w:rsidRPr="00D50F97">
        <w:rPr>
          <w:b/>
          <w:i/>
          <w:color w:val="auto"/>
          <w:u w:val="single"/>
        </w:rPr>
        <w:t>Migr</w:t>
      </w:r>
      <w:r w:rsidR="006F1AFF">
        <w:rPr>
          <w:b/>
          <w:i/>
          <w:color w:val="auto"/>
          <w:u w:val="single"/>
        </w:rPr>
        <w:t xml:space="preserve">ation </w:t>
      </w:r>
      <w:r w:rsidR="006F1AFF" w:rsidRPr="000009AA">
        <w:rPr>
          <w:b/>
          <w:i/>
          <w:color w:val="auto"/>
          <w:u w:val="single"/>
        </w:rPr>
        <w:t xml:space="preserve">Amendment </w:t>
      </w:r>
      <w:r w:rsidR="004F13E2" w:rsidRPr="000009AA">
        <w:rPr>
          <w:b/>
          <w:i/>
          <w:color w:val="auto"/>
          <w:u w:val="single"/>
        </w:rPr>
        <w:t>(</w:t>
      </w:r>
      <w:r w:rsidR="00107C21" w:rsidRPr="000009AA">
        <w:rPr>
          <w:b/>
          <w:i/>
          <w:noProof/>
          <w:u w:val="single"/>
        </w:rPr>
        <w:t>Investor Retirement Visa</w:t>
      </w:r>
      <w:r w:rsidR="004F13E2" w:rsidRPr="000009AA">
        <w:rPr>
          <w:b/>
          <w:i/>
          <w:color w:val="auto"/>
          <w:u w:val="single"/>
        </w:rPr>
        <w:t>)</w:t>
      </w:r>
      <w:r w:rsidR="0085440C" w:rsidRPr="000009AA">
        <w:rPr>
          <w:b/>
          <w:i/>
          <w:color w:val="auto"/>
          <w:u w:val="single"/>
        </w:rPr>
        <w:t xml:space="preserve"> Regulation</w:t>
      </w:r>
      <w:r w:rsidR="00886667" w:rsidRPr="000009AA">
        <w:rPr>
          <w:b/>
          <w:i/>
          <w:color w:val="auto"/>
          <w:u w:val="single"/>
        </w:rPr>
        <w:t>s</w:t>
      </w:r>
      <w:r w:rsidR="00D8637C">
        <w:rPr>
          <w:b/>
          <w:i/>
          <w:color w:val="auto"/>
          <w:u w:val="single"/>
        </w:rPr>
        <w:t> </w:t>
      </w:r>
      <w:r w:rsidR="004F13E2">
        <w:rPr>
          <w:b/>
          <w:i/>
          <w:color w:val="auto"/>
          <w:u w:val="single"/>
        </w:rPr>
        <w:t>2018</w:t>
      </w:r>
    </w:p>
    <w:p w14:paraId="5A524D1C" w14:textId="77777777" w:rsidR="006C1B9B" w:rsidRPr="00B87B61" w:rsidRDefault="006C1B9B" w:rsidP="008701A0">
      <w:pPr>
        <w:spacing w:before="0"/>
        <w:ind w:right="43"/>
        <w:rPr>
          <w:b/>
          <w:i/>
          <w:szCs w:val="24"/>
          <w:u w:val="single"/>
        </w:rPr>
      </w:pPr>
    </w:p>
    <w:p w14:paraId="2265096F" w14:textId="77777777" w:rsidR="006C1B9B" w:rsidRPr="00B87B61" w:rsidRDefault="006C1B9B" w:rsidP="008701A0">
      <w:pPr>
        <w:spacing w:before="0"/>
        <w:ind w:right="91"/>
        <w:jc w:val="both"/>
      </w:pPr>
      <w:r w:rsidRPr="00B87B61">
        <w:rPr>
          <w:u w:val="single"/>
        </w:rPr>
        <w:t xml:space="preserve">Section 1 – Name </w:t>
      </w:r>
    </w:p>
    <w:p w14:paraId="1927AE22" w14:textId="77777777" w:rsidR="006C1B9B" w:rsidRPr="00B87B61" w:rsidRDefault="006C1B9B" w:rsidP="008701A0">
      <w:pPr>
        <w:spacing w:before="0"/>
        <w:ind w:right="91"/>
        <w:jc w:val="both"/>
      </w:pPr>
    </w:p>
    <w:p w14:paraId="22501AC8" w14:textId="77777777" w:rsidR="00A76BD5" w:rsidRPr="00B87B61" w:rsidRDefault="006C1B9B" w:rsidP="008701A0">
      <w:pPr>
        <w:pStyle w:val="Default"/>
        <w:rPr>
          <w:color w:val="auto"/>
        </w:rPr>
      </w:pPr>
      <w:r w:rsidRPr="00B87B61">
        <w:rPr>
          <w:color w:val="auto"/>
        </w:rPr>
        <w:t xml:space="preserve">This section provides that the title of the </w:t>
      </w:r>
      <w:r w:rsidR="00C87BF7">
        <w:rPr>
          <w:color w:val="auto"/>
        </w:rPr>
        <w:t>R</w:t>
      </w:r>
      <w:r w:rsidR="003220C9" w:rsidRPr="00B87B61">
        <w:rPr>
          <w:color w:val="auto"/>
        </w:rPr>
        <w:t>egulation</w:t>
      </w:r>
      <w:r w:rsidR="008D4431">
        <w:rPr>
          <w:color w:val="auto"/>
        </w:rPr>
        <w:t>s</w:t>
      </w:r>
      <w:r w:rsidR="003220C9" w:rsidRPr="00B87B61">
        <w:rPr>
          <w:color w:val="auto"/>
        </w:rPr>
        <w:t xml:space="preserve"> </w:t>
      </w:r>
      <w:r w:rsidRPr="00B87B61">
        <w:rPr>
          <w:color w:val="auto"/>
        </w:rPr>
        <w:t xml:space="preserve">is the </w:t>
      </w:r>
      <w:r w:rsidR="00FF60E7">
        <w:rPr>
          <w:i/>
        </w:rPr>
        <w:t>Migration Amendment (Investor Retirement Visa) Regulations 2018</w:t>
      </w:r>
      <w:r w:rsidR="00F70ED8" w:rsidRPr="00B87B61">
        <w:rPr>
          <w:i/>
          <w:color w:val="auto"/>
        </w:rPr>
        <w:t xml:space="preserve"> </w:t>
      </w:r>
      <w:r w:rsidR="00F70ED8" w:rsidRPr="00B87B61">
        <w:rPr>
          <w:color w:val="auto"/>
        </w:rPr>
        <w:t>(the Regulation</w:t>
      </w:r>
      <w:r w:rsidR="00572E00">
        <w:rPr>
          <w:color w:val="auto"/>
        </w:rPr>
        <w:t>s</w:t>
      </w:r>
      <w:r w:rsidR="00F70ED8" w:rsidRPr="00B87B61">
        <w:rPr>
          <w:color w:val="auto"/>
        </w:rPr>
        <w:t>).</w:t>
      </w:r>
    </w:p>
    <w:p w14:paraId="7620289E" w14:textId="77777777" w:rsidR="006C1B9B" w:rsidRPr="00B87B61" w:rsidRDefault="006C1B9B" w:rsidP="008701A0">
      <w:pPr>
        <w:spacing w:before="0"/>
        <w:ind w:right="91"/>
        <w:jc w:val="both"/>
      </w:pPr>
    </w:p>
    <w:p w14:paraId="4AC33DEB" w14:textId="77777777" w:rsidR="006C1B9B" w:rsidRPr="00DE25D7" w:rsidRDefault="006C1B9B" w:rsidP="008701A0">
      <w:pPr>
        <w:spacing w:before="0"/>
        <w:ind w:right="91"/>
        <w:jc w:val="both"/>
        <w:rPr>
          <w:u w:val="single"/>
        </w:rPr>
      </w:pPr>
      <w:r w:rsidRPr="00DE25D7">
        <w:rPr>
          <w:u w:val="single"/>
        </w:rPr>
        <w:t>Section 2 – Commencement</w:t>
      </w:r>
    </w:p>
    <w:p w14:paraId="3F2B386A" w14:textId="77777777" w:rsidR="006C1B9B" w:rsidRPr="00DE25D7" w:rsidRDefault="006C1B9B" w:rsidP="008701A0">
      <w:pPr>
        <w:spacing w:before="0"/>
        <w:ind w:right="91"/>
        <w:jc w:val="both"/>
      </w:pPr>
    </w:p>
    <w:p w14:paraId="781FFE64" w14:textId="77777777" w:rsidR="007432CE" w:rsidRPr="00DE25D7" w:rsidRDefault="007432CE" w:rsidP="008701A0">
      <w:pPr>
        <w:pStyle w:val="Default"/>
      </w:pPr>
      <w:r w:rsidRPr="00DE25D7">
        <w:t>Subsection 2(1) provides that each provision of the Regulation</w:t>
      </w:r>
      <w:r w:rsidR="008D4431" w:rsidRPr="00DE25D7">
        <w:t>s</w:t>
      </w:r>
      <w:r w:rsidRPr="00DE25D7">
        <w:t xml:space="preserve"> specified in column 1 of the table commences, or is taken to have commenced, in accorda</w:t>
      </w:r>
      <w:r w:rsidR="00BD431A">
        <w:t xml:space="preserve">nce with column 2 of the table.  </w:t>
      </w:r>
      <w:r w:rsidRPr="00DE25D7">
        <w:t xml:space="preserve">Any other statement in column 2 has effect according to its terms. </w:t>
      </w:r>
      <w:r w:rsidR="00543E09">
        <w:t xml:space="preserve"> </w:t>
      </w:r>
      <w:r w:rsidRPr="00DE25D7">
        <w:t xml:space="preserve">The table states that </w:t>
      </w:r>
      <w:r w:rsidR="00BD431A">
        <w:t xml:space="preserve">the Regulations commence on 1 </w:t>
      </w:r>
      <w:r w:rsidR="000009AA">
        <w:t xml:space="preserve">June </w:t>
      </w:r>
      <w:r w:rsidR="00BD431A">
        <w:t xml:space="preserve">2018. </w:t>
      </w:r>
      <w:r w:rsidRPr="00DE25D7">
        <w:t xml:space="preserve"> A note clarifies that this table relates only to </w:t>
      </w:r>
      <w:r w:rsidR="00E01C60">
        <w:t>the Regulations</w:t>
      </w:r>
      <w:r w:rsidRPr="00DE25D7">
        <w:t xml:space="preserve"> as originally made. </w:t>
      </w:r>
      <w:r w:rsidR="00097D44">
        <w:t xml:space="preserve"> </w:t>
      </w:r>
      <w:r w:rsidRPr="00DE25D7">
        <w:t xml:space="preserve">It will not be amended to deal with any later amendments of </w:t>
      </w:r>
      <w:r w:rsidR="005D532F">
        <w:t>the Regulations</w:t>
      </w:r>
      <w:r w:rsidRPr="00DE25D7">
        <w:t>.</w:t>
      </w:r>
      <w:r w:rsidR="000009AA">
        <w:t xml:space="preserve">  </w:t>
      </w:r>
    </w:p>
    <w:p w14:paraId="7E6F31E5" w14:textId="77777777" w:rsidR="007432CE" w:rsidRPr="00DE25D7" w:rsidRDefault="007432CE" w:rsidP="008701A0">
      <w:pPr>
        <w:pStyle w:val="Default"/>
      </w:pPr>
    </w:p>
    <w:p w14:paraId="0ADA09DE" w14:textId="77777777" w:rsidR="007432CE" w:rsidRPr="00DE25D7" w:rsidRDefault="007432CE" w:rsidP="008701A0">
      <w:pPr>
        <w:pStyle w:val="Default"/>
      </w:pPr>
      <w:r w:rsidRPr="00DE25D7">
        <w:t>Subsection 2(2) provides that any information in column 3 of the table is not part of the Regulation</w:t>
      </w:r>
      <w:r w:rsidR="008D4431" w:rsidRPr="00DE25D7">
        <w:t>s</w:t>
      </w:r>
      <w:r w:rsidRPr="00DE25D7">
        <w:t xml:space="preserve">. </w:t>
      </w:r>
      <w:r w:rsidR="00AC6993">
        <w:t xml:space="preserve"> </w:t>
      </w:r>
      <w:r w:rsidRPr="00DE25D7">
        <w:t xml:space="preserve">Information may be inserted in this column, or information in it may be edited, in any published version of this instrument. </w:t>
      </w:r>
      <w:r w:rsidR="00AC6993">
        <w:t xml:space="preserve"> </w:t>
      </w:r>
      <w:r w:rsidRPr="00DE25D7">
        <w:t>Column 3 of the table provides the date/details of the commencement date.</w:t>
      </w:r>
      <w:r w:rsidR="006B3A74">
        <w:t xml:space="preserve">  </w:t>
      </w:r>
    </w:p>
    <w:p w14:paraId="69B93DDF" w14:textId="77777777" w:rsidR="007432CE" w:rsidRPr="00DE25D7" w:rsidRDefault="007432CE" w:rsidP="008701A0">
      <w:pPr>
        <w:pStyle w:val="Default"/>
      </w:pPr>
    </w:p>
    <w:p w14:paraId="02878502" w14:textId="77777777" w:rsidR="00B14AD6" w:rsidRPr="00B87B61" w:rsidRDefault="007432CE" w:rsidP="008701A0">
      <w:pPr>
        <w:tabs>
          <w:tab w:val="left" w:pos="8364"/>
        </w:tabs>
        <w:spacing w:before="0"/>
        <w:ind w:right="84"/>
        <w:rPr>
          <w:szCs w:val="24"/>
        </w:rPr>
      </w:pPr>
      <w:r w:rsidRPr="00DE25D7">
        <w:rPr>
          <w:szCs w:val="24"/>
        </w:rPr>
        <w:t>The purpose of this section is to provide for when the amendments made by the Regulation</w:t>
      </w:r>
      <w:r w:rsidR="008D4431" w:rsidRPr="00DE25D7">
        <w:rPr>
          <w:szCs w:val="24"/>
        </w:rPr>
        <w:t>s</w:t>
      </w:r>
      <w:r w:rsidR="001B44C0">
        <w:rPr>
          <w:szCs w:val="24"/>
        </w:rPr>
        <w:t xml:space="preserve"> </w:t>
      </w:r>
      <w:r w:rsidRPr="00DE25D7">
        <w:rPr>
          <w:szCs w:val="24"/>
        </w:rPr>
        <w:t>commence</w:t>
      </w:r>
      <w:r w:rsidR="00B14AD6" w:rsidRPr="00DE25D7">
        <w:rPr>
          <w:szCs w:val="24"/>
        </w:rPr>
        <w:t>.</w:t>
      </w:r>
    </w:p>
    <w:p w14:paraId="24064DE8" w14:textId="77777777" w:rsidR="00B14AD6" w:rsidRPr="00B87B61" w:rsidRDefault="00B14AD6" w:rsidP="008701A0">
      <w:pPr>
        <w:tabs>
          <w:tab w:val="left" w:pos="8364"/>
        </w:tabs>
        <w:spacing w:before="0"/>
        <w:ind w:right="84"/>
        <w:rPr>
          <w:szCs w:val="24"/>
        </w:rPr>
      </w:pPr>
    </w:p>
    <w:p w14:paraId="20E78F42" w14:textId="77777777" w:rsidR="006C1B9B" w:rsidRPr="00B87B61" w:rsidRDefault="006C1B9B" w:rsidP="008701A0">
      <w:pPr>
        <w:spacing w:before="0"/>
        <w:ind w:right="91"/>
        <w:jc w:val="both"/>
      </w:pPr>
      <w:r w:rsidRPr="00B87B61">
        <w:rPr>
          <w:u w:val="single"/>
        </w:rPr>
        <w:t>Section 3 – Authority</w:t>
      </w:r>
    </w:p>
    <w:p w14:paraId="6E6F9683" w14:textId="77777777" w:rsidR="006C1B9B" w:rsidRPr="00B87B61" w:rsidRDefault="006C1B9B" w:rsidP="008701A0">
      <w:pPr>
        <w:spacing w:before="0"/>
        <w:ind w:right="91"/>
        <w:jc w:val="both"/>
      </w:pPr>
    </w:p>
    <w:p w14:paraId="49EE20FE" w14:textId="77777777" w:rsidR="006C1B9B" w:rsidRPr="00B87B61" w:rsidRDefault="006C1B9B" w:rsidP="008701A0">
      <w:pPr>
        <w:spacing w:before="0"/>
        <w:ind w:right="91"/>
        <w:rPr>
          <w:rFonts w:eastAsia="Calibri"/>
          <w:szCs w:val="24"/>
          <w:lang w:eastAsia="en-US"/>
        </w:rPr>
      </w:pPr>
      <w:r w:rsidRPr="00B87B61">
        <w:rPr>
          <w:rFonts w:eastAsia="Calibri"/>
          <w:szCs w:val="24"/>
          <w:lang w:eastAsia="en-US"/>
        </w:rPr>
        <w:t>This section provides that</w:t>
      </w:r>
      <w:r w:rsidR="003220C9" w:rsidRPr="00B87B61">
        <w:rPr>
          <w:rFonts w:eastAsia="Calibri"/>
          <w:szCs w:val="24"/>
          <w:lang w:eastAsia="en-US"/>
        </w:rPr>
        <w:t xml:space="preserve"> the</w:t>
      </w:r>
      <w:r w:rsidRPr="00B87B61">
        <w:rPr>
          <w:rFonts w:eastAsia="Calibri"/>
          <w:szCs w:val="24"/>
          <w:lang w:eastAsia="en-US"/>
        </w:rPr>
        <w:t xml:space="preserve"> </w:t>
      </w:r>
      <w:r w:rsidR="00932A61" w:rsidRPr="00B87B61">
        <w:t>Regulation</w:t>
      </w:r>
      <w:r w:rsidR="003D28AE">
        <w:t>s are</w:t>
      </w:r>
      <w:r w:rsidRPr="00B87B61">
        <w:rPr>
          <w:rFonts w:eastAsia="Calibri"/>
          <w:szCs w:val="24"/>
          <w:lang w:eastAsia="en-US"/>
        </w:rPr>
        <w:t xml:space="preserve"> made under the </w:t>
      </w:r>
      <w:r w:rsidRPr="00B87B61">
        <w:rPr>
          <w:rFonts w:eastAsia="Calibri"/>
          <w:i/>
          <w:szCs w:val="24"/>
          <w:lang w:eastAsia="en-US"/>
        </w:rPr>
        <w:t>Migration Act 1958</w:t>
      </w:r>
      <w:r w:rsidR="008A6165" w:rsidRPr="00B87B61">
        <w:rPr>
          <w:rFonts w:eastAsia="Calibri"/>
          <w:szCs w:val="24"/>
          <w:lang w:eastAsia="en-US"/>
        </w:rPr>
        <w:t xml:space="preserve"> (the Migration Act).</w:t>
      </w:r>
      <w:r w:rsidR="00736745">
        <w:rPr>
          <w:rFonts w:eastAsia="Calibri"/>
          <w:szCs w:val="24"/>
          <w:lang w:eastAsia="en-US"/>
        </w:rPr>
        <w:t xml:space="preserve"> </w:t>
      </w:r>
      <w:r w:rsidR="008A6165" w:rsidRPr="00B87B61">
        <w:rPr>
          <w:rFonts w:eastAsia="Calibri"/>
          <w:szCs w:val="24"/>
          <w:lang w:eastAsia="en-US"/>
        </w:rPr>
        <w:t xml:space="preserve"> </w:t>
      </w:r>
    </w:p>
    <w:p w14:paraId="4F747E6C" w14:textId="77777777" w:rsidR="006C1B9B" w:rsidRPr="00B87B61" w:rsidRDefault="006C1B9B" w:rsidP="008701A0">
      <w:pPr>
        <w:spacing w:before="0"/>
        <w:ind w:right="91"/>
        <w:jc w:val="both"/>
        <w:rPr>
          <w:rFonts w:eastAsia="Calibri"/>
          <w:szCs w:val="24"/>
          <w:lang w:eastAsia="en-US"/>
        </w:rPr>
      </w:pPr>
    </w:p>
    <w:p w14:paraId="4322E062" w14:textId="77777777" w:rsidR="003239D3" w:rsidRPr="00B87B61" w:rsidRDefault="003239D3" w:rsidP="008701A0">
      <w:pPr>
        <w:spacing w:before="0"/>
        <w:ind w:right="91"/>
        <w:jc w:val="both"/>
        <w:rPr>
          <w:rFonts w:eastAsia="Calibri"/>
          <w:szCs w:val="24"/>
          <w:lang w:eastAsia="en-US"/>
        </w:rPr>
      </w:pPr>
      <w:r w:rsidRPr="00B87B61">
        <w:rPr>
          <w:rFonts w:eastAsia="Calibri"/>
          <w:szCs w:val="24"/>
          <w:lang w:eastAsia="en-US"/>
        </w:rPr>
        <w:t>The purpose of thi</w:t>
      </w:r>
      <w:r w:rsidR="00141B79">
        <w:rPr>
          <w:rFonts w:eastAsia="Calibri"/>
          <w:szCs w:val="24"/>
          <w:lang w:eastAsia="en-US"/>
        </w:rPr>
        <w:t>s section is to set out the Act</w:t>
      </w:r>
      <w:r w:rsidRPr="00B87B61">
        <w:rPr>
          <w:rFonts w:eastAsia="Calibri"/>
          <w:szCs w:val="24"/>
          <w:lang w:eastAsia="en-US"/>
        </w:rPr>
        <w:t xml:space="preserve"> under which the Regulation</w:t>
      </w:r>
      <w:r w:rsidR="00AD40C1">
        <w:rPr>
          <w:rFonts w:eastAsia="Calibri"/>
          <w:szCs w:val="24"/>
          <w:lang w:eastAsia="en-US"/>
        </w:rPr>
        <w:t>s are</w:t>
      </w:r>
      <w:r w:rsidRPr="00B87B61">
        <w:rPr>
          <w:rFonts w:eastAsia="Calibri"/>
          <w:szCs w:val="24"/>
          <w:lang w:eastAsia="en-US"/>
        </w:rPr>
        <w:t xml:space="preserve"> made.</w:t>
      </w:r>
    </w:p>
    <w:p w14:paraId="2C06DFB4" w14:textId="77777777" w:rsidR="003239D3" w:rsidRPr="00B87B61" w:rsidRDefault="003239D3" w:rsidP="008701A0">
      <w:pPr>
        <w:spacing w:before="0"/>
        <w:ind w:right="91"/>
        <w:jc w:val="both"/>
        <w:rPr>
          <w:rFonts w:eastAsia="Calibri"/>
          <w:szCs w:val="24"/>
          <w:lang w:eastAsia="en-US"/>
        </w:rPr>
      </w:pPr>
    </w:p>
    <w:p w14:paraId="1EC0B68A" w14:textId="77777777" w:rsidR="006C1B9B" w:rsidRPr="00C9500F" w:rsidRDefault="006C1B9B" w:rsidP="008701A0">
      <w:pPr>
        <w:pStyle w:val="EMHeading"/>
        <w:keepNext w:val="0"/>
        <w:spacing w:after="0"/>
        <w:ind w:right="91"/>
        <w:jc w:val="both"/>
      </w:pPr>
      <w:r w:rsidRPr="00C9500F">
        <w:t>Section 4 – Schedule</w:t>
      </w:r>
    </w:p>
    <w:p w14:paraId="62277DCF" w14:textId="77777777" w:rsidR="006C1B9B" w:rsidRPr="00C9500F" w:rsidRDefault="006C1B9B" w:rsidP="008701A0">
      <w:pPr>
        <w:spacing w:before="0"/>
        <w:ind w:right="91"/>
        <w:jc w:val="both"/>
      </w:pPr>
    </w:p>
    <w:p w14:paraId="20125873" w14:textId="77777777" w:rsidR="003239D3" w:rsidRPr="00C9500F" w:rsidRDefault="003239D3" w:rsidP="008701A0">
      <w:pPr>
        <w:spacing w:before="0"/>
        <w:ind w:right="91"/>
        <w:jc w:val="both"/>
        <w:rPr>
          <w:rFonts w:eastAsia="Calibri"/>
          <w:szCs w:val="24"/>
          <w:lang w:eastAsia="en-US"/>
        </w:rPr>
      </w:pPr>
      <w:r w:rsidRPr="00C9500F">
        <w:t xml:space="preserve">This section provides that each instrument </w:t>
      </w:r>
      <w:r w:rsidRPr="00C9500F">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r w:rsidR="00F3639E" w:rsidRPr="00C9500F">
        <w:rPr>
          <w:rFonts w:eastAsia="Calibri"/>
          <w:szCs w:val="24"/>
          <w:lang w:eastAsia="en-US"/>
        </w:rPr>
        <w:t xml:space="preserve"> </w:t>
      </w:r>
    </w:p>
    <w:p w14:paraId="7AD7FCFB" w14:textId="77777777" w:rsidR="003239D3" w:rsidRPr="00C9500F" w:rsidRDefault="003239D3" w:rsidP="008701A0">
      <w:pPr>
        <w:spacing w:before="0"/>
        <w:ind w:right="91"/>
        <w:jc w:val="both"/>
      </w:pPr>
    </w:p>
    <w:p w14:paraId="4B1114C8" w14:textId="77777777" w:rsidR="006C1B9B" w:rsidRPr="00C9500F" w:rsidRDefault="006C1B9B" w:rsidP="008701A0">
      <w:pPr>
        <w:spacing w:before="0"/>
        <w:ind w:right="91"/>
        <w:jc w:val="both"/>
        <w:rPr>
          <w:rFonts w:eastAsia="Calibri"/>
          <w:szCs w:val="24"/>
          <w:lang w:eastAsia="en-US"/>
        </w:rPr>
      </w:pPr>
      <w:r w:rsidRPr="00C9500F">
        <w:t>Th</w:t>
      </w:r>
      <w:r w:rsidR="00E46F3E" w:rsidRPr="00C9500F">
        <w:t xml:space="preserve">e effect of this section is that the </w:t>
      </w:r>
      <w:r w:rsidR="00E46F3E" w:rsidRPr="00C9500F">
        <w:rPr>
          <w:i/>
          <w:szCs w:val="24"/>
        </w:rPr>
        <w:t>Migration Regulations 1994</w:t>
      </w:r>
      <w:r w:rsidR="00E46F3E" w:rsidRPr="00C9500F">
        <w:rPr>
          <w:szCs w:val="24"/>
        </w:rPr>
        <w:t xml:space="preserve"> (the </w:t>
      </w:r>
      <w:r w:rsidR="00F51472" w:rsidRPr="00C9500F">
        <w:rPr>
          <w:szCs w:val="24"/>
        </w:rPr>
        <w:t xml:space="preserve">Migration </w:t>
      </w:r>
      <w:r w:rsidR="00A762E4" w:rsidRPr="00C9500F">
        <w:rPr>
          <w:szCs w:val="24"/>
        </w:rPr>
        <w:t>Regulations)</w:t>
      </w:r>
      <w:r w:rsidR="00E46F3E" w:rsidRPr="00C9500F">
        <w:rPr>
          <w:szCs w:val="24"/>
        </w:rPr>
        <w:t xml:space="preserve"> are </w:t>
      </w:r>
      <w:r w:rsidRPr="00C9500F">
        <w:rPr>
          <w:rFonts w:eastAsia="Calibri"/>
          <w:szCs w:val="24"/>
          <w:lang w:eastAsia="en-US"/>
        </w:rPr>
        <w:t>amended as set out in t</w:t>
      </w:r>
      <w:r w:rsidR="006B1018" w:rsidRPr="00C9500F">
        <w:rPr>
          <w:rFonts w:eastAsia="Calibri"/>
          <w:szCs w:val="24"/>
          <w:lang w:eastAsia="en-US"/>
        </w:rPr>
        <w:t xml:space="preserve">he applicable items in the </w:t>
      </w:r>
      <w:r w:rsidR="000E38DB" w:rsidRPr="00C9500F">
        <w:rPr>
          <w:rFonts w:eastAsia="Calibri"/>
          <w:szCs w:val="24"/>
          <w:lang w:eastAsia="en-US"/>
        </w:rPr>
        <w:t>Schedule</w:t>
      </w:r>
      <w:r w:rsidR="00136637" w:rsidRPr="00C9500F">
        <w:rPr>
          <w:rFonts w:eastAsia="Calibri"/>
          <w:szCs w:val="24"/>
          <w:lang w:eastAsia="en-US"/>
        </w:rPr>
        <w:t xml:space="preserve"> to the Regulation</w:t>
      </w:r>
      <w:r w:rsidR="001B44C0">
        <w:rPr>
          <w:rFonts w:eastAsia="Calibri"/>
          <w:szCs w:val="24"/>
          <w:lang w:eastAsia="en-US"/>
        </w:rPr>
        <w:t>s</w:t>
      </w:r>
      <w:r w:rsidR="00136637" w:rsidRPr="00C9500F">
        <w:rPr>
          <w:rFonts w:eastAsia="Calibri"/>
          <w:szCs w:val="24"/>
          <w:lang w:eastAsia="en-US"/>
        </w:rPr>
        <w:t>.</w:t>
      </w:r>
      <w:r w:rsidR="001B44C0">
        <w:rPr>
          <w:rFonts w:eastAsia="Calibri"/>
          <w:szCs w:val="24"/>
          <w:lang w:eastAsia="en-US"/>
        </w:rPr>
        <w:t xml:space="preserve">  </w:t>
      </w:r>
    </w:p>
    <w:p w14:paraId="69571033" w14:textId="77777777" w:rsidR="006C1B9B" w:rsidRPr="00C9500F" w:rsidRDefault="006C1B9B" w:rsidP="008701A0">
      <w:pPr>
        <w:spacing w:before="0"/>
        <w:ind w:right="91"/>
        <w:jc w:val="both"/>
        <w:rPr>
          <w:rFonts w:eastAsia="Calibri"/>
          <w:szCs w:val="24"/>
          <w:lang w:eastAsia="en-US"/>
        </w:rPr>
      </w:pPr>
    </w:p>
    <w:p w14:paraId="4C1562AC" w14:textId="77777777" w:rsidR="003239D3" w:rsidRPr="00B87B61" w:rsidRDefault="003239D3" w:rsidP="008701A0">
      <w:pPr>
        <w:spacing w:before="0"/>
        <w:ind w:right="-57"/>
        <w:rPr>
          <w:rFonts w:eastAsia="Calibri"/>
          <w:szCs w:val="24"/>
          <w:lang w:eastAsia="en-US"/>
        </w:rPr>
      </w:pPr>
      <w:r w:rsidRPr="00C9500F">
        <w:rPr>
          <w:rFonts w:eastAsia="Calibri"/>
          <w:szCs w:val="24"/>
          <w:lang w:eastAsia="en-US"/>
        </w:rPr>
        <w:t xml:space="preserve">The purpose of this section is to provide for how the amendments in </w:t>
      </w:r>
      <w:r w:rsidR="00727C65" w:rsidRPr="00C9500F">
        <w:rPr>
          <w:rFonts w:eastAsia="Calibri"/>
          <w:szCs w:val="24"/>
          <w:lang w:eastAsia="en-US"/>
        </w:rPr>
        <w:t>the</w:t>
      </w:r>
      <w:r w:rsidRPr="00C9500F">
        <w:rPr>
          <w:rFonts w:eastAsia="Calibri"/>
          <w:szCs w:val="24"/>
          <w:lang w:eastAsia="en-US"/>
        </w:rPr>
        <w:t xml:space="preserve"> Regulation</w:t>
      </w:r>
      <w:r w:rsidR="004158A8" w:rsidRPr="00C9500F">
        <w:rPr>
          <w:rFonts w:eastAsia="Calibri"/>
          <w:szCs w:val="24"/>
          <w:lang w:eastAsia="en-US"/>
        </w:rPr>
        <w:t>s</w:t>
      </w:r>
      <w:r w:rsidRPr="00C9500F">
        <w:rPr>
          <w:rFonts w:eastAsia="Calibri"/>
          <w:szCs w:val="24"/>
          <w:lang w:eastAsia="en-US"/>
        </w:rPr>
        <w:t xml:space="preserve"> operate.</w:t>
      </w:r>
      <w:r w:rsidR="00727C65">
        <w:rPr>
          <w:rFonts w:eastAsia="Calibri"/>
          <w:szCs w:val="24"/>
          <w:lang w:eastAsia="en-US"/>
        </w:rPr>
        <w:t xml:space="preserve">  </w:t>
      </w:r>
    </w:p>
    <w:p w14:paraId="6B773AC5" w14:textId="77777777" w:rsidR="006C1B9B" w:rsidRPr="00B87B61" w:rsidRDefault="006C1B9B" w:rsidP="008701A0">
      <w:pPr>
        <w:spacing w:before="0"/>
        <w:ind w:right="-57"/>
        <w:rPr>
          <w:szCs w:val="24"/>
          <w:u w:val="single"/>
        </w:rPr>
      </w:pPr>
    </w:p>
    <w:p w14:paraId="5816930C" w14:textId="77777777" w:rsidR="002630D6" w:rsidRPr="00B87B61" w:rsidRDefault="002630D6" w:rsidP="008701A0">
      <w:pPr>
        <w:spacing w:before="0"/>
        <w:rPr>
          <w:rFonts w:eastAsiaTheme="minorHAnsi"/>
          <w:szCs w:val="24"/>
          <w:lang w:eastAsia="en-US"/>
        </w:rPr>
      </w:pPr>
      <w:r w:rsidRPr="00B87B61">
        <w:rPr>
          <w:rFonts w:eastAsiaTheme="minorHAnsi"/>
          <w:szCs w:val="24"/>
          <w:lang w:eastAsia="en-US"/>
        </w:rPr>
        <w:br w:type="page"/>
      </w:r>
    </w:p>
    <w:p w14:paraId="75141A62" w14:textId="77777777" w:rsidR="00AF338C" w:rsidRDefault="00AF338C" w:rsidP="008701A0">
      <w:pPr>
        <w:widowControl w:val="0"/>
        <w:spacing w:before="0"/>
        <w:ind w:right="-57"/>
        <w:rPr>
          <w:rFonts w:eastAsiaTheme="minorHAnsi"/>
          <w:b/>
          <w:szCs w:val="24"/>
          <w:lang w:eastAsia="en-US"/>
        </w:rPr>
      </w:pPr>
      <w:r>
        <w:rPr>
          <w:rFonts w:eastAsiaTheme="minorHAnsi"/>
          <w:b/>
          <w:szCs w:val="24"/>
          <w:lang w:eastAsia="en-US"/>
        </w:rPr>
        <w:t xml:space="preserve">Schedule 1 – Amendments </w:t>
      </w:r>
    </w:p>
    <w:p w14:paraId="1F451871" w14:textId="77777777" w:rsidR="00AA6C31" w:rsidRPr="00AF338C" w:rsidRDefault="00AA6C31" w:rsidP="008701A0">
      <w:pPr>
        <w:widowControl w:val="0"/>
        <w:spacing w:before="0"/>
        <w:ind w:right="-57"/>
        <w:rPr>
          <w:rFonts w:eastAsiaTheme="minorHAnsi"/>
          <w:b/>
          <w:szCs w:val="24"/>
          <w:lang w:eastAsia="en-US"/>
        </w:rPr>
      </w:pPr>
    </w:p>
    <w:p w14:paraId="38C75DD3" w14:textId="77777777" w:rsidR="006B4F53" w:rsidRPr="006B4F53" w:rsidRDefault="006B4F53" w:rsidP="008701A0">
      <w:pPr>
        <w:widowControl w:val="0"/>
        <w:spacing w:before="0"/>
        <w:ind w:right="-57"/>
        <w:rPr>
          <w:rFonts w:eastAsiaTheme="minorHAnsi"/>
          <w:b/>
          <w:i/>
          <w:szCs w:val="24"/>
          <w:lang w:eastAsia="en-US"/>
        </w:rPr>
      </w:pPr>
      <w:r w:rsidRPr="006B4F53">
        <w:rPr>
          <w:rFonts w:eastAsiaTheme="minorHAnsi"/>
          <w:b/>
          <w:i/>
          <w:szCs w:val="24"/>
          <w:lang w:eastAsia="en-US"/>
        </w:rPr>
        <w:t>Migration Regulations 1994</w:t>
      </w:r>
    </w:p>
    <w:p w14:paraId="53673906" w14:textId="77777777" w:rsidR="006B4F53" w:rsidRPr="006B4F53" w:rsidRDefault="006B4F53" w:rsidP="008701A0">
      <w:pPr>
        <w:widowControl w:val="0"/>
        <w:spacing w:before="0"/>
        <w:ind w:right="-57"/>
        <w:rPr>
          <w:rFonts w:eastAsiaTheme="minorHAnsi"/>
          <w:szCs w:val="24"/>
          <w:u w:val="single"/>
          <w:lang w:eastAsia="en-US"/>
        </w:rPr>
      </w:pPr>
    </w:p>
    <w:p w14:paraId="3A037F0F" w14:textId="77777777" w:rsidR="006B4F53" w:rsidRPr="006B4F53" w:rsidRDefault="006B4F53" w:rsidP="008701A0">
      <w:pPr>
        <w:widowControl w:val="0"/>
        <w:spacing w:before="0"/>
        <w:ind w:right="-57"/>
        <w:rPr>
          <w:rFonts w:eastAsiaTheme="minorHAnsi"/>
          <w:szCs w:val="24"/>
          <w:u w:val="single"/>
          <w:lang w:eastAsia="en-US"/>
        </w:rPr>
      </w:pPr>
      <w:r w:rsidRPr="006B4F53">
        <w:rPr>
          <w:rFonts w:eastAsiaTheme="minorHAnsi"/>
          <w:szCs w:val="24"/>
          <w:u w:val="single"/>
          <w:lang w:eastAsia="en-US"/>
        </w:rPr>
        <w:t xml:space="preserve">Item 1 – </w:t>
      </w:r>
      <w:r w:rsidR="00C06C9D">
        <w:rPr>
          <w:rFonts w:eastAsiaTheme="minorHAnsi"/>
          <w:szCs w:val="24"/>
          <w:u w:val="single"/>
          <w:lang w:eastAsia="en-US"/>
        </w:rPr>
        <w:t>At the end of subitem 1212B(3) of Schedule 1 (before the note)</w:t>
      </w:r>
    </w:p>
    <w:p w14:paraId="332E4129" w14:textId="77777777" w:rsidR="006B4F53" w:rsidRPr="006B4F53" w:rsidRDefault="006B4F53" w:rsidP="008701A0">
      <w:pPr>
        <w:widowControl w:val="0"/>
        <w:spacing w:before="0"/>
        <w:ind w:right="-57"/>
        <w:rPr>
          <w:rFonts w:eastAsiaTheme="minorHAnsi"/>
          <w:szCs w:val="24"/>
          <w:u w:val="single"/>
          <w:lang w:eastAsia="en-US"/>
        </w:rPr>
      </w:pPr>
    </w:p>
    <w:p w14:paraId="10868C27" w14:textId="77777777" w:rsidR="006B4F53" w:rsidRPr="006B4F53" w:rsidRDefault="006B4F53" w:rsidP="008701A0">
      <w:pPr>
        <w:widowControl w:val="0"/>
        <w:spacing w:before="0"/>
        <w:ind w:right="-57"/>
        <w:rPr>
          <w:rFonts w:eastAsiaTheme="minorHAnsi"/>
          <w:szCs w:val="24"/>
          <w:lang w:eastAsia="en-US"/>
        </w:rPr>
      </w:pPr>
      <w:r w:rsidRPr="006B4F53">
        <w:rPr>
          <w:rFonts w:eastAsiaTheme="minorHAnsi"/>
          <w:szCs w:val="24"/>
          <w:lang w:eastAsia="en-US"/>
        </w:rPr>
        <w:t xml:space="preserve">This item inserts new </w:t>
      </w:r>
      <w:r w:rsidR="00C06C9D">
        <w:rPr>
          <w:rFonts w:eastAsiaTheme="minorHAnsi"/>
          <w:szCs w:val="24"/>
          <w:lang w:eastAsia="en-US"/>
        </w:rPr>
        <w:t>paragraph (e</w:t>
      </w:r>
      <w:r w:rsidRPr="006B4F53">
        <w:rPr>
          <w:rFonts w:eastAsiaTheme="minorHAnsi"/>
          <w:szCs w:val="24"/>
          <w:lang w:eastAsia="en-US"/>
        </w:rPr>
        <w:t xml:space="preserve">) in </w:t>
      </w:r>
      <w:r w:rsidR="00C06C9D">
        <w:rPr>
          <w:rFonts w:eastAsiaTheme="minorHAnsi"/>
          <w:szCs w:val="24"/>
          <w:lang w:eastAsia="en-US"/>
        </w:rPr>
        <w:t xml:space="preserve">subitem 1212B(3) of Schedule </w:t>
      </w:r>
      <w:r w:rsidR="00C87BF7">
        <w:rPr>
          <w:rFonts w:eastAsiaTheme="minorHAnsi"/>
          <w:szCs w:val="24"/>
          <w:lang w:eastAsia="en-US"/>
        </w:rPr>
        <w:t xml:space="preserve">1 </w:t>
      </w:r>
      <w:r w:rsidR="00C06C9D">
        <w:rPr>
          <w:rFonts w:eastAsiaTheme="minorHAnsi"/>
          <w:szCs w:val="24"/>
          <w:lang w:eastAsia="en-US"/>
        </w:rPr>
        <w:t>to</w:t>
      </w:r>
      <w:r w:rsidRPr="006B4F53">
        <w:rPr>
          <w:rFonts w:eastAsiaTheme="minorHAnsi"/>
          <w:szCs w:val="24"/>
          <w:lang w:eastAsia="en-US"/>
        </w:rPr>
        <w:t xml:space="preserve"> the Migration Regulations.  </w:t>
      </w:r>
    </w:p>
    <w:p w14:paraId="14BB67DF" w14:textId="77777777" w:rsidR="006B4F53" w:rsidRPr="006B4F53" w:rsidRDefault="006B4F53" w:rsidP="008701A0">
      <w:pPr>
        <w:widowControl w:val="0"/>
        <w:spacing w:before="0"/>
        <w:ind w:right="-57"/>
        <w:rPr>
          <w:rFonts w:eastAsiaTheme="minorHAnsi"/>
          <w:szCs w:val="24"/>
          <w:lang w:eastAsia="en-US"/>
        </w:rPr>
      </w:pPr>
    </w:p>
    <w:p w14:paraId="748C9639" w14:textId="4A10D7A7" w:rsidR="006B4F53" w:rsidRPr="006B4F53" w:rsidRDefault="006B4F53" w:rsidP="008701A0">
      <w:pPr>
        <w:widowControl w:val="0"/>
        <w:spacing w:before="0"/>
        <w:ind w:right="-57"/>
        <w:rPr>
          <w:rFonts w:eastAsiaTheme="minorHAnsi"/>
          <w:szCs w:val="24"/>
          <w:lang w:eastAsia="en-US"/>
        </w:rPr>
      </w:pPr>
      <w:r w:rsidRPr="006B4F53">
        <w:rPr>
          <w:rFonts w:eastAsiaTheme="minorHAnsi"/>
          <w:szCs w:val="24"/>
          <w:lang w:eastAsia="en-US"/>
        </w:rPr>
        <w:t xml:space="preserve">The purpose of </w:t>
      </w:r>
      <w:r w:rsidR="00C06C9D">
        <w:rPr>
          <w:rFonts w:eastAsiaTheme="minorHAnsi"/>
          <w:szCs w:val="24"/>
          <w:lang w:eastAsia="en-US"/>
        </w:rPr>
        <w:t>paragraph 1212B(3)(e) is to restrict applications for the Investor Retirement (Class UY) visa to those people who already hold a Class UY visa or whose last substantive visa since last entering Australia was a Class UY visa</w:t>
      </w:r>
      <w:r w:rsidRPr="006B4F53">
        <w:rPr>
          <w:rFonts w:eastAsiaTheme="minorHAnsi"/>
          <w:szCs w:val="24"/>
          <w:lang w:eastAsia="en-US"/>
        </w:rPr>
        <w:t>.</w:t>
      </w:r>
      <w:r w:rsidR="00C06C9D">
        <w:rPr>
          <w:rFonts w:eastAsiaTheme="minorHAnsi"/>
          <w:szCs w:val="24"/>
          <w:lang w:eastAsia="en-US"/>
        </w:rPr>
        <w:t xml:space="preserve"> </w:t>
      </w:r>
      <w:r w:rsidR="00487EB0">
        <w:rPr>
          <w:rFonts w:eastAsiaTheme="minorHAnsi"/>
          <w:szCs w:val="24"/>
          <w:lang w:eastAsia="en-US"/>
        </w:rPr>
        <w:t xml:space="preserve"> </w:t>
      </w:r>
      <w:r w:rsidR="00C06C9D">
        <w:rPr>
          <w:rFonts w:eastAsiaTheme="minorHAnsi"/>
          <w:szCs w:val="24"/>
          <w:lang w:eastAsia="en-US"/>
        </w:rPr>
        <w:t xml:space="preserve">The effect of the amendment is to close the visa class to </w:t>
      </w:r>
      <w:r w:rsidR="004310B8">
        <w:t>new applicants who have not previously held a Class UY visa</w:t>
      </w:r>
      <w:r w:rsidR="005C16EF">
        <w:t>, have left Australia since last holding a Class UY visa or have held another substantive visa since last holding a Class UY visa</w:t>
      </w:r>
      <w:r w:rsidR="00C06C9D">
        <w:rPr>
          <w:rFonts w:eastAsiaTheme="minorHAnsi"/>
          <w:szCs w:val="24"/>
          <w:lang w:eastAsia="en-US"/>
        </w:rPr>
        <w:t xml:space="preserve">. </w:t>
      </w:r>
    </w:p>
    <w:p w14:paraId="506BFC19" w14:textId="77777777" w:rsidR="00D34C6F" w:rsidRDefault="00D34C6F" w:rsidP="008701A0">
      <w:pPr>
        <w:widowControl w:val="0"/>
        <w:spacing w:before="0"/>
        <w:ind w:right="-57"/>
        <w:rPr>
          <w:rFonts w:eastAsiaTheme="minorHAnsi"/>
          <w:szCs w:val="24"/>
          <w:lang w:eastAsia="en-US"/>
        </w:rPr>
      </w:pPr>
    </w:p>
    <w:p w14:paraId="59B31A6E" w14:textId="77777777" w:rsidR="006B4F53" w:rsidRPr="006B4F53" w:rsidRDefault="006B4F53" w:rsidP="008701A0">
      <w:pPr>
        <w:widowControl w:val="0"/>
        <w:spacing w:before="0"/>
        <w:ind w:right="-57"/>
        <w:rPr>
          <w:rFonts w:eastAsiaTheme="minorHAnsi"/>
          <w:szCs w:val="24"/>
          <w:u w:val="single"/>
          <w:lang w:eastAsia="en-US"/>
        </w:rPr>
      </w:pPr>
      <w:r w:rsidRPr="006B4F53">
        <w:rPr>
          <w:rFonts w:eastAsiaTheme="minorHAnsi"/>
          <w:szCs w:val="24"/>
          <w:u w:val="single"/>
          <w:lang w:eastAsia="en-US"/>
        </w:rPr>
        <w:t xml:space="preserve">Item </w:t>
      </w:r>
      <w:r w:rsidR="00C06C9D">
        <w:rPr>
          <w:rFonts w:eastAsiaTheme="minorHAnsi"/>
          <w:szCs w:val="24"/>
          <w:u w:val="single"/>
          <w:lang w:eastAsia="en-US"/>
        </w:rPr>
        <w:t>2</w:t>
      </w:r>
      <w:r w:rsidRPr="006B4F53">
        <w:rPr>
          <w:rFonts w:eastAsiaTheme="minorHAnsi"/>
          <w:szCs w:val="24"/>
          <w:u w:val="single"/>
          <w:lang w:eastAsia="en-US"/>
        </w:rPr>
        <w:t xml:space="preserve"> – </w:t>
      </w:r>
      <w:r w:rsidR="0044516E">
        <w:rPr>
          <w:rFonts w:eastAsiaTheme="minorHAnsi"/>
          <w:szCs w:val="24"/>
          <w:u w:val="single"/>
          <w:lang w:eastAsia="en-US"/>
        </w:rPr>
        <w:t>In the appropriate position in Schedule 13</w:t>
      </w:r>
    </w:p>
    <w:p w14:paraId="4709D583" w14:textId="77777777" w:rsidR="002A1D11" w:rsidRDefault="002A1D11" w:rsidP="008701A0">
      <w:pPr>
        <w:widowControl w:val="0"/>
        <w:spacing w:before="0"/>
        <w:ind w:right="-57"/>
        <w:rPr>
          <w:rFonts w:eastAsiaTheme="minorHAnsi"/>
          <w:szCs w:val="24"/>
          <w:u w:val="single"/>
          <w:lang w:eastAsia="en-US"/>
        </w:rPr>
      </w:pPr>
    </w:p>
    <w:p w14:paraId="5F50DD7A" w14:textId="77777777" w:rsidR="002A1D11" w:rsidRDefault="002A1D11" w:rsidP="008701A0">
      <w:pPr>
        <w:widowControl w:val="0"/>
        <w:spacing w:before="0"/>
        <w:ind w:right="-57"/>
        <w:rPr>
          <w:rFonts w:eastAsiaTheme="minorHAnsi"/>
          <w:szCs w:val="24"/>
          <w:lang w:eastAsia="en-US"/>
        </w:rPr>
      </w:pPr>
      <w:r>
        <w:rPr>
          <w:rFonts w:eastAsiaTheme="minorHAnsi"/>
          <w:szCs w:val="24"/>
          <w:lang w:eastAsia="en-US"/>
        </w:rPr>
        <w:t xml:space="preserve">This item inserts new Part </w:t>
      </w:r>
      <w:r w:rsidR="00C06C9D">
        <w:rPr>
          <w:rFonts w:eastAsiaTheme="minorHAnsi"/>
          <w:szCs w:val="24"/>
          <w:lang w:eastAsia="en-US"/>
        </w:rPr>
        <w:t xml:space="preserve">70 </w:t>
      </w:r>
      <w:r>
        <w:rPr>
          <w:rFonts w:eastAsiaTheme="minorHAnsi"/>
          <w:szCs w:val="24"/>
          <w:lang w:eastAsia="en-US"/>
        </w:rPr>
        <w:t xml:space="preserve">in Schedule 13 to the </w:t>
      </w:r>
      <w:r w:rsidR="00C06C9D">
        <w:rPr>
          <w:rFonts w:eastAsiaTheme="minorHAnsi"/>
          <w:szCs w:val="24"/>
          <w:lang w:eastAsia="en-US"/>
        </w:rPr>
        <w:t xml:space="preserve">Migration </w:t>
      </w:r>
      <w:r>
        <w:rPr>
          <w:rFonts w:eastAsiaTheme="minorHAnsi"/>
          <w:szCs w:val="24"/>
          <w:lang w:eastAsia="en-US"/>
        </w:rPr>
        <w:t xml:space="preserve">Regulations.  </w:t>
      </w:r>
    </w:p>
    <w:p w14:paraId="3C4D77D3" w14:textId="77777777" w:rsidR="002A1D11" w:rsidRDefault="002A1D11" w:rsidP="008701A0">
      <w:pPr>
        <w:widowControl w:val="0"/>
        <w:spacing w:before="0"/>
        <w:ind w:right="-57"/>
        <w:rPr>
          <w:rFonts w:eastAsiaTheme="minorHAnsi"/>
          <w:szCs w:val="24"/>
          <w:lang w:eastAsia="en-US"/>
        </w:rPr>
      </w:pPr>
    </w:p>
    <w:p w14:paraId="02FA9FB7" w14:textId="77777777" w:rsidR="002A1D11" w:rsidRPr="002A1D11" w:rsidRDefault="002A1D11" w:rsidP="008701A0">
      <w:pPr>
        <w:widowControl w:val="0"/>
        <w:spacing w:before="0"/>
        <w:ind w:right="-57"/>
        <w:rPr>
          <w:rFonts w:eastAsiaTheme="minorHAnsi"/>
          <w:szCs w:val="24"/>
          <w:lang w:eastAsia="en-US"/>
        </w:rPr>
      </w:pPr>
      <w:r>
        <w:rPr>
          <w:rFonts w:eastAsiaTheme="minorHAnsi"/>
          <w:szCs w:val="24"/>
          <w:lang w:eastAsia="en-US"/>
        </w:rPr>
        <w:t xml:space="preserve">New clause </w:t>
      </w:r>
      <w:r w:rsidR="00C06C9D">
        <w:rPr>
          <w:rFonts w:eastAsiaTheme="minorHAnsi"/>
          <w:szCs w:val="24"/>
          <w:lang w:eastAsia="en-US"/>
        </w:rPr>
        <w:t>7001</w:t>
      </w:r>
      <w:r>
        <w:rPr>
          <w:rFonts w:eastAsiaTheme="minorHAnsi"/>
          <w:szCs w:val="24"/>
          <w:lang w:eastAsia="en-US"/>
        </w:rPr>
        <w:t xml:space="preserve"> provides that the amendments made by Schedule 1 to the Regulations apply in relation to an application </w:t>
      </w:r>
      <w:r w:rsidR="002D0B7C" w:rsidRPr="006B4F53">
        <w:rPr>
          <w:rFonts w:eastAsiaTheme="minorHAnsi"/>
          <w:szCs w:val="24"/>
          <w:lang w:eastAsia="en-US"/>
        </w:rPr>
        <w:t xml:space="preserve">for a </w:t>
      </w:r>
      <w:r w:rsidR="00C06C9D">
        <w:rPr>
          <w:rFonts w:eastAsiaTheme="minorHAnsi"/>
          <w:szCs w:val="24"/>
          <w:lang w:eastAsia="en-US"/>
        </w:rPr>
        <w:t>visa</w:t>
      </w:r>
      <w:r w:rsidR="002D0B7C" w:rsidRPr="006B4F53">
        <w:rPr>
          <w:rFonts w:eastAsiaTheme="minorHAnsi"/>
          <w:szCs w:val="24"/>
          <w:lang w:eastAsia="en-US"/>
        </w:rPr>
        <w:t xml:space="preserve"> </w:t>
      </w:r>
      <w:r w:rsidR="00C06C9D">
        <w:rPr>
          <w:rFonts w:eastAsiaTheme="minorHAnsi"/>
          <w:szCs w:val="24"/>
          <w:lang w:eastAsia="en-US"/>
        </w:rPr>
        <w:t>made on or after 1 June 2018</w:t>
      </w:r>
      <w:r>
        <w:rPr>
          <w:rFonts w:eastAsiaTheme="minorHAnsi"/>
          <w:szCs w:val="24"/>
          <w:lang w:eastAsia="en-US"/>
        </w:rPr>
        <w:t>.</w:t>
      </w:r>
      <w:r w:rsidR="00C06C9D">
        <w:rPr>
          <w:rFonts w:eastAsiaTheme="minorHAnsi"/>
          <w:szCs w:val="24"/>
          <w:lang w:eastAsia="en-US"/>
        </w:rPr>
        <w:t xml:space="preserve"> </w:t>
      </w:r>
      <w:r w:rsidR="00E77F41">
        <w:rPr>
          <w:rFonts w:eastAsiaTheme="minorHAnsi"/>
          <w:szCs w:val="24"/>
          <w:lang w:eastAsia="en-US"/>
        </w:rPr>
        <w:t xml:space="preserve"> </w:t>
      </w:r>
      <w:r w:rsidR="00C06C9D">
        <w:rPr>
          <w:rFonts w:eastAsiaTheme="minorHAnsi"/>
          <w:szCs w:val="24"/>
          <w:lang w:eastAsia="en-US"/>
        </w:rPr>
        <w:t>The effect of this provision is that the amendments do not affect applications that have been made</w:t>
      </w:r>
      <w:r w:rsidR="004310B8">
        <w:rPr>
          <w:rFonts w:eastAsiaTheme="minorHAnsi"/>
          <w:szCs w:val="24"/>
          <w:lang w:eastAsia="en-US"/>
        </w:rPr>
        <w:t>,</w:t>
      </w:r>
      <w:r w:rsidR="00C06C9D">
        <w:rPr>
          <w:rFonts w:eastAsiaTheme="minorHAnsi"/>
          <w:szCs w:val="24"/>
          <w:lang w:eastAsia="en-US"/>
        </w:rPr>
        <w:t xml:space="preserve"> but </w:t>
      </w:r>
      <w:r w:rsidR="004310B8">
        <w:rPr>
          <w:rFonts w:eastAsiaTheme="minorHAnsi"/>
          <w:szCs w:val="24"/>
          <w:lang w:eastAsia="en-US"/>
        </w:rPr>
        <w:t>are not finally determined,</w:t>
      </w:r>
      <w:r w:rsidR="00C06C9D">
        <w:rPr>
          <w:rFonts w:eastAsiaTheme="minorHAnsi"/>
          <w:szCs w:val="24"/>
          <w:lang w:eastAsia="en-US"/>
        </w:rPr>
        <w:t xml:space="preserve"> at the commencement of the Regulations.</w:t>
      </w:r>
      <w:r>
        <w:rPr>
          <w:rFonts w:eastAsiaTheme="minorHAnsi"/>
          <w:szCs w:val="24"/>
          <w:lang w:eastAsia="en-US"/>
        </w:rPr>
        <w:t xml:space="preserve">  </w:t>
      </w:r>
    </w:p>
    <w:sectPr w:rsidR="002A1D11" w:rsidRPr="002A1D11" w:rsidSect="00956235">
      <w:headerReference w:type="default" r:id="rId11"/>
      <w:headerReference w:type="first" r:id="rId12"/>
      <w:pgSz w:w="11906" w:h="16838"/>
      <w:pgMar w:top="1440" w:right="1418" w:bottom="1440"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9A1B" w14:textId="77777777" w:rsidR="00FB345B" w:rsidRDefault="00FB345B" w:rsidP="007A1709">
      <w:pPr>
        <w:spacing w:before="0"/>
      </w:pPr>
      <w:r>
        <w:separator/>
      </w:r>
    </w:p>
  </w:endnote>
  <w:endnote w:type="continuationSeparator" w:id="0">
    <w:p w14:paraId="5462A78F" w14:textId="77777777" w:rsidR="00FB345B" w:rsidRDefault="00FB345B" w:rsidP="007A1709">
      <w:pPr>
        <w:spacing w:before="0"/>
      </w:pPr>
      <w:r>
        <w:continuationSeparator/>
      </w:r>
    </w:p>
  </w:endnote>
  <w:endnote w:type="continuationNotice" w:id="1">
    <w:p w14:paraId="0AF5E5E4" w14:textId="77777777" w:rsidR="00FB345B" w:rsidRDefault="00FB34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59A68" w14:textId="77777777" w:rsidR="00FB345B" w:rsidRDefault="00FB345B" w:rsidP="007A1709">
      <w:pPr>
        <w:spacing w:before="0"/>
      </w:pPr>
      <w:r>
        <w:separator/>
      </w:r>
    </w:p>
  </w:footnote>
  <w:footnote w:type="continuationSeparator" w:id="0">
    <w:p w14:paraId="7376F940" w14:textId="77777777" w:rsidR="00FB345B" w:rsidRDefault="00FB345B" w:rsidP="007A1709">
      <w:pPr>
        <w:spacing w:before="0"/>
      </w:pPr>
      <w:r>
        <w:continuationSeparator/>
      </w:r>
    </w:p>
  </w:footnote>
  <w:footnote w:type="continuationNotice" w:id="1">
    <w:p w14:paraId="7E1C00CF" w14:textId="77777777" w:rsidR="00FB345B" w:rsidRDefault="00FB345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67077"/>
      <w:docPartObj>
        <w:docPartGallery w:val="Page Numbers (Top of Page)"/>
        <w:docPartUnique/>
      </w:docPartObj>
    </w:sdtPr>
    <w:sdtEndPr>
      <w:rPr>
        <w:noProof/>
      </w:rPr>
    </w:sdtEndPr>
    <w:sdtContent>
      <w:p w14:paraId="165E929B" w14:textId="084543AF" w:rsidR="0031011E" w:rsidRDefault="0031011E">
        <w:pPr>
          <w:pStyle w:val="Header"/>
          <w:jc w:val="center"/>
        </w:pPr>
        <w:r>
          <w:fldChar w:fldCharType="begin"/>
        </w:r>
        <w:r>
          <w:instrText xml:space="preserve"> PAGE   \* MERGEFORMAT </w:instrText>
        </w:r>
        <w:r>
          <w:fldChar w:fldCharType="separate"/>
        </w:r>
        <w:r w:rsidR="00350AC3">
          <w:rPr>
            <w:noProof/>
          </w:rPr>
          <w:t>2</w:t>
        </w:r>
        <w:r>
          <w:rPr>
            <w:noProof/>
          </w:rPr>
          <w:fldChar w:fldCharType="end"/>
        </w:r>
      </w:p>
    </w:sdtContent>
  </w:sdt>
  <w:p w14:paraId="4C80F6B0" w14:textId="77777777" w:rsidR="0031011E" w:rsidRDefault="00310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9731" w14:textId="5A77ECF7" w:rsidR="0031011E" w:rsidRDefault="0031011E">
    <w:pPr>
      <w:pStyle w:val="Header"/>
      <w:jc w:val="center"/>
    </w:pPr>
  </w:p>
  <w:p w14:paraId="4DE785A8" w14:textId="77777777" w:rsidR="003F74D0" w:rsidRDefault="003F7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69272"/>
      <w:docPartObj>
        <w:docPartGallery w:val="Page Numbers (Top of Page)"/>
        <w:docPartUnique/>
      </w:docPartObj>
    </w:sdtPr>
    <w:sdtEndPr>
      <w:rPr>
        <w:noProof/>
      </w:rPr>
    </w:sdtEndPr>
    <w:sdtContent>
      <w:p w14:paraId="0FEA982E" w14:textId="09615BE8" w:rsidR="0031011E" w:rsidRDefault="0031011E">
        <w:pPr>
          <w:pStyle w:val="Header"/>
          <w:jc w:val="center"/>
        </w:pPr>
        <w:r>
          <w:fldChar w:fldCharType="begin"/>
        </w:r>
        <w:r>
          <w:instrText xml:space="preserve"> PAGE   \* MERGEFORMAT </w:instrText>
        </w:r>
        <w:r>
          <w:fldChar w:fldCharType="separate"/>
        </w:r>
        <w:r w:rsidR="00350AC3">
          <w:rPr>
            <w:noProof/>
          </w:rPr>
          <w:t>5</w:t>
        </w:r>
        <w:r>
          <w:rPr>
            <w:noProof/>
          </w:rPr>
          <w:fldChar w:fldCharType="end"/>
        </w:r>
      </w:p>
    </w:sdtContent>
  </w:sdt>
  <w:p w14:paraId="376C0FB0" w14:textId="54D1CE77" w:rsidR="00EC2DC7" w:rsidRDefault="00EC2DC7" w:rsidP="00B5488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24154"/>
      <w:docPartObj>
        <w:docPartGallery w:val="Page Numbers (Top of Page)"/>
        <w:docPartUnique/>
      </w:docPartObj>
    </w:sdtPr>
    <w:sdtEndPr>
      <w:rPr>
        <w:noProof/>
      </w:rPr>
    </w:sdtEndPr>
    <w:sdtContent>
      <w:p w14:paraId="520C5CC5" w14:textId="3E2A2086" w:rsidR="0031011E" w:rsidRDefault="0031011E">
        <w:pPr>
          <w:pStyle w:val="Header"/>
          <w:jc w:val="center"/>
        </w:pPr>
        <w:r>
          <w:t>3</w:t>
        </w:r>
      </w:p>
    </w:sdtContent>
  </w:sdt>
  <w:p w14:paraId="3F4FDF43" w14:textId="77777777" w:rsidR="0031011E" w:rsidRDefault="00310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7"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2" w15:restartNumberingAfterBreak="0">
    <w:nsid w:val="5172431B"/>
    <w:multiLevelType w:val="hybridMultilevel"/>
    <w:tmpl w:val="5FF8282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9"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2"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0"/>
  </w:num>
  <w:num w:numId="5">
    <w:abstractNumId w:val="1"/>
  </w:num>
  <w:num w:numId="6">
    <w:abstractNumId w:val="24"/>
  </w:num>
  <w:num w:numId="7">
    <w:abstractNumId w:val="2"/>
  </w:num>
  <w:num w:numId="8">
    <w:abstractNumId w:val="21"/>
  </w:num>
  <w:num w:numId="9">
    <w:abstractNumId w:val="7"/>
  </w:num>
  <w:num w:numId="10">
    <w:abstractNumId w:val="25"/>
  </w:num>
  <w:num w:numId="11">
    <w:abstractNumId w:val="19"/>
  </w:num>
  <w:num w:numId="12">
    <w:abstractNumId w:val="23"/>
  </w:num>
  <w:num w:numId="13">
    <w:abstractNumId w:val="18"/>
  </w:num>
  <w:num w:numId="14">
    <w:abstractNumId w:val="6"/>
  </w:num>
  <w:num w:numId="15">
    <w:abstractNumId w:val="17"/>
  </w:num>
  <w:num w:numId="16">
    <w:abstractNumId w:val="11"/>
  </w:num>
  <w:num w:numId="17">
    <w:abstractNumId w:val="5"/>
  </w:num>
  <w:num w:numId="18">
    <w:abstractNumId w:val="12"/>
  </w:num>
  <w:num w:numId="19">
    <w:abstractNumId w:val="3"/>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20"/>
  </w:num>
  <w:num w:numId="24">
    <w:abstractNumId w:val="16"/>
  </w:num>
  <w:num w:numId="25">
    <w:abstractNumId w:val="8"/>
  </w:num>
  <w:num w:numId="26">
    <w:abstractNumId w:val="15"/>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9AA"/>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56"/>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5E09"/>
    <w:rsid w:val="00096FC1"/>
    <w:rsid w:val="00097D44"/>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D28"/>
    <w:rsid w:val="000D4CA8"/>
    <w:rsid w:val="000D54EB"/>
    <w:rsid w:val="000D5F18"/>
    <w:rsid w:val="000E0BA9"/>
    <w:rsid w:val="000E0D1C"/>
    <w:rsid w:val="000E0EF2"/>
    <w:rsid w:val="000E0F33"/>
    <w:rsid w:val="000E16BD"/>
    <w:rsid w:val="000E2470"/>
    <w:rsid w:val="000E2C24"/>
    <w:rsid w:val="000E2D6F"/>
    <w:rsid w:val="000E38DB"/>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04B0"/>
    <w:rsid w:val="001043EC"/>
    <w:rsid w:val="00104501"/>
    <w:rsid w:val="00105FAA"/>
    <w:rsid w:val="00107C21"/>
    <w:rsid w:val="00110840"/>
    <w:rsid w:val="001117C9"/>
    <w:rsid w:val="0011251A"/>
    <w:rsid w:val="00113467"/>
    <w:rsid w:val="001135FD"/>
    <w:rsid w:val="00113F67"/>
    <w:rsid w:val="001140C8"/>
    <w:rsid w:val="00114B08"/>
    <w:rsid w:val="00114D73"/>
    <w:rsid w:val="001151DB"/>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30B"/>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2773"/>
    <w:rsid w:val="00143061"/>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235B"/>
    <w:rsid w:val="001943D7"/>
    <w:rsid w:val="00194D53"/>
    <w:rsid w:val="00196A01"/>
    <w:rsid w:val="001A0BCA"/>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EFF"/>
    <w:rsid w:val="001B3F32"/>
    <w:rsid w:val="001B44C0"/>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2BB"/>
    <w:rsid w:val="001C4857"/>
    <w:rsid w:val="001D0EE6"/>
    <w:rsid w:val="001D180C"/>
    <w:rsid w:val="001D3316"/>
    <w:rsid w:val="001D3867"/>
    <w:rsid w:val="001D4186"/>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1FF6"/>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57F9A"/>
    <w:rsid w:val="0026103C"/>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5FD9"/>
    <w:rsid w:val="00291167"/>
    <w:rsid w:val="00291AAC"/>
    <w:rsid w:val="00291E10"/>
    <w:rsid w:val="00292FE8"/>
    <w:rsid w:val="00293053"/>
    <w:rsid w:val="00294752"/>
    <w:rsid w:val="002969B4"/>
    <w:rsid w:val="002A111E"/>
    <w:rsid w:val="002A12FE"/>
    <w:rsid w:val="002A1454"/>
    <w:rsid w:val="002A1B42"/>
    <w:rsid w:val="002A1D11"/>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D0B7C"/>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4B5B"/>
    <w:rsid w:val="00304F7D"/>
    <w:rsid w:val="00305FBE"/>
    <w:rsid w:val="00306151"/>
    <w:rsid w:val="0030646C"/>
    <w:rsid w:val="003074E4"/>
    <w:rsid w:val="0031011E"/>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3ADB"/>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0AC3"/>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376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54F"/>
    <w:rsid w:val="003A6016"/>
    <w:rsid w:val="003A6C9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4F46"/>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34D8"/>
    <w:rsid w:val="003E6A8D"/>
    <w:rsid w:val="003F028D"/>
    <w:rsid w:val="003F0C5C"/>
    <w:rsid w:val="003F1BB1"/>
    <w:rsid w:val="003F23D9"/>
    <w:rsid w:val="003F23EA"/>
    <w:rsid w:val="003F2D10"/>
    <w:rsid w:val="003F36A1"/>
    <w:rsid w:val="003F62C5"/>
    <w:rsid w:val="003F697A"/>
    <w:rsid w:val="003F6EB5"/>
    <w:rsid w:val="003F6F34"/>
    <w:rsid w:val="003F74D0"/>
    <w:rsid w:val="003F7D6C"/>
    <w:rsid w:val="00401580"/>
    <w:rsid w:val="004015D1"/>
    <w:rsid w:val="004018B4"/>
    <w:rsid w:val="0040287D"/>
    <w:rsid w:val="00402F92"/>
    <w:rsid w:val="004036C2"/>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0B8"/>
    <w:rsid w:val="004316C4"/>
    <w:rsid w:val="004318D0"/>
    <w:rsid w:val="00432C42"/>
    <w:rsid w:val="00432F29"/>
    <w:rsid w:val="004333D0"/>
    <w:rsid w:val="0043345C"/>
    <w:rsid w:val="00433596"/>
    <w:rsid w:val="00433F44"/>
    <w:rsid w:val="00434B1C"/>
    <w:rsid w:val="0043632A"/>
    <w:rsid w:val="0043724E"/>
    <w:rsid w:val="00440A2F"/>
    <w:rsid w:val="00440C24"/>
    <w:rsid w:val="0044189B"/>
    <w:rsid w:val="00441CB0"/>
    <w:rsid w:val="004426ED"/>
    <w:rsid w:val="00442743"/>
    <w:rsid w:val="00444596"/>
    <w:rsid w:val="004445B8"/>
    <w:rsid w:val="00444F31"/>
    <w:rsid w:val="0044516E"/>
    <w:rsid w:val="0044620E"/>
    <w:rsid w:val="00446701"/>
    <w:rsid w:val="00447BC2"/>
    <w:rsid w:val="00450EE6"/>
    <w:rsid w:val="004512E2"/>
    <w:rsid w:val="00452C07"/>
    <w:rsid w:val="00452D9C"/>
    <w:rsid w:val="00452F1F"/>
    <w:rsid w:val="00453B57"/>
    <w:rsid w:val="00454D31"/>
    <w:rsid w:val="00456F76"/>
    <w:rsid w:val="00457887"/>
    <w:rsid w:val="0046070F"/>
    <w:rsid w:val="004618E8"/>
    <w:rsid w:val="0046240D"/>
    <w:rsid w:val="004628D7"/>
    <w:rsid w:val="0046379B"/>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4EF4"/>
    <w:rsid w:val="00486379"/>
    <w:rsid w:val="00487290"/>
    <w:rsid w:val="00487BE5"/>
    <w:rsid w:val="00487EB0"/>
    <w:rsid w:val="00487FA8"/>
    <w:rsid w:val="00492579"/>
    <w:rsid w:val="004941DF"/>
    <w:rsid w:val="0049467F"/>
    <w:rsid w:val="00494D83"/>
    <w:rsid w:val="0049512B"/>
    <w:rsid w:val="00495CB7"/>
    <w:rsid w:val="00496D71"/>
    <w:rsid w:val="004A07BD"/>
    <w:rsid w:val="004A124A"/>
    <w:rsid w:val="004A1985"/>
    <w:rsid w:val="004A2813"/>
    <w:rsid w:val="004A3285"/>
    <w:rsid w:val="004A3528"/>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18C4"/>
    <w:rsid w:val="004E1B9C"/>
    <w:rsid w:val="004E23E6"/>
    <w:rsid w:val="004E3EF1"/>
    <w:rsid w:val="004E4F96"/>
    <w:rsid w:val="004E66C5"/>
    <w:rsid w:val="004E6CE8"/>
    <w:rsid w:val="004E781B"/>
    <w:rsid w:val="004E7B61"/>
    <w:rsid w:val="004E7D1C"/>
    <w:rsid w:val="004F13E2"/>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2AC9"/>
    <w:rsid w:val="005335BB"/>
    <w:rsid w:val="0053369E"/>
    <w:rsid w:val="005336B0"/>
    <w:rsid w:val="005353E2"/>
    <w:rsid w:val="005364B1"/>
    <w:rsid w:val="0054037B"/>
    <w:rsid w:val="00540C5F"/>
    <w:rsid w:val="0054253D"/>
    <w:rsid w:val="00543BD9"/>
    <w:rsid w:val="00543E09"/>
    <w:rsid w:val="0054408F"/>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3916"/>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6EF"/>
    <w:rsid w:val="005C1A80"/>
    <w:rsid w:val="005C25FC"/>
    <w:rsid w:val="005C2749"/>
    <w:rsid w:val="005C2EA7"/>
    <w:rsid w:val="005C511A"/>
    <w:rsid w:val="005C566A"/>
    <w:rsid w:val="005C74CD"/>
    <w:rsid w:val="005D21CD"/>
    <w:rsid w:val="005D2F8A"/>
    <w:rsid w:val="005D3AC5"/>
    <w:rsid w:val="005D47A2"/>
    <w:rsid w:val="005D4825"/>
    <w:rsid w:val="005D532F"/>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82B"/>
    <w:rsid w:val="005F6C47"/>
    <w:rsid w:val="005F7167"/>
    <w:rsid w:val="005F71A8"/>
    <w:rsid w:val="005F74AC"/>
    <w:rsid w:val="0060194C"/>
    <w:rsid w:val="0060369B"/>
    <w:rsid w:val="0060376E"/>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01C"/>
    <w:rsid w:val="0061423F"/>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57EF"/>
    <w:rsid w:val="00695CF0"/>
    <w:rsid w:val="006960E5"/>
    <w:rsid w:val="00696270"/>
    <w:rsid w:val="006967B0"/>
    <w:rsid w:val="006A21A1"/>
    <w:rsid w:val="006A2321"/>
    <w:rsid w:val="006A2623"/>
    <w:rsid w:val="006A2F2C"/>
    <w:rsid w:val="006A3720"/>
    <w:rsid w:val="006A4766"/>
    <w:rsid w:val="006A4AA4"/>
    <w:rsid w:val="006A5575"/>
    <w:rsid w:val="006A5937"/>
    <w:rsid w:val="006A5A0B"/>
    <w:rsid w:val="006A7A9E"/>
    <w:rsid w:val="006B01AF"/>
    <w:rsid w:val="006B022B"/>
    <w:rsid w:val="006B1018"/>
    <w:rsid w:val="006B1197"/>
    <w:rsid w:val="006B1C54"/>
    <w:rsid w:val="006B2B09"/>
    <w:rsid w:val="006B38E1"/>
    <w:rsid w:val="006B3A74"/>
    <w:rsid w:val="006B4009"/>
    <w:rsid w:val="006B4EE8"/>
    <w:rsid w:val="006B4F53"/>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18F0"/>
    <w:rsid w:val="006F1AFF"/>
    <w:rsid w:val="006F22B5"/>
    <w:rsid w:val="006F2472"/>
    <w:rsid w:val="006F2722"/>
    <w:rsid w:val="006F3DE2"/>
    <w:rsid w:val="006F54B7"/>
    <w:rsid w:val="006F59D2"/>
    <w:rsid w:val="006F5AA6"/>
    <w:rsid w:val="006F5F2A"/>
    <w:rsid w:val="006F66BB"/>
    <w:rsid w:val="006F66C1"/>
    <w:rsid w:val="006F6E24"/>
    <w:rsid w:val="006F70C2"/>
    <w:rsid w:val="00700C0A"/>
    <w:rsid w:val="007014AD"/>
    <w:rsid w:val="00701895"/>
    <w:rsid w:val="0070365F"/>
    <w:rsid w:val="00704663"/>
    <w:rsid w:val="00704D4B"/>
    <w:rsid w:val="00707322"/>
    <w:rsid w:val="007106A3"/>
    <w:rsid w:val="007113F4"/>
    <w:rsid w:val="00712954"/>
    <w:rsid w:val="00712A47"/>
    <w:rsid w:val="007130CD"/>
    <w:rsid w:val="00713739"/>
    <w:rsid w:val="007138A1"/>
    <w:rsid w:val="0071466C"/>
    <w:rsid w:val="007148FB"/>
    <w:rsid w:val="00714E1D"/>
    <w:rsid w:val="00717F5B"/>
    <w:rsid w:val="007204DC"/>
    <w:rsid w:val="007206B6"/>
    <w:rsid w:val="00721025"/>
    <w:rsid w:val="007215F6"/>
    <w:rsid w:val="00722A37"/>
    <w:rsid w:val="00722ADA"/>
    <w:rsid w:val="00722DEC"/>
    <w:rsid w:val="00723326"/>
    <w:rsid w:val="00723482"/>
    <w:rsid w:val="00725657"/>
    <w:rsid w:val="00725A4E"/>
    <w:rsid w:val="00726467"/>
    <w:rsid w:val="00726A37"/>
    <w:rsid w:val="0072757F"/>
    <w:rsid w:val="00727C65"/>
    <w:rsid w:val="0073020D"/>
    <w:rsid w:val="00730657"/>
    <w:rsid w:val="00731FF2"/>
    <w:rsid w:val="00732265"/>
    <w:rsid w:val="00732624"/>
    <w:rsid w:val="007327E6"/>
    <w:rsid w:val="0073283D"/>
    <w:rsid w:val="0073305C"/>
    <w:rsid w:val="00733310"/>
    <w:rsid w:val="007338B7"/>
    <w:rsid w:val="00733EA4"/>
    <w:rsid w:val="00734D18"/>
    <w:rsid w:val="00734E20"/>
    <w:rsid w:val="00736745"/>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3E29"/>
    <w:rsid w:val="00754915"/>
    <w:rsid w:val="007554E9"/>
    <w:rsid w:val="00755611"/>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5FE"/>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161"/>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6137"/>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56FDD"/>
    <w:rsid w:val="00860804"/>
    <w:rsid w:val="00864719"/>
    <w:rsid w:val="0086478E"/>
    <w:rsid w:val="00866A2E"/>
    <w:rsid w:val="008675FE"/>
    <w:rsid w:val="008678C8"/>
    <w:rsid w:val="008701A0"/>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1A7C"/>
    <w:rsid w:val="008832FB"/>
    <w:rsid w:val="00883B9F"/>
    <w:rsid w:val="00883BFD"/>
    <w:rsid w:val="00883F31"/>
    <w:rsid w:val="00884CDD"/>
    <w:rsid w:val="00885288"/>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4BD3"/>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2C7B"/>
    <w:rsid w:val="008E379F"/>
    <w:rsid w:val="008E3BEF"/>
    <w:rsid w:val="008E3D95"/>
    <w:rsid w:val="008E3E23"/>
    <w:rsid w:val="008E4336"/>
    <w:rsid w:val="008E45CB"/>
    <w:rsid w:val="008E567B"/>
    <w:rsid w:val="008E75E8"/>
    <w:rsid w:val="008E7D9E"/>
    <w:rsid w:val="008F0190"/>
    <w:rsid w:val="008F0A2F"/>
    <w:rsid w:val="008F10A1"/>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4971"/>
    <w:rsid w:val="00916657"/>
    <w:rsid w:val="009172C0"/>
    <w:rsid w:val="00917702"/>
    <w:rsid w:val="00917A94"/>
    <w:rsid w:val="00920585"/>
    <w:rsid w:val="00922BFD"/>
    <w:rsid w:val="00922D69"/>
    <w:rsid w:val="00923B05"/>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6ACF"/>
    <w:rsid w:val="00946C99"/>
    <w:rsid w:val="00950CC8"/>
    <w:rsid w:val="00951635"/>
    <w:rsid w:val="009549B7"/>
    <w:rsid w:val="00954A3B"/>
    <w:rsid w:val="0095523B"/>
    <w:rsid w:val="00956093"/>
    <w:rsid w:val="00956235"/>
    <w:rsid w:val="00956749"/>
    <w:rsid w:val="00957FBA"/>
    <w:rsid w:val="00963361"/>
    <w:rsid w:val="00964971"/>
    <w:rsid w:val="00964A21"/>
    <w:rsid w:val="00964A46"/>
    <w:rsid w:val="00965F2A"/>
    <w:rsid w:val="00966132"/>
    <w:rsid w:val="009667B5"/>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63B"/>
    <w:rsid w:val="009A5D22"/>
    <w:rsid w:val="009A6617"/>
    <w:rsid w:val="009A7B81"/>
    <w:rsid w:val="009A7C4D"/>
    <w:rsid w:val="009B03CD"/>
    <w:rsid w:val="009B10E2"/>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77D7"/>
    <w:rsid w:val="009E086A"/>
    <w:rsid w:val="009E3C1D"/>
    <w:rsid w:val="009E3FED"/>
    <w:rsid w:val="009E40AA"/>
    <w:rsid w:val="009E4AA2"/>
    <w:rsid w:val="009E5020"/>
    <w:rsid w:val="009E502A"/>
    <w:rsid w:val="009E5903"/>
    <w:rsid w:val="009E5956"/>
    <w:rsid w:val="009E7158"/>
    <w:rsid w:val="009F0D5E"/>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370A"/>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1D4"/>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BD5"/>
    <w:rsid w:val="00A76EDE"/>
    <w:rsid w:val="00A77D66"/>
    <w:rsid w:val="00A80A5C"/>
    <w:rsid w:val="00A82577"/>
    <w:rsid w:val="00A831A9"/>
    <w:rsid w:val="00A84739"/>
    <w:rsid w:val="00A84837"/>
    <w:rsid w:val="00A85342"/>
    <w:rsid w:val="00A85C91"/>
    <w:rsid w:val="00A866E6"/>
    <w:rsid w:val="00A86BD4"/>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6C31"/>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C6993"/>
    <w:rsid w:val="00AD16B3"/>
    <w:rsid w:val="00AD17C7"/>
    <w:rsid w:val="00AD23D1"/>
    <w:rsid w:val="00AD2E34"/>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E7FAF"/>
    <w:rsid w:val="00AF0E46"/>
    <w:rsid w:val="00AF1638"/>
    <w:rsid w:val="00AF260E"/>
    <w:rsid w:val="00AF338C"/>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157B"/>
    <w:rsid w:val="00B420FA"/>
    <w:rsid w:val="00B42E22"/>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488E"/>
    <w:rsid w:val="00B55171"/>
    <w:rsid w:val="00B56CA3"/>
    <w:rsid w:val="00B56DEE"/>
    <w:rsid w:val="00B60E09"/>
    <w:rsid w:val="00B620C9"/>
    <w:rsid w:val="00B627EA"/>
    <w:rsid w:val="00B64419"/>
    <w:rsid w:val="00B65415"/>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6090"/>
    <w:rsid w:val="00BC6539"/>
    <w:rsid w:val="00BC723B"/>
    <w:rsid w:val="00BD3056"/>
    <w:rsid w:val="00BD3BEA"/>
    <w:rsid w:val="00BD431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0B1"/>
    <w:rsid w:val="00C0296B"/>
    <w:rsid w:val="00C03590"/>
    <w:rsid w:val="00C03AE2"/>
    <w:rsid w:val="00C03DDC"/>
    <w:rsid w:val="00C04F06"/>
    <w:rsid w:val="00C04F97"/>
    <w:rsid w:val="00C0564C"/>
    <w:rsid w:val="00C06353"/>
    <w:rsid w:val="00C06C9D"/>
    <w:rsid w:val="00C06F16"/>
    <w:rsid w:val="00C07965"/>
    <w:rsid w:val="00C10E65"/>
    <w:rsid w:val="00C11A0C"/>
    <w:rsid w:val="00C11B0D"/>
    <w:rsid w:val="00C1385C"/>
    <w:rsid w:val="00C1416D"/>
    <w:rsid w:val="00C149EF"/>
    <w:rsid w:val="00C14D2B"/>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1D1E"/>
    <w:rsid w:val="00C52ECA"/>
    <w:rsid w:val="00C53314"/>
    <w:rsid w:val="00C53AC7"/>
    <w:rsid w:val="00C54A56"/>
    <w:rsid w:val="00C54AFD"/>
    <w:rsid w:val="00C55F5B"/>
    <w:rsid w:val="00C56A7A"/>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7AC"/>
    <w:rsid w:val="00C87BF7"/>
    <w:rsid w:val="00C913B7"/>
    <w:rsid w:val="00C920BE"/>
    <w:rsid w:val="00C93500"/>
    <w:rsid w:val="00C94DF3"/>
    <w:rsid w:val="00C9500F"/>
    <w:rsid w:val="00C95C60"/>
    <w:rsid w:val="00C96075"/>
    <w:rsid w:val="00C969D6"/>
    <w:rsid w:val="00C96F44"/>
    <w:rsid w:val="00C97594"/>
    <w:rsid w:val="00CA0673"/>
    <w:rsid w:val="00CA09CC"/>
    <w:rsid w:val="00CA218F"/>
    <w:rsid w:val="00CA34A7"/>
    <w:rsid w:val="00CA47F6"/>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3E74"/>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26C7"/>
    <w:rsid w:val="00CE2E96"/>
    <w:rsid w:val="00CE33B5"/>
    <w:rsid w:val="00CE541D"/>
    <w:rsid w:val="00CE5812"/>
    <w:rsid w:val="00CE6F76"/>
    <w:rsid w:val="00CE7296"/>
    <w:rsid w:val="00CE77D2"/>
    <w:rsid w:val="00CE7BCC"/>
    <w:rsid w:val="00CF0A42"/>
    <w:rsid w:val="00CF0E36"/>
    <w:rsid w:val="00CF2265"/>
    <w:rsid w:val="00CF2E06"/>
    <w:rsid w:val="00CF32D8"/>
    <w:rsid w:val="00CF638D"/>
    <w:rsid w:val="00CF6CA0"/>
    <w:rsid w:val="00CF71C9"/>
    <w:rsid w:val="00CF79BC"/>
    <w:rsid w:val="00CF7E65"/>
    <w:rsid w:val="00D00093"/>
    <w:rsid w:val="00D005F0"/>
    <w:rsid w:val="00D0309C"/>
    <w:rsid w:val="00D037F7"/>
    <w:rsid w:val="00D04468"/>
    <w:rsid w:val="00D051E6"/>
    <w:rsid w:val="00D0525E"/>
    <w:rsid w:val="00D05502"/>
    <w:rsid w:val="00D0581C"/>
    <w:rsid w:val="00D10259"/>
    <w:rsid w:val="00D1030D"/>
    <w:rsid w:val="00D1131A"/>
    <w:rsid w:val="00D11BF0"/>
    <w:rsid w:val="00D11FEF"/>
    <w:rsid w:val="00D13F4E"/>
    <w:rsid w:val="00D155A0"/>
    <w:rsid w:val="00D1635E"/>
    <w:rsid w:val="00D17C97"/>
    <w:rsid w:val="00D17D98"/>
    <w:rsid w:val="00D20238"/>
    <w:rsid w:val="00D22155"/>
    <w:rsid w:val="00D225DA"/>
    <w:rsid w:val="00D237B1"/>
    <w:rsid w:val="00D259CE"/>
    <w:rsid w:val="00D2600E"/>
    <w:rsid w:val="00D26127"/>
    <w:rsid w:val="00D26ADA"/>
    <w:rsid w:val="00D30457"/>
    <w:rsid w:val="00D304D9"/>
    <w:rsid w:val="00D30730"/>
    <w:rsid w:val="00D314EE"/>
    <w:rsid w:val="00D31532"/>
    <w:rsid w:val="00D318AC"/>
    <w:rsid w:val="00D31D8A"/>
    <w:rsid w:val="00D31E1E"/>
    <w:rsid w:val="00D33412"/>
    <w:rsid w:val="00D340C9"/>
    <w:rsid w:val="00D34345"/>
    <w:rsid w:val="00D3468C"/>
    <w:rsid w:val="00D34AA3"/>
    <w:rsid w:val="00D34C6F"/>
    <w:rsid w:val="00D36E63"/>
    <w:rsid w:val="00D37E8D"/>
    <w:rsid w:val="00D403D0"/>
    <w:rsid w:val="00D40C6C"/>
    <w:rsid w:val="00D41FD1"/>
    <w:rsid w:val="00D4390A"/>
    <w:rsid w:val="00D443C9"/>
    <w:rsid w:val="00D452F9"/>
    <w:rsid w:val="00D4539B"/>
    <w:rsid w:val="00D45561"/>
    <w:rsid w:val="00D458BB"/>
    <w:rsid w:val="00D47214"/>
    <w:rsid w:val="00D47EC6"/>
    <w:rsid w:val="00D50F97"/>
    <w:rsid w:val="00D51FED"/>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66B"/>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B4945"/>
    <w:rsid w:val="00DC1518"/>
    <w:rsid w:val="00DC49D4"/>
    <w:rsid w:val="00DC49DE"/>
    <w:rsid w:val="00DC6158"/>
    <w:rsid w:val="00DD2082"/>
    <w:rsid w:val="00DD2A5D"/>
    <w:rsid w:val="00DD2DD5"/>
    <w:rsid w:val="00DD3176"/>
    <w:rsid w:val="00DD33D9"/>
    <w:rsid w:val="00DD45A3"/>
    <w:rsid w:val="00DD5D79"/>
    <w:rsid w:val="00DD64D0"/>
    <w:rsid w:val="00DD6AE6"/>
    <w:rsid w:val="00DD6E5C"/>
    <w:rsid w:val="00DD765B"/>
    <w:rsid w:val="00DE0610"/>
    <w:rsid w:val="00DE0D9E"/>
    <w:rsid w:val="00DE1D78"/>
    <w:rsid w:val="00DE25D7"/>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BBD"/>
    <w:rsid w:val="00DF58FF"/>
    <w:rsid w:val="00DF6683"/>
    <w:rsid w:val="00DF7692"/>
    <w:rsid w:val="00E00352"/>
    <w:rsid w:val="00E00590"/>
    <w:rsid w:val="00E0163E"/>
    <w:rsid w:val="00E01C60"/>
    <w:rsid w:val="00E02A4F"/>
    <w:rsid w:val="00E03A9B"/>
    <w:rsid w:val="00E0460C"/>
    <w:rsid w:val="00E0482B"/>
    <w:rsid w:val="00E05E72"/>
    <w:rsid w:val="00E06F10"/>
    <w:rsid w:val="00E074AE"/>
    <w:rsid w:val="00E076AE"/>
    <w:rsid w:val="00E07D03"/>
    <w:rsid w:val="00E10002"/>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8D4"/>
    <w:rsid w:val="00E26DD9"/>
    <w:rsid w:val="00E277EF"/>
    <w:rsid w:val="00E30DB0"/>
    <w:rsid w:val="00E30FE2"/>
    <w:rsid w:val="00E326FF"/>
    <w:rsid w:val="00E3314A"/>
    <w:rsid w:val="00E3345C"/>
    <w:rsid w:val="00E339C6"/>
    <w:rsid w:val="00E34A35"/>
    <w:rsid w:val="00E35304"/>
    <w:rsid w:val="00E369D3"/>
    <w:rsid w:val="00E36C1A"/>
    <w:rsid w:val="00E36E76"/>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F3E"/>
    <w:rsid w:val="00E50391"/>
    <w:rsid w:val="00E50593"/>
    <w:rsid w:val="00E51CF4"/>
    <w:rsid w:val="00E54642"/>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2BA1"/>
    <w:rsid w:val="00E740E4"/>
    <w:rsid w:val="00E744D7"/>
    <w:rsid w:val="00E74D5B"/>
    <w:rsid w:val="00E74F4D"/>
    <w:rsid w:val="00E76944"/>
    <w:rsid w:val="00E76B21"/>
    <w:rsid w:val="00E7737B"/>
    <w:rsid w:val="00E773BE"/>
    <w:rsid w:val="00E77771"/>
    <w:rsid w:val="00E77F4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5113"/>
    <w:rsid w:val="00EB5BF6"/>
    <w:rsid w:val="00EB76AC"/>
    <w:rsid w:val="00EB7A4B"/>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6A3E"/>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4E9"/>
    <w:rsid w:val="00F358DC"/>
    <w:rsid w:val="00F359E9"/>
    <w:rsid w:val="00F3639E"/>
    <w:rsid w:val="00F3727E"/>
    <w:rsid w:val="00F417CB"/>
    <w:rsid w:val="00F41B75"/>
    <w:rsid w:val="00F434CF"/>
    <w:rsid w:val="00F43EC8"/>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1DCF"/>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255F"/>
    <w:rsid w:val="00FB300D"/>
    <w:rsid w:val="00FB345B"/>
    <w:rsid w:val="00FB3543"/>
    <w:rsid w:val="00FB3F7F"/>
    <w:rsid w:val="00FB414D"/>
    <w:rsid w:val="00FB49F6"/>
    <w:rsid w:val="00FB4FDC"/>
    <w:rsid w:val="00FB6139"/>
    <w:rsid w:val="00FB648C"/>
    <w:rsid w:val="00FB73E6"/>
    <w:rsid w:val="00FB764A"/>
    <w:rsid w:val="00FB7A1B"/>
    <w:rsid w:val="00FB7D56"/>
    <w:rsid w:val="00FC0894"/>
    <w:rsid w:val="00FC2729"/>
    <w:rsid w:val="00FC2BAB"/>
    <w:rsid w:val="00FC3267"/>
    <w:rsid w:val="00FC3647"/>
    <w:rsid w:val="00FC3903"/>
    <w:rsid w:val="00FC4482"/>
    <w:rsid w:val="00FC45EA"/>
    <w:rsid w:val="00FC45F4"/>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60E7"/>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CCB635"/>
  <w15:docId w15:val="{A13E66A6-8238-43F5-B763-4C069AB5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30607261">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18/13-04-2018/regs/Pages/_document00000/_level%20100007/_level%20200071/legend_current_mrpop0203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5D27-D3EB-496C-BDC7-1678194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EXPLANATORY STATEMENT</dc:title>
  <dc:subject/>
  <dc:creator>Bambie NGUYEN-TRAN</dc:creator>
  <cp:keywords/>
  <dc:description/>
  <cp:lastModifiedBy>Louise STAKER</cp:lastModifiedBy>
  <cp:revision>2</cp:revision>
  <cp:lastPrinted>2018-05-16T10:19:00Z</cp:lastPrinted>
  <dcterms:created xsi:type="dcterms:W3CDTF">2018-05-16T10:32:00Z</dcterms:created>
  <dcterms:modified xsi:type="dcterms:W3CDTF">2018-05-16T10:32:00Z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