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B13F" w14:textId="52B5D60F" w:rsidR="004F7E55" w:rsidRPr="004F7E55" w:rsidRDefault="004F7E55" w:rsidP="004C0BE8">
      <w:pPr>
        <w:jc w:val="center"/>
        <w:rPr>
          <w:rFonts w:ascii="Times New Roman" w:hAnsi="Times New Roman" w:cs="Times New Roman"/>
          <w:b/>
          <w:sz w:val="28"/>
          <w:szCs w:val="28"/>
        </w:rPr>
      </w:pPr>
      <w:bookmarkStart w:id="0" w:name="_GoBack"/>
      <w:bookmarkEnd w:id="0"/>
      <w:r w:rsidRPr="004F7E55">
        <w:rPr>
          <w:rFonts w:ascii="Times New Roman" w:hAnsi="Times New Roman" w:cs="Times New Roman"/>
          <w:b/>
          <w:sz w:val="28"/>
          <w:szCs w:val="28"/>
        </w:rPr>
        <w:t>EXPLANATORY STATEMENT for</w:t>
      </w:r>
    </w:p>
    <w:p w14:paraId="7E171DA8" w14:textId="54526A0C" w:rsidR="00926254" w:rsidRDefault="004F7E55" w:rsidP="004C0BE8">
      <w:pPr>
        <w:jc w:val="center"/>
        <w:rPr>
          <w:rFonts w:ascii="Times New Roman" w:hAnsi="Times New Roman" w:cs="Times New Roman"/>
          <w:b/>
          <w:sz w:val="28"/>
          <w:szCs w:val="28"/>
        </w:rPr>
      </w:pPr>
      <w:r w:rsidRPr="004F7E55">
        <w:rPr>
          <w:rFonts w:ascii="Times New Roman" w:hAnsi="Times New Roman" w:cs="Times New Roman"/>
          <w:b/>
          <w:sz w:val="28"/>
          <w:szCs w:val="28"/>
        </w:rPr>
        <w:t>ASIC Corpo</w:t>
      </w:r>
      <w:r>
        <w:rPr>
          <w:rFonts w:ascii="Times New Roman" w:hAnsi="Times New Roman" w:cs="Times New Roman"/>
          <w:b/>
          <w:sz w:val="28"/>
          <w:szCs w:val="28"/>
        </w:rPr>
        <w:t>rations (AFCA transition)</w:t>
      </w:r>
      <w:r w:rsidRPr="004F7E55">
        <w:rPr>
          <w:rFonts w:ascii="Times New Roman" w:hAnsi="Times New Roman" w:cs="Times New Roman"/>
          <w:b/>
          <w:sz w:val="28"/>
          <w:szCs w:val="28"/>
        </w:rPr>
        <w:t xml:space="preserve"> Instrument 2018/</w:t>
      </w:r>
      <w:r w:rsidR="00D64858">
        <w:rPr>
          <w:rFonts w:ascii="Times New Roman" w:hAnsi="Times New Roman" w:cs="Times New Roman"/>
          <w:b/>
          <w:sz w:val="28"/>
          <w:szCs w:val="28"/>
        </w:rPr>
        <w:t>447</w:t>
      </w:r>
    </w:p>
    <w:p w14:paraId="21B605D9" w14:textId="74125C9E" w:rsidR="004F7E55" w:rsidRDefault="004F7E55" w:rsidP="004C0BE8">
      <w:pPr>
        <w:jc w:val="center"/>
        <w:rPr>
          <w:rFonts w:ascii="Times New Roman" w:hAnsi="Times New Roman" w:cs="Times New Roman"/>
        </w:rPr>
      </w:pPr>
      <w:r w:rsidRPr="004F7E55">
        <w:rPr>
          <w:rFonts w:ascii="Times New Roman" w:hAnsi="Times New Roman" w:cs="Times New Roman"/>
        </w:rPr>
        <w:t>and</w:t>
      </w:r>
    </w:p>
    <w:p w14:paraId="7F780FB5" w14:textId="3F89181F" w:rsidR="004F7E55" w:rsidRPr="004F7E55" w:rsidRDefault="004F7E55" w:rsidP="004C0BE8">
      <w:pPr>
        <w:jc w:val="center"/>
        <w:rPr>
          <w:rFonts w:ascii="Times New Roman" w:hAnsi="Times New Roman" w:cs="Times New Roman"/>
          <w:b/>
          <w:sz w:val="28"/>
          <w:szCs w:val="28"/>
        </w:rPr>
      </w:pPr>
      <w:r w:rsidRPr="004F7E55">
        <w:rPr>
          <w:rFonts w:ascii="Times New Roman" w:hAnsi="Times New Roman" w:cs="Times New Roman"/>
          <w:b/>
          <w:sz w:val="28"/>
          <w:szCs w:val="28"/>
        </w:rPr>
        <w:t>ASIC C</w:t>
      </w:r>
      <w:r w:rsidR="00910782">
        <w:rPr>
          <w:rFonts w:ascii="Times New Roman" w:hAnsi="Times New Roman" w:cs="Times New Roman"/>
          <w:b/>
          <w:sz w:val="28"/>
          <w:szCs w:val="28"/>
        </w:rPr>
        <w:t>redit</w:t>
      </w:r>
      <w:r w:rsidRPr="004F7E55">
        <w:rPr>
          <w:rFonts w:ascii="Times New Roman" w:hAnsi="Times New Roman" w:cs="Times New Roman"/>
          <w:b/>
          <w:sz w:val="28"/>
          <w:szCs w:val="28"/>
        </w:rPr>
        <w:t xml:space="preserve"> (AFCA transition) Instrument 2018/</w:t>
      </w:r>
      <w:r w:rsidR="00D64858">
        <w:rPr>
          <w:rFonts w:ascii="Times New Roman" w:hAnsi="Times New Roman" w:cs="Times New Roman"/>
          <w:b/>
          <w:sz w:val="28"/>
          <w:szCs w:val="28"/>
        </w:rPr>
        <w:t>448</w:t>
      </w:r>
    </w:p>
    <w:p w14:paraId="662D49AE" w14:textId="220CB21D" w:rsidR="004F7E55" w:rsidRDefault="004F7E55" w:rsidP="004F7E55">
      <w:pPr>
        <w:rPr>
          <w:rFonts w:ascii="Times New Roman" w:hAnsi="Times New Roman" w:cs="Times New Roman"/>
          <w:b/>
        </w:rPr>
      </w:pPr>
    </w:p>
    <w:p w14:paraId="7C4A5999" w14:textId="47A91769" w:rsidR="004F7E55" w:rsidRPr="004F7E55" w:rsidRDefault="004F7E55" w:rsidP="004C0BE8">
      <w:pPr>
        <w:jc w:val="center"/>
        <w:rPr>
          <w:rFonts w:ascii="Times New Roman" w:hAnsi="Times New Roman" w:cs="Times New Roman"/>
        </w:rPr>
      </w:pPr>
      <w:r w:rsidRPr="004F7E55">
        <w:rPr>
          <w:rFonts w:ascii="Times New Roman" w:hAnsi="Times New Roman" w:cs="Times New Roman"/>
        </w:rPr>
        <w:t>Prepared by the Australian Securities and Investments Commission</w:t>
      </w:r>
    </w:p>
    <w:p w14:paraId="0000158B" w14:textId="34883B09" w:rsidR="00BE3DA3" w:rsidRDefault="004F7E55" w:rsidP="004C0BE8">
      <w:pPr>
        <w:jc w:val="center"/>
        <w:rPr>
          <w:rFonts w:ascii="Times New Roman" w:hAnsi="Times New Roman" w:cs="Times New Roman"/>
          <w:i/>
        </w:rPr>
      </w:pPr>
      <w:r w:rsidRPr="004F7E55">
        <w:rPr>
          <w:rFonts w:ascii="Times New Roman" w:hAnsi="Times New Roman" w:cs="Times New Roman"/>
          <w:i/>
        </w:rPr>
        <w:t>Corporations Act 200</w:t>
      </w:r>
      <w:r w:rsidR="00BE3DA3">
        <w:rPr>
          <w:rFonts w:ascii="Times New Roman" w:hAnsi="Times New Roman" w:cs="Times New Roman"/>
          <w:i/>
        </w:rPr>
        <w:t>1</w:t>
      </w:r>
    </w:p>
    <w:p w14:paraId="3CF3ED8A" w14:textId="745FD55A" w:rsidR="004F7E55" w:rsidRDefault="00BE3DA3" w:rsidP="004C0BE8">
      <w:pPr>
        <w:jc w:val="center"/>
        <w:rPr>
          <w:rFonts w:ascii="Times New Roman" w:hAnsi="Times New Roman" w:cs="Times New Roman"/>
          <w:i/>
        </w:rPr>
      </w:pPr>
      <w:r>
        <w:rPr>
          <w:rFonts w:ascii="Times New Roman" w:hAnsi="Times New Roman" w:cs="Times New Roman"/>
          <w:i/>
        </w:rPr>
        <w:t>National Consumer Credit Protection Act 2009</w:t>
      </w:r>
    </w:p>
    <w:p w14:paraId="1B88CCD1" w14:textId="77777777" w:rsidR="00346821" w:rsidRPr="004F7E55" w:rsidRDefault="00346821" w:rsidP="004C0BE8">
      <w:pPr>
        <w:jc w:val="center"/>
        <w:rPr>
          <w:rFonts w:ascii="Times New Roman" w:hAnsi="Times New Roman" w:cs="Times New Roman"/>
          <w:i/>
        </w:rPr>
      </w:pPr>
    </w:p>
    <w:p w14:paraId="4BAC03A8" w14:textId="6B319A1A" w:rsidR="004F7E55" w:rsidRDefault="004F7E55" w:rsidP="00912480">
      <w:pPr>
        <w:spacing w:line="276" w:lineRule="auto"/>
        <w:rPr>
          <w:rFonts w:ascii="Times New Roman" w:hAnsi="Times New Roman" w:cs="Times New Roman"/>
        </w:rPr>
      </w:pPr>
      <w:r w:rsidRPr="004F7E55">
        <w:rPr>
          <w:rFonts w:ascii="Times New Roman" w:hAnsi="Times New Roman" w:cs="Times New Roman"/>
        </w:rPr>
        <w:t>The Australian Securities and Investments Commission (ASIC) makes</w:t>
      </w:r>
      <w:r w:rsidRPr="004F7E55">
        <w:rPr>
          <w:rFonts w:ascii="Times New Roman" w:hAnsi="Times New Roman" w:cs="Times New Roman"/>
          <w:i/>
        </w:rPr>
        <w:t xml:space="preserve"> ASIC Corporations (AFCA transition) Instrument 2018/</w:t>
      </w:r>
      <w:r w:rsidR="00D64858">
        <w:rPr>
          <w:rFonts w:ascii="Times New Roman" w:hAnsi="Times New Roman" w:cs="Times New Roman"/>
          <w:i/>
        </w:rPr>
        <w:t>447</w:t>
      </w:r>
      <w:r>
        <w:rPr>
          <w:rFonts w:ascii="Times New Roman" w:hAnsi="Times New Roman" w:cs="Times New Roman"/>
        </w:rPr>
        <w:t xml:space="preserve"> under</w:t>
      </w:r>
      <w:r w:rsidR="00BE3DA3">
        <w:rPr>
          <w:rFonts w:ascii="Times New Roman" w:hAnsi="Times New Roman" w:cs="Times New Roman"/>
        </w:rPr>
        <w:t xml:space="preserve"> </w:t>
      </w:r>
      <w:r w:rsidR="00602006">
        <w:rPr>
          <w:rFonts w:ascii="Times New Roman" w:hAnsi="Times New Roman" w:cs="Times New Roman"/>
        </w:rPr>
        <w:t>subsections 951</w:t>
      </w:r>
      <w:proofErr w:type="gramStart"/>
      <w:r>
        <w:rPr>
          <w:rFonts w:ascii="Times New Roman" w:hAnsi="Times New Roman" w:cs="Times New Roman"/>
        </w:rPr>
        <w:t>B(</w:t>
      </w:r>
      <w:proofErr w:type="gramEnd"/>
      <w:r>
        <w:rPr>
          <w:rFonts w:ascii="Times New Roman" w:hAnsi="Times New Roman" w:cs="Times New Roman"/>
        </w:rPr>
        <w:t xml:space="preserve">1) and 1020F of </w:t>
      </w:r>
      <w:r w:rsidRPr="00602006">
        <w:rPr>
          <w:rFonts w:ascii="Times New Roman" w:hAnsi="Times New Roman" w:cs="Times New Roman"/>
          <w:i/>
        </w:rPr>
        <w:t>Corporations Act 2001</w:t>
      </w:r>
      <w:r w:rsidR="00602006">
        <w:rPr>
          <w:rFonts w:ascii="Times New Roman" w:hAnsi="Times New Roman" w:cs="Times New Roman"/>
        </w:rPr>
        <w:t xml:space="preserve"> (the Corporations Act)</w:t>
      </w:r>
      <w:r w:rsidR="00BE3DA3">
        <w:rPr>
          <w:rFonts w:ascii="Times New Roman" w:hAnsi="Times New Roman" w:cs="Times New Roman"/>
        </w:rPr>
        <w:t>.  Subsections 951</w:t>
      </w:r>
      <w:proofErr w:type="gramStart"/>
      <w:r w:rsidR="00602006">
        <w:rPr>
          <w:rFonts w:ascii="Times New Roman" w:hAnsi="Times New Roman" w:cs="Times New Roman"/>
        </w:rPr>
        <w:t>B(</w:t>
      </w:r>
      <w:proofErr w:type="gramEnd"/>
      <w:r w:rsidR="00602006">
        <w:rPr>
          <w:rFonts w:ascii="Times New Roman" w:hAnsi="Times New Roman" w:cs="Times New Roman"/>
        </w:rPr>
        <w:t>1) and 1020</w:t>
      </w:r>
      <w:r w:rsidR="00BE3DA3">
        <w:rPr>
          <w:rFonts w:ascii="Times New Roman" w:hAnsi="Times New Roman" w:cs="Times New Roman"/>
        </w:rPr>
        <w:t xml:space="preserve">F </w:t>
      </w:r>
      <w:r w:rsidR="00144789">
        <w:rPr>
          <w:rFonts w:ascii="Times New Roman" w:hAnsi="Times New Roman" w:cs="Times New Roman"/>
        </w:rPr>
        <w:t xml:space="preserve">relevantly </w:t>
      </w:r>
      <w:r w:rsidR="00BE3DA3">
        <w:rPr>
          <w:rFonts w:ascii="Times New Roman" w:hAnsi="Times New Roman" w:cs="Times New Roman"/>
        </w:rPr>
        <w:t>provide that ASIC may exempt a class of persons from speci</w:t>
      </w:r>
      <w:r w:rsidR="00602006">
        <w:rPr>
          <w:rFonts w:ascii="Times New Roman" w:hAnsi="Times New Roman" w:cs="Times New Roman"/>
        </w:rPr>
        <w:t xml:space="preserve">fied provisions of Pt7.7 </w:t>
      </w:r>
      <w:r w:rsidR="00144789">
        <w:rPr>
          <w:rFonts w:ascii="Times New Roman" w:hAnsi="Times New Roman" w:cs="Times New Roman"/>
        </w:rPr>
        <w:t xml:space="preserve">and 7.9 </w:t>
      </w:r>
      <w:r w:rsidR="00602006">
        <w:rPr>
          <w:rFonts w:ascii="Times New Roman" w:hAnsi="Times New Roman" w:cs="Times New Roman"/>
        </w:rPr>
        <w:t xml:space="preserve">of </w:t>
      </w:r>
      <w:r w:rsidR="00BE3DA3">
        <w:rPr>
          <w:rFonts w:ascii="Times New Roman" w:hAnsi="Times New Roman" w:cs="Times New Roman"/>
        </w:rPr>
        <w:t>the Corporations Act</w:t>
      </w:r>
      <w:r w:rsidR="00144789">
        <w:rPr>
          <w:rFonts w:ascii="Times New Roman" w:hAnsi="Times New Roman" w:cs="Times New Roman"/>
        </w:rPr>
        <w:t xml:space="preserve"> and declare that those parts apply as if modified or varied in the declaration</w:t>
      </w:r>
      <w:r w:rsidR="00BE3DA3">
        <w:rPr>
          <w:rFonts w:ascii="Times New Roman" w:hAnsi="Times New Roman" w:cs="Times New Roman"/>
        </w:rPr>
        <w:t>.</w:t>
      </w:r>
    </w:p>
    <w:p w14:paraId="1201F819" w14:textId="01FA2452" w:rsidR="00BE3DA3" w:rsidRDefault="00BE3DA3" w:rsidP="00912480">
      <w:pPr>
        <w:spacing w:line="276" w:lineRule="auto"/>
        <w:rPr>
          <w:rFonts w:ascii="Times New Roman" w:hAnsi="Times New Roman" w:cs="Times New Roman"/>
        </w:rPr>
      </w:pPr>
      <w:r>
        <w:rPr>
          <w:rFonts w:ascii="Times New Roman" w:hAnsi="Times New Roman" w:cs="Times New Roman"/>
        </w:rPr>
        <w:t xml:space="preserve">ASIC makes </w:t>
      </w:r>
      <w:r w:rsidRPr="002A25C1">
        <w:rPr>
          <w:rFonts w:ascii="Times New Roman" w:hAnsi="Times New Roman" w:cs="Times New Roman"/>
          <w:i/>
        </w:rPr>
        <w:t>ASIC C</w:t>
      </w:r>
      <w:r w:rsidR="003C297F">
        <w:rPr>
          <w:rFonts w:ascii="Times New Roman" w:hAnsi="Times New Roman" w:cs="Times New Roman"/>
          <w:i/>
        </w:rPr>
        <w:t>redit</w:t>
      </w:r>
      <w:r w:rsidRPr="002A25C1">
        <w:rPr>
          <w:rFonts w:ascii="Times New Roman" w:hAnsi="Times New Roman" w:cs="Times New Roman"/>
          <w:i/>
        </w:rPr>
        <w:t xml:space="preserve"> (AFCA transition) Instrument 2018/</w:t>
      </w:r>
      <w:r w:rsidR="00D64858">
        <w:rPr>
          <w:rFonts w:ascii="Times New Roman" w:hAnsi="Times New Roman" w:cs="Times New Roman"/>
          <w:i/>
        </w:rPr>
        <w:t>448</w:t>
      </w:r>
      <w:r>
        <w:rPr>
          <w:rFonts w:ascii="Times New Roman" w:hAnsi="Times New Roman" w:cs="Times New Roman"/>
        </w:rPr>
        <w:t xml:space="preserve"> under subsection</w:t>
      </w:r>
      <w:r w:rsidR="00144789">
        <w:rPr>
          <w:rFonts w:ascii="Times New Roman" w:hAnsi="Times New Roman" w:cs="Times New Roman"/>
        </w:rPr>
        <w:t xml:space="preserve"> 163(1)</w:t>
      </w:r>
      <w:r>
        <w:rPr>
          <w:rFonts w:ascii="Times New Roman" w:hAnsi="Times New Roman" w:cs="Times New Roman"/>
        </w:rPr>
        <w:t xml:space="preserve"> of </w:t>
      </w:r>
      <w:r w:rsidRPr="00BE3DA3">
        <w:rPr>
          <w:rFonts w:ascii="Times New Roman" w:hAnsi="Times New Roman" w:cs="Times New Roman"/>
          <w:i/>
        </w:rPr>
        <w:t>National Consumer Credit Protection Act 2009</w:t>
      </w:r>
      <w:r w:rsidR="00602006">
        <w:rPr>
          <w:rFonts w:ascii="Times New Roman" w:hAnsi="Times New Roman" w:cs="Times New Roman"/>
          <w:i/>
        </w:rPr>
        <w:t xml:space="preserve"> </w:t>
      </w:r>
      <w:r w:rsidR="00602006" w:rsidRPr="00602006">
        <w:rPr>
          <w:rFonts w:ascii="Times New Roman" w:hAnsi="Times New Roman" w:cs="Times New Roman"/>
        </w:rPr>
        <w:t>(the Credit Act)</w:t>
      </w:r>
      <w:r w:rsidRPr="00602006">
        <w:rPr>
          <w:rFonts w:ascii="Times New Roman" w:hAnsi="Times New Roman" w:cs="Times New Roman"/>
        </w:rPr>
        <w:t>.</w:t>
      </w:r>
      <w:r>
        <w:rPr>
          <w:rFonts w:ascii="Times New Roman" w:hAnsi="Times New Roman" w:cs="Times New Roman"/>
        </w:rPr>
        <w:t xml:space="preserve">  Subsection </w:t>
      </w:r>
      <w:r w:rsidR="00144789">
        <w:rPr>
          <w:rFonts w:ascii="Times New Roman" w:hAnsi="Times New Roman" w:cs="Times New Roman"/>
        </w:rPr>
        <w:t>163(1)</w:t>
      </w:r>
      <w:r>
        <w:rPr>
          <w:rFonts w:ascii="Times New Roman" w:hAnsi="Times New Roman" w:cs="Times New Roman"/>
        </w:rPr>
        <w:t xml:space="preserve"> </w:t>
      </w:r>
      <w:r w:rsidR="00144789">
        <w:rPr>
          <w:rFonts w:ascii="Times New Roman" w:hAnsi="Times New Roman" w:cs="Times New Roman"/>
        </w:rPr>
        <w:t xml:space="preserve">relevantly </w:t>
      </w:r>
      <w:r>
        <w:rPr>
          <w:rFonts w:ascii="Times New Roman" w:hAnsi="Times New Roman" w:cs="Times New Roman"/>
        </w:rPr>
        <w:t>provide</w:t>
      </w:r>
      <w:r w:rsidR="00144789">
        <w:rPr>
          <w:rFonts w:ascii="Times New Roman" w:hAnsi="Times New Roman" w:cs="Times New Roman"/>
        </w:rPr>
        <w:t>s</w:t>
      </w:r>
      <w:r>
        <w:rPr>
          <w:rFonts w:ascii="Times New Roman" w:hAnsi="Times New Roman" w:cs="Times New Roman"/>
        </w:rPr>
        <w:t xml:space="preserve"> that ASIC may </w:t>
      </w:r>
      <w:r w:rsidR="00D03F38" w:rsidRPr="006213DE">
        <w:rPr>
          <w:rFonts w:ascii="Times New Roman" w:hAnsi="Times New Roman" w:cs="Times New Roman"/>
        </w:rPr>
        <w:t xml:space="preserve">declare that Chapter 3 of the Credit Act applies to </w:t>
      </w:r>
      <w:r w:rsidRPr="006213DE">
        <w:rPr>
          <w:rFonts w:ascii="Times New Roman" w:hAnsi="Times New Roman" w:cs="Times New Roman"/>
        </w:rPr>
        <w:t xml:space="preserve">a class of persons </w:t>
      </w:r>
      <w:r w:rsidR="00D03F38" w:rsidRPr="006213DE">
        <w:rPr>
          <w:rFonts w:ascii="Times New Roman" w:hAnsi="Times New Roman" w:cs="Times New Roman"/>
        </w:rPr>
        <w:t xml:space="preserve">as if </w:t>
      </w:r>
      <w:r w:rsidRPr="006213DE">
        <w:rPr>
          <w:rFonts w:ascii="Times New Roman" w:hAnsi="Times New Roman" w:cs="Times New Roman"/>
        </w:rPr>
        <w:t xml:space="preserve">specified provisions </w:t>
      </w:r>
      <w:r w:rsidR="00D03F38" w:rsidRPr="006213DE">
        <w:rPr>
          <w:rFonts w:ascii="Times New Roman" w:hAnsi="Times New Roman" w:cs="Times New Roman"/>
        </w:rPr>
        <w:t>were modified or varied as set out in the declaration</w:t>
      </w:r>
      <w:r w:rsidR="00DA72FE" w:rsidRPr="006213DE">
        <w:rPr>
          <w:rFonts w:ascii="Times New Roman" w:hAnsi="Times New Roman" w:cs="Times New Roman"/>
        </w:rPr>
        <w:t>.</w:t>
      </w:r>
    </w:p>
    <w:p w14:paraId="792BA115" w14:textId="749A318D" w:rsidR="00DD23A6" w:rsidRDefault="00DD23A6" w:rsidP="00912480">
      <w:pPr>
        <w:spacing w:line="276" w:lineRule="auto"/>
        <w:rPr>
          <w:rFonts w:ascii="Times New Roman" w:hAnsi="Times New Roman" w:cs="Times New Roman"/>
          <w:b/>
        </w:rPr>
      </w:pPr>
      <w:r w:rsidRPr="00DD23A6">
        <w:rPr>
          <w:rFonts w:ascii="Times New Roman" w:hAnsi="Times New Roman" w:cs="Times New Roman"/>
          <w:b/>
        </w:rPr>
        <w:t>1.</w:t>
      </w:r>
      <w:r w:rsidRPr="00DD23A6">
        <w:rPr>
          <w:rFonts w:ascii="Times New Roman" w:hAnsi="Times New Roman" w:cs="Times New Roman"/>
          <w:b/>
        </w:rPr>
        <w:tab/>
        <w:t>Background</w:t>
      </w:r>
    </w:p>
    <w:p w14:paraId="07DAEEE0" w14:textId="2D60D38F" w:rsidR="00A23876" w:rsidRPr="004F7E55" w:rsidRDefault="00A23876" w:rsidP="00912480">
      <w:pPr>
        <w:pStyle w:val="RPG-BodyTextNumbered"/>
        <w:numPr>
          <w:ilvl w:val="0"/>
          <w:numId w:val="0"/>
        </w:numPr>
        <w:spacing w:line="276" w:lineRule="auto"/>
        <w:rPr>
          <w:rFonts w:cs="Times New Roman"/>
        </w:rPr>
      </w:pPr>
      <w:r>
        <w:rPr>
          <w:rFonts w:cs="Times New Roman"/>
        </w:rPr>
        <w:t xml:space="preserve">The </w:t>
      </w:r>
      <w:r w:rsidRPr="00A23876">
        <w:rPr>
          <w:rFonts w:cs="Times New Roman"/>
          <w:i/>
        </w:rPr>
        <w:t>Treasury Laws Amendment (Putting Consumers First – Establishment of the Australian Financial Complaints Authority)</w:t>
      </w:r>
      <w:r>
        <w:rPr>
          <w:rFonts w:cs="Times New Roman"/>
        </w:rPr>
        <w:t xml:space="preserve"> </w:t>
      </w:r>
      <w:r w:rsidRPr="00A23876">
        <w:rPr>
          <w:rFonts w:cs="Times New Roman"/>
          <w:i/>
        </w:rPr>
        <w:t>Act 2018</w:t>
      </w:r>
      <w:r>
        <w:rPr>
          <w:rFonts w:cs="Times New Roman"/>
        </w:rPr>
        <w:t xml:space="preserve"> (the AFCA Act) </w:t>
      </w:r>
      <w:r w:rsidRPr="004F7E55">
        <w:rPr>
          <w:rFonts w:cs="Times New Roman"/>
        </w:rPr>
        <w:t>establis</w:t>
      </w:r>
      <w:r>
        <w:rPr>
          <w:rFonts w:cs="Times New Roman"/>
        </w:rPr>
        <w:t>hes</w:t>
      </w:r>
      <w:r w:rsidRPr="004F7E55">
        <w:rPr>
          <w:rFonts w:cs="Times New Roman"/>
        </w:rPr>
        <w:t xml:space="preserve"> a single financial services external dispute resolution scheme: the Australian Financial Complaints Authority (AFCA).  AFCA will replace the two existing ASIC-approved external dispute resolution (EDR) schemes: </w:t>
      </w:r>
      <w:proofErr w:type="gramStart"/>
      <w:r w:rsidRPr="004F7E55">
        <w:rPr>
          <w:rFonts w:cs="Times New Roman"/>
        </w:rPr>
        <w:t>the</w:t>
      </w:r>
      <w:proofErr w:type="gramEnd"/>
      <w:r w:rsidRPr="004F7E55">
        <w:rPr>
          <w:rFonts w:cs="Times New Roman"/>
        </w:rPr>
        <w:t xml:space="preserve"> Financial Ombudsman Service (FOS) and the Credit and Investments Ombudsman (CIO); and the statutory Superannuation Complaints Tribunal (SCT).</w:t>
      </w:r>
    </w:p>
    <w:p w14:paraId="750AC3FD" w14:textId="14EFF1D0" w:rsidR="00A23876" w:rsidRDefault="00A23876" w:rsidP="00912480">
      <w:pPr>
        <w:pStyle w:val="RPG-BodyTextNumbered"/>
        <w:numPr>
          <w:ilvl w:val="0"/>
          <w:numId w:val="0"/>
        </w:numPr>
        <w:spacing w:line="276" w:lineRule="auto"/>
        <w:rPr>
          <w:rFonts w:cs="Times New Roman"/>
        </w:rPr>
      </w:pPr>
      <w:r w:rsidRPr="004F7E55">
        <w:rPr>
          <w:rFonts w:cs="Times New Roman"/>
        </w:rPr>
        <w:t>On 2 May 2018, the Minister announced the authorisation of Australian Financial Complaints Limited (AFCL) to operate the new AFCA scheme.</w:t>
      </w:r>
    </w:p>
    <w:p w14:paraId="541C751B" w14:textId="56455474" w:rsidR="00A23876" w:rsidRDefault="00A23876" w:rsidP="00912480">
      <w:pPr>
        <w:pStyle w:val="RPG-BodyTextNumbered"/>
        <w:numPr>
          <w:ilvl w:val="0"/>
          <w:numId w:val="0"/>
        </w:numPr>
        <w:spacing w:line="276" w:lineRule="auto"/>
        <w:rPr>
          <w:rFonts w:cs="Times New Roman"/>
        </w:rPr>
      </w:pPr>
      <w:r>
        <w:rPr>
          <w:rFonts w:cs="Times New Roman"/>
        </w:rPr>
        <w:t>The AFCA scheme will commence operations on 1 November 2018.</w:t>
      </w:r>
    </w:p>
    <w:p w14:paraId="30AD029A" w14:textId="58D6007A" w:rsidR="00A23876" w:rsidRPr="004F7E55" w:rsidRDefault="00A23876" w:rsidP="00912480">
      <w:pPr>
        <w:pStyle w:val="RPG-BodyTextNumbered"/>
        <w:numPr>
          <w:ilvl w:val="0"/>
          <w:numId w:val="0"/>
        </w:numPr>
        <w:spacing w:line="276" w:lineRule="auto"/>
        <w:rPr>
          <w:rFonts w:cs="Times New Roman"/>
        </w:rPr>
      </w:pPr>
      <w:r w:rsidRPr="004F7E55">
        <w:rPr>
          <w:rFonts w:cs="Times New Roman"/>
        </w:rPr>
        <w:t xml:space="preserve">There are </w:t>
      </w:r>
      <w:proofErr w:type="gramStart"/>
      <w:r w:rsidRPr="004F7E55">
        <w:rPr>
          <w:rFonts w:cs="Times New Roman"/>
        </w:rPr>
        <w:t>a number of</w:t>
      </w:r>
      <w:proofErr w:type="gramEnd"/>
      <w:r w:rsidRPr="004F7E55">
        <w:rPr>
          <w:rFonts w:cs="Times New Roman"/>
        </w:rPr>
        <w:t xml:space="preserve"> disclosure doc</w:t>
      </w:r>
      <w:r w:rsidR="002A25C1">
        <w:rPr>
          <w:rFonts w:cs="Times New Roman"/>
        </w:rPr>
        <w:t>uments which are required</w:t>
      </w:r>
      <w:r w:rsidRPr="004F7E55">
        <w:rPr>
          <w:rFonts w:cs="Times New Roman"/>
        </w:rPr>
        <w:t xml:space="preserve"> to include details of a financial firm’s EDR scheme.  The </w:t>
      </w:r>
      <w:r w:rsidRPr="002A25C1">
        <w:rPr>
          <w:rFonts w:cs="Times New Roman"/>
        </w:rPr>
        <w:t>AFCA Act consequentially amended various existing legislative provisions to refer to AFCA in the disclosure communications</w:t>
      </w:r>
      <w:r w:rsidRPr="004F7E55">
        <w:rPr>
          <w:rFonts w:cs="Times New Roman"/>
        </w:rPr>
        <w:t>, placing an obligation on firms to change the name and contact details of predecessor schemes to those of AFCA.</w:t>
      </w:r>
    </w:p>
    <w:p w14:paraId="7849A562" w14:textId="3652539A" w:rsidR="00A23876" w:rsidRPr="004F7E55" w:rsidRDefault="00A23876" w:rsidP="00912480">
      <w:pPr>
        <w:pStyle w:val="RPG-BodyTextNumbered"/>
        <w:numPr>
          <w:ilvl w:val="0"/>
          <w:numId w:val="0"/>
        </w:numPr>
        <w:spacing w:line="276" w:lineRule="auto"/>
        <w:rPr>
          <w:rFonts w:cs="Times New Roman"/>
        </w:rPr>
      </w:pPr>
      <w:r w:rsidRPr="004F7E55">
        <w:rPr>
          <w:rFonts w:cs="Times New Roman"/>
        </w:rPr>
        <w:t xml:space="preserve">The following documents are </w:t>
      </w:r>
      <w:r>
        <w:rPr>
          <w:rFonts w:cs="Times New Roman"/>
        </w:rPr>
        <w:t>required</w:t>
      </w:r>
      <w:r w:rsidR="002A25C1">
        <w:rPr>
          <w:rFonts w:cs="Times New Roman"/>
        </w:rPr>
        <w:t xml:space="preserve"> to</w:t>
      </w:r>
      <w:r>
        <w:rPr>
          <w:rFonts w:cs="Times New Roman"/>
        </w:rPr>
        <w:t xml:space="preserve"> </w:t>
      </w:r>
      <w:r w:rsidRPr="004F7E55">
        <w:rPr>
          <w:rFonts w:cs="Times New Roman"/>
        </w:rPr>
        <w:t>include details of a firm’s EDR scheme:</w:t>
      </w:r>
    </w:p>
    <w:p w14:paraId="3C5A9FD5" w14:textId="68F1CC08" w:rsidR="00A23876" w:rsidRPr="004F7E55" w:rsidRDefault="00A23876" w:rsidP="00912480">
      <w:pPr>
        <w:pStyle w:val="RPG-BodyTextNumbered"/>
        <w:numPr>
          <w:ilvl w:val="0"/>
          <w:numId w:val="5"/>
        </w:numPr>
        <w:spacing w:line="276" w:lineRule="auto"/>
        <w:rPr>
          <w:rFonts w:cs="Times New Roman"/>
        </w:rPr>
      </w:pPr>
      <w:r w:rsidRPr="004F7E55">
        <w:rPr>
          <w:rFonts w:cs="Times New Roman"/>
        </w:rPr>
        <w:t>Financial Services Guides</w:t>
      </w:r>
      <w:r w:rsidR="002A25C1">
        <w:rPr>
          <w:rFonts w:cs="Times New Roman"/>
        </w:rPr>
        <w:t xml:space="preserve"> (s942B(2)(h) and 942C(2)(</w:t>
      </w:r>
      <w:proofErr w:type="spellStart"/>
      <w:r w:rsidR="002A25C1">
        <w:rPr>
          <w:rFonts w:cs="Times New Roman"/>
        </w:rPr>
        <w:t>i</w:t>
      </w:r>
      <w:proofErr w:type="spellEnd"/>
      <w:r w:rsidR="002A25C1">
        <w:rPr>
          <w:rFonts w:cs="Times New Roman"/>
        </w:rPr>
        <w:t>) Corporations Act</w:t>
      </w:r>
      <w:r w:rsidR="006213DE">
        <w:rPr>
          <w:rFonts w:cs="Times New Roman"/>
        </w:rPr>
        <w:t>)</w:t>
      </w:r>
      <w:r w:rsidRPr="004F7E55">
        <w:rPr>
          <w:rFonts w:cs="Times New Roman"/>
        </w:rPr>
        <w:t>;</w:t>
      </w:r>
    </w:p>
    <w:p w14:paraId="7BB27256" w14:textId="45D074F3" w:rsidR="00A23876" w:rsidRPr="004F7E55" w:rsidRDefault="00A23876" w:rsidP="00875939">
      <w:pPr>
        <w:pStyle w:val="RPG-BodyTextNumbered"/>
        <w:numPr>
          <w:ilvl w:val="0"/>
          <w:numId w:val="5"/>
        </w:numPr>
        <w:spacing w:line="276" w:lineRule="auto"/>
        <w:rPr>
          <w:rFonts w:cs="Times New Roman"/>
        </w:rPr>
      </w:pPr>
      <w:r w:rsidRPr="004F7E55">
        <w:rPr>
          <w:rFonts w:cs="Times New Roman"/>
        </w:rPr>
        <w:t>Product Disclosure Statements</w:t>
      </w:r>
      <w:r w:rsidR="002A25C1">
        <w:rPr>
          <w:rFonts w:cs="Times New Roman"/>
        </w:rPr>
        <w:t xml:space="preserve"> (s1013D(1)(g) Corporations Act</w:t>
      </w:r>
      <w:r w:rsidRPr="004F7E55">
        <w:rPr>
          <w:rFonts w:cs="Times New Roman"/>
        </w:rPr>
        <w:t>;</w:t>
      </w:r>
      <w:r w:rsidR="0048289C">
        <w:rPr>
          <w:rFonts w:cs="Times New Roman"/>
        </w:rPr>
        <w:t xml:space="preserve"> items 9(1)</w:t>
      </w:r>
      <w:r w:rsidR="00875939">
        <w:rPr>
          <w:rFonts w:cs="Times New Roman"/>
        </w:rPr>
        <w:t>(b) and (2)(a)</w:t>
      </w:r>
      <w:r w:rsidR="0048289C">
        <w:rPr>
          <w:rFonts w:cs="Times New Roman"/>
        </w:rPr>
        <w:t xml:space="preserve"> of </w:t>
      </w:r>
      <w:proofErr w:type="spellStart"/>
      <w:r w:rsidR="0048289C">
        <w:rPr>
          <w:rFonts w:cs="Times New Roman"/>
        </w:rPr>
        <w:t>Sch</w:t>
      </w:r>
      <w:proofErr w:type="spellEnd"/>
      <w:r w:rsidR="0048289C">
        <w:rPr>
          <w:rFonts w:cs="Times New Roman"/>
        </w:rPr>
        <w:t xml:space="preserve"> 10C to the </w:t>
      </w:r>
      <w:r w:rsidR="00875939">
        <w:rPr>
          <w:rFonts w:cs="Times New Roman"/>
        </w:rPr>
        <w:t xml:space="preserve">Corporations Regulations; </w:t>
      </w:r>
      <w:r w:rsidR="00875939" w:rsidRPr="00875939">
        <w:rPr>
          <w:rFonts w:cs="Times New Roman"/>
        </w:rPr>
        <w:t xml:space="preserve">items 11(1)(c) and 11(2) of </w:t>
      </w:r>
      <w:proofErr w:type="spellStart"/>
      <w:r w:rsidR="00875939" w:rsidRPr="00875939">
        <w:rPr>
          <w:rFonts w:cs="Times New Roman"/>
        </w:rPr>
        <w:t>Sch</w:t>
      </w:r>
      <w:proofErr w:type="spellEnd"/>
      <w:r w:rsidR="00875939" w:rsidRPr="00875939">
        <w:rPr>
          <w:rFonts w:cs="Times New Roman"/>
        </w:rPr>
        <w:t xml:space="preserve"> 10D</w:t>
      </w:r>
      <w:r w:rsidR="00875939">
        <w:rPr>
          <w:rFonts w:cs="Times New Roman"/>
        </w:rPr>
        <w:t xml:space="preserve"> to the Corporations Regulations);</w:t>
      </w:r>
    </w:p>
    <w:p w14:paraId="350A10EB" w14:textId="1F2D4106" w:rsidR="00A23876" w:rsidRPr="004F7E55" w:rsidRDefault="00A23876" w:rsidP="00912480">
      <w:pPr>
        <w:pStyle w:val="RPG-BodyTextNumbered"/>
        <w:numPr>
          <w:ilvl w:val="0"/>
          <w:numId w:val="5"/>
        </w:numPr>
        <w:tabs>
          <w:tab w:val="clear" w:pos="851"/>
        </w:tabs>
        <w:spacing w:line="276" w:lineRule="auto"/>
        <w:rPr>
          <w:rFonts w:cs="Times New Roman"/>
        </w:rPr>
      </w:pPr>
      <w:r w:rsidRPr="004F7E55">
        <w:rPr>
          <w:rFonts w:cs="Times New Roman"/>
        </w:rPr>
        <w:lastRenderedPageBreak/>
        <w:t>Short-Form PDSs</w:t>
      </w:r>
      <w:r w:rsidR="002A25C1">
        <w:rPr>
          <w:rFonts w:cs="Times New Roman"/>
        </w:rPr>
        <w:t xml:space="preserve"> (</w:t>
      </w:r>
      <w:r w:rsidR="0048289C">
        <w:rPr>
          <w:rFonts w:cs="Times New Roman"/>
        </w:rPr>
        <w:t xml:space="preserve">items 10(1)(d) and 10(2) of </w:t>
      </w:r>
      <w:proofErr w:type="spellStart"/>
      <w:r w:rsidR="0048289C">
        <w:rPr>
          <w:rFonts w:cs="Times New Roman"/>
        </w:rPr>
        <w:t>Sch</w:t>
      </w:r>
      <w:proofErr w:type="spellEnd"/>
      <w:r w:rsidR="0048289C">
        <w:rPr>
          <w:rFonts w:cs="Times New Roman"/>
        </w:rPr>
        <w:t xml:space="preserve"> 10E </w:t>
      </w:r>
      <w:r w:rsidR="002A25C1">
        <w:rPr>
          <w:rFonts w:cs="Times New Roman"/>
        </w:rPr>
        <w:t>to the Corporations Regulations 2001</w:t>
      </w:r>
      <w:r w:rsidR="006213DE">
        <w:rPr>
          <w:rFonts w:cs="Times New Roman"/>
        </w:rPr>
        <w:t>)</w:t>
      </w:r>
      <w:r w:rsidR="002A25C1">
        <w:rPr>
          <w:rFonts w:cs="Times New Roman"/>
        </w:rPr>
        <w:t>;</w:t>
      </w:r>
    </w:p>
    <w:p w14:paraId="5E2D3A16" w14:textId="26244F29" w:rsidR="00FA23BB" w:rsidRPr="00DA72FE" w:rsidRDefault="00A23876" w:rsidP="00912480">
      <w:pPr>
        <w:pStyle w:val="RPG-BodyTextNumbered"/>
        <w:numPr>
          <w:ilvl w:val="0"/>
          <w:numId w:val="5"/>
        </w:numPr>
        <w:spacing w:line="276" w:lineRule="auto"/>
        <w:rPr>
          <w:rFonts w:cs="Times New Roman"/>
        </w:rPr>
      </w:pPr>
      <w:r w:rsidRPr="004F7E55">
        <w:rPr>
          <w:rFonts w:cs="Times New Roman"/>
        </w:rPr>
        <w:t>Periodic and exit statements</w:t>
      </w:r>
      <w:r w:rsidR="002A25C1">
        <w:rPr>
          <w:rFonts w:cs="Times New Roman"/>
        </w:rPr>
        <w:t xml:space="preserve"> (</w:t>
      </w:r>
      <w:r w:rsidR="00FA23BB">
        <w:rPr>
          <w:rFonts w:cs="Times New Roman"/>
        </w:rPr>
        <w:t>paragraph 7.9.75(1)(c) of the Corporations Regulations</w:t>
      </w:r>
      <w:r w:rsidR="006213DE">
        <w:rPr>
          <w:rFonts w:cs="Times New Roman"/>
        </w:rPr>
        <w:t>)</w:t>
      </w:r>
      <w:r w:rsidR="002A25C1">
        <w:rPr>
          <w:rFonts w:cs="Times New Roman"/>
          <w:i/>
        </w:rPr>
        <w:t>;</w:t>
      </w:r>
    </w:p>
    <w:p w14:paraId="5E37E93A" w14:textId="2A2968DF" w:rsidR="00A23876" w:rsidRPr="002A25C1" w:rsidRDefault="00FA23BB" w:rsidP="00FA23BB">
      <w:pPr>
        <w:pStyle w:val="RPG-BodyTextNumbered"/>
        <w:numPr>
          <w:ilvl w:val="0"/>
          <w:numId w:val="5"/>
        </w:numPr>
        <w:spacing w:line="276" w:lineRule="auto"/>
        <w:rPr>
          <w:rFonts w:cs="Times New Roman"/>
        </w:rPr>
      </w:pPr>
      <w:r w:rsidRPr="00DA72FE">
        <w:rPr>
          <w:rFonts w:cs="Times New Roman"/>
        </w:rPr>
        <w:t>Statements about superannuation interests under the Family Law Act</w:t>
      </w:r>
      <w:r>
        <w:rPr>
          <w:rFonts w:cs="Times New Roman"/>
        </w:rPr>
        <w:t xml:space="preserve"> (</w:t>
      </w:r>
      <w:r w:rsidRPr="00FA23BB">
        <w:rPr>
          <w:rFonts w:cs="Times New Roman"/>
        </w:rPr>
        <w:t>paragraphs 7.9.88(1)(g) and 7.9.89(1)(g)</w:t>
      </w:r>
      <w:r>
        <w:rPr>
          <w:rFonts w:cs="Times New Roman"/>
        </w:rPr>
        <w:t xml:space="preserve"> of the Corporations Regulations)</w:t>
      </w:r>
      <w:r w:rsidR="002A25C1" w:rsidRPr="00DA72FE">
        <w:rPr>
          <w:rFonts w:cs="Times New Roman"/>
        </w:rPr>
        <w:t xml:space="preserve"> </w:t>
      </w:r>
      <w:r w:rsidR="002A25C1" w:rsidRPr="002A25C1">
        <w:rPr>
          <w:rFonts w:cs="Times New Roman"/>
        </w:rPr>
        <w:t>and</w:t>
      </w:r>
    </w:p>
    <w:p w14:paraId="334DA244" w14:textId="0DD844D2" w:rsidR="002A25C1" w:rsidRPr="002A25C1" w:rsidRDefault="002A25C1" w:rsidP="00912480">
      <w:pPr>
        <w:pStyle w:val="RPG-BodyTextNumbered"/>
        <w:numPr>
          <w:ilvl w:val="0"/>
          <w:numId w:val="5"/>
        </w:numPr>
        <w:tabs>
          <w:tab w:val="clear" w:pos="851"/>
          <w:tab w:val="num" w:pos="1560"/>
        </w:tabs>
        <w:spacing w:line="276" w:lineRule="auto"/>
        <w:rPr>
          <w:rFonts w:cs="Times New Roman"/>
        </w:rPr>
      </w:pPr>
      <w:r w:rsidRPr="004F7E55">
        <w:rPr>
          <w:rFonts w:cs="Times New Roman"/>
        </w:rPr>
        <w:t>Credit Guides</w:t>
      </w:r>
      <w:r>
        <w:rPr>
          <w:rFonts w:cs="Times New Roman"/>
        </w:rPr>
        <w:t xml:space="preserve"> (s113(2)(h), 126(2)(e), </w:t>
      </w:r>
      <w:r w:rsidR="00FA23BB">
        <w:rPr>
          <w:rFonts w:cs="Times New Roman"/>
        </w:rPr>
        <w:t xml:space="preserve">127(2)(e), </w:t>
      </w:r>
      <w:r>
        <w:rPr>
          <w:rFonts w:cs="Times New Roman"/>
        </w:rPr>
        <w:t>136(2)(h), 149(2)(e), 150(2)(e)</w:t>
      </w:r>
      <w:r w:rsidR="00FA23BB">
        <w:rPr>
          <w:rFonts w:cs="Times New Roman"/>
        </w:rPr>
        <w:t>,</w:t>
      </w:r>
      <w:r>
        <w:rPr>
          <w:rFonts w:cs="Times New Roman"/>
        </w:rPr>
        <w:t xml:space="preserve"> 158(2)(h) </w:t>
      </w:r>
      <w:r w:rsidR="00FA23BB">
        <w:rPr>
          <w:rFonts w:cs="Times New Roman"/>
        </w:rPr>
        <w:t xml:space="preserve">and 160(3)(f) </w:t>
      </w:r>
      <w:r>
        <w:rPr>
          <w:rFonts w:cs="Times New Roman"/>
        </w:rPr>
        <w:t>of the Credit Act</w:t>
      </w:r>
      <w:r w:rsidR="00873655">
        <w:rPr>
          <w:rFonts w:cs="Times New Roman"/>
        </w:rPr>
        <w:t>)</w:t>
      </w:r>
      <w:r>
        <w:rPr>
          <w:rFonts w:cs="Times New Roman"/>
        </w:rPr>
        <w:t>.</w:t>
      </w:r>
    </w:p>
    <w:p w14:paraId="21FB3874" w14:textId="08F6E8B2" w:rsidR="00A23876" w:rsidRPr="004F7E55" w:rsidRDefault="00A23876" w:rsidP="00912480">
      <w:pPr>
        <w:pStyle w:val="RPG-BodyTextNumbered"/>
        <w:numPr>
          <w:ilvl w:val="0"/>
          <w:numId w:val="0"/>
        </w:numPr>
        <w:spacing w:line="276" w:lineRule="auto"/>
        <w:rPr>
          <w:rFonts w:cs="Times New Roman"/>
        </w:rPr>
      </w:pPr>
      <w:r w:rsidRPr="004F7E55">
        <w:rPr>
          <w:rFonts w:cs="Times New Roman"/>
        </w:rPr>
        <w:t>The trans</w:t>
      </w:r>
      <w:r w:rsidR="002A25C1">
        <w:rPr>
          <w:rFonts w:cs="Times New Roman"/>
        </w:rPr>
        <w:t xml:space="preserve">ition to AFCA also </w:t>
      </w:r>
      <w:r w:rsidRPr="004F7E55">
        <w:rPr>
          <w:rFonts w:cs="Times New Roman"/>
        </w:rPr>
        <w:t>trigger</w:t>
      </w:r>
      <w:r w:rsidR="002A25C1">
        <w:rPr>
          <w:rFonts w:cs="Times New Roman"/>
        </w:rPr>
        <w:t>s</w:t>
      </w:r>
      <w:r w:rsidRPr="004F7E55">
        <w:rPr>
          <w:rFonts w:cs="Times New Roman"/>
        </w:rPr>
        <w:t xml:space="preserve"> significant event notification requirements for issuers of financial products captured by s.1017B of the </w:t>
      </w:r>
      <w:r w:rsidRPr="004F7E55">
        <w:rPr>
          <w:rFonts w:cs="Times New Roman"/>
          <w:i/>
        </w:rPr>
        <w:t>Corporations Act</w:t>
      </w:r>
      <w:r w:rsidRPr="004F7E55">
        <w:rPr>
          <w:rFonts w:cs="Times New Roman"/>
        </w:rPr>
        <w:t>.</w:t>
      </w:r>
    </w:p>
    <w:p w14:paraId="45FCAA98" w14:textId="490F2EB8" w:rsidR="00DD23A6" w:rsidRPr="00DD23A6" w:rsidRDefault="00DD23A6" w:rsidP="00912480">
      <w:pPr>
        <w:spacing w:line="276" w:lineRule="auto"/>
        <w:rPr>
          <w:rFonts w:ascii="Times New Roman" w:hAnsi="Times New Roman" w:cs="Times New Roman"/>
          <w:b/>
        </w:rPr>
      </w:pPr>
    </w:p>
    <w:p w14:paraId="3C15421F" w14:textId="4A547083" w:rsidR="00DD23A6" w:rsidRDefault="00DD23A6" w:rsidP="00912480">
      <w:pPr>
        <w:spacing w:line="276" w:lineRule="auto"/>
        <w:rPr>
          <w:rFonts w:ascii="Times New Roman" w:hAnsi="Times New Roman" w:cs="Times New Roman"/>
          <w:b/>
        </w:rPr>
      </w:pPr>
      <w:r w:rsidRPr="00DD23A6">
        <w:rPr>
          <w:rFonts w:ascii="Times New Roman" w:hAnsi="Times New Roman" w:cs="Times New Roman"/>
          <w:b/>
        </w:rPr>
        <w:t>2.</w:t>
      </w:r>
      <w:r w:rsidRPr="00DD23A6">
        <w:rPr>
          <w:rFonts w:ascii="Times New Roman" w:hAnsi="Times New Roman" w:cs="Times New Roman"/>
          <w:b/>
        </w:rPr>
        <w:tab/>
        <w:t>Purpose of the instruments</w:t>
      </w:r>
    </w:p>
    <w:p w14:paraId="246D3DF0" w14:textId="7A0A5866" w:rsidR="002A25C1" w:rsidRPr="002A25C1" w:rsidRDefault="002A25C1" w:rsidP="00912480">
      <w:pPr>
        <w:spacing w:line="276" w:lineRule="auto"/>
        <w:rPr>
          <w:rFonts w:ascii="Times New Roman" w:hAnsi="Times New Roman" w:cs="Times New Roman"/>
        </w:rPr>
      </w:pPr>
      <w:r w:rsidRPr="004F7E55">
        <w:rPr>
          <w:rFonts w:ascii="Times New Roman" w:hAnsi="Times New Roman" w:cs="Times New Roman"/>
          <w:i/>
        </w:rPr>
        <w:t>ASIC Corporations (AFCA transition) Instrument 2018/</w:t>
      </w:r>
      <w:r w:rsidR="00D64858">
        <w:rPr>
          <w:rFonts w:ascii="Times New Roman" w:hAnsi="Times New Roman" w:cs="Times New Roman"/>
          <w:i/>
        </w:rPr>
        <w:t>447</w:t>
      </w:r>
      <w:r>
        <w:rPr>
          <w:rFonts w:ascii="Times New Roman" w:hAnsi="Times New Roman" w:cs="Times New Roman"/>
          <w:i/>
        </w:rPr>
        <w:t xml:space="preserve"> </w:t>
      </w:r>
      <w:r w:rsidRPr="002A25C1">
        <w:rPr>
          <w:rFonts w:ascii="Times New Roman" w:hAnsi="Times New Roman" w:cs="Times New Roman"/>
        </w:rPr>
        <w:t xml:space="preserve">and </w:t>
      </w:r>
      <w:r w:rsidRPr="002A25C1">
        <w:rPr>
          <w:rFonts w:ascii="Times New Roman" w:hAnsi="Times New Roman" w:cs="Times New Roman"/>
          <w:i/>
        </w:rPr>
        <w:t>ASIC C</w:t>
      </w:r>
      <w:r w:rsidR="003C297F">
        <w:rPr>
          <w:rFonts w:ascii="Times New Roman" w:hAnsi="Times New Roman" w:cs="Times New Roman"/>
          <w:i/>
        </w:rPr>
        <w:t>redit</w:t>
      </w:r>
      <w:r w:rsidRPr="002A25C1">
        <w:rPr>
          <w:rFonts w:ascii="Times New Roman" w:hAnsi="Times New Roman" w:cs="Times New Roman"/>
          <w:i/>
        </w:rPr>
        <w:t xml:space="preserve"> (AFCA transition) Instrument 2018/</w:t>
      </w:r>
      <w:r w:rsidR="00D64858">
        <w:rPr>
          <w:rFonts w:ascii="Times New Roman" w:hAnsi="Times New Roman" w:cs="Times New Roman"/>
          <w:i/>
        </w:rPr>
        <w:t>448</w:t>
      </w:r>
      <w:r>
        <w:rPr>
          <w:rFonts w:ascii="Times New Roman" w:hAnsi="Times New Roman" w:cs="Times New Roman"/>
          <w:i/>
        </w:rPr>
        <w:t xml:space="preserve"> (the Instruments) </w:t>
      </w:r>
      <w:r w:rsidRPr="002A25C1">
        <w:rPr>
          <w:rFonts w:ascii="Times New Roman" w:hAnsi="Times New Roman" w:cs="Times New Roman"/>
        </w:rPr>
        <w:t xml:space="preserve">are intended to give firms transitional relief </w:t>
      </w:r>
      <w:r w:rsidR="00602006">
        <w:rPr>
          <w:rFonts w:ascii="Times New Roman" w:hAnsi="Times New Roman" w:cs="Times New Roman"/>
        </w:rPr>
        <w:t xml:space="preserve">from the requirements to update </w:t>
      </w:r>
      <w:r w:rsidRPr="002A25C1">
        <w:rPr>
          <w:rFonts w:ascii="Times New Roman" w:hAnsi="Times New Roman" w:cs="Times New Roman"/>
        </w:rPr>
        <w:t>disclosure documents</w:t>
      </w:r>
      <w:r w:rsidR="00602006">
        <w:rPr>
          <w:rFonts w:ascii="Times New Roman" w:hAnsi="Times New Roman" w:cs="Times New Roman"/>
        </w:rPr>
        <w:t xml:space="preserve"> </w:t>
      </w:r>
      <w:r w:rsidR="001D4095">
        <w:rPr>
          <w:rFonts w:ascii="Times New Roman" w:hAnsi="Times New Roman" w:cs="Times New Roman"/>
        </w:rPr>
        <w:t xml:space="preserve">and periodic statements </w:t>
      </w:r>
      <w:r w:rsidRPr="002A25C1">
        <w:rPr>
          <w:rFonts w:ascii="Times New Roman" w:hAnsi="Times New Roman" w:cs="Times New Roman"/>
        </w:rPr>
        <w:t xml:space="preserve">with AFCA’s </w:t>
      </w:r>
      <w:r w:rsidR="00871C7C">
        <w:rPr>
          <w:rFonts w:ascii="Times New Roman" w:hAnsi="Times New Roman" w:cs="Times New Roman"/>
        </w:rPr>
        <w:t xml:space="preserve">contact </w:t>
      </w:r>
      <w:r w:rsidRPr="002A25C1">
        <w:rPr>
          <w:rFonts w:ascii="Times New Roman" w:hAnsi="Times New Roman" w:cs="Times New Roman"/>
        </w:rPr>
        <w:t>details until 1 July 2019.</w:t>
      </w:r>
      <w:r w:rsidR="001D4095">
        <w:rPr>
          <w:rFonts w:ascii="Times New Roman" w:hAnsi="Times New Roman" w:cs="Times New Roman"/>
        </w:rPr>
        <w:t xml:space="preserve">  This will give firms time to </w:t>
      </w:r>
      <w:r w:rsidR="00871C7C">
        <w:rPr>
          <w:rFonts w:ascii="Times New Roman" w:hAnsi="Times New Roman" w:cs="Times New Roman"/>
        </w:rPr>
        <w:t xml:space="preserve">amend mandatory disclosure documents and </w:t>
      </w:r>
      <w:r w:rsidR="001D4095">
        <w:rPr>
          <w:rFonts w:ascii="Times New Roman" w:hAnsi="Times New Roman" w:cs="Times New Roman"/>
        </w:rPr>
        <w:t>adapt to</w:t>
      </w:r>
      <w:r w:rsidR="00871C7C">
        <w:rPr>
          <w:rFonts w:ascii="Times New Roman" w:hAnsi="Times New Roman" w:cs="Times New Roman"/>
        </w:rPr>
        <w:t xml:space="preserve"> the significant changes in the </w:t>
      </w:r>
      <w:r w:rsidR="001D4095">
        <w:rPr>
          <w:rFonts w:ascii="Times New Roman" w:hAnsi="Times New Roman" w:cs="Times New Roman"/>
        </w:rPr>
        <w:t xml:space="preserve">dispute </w:t>
      </w:r>
      <w:r w:rsidR="00871C7C">
        <w:rPr>
          <w:rFonts w:ascii="Times New Roman" w:hAnsi="Times New Roman" w:cs="Times New Roman"/>
        </w:rPr>
        <w:t>resolution environment</w:t>
      </w:r>
      <w:r w:rsidR="00602006">
        <w:rPr>
          <w:rFonts w:ascii="Times New Roman" w:hAnsi="Times New Roman" w:cs="Times New Roman"/>
        </w:rPr>
        <w:t xml:space="preserve"> introduced by the AFCA Act</w:t>
      </w:r>
      <w:r w:rsidR="00871C7C">
        <w:rPr>
          <w:rFonts w:ascii="Times New Roman" w:hAnsi="Times New Roman" w:cs="Times New Roman"/>
        </w:rPr>
        <w:t>.</w:t>
      </w:r>
    </w:p>
    <w:p w14:paraId="40FDBBD8" w14:textId="0C87B1CF" w:rsidR="00DD23A6" w:rsidRPr="00DD23A6" w:rsidRDefault="00DD23A6" w:rsidP="00912480">
      <w:pPr>
        <w:spacing w:line="276" w:lineRule="auto"/>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Operation</w:t>
      </w:r>
      <w:r w:rsidRPr="00DD23A6">
        <w:rPr>
          <w:rFonts w:ascii="Times New Roman" w:hAnsi="Times New Roman" w:cs="Times New Roman"/>
          <w:b/>
        </w:rPr>
        <w:t xml:space="preserve"> of the instruments</w:t>
      </w:r>
    </w:p>
    <w:p w14:paraId="1E596848" w14:textId="60E4511D" w:rsidR="00DD23A6" w:rsidRPr="00871C7C" w:rsidRDefault="00871C7C" w:rsidP="00912480">
      <w:pPr>
        <w:spacing w:line="276" w:lineRule="auto"/>
        <w:rPr>
          <w:rFonts w:ascii="Times New Roman" w:hAnsi="Times New Roman" w:cs="Times New Roman"/>
        </w:rPr>
      </w:pPr>
      <w:r w:rsidRPr="00871C7C">
        <w:rPr>
          <w:rFonts w:ascii="Times New Roman" w:hAnsi="Times New Roman" w:cs="Times New Roman"/>
        </w:rPr>
        <w:t xml:space="preserve">The Instruments provide transitional relief </w:t>
      </w:r>
      <w:r w:rsidR="00D03F38">
        <w:rPr>
          <w:rFonts w:ascii="Times New Roman" w:hAnsi="Times New Roman" w:cs="Times New Roman"/>
        </w:rPr>
        <w:t xml:space="preserve">generally </w:t>
      </w:r>
      <w:r w:rsidRPr="00871C7C">
        <w:rPr>
          <w:rFonts w:ascii="Times New Roman" w:hAnsi="Times New Roman" w:cs="Times New Roman"/>
        </w:rPr>
        <w:t>until 1 July 2019</w:t>
      </w:r>
      <w:r w:rsidRPr="006213DE">
        <w:rPr>
          <w:rFonts w:ascii="Times New Roman" w:hAnsi="Times New Roman" w:cs="Times New Roman"/>
        </w:rPr>
        <w:t>.</w:t>
      </w:r>
      <w:r w:rsidR="00D03F38" w:rsidRPr="006213DE">
        <w:rPr>
          <w:rFonts w:ascii="Times New Roman" w:hAnsi="Times New Roman" w:cs="Times New Roman"/>
        </w:rPr>
        <w:t xml:space="preserve">  The relief from the significant event notification requirements is limited to events relating to the transition but is ongoing.</w:t>
      </w:r>
    </w:p>
    <w:p w14:paraId="37560B36" w14:textId="414DB520" w:rsidR="00871C7C" w:rsidRPr="00DD23A6" w:rsidRDefault="00871C7C" w:rsidP="00912480">
      <w:pPr>
        <w:spacing w:line="276" w:lineRule="auto"/>
        <w:rPr>
          <w:rFonts w:ascii="Times New Roman" w:hAnsi="Times New Roman" w:cs="Times New Roman"/>
          <w:b/>
        </w:rPr>
      </w:pPr>
      <w:r>
        <w:rPr>
          <w:rFonts w:ascii="Times New Roman" w:hAnsi="Times New Roman" w:cs="Times New Roman"/>
        </w:rPr>
        <w:t xml:space="preserve">The </w:t>
      </w:r>
      <w:r w:rsidRPr="002A25C1">
        <w:rPr>
          <w:rFonts w:ascii="Times New Roman" w:hAnsi="Times New Roman" w:cs="Times New Roman"/>
        </w:rPr>
        <w:t xml:space="preserve">relief is </w:t>
      </w:r>
      <w:r>
        <w:rPr>
          <w:rFonts w:ascii="Times New Roman" w:hAnsi="Times New Roman" w:cs="Times New Roman"/>
        </w:rPr>
        <w:t xml:space="preserve">conditional upon </w:t>
      </w:r>
      <w:r w:rsidRPr="002A25C1">
        <w:rPr>
          <w:rFonts w:ascii="Times New Roman" w:hAnsi="Times New Roman" w:cs="Times New Roman"/>
        </w:rPr>
        <w:t xml:space="preserve">consumer communications about how to complain (e.g. </w:t>
      </w:r>
      <w:r w:rsidR="00602006">
        <w:rPr>
          <w:rFonts w:ascii="Times New Roman" w:hAnsi="Times New Roman" w:cs="Times New Roman"/>
        </w:rPr>
        <w:t>including on websites) and documented IDR procedures being</w:t>
      </w:r>
      <w:r w:rsidRPr="002A25C1">
        <w:rPr>
          <w:rFonts w:ascii="Times New Roman" w:hAnsi="Times New Roman" w:cs="Times New Roman"/>
        </w:rPr>
        <w:t xml:space="preserve"> updated with AFCA’s details by 1 November 2018.</w:t>
      </w:r>
    </w:p>
    <w:p w14:paraId="180EABAB" w14:textId="7B25C041" w:rsidR="00871C7C" w:rsidRDefault="00DD23A6" w:rsidP="00912480">
      <w:pPr>
        <w:spacing w:line="276" w:lineRule="auto"/>
        <w:rPr>
          <w:rFonts w:ascii="Times New Roman" w:hAnsi="Times New Roman" w:cs="Times New Roman"/>
          <w:b/>
        </w:rPr>
      </w:pPr>
      <w:r w:rsidRPr="00DD23A6">
        <w:rPr>
          <w:rFonts w:ascii="Times New Roman" w:hAnsi="Times New Roman" w:cs="Times New Roman"/>
          <w:b/>
        </w:rPr>
        <w:t>4.</w:t>
      </w:r>
      <w:r w:rsidRPr="00DD23A6">
        <w:rPr>
          <w:rFonts w:ascii="Times New Roman" w:hAnsi="Times New Roman" w:cs="Times New Roman"/>
          <w:b/>
        </w:rPr>
        <w:tab/>
        <w:t>Consultation</w:t>
      </w:r>
    </w:p>
    <w:p w14:paraId="2B814125" w14:textId="465CEF43" w:rsidR="00871C7C" w:rsidRDefault="00871C7C" w:rsidP="00912480">
      <w:pPr>
        <w:pStyle w:val="RPG-BodyTextNumbered"/>
        <w:numPr>
          <w:ilvl w:val="0"/>
          <w:numId w:val="0"/>
        </w:numPr>
        <w:spacing w:line="276" w:lineRule="auto"/>
      </w:pPr>
      <w:r>
        <w:t xml:space="preserve">On 5 March 2018, ASIC issued draft updated RG 139, </w:t>
      </w:r>
      <w:r w:rsidRPr="001F780D">
        <w:rPr>
          <w:i/>
        </w:rPr>
        <w:t>Oversight of AFCA</w:t>
      </w:r>
      <w:r>
        <w:t xml:space="preserve"> for consultation.  The linked consultation paper </w:t>
      </w:r>
      <w:hyperlink r:id="rId9" w:history="1">
        <w:r w:rsidRPr="008078D8">
          <w:rPr>
            <w:rStyle w:val="Hyperlink"/>
          </w:rPr>
          <w:t>CP 298</w:t>
        </w:r>
      </w:hyperlink>
      <w:r>
        <w:t xml:space="preserve"> discussed the obligation on firms to change the name and contact details of predecessor schemes in </w:t>
      </w:r>
      <w:r w:rsidR="002A4B77">
        <w:t xml:space="preserve">disclosure documents </w:t>
      </w:r>
      <w:r w:rsidR="00602006">
        <w:t>t</w:t>
      </w:r>
      <w:r>
        <w:t>o refer to</w:t>
      </w:r>
      <w:r w:rsidR="00602006">
        <w:t xml:space="preserve"> AFCA.  ASIC</w:t>
      </w:r>
      <w:r>
        <w:t xml:space="preserve"> sought feedback on whether firms need any transitional relief from these EDR disclosure obligations.</w:t>
      </w:r>
    </w:p>
    <w:p w14:paraId="18ACF5EC" w14:textId="0389E091" w:rsidR="00871C7C" w:rsidRDefault="002A4B77" w:rsidP="00912480">
      <w:pPr>
        <w:pStyle w:val="RPG-BodyTextNumbered"/>
        <w:numPr>
          <w:ilvl w:val="0"/>
          <w:numId w:val="0"/>
        </w:numPr>
        <w:spacing w:line="276" w:lineRule="auto"/>
      </w:pPr>
      <w:r>
        <w:t>28 submissions</w:t>
      </w:r>
      <w:r w:rsidR="00602006">
        <w:t xml:space="preserve"> were made</w:t>
      </w:r>
      <w:r>
        <w:t xml:space="preserve"> to CP 298.</w:t>
      </w:r>
      <w:r w:rsidR="00871C7C">
        <w:t xml:space="preserve">  Of these, 17 made specific submissions on disclosure relief.  </w:t>
      </w:r>
    </w:p>
    <w:p w14:paraId="31D67696" w14:textId="44FAC2FF" w:rsidR="002A4B77" w:rsidRDefault="002A4B77" w:rsidP="00912480">
      <w:pPr>
        <w:pStyle w:val="RPG-BodyTextNumbered"/>
        <w:numPr>
          <w:ilvl w:val="0"/>
          <w:numId w:val="0"/>
        </w:numPr>
        <w:spacing w:line="276" w:lineRule="auto"/>
      </w:pPr>
      <w:r>
        <w:t>The Joint Consumer Submission recommended no relief be given</w:t>
      </w:r>
      <w:r w:rsidR="00602006">
        <w:t xml:space="preserve">. </w:t>
      </w:r>
      <w:r>
        <w:t xml:space="preserve"> Whilst there was </w:t>
      </w:r>
      <w:proofErr w:type="gramStart"/>
      <w:r>
        <w:t>general consensus</w:t>
      </w:r>
      <w:proofErr w:type="gramEnd"/>
      <w:r>
        <w:t xml:space="preserve"> amongst industry that internal dispute resolution final response letters should be updated in time for AFCA’s commencement on 1 November 2018, all industry submissions requested some form of transitional relief for updating mandatory disclosure documents and periodic statements with AFCA’s details.  Proposals for the duration of the transitional relief period ranged from 8 months to 2 years from the commencement of AFCA.</w:t>
      </w:r>
    </w:p>
    <w:p w14:paraId="63178C92" w14:textId="1978B860" w:rsidR="00DA72FE" w:rsidRDefault="00DA72FE" w:rsidP="00912480">
      <w:pPr>
        <w:pStyle w:val="RPG-BodyTextNumbered"/>
        <w:numPr>
          <w:ilvl w:val="0"/>
          <w:numId w:val="0"/>
        </w:numPr>
        <w:spacing w:line="276" w:lineRule="auto"/>
      </w:pPr>
    </w:p>
    <w:p w14:paraId="4745ED9A" w14:textId="77777777" w:rsidR="00DA72FE" w:rsidRDefault="00DA72FE" w:rsidP="00912480">
      <w:pPr>
        <w:pStyle w:val="RPG-BodyTextNumbered"/>
        <w:numPr>
          <w:ilvl w:val="0"/>
          <w:numId w:val="0"/>
        </w:numPr>
        <w:spacing w:line="276" w:lineRule="auto"/>
      </w:pPr>
    </w:p>
    <w:p w14:paraId="71458A1D" w14:textId="77777777" w:rsidR="002A4B77" w:rsidRDefault="002A4B77" w:rsidP="002A4B77">
      <w:pPr>
        <w:pStyle w:val="RPG-BodyTextNumbered"/>
        <w:numPr>
          <w:ilvl w:val="0"/>
          <w:numId w:val="0"/>
        </w:numPr>
      </w:pPr>
    </w:p>
    <w:p w14:paraId="4C54D605" w14:textId="723DB94D" w:rsidR="00DD23A6" w:rsidRDefault="00DD23A6">
      <w:pPr>
        <w:rPr>
          <w:b/>
        </w:rPr>
      </w:pPr>
    </w:p>
    <w:tbl>
      <w:tblPr>
        <w:tblStyle w:val="TableGrid"/>
        <w:tblW w:w="0" w:type="auto"/>
        <w:tblLook w:val="04A0" w:firstRow="1" w:lastRow="0" w:firstColumn="1" w:lastColumn="0" w:noHBand="0" w:noVBand="1"/>
      </w:tblPr>
      <w:tblGrid>
        <w:gridCol w:w="8936"/>
      </w:tblGrid>
      <w:tr w:rsidR="00DD23A6" w14:paraId="2BA73E96" w14:textId="77777777" w:rsidTr="00DD23A6">
        <w:tc>
          <w:tcPr>
            <w:tcW w:w="9016" w:type="dxa"/>
            <w:tcBorders>
              <w:top w:val="thinThickSmallGap" w:sz="24" w:space="0" w:color="auto"/>
              <w:left w:val="thinThickSmallGap" w:sz="24" w:space="0" w:color="auto"/>
              <w:bottom w:val="thinThickSmallGap" w:sz="24" w:space="0" w:color="auto"/>
              <w:right w:val="thinThickSmallGap" w:sz="24" w:space="0" w:color="auto"/>
            </w:tcBorders>
          </w:tcPr>
          <w:p w14:paraId="3843E194" w14:textId="77777777" w:rsidR="00DD23A6" w:rsidRDefault="00DD23A6">
            <w:pPr>
              <w:rPr>
                <w:b/>
              </w:rPr>
            </w:pPr>
          </w:p>
          <w:p w14:paraId="3133C2C9" w14:textId="77777777" w:rsidR="00DD23A6" w:rsidRDefault="00DD23A6">
            <w:pPr>
              <w:rPr>
                <w:b/>
              </w:rPr>
            </w:pPr>
          </w:p>
          <w:p w14:paraId="6F5DCD49" w14:textId="77777777" w:rsidR="00DD23A6" w:rsidRPr="00DD23A6" w:rsidRDefault="00DD23A6" w:rsidP="00DD23A6">
            <w:pPr>
              <w:spacing w:before="360" w:after="120"/>
              <w:jc w:val="center"/>
              <w:rPr>
                <w:rFonts w:ascii="Times New Roman" w:hAnsi="Times New Roman" w:cs="Times New Roman"/>
                <w:b/>
              </w:rPr>
            </w:pPr>
            <w:r w:rsidRPr="00DD23A6">
              <w:rPr>
                <w:rFonts w:ascii="Times New Roman" w:hAnsi="Times New Roman" w:cs="Times New Roman"/>
                <w:b/>
              </w:rPr>
              <w:t>Statement of Compatibility with Human Rights</w:t>
            </w:r>
          </w:p>
          <w:p w14:paraId="7C994C7F" w14:textId="77777777" w:rsidR="00DD23A6" w:rsidRPr="00DD23A6" w:rsidRDefault="00DD23A6" w:rsidP="00DD23A6">
            <w:pPr>
              <w:spacing w:before="120" w:after="120"/>
              <w:jc w:val="center"/>
              <w:rPr>
                <w:rFonts w:ascii="Times New Roman" w:hAnsi="Times New Roman" w:cs="Times New Roman"/>
              </w:rPr>
            </w:pPr>
            <w:r w:rsidRPr="00DD23A6">
              <w:rPr>
                <w:rFonts w:ascii="Times New Roman" w:hAnsi="Times New Roman" w:cs="Times New Roman"/>
                <w:i/>
              </w:rPr>
              <w:t>Prepared in accordance with Part 3 of the Human Rights (Parliamentary Scrutiny) Act 2011</w:t>
            </w:r>
          </w:p>
          <w:p w14:paraId="2018A265" w14:textId="77777777" w:rsidR="00DD23A6" w:rsidRPr="00DD23A6" w:rsidRDefault="00DD23A6" w:rsidP="00DD23A6">
            <w:pPr>
              <w:spacing w:before="120" w:after="120"/>
              <w:jc w:val="center"/>
              <w:rPr>
                <w:rFonts w:ascii="Times New Roman" w:hAnsi="Times New Roman" w:cs="Times New Roman"/>
              </w:rPr>
            </w:pPr>
          </w:p>
          <w:p w14:paraId="6C1AB2B6" w14:textId="1E203856" w:rsidR="00DD23A6" w:rsidRDefault="00DD23A6" w:rsidP="00DD23A6">
            <w:pPr>
              <w:spacing w:before="120" w:after="120"/>
              <w:jc w:val="center"/>
              <w:rPr>
                <w:rFonts w:ascii="Times New Roman" w:hAnsi="Times New Roman" w:cs="Times New Roman"/>
                <w:b/>
              </w:rPr>
            </w:pPr>
            <w:r w:rsidRPr="00DD23A6">
              <w:rPr>
                <w:rFonts w:ascii="Times New Roman" w:hAnsi="Times New Roman" w:cs="Times New Roman"/>
                <w:b/>
              </w:rPr>
              <w:t>ASIC Corporations (</w:t>
            </w:r>
            <w:r w:rsidR="002206DD">
              <w:rPr>
                <w:rFonts w:ascii="Times New Roman" w:hAnsi="Times New Roman" w:cs="Times New Roman"/>
                <w:b/>
              </w:rPr>
              <w:t>AFCA transition</w:t>
            </w:r>
            <w:r w:rsidRPr="00DD23A6">
              <w:rPr>
                <w:rFonts w:ascii="Times New Roman" w:hAnsi="Times New Roman" w:cs="Times New Roman"/>
                <w:b/>
              </w:rPr>
              <w:t>) Instrument 201</w:t>
            </w:r>
            <w:r w:rsidR="002206DD">
              <w:rPr>
                <w:rFonts w:ascii="Times New Roman" w:hAnsi="Times New Roman" w:cs="Times New Roman"/>
                <w:b/>
              </w:rPr>
              <w:t>8</w:t>
            </w:r>
            <w:r w:rsidRPr="00DD23A6">
              <w:rPr>
                <w:rFonts w:ascii="Times New Roman" w:hAnsi="Times New Roman" w:cs="Times New Roman"/>
                <w:b/>
              </w:rPr>
              <w:t>/</w:t>
            </w:r>
            <w:r w:rsidR="00D64858">
              <w:rPr>
                <w:rFonts w:ascii="Times New Roman" w:hAnsi="Times New Roman" w:cs="Times New Roman"/>
                <w:b/>
              </w:rPr>
              <w:t>447</w:t>
            </w:r>
          </w:p>
          <w:p w14:paraId="0EF7B45C" w14:textId="58D03B56" w:rsidR="002206DD" w:rsidRPr="00DD23A6" w:rsidRDefault="002206DD" w:rsidP="00DD23A6">
            <w:pPr>
              <w:spacing w:before="120" w:after="120"/>
              <w:jc w:val="center"/>
              <w:rPr>
                <w:rFonts w:ascii="Times New Roman" w:hAnsi="Times New Roman" w:cs="Times New Roman"/>
                <w:b/>
              </w:rPr>
            </w:pPr>
            <w:r>
              <w:rPr>
                <w:rFonts w:ascii="Times New Roman" w:hAnsi="Times New Roman" w:cs="Times New Roman"/>
                <w:b/>
              </w:rPr>
              <w:t>ASIC Credit (AFCA transition) Instrument 2018/</w:t>
            </w:r>
            <w:r w:rsidR="00D64858">
              <w:rPr>
                <w:rFonts w:ascii="Times New Roman" w:hAnsi="Times New Roman" w:cs="Times New Roman"/>
                <w:b/>
              </w:rPr>
              <w:t>448</w:t>
            </w:r>
          </w:p>
          <w:p w14:paraId="5746EEE5" w14:textId="62682EFA" w:rsidR="00DD23A6" w:rsidRPr="00DD23A6" w:rsidRDefault="0020729E" w:rsidP="00DD23A6">
            <w:pPr>
              <w:spacing w:before="120" w:after="120"/>
              <w:jc w:val="center"/>
              <w:rPr>
                <w:rFonts w:ascii="Times New Roman" w:hAnsi="Times New Roman" w:cs="Times New Roman"/>
              </w:rPr>
            </w:pPr>
            <w:r w:rsidRPr="006213DE">
              <w:rPr>
                <w:rFonts w:ascii="Times New Roman" w:hAnsi="Times New Roman" w:cs="Times New Roman"/>
                <w:i/>
              </w:rPr>
              <w:t>ASIC Corporations (AFCA</w:t>
            </w:r>
            <w:r w:rsidR="00937255" w:rsidRPr="006213DE">
              <w:rPr>
                <w:rFonts w:ascii="Times New Roman" w:hAnsi="Times New Roman" w:cs="Times New Roman"/>
                <w:i/>
              </w:rPr>
              <w:t xml:space="preserve"> transition) Instrument 2018/447</w:t>
            </w:r>
            <w:r>
              <w:rPr>
                <w:rFonts w:ascii="Times New Roman" w:hAnsi="Times New Roman" w:cs="Times New Roman"/>
              </w:rPr>
              <w:t xml:space="preserve"> and </w:t>
            </w:r>
            <w:r w:rsidRPr="006213DE">
              <w:rPr>
                <w:rFonts w:ascii="Times New Roman" w:hAnsi="Times New Roman" w:cs="Times New Roman"/>
                <w:i/>
              </w:rPr>
              <w:t>ASIC Credit (AFCA</w:t>
            </w:r>
            <w:r w:rsidR="00937255" w:rsidRPr="006213DE">
              <w:rPr>
                <w:rFonts w:ascii="Times New Roman" w:hAnsi="Times New Roman" w:cs="Times New Roman"/>
                <w:i/>
              </w:rPr>
              <w:t xml:space="preserve"> transition) Instrument 2018/</w:t>
            </w:r>
            <w:r w:rsidR="00D22E17" w:rsidRPr="006213DE">
              <w:rPr>
                <w:rFonts w:ascii="Times New Roman" w:hAnsi="Times New Roman" w:cs="Times New Roman"/>
                <w:i/>
              </w:rPr>
              <w:t>448</w:t>
            </w:r>
            <w:r>
              <w:rPr>
                <w:rFonts w:ascii="Times New Roman" w:hAnsi="Times New Roman" w:cs="Times New Roman"/>
              </w:rPr>
              <w:t xml:space="preserve"> are </w:t>
            </w:r>
            <w:r w:rsidR="00DD23A6" w:rsidRPr="00DD23A6">
              <w:rPr>
                <w:rFonts w:ascii="Times New Roman" w:hAnsi="Times New Roman" w:cs="Times New Roman"/>
              </w:rPr>
              <w:t xml:space="preserve">compatible with the human rights and freedoms recognised or declared in the international instruments listed in section 3 of the </w:t>
            </w:r>
            <w:r w:rsidR="00DD23A6" w:rsidRPr="00DD23A6">
              <w:rPr>
                <w:rFonts w:ascii="Times New Roman" w:hAnsi="Times New Roman" w:cs="Times New Roman"/>
                <w:i/>
              </w:rPr>
              <w:t>Human Rights (Parliamentary Scrutiny) Act 2011</w:t>
            </w:r>
            <w:r w:rsidR="00DD23A6" w:rsidRPr="00DD23A6">
              <w:rPr>
                <w:rFonts w:ascii="Times New Roman" w:hAnsi="Times New Roman" w:cs="Times New Roman"/>
              </w:rPr>
              <w:t>.</w:t>
            </w:r>
          </w:p>
          <w:p w14:paraId="5747ADEB" w14:textId="77777777" w:rsidR="00DD23A6" w:rsidRPr="00DD23A6" w:rsidRDefault="00DD23A6" w:rsidP="00DD23A6">
            <w:pPr>
              <w:spacing w:before="120" w:after="120"/>
              <w:jc w:val="center"/>
              <w:rPr>
                <w:rFonts w:ascii="Times New Roman" w:hAnsi="Times New Roman" w:cs="Times New Roman"/>
              </w:rPr>
            </w:pPr>
          </w:p>
          <w:p w14:paraId="73E7EB55" w14:textId="1DFFB3D8" w:rsidR="00DD23A6" w:rsidRPr="00DD23A6" w:rsidRDefault="00DD23A6" w:rsidP="006213DE">
            <w:pPr>
              <w:spacing w:before="120" w:after="120"/>
              <w:rPr>
                <w:rFonts w:ascii="Times New Roman" w:hAnsi="Times New Roman" w:cs="Times New Roman"/>
              </w:rPr>
            </w:pPr>
          </w:p>
          <w:p w14:paraId="233C095A" w14:textId="77777777" w:rsidR="00DD23A6" w:rsidRPr="00DD23A6" w:rsidRDefault="00DD23A6" w:rsidP="00DD23A6">
            <w:pPr>
              <w:spacing w:before="120" w:after="120"/>
              <w:jc w:val="both"/>
              <w:rPr>
                <w:rFonts w:ascii="Times New Roman" w:hAnsi="Times New Roman" w:cs="Times New Roman"/>
                <w:b/>
              </w:rPr>
            </w:pPr>
            <w:r w:rsidRPr="00DD23A6">
              <w:rPr>
                <w:rFonts w:ascii="Times New Roman" w:hAnsi="Times New Roman" w:cs="Times New Roman"/>
                <w:b/>
              </w:rPr>
              <w:t>Overview</w:t>
            </w:r>
          </w:p>
          <w:p w14:paraId="513F83B5" w14:textId="76093C4D" w:rsidR="00DD23A6" w:rsidRPr="00DD23A6" w:rsidRDefault="00DD23A6" w:rsidP="00DD23A6">
            <w:pPr>
              <w:pStyle w:val="BodyText"/>
              <w:spacing w:before="199"/>
              <w:rPr>
                <w:sz w:val="22"/>
                <w:szCs w:val="22"/>
              </w:rPr>
            </w:pPr>
            <w:r w:rsidRPr="00DD23A6">
              <w:rPr>
                <w:i/>
                <w:sz w:val="22"/>
                <w:szCs w:val="22"/>
              </w:rPr>
              <w:t>ASIC Corporations (</w:t>
            </w:r>
            <w:r w:rsidR="00C835DD">
              <w:rPr>
                <w:i/>
                <w:sz w:val="22"/>
                <w:szCs w:val="22"/>
              </w:rPr>
              <w:t>AFCA transition</w:t>
            </w:r>
            <w:r w:rsidRPr="00DD23A6">
              <w:rPr>
                <w:i/>
                <w:sz w:val="22"/>
                <w:szCs w:val="22"/>
              </w:rPr>
              <w:t xml:space="preserve">) Instrument </w:t>
            </w:r>
            <w:r w:rsidR="00C835DD" w:rsidRPr="00DD23A6">
              <w:rPr>
                <w:i/>
                <w:sz w:val="22"/>
                <w:szCs w:val="22"/>
              </w:rPr>
              <w:t>20</w:t>
            </w:r>
            <w:r w:rsidR="00C835DD">
              <w:rPr>
                <w:i/>
                <w:sz w:val="22"/>
                <w:szCs w:val="22"/>
              </w:rPr>
              <w:t>18</w:t>
            </w:r>
            <w:r w:rsidRPr="00DD23A6">
              <w:rPr>
                <w:i/>
                <w:sz w:val="22"/>
                <w:szCs w:val="22"/>
              </w:rPr>
              <w:t>/</w:t>
            </w:r>
            <w:r w:rsidR="00D64858">
              <w:rPr>
                <w:i/>
                <w:sz w:val="22"/>
                <w:szCs w:val="22"/>
              </w:rPr>
              <w:t>447</w:t>
            </w:r>
            <w:r w:rsidR="00C835DD">
              <w:rPr>
                <w:i/>
                <w:sz w:val="22"/>
                <w:szCs w:val="22"/>
              </w:rPr>
              <w:t xml:space="preserve"> </w:t>
            </w:r>
            <w:r w:rsidR="00C835DD">
              <w:rPr>
                <w:sz w:val="22"/>
                <w:szCs w:val="22"/>
              </w:rPr>
              <w:t xml:space="preserve">and </w:t>
            </w:r>
            <w:r w:rsidR="00C835DD" w:rsidRPr="00DA72FE">
              <w:rPr>
                <w:i/>
                <w:sz w:val="22"/>
                <w:szCs w:val="22"/>
              </w:rPr>
              <w:t>ASIC Credit (AFCA transition) Instrument 2018/</w:t>
            </w:r>
            <w:r w:rsidR="00D64858">
              <w:rPr>
                <w:i/>
                <w:sz w:val="22"/>
                <w:szCs w:val="22"/>
              </w:rPr>
              <w:t>448</w:t>
            </w:r>
            <w:r w:rsidR="00C835DD" w:rsidRPr="00DD23A6">
              <w:rPr>
                <w:sz w:val="22"/>
                <w:szCs w:val="22"/>
              </w:rPr>
              <w:t xml:space="preserve"> </w:t>
            </w:r>
            <w:r w:rsidRPr="00DD23A6">
              <w:rPr>
                <w:sz w:val="22"/>
                <w:szCs w:val="22"/>
              </w:rPr>
              <w:t>provide exemption</w:t>
            </w:r>
            <w:r w:rsidR="00C835DD">
              <w:rPr>
                <w:sz w:val="22"/>
                <w:szCs w:val="22"/>
              </w:rPr>
              <w:t>s</w:t>
            </w:r>
            <w:r w:rsidRPr="00DD23A6">
              <w:rPr>
                <w:sz w:val="22"/>
                <w:szCs w:val="22"/>
              </w:rPr>
              <w:t xml:space="preserve"> from </w:t>
            </w:r>
            <w:r w:rsidR="00C835DD">
              <w:rPr>
                <w:sz w:val="22"/>
                <w:szCs w:val="22"/>
              </w:rPr>
              <w:t>various disclosure obligations</w:t>
            </w:r>
            <w:r w:rsidRPr="00DD23A6">
              <w:rPr>
                <w:sz w:val="22"/>
                <w:szCs w:val="22"/>
              </w:rPr>
              <w:t xml:space="preserve"> </w:t>
            </w:r>
            <w:proofErr w:type="gramStart"/>
            <w:r w:rsidRPr="00DD23A6">
              <w:rPr>
                <w:sz w:val="22"/>
                <w:szCs w:val="22"/>
              </w:rPr>
              <w:t>in order to</w:t>
            </w:r>
            <w:proofErr w:type="gramEnd"/>
            <w:r w:rsidRPr="00DD23A6">
              <w:rPr>
                <w:sz w:val="22"/>
                <w:szCs w:val="22"/>
              </w:rPr>
              <w:t xml:space="preserve"> facilitate </w:t>
            </w:r>
            <w:r w:rsidR="00C835DD">
              <w:rPr>
                <w:sz w:val="22"/>
                <w:szCs w:val="22"/>
              </w:rPr>
              <w:t>a smooth transition to new external dispute resolution arrangements</w:t>
            </w:r>
            <w:r w:rsidRPr="00DD23A6">
              <w:rPr>
                <w:sz w:val="22"/>
                <w:szCs w:val="22"/>
              </w:rPr>
              <w:t xml:space="preserve"> as a result of the </w:t>
            </w:r>
            <w:r w:rsidR="00C835DD" w:rsidRPr="00A23876">
              <w:rPr>
                <w:i/>
              </w:rPr>
              <w:t>Treasury Laws Amendment (Putting Consumers First – Establishment of the Australian Financial Complaints Authority)</w:t>
            </w:r>
            <w:r w:rsidR="00C835DD">
              <w:t xml:space="preserve"> </w:t>
            </w:r>
            <w:r w:rsidR="00C835DD" w:rsidRPr="00A23876">
              <w:rPr>
                <w:i/>
              </w:rPr>
              <w:t>Act 2018</w:t>
            </w:r>
            <w:r w:rsidR="00C835DD">
              <w:rPr>
                <w:i/>
              </w:rPr>
              <w:t>.</w:t>
            </w:r>
          </w:p>
          <w:p w14:paraId="0CAC9192" w14:textId="77777777" w:rsidR="00DD23A6" w:rsidRPr="00DD23A6" w:rsidRDefault="00DD23A6" w:rsidP="00DD23A6">
            <w:pPr>
              <w:spacing w:before="120" w:after="120"/>
              <w:rPr>
                <w:rFonts w:ascii="Times New Roman" w:hAnsi="Times New Roman" w:cs="Times New Roman"/>
              </w:rPr>
            </w:pPr>
          </w:p>
          <w:p w14:paraId="53594735" w14:textId="77777777" w:rsidR="00DD23A6" w:rsidRPr="00DD23A6" w:rsidRDefault="00DD23A6" w:rsidP="00DD23A6">
            <w:pPr>
              <w:spacing w:before="120" w:after="120"/>
              <w:rPr>
                <w:rFonts w:ascii="Times New Roman" w:hAnsi="Times New Roman" w:cs="Times New Roman"/>
                <w:b/>
              </w:rPr>
            </w:pPr>
            <w:r w:rsidRPr="00DD23A6">
              <w:rPr>
                <w:rFonts w:ascii="Times New Roman" w:hAnsi="Times New Roman" w:cs="Times New Roman"/>
                <w:b/>
              </w:rPr>
              <w:t>Human rights implications</w:t>
            </w:r>
          </w:p>
          <w:p w14:paraId="230DACCC" w14:textId="77777777" w:rsidR="00DD23A6" w:rsidRPr="00DD23A6" w:rsidRDefault="00DD23A6" w:rsidP="00DD23A6">
            <w:pPr>
              <w:spacing w:before="120" w:after="120"/>
              <w:rPr>
                <w:rFonts w:ascii="Times New Roman" w:hAnsi="Times New Roman" w:cs="Times New Roman"/>
              </w:rPr>
            </w:pPr>
            <w:r w:rsidRPr="00DD23A6">
              <w:rPr>
                <w:rFonts w:ascii="Times New Roman" w:hAnsi="Times New Roman" w:cs="Times New Roman"/>
              </w:rPr>
              <w:t>This legislative instrument does not engage any of the applicable rights or freedoms.</w:t>
            </w:r>
          </w:p>
          <w:p w14:paraId="5EAAE134" w14:textId="77777777" w:rsidR="00DD23A6" w:rsidRPr="00DD23A6" w:rsidRDefault="00DD23A6" w:rsidP="00DD23A6">
            <w:pPr>
              <w:spacing w:before="120" w:after="120"/>
              <w:rPr>
                <w:rFonts w:ascii="Times New Roman" w:hAnsi="Times New Roman" w:cs="Times New Roman"/>
                <w:b/>
              </w:rPr>
            </w:pPr>
          </w:p>
          <w:p w14:paraId="5C8E7296" w14:textId="77777777" w:rsidR="00DD23A6" w:rsidRPr="00DD23A6" w:rsidRDefault="00DD23A6" w:rsidP="00DD23A6">
            <w:pPr>
              <w:spacing w:before="120" w:after="120"/>
              <w:rPr>
                <w:rFonts w:ascii="Times New Roman" w:hAnsi="Times New Roman" w:cs="Times New Roman"/>
                <w:b/>
              </w:rPr>
            </w:pPr>
            <w:r w:rsidRPr="00DD23A6">
              <w:rPr>
                <w:rFonts w:ascii="Times New Roman" w:hAnsi="Times New Roman" w:cs="Times New Roman"/>
                <w:b/>
              </w:rPr>
              <w:t>Conclusion</w:t>
            </w:r>
          </w:p>
          <w:p w14:paraId="5FCED781" w14:textId="77777777" w:rsidR="00DD23A6" w:rsidRPr="00DD23A6" w:rsidRDefault="00DD23A6" w:rsidP="00DD23A6">
            <w:pPr>
              <w:spacing w:before="120" w:after="120"/>
              <w:rPr>
                <w:rFonts w:ascii="Times New Roman" w:hAnsi="Times New Roman" w:cs="Times New Roman"/>
              </w:rPr>
            </w:pPr>
            <w:r w:rsidRPr="00DD23A6">
              <w:rPr>
                <w:rFonts w:ascii="Times New Roman" w:hAnsi="Times New Roman" w:cs="Times New Roman"/>
              </w:rPr>
              <w:t>This legislative instrument is compatible with human rights as it does not raise any human rights issues.</w:t>
            </w:r>
          </w:p>
          <w:p w14:paraId="1D2E691A" w14:textId="77777777" w:rsidR="00DD23A6" w:rsidRPr="00DD23A6" w:rsidRDefault="00DD23A6" w:rsidP="00DD23A6">
            <w:pPr>
              <w:spacing w:before="120" w:after="120"/>
              <w:jc w:val="center"/>
              <w:rPr>
                <w:rFonts w:ascii="Times New Roman" w:hAnsi="Times New Roman" w:cs="Times New Roman"/>
              </w:rPr>
            </w:pPr>
          </w:p>
          <w:p w14:paraId="1882B9E1" w14:textId="77777777" w:rsidR="00DD23A6" w:rsidRPr="00DD23A6" w:rsidRDefault="00DD23A6" w:rsidP="00DD23A6">
            <w:pPr>
              <w:spacing w:before="120" w:after="120"/>
              <w:jc w:val="center"/>
              <w:rPr>
                <w:rFonts w:ascii="Times New Roman" w:hAnsi="Times New Roman" w:cs="Times New Roman"/>
              </w:rPr>
            </w:pPr>
            <w:r w:rsidRPr="00DD23A6">
              <w:rPr>
                <w:rFonts w:ascii="Times New Roman" w:hAnsi="Times New Roman" w:cs="Times New Roman"/>
                <w:b/>
              </w:rPr>
              <w:t>Australian Securities and Investments Commission</w:t>
            </w:r>
          </w:p>
          <w:p w14:paraId="3623A8CC" w14:textId="77777777" w:rsidR="00DD23A6" w:rsidRDefault="00DD23A6">
            <w:pPr>
              <w:rPr>
                <w:b/>
              </w:rPr>
            </w:pPr>
          </w:p>
          <w:p w14:paraId="7A1FA91A" w14:textId="2E28F1C8" w:rsidR="00DD23A6" w:rsidRDefault="00DD23A6" w:rsidP="00DD23A6">
            <w:pPr>
              <w:rPr>
                <w:b/>
              </w:rPr>
            </w:pPr>
          </w:p>
        </w:tc>
      </w:tr>
    </w:tbl>
    <w:p w14:paraId="5B8878D7" w14:textId="26C5F46C" w:rsidR="00DD23A6" w:rsidRDefault="00DD23A6">
      <w:pPr>
        <w:rPr>
          <w:b/>
        </w:rPr>
      </w:pPr>
    </w:p>
    <w:sectPr w:rsidR="00DD2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506"/>
    <w:multiLevelType w:val="hybridMultilevel"/>
    <w:tmpl w:val="C68A1A00"/>
    <w:lvl w:ilvl="0" w:tplc="0C090017">
      <w:start w:val="1"/>
      <w:numFmt w:val="lowerLetter"/>
      <w:lvlText w:val="%1)"/>
      <w:lvlJc w:val="left"/>
      <w:pPr>
        <w:ind w:left="1570" w:hanging="360"/>
      </w:pPr>
      <w:rPr>
        <w:rFonts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 w15:restartNumberingAfterBreak="0">
    <w:nsid w:val="009D2AC6"/>
    <w:multiLevelType w:val="hybridMultilevel"/>
    <w:tmpl w:val="A412E6EC"/>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E17FB"/>
    <w:multiLevelType w:val="multilevel"/>
    <w:tmpl w:val="4B50CF4A"/>
    <w:lvl w:ilvl="0">
      <w:start w:val="1"/>
      <w:numFmt w:val="bullet"/>
      <w:lvlText w:val=""/>
      <w:lvlJc w:val="left"/>
      <w:pPr>
        <w:tabs>
          <w:tab w:val="num" w:pos="851"/>
        </w:tabs>
        <w:ind w:left="851" w:hanging="426"/>
      </w:pPr>
      <w:rPr>
        <w:rFonts w:ascii="Symbol" w:hAnsi="Symbol"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58C59C3"/>
    <w:multiLevelType w:val="multilevel"/>
    <w:tmpl w:val="BBF42FE6"/>
    <w:lvl w:ilvl="0">
      <w:start w:val="1"/>
      <w:numFmt w:val="lowerLetter"/>
      <w:lvlText w:val="%1)"/>
      <w:lvlJc w:val="left"/>
      <w:pPr>
        <w:tabs>
          <w:tab w:val="num" w:pos="851"/>
        </w:tabs>
        <w:ind w:left="851" w:hanging="426"/>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054507"/>
    <w:multiLevelType w:val="hybridMultilevel"/>
    <w:tmpl w:val="BFE2D37A"/>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54"/>
    <w:rsid w:val="00023BEF"/>
    <w:rsid w:val="00053F65"/>
    <w:rsid w:val="00144789"/>
    <w:rsid w:val="001D4095"/>
    <w:rsid w:val="0020729E"/>
    <w:rsid w:val="002206DD"/>
    <w:rsid w:val="002A25C1"/>
    <w:rsid w:val="002A4B77"/>
    <w:rsid w:val="002D7167"/>
    <w:rsid w:val="00346821"/>
    <w:rsid w:val="003C297F"/>
    <w:rsid w:val="003C3709"/>
    <w:rsid w:val="0048289C"/>
    <w:rsid w:val="004C0BE8"/>
    <w:rsid w:val="004F7E55"/>
    <w:rsid w:val="00547DA5"/>
    <w:rsid w:val="00602006"/>
    <w:rsid w:val="006213DE"/>
    <w:rsid w:val="007033D8"/>
    <w:rsid w:val="00871C7C"/>
    <w:rsid w:val="00873655"/>
    <w:rsid w:val="00875939"/>
    <w:rsid w:val="00910782"/>
    <w:rsid w:val="00912480"/>
    <w:rsid w:val="00926254"/>
    <w:rsid w:val="00937255"/>
    <w:rsid w:val="00A23876"/>
    <w:rsid w:val="00A84407"/>
    <w:rsid w:val="00A96AEC"/>
    <w:rsid w:val="00B44B7D"/>
    <w:rsid w:val="00BE3DA3"/>
    <w:rsid w:val="00C64F45"/>
    <w:rsid w:val="00C835DD"/>
    <w:rsid w:val="00C9005D"/>
    <w:rsid w:val="00CA57DE"/>
    <w:rsid w:val="00D03F38"/>
    <w:rsid w:val="00D22E17"/>
    <w:rsid w:val="00D64858"/>
    <w:rsid w:val="00DA72FE"/>
    <w:rsid w:val="00DD23A6"/>
    <w:rsid w:val="00F5231B"/>
    <w:rsid w:val="00F533C0"/>
    <w:rsid w:val="00F66A53"/>
    <w:rsid w:val="00FA2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C2FD"/>
  <w15:chartTrackingRefBased/>
  <w15:docId w15:val="{130249FF-6C9E-4757-BF31-DD1FDC18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G-BodyTextNumbered">
    <w:name w:val="RPG - Body Text (Numbered)"/>
    <w:basedOn w:val="Normal"/>
    <w:link w:val="RPG-BodyTextNumberedChar"/>
    <w:qFormat/>
    <w:rsid w:val="00B44B7D"/>
    <w:pPr>
      <w:numPr>
        <w:numId w:val="1"/>
      </w:numPr>
      <w:spacing w:before="200" w:after="0" w:line="240" w:lineRule="auto"/>
    </w:pPr>
    <w:rPr>
      <w:rFonts w:ascii="Times New Roman" w:hAnsi="Times New Roman"/>
    </w:rPr>
  </w:style>
  <w:style w:type="paragraph" w:customStyle="1" w:styleId="RPG-SublistLevel1">
    <w:name w:val="RPG - Sublist Level 1"/>
    <w:basedOn w:val="RPG-BodyTextNumbered"/>
    <w:qFormat/>
    <w:rsid w:val="00B44B7D"/>
    <w:pPr>
      <w:numPr>
        <w:ilvl w:val="1"/>
      </w:numPr>
      <w:spacing w:before="120"/>
    </w:pPr>
  </w:style>
  <w:style w:type="paragraph" w:customStyle="1" w:styleId="RPG-SublistLevel2">
    <w:name w:val="RPG - Sublist Level 2"/>
    <w:basedOn w:val="RPG-SublistLevel1"/>
    <w:qFormat/>
    <w:rsid w:val="00B44B7D"/>
    <w:pPr>
      <w:numPr>
        <w:ilvl w:val="2"/>
      </w:numPr>
    </w:pPr>
  </w:style>
  <w:style w:type="character" w:customStyle="1" w:styleId="RPG-BodyTextNumberedChar">
    <w:name w:val="RPG - Body Text (Numbered) Char"/>
    <w:basedOn w:val="DefaultParagraphFont"/>
    <w:link w:val="RPG-BodyTextNumbered"/>
    <w:rsid w:val="00B44B7D"/>
    <w:rPr>
      <w:rFonts w:ascii="Times New Roman" w:hAnsi="Times New Roman"/>
    </w:rPr>
  </w:style>
  <w:style w:type="character" w:styleId="CommentReference">
    <w:name w:val="annotation reference"/>
    <w:basedOn w:val="DefaultParagraphFont"/>
    <w:uiPriority w:val="99"/>
    <w:semiHidden/>
    <w:unhideWhenUsed/>
    <w:rsid w:val="004F7E55"/>
    <w:rPr>
      <w:sz w:val="16"/>
      <w:szCs w:val="16"/>
    </w:rPr>
  </w:style>
  <w:style w:type="paragraph" w:styleId="CommentText">
    <w:name w:val="annotation text"/>
    <w:basedOn w:val="Normal"/>
    <w:link w:val="CommentTextChar"/>
    <w:uiPriority w:val="99"/>
    <w:semiHidden/>
    <w:unhideWhenUsed/>
    <w:rsid w:val="004F7E55"/>
    <w:pPr>
      <w:spacing w:line="240" w:lineRule="auto"/>
    </w:pPr>
    <w:rPr>
      <w:sz w:val="20"/>
      <w:szCs w:val="20"/>
    </w:rPr>
  </w:style>
  <w:style w:type="character" w:customStyle="1" w:styleId="CommentTextChar">
    <w:name w:val="Comment Text Char"/>
    <w:basedOn w:val="DefaultParagraphFont"/>
    <w:link w:val="CommentText"/>
    <w:uiPriority w:val="99"/>
    <w:semiHidden/>
    <w:rsid w:val="004F7E55"/>
    <w:rPr>
      <w:sz w:val="20"/>
      <w:szCs w:val="20"/>
    </w:rPr>
  </w:style>
  <w:style w:type="paragraph" w:styleId="CommentSubject">
    <w:name w:val="annotation subject"/>
    <w:basedOn w:val="CommentText"/>
    <w:next w:val="CommentText"/>
    <w:link w:val="CommentSubjectChar"/>
    <w:uiPriority w:val="99"/>
    <w:semiHidden/>
    <w:unhideWhenUsed/>
    <w:rsid w:val="004F7E55"/>
    <w:rPr>
      <w:b/>
      <w:bCs/>
    </w:rPr>
  </w:style>
  <w:style w:type="character" w:customStyle="1" w:styleId="CommentSubjectChar">
    <w:name w:val="Comment Subject Char"/>
    <w:basedOn w:val="CommentTextChar"/>
    <w:link w:val="CommentSubject"/>
    <w:uiPriority w:val="99"/>
    <w:semiHidden/>
    <w:rsid w:val="004F7E55"/>
    <w:rPr>
      <w:b/>
      <w:bCs/>
      <w:sz w:val="20"/>
      <w:szCs w:val="20"/>
    </w:rPr>
  </w:style>
  <w:style w:type="paragraph" w:styleId="BalloonText">
    <w:name w:val="Balloon Text"/>
    <w:basedOn w:val="Normal"/>
    <w:link w:val="BalloonTextChar"/>
    <w:uiPriority w:val="99"/>
    <w:semiHidden/>
    <w:unhideWhenUsed/>
    <w:rsid w:val="004F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55"/>
    <w:rPr>
      <w:rFonts w:ascii="Segoe UI" w:hAnsi="Segoe UI" w:cs="Segoe UI"/>
      <w:sz w:val="18"/>
      <w:szCs w:val="18"/>
    </w:rPr>
  </w:style>
  <w:style w:type="paragraph" w:styleId="ListParagraph">
    <w:name w:val="List Paragraph"/>
    <w:basedOn w:val="Normal"/>
    <w:uiPriority w:val="34"/>
    <w:qFormat/>
    <w:rsid w:val="00DD23A6"/>
    <w:pPr>
      <w:ind w:left="720"/>
      <w:contextualSpacing/>
    </w:pPr>
  </w:style>
  <w:style w:type="paragraph" w:styleId="BodyText">
    <w:name w:val="Body Text"/>
    <w:link w:val="BodyTextChar"/>
    <w:rsid w:val="00DD23A6"/>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D23A6"/>
    <w:rPr>
      <w:rFonts w:ascii="Times New Roman" w:eastAsia="Times New Roman" w:hAnsi="Times New Roman" w:cs="Times New Roman"/>
      <w:sz w:val="24"/>
      <w:szCs w:val="20"/>
    </w:rPr>
  </w:style>
  <w:style w:type="table" w:styleId="TableGrid">
    <w:name w:val="Table Grid"/>
    <w:basedOn w:val="TableNormal"/>
    <w:uiPriority w:val="39"/>
    <w:rsid w:val="00DD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829293">
      <w:bodyDiv w:val="1"/>
      <w:marLeft w:val="0"/>
      <w:marRight w:val="0"/>
      <w:marTop w:val="0"/>
      <w:marBottom w:val="0"/>
      <w:divBdr>
        <w:top w:val="none" w:sz="0" w:space="0" w:color="auto"/>
        <w:left w:val="none" w:sz="0" w:space="0" w:color="auto"/>
        <w:bottom w:val="none" w:sz="0" w:space="0" w:color="auto"/>
        <w:right w:val="none" w:sz="0" w:space="0" w:color="auto"/>
      </w:divBdr>
      <w:divsChild>
        <w:div w:id="1634359795">
          <w:marLeft w:val="0"/>
          <w:marRight w:val="0"/>
          <w:marTop w:val="0"/>
          <w:marBottom w:val="0"/>
          <w:divBdr>
            <w:top w:val="none" w:sz="0" w:space="0" w:color="auto"/>
            <w:left w:val="none" w:sz="0" w:space="0" w:color="auto"/>
            <w:bottom w:val="none" w:sz="0" w:space="0" w:color="auto"/>
            <w:right w:val="none" w:sz="0" w:space="0" w:color="auto"/>
          </w:divBdr>
          <w:divsChild>
            <w:div w:id="544217953">
              <w:marLeft w:val="0"/>
              <w:marRight w:val="0"/>
              <w:marTop w:val="0"/>
              <w:marBottom w:val="0"/>
              <w:divBdr>
                <w:top w:val="none" w:sz="0" w:space="0" w:color="auto"/>
                <w:left w:val="none" w:sz="0" w:space="0" w:color="auto"/>
                <w:bottom w:val="none" w:sz="0" w:space="0" w:color="auto"/>
                <w:right w:val="none" w:sz="0" w:space="0" w:color="auto"/>
              </w:divBdr>
              <w:divsChild>
                <w:div w:id="2059279263">
                  <w:marLeft w:val="0"/>
                  <w:marRight w:val="0"/>
                  <w:marTop w:val="0"/>
                  <w:marBottom w:val="0"/>
                  <w:divBdr>
                    <w:top w:val="none" w:sz="0" w:space="0" w:color="auto"/>
                    <w:left w:val="none" w:sz="0" w:space="0" w:color="auto"/>
                    <w:bottom w:val="none" w:sz="0" w:space="0" w:color="auto"/>
                    <w:right w:val="none" w:sz="0" w:space="0" w:color="auto"/>
                  </w:divBdr>
                  <w:divsChild>
                    <w:div w:id="1077828741">
                      <w:marLeft w:val="0"/>
                      <w:marRight w:val="0"/>
                      <w:marTop w:val="0"/>
                      <w:marBottom w:val="0"/>
                      <w:divBdr>
                        <w:top w:val="none" w:sz="0" w:space="0" w:color="auto"/>
                        <w:left w:val="none" w:sz="0" w:space="0" w:color="auto"/>
                        <w:bottom w:val="none" w:sz="0" w:space="0" w:color="auto"/>
                        <w:right w:val="none" w:sz="0" w:space="0" w:color="auto"/>
                      </w:divBdr>
                      <w:divsChild>
                        <w:div w:id="567958473">
                          <w:marLeft w:val="0"/>
                          <w:marRight w:val="0"/>
                          <w:marTop w:val="0"/>
                          <w:marBottom w:val="0"/>
                          <w:divBdr>
                            <w:top w:val="none" w:sz="0" w:space="0" w:color="auto"/>
                            <w:left w:val="none" w:sz="0" w:space="0" w:color="auto"/>
                            <w:bottom w:val="none" w:sz="0" w:space="0" w:color="auto"/>
                            <w:right w:val="none" w:sz="0" w:space="0" w:color="auto"/>
                          </w:divBdr>
                          <w:divsChild>
                            <w:div w:id="1832329913">
                              <w:marLeft w:val="0"/>
                              <w:marRight w:val="0"/>
                              <w:marTop w:val="0"/>
                              <w:marBottom w:val="0"/>
                              <w:divBdr>
                                <w:top w:val="none" w:sz="0" w:space="0" w:color="auto"/>
                                <w:left w:val="none" w:sz="0" w:space="0" w:color="auto"/>
                                <w:bottom w:val="none" w:sz="0" w:space="0" w:color="auto"/>
                                <w:right w:val="none" w:sz="0" w:space="0" w:color="auto"/>
                              </w:divBdr>
                              <w:divsChild>
                                <w:div w:id="1358460332">
                                  <w:marLeft w:val="0"/>
                                  <w:marRight w:val="0"/>
                                  <w:marTop w:val="0"/>
                                  <w:marBottom w:val="0"/>
                                  <w:divBdr>
                                    <w:top w:val="none" w:sz="0" w:space="0" w:color="auto"/>
                                    <w:left w:val="none" w:sz="0" w:space="0" w:color="auto"/>
                                    <w:bottom w:val="none" w:sz="0" w:space="0" w:color="auto"/>
                                    <w:right w:val="none" w:sz="0" w:space="0" w:color="auto"/>
                                  </w:divBdr>
                                  <w:divsChild>
                                    <w:div w:id="1651209700">
                                      <w:marLeft w:val="0"/>
                                      <w:marRight w:val="0"/>
                                      <w:marTop w:val="0"/>
                                      <w:marBottom w:val="0"/>
                                      <w:divBdr>
                                        <w:top w:val="none" w:sz="0" w:space="0" w:color="auto"/>
                                        <w:left w:val="none" w:sz="0" w:space="0" w:color="auto"/>
                                        <w:bottom w:val="none" w:sz="0" w:space="0" w:color="auto"/>
                                        <w:right w:val="none" w:sz="0" w:space="0" w:color="auto"/>
                                      </w:divBdr>
                                      <w:divsChild>
                                        <w:div w:id="1200627777">
                                          <w:marLeft w:val="0"/>
                                          <w:marRight w:val="0"/>
                                          <w:marTop w:val="0"/>
                                          <w:marBottom w:val="0"/>
                                          <w:divBdr>
                                            <w:top w:val="none" w:sz="0" w:space="0" w:color="auto"/>
                                            <w:left w:val="none" w:sz="0" w:space="0" w:color="auto"/>
                                            <w:bottom w:val="none" w:sz="0" w:space="0" w:color="auto"/>
                                            <w:right w:val="none" w:sz="0" w:space="0" w:color="auto"/>
                                          </w:divBdr>
                                          <w:divsChild>
                                            <w:div w:id="2146268997">
                                              <w:marLeft w:val="0"/>
                                              <w:marRight w:val="0"/>
                                              <w:marTop w:val="0"/>
                                              <w:marBottom w:val="0"/>
                                              <w:divBdr>
                                                <w:top w:val="none" w:sz="0" w:space="0" w:color="auto"/>
                                                <w:left w:val="none" w:sz="0" w:space="0" w:color="auto"/>
                                                <w:bottom w:val="none" w:sz="0" w:space="0" w:color="auto"/>
                                                <w:right w:val="none" w:sz="0" w:space="0" w:color="auto"/>
                                              </w:divBdr>
                                              <w:divsChild>
                                                <w:div w:id="254481709">
                                                  <w:marLeft w:val="0"/>
                                                  <w:marRight w:val="0"/>
                                                  <w:marTop w:val="0"/>
                                                  <w:marBottom w:val="0"/>
                                                  <w:divBdr>
                                                    <w:top w:val="none" w:sz="0" w:space="0" w:color="auto"/>
                                                    <w:left w:val="none" w:sz="0" w:space="0" w:color="auto"/>
                                                    <w:bottom w:val="none" w:sz="0" w:space="0" w:color="auto"/>
                                                    <w:right w:val="none" w:sz="0" w:space="0" w:color="auto"/>
                                                  </w:divBdr>
                                                  <w:divsChild>
                                                    <w:div w:id="1975209353">
                                                      <w:marLeft w:val="0"/>
                                                      <w:marRight w:val="0"/>
                                                      <w:marTop w:val="0"/>
                                                      <w:marBottom w:val="0"/>
                                                      <w:divBdr>
                                                        <w:top w:val="none" w:sz="0" w:space="0" w:color="auto"/>
                                                        <w:left w:val="none" w:sz="0" w:space="0" w:color="auto"/>
                                                        <w:bottom w:val="none" w:sz="0" w:space="0" w:color="auto"/>
                                                        <w:right w:val="none" w:sz="0" w:space="0" w:color="auto"/>
                                                      </w:divBdr>
                                                      <w:divsChild>
                                                        <w:div w:id="1866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download.asic.gov.au/media/4661726/cp298-published-5-march-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R20180000524551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Approvers xmlns="da7a9ac0-bc47-4684-84e6-3a8e9ac80c12">
      <UserInfo>
        <DisplayName/>
        <AccountId xsi:nil="true"/>
        <AccountType/>
      </UserInfo>
    </Approvers>
    <SignificantReason xmlns="da7a9ac0-bc47-4684-84e6-3a8e9ac80c12" xsi:nil="true"/>
    <NotesLinks xmlns="da7a9ac0-bc47-4684-84e6-3a8e9ac80c12" xsi:nil="true"/>
    <TaxCatchAll xmlns="af5193de-32c0-4b6a-970c-55043beee9d4">
      <Value>6</Value>
    </TaxCatchAll>
    <c5d73460c19b45db9cc3a37bc643c36a xmlns="af5193de-32c0-4b6a-970c-55043beee9d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5d73460c19b45db9cc3a37bc643c36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A8495A6E2F8F6342A4DB7A2955D9EC58" ma:contentTypeVersion="4" ma:contentTypeDescription="" ma:contentTypeScope="" ma:versionID="e76b712676658b9affc247e373501d45">
  <xsd:schema xmlns:xsd="http://www.w3.org/2001/XMLSchema" xmlns:xs="http://www.w3.org/2001/XMLSchema" xmlns:p="http://schemas.microsoft.com/office/2006/metadata/properties" xmlns:ns2="da7a9ac0-bc47-4684-84e6-3a8e9ac80c12" xmlns:ns3="af5193de-32c0-4b6a-970c-55043beee9d4" xmlns:ns4="17f478ab-373e-4295-9ff0-9b833ad01319" targetNamespace="http://schemas.microsoft.com/office/2006/metadata/properties" ma:root="true" ma:fieldsID="6a08b98a210651a1afc45dd8203a327b" ns2:_="" ns3:_="" ns4:_="">
    <xsd:import namespace="da7a9ac0-bc47-4684-84e6-3a8e9ac80c12"/>
    <xsd:import namespace="af5193de-32c0-4b6a-970c-55043beee9d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4:Reviewers" minOccurs="0"/>
                <xsd:element ref="ns2:Approvers" minOccurs="0"/>
                <xsd:element ref="ns3:c5d73460c19b45db9cc3a37bc643c3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xsd:simpleType>
        <xsd:restriction base="dms:Note"/>
      </xsd:simpleType>
    </xsd:element>
    <xsd:element name="Approvers" ma:index="1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193de-32c0-4b6a-970c-55043beee9d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0c927f-3b52-4504-b981-28cb03166a07}" ma:internalName="TaxCatchAll" ma:showField="CatchAllData" ma:web="af5193de-32c0-4b6a-970c-55043beee9d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0c927f-3b52-4504-b981-28cb03166a07}" ma:internalName="TaxCatchAllLabel" ma:readOnly="true" ma:showField="CatchAllDataLabel" ma:web="af5193de-32c0-4b6a-970c-55043beee9d4">
      <xsd:complexType>
        <xsd:complexContent>
          <xsd:extension base="dms:MultiChoiceLookup">
            <xsd:sequence>
              <xsd:element name="Value" type="dms:Lookup" maxOccurs="unbounded" minOccurs="0" nillable="true"/>
            </xsd:sequence>
          </xsd:extension>
        </xsd:complexContent>
      </xsd:complexType>
    </xsd:element>
    <xsd:element name="c5d73460c19b45db9cc3a37bc643c36a" ma:index="20" ma:taxonomy="true" ma:internalName="c5d73460c19b45db9cc3a37bc643c36a" ma:taxonomyFieldName="SecurityClassification" ma:displayName="Security Classification" ma:default="6;#Sensitive|19fd2cb8-3e97-4464-ae71-8c2c2095d028" ma:fieldId="{c5d73460-c19b-45db-9cc3-a37bc643c36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7E5F-5D57-4DF1-941D-962D2F07C3C6}">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da7a9ac0-bc47-4684-84e6-3a8e9ac80c12"/>
    <ds:schemaRef ds:uri="17f478ab-373e-4295-9ff0-9b833ad01319"/>
    <ds:schemaRef ds:uri="http://schemas.microsoft.com/office/2006/documentManagement/types"/>
    <ds:schemaRef ds:uri="af5193de-32c0-4b6a-970c-55043beee9d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1829B5-74C8-481B-9560-A2664C0D642C}">
  <ds:schemaRefs>
    <ds:schemaRef ds:uri="http://schemas.microsoft.com/sharepoint/v3/contenttype/forms"/>
  </ds:schemaRefs>
</ds:datastoreItem>
</file>

<file path=customXml/itemProps3.xml><?xml version="1.0" encoding="utf-8"?>
<ds:datastoreItem xmlns:ds="http://schemas.openxmlformats.org/officeDocument/2006/customXml" ds:itemID="{77FE5FBD-EC7B-4C33-A614-92529FFFA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f5193de-32c0-4b6a-970c-55043beee9d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25D3F-8B93-4889-9168-264C6EB7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Rush</dc:creator>
  <cp:keywords/>
  <dc:description/>
  <cp:lastModifiedBy>Sarah Edmondson</cp:lastModifiedBy>
  <cp:revision>2</cp:revision>
  <cp:lastPrinted>2018-05-29T03:22:00Z</cp:lastPrinted>
  <dcterms:created xsi:type="dcterms:W3CDTF">2018-05-29T03:51:00Z</dcterms:created>
  <dcterms:modified xsi:type="dcterms:W3CDTF">2018-05-29T03:51:00Z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0x010100B5F685A1365F544391EF8C813B164F3A00A8495A6E2F8F6342A4DB7A2955D9EC58</vt:lpwstr>
  </property>
  <property fmtid="{D5CDD505-2E9C-101B-9397-08002B2CF9AE}" pid="3" name="SecurityClassification">
    <vt:lpwstr>6;#Sensitive|19fd2cb8-3e97-4464-ae71-8c2c2095d028</vt:lpwstr>
  </property>
  <property fmtid="{D5CDD505-2E9C-101B-9397-08002B2CF9AE}" pid="4" name="RecordPoint_WorkflowType">
    <vt:lpwstr>ActiveSubmitStub</vt:lpwstr>
  </property>
  <property fmtid="{D5CDD505-2E9C-101B-9397-08002B2CF9AE}" pid="5" name="RecordPoint_ActiveItemUniqueId">
    <vt:lpwstr>{2da3771d-8b1b-4393-a9a6-52b0bf50db1c}</vt:lpwstr>
  </property>
  <property fmtid="{D5CDD505-2E9C-101B-9397-08002B2CF9AE}" pid="6" name="RecordPoint_ActiveItemWebId">
    <vt:lpwstr>{af5193de-32c0-4b6a-970c-55043beee9d4}</vt:lpwstr>
  </property>
  <property fmtid="{D5CDD505-2E9C-101B-9397-08002B2CF9AE}" pid="7" name="RecordPoint_ActiveItemSiteId">
    <vt:lpwstr>{2e96a6a4-153e-4124-aa54-164d1613095d}</vt:lpwstr>
  </property>
  <property fmtid="{D5CDD505-2E9C-101B-9397-08002B2CF9AE}" pid="8" name="RecordPoint_ActiveItemListId">
    <vt:lpwstr>{8254ee9a-85ba-4d5e-a060-141ea4c6a4f0}</vt:lpwstr>
  </property>
  <property fmtid="{D5CDD505-2E9C-101B-9397-08002B2CF9AE}" pid="9" name="RecordPoint_RecordNumberSubmitted">
    <vt:lpwstr>R20180000524551</vt:lpwstr>
  </property>
  <property fmtid="{D5CDD505-2E9C-101B-9397-08002B2CF9AE}" pid="10" name="RecordPoint_SubmissionCompleted">
    <vt:lpwstr>2018-05-29T13:56:16.6156895+10:00</vt:lpwstr>
  </property>
</Properties>
</file>