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citation"/>
    <w:p w:rsidR="009F07F2" w:rsidRPr="00A414A8" w:rsidRDefault="009F07F2" w:rsidP="009F07F2">
      <w:r w:rsidRPr="00A414A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7" o:title=""/>
          </v:shape>
          <o:OLEObject Type="Embed" ProgID="Word.Picture.8" ShapeID="_x0000_i1025" DrawAspect="Content" ObjectID="_1721741489" r:id="rId8"/>
        </w:object>
      </w:r>
    </w:p>
    <w:p w:rsidR="009F07F2" w:rsidRPr="00A414A8" w:rsidRDefault="009F07F2" w:rsidP="009F07F2">
      <w:pPr>
        <w:pStyle w:val="ShortT"/>
        <w:spacing w:before="240"/>
      </w:pPr>
      <w:r w:rsidRPr="00A414A8">
        <w:t>Private Health Insurance (Health Insurance Business) Rules 2018</w:t>
      </w:r>
    </w:p>
    <w:p w:rsidR="00B379AB" w:rsidRPr="00A414A8" w:rsidRDefault="00B379AB" w:rsidP="009F07F2">
      <w:pPr>
        <w:pStyle w:val="MadeunderText"/>
      </w:pPr>
      <w:r w:rsidRPr="00A414A8">
        <w:t>made under the</w:t>
      </w:r>
    </w:p>
    <w:p w:rsidR="009F07F2" w:rsidRPr="00A414A8" w:rsidRDefault="009F07F2" w:rsidP="009F07F2">
      <w:pPr>
        <w:pStyle w:val="CompiledMadeUnder"/>
        <w:spacing w:before="240"/>
      </w:pPr>
      <w:r w:rsidRPr="00A414A8">
        <w:t>Private Health Insurance Act 2007</w:t>
      </w:r>
    </w:p>
    <w:p w:rsidR="009F07F2" w:rsidRPr="00A414A8" w:rsidRDefault="009F07F2" w:rsidP="009F07F2">
      <w:pPr>
        <w:spacing w:before="1000"/>
        <w:rPr>
          <w:rFonts w:cs="Arial"/>
          <w:b/>
          <w:sz w:val="32"/>
          <w:szCs w:val="32"/>
        </w:rPr>
      </w:pPr>
      <w:r w:rsidRPr="00A414A8">
        <w:rPr>
          <w:rFonts w:cs="Arial"/>
          <w:b/>
          <w:sz w:val="32"/>
          <w:szCs w:val="32"/>
        </w:rPr>
        <w:t xml:space="preserve">Compilation No. </w:t>
      </w:r>
      <w:r w:rsidRPr="00A414A8">
        <w:rPr>
          <w:rFonts w:cs="Arial"/>
          <w:b/>
          <w:sz w:val="32"/>
          <w:szCs w:val="32"/>
        </w:rPr>
        <w:fldChar w:fldCharType="begin"/>
      </w:r>
      <w:r w:rsidRPr="00A414A8">
        <w:rPr>
          <w:rFonts w:cs="Arial"/>
          <w:b/>
          <w:sz w:val="32"/>
          <w:szCs w:val="32"/>
        </w:rPr>
        <w:instrText xml:space="preserve"> DOCPROPERTY  CompilationNumber </w:instrText>
      </w:r>
      <w:r w:rsidRPr="00A414A8">
        <w:rPr>
          <w:rFonts w:cs="Arial"/>
          <w:b/>
          <w:sz w:val="32"/>
          <w:szCs w:val="32"/>
        </w:rPr>
        <w:fldChar w:fldCharType="separate"/>
      </w:r>
      <w:r w:rsidR="007B0B30">
        <w:rPr>
          <w:rFonts w:cs="Arial"/>
          <w:b/>
          <w:sz w:val="32"/>
          <w:szCs w:val="32"/>
        </w:rPr>
        <w:t>10</w:t>
      </w:r>
      <w:r w:rsidRPr="00A414A8">
        <w:rPr>
          <w:rFonts w:cs="Arial"/>
          <w:b/>
          <w:sz w:val="32"/>
          <w:szCs w:val="32"/>
        </w:rPr>
        <w:fldChar w:fldCharType="end"/>
      </w:r>
    </w:p>
    <w:p w:rsidR="009F07F2" w:rsidRPr="00A414A8" w:rsidRDefault="009F07F2" w:rsidP="00AF31EE">
      <w:pPr>
        <w:tabs>
          <w:tab w:val="left" w:pos="3600"/>
        </w:tabs>
        <w:spacing w:before="480"/>
        <w:rPr>
          <w:rFonts w:cs="Arial"/>
          <w:sz w:val="24"/>
        </w:rPr>
      </w:pPr>
      <w:r w:rsidRPr="00A414A8">
        <w:rPr>
          <w:rFonts w:cs="Arial"/>
          <w:b/>
          <w:sz w:val="24"/>
        </w:rPr>
        <w:t>Compilation date</w:t>
      </w:r>
      <w:r w:rsidR="002444C1" w:rsidRPr="00A414A8">
        <w:rPr>
          <w:rFonts w:cs="Arial"/>
          <w:b/>
          <w:sz w:val="24"/>
        </w:rPr>
        <w:t>:</w:t>
      </w:r>
      <w:r w:rsidR="00AF31EE" w:rsidRPr="00A414A8">
        <w:rPr>
          <w:rFonts w:cs="Arial"/>
          <w:b/>
          <w:sz w:val="24"/>
        </w:rPr>
        <w:tab/>
      </w:r>
      <w:r w:rsidRPr="007B0B30">
        <w:rPr>
          <w:rFonts w:cs="Arial"/>
          <w:sz w:val="24"/>
        </w:rPr>
        <w:fldChar w:fldCharType="begin"/>
      </w:r>
      <w:r w:rsidR="0034447C" w:rsidRPr="007B0B30">
        <w:rPr>
          <w:rFonts w:cs="Arial"/>
          <w:sz w:val="24"/>
        </w:rPr>
        <w:instrText>DOCPROPERTY StartDate \@ "d MMMM yyyy" \* MERGEFORMAT</w:instrText>
      </w:r>
      <w:r w:rsidRPr="007B0B30">
        <w:rPr>
          <w:rFonts w:cs="Arial"/>
          <w:sz w:val="24"/>
        </w:rPr>
        <w:fldChar w:fldCharType="separate"/>
      </w:r>
      <w:r w:rsidR="007B0B30" w:rsidRPr="007B0B30">
        <w:rPr>
          <w:rFonts w:cs="Arial"/>
          <w:bCs/>
          <w:sz w:val="24"/>
        </w:rPr>
        <w:t>1 August 2022</w:t>
      </w:r>
      <w:r w:rsidRPr="007B0B30">
        <w:rPr>
          <w:rFonts w:cs="Arial"/>
          <w:sz w:val="24"/>
        </w:rPr>
        <w:fldChar w:fldCharType="end"/>
      </w:r>
    </w:p>
    <w:p w:rsidR="009F07F2" w:rsidRPr="00A414A8" w:rsidRDefault="009F07F2" w:rsidP="009F07F2">
      <w:pPr>
        <w:spacing w:before="240"/>
        <w:rPr>
          <w:rFonts w:cs="Arial"/>
          <w:sz w:val="24"/>
        </w:rPr>
      </w:pPr>
      <w:r w:rsidRPr="00A414A8">
        <w:rPr>
          <w:rFonts w:cs="Arial"/>
          <w:b/>
          <w:sz w:val="24"/>
        </w:rPr>
        <w:t>Includes amendments up to:</w:t>
      </w:r>
      <w:r w:rsidRPr="00A414A8">
        <w:rPr>
          <w:rFonts w:cs="Arial"/>
          <w:b/>
          <w:sz w:val="24"/>
        </w:rPr>
        <w:tab/>
      </w:r>
      <w:r w:rsidRPr="007B0B30">
        <w:rPr>
          <w:rFonts w:cs="Arial"/>
          <w:sz w:val="24"/>
        </w:rPr>
        <w:fldChar w:fldCharType="begin"/>
      </w:r>
      <w:r w:rsidRPr="007B0B30">
        <w:rPr>
          <w:rFonts w:cs="Arial"/>
          <w:sz w:val="24"/>
        </w:rPr>
        <w:instrText xml:space="preserve"> DOCPROPERTY IncludesUpTo </w:instrText>
      </w:r>
      <w:r w:rsidRPr="007B0B30">
        <w:rPr>
          <w:rFonts w:cs="Arial"/>
          <w:sz w:val="24"/>
        </w:rPr>
        <w:fldChar w:fldCharType="separate"/>
      </w:r>
      <w:r w:rsidR="007B0B30" w:rsidRPr="007B0B30">
        <w:rPr>
          <w:rFonts w:cs="Arial"/>
          <w:sz w:val="24"/>
        </w:rPr>
        <w:t>F2022L01010</w:t>
      </w:r>
      <w:r w:rsidRPr="007B0B30">
        <w:rPr>
          <w:rFonts w:cs="Arial"/>
          <w:sz w:val="24"/>
        </w:rPr>
        <w:fldChar w:fldCharType="end"/>
      </w:r>
    </w:p>
    <w:p w:rsidR="009F07F2" w:rsidRPr="00A414A8" w:rsidRDefault="009F07F2" w:rsidP="00AF31EE">
      <w:pPr>
        <w:tabs>
          <w:tab w:val="left" w:pos="3600"/>
        </w:tabs>
        <w:spacing w:before="240" w:after="240"/>
        <w:rPr>
          <w:rFonts w:cs="Arial"/>
          <w:sz w:val="28"/>
          <w:szCs w:val="28"/>
        </w:rPr>
      </w:pPr>
      <w:r w:rsidRPr="00A414A8">
        <w:rPr>
          <w:rFonts w:cs="Arial"/>
          <w:b/>
          <w:sz w:val="24"/>
        </w:rPr>
        <w:t>Registered:</w:t>
      </w:r>
      <w:r w:rsidR="00AF31EE" w:rsidRPr="00A414A8">
        <w:rPr>
          <w:rFonts w:cs="Arial"/>
          <w:b/>
          <w:sz w:val="24"/>
        </w:rPr>
        <w:tab/>
      </w:r>
      <w:r w:rsidRPr="007B0B30">
        <w:rPr>
          <w:rFonts w:cs="Arial"/>
          <w:sz w:val="24"/>
        </w:rPr>
        <w:fldChar w:fldCharType="begin"/>
      </w:r>
      <w:r w:rsidRPr="007B0B30">
        <w:rPr>
          <w:rFonts w:cs="Arial"/>
          <w:sz w:val="24"/>
        </w:rPr>
        <w:instrText xml:space="preserve"> IF </w:instrText>
      </w:r>
      <w:r w:rsidRPr="007B0B30">
        <w:rPr>
          <w:rFonts w:cs="Arial"/>
          <w:sz w:val="24"/>
        </w:rPr>
        <w:fldChar w:fldCharType="begin"/>
      </w:r>
      <w:r w:rsidRPr="007B0B30">
        <w:rPr>
          <w:rFonts w:cs="Arial"/>
          <w:sz w:val="24"/>
        </w:rPr>
        <w:instrText xml:space="preserve"> DOCPROPERTY RegisteredDate </w:instrText>
      </w:r>
      <w:r w:rsidRPr="007B0B30">
        <w:rPr>
          <w:rFonts w:cs="Arial"/>
          <w:sz w:val="24"/>
        </w:rPr>
        <w:fldChar w:fldCharType="separate"/>
      </w:r>
      <w:r w:rsidR="007B0B30" w:rsidRPr="007B0B30">
        <w:rPr>
          <w:rFonts w:cs="Arial"/>
          <w:sz w:val="24"/>
        </w:rPr>
        <w:instrText>11 August 2022</w:instrText>
      </w:r>
      <w:r w:rsidRPr="007B0B30">
        <w:rPr>
          <w:rFonts w:cs="Arial"/>
          <w:sz w:val="24"/>
        </w:rPr>
        <w:fldChar w:fldCharType="end"/>
      </w:r>
      <w:r w:rsidRPr="007B0B30">
        <w:rPr>
          <w:rFonts w:cs="Arial"/>
          <w:sz w:val="24"/>
        </w:rPr>
        <w:instrText xml:space="preserve"> = #1/1/1901# "Unknown" </w:instrText>
      </w:r>
      <w:r w:rsidRPr="007B0B30">
        <w:rPr>
          <w:rFonts w:cs="Arial"/>
          <w:sz w:val="24"/>
        </w:rPr>
        <w:fldChar w:fldCharType="begin"/>
      </w:r>
      <w:r w:rsidRPr="007B0B30">
        <w:rPr>
          <w:rFonts w:cs="Arial"/>
          <w:sz w:val="24"/>
        </w:rPr>
        <w:instrText xml:space="preserve"> DOCPROPERTY RegisteredDate \@ "d MMMM yyyy" </w:instrText>
      </w:r>
      <w:r w:rsidRPr="007B0B30">
        <w:rPr>
          <w:rFonts w:cs="Arial"/>
          <w:sz w:val="24"/>
        </w:rPr>
        <w:fldChar w:fldCharType="separate"/>
      </w:r>
      <w:r w:rsidR="007B0B30" w:rsidRPr="007B0B30">
        <w:rPr>
          <w:rFonts w:cs="Arial"/>
          <w:sz w:val="24"/>
        </w:rPr>
        <w:instrText>11 August 2022</w:instrText>
      </w:r>
      <w:r w:rsidRPr="007B0B30">
        <w:rPr>
          <w:rFonts w:cs="Arial"/>
          <w:sz w:val="24"/>
        </w:rPr>
        <w:fldChar w:fldCharType="end"/>
      </w:r>
      <w:r w:rsidRPr="007B0B30">
        <w:rPr>
          <w:rFonts w:cs="Arial"/>
          <w:sz w:val="24"/>
        </w:rPr>
        <w:instrText xml:space="preserve"> \*MERGEFORMAT </w:instrText>
      </w:r>
      <w:r w:rsidRPr="007B0B30">
        <w:rPr>
          <w:rFonts w:cs="Arial"/>
          <w:sz w:val="24"/>
        </w:rPr>
        <w:fldChar w:fldCharType="separate"/>
      </w:r>
      <w:r w:rsidR="007B0B30" w:rsidRPr="007B0B30">
        <w:rPr>
          <w:rFonts w:cs="Arial"/>
          <w:bCs/>
          <w:noProof/>
          <w:sz w:val="24"/>
        </w:rPr>
        <w:t>11 August 2022</w:t>
      </w:r>
      <w:r w:rsidRPr="007B0B30">
        <w:rPr>
          <w:rFonts w:cs="Arial"/>
          <w:sz w:val="24"/>
        </w:rPr>
        <w:fldChar w:fldCharType="end"/>
      </w:r>
    </w:p>
    <w:p w:rsidR="009F07F2" w:rsidRPr="00A414A8" w:rsidRDefault="009F07F2" w:rsidP="009F07F2">
      <w:pPr>
        <w:pageBreakBefore/>
        <w:rPr>
          <w:rFonts w:cs="Arial"/>
          <w:b/>
          <w:sz w:val="32"/>
          <w:szCs w:val="32"/>
        </w:rPr>
      </w:pPr>
      <w:r w:rsidRPr="00A414A8">
        <w:rPr>
          <w:rFonts w:cs="Arial"/>
          <w:b/>
          <w:sz w:val="32"/>
          <w:szCs w:val="32"/>
        </w:rPr>
        <w:lastRenderedPageBreak/>
        <w:t>About this compilation</w:t>
      </w:r>
    </w:p>
    <w:p w:rsidR="009F07F2" w:rsidRPr="00A414A8" w:rsidRDefault="009F07F2" w:rsidP="009F07F2">
      <w:pPr>
        <w:spacing w:before="240"/>
        <w:rPr>
          <w:rFonts w:cs="Arial"/>
        </w:rPr>
      </w:pPr>
      <w:r w:rsidRPr="00A414A8">
        <w:rPr>
          <w:rFonts w:cs="Arial"/>
          <w:b/>
          <w:szCs w:val="22"/>
        </w:rPr>
        <w:t>This compilation</w:t>
      </w:r>
    </w:p>
    <w:p w:rsidR="009F07F2" w:rsidRPr="00A414A8" w:rsidRDefault="009F07F2" w:rsidP="009F07F2">
      <w:pPr>
        <w:spacing w:before="120" w:after="120"/>
        <w:rPr>
          <w:rFonts w:cs="Arial"/>
          <w:szCs w:val="22"/>
        </w:rPr>
      </w:pPr>
      <w:r w:rsidRPr="00A414A8">
        <w:rPr>
          <w:rFonts w:cs="Arial"/>
          <w:szCs w:val="22"/>
        </w:rPr>
        <w:t xml:space="preserve">This is a compilation of the </w:t>
      </w:r>
      <w:r w:rsidRPr="00A414A8">
        <w:rPr>
          <w:rFonts w:cs="Arial"/>
          <w:i/>
          <w:szCs w:val="22"/>
        </w:rPr>
        <w:fldChar w:fldCharType="begin"/>
      </w:r>
      <w:r w:rsidRPr="00A414A8">
        <w:rPr>
          <w:rFonts w:cs="Arial"/>
          <w:i/>
          <w:szCs w:val="22"/>
        </w:rPr>
        <w:instrText xml:space="preserve"> STYLEREF  ShortT </w:instrText>
      </w:r>
      <w:r w:rsidRPr="00A414A8">
        <w:rPr>
          <w:rFonts w:cs="Arial"/>
          <w:i/>
          <w:szCs w:val="22"/>
        </w:rPr>
        <w:fldChar w:fldCharType="separate"/>
      </w:r>
      <w:r w:rsidR="007B0B30">
        <w:rPr>
          <w:rFonts w:cs="Arial"/>
          <w:i/>
          <w:noProof/>
          <w:szCs w:val="22"/>
        </w:rPr>
        <w:t>Private Health Insurance (Health Insurance Business) Rules 2018</w:t>
      </w:r>
      <w:r w:rsidRPr="00A414A8">
        <w:rPr>
          <w:rFonts w:cs="Arial"/>
          <w:i/>
          <w:szCs w:val="22"/>
        </w:rPr>
        <w:fldChar w:fldCharType="end"/>
      </w:r>
      <w:r w:rsidRPr="00A414A8">
        <w:rPr>
          <w:rFonts w:cs="Arial"/>
          <w:szCs w:val="22"/>
        </w:rPr>
        <w:t xml:space="preserve"> that shows the text of the law as amended and in force on </w:t>
      </w:r>
      <w:bookmarkStart w:id="1" w:name="_GoBack"/>
      <w:r w:rsidRPr="007B0B30">
        <w:rPr>
          <w:rFonts w:cs="Arial"/>
          <w:szCs w:val="22"/>
        </w:rPr>
        <w:fldChar w:fldCharType="begin"/>
      </w:r>
      <w:r w:rsidR="0034447C" w:rsidRPr="007B0B30">
        <w:rPr>
          <w:rFonts w:cs="Arial"/>
          <w:szCs w:val="22"/>
        </w:rPr>
        <w:instrText>DOCPROPERTY StartDate \@ "d MMMM yyyy" \* MERGEFORMAT</w:instrText>
      </w:r>
      <w:r w:rsidRPr="007B0B30">
        <w:rPr>
          <w:rFonts w:cs="Arial"/>
          <w:szCs w:val="22"/>
        </w:rPr>
        <w:fldChar w:fldCharType="separate"/>
      </w:r>
      <w:r w:rsidR="007B0B30" w:rsidRPr="007B0B30">
        <w:rPr>
          <w:rFonts w:cs="Arial"/>
          <w:szCs w:val="22"/>
        </w:rPr>
        <w:t>1 August 2022</w:t>
      </w:r>
      <w:r w:rsidRPr="007B0B30">
        <w:rPr>
          <w:rFonts w:cs="Arial"/>
          <w:szCs w:val="22"/>
        </w:rPr>
        <w:fldChar w:fldCharType="end"/>
      </w:r>
      <w:bookmarkEnd w:id="1"/>
      <w:r w:rsidRPr="00A414A8">
        <w:rPr>
          <w:rFonts w:cs="Arial"/>
          <w:szCs w:val="22"/>
        </w:rPr>
        <w:t xml:space="preserve"> (the </w:t>
      </w:r>
      <w:r w:rsidRPr="00A414A8">
        <w:rPr>
          <w:rFonts w:cs="Arial"/>
          <w:b/>
          <w:i/>
          <w:szCs w:val="22"/>
        </w:rPr>
        <w:t>compilation date</w:t>
      </w:r>
      <w:r w:rsidRPr="00A414A8">
        <w:rPr>
          <w:rFonts w:cs="Arial"/>
          <w:szCs w:val="22"/>
        </w:rPr>
        <w:t>).</w:t>
      </w:r>
    </w:p>
    <w:p w:rsidR="009F07F2" w:rsidRPr="00A414A8" w:rsidRDefault="009F07F2" w:rsidP="009F07F2">
      <w:pPr>
        <w:spacing w:after="120"/>
        <w:rPr>
          <w:rFonts w:cs="Arial"/>
          <w:szCs w:val="22"/>
        </w:rPr>
      </w:pPr>
      <w:r w:rsidRPr="00A414A8">
        <w:rPr>
          <w:rFonts w:cs="Arial"/>
          <w:szCs w:val="22"/>
        </w:rPr>
        <w:t xml:space="preserve">The notes at the end of this compilation (the </w:t>
      </w:r>
      <w:r w:rsidRPr="00A414A8">
        <w:rPr>
          <w:rFonts w:cs="Arial"/>
          <w:b/>
          <w:i/>
          <w:szCs w:val="22"/>
        </w:rPr>
        <w:t>endnotes</w:t>
      </w:r>
      <w:r w:rsidRPr="00A414A8">
        <w:rPr>
          <w:rFonts w:cs="Arial"/>
          <w:szCs w:val="22"/>
        </w:rPr>
        <w:t>) include information about amending laws and the amendment history of provisions of the compiled law.</w:t>
      </w:r>
    </w:p>
    <w:p w:rsidR="009F07F2" w:rsidRPr="00A414A8" w:rsidRDefault="009F07F2" w:rsidP="009F07F2">
      <w:pPr>
        <w:tabs>
          <w:tab w:val="left" w:pos="5640"/>
        </w:tabs>
        <w:spacing w:before="120" w:after="120"/>
        <w:rPr>
          <w:rFonts w:cs="Arial"/>
          <w:b/>
          <w:szCs w:val="22"/>
        </w:rPr>
      </w:pPr>
      <w:r w:rsidRPr="00A414A8">
        <w:rPr>
          <w:rFonts w:cs="Arial"/>
          <w:b/>
          <w:szCs w:val="22"/>
        </w:rPr>
        <w:t>Uncommenced amendments</w:t>
      </w:r>
    </w:p>
    <w:p w:rsidR="009F07F2" w:rsidRPr="00A414A8" w:rsidRDefault="009F07F2" w:rsidP="009F07F2">
      <w:pPr>
        <w:spacing w:after="120"/>
        <w:rPr>
          <w:rFonts w:cs="Arial"/>
          <w:szCs w:val="22"/>
        </w:rPr>
      </w:pPr>
      <w:r w:rsidRPr="00A414A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F07F2" w:rsidRPr="00A414A8" w:rsidRDefault="009F07F2" w:rsidP="009F07F2">
      <w:pPr>
        <w:spacing w:before="120" w:after="120"/>
        <w:rPr>
          <w:rFonts w:cs="Arial"/>
          <w:b/>
          <w:szCs w:val="22"/>
        </w:rPr>
      </w:pPr>
      <w:r w:rsidRPr="00A414A8">
        <w:rPr>
          <w:rFonts w:cs="Arial"/>
          <w:b/>
          <w:szCs w:val="22"/>
        </w:rPr>
        <w:t>Application, saving and transitional provisions for provisions and amendments</w:t>
      </w:r>
    </w:p>
    <w:p w:rsidR="009F07F2" w:rsidRPr="00A414A8" w:rsidRDefault="009F07F2" w:rsidP="009F07F2">
      <w:pPr>
        <w:spacing w:after="120"/>
        <w:rPr>
          <w:rFonts w:cs="Arial"/>
          <w:szCs w:val="22"/>
        </w:rPr>
      </w:pPr>
      <w:r w:rsidRPr="00A414A8">
        <w:rPr>
          <w:rFonts w:cs="Arial"/>
          <w:szCs w:val="22"/>
        </w:rPr>
        <w:t>If the operation of a provision or amendment of the compiled law is affected by an application, saving or transitional provision that is not included in this compilation, details are included in the endnotes.</w:t>
      </w:r>
    </w:p>
    <w:p w:rsidR="009F07F2" w:rsidRPr="00A414A8" w:rsidRDefault="009F07F2" w:rsidP="009F07F2">
      <w:pPr>
        <w:spacing w:after="120"/>
        <w:rPr>
          <w:rFonts w:cs="Arial"/>
          <w:b/>
          <w:szCs w:val="22"/>
        </w:rPr>
      </w:pPr>
      <w:r w:rsidRPr="00A414A8">
        <w:rPr>
          <w:rFonts w:cs="Arial"/>
          <w:b/>
          <w:szCs w:val="22"/>
        </w:rPr>
        <w:t>Editorial changes</w:t>
      </w:r>
    </w:p>
    <w:p w:rsidR="009F07F2" w:rsidRPr="00A414A8" w:rsidRDefault="009F07F2" w:rsidP="009F07F2">
      <w:pPr>
        <w:spacing w:after="120"/>
        <w:rPr>
          <w:rFonts w:cs="Arial"/>
          <w:szCs w:val="22"/>
        </w:rPr>
      </w:pPr>
      <w:r w:rsidRPr="00A414A8">
        <w:rPr>
          <w:rFonts w:cs="Arial"/>
          <w:szCs w:val="22"/>
        </w:rPr>
        <w:t>For more information about any editorial changes made in this compilation, see the endnotes.</w:t>
      </w:r>
    </w:p>
    <w:p w:rsidR="009F07F2" w:rsidRPr="00A414A8" w:rsidRDefault="009F07F2" w:rsidP="009F07F2">
      <w:pPr>
        <w:spacing w:before="120" w:after="120"/>
        <w:rPr>
          <w:rFonts w:cs="Arial"/>
          <w:b/>
          <w:szCs w:val="22"/>
        </w:rPr>
      </w:pPr>
      <w:r w:rsidRPr="00A414A8">
        <w:rPr>
          <w:rFonts w:cs="Arial"/>
          <w:b/>
          <w:szCs w:val="22"/>
        </w:rPr>
        <w:t>Modifications</w:t>
      </w:r>
    </w:p>
    <w:p w:rsidR="009F07F2" w:rsidRPr="00A414A8" w:rsidRDefault="009F07F2" w:rsidP="009F07F2">
      <w:pPr>
        <w:spacing w:after="120"/>
        <w:rPr>
          <w:rFonts w:cs="Arial"/>
          <w:szCs w:val="22"/>
        </w:rPr>
      </w:pPr>
      <w:r w:rsidRPr="00A414A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F07F2" w:rsidRPr="00A414A8" w:rsidRDefault="009F07F2" w:rsidP="009F07F2">
      <w:pPr>
        <w:spacing w:before="80" w:after="120"/>
        <w:rPr>
          <w:rFonts w:cs="Arial"/>
          <w:b/>
          <w:szCs w:val="22"/>
        </w:rPr>
      </w:pPr>
      <w:r w:rsidRPr="00A414A8">
        <w:rPr>
          <w:rFonts w:cs="Arial"/>
          <w:b/>
          <w:szCs w:val="22"/>
        </w:rPr>
        <w:t>Self</w:t>
      </w:r>
      <w:r w:rsidR="00A414A8">
        <w:rPr>
          <w:rFonts w:cs="Arial"/>
          <w:b/>
          <w:szCs w:val="22"/>
        </w:rPr>
        <w:noBreakHyphen/>
      </w:r>
      <w:r w:rsidRPr="00A414A8">
        <w:rPr>
          <w:rFonts w:cs="Arial"/>
          <w:b/>
          <w:szCs w:val="22"/>
        </w:rPr>
        <w:t>repealing provisions</w:t>
      </w:r>
    </w:p>
    <w:p w:rsidR="009F07F2" w:rsidRPr="00A414A8" w:rsidRDefault="009F07F2" w:rsidP="009F07F2">
      <w:pPr>
        <w:spacing w:after="120"/>
        <w:rPr>
          <w:rFonts w:cs="Arial"/>
          <w:szCs w:val="22"/>
        </w:rPr>
      </w:pPr>
      <w:r w:rsidRPr="00A414A8">
        <w:rPr>
          <w:rFonts w:cs="Arial"/>
          <w:szCs w:val="22"/>
        </w:rPr>
        <w:t>If a provision of the compiled law has been repealed in accordance with a provision of the law, details are included in the endnotes.</w:t>
      </w:r>
    </w:p>
    <w:p w:rsidR="009F07F2" w:rsidRPr="00A414A8" w:rsidRDefault="009F07F2" w:rsidP="009F07F2">
      <w:pPr>
        <w:pStyle w:val="Header"/>
        <w:tabs>
          <w:tab w:val="clear" w:pos="4150"/>
          <w:tab w:val="clear" w:pos="8307"/>
        </w:tabs>
      </w:pPr>
      <w:r w:rsidRPr="00A414A8">
        <w:rPr>
          <w:rStyle w:val="CharChapNo"/>
        </w:rPr>
        <w:t xml:space="preserve"> </w:t>
      </w:r>
      <w:r w:rsidRPr="00A414A8">
        <w:rPr>
          <w:rStyle w:val="CharChapText"/>
        </w:rPr>
        <w:t xml:space="preserve"> </w:t>
      </w:r>
    </w:p>
    <w:p w:rsidR="009F07F2" w:rsidRPr="00A414A8" w:rsidRDefault="009F07F2" w:rsidP="009F07F2">
      <w:pPr>
        <w:pStyle w:val="Header"/>
        <w:tabs>
          <w:tab w:val="clear" w:pos="4150"/>
          <w:tab w:val="clear" w:pos="8307"/>
        </w:tabs>
      </w:pPr>
      <w:r w:rsidRPr="00A414A8">
        <w:rPr>
          <w:rStyle w:val="CharPartNo"/>
        </w:rPr>
        <w:t xml:space="preserve"> </w:t>
      </w:r>
      <w:r w:rsidRPr="00A414A8">
        <w:rPr>
          <w:rStyle w:val="CharPartText"/>
        </w:rPr>
        <w:t xml:space="preserve"> </w:t>
      </w:r>
    </w:p>
    <w:p w:rsidR="009F07F2" w:rsidRPr="00A414A8" w:rsidRDefault="009F07F2" w:rsidP="009F07F2">
      <w:pPr>
        <w:pStyle w:val="Header"/>
        <w:tabs>
          <w:tab w:val="clear" w:pos="4150"/>
          <w:tab w:val="clear" w:pos="8307"/>
        </w:tabs>
      </w:pPr>
      <w:r w:rsidRPr="00A414A8">
        <w:rPr>
          <w:rStyle w:val="CharDivNo"/>
        </w:rPr>
        <w:t xml:space="preserve"> </w:t>
      </w:r>
      <w:r w:rsidRPr="00A414A8">
        <w:rPr>
          <w:rStyle w:val="CharDivText"/>
        </w:rPr>
        <w:t xml:space="preserve"> </w:t>
      </w:r>
    </w:p>
    <w:p w:rsidR="009F07F2" w:rsidRPr="00A414A8" w:rsidRDefault="009F07F2" w:rsidP="009F07F2">
      <w:pPr>
        <w:sectPr w:rsidR="009F07F2" w:rsidRPr="00A414A8" w:rsidSect="00274F1B">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3417" w:gutter="0"/>
          <w:cols w:space="708"/>
          <w:titlePg/>
          <w:docGrid w:linePitch="360"/>
        </w:sectPr>
      </w:pPr>
    </w:p>
    <w:p w:rsidR="00212353" w:rsidRPr="00A414A8" w:rsidRDefault="00212353" w:rsidP="00212353">
      <w:pPr>
        <w:pStyle w:val="Heading4"/>
        <w:spacing w:before="0" w:after="0"/>
        <w:rPr>
          <w:rFonts w:ascii="Arial" w:hAnsi="Arial" w:cs="Arial"/>
          <w:szCs w:val="24"/>
        </w:rPr>
      </w:pPr>
      <w:bookmarkStart w:id="2" w:name="_Ref68492001"/>
      <w:r w:rsidRPr="00A414A8">
        <w:rPr>
          <w:rFonts w:ascii="Arial" w:hAnsi="Arial" w:cs="Arial"/>
          <w:szCs w:val="24"/>
        </w:rPr>
        <w:lastRenderedPageBreak/>
        <w:t>Contents</w:t>
      </w:r>
    </w:p>
    <w:p w:rsidR="00212353" w:rsidRPr="00A414A8" w:rsidRDefault="00212353" w:rsidP="00212353">
      <w:pPr>
        <w:pStyle w:val="TOC2"/>
        <w:rPr>
          <w:rFonts w:asciiTheme="minorHAnsi" w:eastAsiaTheme="minorEastAsia" w:hAnsiTheme="minorHAnsi" w:cstheme="minorBidi"/>
          <w:b w:val="0"/>
          <w:noProof/>
          <w:kern w:val="0"/>
          <w:sz w:val="22"/>
          <w:szCs w:val="22"/>
        </w:rPr>
      </w:pPr>
      <w:r w:rsidRPr="00A414A8">
        <w:rPr>
          <w:noProof/>
          <w:sz w:val="22"/>
          <w:szCs w:val="22"/>
        </w:rPr>
        <w:t>Part 1</w:t>
      </w:r>
      <w:r w:rsidRPr="00A414A8">
        <w:rPr>
          <w:rFonts w:asciiTheme="minorHAnsi" w:eastAsiaTheme="minorEastAsia" w:hAnsiTheme="minorHAnsi" w:cstheme="minorBidi"/>
          <w:b w:val="0"/>
          <w:noProof/>
          <w:kern w:val="0"/>
          <w:sz w:val="22"/>
          <w:szCs w:val="22"/>
        </w:rPr>
        <w:tab/>
      </w:r>
      <w:r w:rsidRPr="00A414A8">
        <w:rPr>
          <w:noProof/>
          <w:sz w:val="22"/>
          <w:szCs w:val="22"/>
        </w:rPr>
        <w:t>Preliminary</w:t>
      </w:r>
      <w:r w:rsidRPr="00A414A8">
        <w:rPr>
          <w:b w:val="0"/>
          <w:noProof/>
          <w:sz w:val="22"/>
          <w:szCs w:val="22"/>
        </w:rPr>
        <w:tab/>
      </w:r>
      <w:r w:rsidR="00DE7FE2" w:rsidRPr="00A414A8">
        <w:rPr>
          <w:b w:val="0"/>
          <w:noProof/>
          <w:sz w:val="22"/>
          <w:szCs w:val="22"/>
        </w:rPr>
        <w:t>1</w:t>
      </w:r>
    </w:p>
    <w:p w:rsidR="00212353" w:rsidRPr="00A414A8" w:rsidRDefault="00212353" w:rsidP="00212353">
      <w:pPr>
        <w:pStyle w:val="TOC1"/>
        <w:rPr>
          <w:rFonts w:asciiTheme="minorHAnsi" w:eastAsiaTheme="minorEastAsia" w:hAnsiTheme="minorHAnsi" w:cstheme="minorBidi"/>
          <w:b w:val="0"/>
          <w:noProof/>
          <w:kern w:val="0"/>
          <w:sz w:val="20"/>
        </w:rPr>
      </w:pPr>
      <w:r w:rsidRPr="00A414A8">
        <w:rPr>
          <w:noProof/>
          <w:sz w:val="20"/>
        </w:rPr>
        <w:t>1.</w:t>
      </w:r>
      <w:r w:rsidRPr="00A414A8">
        <w:rPr>
          <w:rFonts w:asciiTheme="minorHAnsi" w:eastAsiaTheme="minorEastAsia" w:hAnsiTheme="minorHAnsi" w:cstheme="minorBidi"/>
          <w:b w:val="0"/>
          <w:noProof/>
          <w:kern w:val="0"/>
          <w:sz w:val="20"/>
        </w:rPr>
        <w:tab/>
      </w:r>
      <w:r w:rsidRPr="00A414A8">
        <w:rPr>
          <w:noProof/>
          <w:sz w:val="20"/>
        </w:rPr>
        <w:t>Name of Rules</w:t>
      </w:r>
      <w:r w:rsidRPr="00A414A8">
        <w:rPr>
          <w:b w:val="0"/>
          <w:noProof/>
          <w:sz w:val="20"/>
        </w:rPr>
        <w:tab/>
      </w:r>
      <w:r w:rsidR="00DE7FE2" w:rsidRPr="00A414A8">
        <w:rPr>
          <w:b w:val="0"/>
          <w:noProof/>
          <w:sz w:val="20"/>
        </w:rPr>
        <w:t>1</w:t>
      </w:r>
    </w:p>
    <w:p w:rsidR="00212353" w:rsidRPr="00A414A8" w:rsidRDefault="00212353" w:rsidP="00212353">
      <w:pPr>
        <w:pStyle w:val="TOC1"/>
        <w:rPr>
          <w:rFonts w:asciiTheme="minorHAnsi" w:eastAsiaTheme="minorEastAsia" w:hAnsiTheme="minorHAnsi" w:cstheme="minorBidi"/>
          <w:b w:val="0"/>
          <w:noProof/>
          <w:kern w:val="0"/>
          <w:sz w:val="20"/>
        </w:rPr>
      </w:pPr>
      <w:r w:rsidRPr="00A414A8">
        <w:rPr>
          <w:noProof/>
          <w:sz w:val="20"/>
        </w:rPr>
        <w:t>3.</w:t>
      </w:r>
      <w:r w:rsidRPr="00A414A8">
        <w:rPr>
          <w:rFonts w:asciiTheme="minorHAnsi" w:eastAsiaTheme="minorEastAsia" w:hAnsiTheme="minorHAnsi" w:cstheme="minorBidi"/>
          <w:b w:val="0"/>
          <w:noProof/>
          <w:kern w:val="0"/>
          <w:sz w:val="20"/>
        </w:rPr>
        <w:tab/>
      </w:r>
      <w:r w:rsidRPr="00A414A8">
        <w:rPr>
          <w:noProof/>
          <w:sz w:val="20"/>
        </w:rPr>
        <w:t>Definitions</w:t>
      </w:r>
      <w:r w:rsidRPr="00A414A8">
        <w:rPr>
          <w:b w:val="0"/>
          <w:noProof/>
          <w:sz w:val="20"/>
        </w:rPr>
        <w:tab/>
      </w:r>
      <w:r w:rsidR="00DE7FE2" w:rsidRPr="00A414A8">
        <w:rPr>
          <w:b w:val="0"/>
          <w:noProof/>
          <w:sz w:val="20"/>
        </w:rPr>
        <w:t>1</w:t>
      </w:r>
    </w:p>
    <w:p w:rsidR="00212353" w:rsidRPr="00A414A8" w:rsidRDefault="00212353" w:rsidP="00212353">
      <w:pPr>
        <w:pStyle w:val="TOC2"/>
        <w:rPr>
          <w:rFonts w:asciiTheme="minorHAnsi" w:eastAsiaTheme="minorEastAsia" w:hAnsiTheme="minorHAnsi" w:cstheme="minorBidi"/>
          <w:b w:val="0"/>
          <w:noProof/>
          <w:kern w:val="0"/>
          <w:sz w:val="22"/>
          <w:szCs w:val="22"/>
        </w:rPr>
      </w:pPr>
      <w:r w:rsidRPr="00A414A8">
        <w:rPr>
          <w:noProof/>
          <w:sz w:val="22"/>
          <w:szCs w:val="22"/>
        </w:rPr>
        <w:t>Part 2</w:t>
      </w:r>
      <w:r w:rsidRPr="00A414A8">
        <w:rPr>
          <w:rFonts w:asciiTheme="minorHAnsi" w:eastAsiaTheme="minorEastAsia" w:hAnsiTheme="minorHAnsi" w:cstheme="minorBidi"/>
          <w:b w:val="0"/>
          <w:noProof/>
          <w:kern w:val="0"/>
          <w:sz w:val="22"/>
          <w:szCs w:val="22"/>
        </w:rPr>
        <w:tab/>
      </w:r>
      <w:r w:rsidRPr="00A414A8">
        <w:rPr>
          <w:noProof/>
          <w:sz w:val="22"/>
          <w:szCs w:val="22"/>
        </w:rPr>
        <w:t>Hospitals</w:t>
      </w:r>
      <w:r w:rsidRPr="00A414A8">
        <w:rPr>
          <w:b w:val="0"/>
          <w:noProof/>
          <w:sz w:val="22"/>
          <w:szCs w:val="22"/>
        </w:rPr>
        <w:tab/>
      </w:r>
      <w:r w:rsidR="00DE7FE2" w:rsidRPr="00A414A8">
        <w:rPr>
          <w:b w:val="0"/>
          <w:noProof/>
          <w:sz w:val="22"/>
          <w:szCs w:val="22"/>
        </w:rPr>
        <w:t>4</w:t>
      </w:r>
    </w:p>
    <w:p w:rsidR="00212353" w:rsidRPr="00A414A8" w:rsidRDefault="00212353" w:rsidP="00212353">
      <w:pPr>
        <w:pStyle w:val="TOC1"/>
        <w:rPr>
          <w:rFonts w:asciiTheme="minorHAnsi" w:eastAsiaTheme="minorEastAsia" w:hAnsiTheme="minorHAnsi" w:cstheme="minorBidi"/>
          <w:b w:val="0"/>
          <w:noProof/>
          <w:kern w:val="0"/>
          <w:sz w:val="20"/>
        </w:rPr>
      </w:pPr>
      <w:r w:rsidRPr="00A414A8">
        <w:rPr>
          <w:noProof/>
          <w:sz w:val="20"/>
        </w:rPr>
        <w:t>4.</w:t>
      </w:r>
      <w:r w:rsidRPr="00A414A8">
        <w:rPr>
          <w:rFonts w:asciiTheme="minorHAnsi" w:eastAsiaTheme="minorEastAsia" w:hAnsiTheme="minorHAnsi" w:cstheme="minorBidi"/>
          <w:b w:val="0"/>
          <w:noProof/>
          <w:kern w:val="0"/>
          <w:sz w:val="20"/>
        </w:rPr>
        <w:tab/>
      </w:r>
      <w:r w:rsidRPr="00A414A8">
        <w:rPr>
          <w:noProof/>
          <w:sz w:val="20"/>
        </w:rPr>
        <w:t>Information to be provided by hospitals to insurers</w:t>
      </w:r>
      <w:r w:rsidRPr="00A414A8">
        <w:rPr>
          <w:b w:val="0"/>
          <w:noProof/>
          <w:sz w:val="20"/>
        </w:rPr>
        <w:tab/>
      </w:r>
      <w:r w:rsidR="00DE7FE2" w:rsidRPr="00A414A8">
        <w:rPr>
          <w:b w:val="0"/>
          <w:noProof/>
          <w:sz w:val="20"/>
        </w:rPr>
        <w:t>4</w:t>
      </w:r>
    </w:p>
    <w:p w:rsidR="00212353" w:rsidRPr="00A414A8" w:rsidRDefault="00212353" w:rsidP="00212353">
      <w:pPr>
        <w:pStyle w:val="TOC1"/>
        <w:rPr>
          <w:rFonts w:asciiTheme="minorHAnsi" w:eastAsiaTheme="minorEastAsia" w:hAnsiTheme="minorHAnsi" w:cstheme="minorBidi"/>
          <w:b w:val="0"/>
          <w:noProof/>
          <w:kern w:val="0"/>
          <w:sz w:val="20"/>
        </w:rPr>
      </w:pPr>
      <w:r w:rsidRPr="00A414A8">
        <w:rPr>
          <w:noProof/>
          <w:sz w:val="20"/>
        </w:rPr>
        <w:t>5.</w:t>
      </w:r>
      <w:r w:rsidRPr="00A414A8">
        <w:rPr>
          <w:rFonts w:asciiTheme="minorHAnsi" w:eastAsiaTheme="minorEastAsia" w:hAnsiTheme="minorHAnsi" w:cstheme="minorBidi"/>
          <w:b w:val="0"/>
          <w:noProof/>
          <w:kern w:val="0"/>
          <w:sz w:val="20"/>
        </w:rPr>
        <w:tab/>
      </w:r>
      <w:r w:rsidRPr="00A414A8">
        <w:rPr>
          <w:noProof/>
          <w:sz w:val="20"/>
        </w:rPr>
        <w:t>Matters to which the Minister is to have regard in declaring that a facility is a hospital</w:t>
      </w:r>
      <w:r w:rsidRPr="00A414A8">
        <w:rPr>
          <w:b w:val="0"/>
          <w:noProof/>
          <w:sz w:val="20"/>
        </w:rPr>
        <w:tab/>
      </w:r>
      <w:r w:rsidR="00DE7FE2" w:rsidRPr="00A414A8">
        <w:rPr>
          <w:b w:val="0"/>
          <w:noProof/>
          <w:sz w:val="20"/>
        </w:rPr>
        <w:t>4</w:t>
      </w:r>
    </w:p>
    <w:p w:rsidR="00212353" w:rsidRPr="00A414A8" w:rsidRDefault="00212353" w:rsidP="00212353">
      <w:pPr>
        <w:pStyle w:val="TOC1"/>
        <w:rPr>
          <w:rFonts w:asciiTheme="minorHAnsi" w:eastAsiaTheme="minorEastAsia" w:hAnsiTheme="minorHAnsi" w:cstheme="minorBidi"/>
          <w:b w:val="0"/>
          <w:noProof/>
          <w:kern w:val="0"/>
          <w:sz w:val="20"/>
        </w:rPr>
      </w:pPr>
      <w:r w:rsidRPr="00A414A8">
        <w:rPr>
          <w:noProof/>
          <w:sz w:val="20"/>
        </w:rPr>
        <w:t>6.</w:t>
      </w:r>
      <w:r w:rsidRPr="00A414A8">
        <w:rPr>
          <w:rFonts w:asciiTheme="minorHAnsi" w:eastAsiaTheme="minorEastAsia" w:hAnsiTheme="minorHAnsi" w:cstheme="minorBidi"/>
          <w:b w:val="0"/>
          <w:noProof/>
          <w:kern w:val="0"/>
          <w:sz w:val="20"/>
        </w:rPr>
        <w:tab/>
      </w:r>
      <w:r w:rsidRPr="00A414A8">
        <w:rPr>
          <w:noProof/>
          <w:sz w:val="20"/>
        </w:rPr>
        <w:t>Matters to which the Minister is to have regard in revoking a declaration that a facility is a hospital</w:t>
      </w:r>
      <w:r w:rsidRPr="00A414A8">
        <w:rPr>
          <w:b w:val="0"/>
          <w:noProof/>
          <w:sz w:val="20"/>
        </w:rPr>
        <w:tab/>
      </w:r>
      <w:r w:rsidR="00DE7FE2" w:rsidRPr="00A414A8">
        <w:rPr>
          <w:b w:val="0"/>
          <w:noProof/>
          <w:sz w:val="20"/>
        </w:rPr>
        <w:t>5</w:t>
      </w:r>
    </w:p>
    <w:p w:rsidR="00212353" w:rsidRPr="00A414A8" w:rsidRDefault="00212353" w:rsidP="00212353">
      <w:pPr>
        <w:pStyle w:val="TOC1"/>
        <w:rPr>
          <w:rFonts w:asciiTheme="minorHAnsi" w:eastAsiaTheme="minorEastAsia" w:hAnsiTheme="minorHAnsi" w:cstheme="minorBidi"/>
          <w:b w:val="0"/>
          <w:noProof/>
          <w:kern w:val="0"/>
          <w:sz w:val="20"/>
        </w:rPr>
      </w:pPr>
      <w:r w:rsidRPr="00A414A8">
        <w:rPr>
          <w:noProof/>
          <w:sz w:val="20"/>
        </w:rPr>
        <w:t>7.</w:t>
      </w:r>
      <w:r w:rsidRPr="00A414A8">
        <w:rPr>
          <w:rFonts w:asciiTheme="minorHAnsi" w:eastAsiaTheme="minorEastAsia" w:hAnsiTheme="minorHAnsi" w:cstheme="minorBidi"/>
          <w:b w:val="0"/>
          <w:noProof/>
          <w:kern w:val="0"/>
          <w:sz w:val="20"/>
        </w:rPr>
        <w:tab/>
      </w:r>
      <w:r w:rsidRPr="00A414A8">
        <w:rPr>
          <w:noProof/>
          <w:sz w:val="20"/>
        </w:rPr>
        <w:t>Conditions on declarations of hospitals</w:t>
      </w:r>
      <w:r w:rsidRPr="00A414A8">
        <w:rPr>
          <w:b w:val="0"/>
          <w:noProof/>
          <w:sz w:val="20"/>
        </w:rPr>
        <w:tab/>
      </w:r>
      <w:r w:rsidR="00DE7FE2" w:rsidRPr="00A414A8">
        <w:rPr>
          <w:b w:val="0"/>
          <w:noProof/>
          <w:sz w:val="20"/>
        </w:rPr>
        <w:t>5</w:t>
      </w:r>
    </w:p>
    <w:p w:rsidR="00212353" w:rsidRPr="00A414A8" w:rsidRDefault="00212353" w:rsidP="00212353">
      <w:pPr>
        <w:pStyle w:val="TOC2"/>
        <w:rPr>
          <w:rFonts w:asciiTheme="minorHAnsi" w:eastAsiaTheme="minorEastAsia" w:hAnsiTheme="minorHAnsi" w:cstheme="minorBidi"/>
          <w:b w:val="0"/>
          <w:noProof/>
          <w:kern w:val="0"/>
          <w:sz w:val="22"/>
          <w:szCs w:val="22"/>
        </w:rPr>
      </w:pPr>
      <w:r w:rsidRPr="00A414A8">
        <w:rPr>
          <w:noProof/>
          <w:sz w:val="22"/>
          <w:szCs w:val="22"/>
        </w:rPr>
        <w:t>Part 2A</w:t>
      </w:r>
      <w:r w:rsidRPr="00A414A8">
        <w:rPr>
          <w:rFonts w:asciiTheme="minorHAnsi" w:eastAsiaTheme="minorEastAsia" w:hAnsiTheme="minorHAnsi" w:cstheme="minorBidi"/>
          <w:b w:val="0"/>
          <w:noProof/>
          <w:kern w:val="0"/>
          <w:sz w:val="22"/>
          <w:szCs w:val="22"/>
        </w:rPr>
        <w:tab/>
      </w:r>
      <w:r w:rsidRPr="00A414A8">
        <w:rPr>
          <w:noProof/>
          <w:sz w:val="22"/>
          <w:szCs w:val="22"/>
        </w:rPr>
        <w:t>Second</w:t>
      </w:r>
      <w:r w:rsidR="00A414A8">
        <w:rPr>
          <w:noProof/>
          <w:sz w:val="22"/>
          <w:szCs w:val="22"/>
        </w:rPr>
        <w:noBreakHyphen/>
      </w:r>
      <w:r w:rsidRPr="00A414A8">
        <w:rPr>
          <w:noProof/>
          <w:sz w:val="22"/>
          <w:szCs w:val="22"/>
        </w:rPr>
        <w:t>tier eligible hospitals class</w:t>
      </w:r>
      <w:r w:rsidRPr="00A414A8">
        <w:rPr>
          <w:b w:val="0"/>
          <w:noProof/>
          <w:sz w:val="22"/>
          <w:szCs w:val="22"/>
        </w:rPr>
        <w:tab/>
      </w:r>
      <w:r w:rsidR="00DE7FE2" w:rsidRPr="00A414A8">
        <w:rPr>
          <w:b w:val="0"/>
          <w:noProof/>
          <w:sz w:val="22"/>
          <w:szCs w:val="22"/>
        </w:rPr>
        <w:t>6</w:t>
      </w:r>
    </w:p>
    <w:p w:rsidR="00212353" w:rsidRPr="00A414A8" w:rsidRDefault="00212353" w:rsidP="00212353">
      <w:pPr>
        <w:pStyle w:val="TOC2"/>
        <w:ind w:left="1526" w:hanging="1526"/>
        <w:rPr>
          <w:rFonts w:asciiTheme="minorHAnsi" w:eastAsiaTheme="minorEastAsia" w:hAnsiTheme="minorHAnsi" w:cstheme="minorBidi"/>
          <w:b w:val="0"/>
          <w:noProof/>
          <w:kern w:val="0"/>
          <w:sz w:val="20"/>
        </w:rPr>
      </w:pPr>
      <w:r w:rsidRPr="00A414A8">
        <w:rPr>
          <w:noProof/>
          <w:sz w:val="20"/>
        </w:rPr>
        <w:t>7A.</w:t>
      </w:r>
      <w:r w:rsidRPr="00A414A8">
        <w:rPr>
          <w:rFonts w:asciiTheme="minorHAnsi" w:eastAsiaTheme="minorEastAsia" w:hAnsiTheme="minorHAnsi" w:cstheme="minorBidi"/>
          <w:b w:val="0"/>
          <w:noProof/>
          <w:kern w:val="0"/>
          <w:sz w:val="18"/>
          <w:szCs w:val="22"/>
        </w:rPr>
        <w:tab/>
      </w:r>
      <w:r w:rsidRPr="00A414A8">
        <w:rPr>
          <w:noProof/>
          <w:sz w:val="20"/>
        </w:rPr>
        <w:t>Second</w:t>
      </w:r>
      <w:r w:rsidR="00A414A8">
        <w:rPr>
          <w:noProof/>
          <w:sz w:val="20"/>
        </w:rPr>
        <w:noBreakHyphen/>
      </w:r>
      <w:r w:rsidRPr="00A414A8">
        <w:rPr>
          <w:noProof/>
          <w:sz w:val="20"/>
        </w:rPr>
        <w:t>tier eligible hospitals class</w:t>
      </w:r>
      <w:r w:rsidRPr="00A414A8">
        <w:rPr>
          <w:b w:val="0"/>
          <w:noProof/>
          <w:sz w:val="20"/>
        </w:rPr>
        <w:tab/>
      </w:r>
      <w:r w:rsidR="00DE7FE2" w:rsidRPr="00A414A8">
        <w:rPr>
          <w:b w:val="0"/>
          <w:noProof/>
          <w:sz w:val="20"/>
        </w:rPr>
        <w:t>6</w:t>
      </w:r>
    </w:p>
    <w:p w:rsidR="00212353" w:rsidRPr="00A414A8" w:rsidRDefault="00212353" w:rsidP="00212353">
      <w:pPr>
        <w:pStyle w:val="TOC2"/>
        <w:ind w:left="1526" w:hanging="1526"/>
        <w:rPr>
          <w:rFonts w:asciiTheme="minorHAnsi" w:eastAsiaTheme="minorEastAsia" w:hAnsiTheme="minorHAnsi" w:cstheme="minorBidi"/>
          <w:b w:val="0"/>
          <w:noProof/>
          <w:kern w:val="0"/>
          <w:sz w:val="20"/>
        </w:rPr>
      </w:pPr>
      <w:r w:rsidRPr="00A414A8">
        <w:rPr>
          <w:noProof/>
          <w:sz w:val="20"/>
        </w:rPr>
        <w:t>7B.</w:t>
      </w:r>
      <w:r w:rsidRPr="00A414A8">
        <w:rPr>
          <w:rFonts w:asciiTheme="minorHAnsi" w:eastAsiaTheme="minorEastAsia" w:hAnsiTheme="minorHAnsi" w:cstheme="minorBidi"/>
          <w:b w:val="0"/>
          <w:noProof/>
          <w:kern w:val="0"/>
          <w:sz w:val="18"/>
          <w:szCs w:val="22"/>
        </w:rPr>
        <w:tab/>
      </w:r>
      <w:r w:rsidRPr="00A414A8">
        <w:rPr>
          <w:noProof/>
          <w:sz w:val="20"/>
        </w:rPr>
        <w:t>Application fee</w:t>
      </w:r>
      <w:r w:rsidRPr="00A414A8">
        <w:rPr>
          <w:b w:val="0"/>
          <w:noProof/>
          <w:sz w:val="20"/>
        </w:rPr>
        <w:tab/>
      </w:r>
      <w:r w:rsidR="00DE7FE2" w:rsidRPr="00A414A8">
        <w:rPr>
          <w:b w:val="0"/>
          <w:noProof/>
          <w:sz w:val="20"/>
        </w:rPr>
        <w:t>6</w:t>
      </w:r>
    </w:p>
    <w:p w:rsidR="00212353" w:rsidRPr="00A414A8" w:rsidRDefault="00212353" w:rsidP="00212353">
      <w:pPr>
        <w:pStyle w:val="TOC2"/>
        <w:ind w:left="1526" w:hanging="1526"/>
        <w:rPr>
          <w:rFonts w:asciiTheme="minorHAnsi" w:eastAsiaTheme="minorEastAsia" w:hAnsiTheme="minorHAnsi" w:cstheme="minorBidi"/>
          <w:b w:val="0"/>
          <w:noProof/>
          <w:kern w:val="0"/>
          <w:sz w:val="20"/>
        </w:rPr>
      </w:pPr>
      <w:r w:rsidRPr="00A414A8">
        <w:rPr>
          <w:noProof/>
          <w:sz w:val="20"/>
        </w:rPr>
        <w:t>7C.</w:t>
      </w:r>
      <w:r w:rsidRPr="00A414A8">
        <w:rPr>
          <w:rFonts w:asciiTheme="minorHAnsi" w:eastAsiaTheme="minorEastAsia" w:hAnsiTheme="minorHAnsi" w:cstheme="minorBidi"/>
          <w:b w:val="0"/>
          <w:noProof/>
          <w:kern w:val="0"/>
          <w:sz w:val="20"/>
        </w:rPr>
        <w:tab/>
      </w:r>
      <w:r w:rsidRPr="00A414A8">
        <w:rPr>
          <w:noProof/>
          <w:sz w:val="20"/>
        </w:rPr>
        <w:t>Assessment criteria</w:t>
      </w:r>
      <w:r w:rsidRPr="00A414A8">
        <w:rPr>
          <w:b w:val="0"/>
          <w:noProof/>
          <w:sz w:val="20"/>
        </w:rPr>
        <w:tab/>
      </w:r>
      <w:r w:rsidR="00DE7FE2" w:rsidRPr="00A414A8">
        <w:rPr>
          <w:b w:val="0"/>
          <w:noProof/>
          <w:sz w:val="20"/>
        </w:rPr>
        <w:t>6</w:t>
      </w:r>
    </w:p>
    <w:p w:rsidR="00212353" w:rsidRPr="00A414A8" w:rsidRDefault="00212353" w:rsidP="00212353">
      <w:pPr>
        <w:pStyle w:val="TOC2"/>
        <w:ind w:left="1526" w:hanging="1526"/>
        <w:rPr>
          <w:rFonts w:asciiTheme="minorHAnsi" w:eastAsiaTheme="minorEastAsia" w:hAnsiTheme="minorHAnsi" w:cstheme="minorBidi"/>
          <w:b w:val="0"/>
          <w:noProof/>
          <w:kern w:val="0"/>
          <w:sz w:val="20"/>
        </w:rPr>
      </w:pPr>
      <w:r w:rsidRPr="00A414A8">
        <w:rPr>
          <w:noProof/>
          <w:sz w:val="20"/>
        </w:rPr>
        <w:t>7D.</w:t>
      </w:r>
      <w:r w:rsidRPr="00A414A8">
        <w:rPr>
          <w:rFonts w:asciiTheme="minorHAnsi" w:eastAsiaTheme="minorEastAsia" w:hAnsiTheme="minorHAnsi" w:cstheme="minorBidi"/>
          <w:b w:val="0"/>
          <w:noProof/>
          <w:kern w:val="0"/>
          <w:sz w:val="20"/>
        </w:rPr>
        <w:tab/>
      </w:r>
      <w:r w:rsidRPr="00A414A8">
        <w:rPr>
          <w:noProof/>
          <w:sz w:val="20"/>
        </w:rPr>
        <w:t>Notification of change in circumstances</w:t>
      </w:r>
      <w:r w:rsidRPr="00A414A8">
        <w:rPr>
          <w:b w:val="0"/>
          <w:noProof/>
          <w:sz w:val="20"/>
        </w:rPr>
        <w:tab/>
      </w:r>
      <w:r w:rsidR="00DE7FE2" w:rsidRPr="00A414A8">
        <w:rPr>
          <w:b w:val="0"/>
          <w:noProof/>
          <w:sz w:val="20"/>
        </w:rPr>
        <w:t>6</w:t>
      </w:r>
    </w:p>
    <w:p w:rsidR="00212353" w:rsidRPr="00A414A8" w:rsidRDefault="00212353" w:rsidP="00212353">
      <w:pPr>
        <w:pStyle w:val="TOC2"/>
        <w:ind w:left="1526" w:hanging="1526"/>
        <w:rPr>
          <w:rFonts w:asciiTheme="minorHAnsi" w:eastAsiaTheme="minorEastAsia" w:hAnsiTheme="minorHAnsi" w:cstheme="minorBidi"/>
          <w:b w:val="0"/>
          <w:noProof/>
          <w:kern w:val="0"/>
          <w:sz w:val="20"/>
        </w:rPr>
      </w:pPr>
      <w:r w:rsidRPr="00A414A8">
        <w:rPr>
          <w:noProof/>
          <w:sz w:val="20"/>
        </w:rPr>
        <w:t>7F.</w:t>
      </w:r>
      <w:r w:rsidRPr="00A414A8">
        <w:rPr>
          <w:rFonts w:asciiTheme="minorHAnsi" w:eastAsiaTheme="minorEastAsia" w:hAnsiTheme="minorHAnsi" w:cstheme="minorBidi"/>
          <w:b w:val="0"/>
          <w:noProof/>
          <w:kern w:val="0"/>
          <w:sz w:val="20"/>
        </w:rPr>
        <w:tab/>
      </w:r>
      <w:r w:rsidRPr="00A414A8">
        <w:rPr>
          <w:noProof/>
          <w:sz w:val="20"/>
        </w:rPr>
        <w:t>Covid</w:t>
      </w:r>
      <w:r w:rsidR="00A414A8">
        <w:rPr>
          <w:noProof/>
          <w:sz w:val="20"/>
        </w:rPr>
        <w:noBreakHyphen/>
      </w:r>
      <w:r w:rsidRPr="00A414A8">
        <w:rPr>
          <w:noProof/>
          <w:sz w:val="20"/>
        </w:rPr>
        <w:t>19 Accreditation Arrangements</w:t>
      </w:r>
      <w:r w:rsidRPr="00A414A8">
        <w:rPr>
          <w:b w:val="0"/>
          <w:noProof/>
          <w:sz w:val="20"/>
        </w:rPr>
        <w:tab/>
      </w:r>
      <w:r w:rsidR="00DE7FE2" w:rsidRPr="00A414A8">
        <w:rPr>
          <w:b w:val="0"/>
          <w:noProof/>
          <w:sz w:val="20"/>
        </w:rPr>
        <w:t>6</w:t>
      </w:r>
    </w:p>
    <w:p w:rsidR="00212353" w:rsidRPr="00A414A8" w:rsidRDefault="00212353" w:rsidP="00212353">
      <w:pPr>
        <w:pStyle w:val="TOC2"/>
        <w:rPr>
          <w:rFonts w:asciiTheme="minorHAnsi" w:eastAsiaTheme="minorEastAsia" w:hAnsiTheme="minorHAnsi" w:cstheme="minorBidi"/>
          <w:b w:val="0"/>
          <w:noProof/>
          <w:kern w:val="0"/>
          <w:sz w:val="22"/>
          <w:szCs w:val="22"/>
        </w:rPr>
      </w:pPr>
      <w:r w:rsidRPr="00A414A8">
        <w:rPr>
          <w:noProof/>
          <w:sz w:val="22"/>
          <w:szCs w:val="22"/>
        </w:rPr>
        <w:t>Part 3</w:t>
      </w:r>
      <w:r w:rsidRPr="00A414A8">
        <w:rPr>
          <w:rFonts w:asciiTheme="minorHAnsi" w:eastAsiaTheme="minorEastAsia" w:hAnsiTheme="minorHAnsi" w:cstheme="minorBidi"/>
          <w:b w:val="0"/>
          <w:noProof/>
          <w:kern w:val="0"/>
          <w:sz w:val="22"/>
          <w:szCs w:val="22"/>
        </w:rPr>
        <w:tab/>
      </w:r>
      <w:r w:rsidRPr="00A414A8">
        <w:rPr>
          <w:noProof/>
          <w:sz w:val="22"/>
          <w:szCs w:val="22"/>
        </w:rPr>
        <w:t>Hospital and general treatment</w:t>
      </w:r>
      <w:r w:rsidRPr="00A414A8">
        <w:rPr>
          <w:b w:val="0"/>
          <w:noProof/>
          <w:sz w:val="22"/>
          <w:szCs w:val="22"/>
        </w:rPr>
        <w:tab/>
      </w:r>
      <w:r w:rsidR="00DE7FE2" w:rsidRPr="00A414A8">
        <w:rPr>
          <w:b w:val="0"/>
          <w:noProof/>
          <w:sz w:val="22"/>
          <w:szCs w:val="22"/>
        </w:rPr>
        <w:t>8</w:t>
      </w:r>
    </w:p>
    <w:p w:rsidR="00212353" w:rsidRPr="00A414A8" w:rsidRDefault="00212353" w:rsidP="00212353">
      <w:pPr>
        <w:pStyle w:val="TOC1"/>
        <w:rPr>
          <w:rFonts w:asciiTheme="minorHAnsi" w:eastAsiaTheme="minorEastAsia" w:hAnsiTheme="minorHAnsi" w:cstheme="minorBidi"/>
          <w:b w:val="0"/>
          <w:noProof/>
          <w:kern w:val="0"/>
          <w:sz w:val="20"/>
        </w:rPr>
      </w:pPr>
      <w:r w:rsidRPr="00A414A8">
        <w:rPr>
          <w:noProof/>
          <w:sz w:val="20"/>
        </w:rPr>
        <w:t>8.</w:t>
      </w:r>
      <w:r w:rsidRPr="00A414A8">
        <w:rPr>
          <w:rFonts w:asciiTheme="minorHAnsi" w:eastAsiaTheme="minorEastAsia" w:hAnsiTheme="minorHAnsi" w:cstheme="minorBidi"/>
          <w:b w:val="0"/>
          <w:noProof/>
          <w:kern w:val="0"/>
          <w:sz w:val="20"/>
        </w:rPr>
        <w:tab/>
      </w:r>
      <w:r w:rsidRPr="00A414A8">
        <w:rPr>
          <w:noProof/>
          <w:sz w:val="20"/>
        </w:rPr>
        <w:t>Hospital treatment―excluded treatment</w:t>
      </w:r>
      <w:r w:rsidRPr="00A414A8">
        <w:rPr>
          <w:b w:val="0"/>
          <w:noProof/>
          <w:sz w:val="20"/>
        </w:rPr>
        <w:tab/>
      </w:r>
      <w:r w:rsidR="00DE7FE2" w:rsidRPr="00A414A8">
        <w:rPr>
          <w:b w:val="0"/>
          <w:noProof/>
          <w:sz w:val="20"/>
        </w:rPr>
        <w:t>8</w:t>
      </w:r>
    </w:p>
    <w:p w:rsidR="00212353" w:rsidRPr="00A414A8" w:rsidRDefault="00212353" w:rsidP="00212353">
      <w:pPr>
        <w:pStyle w:val="TOC1"/>
        <w:rPr>
          <w:rFonts w:asciiTheme="minorHAnsi" w:eastAsiaTheme="minorEastAsia" w:hAnsiTheme="minorHAnsi" w:cstheme="minorBidi"/>
          <w:b w:val="0"/>
          <w:noProof/>
          <w:kern w:val="0"/>
          <w:sz w:val="20"/>
        </w:rPr>
      </w:pPr>
      <w:r w:rsidRPr="00A414A8">
        <w:rPr>
          <w:noProof/>
          <w:sz w:val="20"/>
        </w:rPr>
        <w:t>9.</w:t>
      </w:r>
      <w:r w:rsidRPr="00A414A8">
        <w:rPr>
          <w:rFonts w:asciiTheme="minorHAnsi" w:eastAsiaTheme="minorEastAsia" w:hAnsiTheme="minorHAnsi" w:cstheme="minorBidi"/>
          <w:b w:val="0"/>
          <w:noProof/>
          <w:kern w:val="0"/>
          <w:sz w:val="20"/>
        </w:rPr>
        <w:tab/>
      </w:r>
      <w:r w:rsidRPr="00A414A8">
        <w:rPr>
          <w:noProof/>
          <w:sz w:val="20"/>
        </w:rPr>
        <w:t>General treatment―included treatment</w:t>
      </w:r>
      <w:r w:rsidRPr="00A414A8">
        <w:rPr>
          <w:b w:val="0"/>
          <w:noProof/>
          <w:sz w:val="20"/>
        </w:rPr>
        <w:tab/>
      </w:r>
      <w:r w:rsidR="00DE7FE2" w:rsidRPr="00A414A8">
        <w:rPr>
          <w:b w:val="0"/>
          <w:noProof/>
          <w:sz w:val="20"/>
        </w:rPr>
        <w:t>8</w:t>
      </w:r>
    </w:p>
    <w:p w:rsidR="00212353" w:rsidRPr="00A414A8" w:rsidRDefault="00212353" w:rsidP="00212353">
      <w:pPr>
        <w:pStyle w:val="TOC1"/>
        <w:rPr>
          <w:rFonts w:asciiTheme="minorHAnsi" w:eastAsiaTheme="minorEastAsia" w:hAnsiTheme="minorHAnsi" w:cstheme="minorBidi"/>
          <w:b w:val="0"/>
          <w:noProof/>
          <w:kern w:val="0"/>
          <w:sz w:val="20"/>
        </w:rPr>
      </w:pPr>
      <w:r w:rsidRPr="00A414A8">
        <w:rPr>
          <w:noProof/>
          <w:sz w:val="20"/>
        </w:rPr>
        <w:t>10.</w:t>
      </w:r>
      <w:r w:rsidRPr="00A414A8">
        <w:rPr>
          <w:rFonts w:asciiTheme="minorHAnsi" w:eastAsiaTheme="minorEastAsia" w:hAnsiTheme="minorHAnsi" w:cstheme="minorBidi"/>
          <w:b w:val="0"/>
          <w:noProof/>
          <w:kern w:val="0"/>
          <w:sz w:val="20"/>
        </w:rPr>
        <w:tab/>
      </w:r>
      <w:r w:rsidRPr="00A414A8">
        <w:rPr>
          <w:noProof/>
          <w:sz w:val="20"/>
        </w:rPr>
        <w:t>General treatment―services for which medicare benefit is payable</w:t>
      </w:r>
      <w:r w:rsidRPr="00A414A8">
        <w:rPr>
          <w:b w:val="0"/>
          <w:noProof/>
          <w:sz w:val="20"/>
        </w:rPr>
        <w:tab/>
      </w:r>
      <w:r w:rsidR="00DE7FE2" w:rsidRPr="00A414A8">
        <w:rPr>
          <w:b w:val="0"/>
          <w:noProof/>
          <w:sz w:val="20"/>
        </w:rPr>
        <w:t>8</w:t>
      </w:r>
    </w:p>
    <w:p w:rsidR="00212353" w:rsidRPr="00A414A8" w:rsidRDefault="00212353" w:rsidP="00212353">
      <w:pPr>
        <w:pStyle w:val="TOC1"/>
        <w:rPr>
          <w:rFonts w:asciiTheme="minorHAnsi" w:eastAsiaTheme="minorEastAsia" w:hAnsiTheme="minorHAnsi" w:cstheme="minorBidi"/>
          <w:b w:val="0"/>
          <w:noProof/>
          <w:kern w:val="0"/>
          <w:sz w:val="20"/>
        </w:rPr>
      </w:pPr>
      <w:r w:rsidRPr="00A414A8">
        <w:rPr>
          <w:noProof/>
          <w:sz w:val="20"/>
        </w:rPr>
        <w:t>11.</w:t>
      </w:r>
      <w:r w:rsidRPr="00A414A8">
        <w:rPr>
          <w:rFonts w:asciiTheme="minorHAnsi" w:eastAsiaTheme="minorEastAsia" w:hAnsiTheme="minorHAnsi" w:cstheme="minorBidi"/>
          <w:b w:val="0"/>
          <w:noProof/>
          <w:kern w:val="0"/>
          <w:sz w:val="20"/>
        </w:rPr>
        <w:tab/>
      </w:r>
      <w:r w:rsidRPr="00A414A8">
        <w:rPr>
          <w:noProof/>
          <w:sz w:val="20"/>
        </w:rPr>
        <w:t>General treatment―excluded treatment</w:t>
      </w:r>
      <w:r w:rsidRPr="00A414A8">
        <w:rPr>
          <w:b w:val="0"/>
          <w:noProof/>
          <w:sz w:val="20"/>
        </w:rPr>
        <w:tab/>
      </w:r>
      <w:r w:rsidR="00DE7FE2" w:rsidRPr="00A414A8">
        <w:rPr>
          <w:b w:val="0"/>
          <w:noProof/>
          <w:sz w:val="20"/>
        </w:rPr>
        <w:t>9</w:t>
      </w:r>
    </w:p>
    <w:p w:rsidR="00212353" w:rsidRPr="00A414A8" w:rsidRDefault="00212353" w:rsidP="00212353">
      <w:pPr>
        <w:pStyle w:val="TOC1"/>
        <w:rPr>
          <w:rFonts w:asciiTheme="minorHAnsi" w:eastAsiaTheme="minorEastAsia" w:hAnsiTheme="minorHAnsi" w:cstheme="minorBidi"/>
          <w:b w:val="0"/>
          <w:noProof/>
          <w:kern w:val="0"/>
          <w:sz w:val="20"/>
        </w:rPr>
      </w:pPr>
      <w:r w:rsidRPr="00A414A8">
        <w:rPr>
          <w:noProof/>
          <w:sz w:val="20"/>
        </w:rPr>
        <w:t>12.</w:t>
      </w:r>
      <w:r w:rsidRPr="00A414A8">
        <w:rPr>
          <w:rFonts w:asciiTheme="minorHAnsi" w:eastAsiaTheme="minorEastAsia" w:hAnsiTheme="minorHAnsi" w:cstheme="minorBidi"/>
          <w:b w:val="0"/>
          <w:noProof/>
          <w:kern w:val="0"/>
          <w:sz w:val="20"/>
        </w:rPr>
        <w:tab/>
      </w:r>
      <w:r w:rsidRPr="00A414A8">
        <w:rPr>
          <w:noProof/>
          <w:sz w:val="20"/>
        </w:rPr>
        <w:t>Chronic disease management programs</w:t>
      </w:r>
      <w:r w:rsidRPr="00A414A8">
        <w:rPr>
          <w:b w:val="0"/>
          <w:noProof/>
          <w:sz w:val="20"/>
        </w:rPr>
        <w:tab/>
      </w:r>
      <w:r w:rsidR="00CC6604" w:rsidRPr="00A414A8">
        <w:rPr>
          <w:b w:val="0"/>
          <w:noProof/>
          <w:sz w:val="20"/>
        </w:rPr>
        <w:t>10</w:t>
      </w:r>
    </w:p>
    <w:p w:rsidR="00212353" w:rsidRPr="00A414A8" w:rsidRDefault="00212353" w:rsidP="00212353">
      <w:pPr>
        <w:pStyle w:val="TOC2"/>
        <w:rPr>
          <w:rFonts w:asciiTheme="minorHAnsi" w:eastAsiaTheme="minorEastAsia" w:hAnsiTheme="minorHAnsi" w:cstheme="minorBidi"/>
          <w:b w:val="0"/>
          <w:noProof/>
          <w:kern w:val="0"/>
          <w:sz w:val="22"/>
          <w:szCs w:val="22"/>
        </w:rPr>
      </w:pPr>
      <w:r w:rsidRPr="00A414A8">
        <w:rPr>
          <w:noProof/>
          <w:sz w:val="22"/>
          <w:szCs w:val="22"/>
        </w:rPr>
        <w:t>Part 4</w:t>
      </w:r>
      <w:r w:rsidRPr="00A414A8">
        <w:rPr>
          <w:rFonts w:asciiTheme="minorHAnsi" w:eastAsiaTheme="minorEastAsia" w:hAnsiTheme="minorHAnsi" w:cstheme="minorBidi"/>
          <w:b w:val="0"/>
          <w:noProof/>
          <w:kern w:val="0"/>
          <w:sz w:val="22"/>
          <w:szCs w:val="22"/>
        </w:rPr>
        <w:tab/>
      </w:r>
      <w:r w:rsidRPr="00A414A8">
        <w:rPr>
          <w:noProof/>
          <w:sz w:val="22"/>
          <w:szCs w:val="22"/>
        </w:rPr>
        <w:t>Health insurance business</w:t>
      </w:r>
      <w:r w:rsidRPr="00A414A8">
        <w:rPr>
          <w:b w:val="0"/>
          <w:noProof/>
          <w:sz w:val="22"/>
          <w:szCs w:val="22"/>
        </w:rPr>
        <w:tab/>
      </w:r>
      <w:r w:rsidR="00DE7FE2" w:rsidRPr="00A414A8">
        <w:rPr>
          <w:b w:val="0"/>
          <w:noProof/>
          <w:sz w:val="22"/>
          <w:szCs w:val="22"/>
        </w:rPr>
        <w:t>12</w:t>
      </w:r>
    </w:p>
    <w:p w:rsidR="00212353" w:rsidRPr="00A414A8" w:rsidRDefault="00212353" w:rsidP="00212353">
      <w:pPr>
        <w:pStyle w:val="TOC1"/>
        <w:rPr>
          <w:rFonts w:asciiTheme="minorHAnsi" w:eastAsiaTheme="minorEastAsia" w:hAnsiTheme="minorHAnsi" w:cstheme="minorBidi"/>
          <w:b w:val="0"/>
          <w:noProof/>
          <w:kern w:val="0"/>
          <w:sz w:val="20"/>
        </w:rPr>
      </w:pPr>
      <w:r w:rsidRPr="00A414A8">
        <w:rPr>
          <w:noProof/>
          <w:sz w:val="20"/>
        </w:rPr>
        <w:t>13.</w:t>
      </w:r>
      <w:r w:rsidRPr="00A414A8">
        <w:rPr>
          <w:rFonts w:asciiTheme="minorHAnsi" w:eastAsiaTheme="minorEastAsia" w:hAnsiTheme="minorHAnsi" w:cstheme="minorBidi"/>
          <w:b w:val="0"/>
          <w:noProof/>
          <w:kern w:val="0"/>
          <w:sz w:val="20"/>
        </w:rPr>
        <w:tab/>
      </w:r>
      <w:r w:rsidRPr="00A414A8">
        <w:rPr>
          <w:noProof/>
          <w:sz w:val="20"/>
        </w:rPr>
        <w:t>Business that is not accident and sickness insurance</w:t>
      </w:r>
      <w:r w:rsidRPr="00A414A8">
        <w:rPr>
          <w:b w:val="0"/>
          <w:noProof/>
          <w:sz w:val="20"/>
        </w:rPr>
        <w:tab/>
      </w:r>
      <w:r w:rsidR="00DE7FE2" w:rsidRPr="00A414A8">
        <w:rPr>
          <w:b w:val="0"/>
          <w:noProof/>
          <w:sz w:val="20"/>
        </w:rPr>
        <w:t>12</w:t>
      </w:r>
    </w:p>
    <w:p w:rsidR="00212353" w:rsidRPr="00A414A8" w:rsidRDefault="00212353" w:rsidP="00212353">
      <w:pPr>
        <w:pStyle w:val="TOC1"/>
        <w:rPr>
          <w:rFonts w:asciiTheme="minorHAnsi" w:eastAsiaTheme="minorEastAsia" w:hAnsiTheme="minorHAnsi" w:cstheme="minorBidi"/>
          <w:b w:val="0"/>
          <w:noProof/>
          <w:kern w:val="0"/>
          <w:sz w:val="20"/>
        </w:rPr>
      </w:pPr>
      <w:r w:rsidRPr="00A414A8">
        <w:rPr>
          <w:noProof/>
          <w:sz w:val="20"/>
        </w:rPr>
        <w:t>14.</w:t>
      </w:r>
      <w:r w:rsidRPr="00A414A8">
        <w:rPr>
          <w:rFonts w:asciiTheme="minorHAnsi" w:eastAsiaTheme="minorEastAsia" w:hAnsiTheme="minorHAnsi" w:cstheme="minorBidi"/>
          <w:b w:val="0"/>
          <w:noProof/>
          <w:kern w:val="0"/>
          <w:sz w:val="20"/>
        </w:rPr>
        <w:tab/>
      </w:r>
      <w:r w:rsidRPr="00A414A8">
        <w:rPr>
          <w:noProof/>
          <w:sz w:val="20"/>
        </w:rPr>
        <w:t>Health insurance business: exclusions in respect of certain goods</w:t>
      </w:r>
      <w:r w:rsidRPr="00A414A8">
        <w:rPr>
          <w:b w:val="0"/>
          <w:noProof/>
          <w:sz w:val="20"/>
        </w:rPr>
        <w:tab/>
      </w:r>
      <w:r w:rsidR="00DE7FE2" w:rsidRPr="00A414A8">
        <w:rPr>
          <w:b w:val="0"/>
          <w:noProof/>
          <w:sz w:val="20"/>
        </w:rPr>
        <w:t>12</w:t>
      </w:r>
    </w:p>
    <w:p w:rsidR="00212353" w:rsidRPr="00A414A8" w:rsidRDefault="00212353" w:rsidP="00212353">
      <w:pPr>
        <w:pStyle w:val="TOC1"/>
        <w:rPr>
          <w:rFonts w:asciiTheme="minorHAnsi" w:eastAsiaTheme="minorEastAsia" w:hAnsiTheme="minorHAnsi" w:cstheme="minorBidi"/>
          <w:b w:val="0"/>
          <w:noProof/>
          <w:kern w:val="0"/>
          <w:sz w:val="20"/>
        </w:rPr>
      </w:pPr>
      <w:r w:rsidRPr="00A414A8">
        <w:rPr>
          <w:noProof/>
          <w:sz w:val="20"/>
        </w:rPr>
        <w:t>15.</w:t>
      </w:r>
      <w:r w:rsidRPr="00A414A8">
        <w:rPr>
          <w:rFonts w:asciiTheme="minorHAnsi" w:eastAsiaTheme="minorEastAsia" w:hAnsiTheme="minorHAnsi" w:cstheme="minorBidi"/>
          <w:b w:val="0"/>
          <w:noProof/>
          <w:kern w:val="0"/>
          <w:sz w:val="20"/>
        </w:rPr>
        <w:tab/>
      </w:r>
      <w:r w:rsidRPr="00A414A8">
        <w:rPr>
          <w:noProof/>
          <w:sz w:val="20"/>
        </w:rPr>
        <w:t>Insurance that is not health insurance business</w:t>
      </w:r>
      <w:r w:rsidRPr="00A414A8">
        <w:rPr>
          <w:b w:val="0"/>
          <w:noProof/>
          <w:sz w:val="20"/>
        </w:rPr>
        <w:tab/>
        <w:t>1</w:t>
      </w:r>
      <w:r w:rsidR="00DE7FE2" w:rsidRPr="00A414A8">
        <w:rPr>
          <w:b w:val="0"/>
          <w:noProof/>
          <w:sz w:val="20"/>
        </w:rPr>
        <w:t>3</w:t>
      </w:r>
    </w:p>
    <w:p w:rsidR="00212353" w:rsidRPr="00A414A8" w:rsidRDefault="00212353" w:rsidP="00212353">
      <w:pPr>
        <w:pStyle w:val="TOC1"/>
        <w:rPr>
          <w:rFonts w:asciiTheme="minorHAnsi" w:eastAsiaTheme="minorEastAsia" w:hAnsiTheme="minorHAnsi" w:cstheme="minorBidi"/>
          <w:b w:val="0"/>
          <w:noProof/>
          <w:kern w:val="0"/>
          <w:sz w:val="20"/>
        </w:rPr>
      </w:pPr>
      <w:r w:rsidRPr="00A414A8">
        <w:rPr>
          <w:noProof/>
          <w:sz w:val="20"/>
        </w:rPr>
        <w:t>16.</w:t>
      </w:r>
      <w:r w:rsidRPr="00A414A8">
        <w:rPr>
          <w:rFonts w:asciiTheme="minorHAnsi" w:eastAsiaTheme="minorEastAsia" w:hAnsiTheme="minorHAnsi" w:cstheme="minorBidi"/>
          <w:b w:val="0"/>
          <w:noProof/>
          <w:kern w:val="0"/>
          <w:sz w:val="20"/>
        </w:rPr>
        <w:tab/>
      </w:r>
      <w:r w:rsidRPr="00A414A8">
        <w:rPr>
          <w:noProof/>
          <w:sz w:val="20"/>
        </w:rPr>
        <w:t>Health insurance business: death or disability benefits</w:t>
      </w:r>
      <w:r w:rsidRPr="00A414A8">
        <w:rPr>
          <w:b w:val="0"/>
          <w:noProof/>
          <w:sz w:val="20"/>
        </w:rPr>
        <w:tab/>
        <w:t>1</w:t>
      </w:r>
      <w:r w:rsidR="00DE7FE2" w:rsidRPr="00A414A8">
        <w:rPr>
          <w:b w:val="0"/>
          <w:noProof/>
          <w:sz w:val="20"/>
        </w:rPr>
        <w:t>4</w:t>
      </w:r>
    </w:p>
    <w:p w:rsidR="00212353" w:rsidRPr="00A414A8" w:rsidRDefault="00212353" w:rsidP="00212353">
      <w:pPr>
        <w:pStyle w:val="TOC1"/>
        <w:rPr>
          <w:rFonts w:asciiTheme="minorHAnsi" w:eastAsiaTheme="minorEastAsia" w:hAnsiTheme="minorHAnsi" w:cstheme="minorBidi"/>
          <w:b w:val="0"/>
          <w:noProof/>
          <w:kern w:val="0"/>
          <w:sz w:val="20"/>
        </w:rPr>
      </w:pPr>
      <w:r w:rsidRPr="00A414A8">
        <w:rPr>
          <w:noProof/>
          <w:sz w:val="20"/>
        </w:rPr>
        <w:t>17.</w:t>
      </w:r>
      <w:r w:rsidRPr="00A414A8">
        <w:rPr>
          <w:rFonts w:asciiTheme="minorHAnsi" w:eastAsiaTheme="minorEastAsia" w:hAnsiTheme="minorHAnsi" w:cstheme="minorBidi"/>
          <w:b w:val="0"/>
          <w:noProof/>
          <w:kern w:val="0"/>
          <w:sz w:val="20"/>
        </w:rPr>
        <w:tab/>
      </w:r>
      <w:r w:rsidRPr="00A414A8">
        <w:rPr>
          <w:noProof/>
          <w:sz w:val="20"/>
        </w:rPr>
        <w:t>Insurance that is not health insurance business―certain overseas visitors</w:t>
      </w:r>
      <w:r w:rsidRPr="00A414A8">
        <w:rPr>
          <w:b w:val="0"/>
          <w:noProof/>
          <w:sz w:val="20"/>
        </w:rPr>
        <w:tab/>
        <w:t>1</w:t>
      </w:r>
      <w:r w:rsidR="00DE7FE2" w:rsidRPr="00A414A8">
        <w:rPr>
          <w:b w:val="0"/>
          <w:noProof/>
          <w:sz w:val="20"/>
        </w:rPr>
        <w:t>5</w:t>
      </w:r>
    </w:p>
    <w:p w:rsidR="00212353" w:rsidRPr="00A414A8" w:rsidRDefault="00212353" w:rsidP="00212353">
      <w:pPr>
        <w:pStyle w:val="TOC1"/>
        <w:rPr>
          <w:b w:val="0"/>
          <w:noProof/>
          <w:sz w:val="20"/>
        </w:rPr>
      </w:pPr>
      <w:r w:rsidRPr="00A414A8">
        <w:rPr>
          <w:noProof/>
          <w:sz w:val="20"/>
        </w:rPr>
        <w:t>18.</w:t>
      </w:r>
      <w:r w:rsidRPr="00A414A8">
        <w:rPr>
          <w:rFonts w:asciiTheme="minorHAnsi" w:eastAsiaTheme="minorEastAsia" w:hAnsiTheme="minorHAnsi" w:cstheme="minorBidi"/>
          <w:b w:val="0"/>
          <w:noProof/>
          <w:kern w:val="0"/>
          <w:sz w:val="20"/>
        </w:rPr>
        <w:tab/>
      </w:r>
      <w:r w:rsidRPr="00A414A8">
        <w:rPr>
          <w:noProof/>
          <w:sz w:val="20"/>
        </w:rPr>
        <w:t>Overseas students and specified temporary visa holders</w:t>
      </w:r>
      <w:r w:rsidRPr="00A414A8">
        <w:rPr>
          <w:b w:val="0"/>
          <w:noProof/>
          <w:sz w:val="20"/>
        </w:rPr>
        <w:tab/>
        <w:t>1</w:t>
      </w:r>
      <w:r w:rsidR="00DE7FE2" w:rsidRPr="00A414A8">
        <w:rPr>
          <w:b w:val="0"/>
          <w:noProof/>
          <w:sz w:val="20"/>
        </w:rPr>
        <w:t>6</w:t>
      </w:r>
    </w:p>
    <w:p w:rsidR="00212353" w:rsidRPr="00A414A8" w:rsidRDefault="00212353" w:rsidP="00212353">
      <w:pPr>
        <w:pStyle w:val="TOC2"/>
        <w:rPr>
          <w:rFonts w:asciiTheme="minorHAnsi" w:eastAsiaTheme="minorEastAsia" w:hAnsiTheme="minorHAnsi" w:cstheme="minorBidi"/>
          <w:b w:val="0"/>
          <w:noProof/>
          <w:kern w:val="0"/>
          <w:sz w:val="22"/>
          <w:szCs w:val="22"/>
        </w:rPr>
      </w:pPr>
      <w:r w:rsidRPr="00A414A8">
        <w:rPr>
          <w:noProof/>
        </w:rPr>
        <w:t>Endnotes</w:t>
      </w:r>
      <w:r w:rsidRPr="00A414A8">
        <w:rPr>
          <w:b w:val="0"/>
          <w:noProof/>
          <w:sz w:val="18"/>
        </w:rPr>
        <w:tab/>
      </w:r>
      <w:r w:rsidR="00DE7FE2" w:rsidRPr="00A414A8">
        <w:rPr>
          <w:b w:val="0"/>
          <w:noProof/>
          <w:sz w:val="20"/>
        </w:rPr>
        <w:t>18</w:t>
      </w:r>
    </w:p>
    <w:p w:rsidR="00212353" w:rsidRPr="00A414A8" w:rsidRDefault="00212353" w:rsidP="00212353">
      <w:pPr>
        <w:pStyle w:val="TOC3"/>
        <w:rPr>
          <w:rFonts w:asciiTheme="minorHAnsi" w:eastAsiaTheme="minorEastAsia" w:hAnsiTheme="minorHAnsi" w:cstheme="minorBidi"/>
          <w:b w:val="0"/>
          <w:noProof/>
          <w:kern w:val="0"/>
          <w:szCs w:val="22"/>
        </w:rPr>
      </w:pPr>
      <w:r w:rsidRPr="00A414A8">
        <w:rPr>
          <w:noProof/>
        </w:rPr>
        <w:t>Endnote 1—About the endnotes</w:t>
      </w:r>
      <w:r w:rsidRPr="00A414A8">
        <w:rPr>
          <w:b w:val="0"/>
          <w:noProof/>
          <w:sz w:val="18"/>
        </w:rPr>
        <w:tab/>
      </w:r>
      <w:r w:rsidR="00DE7FE2" w:rsidRPr="00A414A8">
        <w:rPr>
          <w:b w:val="0"/>
          <w:noProof/>
          <w:sz w:val="20"/>
        </w:rPr>
        <w:t>18</w:t>
      </w:r>
    </w:p>
    <w:p w:rsidR="00212353" w:rsidRPr="00A414A8" w:rsidRDefault="00212353" w:rsidP="007B0B30">
      <w:pPr>
        <w:pStyle w:val="TOC3"/>
        <w:keepLines w:val="0"/>
        <w:rPr>
          <w:rFonts w:asciiTheme="minorHAnsi" w:eastAsiaTheme="minorEastAsia" w:hAnsiTheme="minorHAnsi" w:cstheme="minorBidi"/>
          <w:b w:val="0"/>
          <w:noProof/>
          <w:kern w:val="0"/>
          <w:szCs w:val="22"/>
        </w:rPr>
      </w:pPr>
      <w:r w:rsidRPr="00A414A8">
        <w:rPr>
          <w:noProof/>
        </w:rPr>
        <w:t>Endnote 2—Abbreviation key</w:t>
      </w:r>
      <w:r w:rsidRPr="00A414A8">
        <w:rPr>
          <w:b w:val="0"/>
          <w:noProof/>
          <w:sz w:val="18"/>
        </w:rPr>
        <w:tab/>
      </w:r>
      <w:r w:rsidR="00DE7FE2" w:rsidRPr="00A414A8">
        <w:rPr>
          <w:b w:val="0"/>
          <w:noProof/>
          <w:sz w:val="20"/>
        </w:rPr>
        <w:t>19</w:t>
      </w:r>
    </w:p>
    <w:p w:rsidR="00212353" w:rsidRPr="00A414A8" w:rsidRDefault="00212353" w:rsidP="00212353">
      <w:pPr>
        <w:pStyle w:val="TOC3"/>
        <w:rPr>
          <w:rFonts w:asciiTheme="minorHAnsi" w:eastAsiaTheme="minorEastAsia" w:hAnsiTheme="minorHAnsi" w:cstheme="minorBidi"/>
          <w:b w:val="0"/>
          <w:noProof/>
          <w:kern w:val="0"/>
          <w:szCs w:val="22"/>
        </w:rPr>
      </w:pPr>
      <w:r w:rsidRPr="00A414A8">
        <w:rPr>
          <w:noProof/>
        </w:rPr>
        <w:t>Endnote 3—Legislation history</w:t>
      </w:r>
      <w:r w:rsidRPr="00A414A8">
        <w:rPr>
          <w:b w:val="0"/>
          <w:noProof/>
          <w:sz w:val="18"/>
        </w:rPr>
        <w:tab/>
      </w:r>
      <w:r w:rsidRPr="00A414A8">
        <w:rPr>
          <w:b w:val="0"/>
          <w:noProof/>
          <w:sz w:val="20"/>
        </w:rPr>
        <w:t>2</w:t>
      </w:r>
      <w:r w:rsidR="00DE7FE2" w:rsidRPr="00A414A8">
        <w:rPr>
          <w:b w:val="0"/>
          <w:noProof/>
          <w:sz w:val="20"/>
        </w:rPr>
        <w:t>0</w:t>
      </w:r>
    </w:p>
    <w:p w:rsidR="00CC6604" w:rsidRPr="00A414A8" w:rsidRDefault="00212353" w:rsidP="00CC6604">
      <w:pPr>
        <w:pStyle w:val="TOC3"/>
        <w:rPr>
          <w:b w:val="0"/>
          <w:noProof/>
          <w:sz w:val="20"/>
        </w:rPr>
      </w:pPr>
      <w:r w:rsidRPr="00A414A8">
        <w:rPr>
          <w:noProof/>
        </w:rPr>
        <w:t>Endnote 4—Amendment history</w:t>
      </w:r>
      <w:r w:rsidRPr="00A414A8">
        <w:rPr>
          <w:b w:val="0"/>
          <w:noProof/>
          <w:sz w:val="18"/>
        </w:rPr>
        <w:tab/>
      </w:r>
      <w:r w:rsidRPr="00A414A8">
        <w:rPr>
          <w:b w:val="0"/>
          <w:noProof/>
          <w:sz w:val="20"/>
        </w:rPr>
        <w:t>2</w:t>
      </w:r>
      <w:r w:rsidR="00DE56C0">
        <w:rPr>
          <w:b w:val="0"/>
          <w:noProof/>
          <w:sz w:val="20"/>
        </w:rPr>
        <w:t>2</w:t>
      </w:r>
    </w:p>
    <w:p w:rsidR="009B3E12" w:rsidRPr="00A414A8" w:rsidRDefault="009B3E12" w:rsidP="009B3E12">
      <w:pPr>
        <w:rPr>
          <w:lang w:eastAsia="en-AU"/>
        </w:rPr>
      </w:pPr>
    </w:p>
    <w:p w:rsidR="00322F42" w:rsidRPr="00A414A8" w:rsidRDefault="00322F42" w:rsidP="00212353">
      <w:pPr>
        <w:sectPr w:rsidR="00322F42" w:rsidRPr="00A414A8" w:rsidSect="00274F1B">
          <w:headerReference w:type="even" r:id="rId15"/>
          <w:headerReference w:type="default" r:id="rId16"/>
          <w:footerReference w:type="even" r:id="rId17"/>
          <w:footerReference w:type="default" r:id="rId18"/>
          <w:headerReference w:type="first" r:id="rId19"/>
          <w:pgSz w:w="11906" w:h="16838" w:code="9"/>
          <w:pgMar w:top="2381" w:right="1797" w:bottom="1440" w:left="1797" w:header="720" w:footer="709" w:gutter="0"/>
          <w:paperSrc w:first="260" w:other="260"/>
          <w:pgNumType w:fmt="lowerRoman" w:start="1"/>
          <w:cols w:space="709"/>
          <w:docGrid w:linePitch="326"/>
        </w:sectPr>
      </w:pPr>
    </w:p>
    <w:p w:rsidR="00322F42" w:rsidRPr="00A414A8" w:rsidRDefault="00322F42" w:rsidP="00322F42">
      <w:pPr>
        <w:pStyle w:val="Heading1NoNum"/>
      </w:pPr>
      <w:bookmarkStart w:id="3" w:name="_Toc76629959"/>
      <w:bookmarkEnd w:id="2"/>
      <w:r w:rsidRPr="00A414A8">
        <w:lastRenderedPageBreak/>
        <w:t>Part 1</w:t>
      </w:r>
      <w:r w:rsidRPr="00A414A8">
        <w:tab/>
        <w:t>Preliminary</w:t>
      </w:r>
      <w:bookmarkEnd w:id="3"/>
    </w:p>
    <w:p w:rsidR="00322F42" w:rsidRPr="00A414A8" w:rsidRDefault="00D2030B" w:rsidP="00D2030B">
      <w:pPr>
        <w:pStyle w:val="Heading1"/>
        <w:tabs>
          <w:tab w:val="left" w:pos="850"/>
        </w:tabs>
        <w:spacing w:before="360"/>
        <w:ind w:left="851" w:hanging="851"/>
        <w:rPr>
          <w:rFonts w:ascii="Arial" w:hAnsi="Arial" w:cs="Arial"/>
          <w:sz w:val="24"/>
          <w:szCs w:val="24"/>
        </w:rPr>
      </w:pPr>
      <w:bookmarkStart w:id="4" w:name="_Toc76629960"/>
      <w:r w:rsidRPr="00A414A8">
        <w:rPr>
          <w:rFonts w:ascii="Arial" w:hAnsi="Arial" w:cs="Arial"/>
          <w:sz w:val="24"/>
          <w:szCs w:val="24"/>
        </w:rPr>
        <w:t>1.</w:t>
      </w:r>
      <w:r w:rsidRPr="00A414A8">
        <w:rPr>
          <w:rFonts w:ascii="Arial" w:hAnsi="Arial" w:cs="Arial"/>
          <w:sz w:val="24"/>
          <w:szCs w:val="24"/>
        </w:rPr>
        <w:tab/>
      </w:r>
      <w:r w:rsidR="00322F42" w:rsidRPr="00A414A8">
        <w:rPr>
          <w:rFonts w:ascii="Arial" w:hAnsi="Arial" w:cs="Arial"/>
          <w:sz w:val="24"/>
          <w:szCs w:val="24"/>
        </w:rPr>
        <w:t>Name of Rules</w:t>
      </w:r>
      <w:bookmarkEnd w:id="4"/>
    </w:p>
    <w:p w:rsidR="00322F42" w:rsidRPr="00A414A8" w:rsidRDefault="00322F42" w:rsidP="00322F42">
      <w:pPr>
        <w:pStyle w:val="HealthLevel1"/>
        <w:rPr>
          <w:i/>
          <w:iCs/>
          <w:color w:val="auto"/>
        </w:rPr>
      </w:pPr>
      <w:r w:rsidRPr="00A414A8">
        <w:rPr>
          <w:color w:val="auto"/>
        </w:rPr>
        <w:t xml:space="preserve">These Rules are the </w:t>
      </w:r>
      <w:r w:rsidRPr="00A414A8">
        <w:rPr>
          <w:i/>
          <w:color w:val="auto"/>
        </w:rPr>
        <w:t>Private Health Insurance (Health Insurance Business) Rules 201</w:t>
      </w:r>
      <w:r w:rsidR="002F41B9" w:rsidRPr="00A414A8">
        <w:rPr>
          <w:i/>
          <w:color w:val="auto"/>
        </w:rPr>
        <w:t>8</w:t>
      </w:r>
      <w:r w:rsidRPr="00A414A8">
        <w:rPr>
          <w:i/>
          <w:color w:val="auto"/>
        </w:rPr>
        <w:t>.</w:t>
      </w:r>
    </w:p>
    <w:p w:rsidR="00322F42" w:rsidRPr="00A414A8" w:rsidRDefault="00D2030B" w:rsidP="00D2030B">
      <w:pPr>
        <w:pStyle w:val="Heading1"/>
        <w:tabs>
          <w:tab w:val="left" w:pos="850"/>
        </w:tabs>
        <w:spacing w:before="360"/>
        <w:ind w:left="851" w:hanging="851"/>
        <w:rPr>
          <w:rFonts w:ascii="Arial" w:hAnsi="Arial" w:cs="Arial"/>
          <w:sz w:val="24"/>
          <w:szCs w:val="24"/>
        </w:rPr>
      </w:pPr>
      <w:bookmarkStart w:id="5" w:name="_Toc76629961"/>
      <w:r w:rsidRPr="00A414A8">
        <w:rPr>
          <w:rFonts w:ascii="Arial" w:hAnsi="Arial" w:cs="Arial"/>
          <w:sz w:val="24"/>
          <w:szCs w:val="24"/>
        </w:rPr>
        <w:t>3.</w:t>
      </w:r>
      <w:r w:rsidRPr="00A414A8">
        <w:rPr>
          <w:rFonts w:ascii="Arial" w:hAnsi="Arial" w:cs="Arial"/>
          <w:sz w:val="24"/>
          <w:szCs w:val="24"/>
        </w:rPr>
        <w:tab/>
      </w:r>
      <w:r w:rsidR="00322F42" w:rsidRPr="00A414A8">
        <w:rPr>
          <w:rFonts w:ascii="Arial" w:hAnsi="Arial" w:cs="Arial"/>
          <w:sz w:val="24"/>
          <w:szCs w:val="24"/>
        </w:rPr>
        <w:t>Definitions</w:t>
      </w:r>
      <w:bookmarkEnd w:id="5"/>
    </w:p>
    <w:p w:rsidR="00322F42" w:rsidRPr="00A414A8" w:rsidRDefault="00322F42" w:rsidP="00322F42">
      <w:pPr>
        <w:pStyle w:val="HealthLevel1"/>
        <w:rPr>
          <w:color w:val="auto"/>
        </w:rPr>
      </w:pPr>
      <w:r w:rsidRPr="00A414A8">
        <w:rPr>
          <w:color w:val="auto"/>
        </w:rPr>
        <w:t>In these Rules:</w:t>
      </w:r>
    </w:p>
    <w:p w:rsidR="007B354F" w:rsidRPr="00A414A8" w:rsidRDefault="007B354F" w:rsidP="0032759D">
      <w:pPr>
        <w:pStyle w:val="HealthLevel1"/>
      </w:pPr>
      <w:r w:rsidRPr="00A414A8">
        <w:rPr>
          <w:b/>
          <w:i/>
        </w:rPr>
        <w:t xml:space="preserve">accredited </w:t>
      </w:r>
      <w:r w:rsidRPr="00A414A8">
        <w:t xml:space="preserve">means assessed as being fully compliant with the </w:t>
      </w:r>
      <w:r w:rsidRPr="00A414A8">
        <w:rPr>
          <w:i/>
        </w:rPr>
        <w:t>National Safety and Quality Health Service Standards</w:t>
      </w:r>
      <w:r w:rsidRPr="00A414A8">
        <w:t xml:space="preserve"> by a body approved by the Australian Commission on Safety and Quality in Health Care to assess health service organisations against the </w:t>
      </w:r>
      <w:r w:rsidRPr="00A414A8">
        <w:rPr>
          <w:i/>
        </w:rPr>
        <w:t>National Safety and Quality Health Service Standards</w:t>
      </w:r>
      <w:r w:rsidRPr="00A414A8">
        <w:t>.</w:t>
      </w:r>
    </w:p>
    <w:p w:rsidR="00322F42" w:rsidRPr="00A414A8" w:rsidRDefault="00322F42" w:rsidP="0032759D">
      <w:pPr>
        <w:pStyle w:val="HealthLevel1"/>
      </w:pPr>
      <w:r w:rsidRPr="00A414A8">
        <w:rPr>
          <w:b/>
          <w:i/>
          <w:color w:val="auto"/>
        </w:rPr>
        <w:t>Act</w:t>
      </w:r>
      <w:r w:rsidRPr="00A414A8">
        <w:rPr>
          <w:color w:val="auto"/>
        </w:rPr>
        <w:t xml:space="preserve"> means the </w:t>
      </w:r>
      <w:r w:rsidRPr="00A414A8">
        <w:rPr>
          <w:i/>
          <w:color w:val="auto"/>
        </w:rPr>
        <w:t>Private Health Insurance Act 2007</w:t>
      </w:r>
      <w:r w:rsidRPr="00A414A8">
        <w:rPr>
          <w:color w:val="auto"/>
        </w:rPr>
        <w:t>.</w:t>
      </w:r>
    </w:p>
    <w:p w:rsidR="00322F42" w:rsidRPr="00A414A8" w:rsidRDefault="00322F42" w:rsidP="00322F42">
      <w:pPr>
        <w:pStyle w:val="HealthLevel1"/>
        <w:rPr>
          <w:color w:val="auto"/>
        </w:rPr>
      </w:pPr>
      <w:r w:rsidRPr="00A414A8">
        <w:rPr>
          <w:b/>
          <w:i/>
          <w:color w:val="auto"/>
        </w:rPr>
        <w:t>allied health service</w:t>
      </w:r>
      <w:r w:rsidRPr="00A414A8">
        <w:rPr>
          <w:color w:val="auto"/>
        </w:rPr>
        <w:t xml:space="preserve"> has the meaning given by rule </w:t>
      </w:r>
      <w:r w:rsidR="00C57413" w:rsidRPr="00A414A8">
        <w:rPr>
          <w:color w:val="auto"/>
        </w:rPr>
        <w:t>12</w:t>
      </w:r>
      <w:r w:rsidRPr="00A414A8">
        <w:rPr>
          <w:color w:val="auto"/>
        </w:rPr>
        <w:t>.</w:t>
      </w:r>
    </w:p>
    <w:p w:rsidR="00322F42" w:rsidRPr="00A414A8" w:rsidRDefault="00322F42" w:rsidP="00322F42">
      <w:pPr>
        <w:pStyle w:val="HealthLevel1"/>
        <w:rPr>
          <w:color w:val="auto"/>
        </w:rPr>
      </w:pPr>
      <w:r w:rsidRPr="00A414A8">
        <w:rPr>
          <w:b/>
          <w:i/>
          <w:color w:val="auto"/>
        </w:rPr>
        <w:t xml:space="preserve">chronic disease </w:t>
      </w:r>
      <w:r w:rsidRPr="00A414A8">
        <w:rPr>
          <w:color w:val="auto"/>
        </w:rPr>
        <w:t xml:space="preserve">has the meaning given by rule </w:t>
      </w:r>
      <w:r w:rsidR="00C57413" w:rsidRPr="00A414A8">
        <w:rPr>
          <w:color w:val="auto"/>
        </w:rPr>
        <w:t>12</w:t>
      </w:r>
      <w:r w:rsidRPr="00A414A8">
        <w:rPr>
          <w:color w:val="auto"/>
        </w:rPr>
        <w:t>.</w:t>
      </w:r>
    </w:p>
    <w:p w:rsidR="00322F42" w:rsidRPr="00A414A8" w:rsidRDefault="00322F42" w:rsidP="00322F42">
      <w:pPr>
        <w:pStyle w:val="HealthLevel1"/>
        <w:rPr>
          <w:color w:val="auto"/>
        </w:rPr>
      </w:pPr>
      <w:r w:rsidRPr="00A414A8">
        <w:rPr>
          <w:b/>
          <w:i/>
          <w:color w:val="auto"/>
        </w:rPr>
        <w:t xml:space="preserve">chronic disease management program </w:t>
      </w:r>
      <w:r w:rsidRPr="00A414A8">
        <w:rPr>
          <w:color w:val="auto"/>
        </w:rPr>
        <w:t xml:space="preserve">has the meaning given by rule </w:t>
      </w:r>
      <w:r w:rsidR="00C57413" w:rsidRPr="00A414A8">
        <w:rPr>
          <w:color w:val="auto"/>
        </w:rPr>
        <w:t>12</w:t>
      </w:r>
      <w:r w:rsidRPr="00A414A8">
        <w:rPr>
          <w:color w:val="auto"/>
        </w:rPr>
        <w:t>.</w:t>
      </w:r>
    </w:p>
    <w:p w:rsidR="00322F42" w:rsidRPr="00A414A8" w:rsidRDefault="00322F42" w:rsidP="00322F42">
      <w:pPr>
        <w:pStyle w:val="HealthLevel1"/>
        <w:rPr>
          <w:color w:val="auto"/>
        </w:rPr>
      </w:pPr>
      <w:r w:rsidRPr="00A414A8">
        <w:rPr>
          <w:b/>
          <w:i/>
          <w:color w:val="auto"/>
        </w:rPr>
        <w:t>diagnostic imaging services table</w:t>
      </w:r>
      <w:r w:rsidRPr="00A414A8">
        <w:rPr>
          <w:color w:val="auto"/>
        </w:rPr>
        <w:t xml:space="preserve"> means the table prescribed under subsection 4AA (1) of the </w:t>
      </w:r>
      <w:r w:rsidRPr="00A414A8">
        <w:rPr>
          <w:i/>
          <w:color w:val="auto"/>
        </w:rPr>
        <w:t>Health Insurance Act 1973</w:t>
      </w:r>
      <w:r w:rsidRPr="00A414A8">
        <w:rPr>
          <w:color w:val="auto"/>
        </w:rPr>
        <w:t>.</w:t>
      </w:r>
    </w:p>
    <w:p w:rsidR="00322F42" w:rsidRPr="00A414A8" w:rsidRDefault="00322F42" w:rsidP="00322F42">
      <w:pPr>
        <w:pStyle w:val="HealthLevel1"/>
        <w:rPr>
          <w:b/>
          <w:color w:val="auto"/>
        </w:rPr>
      </w:pPr>
      <w:r w:rsidRPr="00A414A8">
        <w:rPr>
          <w:b/>
          <w:i/>
          <w:color w:val="auto"/>
        </w:rPr>
        <w:t>eligible person</w:t>
      </w:r>
      <w:r w:rsidRPr="00A414A8">
        <w:rPr>
          <w:color w:val="auto"/>
        </w:rPr>
        <w:t xml:space="preserve"> has the same meaning as in subsection 3 (1) of the </w:t>
      </w:r>
      <w:r w:rsidRPr="00A414A8">
        <w:rPr>
          <w:i/>
          <w:color w:val="auto"/>
        </w:rPr>
        <w:t>Health Insurance Act 1973</w:t>
      </w:r>
      <w:r w:rsidRPr="00A414A8">
        <w:rPr>
          <w:color w:val="auto"/>
        </w:rPr>
        <w:t xml:space="preserve"> and includes a person who is treated as an eligible person </w:t>
      </w:r>
      <w:r w:rsidR="00F81D14" w:rsidRPr="00A414A8">
        <w:rPr>
          <w:color w:val="auto"/>
        </w:rPr>
        <w:t xml:space="preserve">under </w:t>
      </w:r>
      <w:r w:rsidRPr="00A414A8">
        <w:rPr>
          <w:color w:val="auto"/>
        </w:rPr>
        <w:t>sections 6, 6A or 7 of that Act.</w:t>
      </w:r>
    </w:p>
    <w:p w:rsidR="00E40FE9" w:rsidRPr="00A414A8" w:rsidRDefault="00E40FE9" w:rsidP="00374F2A">
      <w:pPr>
        <w:pStyle w:val="Definition"/>
        <w:ind w:left="851"/>
      </w:pPr>
      <w:r w:rsidRPr="00A414A8">
        <w:rPr>
          <w:b/>
          <w:i/>
        </w:rPr>
        <w:t xml:space="preserve">excluded natural therapy treatment </w:t>
      </w:r>
      <w:r w:rsidRPr="00A414A8">
        <w:t>means any of the following treatments:</w:t>
      </w:r>
    </w:p>
    <w:p w:rsidR="00E40FE9" w:rsidRPr="00A414A8" w:rsidRDefault="00E40FE9" w:rsidP="00E40FE9">
      <w:pPr>
        <w:pStyle w:val="paragraph"/>
      </w:pPr>
      <w:r w:rsidRPr="00A414A8">
        <w:tab/>
        <w:t>(a)</w:t>
      </w:r>
      <w:r w:rsidRPr="00A414A8">
        <w:tab/>
        <w:t>Alexander technique;</w:t>
      </w:r>
    </w:p>
    <w:p w:rsidR="00E40FE9" w:rsidRPr="00A414A8" w:rsidRDefault="00E40FE9" w:rsidP="00E40FE9">
      <w:pPr>
        <w:pStyle w:val="paragraph"/>
      </w:pPr>
      <w:r w:rsidRPr="00A414A8">
        <w:tab/>
        <w:t>(b)</w:t>
      </w:r>
      <w:r w:rsidRPr="00A414A8">
        <w:tab/>
        <w:t>aromatherapy;</w:t>
      </w:r>
    </w:p>
    <w:p w:rsidR="00E40FE9" w:rsidRPr="00A414A8" w:rsidRDefault="00E40FE9" w:rsidP="00E40FE9">
      <w:pPr>
        <w:pStyle w:val="paragraph"/>
      </w:pPr>
      <w:r w:rsidRPr="00A414A8">
        <w:tab/>
        <w:t>(c)</w:t>
      </w:r>
      <w:r w:rsidRPr="00A414A8">
        <w:tab/>
        <w:t>Bowen therapy;</w:t>
      </w:r>
    </w:p>
    <w:p w:rsidR="00E40FE9" w:rsidRPr="00A414A8" w:rsidRDefault="00E40FE9" w:rsidP="00E40FE9">
      <w:pPr>
        <w:pStyle w:val="paragraph"/>
      </w:pPr>
      <w:r w:rsidRPr="00A414A8">
        <w:tab/>
        <w:t>(d)</w:t>
      </w:r>
      <w:r w:rsidRPr="00A414A8">
        <w:tab/>
        <w:t>Buteyko;</w:t>
      </w:r>
    </w:p>
    <w:p w:rsidR="00E40FE9" w:rsidRPr="00A414A8" w:rsidRDefault="00E40FE9" w:rsidP="00E40FE9">
      <w:pPr>
        <w:pStyle w:val="paragraph"/>
      </w:pPr>
      <w:r w:rsidRPr="00A414A8">
        <w:tab/>
        <w:t>(e)</w:t>
      </w:r>
      <w:r w:rsidRPr="00A414A8">
        <w:tab/>
        <w:t>Feldenkrais;</w:t>
      </w:r>
    </w:p>
    <w:p w:rsidR="00E40FE9" w:rsidRPr="00A414A8" w:rsidRDefault="00E40FE9" w:rsidP="00E40FE9">
      <w:pPr>
        <w:pStyle w:val="paragraph"/>
      </w:pPr>
      <w:r w:rsidRPr="00A414A8">
        <w:tab/>
        <w:t>(f)</w:t>
      </w:r>
      <w:r w:rsidRPr="00A414A8">
        <w:tab/>
        <w:t>Western herbalism;</w:t>
      </w:r>
    </w:p>
    <w:p w:rsidR="00E40FE9" w:rsidRPr="00A414A8" w:rsidRDefault="00E40FE9" w:rsidP="00E40FE9">
      <w:pPr>
        <w:pStyle w:val="paragraph"/>
      </w:pPr>
      <w:r w:rsidRPr="00A414A8">
        <w:tab/>
        <w:t>(g)</w:t>
      </w:r>
      <w:r w:rsidRPr="00A414A8">
        <w:tab/>
        <w:t>homeopathy;</w:t>
      </w:r>
    </w:p>
    <w:p w:rsidR="00E40FE9" w:rsidRPr="00A414A8" w:rsidRDefault="00E40FE9" w:rsidP="00E40FE9">
      <w:pPr>
        <w:pStyle w:val="paragraph"/>
      </w:pPr>
      <w:r w:rsidRPr="00A414A8">
        <w:tab/>
        <w:t>(h)</w:t>
      </w:r>
      <w:r w:rsidRPr="00A414A8">
        <w:tab/>
        <w:t>iridology;</w:t>
      </w:r>
    </w:p>
    <w:p w:rsidR="00E40FE9" w:rsidRPr="00A414A8" w:rsidRDefault="00E40FE9" w:rsidP="00E40FE9">
      <w:pPr>
        <w:pStyle w:val="paragraph"/>
      </w:pPr>
      <w:r w:rsidRPr="00A414A8">
        <w:tab/>
        <w:t>(i)</w:t>
      </w:r>
      <w:r w:rsidRPr="00A414A8">
        <w:tab/>
        <w:t>kinesiology;</w:t>
      </w:r>
    </w:p>
    <w:p w:rsidR="00E40FE9" w:rsidRPr="00A414A8" w:rsidRDefault="00E40FE9" w:rsidP="00E40FE9">
      <w:pPr>
        <w:pStyle w:val="paragraph"/>
      </w:pPr>
      <w:r w:rsidRPr="00A414A8">
        <w:tab/>
        <w:t>(j)</w:t>
      </w:r>
      <w:r w:rsidRPr="00A414A8">
        <w:tab/>
        <w:t>naturopathy;</w:t>
      </w:r>
    </w:p>
    <w:p w:rsidR="00E40FE9" w:rsidRPr="00A414A8" w:rsidRDefault="00E40FE9" w:rsidP="00E40FE9">
      <w:pPr>
        <w:pStyle w:val="paragraph"/>
      </w:pPr>
      <w:r w:rsidRPr="00A414A8">
        <w:tab/>
        <w:t>(k)</w:t>
      </w:r>
      <w:r w:rsidRPr="00A414A8">
        <w:tab/>
        <w:t>Pilates;</w:t>
      </w:r>
    </w:p>
    <w:p w:rsidR="00E40FE9" w:rsidRPr="00A414A8" w:rsidRDefault="00E40FE9" w:rsidP="00E40FE9">
      <w:pPr>
        <w:pStyle w:val="paragraph"/>
      </w:pPr>
      <w:r w:rsidRPr="00A414A8">
        <w:tab/>
        <w:t>(l)</w:t>
      </w:r>
      <w:r w:rsidRPr="00A414A8">
        <w:tab/>
        <w:t>reflexology;</w:t>
      </w:r>
    </w:p>
    <w:p w:rsidR="00E40FE9" w:rsidRPr="00A414A8" w:rsidRDefault="00E40FE9" w:rsidP="00E40FE9">
      <w:pPr>
        <w:pStyle w:val="paragraph"/>
      </w:pPr>
      <w:r w:rsidRPr="00A414A8">
        <w:tab/>
        <w:t>(m)</w:t>
      </w:r>
      <w:r w:rsidRPr="00A414A8">
        <w:tab/>
        <w:t>Rolfing;</w:t>
      </w:r>
    </w:p>
    <w:p w:rsidR="00E40FE9" w:rsidRPr="00A414A8" w:rsidRDefault="00E40FE9" w:rsidP="00E40FE9">
      <w:pPr>
        <w:pStyle w:val="paragraph"/>
      </w:pPr>
      <w:r w:rsidRPr="00A414A8">
        <w:tab/>
        <w:t>(n)</w:t>
      </w:r>
      <w:r w:rsidRPr="00A414A8">
        <w:tab/>
        <w:t>shiatsu;</w:t>
      </w:r>
    </w:p>
    <w:p w:rsidR="00E40FE9" w:rsidRPr="00A414A8" w:rsidRDefault="00E40FE9" w:rsidP="00E40FE9">
      <w:pPr>
        <w:pStyle w:val="paragraph"/>
      </w:pPr>
      <w:r w:rsidRPr="00A414A8">
        <w:tab/>
        <w:t>(o)</w:t>
      </w:r>
      <w:r w:rsidRPr="00A414A8">
        <w:tab/>
        <w:t>tai chi;</w:t>
      </w:r>
    </w:p>
    <w:p w:rsidR="00E40FE9" w:rsidRPr="00A414A8" w:rsidRDefault="00E40FE9" w:rsidP="00E40FE9">
      <w:pPr>
        <w:pStyle w:val="paragraph"/>
      </w:pPr>
      <w:r w:rsidRPr="00A414A8">
        <w:tab/>
        <w:t>(p)</w:t>
      </w:r>
      <w:r w:rsidRPr="00A414A8">
        <w:tab/>
        <w:t>yoga.</w:t>
      </w:r>
    </w:p>
    <w:p w:rsidR="00322F42" w:rsidRPr="00A414A8" w:rsidRDefault="00322F42" w:rsidP="00322F42">
      <w:pPr>
        <w:pStyle w:val="HealthLevel1"/>
        <w:rPr>
          <w:i/>
          <w:color w:val="auto"/>
        </w:rPr>
      </w:pPr>
      <w:r w:rsidRPr="00A414A8">
        <w:rPr>
          <w:b/>
          <w:i/>
          <w:color w:val="auto"/>
        </w:rPr>
        <w:lastRenderedPageBreak/>
        <w:t>general medical services table</w:t>
      </w:r>
      <w:r w:rsidRPr="00A414A8">
        <w:rPr>
          <w:color w:val="auto"/>
        </w:rPr>
        <w:t xml:space="preserve"> means the table prescribed under subsection 4 (1) of the </w:t>
      </w:r>
      <w:r w:rsidRPr="00A414A8">
        <w:rPr>
          <w:i/>
          <w:color w:val="auto"/>
        </w:rPr>
        <w:t>Health Insurance Act 1973.</w:t>
      </w:r>
    </w:p>
    <w:p w:rsidR="0032759D" w:rsidRPr="00A414A8" w:rsidRDefault="0032759D" w:rsidP="0032759D">
      <w:pPr>
        <w:pStyle w:val="HealthLevel1"/>
      </w:pPr>
      <w:r w:rsidRPr="00A414A8">
        <w:rPr>
          <w:b/>
          <w:i/>
        </w:rPr>
        <w:t>Hospital Casemix Protocol Data</w:t>
      </w:r>
      <w:r w:rsidRPr="00A414A8">
        <w:rPr>
          <w:b/>
        </w:rPr>
        <w:t xml:space="preserve"> </w:t>
      </w:r>
      <w:r w:rsidRPr="00A414A8">
        <w:t>means the data provided by hospitals to insurers that is the subject of rule 4.</w:t>
      </w:r>
    </w:p>
    <w:p w:rsidR="00322F42" w:rsidRPr="00A414A8" w:rsidRDefault="00322F42" w:rsidP="00322F42">
      <w:pPr>
        <w:pStyle w:val="HealthLevel1"/>
        <w:rPr>
          <w:color w:val="auto"/>
        </w:rPr>
      </w:pPr>
      <w:r w:rsidRPr="00A414A8">
        <w:rPr>
          <w:b/>
          <w:i/>
          <w:color w:val="auto"/>
        </w:rPr>
        <w:t xml:space="preserve">item </w:t>
      </w:r>
      <w:r w:rsidRPr="00A414A8">
        <w:rPr>
          <w:color w:val="auto"/>
        </w:rPr>
        <w:t xml:space="preserve">has the same meaning as in subsection 3 (1) of the </w:t>
      </w:r>
      <w:r w:rsidRPr="00A414A8">
        <w:rPr>
          <w:i/>
          <w:color w:val="auto"/>
        </w:rPr>
        <w:t>Health Insurance Act 1973</w:t>
      </w:r>
      <w:r w:rsidRPr="00A414A8">
        <w:rPr>
          <w:color w:val="auto"/>
        </w:rPr>
        <w:t>.</w:t>
      </w:r>
    </w:p>
    <w:p w:rsidR="00322F42" w:rsidRPr="00A414A8" w:rsidRDefault="00322F42" w:rsidP="00322F42">
      <w:pPr>
        <w:pStyle w:val="HealthLevel1"/>
        <w:rPr>
          <w:color w:val="auto"/>
        </w:rPr>
      </w:pPr>
      <w:r w:rsidRPr="00A414A8">
        <w:rPr>
          <w:b/>
          <w:i/>
          <w:color w:val="auto"/>
        </w:rPr>
        <w:t>licensee</w:t>
      </w:r>
      <w:r w:rsidRPr="00A414A8">
        <w:rPr>
          <w:color w:val="auto"/>
        </w:rPr>
        <w:t xml:space="preserve"> means the person licensed under the law of the State or Territory in which the facility is located to operate the premises.</w:t>
      </w:r>
    </w:p>
    <w:p w:rsidR="00832C2B" w:rsidRPr="00A414A8" w:rsidRDefault="00832C2B" w:rsidP="0032759D">
      <w:pPr>
        <w:pStyle w:val="HealthLevel1"/>
      </w:pPr>
      <w:r w:rsidRPr="00A414A8">
        <w:rPr>
          <w:b/>
          <w:i/>
        </w:rPr>
        <w:t xml:space="preserve">makes provision for informed financial consent: </w:t>
      </w:r>
      <w:r w:rsidRPr="00A414A8">
        <w:t xml:space="preserve">a hospital </w:t>
      </w:r>
      <w:r w:rsidRPr="00A414A8">
        <w:rPr>
          <w:b/>
          <w:i/>
        </w:rPr>
        <w:t xml:space="preserve">makes provision for informed financial consent </w:t>
      </w:r>
      <w:r w:rsidRPr="00A414A8">
        <w:t>if it has procedures in place to inform a patient or nominee, in writing, of what hospital charges, insurer benefits and out</w:t>
      </w:r>
      <w:r w:rsidR="00A414A8">
        <w:noBreakHyphen/>
      </w:r>
      <w:r w:rsidRPr="00A414A8">
        <w:t>of</w:t>
      </w:r>
      <w:r w:rsidR="00A414A8">
        <w:noBreakHyphen/>
      </w:r>
      <w:r w:rsidRPr="00A414A8">
        <w:t>pocket costs (where applicable) are expected in respect of the hospital treatment. A patient or nominee must be informed:</w:t>
      </w:r>
    </w:p>
    <w:p w:rsidR="00832C2B" w:rsidRPr="00A414A8" w:rsidRDefault="00832C2B" w:rsidP="00832C2B">
      <w:pPr>
        <w:pStyle w:val="paragraph"/>
      </w:pPr>
      <w:r w:rsidRPr="00A414A8">
        <w:tab/>
        <w:t>(a)</w:t>
      </w:r>
      <w:r w:rsidRPr="00A414A8">
        <w:tab/>
        <w:t>for scheduled admissions</w:t>
      </w:r>
      <w:r w:rsidRPr="00A414A8">
        <w:rPr>
          <w:color w:val="000000"/>
        </w:rPr>
        <w:t>—</w:t>
      </w:r>
      <w:r w:rsidRPr="00A414A8">
        <w:t>at the earliest opportunity before admission for the hospital treatment; or</w:t>
      </w:r>
    </w:p>
    <w:p w:rsidR="00832C2B" w:rsidRPr="00A414A8" w:rsidRDefault="00832C2B" w:rsidP="00832C2B">
      <w:pPr>
        <w:pStyle w:val="paragraph"/>
      </w:pPr>
      <w:r w:rsidRPr="00A414A8">
        <w:tab/>
        <w:t>(b)</w:t>
      </w:r>
      <w:r w:rsidRPr="00A414A8">
        <w:tab/>
        <w:t>for unplanned admissions</w:t>
      </w:r>
      <w:r w:rsidRPr="00A414A8">
        <w:rPr>
          <w:color w:val="000000"/>
        </w:rPr>
        <w:t>—</w:t>
      </w:r>
      <w:r w:rsidRPr="00A414A8">
        <w:t>as soon after the admission as the circumstances reasonably permit.</w:t>
      </w:r>
    </w:p>
    <w:p w:rsidR="00832C2B" w:rsidRPr="00A414A8" w:rsidRDefault="00832C2B" w:rsidP="0032759D">
      <w:pPr>
        <w:pStyle w:val="HealthLevel1"/>
      </w:pPr>
      <w:r w:rsidRPr="00A414A8">
        <w:rPr>
          <w:b/>
          <w:i/>
        </w:rPr>
        <w:t xml:space="preserve">minimum benefit </w:t>
      </w:r>
      <w:r w:rsidRPr="00A414A8">
        <w:t xml:space="preserve">means the minimum benefit calculated in accordance with clause 3 of Schedule 5 of the </w:t>
      </w:r>
      <w:r w:rsidRPr="00A414A8">
        <w:rPr>
          <w:i/>
        </w:rPr>
        <w:t>Private Health Insurance (Benefit Requirements) Rules 2011</w:t>
      </w:r>
      <w:r w:rsidRPr="00A414A8">
        <w:t>.</w:t>
      </w:r>
    </w:p>
    <w:p w:rsidR="00832C2B" w:rsidRPr="00A414A8" w:rsidRDefault="00832C2B" w:rsidP="0032759D">
      <w:pPr>
        <w:pStyle w:val="HealthLevel1"/>
      </w:pPr>
      <w:r w:rsidRPr="00A414A8">
        <w:rPr>
          <w:b/>
          <w:i/>
        </w:rPr>
        <w:t xml:space="preserve">National Safety and Quality Health Service Standards </w:t>
      </w:r>
      <w:r w:rsidRPr="00A414A8">
        <w:t>means the standards developed by the Australian Commission on Safety and Quality in Health Care.</w:t>
      </w:r>
    </w:p>
    <w:p w:rsidR="00832C2B" w:rsidRPr="00A414A8" w:rsidRDefault="00832C2B" w:rsidP="0032759D">
      <w:pPr>
        <w:pStyle w:val="Healthnote"/>
        <w:ind w:left="1691" w:hanging="840"/>
      </w:pPr>
      <w:r w:rsidRPr="00A414A8">
        <w:t>Note:</w:t>
      </w:r>
      <w:r w:rsidRPr="00A414A8">
        <w:tab/>
        <w:t xml:space="preserve">Development of the </w:t>
      </w:r>
      <w:r w:rsidRPr="00A414A8">
        <w:rPr>
          <w:i/>
        </w:rPr>
        <w:t>National Safety and Quality Health Service Standards</w:t>
      </w:r>
      <w:r w:rsidRPr="00A414A8">
        <w:t xml:space="preserve"> is a function of the Australian Commission on Safety and Quality in Health Care under paragraph 9 (1) (e) of </w:t>
      </w:r>
      <w:r w:rsidRPr="00A414A8">
        <w:rPr>
          <w:i/>
        </w:rPr>
        <w:t>National Health Reform Act 2011</w:t>
      </w:r>
      <w:r w:rsidRPr="00A414A8">
        <w:t>.</w:t>
      </w:r>
    </w:p>
    <w:p w:rsidR="00322F42" w:rsidRPr="00A414A8" w:rsidRDefault="00322F42" w:rsidP="00322F42">
      <w:pPr>
        <w:pStyle w:val="HealthLevel1"/>
        <w:rPr>
          <w:color w:val="auto"/>
        </w:rPr>
      </w:pPr>
      <w:r w:rsidRPr="00A414A8">
        <w:rPr>
          <w:b/>
          <w:i/>
          <w:color w:val="auto"/>
        </w:rPr>
        <w:t>private hospital</w:t>
      </w:r>
      <w:r w:rsidRPr="00A414A8">
        <w:rPr>
          <w:color w:val="auto"/>
        </w:rPr>
        <w:t xml:space="preserve"> means a hospital in respect of which there is in force a statement under subsection 121</w:t>
      </w:r>
      <w:r w:rsidR="00A414A8">
        <w:rPr>
          <w:color w:val="auto"/>
        </w:rPr>
        <w:noBreakHyphen/>
      </w:r>
      <w:r w:rsidRPr="00A414A8">
        <w:rPr>
          <w:color w:val="auto"/>
        </w:rPr>
        <w:t>5 (8) of the Act that the hospital is a private hospital.</w:t>
      </w:r>
    </w:p>
    <w:p w:rsidR="00322F42" w:rsidRPr="00A414A8" w:rsidRDefault="00322F42" w:rsidP="00322F42">
      <w:pPr>
        <w:pStyle w:val="HealthLevel1"/>
        <w:rPr>
          <w:color w:val="auto"/>
        </w:rPr>
      </w:pPr>
      <w:r w:rsidRPr="00A414A8">
        <w:rPr>
          <w:b/>
          <w:i/>
          <w:color w:val="auto"/>
        </w:rPr>
        <w:t>pathology services table</w:t>
      </w:r>
      <w:r w:rsidRPr="00A414A8">
        <w:rPr>
          <w:color w:val="auto"/>
        </w:rPr>
        <w:t xml:space="preserve"> means the table prescribed under subsection 4A (1) of the </w:t>
      </w:r>
      <w:r w:rsidRPr="00A414A8">
        <w:rPr>
          <w:i/>
          <w:color w:val="auto"/>
        </w:rPr>
        <w:t>Health Insurance Act 1973</w:t>
      </w:r>
      <w:r w:rsidRPr="00A414A8">
        <w:rPr>
          <w:color w:val="auto"/>
        </w:rPr>
        <w:t>.</w:t>
      </w:r>
    </w:p>
    <w:p w:rsidR="00322F42" w:rsidRPr="00A414A8" w:rsidRDefault="00322F42" w:rsidP="00322F42">
      <w:pPr>
        <w:pStyle w:val="HealthLevel1"/>
        <w:rPr>
          <w:color w:val="auto"/>
        </w:rPr>
      </w:pPr>
      <w:r w:rsidRPr="00A414A8">
        <w:rPr>
          <w:b/>
          <w:i/>
          <w:color w:val="auto"/>
        </w:rPr>
        <w:t>private facility</w:t>
      </w:r>
      <w:r w:rsidRPr="00A414A8">
        <w:rPr>
          <w:color w:val="auto"/>
        </w:rPr>
        <w:t xml:space="preserve"> means a facility that, if a declaration were to be made by the Minister under subsection 121</w:t>
      </w:r>
      <w:r w:rsidR="00A414A8">
        <w:rPr>
          <w:color w:val="auto"/>
        </w:rPr>
        <w:noBreakHyphen/>
      </w:r>
      <w:r w:rsidRPr="00A414A8">
        <w:rPr>
          <w:color w:val="auto"/>
        </w:rPr>
        <w:t>5 (6) of the Act in respect of that facility, it would include a statement under subsection 121</w:t>
      </w:r>
      <w:r w:rsidR="00A414A8">
        <w:rPr>
          <w:color w:val="auto"/>
        </w:rPr>
        <w:noBreakHyphen/>
      </w:r>
      <w:r w:rsidRPr="00A414A8">
        <w:rPr>
          <w:color w:val="auto"/>
        </w:rPr>
        <w:t>5 (8) that the hospital is a private hospital.</w:t>
      </w:r>
    </w:p>
    <w:p w:rsidR="00322F42" w:rsidRPr="00A414A8" w:rsidRDefault="00322F42" w:rsidP="00322F42">
      <w:pPr>
        <w:pStyle w:val="HealthLevel1"/>
        <w:rPr>
          <w:color w:val="auto"/>
        </w:rPr>
      </w:pPr>
      <w:r w:rsidRPr="00A414A8">
        <w:rPr>
          <w:b/>
          <w:i/>
          <w:color w:val="auto"/>
        </w:rPr>
        <w:t>public hospital</w:t>
      </w:r>
      <w:r w:rsidRPr="00A414A8">
        <w:rPr>
          <w:color w:val="auto"/>
        </w:rPr>
        <w:t xml:space="preserve"> means a hospital in respect of which there is in force a statement under subsection 121</w:t>
      </w:r>
      <w:r w:rsidR="00A414A8">
        <w:rPr>
          <w:color w:val="auto"/>
        </w:rPr>
        <w:noBreakHyphen/>
      </w:r>
      <w:r w:rsidRPr="00A414A8">
        <w:rPr>
          <w:color w:val="auto"/>
        </w:rPr>
        <w:t>5 (8) of the Act that the hospital is a public hospital.</w:t>
      </w:r>
    </w:p>
    <w:p w:rsidR="00322F42" w:rsidRPr="00A414A8" w:rsidRDefault="00322F42" w:rsidP="00322F42">
      <w:pPr>
        <w:pStyle w:val="HealthLevel1"/>
        <w:rPr>
          <w:color w:val="auto"/>
        </w:rPr>
      </w:pPr>
      <w:r w:rsidRPr="00A414A8">
        <w:rPr>
          <w:b/>
          <w:i/>
          <w:color w:val="auto"/>
        </w:rPr>
        <w:t>risk factors for chronic disease</w:t>
      </w:r>
      <w:r w:rsidRPr="00A414A8">
        <w:rPr>
          <w:color w:val="auto"/>
        </w:rPr>
        <w:t xml:space="preserve"> has the meaning given by rule </w:t>
      </w:r>
      <w:r w:rsidR="00C57413" w:rsidRPr="00A414A8">
        <w:rPr>
          <w:color w:val="auto"/>
        </w:rPr>
        <w:t>12</w:t>
      </w:r>
      <w:r w:rsidRPr="00A414A8">
        <w:rPr>
          <w:color w:val="auto"/>
        </w:rPr>
        <w:t>.</w:t>
      </w:r>
    </w:p>
    <w:p w:rsidR="00322F42" w:rsidRPr="00A414A8" w:rsidRDefault="00322F42" w:rsidP="00322F42">
      <w:pPr>
        <w:pStyle w:val="HealthLevel1"/>
        <w:rPr>
          <w:color w:val="auto"/>
        </w:rPr>
      </w:pPr>
      <w:r w:rsidRPr="00A414A8">
        <w:rPr>
          <w:b/>
          <w:i/>
          <w:color w:val="auto"/>
        </w:rPr>
        <w:t>State/Territory</w:t>
      </w:r>
      <w:r w:rsidRPr="00A414A8">
        <w:rPr>
          <w:color w:val="auto"/>
        </w:rPr>
        <w:t xml:space="preserve"> means the State or Territory in which the premises are located and includes a governing body or authority established by a law of the Commonwealth, a State or an internal Territory.</w:t>
      </w:r>
    </w:p>
    <w:p w:rsidR="00322F42" w:rsidRPr="00A414A8" w:rsidRDefault="00322F42" w:rsidP="00322F42">
      <w:pPr>
        <w:pStyle w:val="Healthnote"/>
        <w:ind w:left="1691" w:hanging="840"/>
        <w:rPr>
          <w:color w:val="auto"/>
        </w:rPr>
      </w:pPr>
      <w:r w:rsidRPr="00A414A8">
        <w:rPr>
          <w:color w:val="auto"/>
        </w:rPr>
        <w:t>Note:</w:t>
      </w:r>
      <w:r w:rsidRPr="00A414A8">
        <w:rPr>
          <w:color w:val="auto"/>
        </w:rPr>
        <w:tab/>
        <w:t xml:space="preserve">Terms used in these Rules have the same meaning as in the Act―see section 13 of the </w:t>
      </w:r>
      <w:r w:rsidRPr="00A414A8">
        <w:rPr>
          <w:i/>
          <w:color w:val="auto"/>
        </w:rPr>
        <w:t>Legislati</w:t>
      </w:r>
      <w:r w:rsidR="0029657A" w:rsidRPr="00A414A8">
        <w:rPr>
          <w:i/>
          <w:color w:val="auto"/>
        </w:rPr>
        <w:t>on</w:t>
      </w:r>
      <w:r w:rsidRPr="00A414A8">
        <w:rPr>
          <w:i/>
          <w:color w:val="auto"/>
        </w:rPr>
        <w:t xml:space="preserve"> Act 2003</w:t>
      </w:r>
      <w:r w:rsidRPr="00A414A8">
        <w:rPr>
          <w:color w:val="auto"/>
        </w:rPr>
        <w:t>.  These terms include:</w:t>
      </w:r>
    </w:p>
    <w:p w:rsidR="00322F42" w:rsidRPr="00A414A8" w:rsidRDefault="00322F42" w:rsidP="00322F42">
      <w:pPr>
        <w:pStyle w:val="Healthnote"/>
        <w:ind w:left="1691"/>
        <w:rPr>
          <w:color w:val="auto"/>
        </w:rPr>
      </w:pPr>
      <w:r w:rsidRPr="00A414A8">
        <w:rPr>
          <w:color w:val="auto"/>
        </w:rPr>
        <w:t>complying health insurance policy</w:t>
      </w:r>
      <w:r w:rsidRPr="00A414A8">
        <w:rPr>
          <w:color w:val="auto"/>
        </w:rPr>
        <w:br/>
        <w:t>covers</w:t>
      </w:r>
      <w:r w:rsidRPr="00A414A8">
        <w:rPr>
          <w:color w:val="auto"/>
        </w:rPr>
        <w:br/>
        <w:t>employee health benefits scheme</w:t>
      </w:r>
      <w:r w:rsidRPr="00A414A8">
        <w:rPr>
          <w:color w:val="auto"/>
        </w:rPr>
        <w:br/>
      </w:r>
      <w:r w:rsidRPr="00A414A8">
        <w:rPr>
          <w:color w:val="auto"/>
        </w:rPr>
        <w:lastRenderedPageBreak/>
        <w:t>general treatment</w:t>
      </w:r>
      <w:r w:rsidRPr="00A414A8">
        <w:rPr>
          <w:color w:val="auto"/>
        </w:rPr>
        <w:br/>
        <w:t>health benefits fund</w:t>
      </w:r>
      <w:r w:rsidRPr="00A414A8">
        <w:rPr>
          <w:color w:val="auto"/>
        </w:rPr>
        <w:br/>
        <w:t>health insurance business</w:t>
      </w:r>
      <w:r w:rsidRPr="00A414A8">
        <w:rPr>
          <w:color w:val="auto"/>
        </w:rPr>
        <w:br/>
        <w:t>health</w:t>
      </w:r>
      <w:r w:rsidR="00A414A8">
        <w:rPr>
          <w:color w:val="auto"/>
        </w:rPr>
        <w:noBreakHyphen/>
      </w:r>
      <w:r w:rsidRPr="00A414A8">
        <w:rPr>
          <w:color w:val="auto"/>
        </w:rPr>
        <w:t>related business</w:t>
      </w:r>
      <w:r w:rsidRPr="00A414A8">
        <w:rPr>
          <w:color w:val="auto"/>
        </w:rPr>
        <w:br/>
        <w:t>hospital</w:t>
      </w:r>
      <w:r w:rsidRPr="00A414A8">
        <w:rPr>
          <w:color w:val="auto"/>
        </w:rPr>
        <w:br/>
        <w:t>hospital</w:t>
      </w:r>
      <w:r w:rsidR="00A414A8">
        <w:rPr>
          <w:color w:val="auto"/>
        </w:rPr>
        <w:noBreakHyphen/>
      </w:r>
      <w:r w:rsidRPr="00A414A8">
        <w:rPr>
          <w:color w:val="auto"/>
        </w:rPr>
        <w:t>substitute treatment</w:t>
      </w:r>
      <w:r w:rsidRPr="00A414A8">
        <w:rPr>
          <w:color w:val="auto"/>
        </w:rPr>
        <w:br/>
        <w:t>hospital treatment</w:t>
      </w:r>
      <w:r w:rsidRPr="00A414A8">
        <w:rPr>
          <w:color w:val="auto"/>
        </w:rPr>
        <w:br/>
        <w:t>medicare benefit</w:t>
      </w:r>
      <w:r w:rsidRPr="00A414A8">
        <w:rPr>
          <w:color w:val="auto"/>
        </w:rPr>
        <w:br/>
        <w:t>private health insurer</w:t>
      </w:r>
    </w:p>
    <w:p w:rsidR="00322F42" w:rsidRPr="00A414A8" w:rsidRDefault="00322F42" w:rsidP="00322F42">
      <w:pPr>
        <w:pStyle w:val="HealthLevel1"/>
        <w:rPr>
          <w:color w:val="auto"/>
        </w:rPr>
      </w:pPr>
    </w:p>
    <w:p w:rsidR="00452C7C" w:rsidRPr="00A414A8" w:rsidRDefault="00452C7C" w:rsidP="00452C7C">
      <w:pPr>
        <w:pStyle w:val="Heading1NoNum"/>
      </w:pPr>
      <w:bookmarkStart w:id="6" w:name="_Toc76629962"/>
      <w:bookmarkStart w:id="7" w:name="_Ref155270219"/>
      <w:bookmarkStart w:id="8" w:name="_Ref156901843"/>
      <w:r w:rsidRPr="00A414A8">
        <w:lastRenderedPageBreak/>
        <w:t>Part 2</w:t>
      </w:r>
      <w:r w:rsidRPr="00A414A8">
        <w:tab/>
        <w:t>Hospitals</w:t>
      </w:r>
      <w:bookmarkEnd w:id="6"/>
    </w:p>
    <w:p w:rsidR="00452C7C" w:rsidRPr="00A414A8" w:rsidRDefault="00D2030B" w:rsidP="00D2030B">
      <w:pPr>
        <w:pStyle w:val="Heading1"/>
        <w:keepLines w:val="0"/>
        <w:tabs>
          <w:tab w:val="left" w:pos="850"/>
        </w:tabs>
        <w:autoSpaceDE w:val="0"/>
        <w:autoSpaceDN w:val="0"/>
        <w:spacing w:before="360"/>
        <w:ind w:left="850" w:hanging="850"/>
        <w:rPr>
          <w:rFonts w:ascii="Arial" w:hAnsi="Arial" w:cs="Arial"/>
          <w:sz w:val="24"/>
          <w:szCs w:val="24"/>
        </w:rPr>
      </w:pPr>
      <w:bookmarkStart w:id="9" w:name="_Ref155203081"/>
      <w:bookmarkStart w:id="10" w:name="_Ref156792325"/>
      <w:bookmarkStart w:id="11" w:name="_Toc76629963"/>
      <w:r w:rsidRPr="00A414A8">
        <w:rPr>
          <w:rFonts w:ascii="Arial" w:hAnsi="Arial" w:cs="Arial"/>
          <w:sz w:val="24"/>
          <w:szCs w:val="24"/>
        </w:rPr>
        <w:t>4.</w:t>
      </w:r>
      <w:r w:rsidRPr="00A414A8">
        <w:rPr>
          <w:rFonts w:ascii="Arial" w:hAnsi="Arial" w:cs="Arial"/>
          <w:sz w:val="24"/>
          <w:szCs w:val="24"/>
        </w:rPr>
        <w:tab/>
      </w:r>
      <w:r w:rsidR="00452C7C" w:rsidRPr="00A414A8">
        <w:rPr>
          <w:rFonts w:ascii="Arial" w:hAnsi="Arial" w:cs="Arial"/>
          <w:sz w:val="24"/>
          <w:szCs w:val="24"/>
        </w:rPr>
        <w:t>Information to be provided</w:t>
      </w:r>
      <w:bookmarkEnd w:id="9"/>
      <w:r w:rsidR="00452C7C" w:rsidRPr="00A414A8">
        <w:rPr>
          <w:rFonts w:ascii="Arial" w:hAnsi="Arial" w:cs="Arial"/>
          <w:sz w:val="24"/>
          <w:szCs w:val="24"/>
        </w:rPr>
        <w:t xml:space="preserve"> by hospitals to insurers</w:t>
      </w:r>
      <w:bookmarkEnd w:id="10"/>
      <w:bookmarkEnd w:id="11"/>
    </w:p>
    <w:p w:rsidR="006D393E" w:rsidRPr="00A414A8" w:rsidRDefault="00D2030B" w:rsidP="006D393E">
      <w:pPr>
        <w:pStyle w:val="HealthnumLevel5"/>
        <w:numPr>
          <w:ilvl w:val="0"/>
          <w:numId w:val="0"/>
        </w:numPr>
        <w:tabs>
          <w:tab w:val="left" w:pos="850"/>
        </w:tabs>
        <w:autoSpaceDE w:val="0"/>
        <w:autoSpaceDN w:val="0"/>
        <w:ind w:left="851" w:hanging="510"/>
      </w:pPr>
      <w:bookmarkStart w:id="12" w:name="_Ref155203084"/>
      <w:r w:rsidRPr="00A414A8">
        <w:t>(1)</w:t>
      </w:r>
      <w:r w:rsidRPr="00A414A8">
        <w:tab/>
      </w:r>
      <w:r w:rsidR="00452C7C" w:rsidRPr="00A414A8">
        <w:t>For paragraph 121</w:t>
      </w:r>
      <w:r w:rsidR="00A414A8">
        <w:noBreakHyphen/>
      </w:r>
      <w:r w:rsidR="00452C7C" w:rsidRPr="00A414A8">
        <w:t>5 (7) (e) of the Act, information of the kind described in the HCP Data from Hospitals to Insurers relating to treatment of insured persons is specified.</w:t>
      </w:r>
    </w:p>
    <w:p w:rsidR="00331BE6" w:rsidRPr="00A414A8" w:rsidRDefault="006D393E" w:rsidP="006D393E">
      <w:pPr>
        <w:pStyle w:val="HealthnumLevel5"/>
        <w:numPr>
          <w:ilvl w:val="0"/>
          <w:numId w:val="0"/>
        </w:numPr>
        <w:tabs>
          <w:tab w:val="left" w:pos="850"/>
        </w:tabs>
        <w:autoSpaceDE w:val="0"/>
        <w:autoSpaceDN w:val="0"/>
        <w:ind w:left="851" w:hanging="510"/>
      </w:pPr>
      <w:r w:rsidRPr="00A414A8">
        <w:t>(2)</w:t>
      </w:r>
      <w:r w:rsidRPr="00A414A8">
        <w:tab/>
      </w:r>
      <w:r w:rsidR="00331BE6" w:rsidRPr="00A414A8">
        <w:t xml:space="preserve">In this rule, </w:t>
      </w:r>
      <w:r w:rsidR="00331BE6" w:rsidRPr="00A414A8">
        <w:rPr>
          <w:b/>
          <w:i/>
        </w:rPr>
        <w:t>HCP Data from Hospitals to Insurers</w:t>
      </w:r>
      <w:r w:rsidR="00331BE6" w:rsidRPr="00A414A8">
        <w:t xml:space="preserve"> means the protocol set out in the document approved by the Assistant Secretary of the Data and Analytics Branch of the Department of Health on 6 May 2022 which consists of “Data Specifications (HCP)” and “Explanatory Notes (HCP)”, and sets out the data specifications for data provided by hospitals to private health insurers.</w:t>
      </w:r>
    </w:p>
    <w:p w:rsidR="00452C7C" w:rsidRPr="00A414A8" w:rsidRDefault="00D2030B" w:rsidP="00047AD0">
      <w:pPr>
        <w:pStyle w:val="HealthnumLevel5"/>
        <w:numPr>
          <w:ilvl w:val="0"/>
          <w:numId w:val="0"/>
        </w:numPr>
        <w:tabs>
          <w:tab w:val="left" w:pos="850"/>
        </w:tabs>
        <w:autoSpaceDE w:val="0"/>
        <w:autoSpaceDN w:val="0"/>
        <w:ind w:left="850" w:hanging="510"/>
      </w:pPr>
      <w:r w:rsidRPr="00A414A8">
        <w:t>(3)</w:t>
      </w:r>
      <w:r w:rsidRPr="00A414A8">
        <w:tab/>
      </w:r>
      <w:r w:rsidR="00452C7C" w:rsidRPr="00A414A8">
        <w:t>For the purposes of interpreting the kinds of information to be provided with respect to “Data Specifications (HCP)”, reference must be made to “Explanatory Notes (HCP)”.</w:t>
      </w:r>
    </w:p>
    <w:p w:rsidR="00452C7C" w:rsidRPr="00A414A8" w:rsidRDefault="00D2030B" w:rsidP="00D2030B">
      <w:pPr>
        <w:pStyle w:val="Heading1"/>
        <w:keepLines w:val="0"/>
        <w:tabs>
          <w:tab w:val="left" w:pos="850"/>
        </w:tabs>
        <w:autoSpaceDE w:val="0"/>
        <w:autoSpaceDN w:val="0"/>
        <w:spacing w:before="360"/>
        <w:ind w:left="850" w:hanging="850"/>
        <w:rPr>
          <w:rFonts w:ascii="Arial" w:hAnsi="Arial" w:cs="Arial"/>
          <w:sz w:val="24"/>
          <w:szCs w:val="24"/>
        </w:rPr>
      </w:pPr>
      <w:bookmarkStart w:id="13" w:name="_Ref156296960"/>
      <w:bookmarkStart w:id="14" w:name="_Toc76629964"/>
      <w:bookmarkEnd w:id="12"/>
      <w:r w:rsidRPr="00A414A8">
        <w:rPr>
          <w:rFonts w:ascii="Arial" w:hAnsi="Arial" w:cs="Arial"/>
          <w:sz w:val="24"/>
          <w:szCs w:val="24"/>
        </w:rPr>
        <w:t>5.</w:t>
      </w:r>
      <w:r w:rsidRPr="00A414A8">
        <w:rPr>
          <w:sz w:val="24"/>
          <w:szCs w:val="24"/>
        </w:rPr>
        <w:tab/>
      </w:r>
      <w:r w:rsidR="00452C7C" w:rsidRPr="00A414A8">
        <w:rPr>
          <w:rFonts w:ascii="Arial" w:hAnsi="Arial" w:cs="Arial"/>
          <w:sz w:val="24"/>
          <w:szCs w:val="24"/>
        </w:rPr>
        <w:t>Matters to which the Minister is to have regard in declaring that a facility is a hospital</w:t>
      </w:r>
      <w:bookmarkEnd w:id="13"/>
      <w:bookmarkEnd w:id="14"/>
    </w:p>
    <w:p w:rsidR="00452C7C" w:rsidRPr="00A414A8" w:rsidRDefault="00452C7C" w:rsidP="00452C7C">
      <w:pPr>
        <w:pStyle w:val="HealthLevel1"/>
        <w:rPr>
          <w:color w:val="auto"/>
        </w:rPr>
      </w:pPr>
      <w:bookmarkStart w:id="15" w:name="_Ref156296961"/>
      <w:r w:rsidRPr="00A414A8">
        <w:rPr>
          <w:color w:val="auto"/>
        </w:rPr>
        <w:t>For paragraph 121</w:t>
      </w:r>
      <w:r w:rsidR="00A414A8">
        <w:rPr>
          <w:color w:val="auto"/>
        </w:rPr>
        <w:noBreakHyphen/>
      </w:r>
      <w:r w:rsidRPr="00A414A8">
        <w:rPr>
          <w:color w:val="auto"/>
        </w:rPr>
        <w:t>5 (7) (f) of the Act, in deciding whether to declare that a facility is a hospital, the following matters are specified:</w:t>
      </w:r>
      <w:bookmarkEnd w:id="15"/>
    </w:p>
    <w:p w:rsidR="00452C7C"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(a)</w:t>
      </w:r>
      <w:r w:rsidRPr="00A414A8">
        <w:rPr>
          <w:color w:val="auto"/>
        </w:rPr>
        <w:tab/>
      </w:r>
      <w:r w:rsidR="00452C7C" w:rsidRPr="00A414A8">
        <w:rPr>
          <w:color w:val="auto"/>
        </w:rPr>
        <w:t>in the case of a private facility, whether or not declaration of the premises would materially affect reasonable access by public patients to a reasonable range of services; and</w:t>
      </w:r>
    </w:p>
    <w:p w:rsidR="00452C7C"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(b)</w:t>
      </w:r>
      <w:r w:rsidRPr="00A414A8">
        <w:rPr>
          <w:color w:val="auto"/>
        </w:rPr>
        <w:tab/>
      </w:r>
      <w:r w:rsidR="00452C7C" w:rsidRPr="00A414A8">
        <w:rPr>
          <w:color w:val="auto"/>
        </w:rPr>
        <w:t>whether or not declaration of the premises would result in a transfer of costs from the State or Territory to any other party; and</w:t>
      </w:r>
    </w:p>
    <w:p w:rsidR="00452C7C"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(c)</w:t>
      </w:r>
      <w:r w:rsidRPr="00A414A8">
        <w:rPr>
          <w:color w:val="auto"/>
        </w:rPr>
        <w:tab/>
      </w:r>
      <w:r w:rsidR="00452C7C" w:rsidRPr="00A414A8">
        <w:rPr>
          <w:color w:val="auto"/>
        </w:rPr>
        <w:t>in the case of a private facility which was previously part of a public hospital, operated as a public hospital or was co</w:t>
      </w:r>
      <w:r w:rsidR="00A414A8">
        <w:rPr>
          <w:color w:val="auto"/>
        </w:rPr>
        <w:noBreakHyphen/>
      </w:r>
      <w:r w:rsidR="00452C7C" w:rsidRPr="00A414A8">
        <w:rPr>
          <w:color w:val="auto"/>
        </w:rPr>
        <w:t>located with a public hospital operated by a State or Territory, the adequacy of arrangements in that public hospital to ensure that patients presenting for treatment are able to exercise freely their right to elect to be treated as a public patient in that facility; and</w:t>
      </w:r>
    </w:p>
    <w:p w:rsidR="00452C7C"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bookmarkStart w:id="16" w:name="_Ref156297903"/>
      <w:r w:rsidRPr="00A414A8">
        <w:rPr>
          <w:color w:val="auto"/>
        </w:rPr>
        <w:t>(d)</w:t>
      </w:r>
      <w:r w:rsidRPr="00A414A8">
        <w:rPr>
          <w:color w:val="auto"/>
        </w:rPr>
        <w:tab/>
      </w:r>
      <w:r w:rsidR="00452C7C" w:rsidRPr="00A414A8">
        <w:rPr>
          <w:color w:val="auto"/>
        </w:rPr>
        <w:t>in the case of a private facility which was previously part of a public hospital, operated as a public hospital or co</w:t>
      </w:r>
      <w:r w:rsidR="00A414A8">
        <w:rPr>
          <w:color w:val="auto"/>
        </w:rPr>
        <w:noBreakHyphen/>
      </w:r>
      <w:r w:rsidR="00452C7C" w:rsidRPr="00A414A8">
        <w:rPr>
          <w:color w:val="auto"/>
        </w:rPr>
        <w:t>located with a public hospital operated by a State or Territory, whether or not the State or Territory and the licensee of the hospital have entered into or are prepared to enter into enforceable agreements with the Commonwealth to supply data or information to the Commonwealth to allow the Commonwealth to monitor access by public patients to a reasonable range of services, the adequacy of arrangements for patient election as to treatment as a public or private patient, the costs to the State/Territory and any other party, and the extent to which costs incurred by other parties are increasing or decreasing</w:t>
      </w:r>
      <w:bookmarkEnd w:id="16"/>
      <w:r w:rsidR="00452C7C" w:rsidRPr="00A414A8">
        <w:rPr>
          <w:color w:val="auto"/>
        </w:rPr>
        <w:t>.</w:t>
      </w:r>
    </w:p>
    <w:p w:rsidR="00452C7C" w:rsidRPr="00A414A8" w:rsidRDefault="00D2030B" w:rsidP="00D2030B">
      <w:pPr>
        <w:pStyle w:val="Heading1"/>
        <w:keepLines w:val="0"/>
        <w:tabs>
          <w:tab w:val="left" w:pos="850"/>
        </w:tabs>
        <w:autoSpaceDE w:val="0"/>
        <w:autoSpaceDN w:val="0"/>
        <w:spacing w:before="360"/>
        <w:ind w:left="850" w:hanging="850"/>
        <w:rPr>
          <w:rFonts w:ascii="Arial" w:hAnsi="Arial" w:cs="Arial"/>
          <w:sz w:val="24"/>
          <w:szCs w:val="24"/>
        </w:rPr>
      </w:pPr>
      <w:bookmarkStart w:id="17" w:name="_Ref156296974"/>
      <w:bookmarkStart w:id="18" w:name="_Toc76629965"/>
      <w:r w:rsidRPr="00A414A8">
        <w:rPr>
          <w:rFonts w:ascii="Arial" w:hAnsi="Arial" w:cs="Arial"/>
          <w:sz w:val="24"/>
          <w:szCs w:val="24"/>
        </w:rPr>
        <w:lastRenderedPageBreak/>
        <w:t>6.</w:t>
      </w:r>
      <w:r w:rsidRPr="00A414A8">
        <w:rPr>
          <w:rFonts w:ascii="Arial" w:hAnsi="Arial" w:cs="Arial"/>
          <w:sz w:val="24"/>
          <w:szCs w:val="24"/>
        </w:rPr>
        <w:tab/>
      </w:r>
      <w:r w:rsidR="00452C7C" w:rsidRPr="00A414A8">
        <w:rPr>
          <w:rFonts w:ascii="Arial" w:hAnsi="Arial" w:cs="Arial"/>
          <w:sz w:val="24"/>
          <w:szCs w:val="24"/>
        </w:rPr>
        <w:t>Matters to which the Minister is to have regard in revoking a declaration that a facility is a hospital</w:t>
      </w:r>
      <w:bookmarkEnd w:id="17"/>
      <w:bookmarkEnd w:id="18"/>
    </w:p>
    <w:p w:rsidR="00452C7C" w:rsidRPr="00A414A8" w:rsidRDefault="00452C7C" w:rsidP="00452C7C">
      <w:pPr>
        <w:pStyle w:val="HealthLevel1"/>
        <w:rPr>
          <w:color w:val="auto"/>
        </w:rPr>
      </w:pPr>
      <w:bookmarkStart w:id="19" w:name="_Ref156296976"/>
      <w:r w:rsidRPr="00A414A8">
        <w:rPr>
          <w:color w:val="auto"/>
        </w:rPr>
        <w:t>For paragraph 121</w:t>
      </w:r>
      <w:r w:rsidR="00A414A8">
        <w:rPr>
          <w:color w:val="auto"/>
        </w:rPr>
        <w:noBreakHyphen/>
      </w:r>
      <w:r w:rsidRPr="00A414A8">
        <w:rPr>
          <w:color w:val="auto"/>
        </w:rPr>
        <w:t>5 (7) (f) of the Act, in deciding whether to revoke a declaration that a facility is a hospital, the following matters are specified:</w:t>
      </w:r>
      <w:bookmarkEnd w:id="19"/>
    </w:p>
    <w:p w:rsidR="00452C7C"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(a)</w:t>
      </w:r>
      <w:r w:rsidRPr="00A414A8">
        <w:rPr>
          <w:color w:val="auto"/>
        </w:rPr>
        <w:tab/>
      </w:r>
      <w:r w:rsidR="00452C7C" w:rsidRPr="00A414A8">
        <w:rPr>
          <w:color w:val="auto"/>
        </w:rPr>
        <w:t>if an undertaking has been provided by the facility's operator to provide to private health insurers information referred to in paragraph 121</w:t>
      </w:r>
      <w:r w:rsidR="00A414A8">
        <w:rPr>
          <w:color w:val="auto"/>
        </w:rPr>
        <w:noBreakHyphen/>
      </w:r>
      <w:r w:rsidR="00452C7C" w:rsidRPr="00A414A8">
        <w:rPr>
          <w:color w:val="auto"/>
        </w:rPr>
        <w:t>5 (7) (e) of the Act, whether that information has been provided within 6 weeks after the insured person to whom the information relates has been discharged from the hospital; and</w:t>
      </w:r>
    </w:p>
    <w:p w:rsidR="00452C7C"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(b)</w:t>
      </w:r>
      <w:r w:rsidRPr="00A414A8">
        <w:rPr>
          <w:color w:val="auto"/>
        </w:rPr>
        <w:tab/>
      </w:r>
      <w:r w:rsidR="00452C7C" w:rsidRPr="00A414A8">
        <w:rPr>
          <w:color w:val="auto"/>
        </w:rPr>
        <w:t>whether an enforceable agreement referred to in paragraph </w:t>
      </w:r>
      <w:r w:rsidR="00AC30FC" w:rsidRPr="00A414A8">
        <w:rPr>
          <w:color w:val="auto"/>
        </w:rPr>
        <w:t xml:space="preserve">5 (d) </w:t>
      </w:r>
      <w:r w:rsidR="00452C7C" w:rsidRPr="00A414A8">
        <w:rPr>
          <w:color w:val="auto"/>
        </w:rPr>
        <w:t>has been complied with.</w:t>
      </w:r>
    </w:p>
    <w:p w:rsidR="00452C7C" w:rsidRPr="00A414A8" w:rsidRDefault="00D2030B" w:rsidP="00D2030B">
      <w:pPr>
        <w:pStyle w:val="Heading1"/>
        <w:keepLines w:val="0"/>
        <w:tabs>
          <w:tab w:val="left" w:pos="850"/>
        </w:tabs>
        <w:autoSpaceDE w:val="0"/>
        <w:autoSpaceDN w:val="0"/>
        <w:spacing w:before="360"/>
        <w:ind w:left="850" w:hanging="850"/>
        <w:rPr>
          <w:rFonts w:ascii="Arial" w:hAnsi="Arial" w:cs="Arial"/>
          <w:sz w:val="24"/>
          <w:szCs w:val="24"/>
        </w:rPr>
      </w:pPr>
      <w:bookmarkStart w:id="20" w:name="_Toc76629966"/>
      <w:r w:rsidRPr="00A414A8">
        <w:rPr>
          <w:rFonts w:ascii="Arial" w:hAnsi="Arial" w:cs="Arial"/>
          <w:sz w:val="24"/>
          <w:szCs w:val="24"/>
        </w:rPr>
        <w:t>7.</w:t>
      </w:r>
      <w:r w:rsidRPr="00A414A8">
        <w:rPr>
          <w:rFonts w:ascii="Arial" w:hAnsi="Arial" w:cs="Arial"/>
          <w:sz w:val="24"/>
          <w:szCs w:val="24"/>
        </w:rPr>
        <w:tab/>
      </w:r>
      <w:r w:rsidR="00452C7C" w:rsidRPr="00A414A8">
        <w:rPr>
          <w:rFonts w:ascii="Arial" w:hAnsi="Arial" w:cs="Arial"/>
          <w:sz w:val="24"/>
          <w:szCs w:val="24"/>
        </w:rPr>
        <w:t>Conditions on declarations of hospitals</w:t>
      </w:r>
      <w:bookmarkEnd w:id="20"/>
    </w:p>
    <w:p w:rsidR="00452C7C" w:rsidRPr="00A414A8" w:rsidRDefault="00D2030B" w:rsidP="00D2030B">
      <w:pPr>
        <w:pStyle w:val="HealthnumLevel5"/>
        <w:numPr>
          <w:ilvl w:val="0"/>
          <w:numId w:val="0"/>
        </w:numPr>
        <w:tabs>
          <w:tab w:val="left" w:pos="936"/>
        </w:tabs>
        <w:autoSpaceDE w:val="0"/>
        <w:autoSpaceDN w:val="0"/>
        <w:ind w:left="936" w:hanging="510"/>
      </w:pPr>
      <w:r w:rsidRPr="00A414A8">
        <w:t>(1)</w:t>
      </w:r>
      <w:r w:rsidRPr="00A414A8">
        <w:tab/>
      </w:r>
      <w:r w:rsidR="00452C7C" w:rsidRPr="00A414A8">
        <w:t>For subsection 121</w:t>
      </w:r>
      <w:r w:rsidR="00A414A8">
        <w:noBreakHyphen/>
      </w:r>
      <w:r w:rsidR="00452C7C" w:rsidRPr="00A414A8">
        <w:t>7 (2) of the Act, a declaration under paragraph 121</w:t>
      </w:r>
      <w:r w:rsidR="00A414A8">
        <w:noBreakHyphen/>
      </w:r>
      <w:r w:rsidR="00452C7C" w:rsidRPr="00A414A8">
        <w:t>5 (6) (a) of the Act is subject to the conditions specified for this rule.</w:t>
      </w:r>
    </w:p>
    <w:p w:rsidR="00452C7C" w:rsidRPr="00A414A8" w:rsidRDefault="00D2030B" w:rsidP="00D2030B">
      <w:pPr>
        <w:pStyle w:val="HealthnumLevel5"/>
        <w:numPr>
          <w:ilvl w:val="0"/>
          <w:numId w:val="0"/>
        </w:numPr>
        <w:tabs>
          <w:tab w:val="left" w:pos="936"/>
        </w:tabs>
        <w:autoSpaceDE w:val="0"/>
        <w:autoSpaceDN w:val="0"/>
        <w:ind w:left="936" w:hanging="510"/>
      </w:pPr>
      <w:r w:rsidRPr="00A414A8">
        <w:t>(2)</w:t>
      </w:r>
      <w:r w:rsidRPr="00A414A8">
        <w:tab/>
      </w:r>
      <w:r w:rsidR="00452C7C" w:rsidRPr="00A414A8">
        <w:t>In the case of a private hospital, the conditions specified for this rule are that the hospital:</w:t>
      </w:r>
    </w:p>
    <w:p w:rsidR="00452C7C"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(a)</w:t>
      </w:r>
      <w:r w:rsidRPr="00A414A8">
        <w:rPr>
          <w:color w:val="auto"/>
        </w:rPr>
        <w:tab/>
      </w:r>
      <w:r w:rsidR="00452C7C" w:rsidRPr="00A414A8">
        <w:rPr>
          <w:color w:val="auto"/>
        </w:rPr>
        <w:t>provide to the Department de</w:t>
      </w:r>
      <w:r w:rsidR="00A414A8">
        <w:rPr>
          <w:color w:val="auto"/>
        </w:rPr>
        <w:noBreakHyphen/>
      </w:r>
      <w:r w:rsidR="00452C7C" w:rsidRPr="00A414A8">
        <w:rPr>
          <w:color w:val="auto"/>
        </w:rPr>
        <w:t xml:space="preserve">identified patient data specified in the </w:t>
      </w:r>
      <w:r w:rsidR="00452C7C" w:rsidRPr="00A414A8">
        <w:t>PHDB Data from Private Hospitals to the Department</w:t>
      </w:r>
      <w:r w:rsidR="00452C7C" w:rsidRPr="00A414A8">
        <w:rPr>
          <w:color w:val="auto"/>
        </w:rPr>
        <w:t>; and</w:t>
      </w:r>
    </w:p>
    <w:p w:rsidR="00452C7C"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(b)</w:t>
      </w:r>
      <w:r w:rsidRPr="00A414A8">
        <w:rPr>
          <w:color w:val="auto"/>
        </w:rPr>
        <w:tab/>
      </w:r>
      <w:r w:rsidR="00452C7C" w:rsidRPr="00A414A8">
        <w:rPr>
          <w:color w:val="auto"/>
        </w:rPr>
        <w:t xml:space="preserve">provide the data specified in the </w:t>
      </w:r>
      <w:r w:rsidR="00452C7C" w:rsidRPr="00A414A8">
        <w:t>PHDB Data from Private Hospitals to the Department</w:t>
      </w:r>
      <w:r w:rsidR="00452C7C" w:rsidRPr="00A414A8">
        <w:rPr>
          <w:color w:val="auto"/>
        </w:rPr>
        <w:t xml:space="preserve"> within 6 weeks after the insured person to whom the information relates has been discharged from the hospital; and</w:t>
      </w:r>
    </w:p>
    <w:p w:rsidR="00452C7C"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(c)</w:t>
      </w:r>
      <w:r w:rsidRPr="00A414A8">
        <w:rPr>
          <w:color w:val="auto"/>
        </w:rPr>
        <w:tab/>
      </w:r>
      <w:r w:rsidR="00452C7C" w:rsidRPr="00A414A8">
        <w:rPr>
          <w:color w:val="auto"/>
        </w:rPr>
        <w:t>if the hospital provides triage and early treatment to a person in a situation of emergency, that the hospital subsequently:</w:t>
      </w:r>
    </w:p>
    <w:p w:rsidR="00452C7C"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w:t>
      </w:r>
      <w:r w:rsidRPr="00A414A8">
        <w:rPr>
          <w:color w:val="auto"/>
        </w:rPr>
        <w:tab/>
      </w:r>
      <w:r w:rsidR="00452C7C" w:rsidRPr="00A414A8">
        <w:rPr>
          <w:color w:val="auto"/>
        </w:rPr>
        <w:t>provides reasonable access to an appropriate range of services for the treatment of the person; or</w:t>
      </w:r>
    </w:p>
    <w:p w:rsidR="006D393E" w:rsidRPr="00A414A8" w:rsidRDefault="00D2030B" w:rsidP="00F90C70">
      <w:pPr>
        <w:pStyle w:val="HealthnumLevel3"/>
        <w:numPr>
          <w:ilvl w:val="0"/>
          <w:numId w:val="0"/>
        </w:numPr>
        <w:tabs>
          <w:tab w:val="left" w:pos="2551"/>
        </w:tabs>
        <w:autoSpaceDE w:val="0"/>
        <w:autoSpaceDN w:val="0"/>
        <w:ind w:left="2551" w:hanging="850"/>
      </w:pPr>
      <w:r w:rsidRPr="00A414A8">
        <w:t>(ii)</w:t>
      </w:r>
      <w:r w:rsidRPr="00A414A8">
        <w:tab/>
      </w:r>
      <w:r w:rsidR="00452C7C" w:rsidRPr="00A414A8">
        <w:t>has arrangements for the transfer of the person, within a reasonable time, to a hospital where such services are available.</w:t>
      </w:r>
    </w:p>
    <w:p w:rsidR="006D393E" w:rsidRPr="00A414A8" w:rsidRDefault="006D393E" w:rsidP="006D393E">
      <w:pPr>
        <w:pStyle w:val="HealthnumLevel5"/>
        <w:numPr>
          <w:ilvl w:val="0"/>
          <w:numId w:val="0"/>
        </w:numPr>
        <w:ind w:left="935" w:hanging="510"/>
      </w:pPr>
      <w:r w:rsidRPr="00A414A8">
        <w:t>(3)</w:t>
      </w:r>
      <w:r w:rsidRPr="00A414A8">
        <w:tab/>
        <w:t xml:space="preserve">In this rule, </w:t>
      </w:r>
      <w:r w:rsidRPr="00A414A8">
        <w:rPr>
          <w:b/>
          <w:i/>
        </w:rPr>
        <w:t>PHDB Data from Private Hospitals to the Department</w:t>
      </w:r>
      <w:r w:rsidRPr="00A414A8">
        <w:t xml:space="preserve"> means the protocol set out in the document approved by the Assistant Secretary of the Data and Analytics Branch of the Department of Health on 6 May 2022 which consists of “Data Specifications (PHDB)” and “Explanatory Notes (PHDB)”, and sets out the data specifications for data provided by private hospitals to the Department.</w:t>
      </w:r>
    </w:p>
    <w:p w:rsidR="00452C7C" w:rsidRPr="00A414A8" w:rsidRDefault="00D2030B" w:rsidP="00D2030B">
      <w:pPr>
        <w:pStyle w:val="HealthnumLevel5"/>
        <w:numPr>
          <w:ilvl w:val="0"/>
          <w:numId w:val="0"/>
        </w:numPr>
        <w:tabs>
          <w:tab w:val="left" w:pos="936"/>
        </w:tabs>
        <w:autoSpaceDE w:val="0"/>
        <w:autoSpaceDN w:val="0"/>
        <w:ind w:left="936" w:hanging="510"/>
      </w:pPr>
      <w:r w:rsidRPr="00A414A8">
        <w:t>(4)</w:t>
      </w:r>
      <w:r w:rsidRPr="00A414A8">
        <w:tab/>
      </w:r>
      <w:r w:rsidR="00452C7C" w:rsidRPr="00A414A8">
        <w:t>For the purposes of interpreting the kinds of information to be provided with respect to “Data Specifications (PHDB)”, reference must be made to “Explanatory Notes (PHDB)”.</w:t>
      </w:r>
    </w:p>
    <w:p w:rsidR="00363CC0" w:rsidRPr="00A414A8" w:rsidRDefault="00C22730" w:rsidP="00BF3C4D">
      <w:pPr>
        <w:pStyle w:val="Heading1NoNum"/>
      </w:pPr>
      <w:bookmarkStart w:id="21" w:name="_Toc76629967"/>
      <w:r w:rsidRPr="00A414A8">
        <w:lastRenderedPageBreak/>
        <w:t>Part 2A</w:t>
      </w:r>
      <w:r w:rsidRPr="00A414A8">
        <w:tab/>
        <w:t>Second</w:t>
      </w:r>
      <w:r w:rsidR="00A414A8">
        <w:noBreakHyphen/>
      </w:r>
      <w:r w:rsidRPr="00A414A8">
        <w:t>tier eligible hospitals class</w:t>
      </w:r>
      <w:bookmarkEnd w:id="21"/>
    </w:p>
    <w:p w:rsidR="00C22730" w:rsidRPr="00A414A8" w:rsidRDefault="00C22730" w:rsidP="004430AF">
      <w:pPr>
        <w:pStyle w:val="Heading1"/>
        <w:spacing w:before="360"/>
        <w:rPr>
          <w:rFonts w:ascii="Arial" w:hAnsi="Arial" w:cs="Arial"/>
          <w:sz w:val="24"/>
          <w:szCs w:val="24"/>
        </w:rPr>
      </w:pPr>
      <w:bookmarkStart w:id="22" w:name="_Toc76629968"/>
      <w:r w:rsidRPr="00A414A8">
        <w:rPr>
          <w:rFonts w:ascii="Arial" w:hAnsi="Arial" w:cs="Arial"/>
          <w:sz w:val="24"/>
          <w:szCs w:val="24"/>
        </w:rPr>
        <w:t>7A</w:t>
      </w:r>
      <w:r w:rsidR="00363CC0" w:rsidRPr="00A414A8">
        <w:rPr>
          <w:rFonts w:ascii="Arial" w:hAnsi="Arial" w:cs="Arial"/>
          <w:sz w:val="24"/>
          <w:szCs w:val="24"/>
        </w:rPr>
        <w:t>.</w:t>
      </w:r>
      <w:r w:rsidR="00363CC0" w:rsidRPr="00A414A8">
        <w:rPr>
          <w:rFonts w:ascii="Arial" w:hAnsi="Arial" w:cs="Arial"/>
          <w:sz w:val="24"/>
          <w:szCs w:val="24"/>
        </w:rPr>
        <w:tab/>
      </w:r>
      <w:r w:rsidRPr="00A414A8">
        <w:rPr>
          <w:rFonts w:ascii="Arial" w:hAnsi="Arial" w:cs="Arial"/>
          <w:sz w:val="24"/>
          <w:szCs w:val="24"/>
        </w:rPr>
        <w:t>Second</w:t>
      </w:r>
      <w:r w:rsidR="00A414A8">
        <w:rPr>
          <w:rFonts w:ascii="Arial" w:hAnsi="Arial" w:cs="Arial"/>
          <w:sz w:val="24"/>
          <w:szCs w:val="24"/>
        </w:rPr>
        <w:noBreakHyphen/>
      </w:r>
      <w:r w:rsidRPr="00A414A8">
        <w:rPr>
          <w:rFonts w:ascii="Arial" w:hAnsi="Arial" w:cs="Arial"/>
          <w:sz w:val="24"/>
          <w:szCs w:val="24"/>
        </w:rPr>
        <w:t>tier eligible hospitals class</w:t>
      </w:r>
      <w:bookmarkEnd w:id="22"/>
    </w:p>
    <w:p w:rsidR="00C22730" w:rsidRPr="00A414A8" w:rsidRDefault="00C22730" w:rsidP="00BF3C4D">
      <w:pPr>
        <w:pStyle w:val="subsection"/>
        <w:keepNext/>
      </w:pPr>
      <w:r w:rsidRPr="00A414A8">
        <w:tab/>
      </w:r>
      <w:r w:rsidRPr="00A414A8">
        <w:tab/>
        <w:t>For the purposes of subsection 121</w:t>
      </w:r>
      <w:r w:rsidR="00A414A8">
        <w:noBreakHyphen/>
      </w:r>
      <w:r w:rsidRPr="00A414A8">
        <w:t>8 (1) of the Act, second</w:t>
      </w:r>
      <w:r w:rsidR="00A414A8">
        <w:noBreakHyphen/>
      </w:r>
      <w:r w:rsidRPr="00A414A8">
        <w:t xml:space="preserve">tier eligible hospitals constitutes a class of hospital (the </w:t>
      </w:r>
      <w:r w:rsidRPr="00A414A8">
        <w:rPr>
          <w:b/>
          <w:i/>
        </w:rPr>
        <w:t>second</w:t>
      </w:r>
      <w:r w:rsidR="00A414A8">
        <w:rPr>
          <w:b/>
          <w:i/>
        </w:rPr>
        <w:noBreakHyphen/>
      </w:r>
      <w:r w:rsidRPr="00A414A8">
        <w:rPr>
          <w:b/>
          <w:i/>
        </w:rPr>
        <w:t>tier eligible hospitals class</w:t>
      </w:r>
      <w:r w:rsidRPr="00A414A8">
        <w:t>).</w:t>
      </w:r>
    </w:p>
    <w:p w:rsidR="00C22730" w:rsidRPr="00A414A8" w:rsidRDefault="00C22730" w:rsidP="004430AF">
      <w:pPr>
        <w:pStyle w:val="Heading1"/>
        <w:spacing w:before="360"/>
        <w:rPr>
          <w:rFonts w:ascii="Arial" w:hAnsi="Arial" w:cs="Arial"/>
          <w:sz w:val="24"/>
          <w:szCs w:val="24"/>
        </w:rPr>
      </w:pPr>
      <w:bookmarkStart w:id="23" w:name="_Toc76629969"/>
      <w:r w:rsidRPr="00A414A8">
        <w:rPr>
          <w:rFonts w:ascii="Arial" w:hAnsi="Arial" w:cs="Arial"/>
          <w:sz w:val="24"/>
          <w:szCs w:val="24"/>
        </w:rPr>
        <w:t>7B.</w:t>
      </w:r>
      <w:r w:rsidR="00363CC0" w:rsidRPr="00A414A8">
        <w:rPr>
          <w:rFonts w:ascii="Arial" w:hAnsi="Arial" w:cs="Arial"/>
          <w:sz w:val="24"/>
          <w:szCs w:val="24"/>
        </w:rPr>
        <w:tab/>
      </w:r>
      <w:r w:rsidRPr="00A414A8">
        <w:rPr>
          <w:rFonts w:ascii="Arial" w:hAnsi="Arial" w:cs="Arial"/>
          <w:sz w:val="24"/>
          <w:szCs w:val="24"/>
        </w:rPr>
        <w:t>Application fee</w:t>
      </w:r>
      <w:bookmarkEnd w:id="23"/>
    </w:p>
    <w:p w:rsidR="00DB0F49" w:rsidRPr="00A414A8" w:rsidRDefault="00DB0F49" w:rsidP="004D4D36">
      <w:pPr>
        <w:pStyle w:val="subsection"/>
      </w:pPr>
      <w:r w:rsidRPr="00A414A8">
        <w:tab/>
      </w:r>
      <w:r w:rsidRPr="00A414A8">
        <w:tab/>
        <w:t>For the purposes of paragraph 121</w:t>
      </w:r>
      <w:r w:rsidR="00A414A8">
        <w:noBreakHyphen/>
      </w:r>
      <w:r w:rsidRPr="00A414A8">
        <w:t>8(2)(b) of the Act, the application fee is $900 for each hospital that the application seeks to have included in the second</w:t>
      </w:r>
      <w:r w:rsidR="00A414A8">
        <w:noBreakHyphen/>
      </w:r>
      <w:r w:rsidRPr="00A414A8">
        <w:t>tier eligible hospitals class.</w:t>
      </w:r>
    </w:p>
    <w:p w:rsidR="00C22730" w:rsidRPr="00A414A8" w:rsidRDefault="00C22730" w:rsidP="004430AF">
      <w:pPr>
        <w:pStyle w:val="Heading1"/>
        <w:spacing w:before="360"/>
        <w:rPr>
          <w:rFonts w:ascii="Arial" w:hAnsi="Arial" w:cs="Arial"/>
          <w:sz w:val="24"/>
          <w:szCs w:val="24"/>
        </w:rPr>
      </w:pPr>
      <w:bookmarkStart w:id="24" w:name="_Toc76629970"/>
      <w:r w:rsidRPr="00A414A8">
        <w:rPr>
          <w:rFonts w:ascii="Arial" w:hAnsi="Arial" w:cs="Arial"/>
          <w:sz w:val="24"/>
          <w:szCs w:val="24"/>
        </w:rPr>
        <w:t>7C.</w:t>
      </w:r>
      <w:r w:rsidR="003E0E2B" w:rsidRPr="00A414A8">
        <w:rPr>
          <w:rFonts w:ascii="Arial" w:hAnsi="Arial" w:cs="Arial"/>
          <w:sz w:val="24"/>
          <w:szCs w:val="24"/>
        </w:rPr>
        <w:tab/>
      </w:r>
      <w:r w:rsidRPr="00A414A8">
        <w:rPr>
          <w:rFonts w:ascii="Arial" w:hAnsi="Arial" w:cs="Arial"/>
          <w:sz w:val="24"/>
          <w:szCs w:val="24"/>
        </w:rPr>
        <w:t>Assessment criteria</w:t>
      </w:r>
      <w:bookmarkEnd w:id="24"/>
    </w:p>
    <w:p w:rsidR="00C22730" w:rsidRPr="00A414A8" w:rsidRDefault="00C22730" w:rsidP="00BF3C4D">
      <w:pPr>
        <w:pStyle w:val="subsection"/>
      </w:pPr>
      <w:r w:rsidRPr="00A414A8">
        <w:tab/>
      </w:r>
      <w:r w:rsidRPr="00A414A8">
        <w:tab/>
        <w:t>For the purposes of subsection 121</w:t>
      </w:r>
      <w:r w:rsidR="00A414A8">
        <w:noBreakHyphen/>
      </w:r>
      <w:r w:rsidRPr="00A414A8">
        <w:t>8A (1) of the Act, to be included in the second</w:t>
      </w:r>
      <w:r w:rsidR="00A414A8">
        <w:noBreakHyphen/>
      </w:r>
      <w:r w:rsidRPr="00A414A8">
        <w:t>tier eligible hospitals class, a hospital must:</w:t>
      </w:r>
    </w:p>
    <w:p w:rsidR="00C22730" w:rsidRPr="00A414A8" w:rsidRDefault="00C22730" w:rsidP="00BF3C4D">
      <w:pPr>
        <w:pStyle w:val="paragraph"/>
      </w:pPr>
      <w:r w:rsidRPr="00A414A8">
        <w:tab/>
        <w:t>(a)</w:t>
      </w:r>
      <w:r w:rsidRPr="00A414A8">
        <w:tab/>
        <w:t>be a private hospital; and</w:t>
      </w:r>
    </w:p>
    <w:p w:rsidR="00C22730" w:rsidRPr="00A414A8" w:rsidRDefault="00C22730" w:rsidP="00BF3C4D">
      <w:pPr>
        <w:pStyle w:val="paragraph"/>
      </w:pPr>
      <w:r w:rsidRPr="00A414A8">
        <w:tab/>
        <w:t>(b)</w:t>
      </w:r>
      <w:r w:rsidRPr="00A414A8">
        <w:tab/>
        <w:t>be accredited; and</w:t>
      </w:r>
    </w:p>
    <w:p w:rsidR="00C22730" w:rsidRPr="00A414A8" w:rsidRDefault="00C22730" w:rsidP="00BF3C4D">
      <w:pPr>
        <w:pStyle w:val="paragraph"/>
      </w:pPr>
      <w:r w:rsidRPr="00A414A8">
        <w:tab/>
        <w:t>(c)</w:t>
      </w:r>
      <w:r w:rsidRPr="00A414A8">
        <w:tab/>
        <w:t>not bill patients directly for the minimum benefit payable by the patient’s insurer; and</w:t>
      </w:r>
    </w:p>
    <w:p w:rsidR="00C22730" w:rsidRPr="00A414A8" w:rsidRDefault="00C22730" w:rsidP="00BF3C4D">
      <w:pPr>
        <w:pStyle w:val="paragraph"/>
      </w:pPr>
      <w:r w:rsidRPr="00A414A8">
        <w:tab/>
        <w:t>(d)</w:t>
      </w:r>
      <w:r w:rsidRPr="00A414A8">
        <w:tab/>
        <w:t>make provision for informed financial consent; and</w:t>
      </w:r>
    </w:p>
    <w:p w:rsidR="00C22730" w:rsidRPr="00A414A8" w:rsidRDefault="00C22730" w:rsidP="00BF3C4D">
      <w:pPr>
        <w:pStyle w:val="paragraph"/>
      </w:pPr>
      <w:r w:rsidRPr="00A414A8">
        <w:tab/>
        <w:t>(e)</w:t>
      </w:r>
      <w:r w:rsidRPr="00A414A8">
        <w:tab/>
      </w:r>
      <w:r w:rsidR="00AF31EE" w:rsidRPr="00A414A8">
        <w:t>submit Hospital Casemix Protocol Data to health insurers electronically with every claim for private health insurance benefits.</w:t>
      </w:r>
    </w:p>
    <w:p w:rsidR="00C22730" w:rsidRPr="00A414A8" w:rsidRDefault="00C22730" w:rsidP="00BF3C4D">
      <w:pPr>
        <w:pStyle w:val="notemargin"/>
        <w:ind w:left="1429"/>
      </w:pPr>
      <w:r w:rsidRPr="00A414A8">
        <w:t>Note:</w:t>
      </w:r>
      <w:r w:rsidRPr="00A414A8">
        <w:tab/>
        <w:t>If a hospital is included in the second</w:t>
      </w:r>
      <w:r w:rsidR="00A414A8">
        <w:noBreakHyphen/>
      </w:r>
      <w:r w:rsidRPr="00A414A8">
        <w:t>tier eligible hospitals class by the Minister under section 121</w:t>
      </w:r>
      <w:r w:rsidR="00A414A8">
        <w:noBreakHyphen/>
      </w:r>
      <w:r w:rsidRPr="00A414A8">
        <w:t>8A of the Act, it will be a second</w:t>
      </w:r>
      <w:r w:rsidR="00A414A8">
        <w:noBreakHyphen/>
      </w:r>
      <w:r w:rsidRPr="00A414A8">
        <w:t xml:space="preserve">tier eligible hospital for the purposes of Schedule 5 to the </w:t>
      </w:r>
      <w:r w:rsidRPr="00A414A8">
        <w:rPr>
          <w:i/>
        </w:rPr>
        <w:t>Private Health Insurance (Benefit Requirements) Rules 2011</w:t>
      </w:r>
      <w:r w:rsidRPr="00A414A8">
        <w:t>, and therefore eligible to claim second</w:t>
      </w:r>
      <w:r w:rsidR="00A414A8">
        <w:noBreakHyphen/>
      </w:r>
      <w:r w:rsidRPr="00A414A8">
        <w:t>tier default benefits as specified in that Schedule.</w:t>
      </w:r>
    </w:p>
    <w:p w:rsidR="00C22730" w:rsidRPr="00A414A8" w:rsidRDefault="00C22730" w:rsidP="004430AF">
      <w:pPr>
        <w:pStyle w:val="Heading1"/>
        <w:spacing w:before="360"/>
        <w:rPr>
          <w:rFonts w:ascii="Arial" w:hAnsi="Arial" w:cs="Arial"/>
          <w:sz w:val="24"/>
          <w:szCs w:val="24"/>
        </w:rPr>
      </w:pPr>
      <w:bookmarkStart w:id="25" w:name="_Toc76629971"/>
      <w:r w:rsidRPr="00A414A8">
        <w:rPr>
          <w:rFonts w:ascii="Arial" w:hAnsi="Arial" w:cs="Arial"/>
          <w:sz w:val="24"/>
          <w:szCs w:val="24"/>
        </w:rPr>
        <w:t>7D.</w:t>
      </w:r>
      <w:r w:rsidR="003E0E2B" w:rsidRPr="00A414A8">
        <w:rPr>
          <w:rFonts w:ascii="Arial" w:hAnsi="Arial" w:cs="Arial"/>
          <w:sz w:val="24"/>
          <w:szCs w:val="24"/>
        </w:rPr>
        <w:tab/>
      </w:r>
      <w:r w:rsidRPr="00A414A8">
        <w:rPr>
          <w:rFonts w:ascii="Arial" w:hAnsi="Arial" w:cs="Arial"/>
          <w:sz w:val="24"/>
          <w:szCs w:val="24"/>
        </w:rPr>
        <w:t>Notification of change in circumstances</w:t>
      </w:r>
      <w:bookmarkEnd w:id="25"/>
    </w:p>
    <w:p w:rsidR="00C22730" w:rsidRPr="00A414A8" w:rsidRDefault="00C22730" w:rsidP="00BF3C4D">
      <w:pPr>
        <w:pStyle w:val="subsection"/>
      </w:pPr>
      <w:r w:rsidRPr="00A414A8">
        <w:tab/>
      </w:r>
      <w:r w:rsidRPr="00A414A8">
        <w:tab/>
        <w:t>A hospital that is included in the second</w:t>
      </w:r>
      <w:r w:rsidR="00A414A8">
        <w:noBreakHyphen/>
      </w:r>
      <w:r w:rsidRPr="00A414A8">
        <w:t>tier eligible hospitals class must notify the Department in writing of any change in circumstances that may prevent that hospital from continuing to meet the assessment criteria set out in rule 7C as soon as practicable.</w:t>
      </w:r>
    </w:p>
    <w:p w:rsidR="00D30D7C" w:rsidRPr="00A414A8" w:rsidRDefault="00D30D7C" w:rsidP="0076669A">
      <w:pPr>
        <w:pStyle w:val="Heading1"/>
        <w:keepLines w:val="0"/>
        <w:tabs>
          <w:tab w:val="left" w:pos="850"/>
        </w:tabs>
        <w:autoSpaceDE w:val="0"/>
        <w:autoSpaceDN w:val="0"/>
        <w:spacing w:before="360"/>
        <w:ind w:left="850" w:hanging="850"/>
        <w:rPr>
          <w:rFonts w:cs="Arial"/>
          <w:szCs w:val="24"/>
        </w:rPr>
      </w:pPr>
      <w:bookmarkStart w:id="26" w:name="_Toc76629972"/>
      <w:bookmarkEnd w:id="0"/>
      <w:bookmarkEnd w:id="7"/>
      <w:bookmarkEnd w:id="8"/>
      <w:r w:rsidRPr="00A414A8">
        <w:rPr>
          <w:rFonts w:ascii="Arial" w:hAnsi="Arial" w:cs="Arial"/>
          <w:sz w:val="24"/>
          <w:szCs w:val="24"/>
        </w:rPr>
        <w:t>7F.</w:t>
      </w:r>
      <w:r w:rsidRPr="00A414A8">
        <w:rPr>
          <w:rFonts w:ascii="Arial" w:hAnsi="Arial" w:cs="Arial"/>
          <w:sz w:val="24"/>
          <w:szCs w:val="24"/>
        </w:rPr>
        <w:tab/>
        <w:t>Covid</w:t>
      </w:r>
      <w:r w:rsidR="00A414A8">
        <w:rPr>
          <w:rFonts w:ascii="Arial" w:hAnsi="Arial" w:cs="Arial"/>
          <w:sz w:val="24"/>
          <w:szCs w:val="24"/>
        </w:rPr>
        <w:noBreakHyphen/>
      </w:r>
      <w:r w:rsidRPr="00A414A8">
        <w:rPr>
          <w:rFonts w:ascii="Arial" w:hAnsi="Arial" w:cs="Arial"/>
          <w:sz w:val="24"/>
          <w:szCs w:val="24"/>
        </w:rPr>
        <w:t>19 Accreditation Arrangements</w:t>
      </w:r>
      <w:bookmarkEnd w:id="26"/>
    </w:p>
    <w:p w:rsidR="00D30D7C" w:rsidRPr="00A414A8" w:rsidRDefault="00D30D7C" w:rsidP="00330625">
      <w:pPr>
        <w:pStyle w:val="HealthnumLevel5"/>
        <w:numPr>
          <w:ilvl w:val="0"/>
          <w:numId w:val="0"/>
        </w:numPr>
        <w:tabs>
          <w:tab w:val="left" w:pos="936"/>
        </w:tabs>
        <w:autoSpaceDE w:val="0"/>
        <w:autoSpaceDN w:val="0"/>
        <w:ind w:left="936" w:hanging="510"/>
      </w:pPr>
      <w:r w:rsidRPr="00A414A8">
        <w:t>(1)</w:t>
      </w:r>
      <w:r w:rsidR="00330625" w:rsidRPr="00A414A8">
        <w:tab/>
      </w:r>
      <w:r w:rsidRPr="00A414A8">
        <w:t>If the date on which a hospital’s accreditation will expire falls within the 12 months following the hospital’s eligibility expiry date, then the hospital is taken to be included in the second</w:t>
      </w:r>
      <w:r w:rsidR="00A414A8">
        <w:noBreakHyphen/>
      </w:r>
      <w:r w:rsidRPr="00A414A8">
        <w:t>tier eligible hospitals class until 60 calendar days after the day on which that hospital’s accreditation will expire.</w:t>
      </w:r>
    </w:p>
    <w:p w:rsidR="00D30D7C" w:rsidRPr="00A414A8" w:rsidRDefault="00D30D7C" w:rsidP="00330625">
      <w:pPr>
        <w:pStyle w:val="HealthnumLevel5"/>
        <w:numPr>
          <w:ilvl w:val="0"/>
          <w:numId w:val="0"/>
        </w:numPr>
        <w:tabs>
          <w:tab w:val="left" w:pos="936"/>
        </w:tabs>
        <w:autoSpaceDE w:val="0"/>
        <w:autoSpaceDN w:val="0"/>
        <w:ind w:left="936" w:hanging="510"/>
      </w:pPr>
      <w:r w:rsidRPr="00A414A8">
        <w:t>(2)</w:t>
      </w:r>
      <w:r w:rsidR="00330625" w:rsidRPr="00A414A8">
        <w:tab/>
      </w:r>
      <w:r w:rsidRPr="00A414A8">
        <w:t>In this rule:</w:t>
      </w:r>
    </w:p>
    <w:p w:rsidR="00D30D7C" w:rsidRPr="00A414A8" w:rsidRDefault="00D30D7C" w:rsidP="00330625">
      <w:pPr>
        <w:pStyle w:val="HealthLevel1"/>
        <w:tabs>
          <w:tab w:val="clear" w:pos="851"/>
          <w:tab w:val="left" w:pos="993"/>
        </w:tabs>
        <w:ind w:left="993"/>
      </w:pPr>
      <w:r w:rsidRPr="00A414A8">
        <w:rPr>
          <w:b/>
          <w:i/>
        </w:rPr>
        <w:lastRenderedPageBreak/>
        <w:t>eligibility expiry date</w:t>
      </w:r>
      <w:r w:rsidRPr="00A414A8">
        <w:t xml:space="preserve"> means the second</w:t>
      </w:r>
      <w:r w:rsidR="00A414A8">
        <w:noBreakHyphen/>
      </w:r>
      <w:r w:rsidRPr="00A414A8">
        <w:t>tier expiry date listed on the Commonwealth’s list of all declared hospitals with second tier.</w:t>
      </w:r>
    </w:p>
    <w:p w:rsidR="00D30D7C" w:rsidRPr="00A414A8" w:rsidRDefault="00D30D7C" w:rsidP="00330625">
      <w:pPr>
        <w:pStyle w:val="Healthnote"/>
        <w:ind w:left="1701" w:hanging="708"/>
      </w:pPr>
      <w:r w:rsidRPr="00A414A8">
        <w:t>Note:</w:t>
      </w:r>
      <w:r w:rsidR="00330625" w:rsidRPr="00A414A8">
        <w:tab/>
      </w:r>
      <w:r w:rsidRPr="00A414A8">
        <w:t>Further information is available in Private Health Insurance Circular ‘PHI 52/20 Second</w:t>
      </w:r>
      <w:r w:rsidR="00A414A8">
        <w:noBreakHyphen/>
      </w:r>
      <w:r w:rsidRPr="00A414A8">
        <w:t>tier Update</w:t>
      </w:r>
      <w:r w:rsidR="00A414A8">
        <w:noBreakHyphen/>
      </w:r>
      <w:r w:rsidRPr="00A414A8">
        <w:t xml:space="preserve"> arrangements due to suspended accreditation assessments’ available online at https://www1.health.gov.au/internet/main/publishing.nsf/Content/health</w:t>
      </w:r>
      <w:r w:rsidR="00A414A8">
        <w:noBreakHyphen/>
      </w:r>
      <w:r w:rsidRPr="00A414A8">
        <w:t>phicircular2020</w:t>
      </w:r>
      <w:r w:rsidR="00A414A8">
        <w:noBreakHyphen/>
      </w:r>
      <w:r w:rsidRPr="00A414A8">
        <w:t>52 and the Australian Safety and Quality Health Care Commission at www.safetyandquality.gov.au by searching for the ‘National Safety and Quality Health Service (NSQHS) Standards’ or typing in this link ‘https://www.safetyandquality.gov.au/standards/nsqhs</w:t>
      </w:r>
      <w:r w:rsidR="00A414A8">
        <w:noBreakHyphen/>
      </w:r>
      <w:r w:rsidRPr="00A414A8">
        <w:t>standards/implementation</w:t>
      </w:r>
      <w:r w:rsidR="00A414A8">
        <w:noBreakHyphen/>
      </w:r>
      <w:r w:rsidRPr="00A414A8">
        <w:t>nsqhs</w:t>
      </w:r>
      <w:r w:rsidR="00A414A8">
        <w:noBreakHyphen/>
      </w:r>
      <w:r w:rsidRPr="00A414A8">
        <w:t>standards/nsqhs</w:t>
      </w:r>
      <w:r w:rsidR="00A414A8">
        <w:noBreakHyphen/>
      </w:r>
      <w:r w:rsidRPr="00A414A8">
        <w:t>standards</w:t>
      </w:r>
      <w:r w:rsidR="00A414A8">
        <w:noBreakHyphen/>
      </w:r>
      <w:r w:rsidRPr="00A414A8">
        <w:t>updates</w:t>
      </w:r>
      <w:r w:rsidR="00A414A8">
        <w:noBreakHyphen/>
      </w:r>
      <w:r w:rsidRPr="00A414A8">
        <w:t>and</w:t>
      </w:r>
      <w:r w:rsidR="00A414A8">
        <w:noBreakHyphen/>
      </w:r>
      <w:r w:rsidRPr="00A414A8">
        <w:t>consultations#faq:</w:t>
      </w:r>
      <w:r w:rsidR="00A414A8">
        <w:noBreakHyphen/>
      </w:r>
      <w:r w:rsidRPr="00A414A8">
        <w:t>covid</w:t>
      </w:r>
      <w:r w:rsidR="00A414A8">
        <w:noBreakHyphen/>
      </w:r>
      <w:r w:rsidRPr="00A414A8">
        <w:t>19</w:t>
      </w:r>
      <w:r w:rsidR="00A414A8">
        <w:noBreakHyphen/>
      </w:r>
      <w:r w:rsidRPr="00A414A8">
        <w:t>pandemic</w:t>
      </w:r>
      <w:r w:rsidR="00A414A8">
        <w:noBreakHyphen/>
      </w:r>
      <w:r w:rsidRPr="00A414A8">
        <w:t>and</w:t>
      </w:r>
      <w:r w:rsidR="00A414A8">
        <w:noBreakHyphen/>
      </w:r>
      <w:r w:rsidRPr="00A414A8">
        <w:t>accreditation’.</w:t>
      </w:r>
    </w:p>
    <w:p w:rsidR="00D1124B" w:rsidRPr="00A414A8" w:rsidRDefault="00D1124B" w:rsidP="00D1124B">
      <w:pPr>
        <w:pStyle w:val="Heading1NoNum"/>
      </w:pPr>
      <w:bookmarkStart w:id="27" w:name="_Toc76629973"/>
      <w:r w:rsidRPr="00A414A8">
        <w:lastRenderedPageBreak/>
        <w:t>Part 3</w:t>
      </w:r>
      <w:r w:rsidRPr="00A414A8">
        <w:tab/>
        <w:t>Hospital and general treatment</w:t>
      </w:r>
      <w:bookmarkEnd w:id="27"/>
    </w:p>
    <w:p w:rsidR="00D1124B" w:rsidRPr="00A414A8" w:rsidRDefault="00D2030B" w:rsidP="00D2030B">
      <w:pPr>
        <w:pStyle w:val="Heading1"/>
        <w:keepLines w:val="0"/>
        <w:tabs>
          <w:tab w:val="left" w:pos="850"/>
        </w:tabs>
        <w:autoSpaceDE w:val="0"/>
        <w:autoSpaceDN w:val="0"/>
        <w:spacing w:before="360"/>
        <w:ind w:left="850" w:hanging="850"/>
        <w:rPr>
          <w:rFonts w:ascii="Arial" w:hAnsi="Arial" w:cs="Arial"/>
          <w:sz w:val="24"/>
          <w:szCs w:val="24"/>
        </w:rPr>
      </w:pPr>
      <w:bookmarkStart w:id="28" w:name="_Ref162431821"/>
      <w:bookmarkStart w:id="29" w:name="_Toc76629974"/>
      <w:r w:rsidRPr="00A414A8">
        <w:rPr>
          <w:rFonts w:ascii="Arial" w:hAnsi="Arial" w:cs="Arial"/>
          <w:sz w:val="24"/>
          <w:szCs w:val="24"/>
        </w:rPr>
        <w:t>8.</w:t>
      </w:r>
      <w:r w:rsidRPr="00A414A8">
        <w:rPr>
          <w:rFonts w:ascii="Arial" w:hAnsi="Arial" w:cs="Arial"/>
          <w:sz w:val="24"/>
          <w:szCs w:val="24"/>
        </w:rPr>
        <w:tab/>
      </w:r>
      <w:r w:rsidR="00D1124B" w:rsidRPr="00A414A8">
        <w:rPr>
          <w:rFonts w:ascii="Arial" w:hAnsi="Arial" w:cs="Arial"/>
          <w:sz w:val="24"/>
          <w:szCs w:val="24"/>
        </w:rPr>
        <w:t>Hospital treatment―excluded treatment</w:t>
      </w:r>
      <w:bookmarkEnd w:id="28"/>
      <w:bookmarkEnd w:id="29"/>
    </w:p>
    <w:p w:rsidR="00D1124B" w:rsidRPr="00A414A8" w:rsidRDefault="00D1124B" w:rsidP="00D1124B">
      <w:pPr>
        <w:pStyle w:val="HealthLevel1"/>
        <w:rPr>
          <w:color w:val="auto"/>
        </w:rPr>
      </w:pPr>
      <w:r w:rsidRPr="00A414A8">
        <w:rPr>
          <w:color w:val="auto"/>
        </w:rPr>
        <w:t>The following classes of treatment are specified for the purposes of subsection 121</w:t>
      </w:r>
      <w:r w:rsidR="00A414A8">
        <w:rPr>
          <w:color w:val="auto"/>
        </w:rPr>
        <w:noBreakHyphen/>
      </w:r>
      <w:r w:rsidRPr="00A414A8">
        <w:rPr>
          <w:color w:val="auto"/>
        </w:rPr>
        <w:t>5</w:t>
      </w:r>
      <w:r w:rsidR="00EE6B5F" w:rsidRPr="00A414A8">
        <w:rPr>
          <w:color w:val="auto"/>
        </w:rPr>
        <w:t> </w:t>
      </w:r>
      <w:r w:rsidRPr="00A414A8">
        <w:rPr>
          <w:color w:val="auto"/>
        </w:rPr>
        <w:t>(4) of the Act:</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(a)</w:t>
      </w:r>
      <w:r w:rsidRPr="00A414A8">
        <w:rPr>
          <w:color w:val="auto"/>
        </w:rPr>
        <w:tab/>
      </w:r>
      <w:r w:rsidR="00D1124B" w:rsidRPr="00A414A8">
        <w:rPr>
          <w:color w:val="auto"/>
        </w:rPr>
        <w:t>treatment which involves a procedure that has an item number that is specified in clause 8 of Schedule 3 of the Private Health Insurance (Benefit Requirements) Rules</w:t>
      </w:r>
      <w:r w:rsidR="00D1124B" w:rsidRPr="00A414A8">
        <w:rPr>
          <w:i/>
          <w:color w:val="auto"/>
        </w:rPr>
        <w:t xml:space="preserve"> </w:t>
      </w:r>
      <w:r w:rsidR="00D1124B" w:rsidRPr="00A414A8">
        <w:rPr>
          <w:color w:val="auto"/>
        </w:rPr>
        <w:t>if no certificate for that procedure has been provided under clause 7 of that Schedule; and</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(b)</w:t>
      </w:r>
      <w:r w:rsidRPr="00A414A8">
        <w:rPr>
          <w:color w:val="auto"/>
        </w:rPr>
        <w:tab/>
      </w:r>
      <w:r w:rsidR="00D1124B" w:rsidRPr="00A414A8">
        <w:rPr>
          <w:color w:val="auto"/>
        </w:rPr>
        <w:t>treatment provided to a person at an emergency department of a hospital; and</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(c)</w:t>
      </w:r>
      <w:r w:rsidRPr="00A414A8">
        <w:rPr>
          <w:color w:val="auto"/>
        </w:rPr>
        <w:tab/>
      </w:r>
      <w:r w:rsidR="00D1124B" w:rsidRPr="00A414A8">
        <w:rPr>
          <w:color w:val="auto"/>
        </w:rPr>
        <w:t xml:space="preserve">treatment provided to a person who is not a patient within the meaning of that word in paragraph (b) of the definition of 'patient' in subsection 3 (1) of the </w:t>
      </w:r>
      <w:r w:rsidR="00D1124B" w:rsidRPr="00A414A8">
        <w:rPr>
          <w:i/>
          <w:color w:val="auto"/>
        </w:rPr>
        <w:t>Health Insurance Act 1973</w:t>
      </w:r>
      <w:r w:rsidR="00D1124B" w:rsidRPr="00A414A8">
        <w:rPr>
          <w:color w:val="auto"/>
        </w:rPr>
        <w:t>; and</w:t>
      </w:r>
    </w:p>
    <w:p w:rsidR="00D1124B" w:rsidRPr="00A414A8" w:rsidRDefault="00D1124B" w:rsidP="00D1124B">
      <w:pPr>
        <w:pStyle w:val="Healthnote"/>
        <w:ind w:left="2552" w:hanging="851"/>
        <w:rPr>
          <w:color w:val="auto"/>
        </w:rPr>
      </w:pPr>
      <w:r w:rsidRPr="00A414A8">
        <w:rPr>
          <w:color w:val="auto"/>
        </w:rPr>
        <w:t>Note:</w:t>
      </w:r>
      <w:r w:rsidRPr="00A414A8">
        <w:rPr>
          <w:color w:val="auto"/>
        </w:rPr>
        <w:tab/>
        <w:t xml:space="preserve">'Patient' as used in paragraph (b) of the definition of 'patient' in subsection 3 (1) of the </w:t>
      </w:r>
      <w:r w:rsidRPr="00A414A8">
        <w:rPr>
          <w:i/>
          <w:color w:val="auto"/>
        </w:rPr>
        <w:t>Health Insurance Act</w:t>
      </w:r>
      <w:r w:rsidRPr="00A414A8">
        <w:rPr>
          <w:color w:val="auto"/>
        </w:rPr>
        <w:t xml:space="preserve"> </w:t>
      </w:r>
      <w:r w:rsidRPr="00A414A8">
        <w:rPr>
          <w:i/>
          <w:color w:val="auto"/>
        </w:rPr>
        <w:t>1973</w:t>
      </w:r>
      <w:r w:rsidRPr="00A414A8">
        <w:rPr>
          <w:color w:val="auto"/>
        </w:rPr>
        <w:t xml:space="preserve"> does not include a newly</w:t>
      </w:r>
      <w:r w:rsidR="00A414A8">
        <w:rPr>
          <w:color w:val="auto"/>
        </w:rPr>
        <w:noBreakHyphen/>
      </w:r>
      <w:r w:rsidRPr="00A414A8">
        <w:rPr>
          <w:color w:val="auto"/>
        </w:rPr>
        <w:t>born child whose mother also occupies a bed in the hospital except in certain specified circumstances.</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bookmarkStart w:id="30" w:name="_Ref162431823"/>
      <w:r w:rsidRPr="00A414A8">
        <w:rPr>
          <w:color w:val="auto"/>
        </w:rPr>
        <w:t>(d)</w:t>
      </w:r>
      <w:r w:rsidRPr="00A414A8">
        <w:rPr>
          <w:color w:val="auto"/>
        </w:rPr>
        <w:tab/>
      </w:r>
      <w:r w:rsidR="00D1124B" w:rsidRPr="00A414A8">
        <w:rPr>
          <w:color w:val="auto"/>
        </w:rPr>
        <w:t>treatment which is part of a chronic disease management program that is intended to delay the onset of chronic disease for a person with identified multiple risk factors for chronic disease</w:t>
      </w:r>
      <w:r w:rsidR="00E40FE9" w:rsidRPr="00A414A8">
        <w:rPr>
          <w:color w:val="auto"/>
        </w:rPr>
        <w:t>; and</w:t>
      </w:r>
      <w:bookmarkEnd w:id="30"/>
    </w:p>
    <w:p w:rsidR="00D1124B" w:rsidRPr="00A414A8" w:rsidRDefault="00D1124B" w:rsidP="00D1124B">
      <w:pPr>
        <w:pStyle w:val="Healthnote"/>
        <w:ind w:left="2552" w:hanging="851"/>
        <w:rPr>
          <w:color w:val="auto"/>
        </w:rPr>
      </w:pPr>
      <w:r w:rsidRPr="00A414A8">
        <w:rPr>
          <w:color w:val="auto"/>
        </w:rPr>
        <w:t>Note:</w:t>
      </w:r>
      <w:r w:rsidRPr="00A414A8">
        <w:rPr>
          <w:color w:val="auto"/>
        </w:rPr>
        <w:tab/>
        <w:t>Paragraph (d) does not refer to a chronic disease management program that is intended to prevent the onset of chronic disease for a person with identified multiple risk factors for chronic disease as hospital treatment is treatment intended to manage a disease, injury or condition and does not cover prevention―see the meaning of hospital treatment in su</w:t>
      </w:r>
      <w:r w:rsidR="00D459BD" w:rsidRPr="00A414A8">
        <w:rPr>
          <w:color w:val="auto"/>
        </w:rPr>
        <w:t>bsection 121</w:t>
      </w:r>
      <w:r w:rsidR="00A414A8">
        <w:rPr>
          <w:color w:val="auto"/>
        </w:rPr>
        <w:noBreakHyphen/>
      </w:r>
      <w:r w:rsidR="00D459BD" w:rsidRPr="00A414A8">
        <w:rPr>
          <w:color w:val="auto"/>
        </w:rPr>
        <w:t xml:space="preserve">5 (1) of the Act. </w:t>
      </w:r>
      <w:r w:rsidRPr="00A414A8">
        <w:rPr>
          <w:color w:val="auto"/>
        </w:rPr>
        <w:t>Treatment intended to prevent a disease may be general treatment―see subsection 121</w:t>
      </w:r>
      <w:r w:rsidR="00A414A8">
        <w:rPr>
          <w:color w:val="auto"/>
        </w:rPr>
        <w:noBreakHyphen/>
      </w:r>
      <w:r w:rsidRPr="00A414A8">
        <w:rPr>
          <w:color w:val="auto"/>
        </w:rPr>
        <w:t>10 (1) of the Act.</w:t>
      </w:r>
    </w:p>
    <w:p w:rsidR="00240E2A" w:rsidRPr="00A414A8" w:rsidRDefault="00240E2A" w:rsidP="002F2076">
      <w:pPr>
        <w:pStyle w:val="Healthnumlevel2"/>
        <w:numPr>
          <w:ilvl w:val="0"/>
          <w:numId w:val="0"/>
        </w:numPr>
        <w:tabs>
          <w:tab w:val="left" w:pos="1701"/>
        </w:tabs>
        <w:autoSpaceDE w:val="0"/>
        <w:autoSpaceDN w:val="0"/>
        <w:spacing w:line="240" w:lineRule="auto"/>
        <w:ind w:left="1701" w:hanging="851"/>
      </w:pPr>
      <w:r w:rsidRPr="00A414A8">
        <w:t>(e)</w:t>
      </w:r>
      <w:r w:rsidRPr="00A414A8">
        <w:tab/>
        <w:t>excluded natural therapy treatment.</w:t>
      </w:r>
    </w:p>
    <w:p w:rsidR="00D1124B" w:rsidRPr="00A414A8" w:rsidRDefault="00D2030B" w:rsidP="00D2030B">
      <w:pPr>
        <w:pStyle w:val="Heading1"/>
        <w:keepLines w:val="0"/>
        <w:tabs>
          <w:tab w:val="left" w:pos="850"/>
        </w:tabs>
        <w:autoSpaceDE w:val="0"/>
        <w:autoSpaceDN w:val="0"/>
        <w:spacing w:before="360"/>
        <w:ind w:left="850" w:hanging="850"/>
        <w:rPr>
          <w:rFonts w:ascii="Arial" w:hAnsi="Arial" w:cs="Arial"/>
          <w:sz w:val="24"/>
          <w:szCs w:val="24"/>
        </w:rPr>
      </w:pPr>
      <w:bookmarkStart w:id="31" w:name="_Toc76629975"/>
      <w:r w:rsidRPr="00A414A8">
        <w:rPr>
          <w:rFonts w:ascii="Arial" w:hAnsi="Arial" w:cs="Arial"/>
          <w:sz w:val="24"/>
          <w:szCs w:val="24"/>
        </w:rPr>
        <w:t>9.</w:t>
      </w:r>
      <w:r w:rsidRPr="00A414A8">
        <w:rPr>
          <w:rFonts w:ascii="Arial" w:hAnsi="Arial" w:cs="Arial"/>
          <w:sz w:val="24"/>
          <w:szCs w:val="24"/>
        </w:rPr>
        <w:tab/>
      </w:r>
      <w:r w:rsidR="00D1124B" w:rsidRPr="00A414A8">
        <w:rPr>
          <w:rFonts w:ascii="Arial" w:hAnsi="Arial" w:cs="Arial"/>
          <w:sz w:val="24"/>
          <w:szCs w:val="24"/>
        </w:rPr>
        <w:t>General treatment―included treatment</w:t>
      </w:r>
      <w:bookmarkEnd w:id="31"/>
    </w:p>
    <w:p w:rsidR="00D1124B" w:rsidRPr="00A414A8" w:rsidRDefault="00D1124B" w:rsidP="00D1124B">
      <w:pPr>
        <w:pStyle w:val="HealthLevel1"/>
        <w:rPr>
          <w:color w:val="auto"/>
        </w:rPr>
      </w:pPr>
      <w:r w:rsidRPr="00A414A8">
        <w:rPr>
          <w:color w:val="auto"/>
        </w:rPr>
        <w:t>Ambulance services associated with the provision of treatment to an insured person are specified for the purposes of subsection 121</w:t>
      </w:r>
      <w:r w:rsidR="00A414A8">
        <w:rPr>
          <w:color w:val="auto"/>
        </w:rPr>
        <w:noBreakHyphen/>
      </w:r>
      <w:r w:rsidRPr="00A414A8">
        <w:rPr>
          <w:color w:val="auto"/>
        </w:rPr>
        <w:t>10 (2) of the Act.</w:t>
      </w:r>
    </w:p>
    <w:p w:rsidR="00D1124B" w:rsidRPr="00A414A8" w:rsidRDefault="00D2030B" w:rsidP="00D2030B">
      <w:pPr>
        <w:pStyle w:val="Heading1"/>
        <w:keepLines w:val="0"/>
        <w:tabs>
          <w:tab w:val="left" w:pos="850"/>
        </w:tabs>
        <w:autoSpaceDE w:val="0"/>
        <w:autoSpaceDN w:val="0"/>
        <w:spacing w:before="360"/>
        <w:ind w:left="850" w:hanging="850"/>
        <w:rPr>
          <w:rFonts w:ascii="Arial" w:hAnsi="Arial" w:cs="Arial"/>
          <w:sz w:val="24"/>
          <w:szCs w:val="24"/>
        </w:rPr>
      </w:pPr>
      <w:bookmarkStart w:id="32" w:name="_Toc76629976"/>
      <w:r w:rsidRPr="00A414A8">
        <w:rPr>
          <w:rFonts w:ascii="Arial" w:hAnsi="Arial" w:cs="Arial"/>
          <w:sz w:val="24"/>
          <w:szCs w:val="24"/>
        </w:rPr>
        <w:t>10.</w:t>
      </w:r>
      <w:r w:rsidRPr="00A414A8">
        <w:rPr>
          <w:rFonts w:ascii="Arial" w:hAnsi="Arial" w:cs="Arial"/>
          <w:sz w:val="24"/>
          <w:szCs w:val="24"/>
        </w:rPr>
        <w:tab/>
      </w:r>
      <w:r w:rsidR="00D1124B" w:rsidRPr="00A414A8">
        <w:rPr>
          <w:rFonts w:ascii="Arial" w:hAnsi="Arial" w:cs="Arial"/>
          <w:sz w:val="24"/>
          <w:szCs w:val="24"/>
        </w:rPr>
        <w:t>General treatment―services for which medicare benefit is payable</w:t>
      </w:r>
      <w:bookmarkEnd w:id="32"/>
    </w:p>
    <w:p w:rsidR="00D1124B" w:rsidRPr="00A414A8" w:rsidRDefault="00D1124B" w:rsidP="00D1124B">
      <w:pPr>
        <w:pStyle w:val="HealthLevel1"/>
        <w:rPr>
          <w:color w:val="auto"/>
        </w:rPr>
      </w:pPr>
      <w:r w:rsidRPr="00A414A8">
        <w:rPr>
          <w:color w:val="auto"/>
        </w:rPr>
        <w:t>For paragraph 121</w:t>
      </w:r>
      <w:r w:rsidR="00A414A8">
        <w:rPr>
          <w:color w:val="auto"/>
        </w:rPr>
        <w:noBreakHyphen/>
      </w:r>
      <w:r w:rsidRPr="00A414A8">
        <w:rPr>
          <w:color w:val="auto"/>
        </w:rPr>
        <w:t>10 (3) (a) of the Act, the following classes of services for which medicare benefit is payable are general treatment:</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bookmarkStart w:id="33" w:name="_Ref153893155"/>
      <w:r w:rsidRPr="00A414A8">
        <w:rPr>
          <w:color w:val="auto"/>
        </w:rPr>
        <w:t>(a)</w:t>
      </w:r>
      <w:r w:rsidRPr="00A414A8">
        <w:rPr>
          <w:color w:val="auto"/>
        </w:rPr>
        <w:tab/>
      </w:r>
      <w:r w:rsidR="00D1124B" w:rsidRPr="00A414A8">
        <w:rPr>
          <w:color w:val="auto"/>
        </w:rPr>
        <w:t>the professional medical therapeutic services identified in Groups T1 to T11 of the general medical services table that are:</w:t>
      </w:r>
      <w:bookmarkEnd w:id="33"/>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w:t>
      </w:r>
      <w:r w:rsidRPr="00A414A8">
        <w:rPr>
          <w:color w:val="auto"/>
        </w:rPr>
        <w:tab/>
      </w:r>
      <w:r w:rsidR="00D1124B" w:rsidRPr="00A414A8">
        <w:rPr>
          <w:color w:val="auto"/>
        </w:rPr>
        <w:t xml:space="preserve">items in the table without the symbol </w:t>
      </w:r>
      <w:r w:rsidR="00D1124B" w:rsidRPr="00A414A8">
        <w:rPr>
          <w:i/>
          <w:color w:val="auto"/>
        </w:rPr>
        <w:t>(H)</w:t>
      </w:r>
      <w:r w:rsidR="00D1124B" w:rsidRPr="00A414A8">
        <w:rPr>
          <w:color w:val="auto"/>
        </w:rPr>
        <w:t xml:space="preserve">; or </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lastRenderedPageBreak/>
        <w:t>(ii)</w:t>
      </w:r>
      <w:r w:rsidRPr="00A414A8">
        <w:rPr>
          <w:color w:val="auto"/>
        </w:rPr>
        <w:tab/>
      </w:r>
      <w:r w:rsidR="00D1124B" w:rsidRPr="00A414A8">
        <w:rPr>
          <w:color w:val="auto"/>
        </w:rPr>
        <w:t>not stated in the item to be services that are to be performed in a hospital for the medicare benefit to be payable; and</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bookmarkStart w:id="34" w:name="_Ref153893161"/>
      <w:r w:rsidRPr="00A414A8">
        <w:rPr>
          <w:color w:val="auto"/>
        </w:rPr>
        <w:t>(b)</w:t>
      </w:r>
      <w:r w:rsidRPr="00A414A8">
        <w:rPr>
          <w:color w:val="auto"/>
        </w:rPr>
        <w:tab/>
      </w:r>
      <w:r w:rsidR="00D1124B" w:rsidRPr="00A414A8">
        <w:rPr>
          <w:color w:val="auto"/>
        </w:rPr>
        <w:t>oral and maxillofacial services set out in Groups O1 to O11 of the general medical services table that are:</w:t>
      </w:r>
      <w:bookmarkEnd w:id="34"/>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w:t>
      </w:r>
      <w:r w:rsidRPr="00A414A8">
        <w:rPr>
          <w:color w:val="auto"/>
        </w:rPr>
        <w:tab/>
      </w:r>
      <w:r w:rsidR="00D1124B" w:rsidRPr="00A414A8">
        <w:rPr>
          <w:color w:val="auto"/>
        </w:rPr>
        <w:t xml:space="preserve">items in the table without the symbol </w:t>
      </w:r>
      <w:r w:rsidR="00D1124B" w:rsidRPr="00A414A8">
        <w:rPr>
          <w:i/>
          <w:color w:val="auto"/>
        </w:rPr>
        <w:t>(H)</w:t>
      </w:r>
      <w:r w:rsidR="00D1124B" w:rsidRPr="00A414A8">
        <w:rPr>
          <w:color w:val="auto"/>
        </w:rPr>
        <w:t>; or</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(ii)</w:t>
      </w:r>
      <w:r w:rsidRPr="00A414A8">
        <w:rPr>
          <w:color w:val="auto"/>
        </w:rPr>
        <w:tab/>
      </w:r>
      <w:r w:rsidR="00D1124B" w:rsidRPr="00A414A8">
        <w:rPr>
          <w:color w:val="auto"/>
        </w:rPr>
        <w:t>not stated in the item to be services that are to be performed in a hospital for the medicare benefit to be payable; and</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(c)</w:t>
      </w:r>
      <w:r w:rsidRPr="00A414A8">
        <w:rPr>
          <w:color w:val="auto"/>
        </w:rPr>
        <w:tab/>
      </w:r>
      <w:r w:rsidR="00D1124B" w:rsidRPr="00A414A8">
        <w:rPr>
          <w:color w:val="auto"/>
        </w:rPr>
        <w:t>the associated services in the:</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w:t>
      </w:r>
      <w:r w:rsidRPr="00A414A8">
        <w:rPr>
          <w:color w:val="auto"/>
        </w:rPr>
        <w:tab/>
      </w:r>
      <w:r w:rsidR="00D1124B" w:rsidRPr="00A414A8">
        <w:rPr>
          <w:color w:val="auto"/>
        </w:rPr>
        <w:t>pathology services table; and</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(ii)</w:t>
      </w:r>
      <w:r w:rsidRPr="00A414A8">
        <w:rPr>
          <w:color w:val="auto"/>
        </w:rPr>
        <w:tab/>
      </w:r>
      <w:r w:rsidR="00D1124B" w:rsidRPr="00A414A8">
        <w:rPr>
          <w:color w:val="auto"/>
        </w:rPr>
        <w:t>diagnostic imaging services table,</w:t>
      </w:r>
    </w:p>
    <w:p w:rsidR="00D1124B" w:rsidRPr="00A414A8" w:rsidRDefault="00D1124B" w:rsidP="00D1124B">
      <w:pPr>
        <w:pStyle w:val="HealthLevel2"/>
        <w:rPr>
          <w:b/>
          <w:i/>
          <w:color w:val="auto"/>
        </w:rPr>
      </w:pPr>
      <w:r w:rsidRPr="00A414A8">
        <w:rPr>
          <w:color w:val="auto"/>
        </w:rPr>
        <w:t xml:space="preserve">that are integral to the provision of the services specified in paragraphs </w:t>
      </w:r>
      <w:r w:rsidR="00C57413" w:rsidRPr="00A414A8">
        <w:rPr>
          <w:color w:val="auto"/>
        </w:rPr>
        <w:t xml:space="preserve">(a) </w:t>
      </w:r>
      <w:r w:rsidRPr="00A414A8">
        <w:rPr>
          <w:color w:val="auto"/>
        </w:rPr>
        <w:t xml:space="preserve">and </w:t>
      </w:r>
      <w:r w:rsidR="00C57413" w:rsidRPr="00A414A8">
        <w:rPr>
          <w:color w:val="auto"/>
        </w:rPr>
        <w:t>(b)</w:t>
      </w:r>
      <w:r w:rsidRPr="00A414A8">
        <w:rPr>
          <w:color w:val="auto"/>
        </w:rPr>
        <w:t>,</w:t>
      </w:r>
    </w:p>
    <w:p w:rsidR="00D1124B" w:rsidRPr="00A414A8" w:rsidRDefault="00D1124B" w:rsidP="00D1124B">
      <w:pPr>
        <w:pStyle w:val="HealthLevel1"/>
        <w:rPr>
          <w:b/>
          <w:i/>
          <w:color w:val="auto"/>
        </w:rPr>
      </w:pPr>
      <w:r w:rsidRPr="00A414A8">
        <w:rPr>
          <w:color w:val="auto"/>
        </w:rPr>
        <w:t>but only when any of the services in the above classes are provided as part of hospital</w:t>
      </w:r>
      <w:r w:rsidR="00A414A8">
        <w:rPr>
          <w:color w:val="auto"/>
        </w:rPr>
        <w:noBreakHyphen/>
      </w:r>
      <w:r w:rsidRPr="00A414A8">
        <w:rPr>
          <w:color w:val="auto"/>
        </w:rPr>
        <w:t>substitute treatment.</w:t>
      </w:r>
    </w:p>
    <w:p w:rsidR="00D1124B" w:rsidRPr="00A414A8" w:rsidRDefault="00D1124B" w:rsidP="00D1124B">
      <w:pPr>
        <w:pStyle w:val="Healthnote"/>
        <w:ind w:left="1701" w:hanging="850"/>
        <w:rPr>
          <w:color w:val="auto"/>
        </w:rPr>
      </w:pPr>
      <w:r w:rsidRPr="00A414A8">
        <w:rPr>
          <w:color w:val="auto"/>
        </w:rPr>
        <w:t>Note 1:</w:t>
      </w:r>
      <w:r w:rsidRPr="00A414A8">
        <w:rPr>
          <w:color w:val="auto"/>
        </w:rPr>
        <w:tab/>
        <w:t>The effect of this rule is to provide for the above treatments or services that are eligible for a medicare benefit to come within the definition of hospital</w:t>
      </w:r>
      <w:r w:rsidR="00A414A8">
        <w:rPr>
          <w:color w:val="auto"/>
        </w:rPr>
        <w:noBreakHyphen/>
      </w:r>
      <w:r w:rsidRPr="00A414A8">
        <w:rPr>
          <w:color w:val="auto"/>
        </w:rPr>
        <w:t>substitute treatment.</w:t>
      </w:r>
    </w:p>
    <w:p w:rsidR="00D1124B" w:rsidRPr="00A414A8" w:rsidRDefault="00D1124B" w:rsidP="00D1124B">
      <w:pPr>
        <w:pStyle w:val="Healthnote"/>
        <w:ind w:left="1701" w:hanging="850"/>
        <w:rPr>
          <w:color w:val="auto"/>
        </w:rPr>
      </w:pPr>
      <w:r w:rsidRPr="00A414A8">
        <w:rPr>
          <w:color w:val="auto"/>
        </w:rPr>
        <w:t>Note 2:</w:t>
      </w:r>
      <w:r w:rsidRPr="00A414A8">
        <w:rPr>
          <w:color w:val="auto"/>
        </w:rPr>
        <w:tab/>
        <w:t>Private health insurers cannot cover, as part of general treatment (including hospital</w:t>
      </w:r>
      <w:r w:rsidR="00A414A8">
        <w:rPr>
          <w:color w:val="auto"/>
        </w:rPr>
        <w:noBreakHyphen/>
      </w:r>
      <w:r w:rsidRPr="00A414A8">
        <w:rPr>
          <w:color w:val="auto"/>
        </w:rPr>
        <w:t>substitute treatment) professional services for which medicare benefit is payable, except as provided for in this rule.</w:t>
      </w:r>
    </w:p>
    <w:p w:rsidR="00D1124B" w:rsidRPr="00A414A8" w:rsidRDefault="00D1124B" w:rsidP="00D1124B">
      <w:pPr>
        <w:pStyle w:val="Healthnote"/>
        <w:ind w:left="1701" w:hanging="850"/>
        <w:rPr>
          <w:color w:val="auto"/>
        </w:rPr>
      </w:pPr>
      <w:r w:rsidRPr="00A414A8">
        <w:rPr>
          <w:color w:val="auto"/>
        </w:rPr>
        <w:t>Note 3:</w:t>
      </w:r>
      <w:r w:rsidRPr="00A414A8">
        <w:rPr>
          <w:color w:val="auto"/>
        </w:rPr>
        <w:tab/>
        <w:t xml:space="preserve">Section 126 of the </w:t>
      </w:r>
      <w:r w:rsidRPr="00A414A8">
        <w:rPr>
          <w:i/>
          <w:color w:val="auto"/>
        </w:rPr>
        <w:t>Health Insurance Act 1973</w:t>
      </w:r>
      <w:r w:rsidRPr="00A414A8">
        <w:rPr>
          <w:color w:val="auto"/>
        </w:rPr>
        <w:t xml:space="preserve"> prohibits insurance regarding professional services for which medicare benefit is payable, other than a complying health insurance policy entered into by a private health insurer that covers hospital treatment or hospital</w:t>
      </w:r>
      <w:r w:rsidR="00A414A8">
        <w:rPr>
          <w:color w:val="auto"/>
        </w:rPr>
        <w:noBreakHyphen/>
      </w:r>
      <w:r w:rsidRPr="00A414A8">
        <w:rPr>
          <w:color w:val="auto"/>
        </w:rPr>
        <w:t xml:space="preserve">substitute treatment, or insurance regarding a person who is an eligible person by reason only of being treated as an eligible person under subsection 7 (2) of the </w:t>
      </w:r>
      <w:r w:rsidRPr="00A414A8">
        <w:rPr>
          <w:i/>
          <w:color w:val="auto"/>
        </w:rPr>
        <w:t>Health Insurance Act 1973</w:t>
      </w:r>
      <w:r w:rsidRPr="00A414A8">
        <w:rPr>
          <w:color w:val="auto"/>
        </w:rPr>
        <w:t>.</w:t>
      </w:r>
    </w:p>
    <w:p w:rsidR="00D2030B" w:rsidRPr="00A414A8" w:rsidRDefault="00D2030B" w:rsidP="00341732">
      <w:pPr>
        <w:pStyle w:val="ActHead5"/>
        <w:ind w:left="851" w:hanging="851"/>
        <w:rPr>
          <w:rFonts w:ascii="Arial" w:hAnsi="Arial" w:cs="Arial"/>
        </w:rPr>
      </w:pPr>
      <w:bookmarkStart w:id="35" w:name="_Ref156792521"/>
      <w:r w:rsidRPr="00A414A8">
        <w:rPr>
          <w:rStyle w:val="CharSectno"/>
          <w:rFonts w:ascii="Arial" w:hAnsi="Arial" w:cs="Arial"/>
        </w:rPr>
        <w:t>11.</w:t>
      </w:r>
      <w:r w:rsidRPr="00A414A8">
        <w:rPr>
          <w:rFonts w:ascii="Arial" w:hAnsi="Arial" w:cs="Arial"/>
        </w:rPr>
        <w:tab/>
      </w:r>
      <w:bookmarkStart w:id="36" w:name="_Toc534275007"/>
      <w:r w:rsidRPr="00A414A8">
        <w:rPr>
          <w:rFonts w:ascii="Arial" w:hAnsi="Arial" w:cs="Arial"/>
        </w:rPr>
        <w:t>General treatment—excluded treatment</w:t>
      </w:r>
      <w:bookmarkEnd w:id="36"/>
    </w:p>
    <w:p w:rsidR="00D2030B" w:rsidRPr="00A414A8" w:rsidRDefault="00D2030B" w:rsidP="00341732">
      <w:pPr>
        <w:pStyle w:val="subsection"/>
        <w:tabs>
          <w:tab w:val="clear" w:pos="1021"/>
          <w:tab w:val="right" w:pos="709"/>
        </w:tabs>
        <w:ind w:left="993"/>
      </w:pPr>
      <w:r w:rsidRPr="00A414A8">
        <w:tab/>
        <w:t>(1)</w:t>
      </w:r>
      <w:r w:rsidRPr="00A414A8">
        <w:tab/>
        <w:t>For paragraph 121</w:t>
      </w:r>
      <w:r w:rsidR="00A414A8">
        <w:noBreakHyphen/>
      </w:r>
      <w:r w:rsidRPr="00A414A8">
        <w:t>10 (3) (b) of the Act, the following treatments or classes of treatment are specified:</w:t>
      </w:r>
    </w:p>
    <w:p w:rsidR="00D2030B" w:rsidRPr="00A414A8" w:rsidRDefault="00D2030B" w:rsidP="00341732">
      <w:pPr>
        <w:pStyle w:val="paragraph"/>
        <w:tabs>
          <w:tab w:val="clear" w:pos="1531"/>
          <w:tab w:val="right" w:pos="1134"/>
        </w:tabs>
        <w:ind w:left="1701"/>
      </w:pPr>
      <w:r w:rsidRPr="00A414A8">
        <w:tab/>
        <w:t>(a)</w:t>
      </w:r>
      <w:r w:rsidRPr="00A414A8">
        <w:tab/>
        <w:t>treatment which primarily takes the form of sport, recreation or entertainment, other than treatment that is part of a chronic disease management program or a health management program if the programs have been approved by the private health insurer;</w:t>
      </w:r>
    </w:p>
    <w:p w:rsidR="00D2030B" w:rsidRPr="00A414A8" w:rsidRDefault="00D2030B" w:rsidP="00341732">
      <w:pPr>
        <w:pStyle w:val="paragraph"/>
        <w:tabs>
          <w:tab w:val="clear" w:pos="1531"/>
          <w:tab w:val="right" w:pos="1134"/>
        </w:tabs>
        <w:ind w:left="1701"/>
      </w:pPr>
      <w:r w:rsidRPr="00A414A8">
        <w:tab/>
        <w:t>(b)</w:t>
      </w:r>
      <w:r w:rsidRPr="00A414A8">
        <w:tab/>
        <w:t>excluded natural therapy treatment.</w:t>
      </w:r>
    </w:p>
    <w:p w:rsidR="00D2030B" w:rsidRPr="00A414A8" w:rsidRDefault="00D2030B" w:rsidP="00341732">
      <w:pPr>
        <w:pStyle w:val="subsection"/>
        <w:tabs>
          <w:tab w:val="clear" w:pos="1021"/>
          <w:tab w:val="right" w:pos="709"/>
        </w:tabs>
        <w:ind w:left="993"/>
      </w:pPr>
      <w:r w:rsidRPr="00A414A8">
        <w:tab/>
        <w:t>(2)</w:t>
      </w:r>
      <w:r w:rsidRPr="00A414A8">
        <w:tab/>
        <w:t>In this rule:</w:t>
      </w:r>
    </w:p>
    <w:p w:rsidR="00D2030B" w:rsidRPr="00A414A8" w:rsidRDefault="00D2030B" w:rsidP="00D2030B">
      <w:pPr>
        <w:pStyle w:val="Definition"/>
      </w:pPr>
      <w:r w:rsidRPr="00A414A8">
        <w:rPr>
          <w:b/>
          <w:i/>
        </w:rPr>
        <w:t xml:space="preserve">health management program </w:t>
      </w:r>
      <w:r w:rsidRPr="00A414A8">
        <w:t>means a program that is intended to ameliorate a person’s specific health condition or conditions, but does not include treatment that is excl</w:t>
      </w:r>
      <w:r w:rsidR="00D459BD" w:rsidRPr="00A414A8">
        <w:t>uded natural therapy treatment.</w:t>
      </w:r>
    </w:p>
    <w:p w:rsidR="00D1124B" w:rsidRPr="00A414A8" w:rsidRDefault="00D2030B" w:rsidP="00D2030B">
      <w:pPr>
        <w:pStyle w:val="Heading1"/>
        <w:keepLines w:val="0"/>
        <w:tabs>
          <w:tab w:val="left" w:pos="850"/>
        </w:tabs>
        <w:autoSpaceDE w:val="0"/>
        <w:autoSpaceDN w:val="0"/>
        <w:spacing w:before="360"/>
        <w:ind w:left="850" w:hanging="850"/>
        <w:rPr>
          <w:rFonts w:ascii="Arial" w:hAnsi="Arial" w:cs="Arial"/>
          <w:sz w:val="24"/>
          <w:szCs w:val="24"/>
        </w:rPr>
      </w:pPr>
      <w:bookmarkStart w:id="37" w:name="_Ref162426538"/>
      <w:bookmarkStart w:id="38" w:name="_Toc76629977"/>
      <w:bookmarkEnd w:id="35"/>
      <w:r w:rsidRPr="00A414A8">
        <w:rPr>
          <w:rFonts w:ascii="Arial" w:hAnsi="Arial" w:cs="Arial"/>
          <w:sz w:val="24"/>
          <w:szCs w:val="24"/>
        </w:rPr>
        <w:lastRenderedPageBreak/>
        <w:t>12.</w:t>
      </w:r>
      <w:r w:rsidRPr="00A414A8">
        <w:rPr>
          <w:rFonts w:ascii="Arial" w:hAnsi="Arial" w:cs="Arial"/>
          <w:sz w:val="24"/>
          <w:szCs w:val="24"/>
        </w:rPr>
        <w:tab/>
      </w:r>
      <w:r w:rsidR="00D1124B" w:rsidRPr="00A414A8">
        <w:rPr>
          <w:rFonts w:ascii="Arial" w:hAnsi="Arial" w:cs="Arial"/>
          <w:sz w:val="24"/>
          <w:szCs w:val="24"/>
        </w:rPr>
        <w:t>Chronic disease management program</w:t>
      </w:r>
      <w:bookmarkEnd w:id="37"/>
      <w:r w:rsidR="00D1124B" w:rsidRPr="00A414A8">
        <w:rPr>
          <w:rFonts w:ascii="Arial" w:hAnsi="Arial" w:cs="Arial"/>
          <w:sz w:val="24"/>
          <w:szCs w:val="24"/>
        </w:rPr>
        <w:t>s</w:t>
      </w:r>
      <w:bookmarkEnd w:id="38"/>
    </w:p>
    <w:p w:rsidR="00D1124B" w:rsidRPr="00A414A8" w:rsidRDefault="00D2030B" w:rsidP="00D2030B">
      <w:pPr>
        <w:pStyle w:val="HealthnumLevel5"/>
        <w:numPr>
          <w:ilvl w:val="0"/>
          <w:numId w:val="0"/>
        </w:numPr>
        <w:tabs>
          <w:tab w:val="left" w:pos="936"/>
        </w:tabs>
        <w:autoSpaceDE w:val="0"/>
        <w:autoSpaceDN w:val="0"/>
        <w:ind w:left="936" w:hanging="510"/>
      </w:pPr>
      <w:r w:rsidRPr="00A414A8">
        <w:t>(1)</w:t>
      </w:r>
      <w:r w:rsidRPr="00A414A8">
        <w:tab/>
      </w:r>
      <w:r w:rsidR="00D1124B" w:rsidRPr="00A414A8">
        <w:t xml:space="preserve">A </w:t>
      </w:r>
      <w:r w:rsidR="00D1124B" w:rsidRPr="00A414A8">
        <w:rPr>
          <w:b/>
          <w:i/>
        </w:rPr>
        <w:t>chronic disease management program</w:t>
      </w:r>
      <w:r w:rsidR="00D1124B" w:rsidRPr="00A414A8">
        <w:t xml:space="preserve"> means a program that is intended to:</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(a)</w:t>
      </w:r>
      <w:r w:rsidRPr="00A414A8">
        <w:rPr>
          <w:color w:val="auto"/>
        </w:rPr>
        <w:tab/>
      </w:r>
      <w:r w:rsidR="00D1124B" w:rsidRPr="00A414A8">
        <w:rPr>
          <w:color w:val="auto"/>
        </w:rPr>
        <w:t>either:</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w:t>
      </w:r>
      <w:r w:rsidRPr="00A414A8">
        <w:rPr>
          <w:color w:val="auto"/>
        </w:rPr>
        <w:tab/>
      </w:r>
      <w:r w:rsidR="00D1124B" w:rsidRPr="00A414A8">
        <w:rPr>
          <w:color w:val="auto"/>
        </w:rPr>
        <w:t>reduce complications in a person with a diagnosed chronic disease; or</w:t>
      </w:r>
    </w:p>
    <w:p w:rsidR="00D1124B" w:rsidRPr="00A414A8" w:rsidRDefault="00D1124B" w:rsidP="00D1124B">
      <w:pPr>
        <w:pStyle w:val="Healthnote"/>
        <w:ind w:left="3402" w:hanging="851"/>
        <w:rPr>
          <w:color w:val="auto"/>
        </w:rPr>
      </w:pPr>
      <w:r w:rsidRPr="00A414A8">
        <w:rPr>
          <w:color w:val="auto"/>
        </w:rPr>
        <w:t xml:space="preserve">Note: </w:t>
      </w:r>
      <w:r w:rsidRPr="00A414A8">
        <w:rPr>
          <w:color w:val="auto"/>
        </w:rPr>
        <w:tab/>
        <w:t>A chronic disease management program that is intended to reduce a patient's complications and is provided in the circumstances mentioned in subsection 121</w:t>
      </w:r>
      <w:r w:rsidR="00A414A8">
        <w:rPr>
          <w:color w:val="auto"/>
        </w:rPr>
        <w:noBreakHyphen/>
      </w:r>
      <w:r w:rsidRPr="00A414A8">
        <w:rPr>
          <w:color w:val="auto"/>
        </w:rPr>
        <w:t>5 (1) of the Act is hospital treatment.  If the program is provided other than in the circumstances mentioned in paragraphs 121</w:t>
      </w:r>
      <w:r w:rsidR="00A414A8">
        <w:rPr>
          <w:color w:val="auto"/>
        </w:rPr>
        <w:noBreakHyphen/>
      </w:r>
      <w:r w:rsidRPr="00A414A8">
        <w:rPr>
          <w:color w:val="auto"/>
        </w:rPr>
        <w:t>5 (1) (b) and (c), it is general treatment.</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(ii)</w:t>
      </w:r>
      <w:r w:rsidRPr="00A414A8">
        <w:rPr>
          <w:color w:val="auto"/>
        </w:rPr>
        <w:tab/>
      </w:r>
      <w:r w:rsidR="00D1124B" w:rsidRPr="00A414A8">
        <w:rPr>
          <w:color w:val="auto"/>
        </w:rPr>
        <w:t>prevent or delay the onset of chronic disease for a person with identified multiple risk factors for chronic disease; and</w:t>
      </w:r>
    </w:p>
    <w:p w:rsidR="00D1124B" w:rsidRPr="00A414A8" w:rsidRDefault="00D1124B" w:rsidP="00D1124B">
      <w:pPr>
        <w:pStyle w:val="Healthnote"/>
        <w:ind w:left="3402" w:hanging="851"/>
        <w:rPr>
          <w:color w:val="auto"/>
        </w:rPr>
      </w:pPr>
      <w:r w:rsidRPr="00A414A8">
        <w:rPr>
          <w:color w:val="auto"/>
        </w:rPr>
        <w:t xml:space="preserve">Note: </w:t>
      </w:r>
      <w:r w:rsidRPr="00A414A8">
        <w:rPr>
          <w:color w:val="auto"/>
        </w:rPr>
        <w:tab/>
        <w:t>A chronic disease management program intended to prevent or delay the onset of a chronic disease in a patient can be general treatment only―see paragraph 121</w:t>
      </w:r>
      <w:r w:rsidR="00A414A8">
        <w:rPr>
          <w:color w:val="auto"/>
        </w:rPr>
        <w:noBreakHyphen/>
      </w:r>
      <w:r w:rsidRPr="00A414A8">
        <w:rPr>
          <w:color w:val="auto"/>
        </w:rPr>
        <w:t xml:space="preserve">5 (1) (a) of the Act and paragraph </w:t>
      </w:r>
      <w:r w:rsidR="00C57413" w:rsidRPr="00A414A8">
        <w:rPr>
          <w:color w:val="auto"/>
        </w:rPr>
        <w:t xml:space="preserve">8 (d) </w:t>
      </w:r>
      <w:r w:rsidRPr="00A414A8">
        <w:rPr>
          <w:color w:val="auto"/>
        </w:rPr>
        <w:t>of these Rules in respect of hospital treatment, and paragraph 121</w:t>
      </w:r>
      <w:r w:rsidR="00A414A8">
        <w:rPr>
          <w:color w:val="auto"/>
        </w:rPr>
        <w:noBreakHyphen/>
      </w:r>
      <w:r w:rsidRPr="00A414A8">
        <w:rPr>
          <w:color w:val="auto"/>
        </w:rPr>
        <w:t>10 (1) (a) in relation to general treatment intended to prevent a disease.</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(b)</w:t>
      </w:r>
      <w:r w:rsidRPr="00A414A8">
        <w:rPr>
          <w:color w:val="auto"/>
        </w:rPr>
        <w:tab/>
      </w:r>
      <w:r w:rsidR="00D1124B" w:rsidRPr="00A414A8">
        <w:rPr>
          <w:color w:val="auto"/>
        </w:rPr>
        <w:t>requires the development of a written plan that:</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w:t>
      </w:r>
      <w:r w:rsidRPr="00A414A8">
        <w:rPr>
          <w:color w:val="auto"/>
        </w:rPr>
        <w:tab/>
      </w:r>
      <w:r w:rsidR="00D1124B" w:rsidRPr="00A414A8">
        <w:rPr>
          <w:color w:val="auto"/>
        </w:rPr>
        <w:t>specifies the allied health service or services, and any other goods and services to be provided; and</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(ii)</w:t>
      </w:r>
      <w:r w:rsidRPr="00A414A8">
        <w:rPr>
          <w:color w:val="auto"/>
        </w:rPr>
        <w:tab/>
      </w:r>
      <w:r w:rsidR="00D1124B" w:rsidRPr="00A414A8">
        <w:rPr>
          <w:color w:val="auto"/>
        </w:rPr>
        <w:t>specifies the frequency and duration of the provision of those goods and services; and</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(iii)</w:t>
      </w:r>
      <w:r w:rsidRPr="00A414A8">
        <w:rPr>
          <w:color w:val="auto"/>
        </w:rPr>
        <w:tab/>
      </w:r>
      <w:r w:rsidR="00D1124B" w:rsidRPr="00A414A8">
        <w:rPr>
          <w:color w:val="auto"/>
        </w:rPr>
        <w:t>specifies the date for review of the plan; and</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(iv)</w:t>
      </w:r>
      <w:r w:rsidRPr="00A414A8">
        <w:rPr>
          <w:color w:val="auto"/>
        </w:rPr>
        <w:tab/>
      </w:r>
      <w:r w:rsidR="00D1124B" w:rsidRPr="00A414A8">
        <w:rPr>
          <w:color w:val="auto"/>
        </w:rPr>
        <w:t>has been provided to the patient for consent, and consent is given to the program, before any services under the program are provided; and</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(c)</w:t>
      </w:r>
      <w:r w:rsidRPr="00A414A8">
        <w:rPr>
          <w:color w:val="auto"/>
        </w:rPr>
        <w:tab/>
      </w:r>
      <w:r w:rsidR="00D1124B" w:rsidRPr="00A414A8">
        <w:rPr>
          <w:color w:val="auto"/>
        </w:rPr>
        <w:t>is coordinated by a person</w:t>
      </w:r>
      <w:r w:rsidR="00D1124B" w:rsidRPr="00A414A8" w:rsidDel="00143959">
        <w:rPr>
          <w:color w:val="auto"/>
        </w:rPr>
        <w:t xml:space="preserve"> </w:t>
      </w:r>
      <w:r w:rsidR="00D1124B" w:rsidRPr="00A414A8">
        <w:rPr>
          <w:color w:val="auto"/>
        </w:rPr>
        <w:t>who has accepted responsibility for:</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w:t>
      </w:r>
      <w:r w:rsidRPr="00A414A8">
        <w:rPr>
          <w:color w:val="auto"/>
        </w:rPr>
        <w:tab/>
      </w:r>
      <w:r w:rsidR="00D1124B" w:rsidRPr="00A414A8">
        <w:rPr>
          <w:color w:val="auto"/>
        </w:rPr>
        <w:t>ensuring the services are provided according to the plan; and</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(ii)</w:t>
      </w:r>
      <w:r w:rsidRPr="00A414A8">
        <w:rPr>
          <w:color w:val="auto"/>
        </w:rPr>
        <w:tab/>
      </w:r>
      <w:r w:rsidR="00D1124B" w:rsidRPr="00A414A8">
        <w:rPr>
          <w:color w:val="auto"/>
        </w:rPr>
        <w:t>monitoring the patient's compliance with the agreed goals and activities specified in the plan.</w:t>
      </w:r>
    </w:p>
    <w:p w:rsidR="00D1124B" w:rsidRPr="00A414A8" w:rsidRDefault="00D2030B" w:rsidP="00D2030B">
      <w:pPr>
        <w:pStyle w:val="HealthnumLevel5"/>
        <w:numPr>
          <w:ilvl w:val="0"/>
          <w:numId w:val="0"/>
        </w:numPr>
        <w:tabs>
          <w:tab w:val="left" w:pos="936"/>
        </w:tabs>
        <w:autoSpaceDE w:val="0"/>
        <w:autoSpaceDN w:val="0"/>
        <w:ind w:left="936" w:hanging="510"/>
      </w:pPr>
      <w:r w:rsidRPr="00A414A8">
        <w:t>(2)</w:t>
      </w:r>
      <w:r w:rsidRPr="00A414A8">
        <w:tab/>
      </w:r>
      <w:r w:rsidR="00D1124B" w:rsidRPr="00A414A8">
        <w:t>In this rule:</w:t>
      </w:r>
    </w:p>
    <w:p w:rsidR="00D1124B" w:rsidRPr="00A414A8" w:rsidRDefault="00D1124B" w:rsidP="00D1124B">
      <w:pPr>
        <w:pStyle w:val="HealthLevel1"/>
        <w:rPr>
          <w:color w:val="auto"/>
        </w:rPr>
      </w:pPr>
      <w:r w:rsidRPr="00A414A8">
        <w:rPr>
          <w:b/>
          <w:i/>
          <w:color w:val="auto"/>
        </w:rPr>
        <w:t>allied health service</w:t>
      </w:r>
      <w:r w:rsidRPr="00A414A8">
        <w:rPr>
          <w:color w:val="auto"/>
        </w:rPr>
        <w:t xml:space="preserve"> means a health service provided by any of the following allied health professionals who were eligible, at the time the service was provided, to claim a medicare rebate for a service of that type:</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(a)</w:t>
      </w:r>
      <w:r w:rsidRPr="00A414A8">
        <w:rPr>
          <w:color w:val="auto"/>
        </w:rPr>
        <w:tab/>
      </w:r>
      <w:r w:rsidR="00D1124B" w:rsidRPr="00A414A8">
        <w:rPr>
          <w:color w:val="auto"/>
        </w:rPr>
        <w:t>an Aboriginal health worker;</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(b)</w:t>
      </w:r>
      <w:r w:rsidRPr="00A414A8">
        <w:rPr>
          <w:color w:val="auto"/>
        </w:rPr>
        <w:tab/>
      </w:r>
      <w:r w:rsidR="00D1124B" w:rsidRPr="00A414A8">
        <w:rPr>
          <w:color w:val="auto"/>
        </w:rPr>
        <w:t>audiologist;</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(c)</w:t>
      </w:r>
      <w:r w:rsidRPr="00A414A8">
        <w:rPr>
          <w:color w:val="auto"/>
        </w:rPr>
        <w:tab/>
      </w:r>
      <w:r w:rsidR="00D1124B" w:rsidRPr="00A414A8">
        <w:rPr>
          <w:color w:val="auto"/>
        </w:rPr>
        <w:t>chiropodist;</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(d)</w:t>
      </w:r>
      <w:r w:rsidRPr="00A414A8">
        <w:rPr>
          <w:color w:val="auto"/>
        </w:rPr>
        <w:tab/>
      </w:r>
      <w:r w:rsidR="00D1124B" w:rsidRPr="00A414A8">
        <w:rPr>
          <w:color w:val="auto"/>
        </w:rPr>
        <w:t>chiropractor;</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(e)</w:t>
      </w:r>
      <w:r w:rsidRPr="00A414A8">
        <w:rPr>
          <w:color w:val="auto"/>
        </w:rPr>
        <w:tab/>
      </w:r>
      <w:r w:rsidR="00D1124B" w:rsidRPr="00A414A8">
        <w:rPr>
          <w:color w:val="auto"/>
        </w:rPr>
        <w:t>diabetes educator;</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(f)</w:t>
      </w:r>
      <w:r w:rsidRPr="00A414A8">
        <w:rPr>
          <w:color w:val="auto"/>
        </w:rPr>
        <w:tab/>
      </w:r>
      <w:r w:rsidR="00D1124B" w:rsidRPr="00A414A8">
        <w:rPr>
          <w:color w:val="auto"/>
        </w:rPr>
        <w:t>dietician;</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lastRenderedPageBreak/>
        <w:t>(g)</w:t>
      </w:r>
      <w:r w:rsidRPr="00A414A8">
        <w:rPr>
          <w:color w:val="auto"/>
        </w:rPr>
        <w:tab/>
      </w:r>
      <w:r w:rsidR="00D1124B" w:rsidRPr="00A414A8">
        <w:rPr>
          <w:color w:val="auto"/>
        </w:rPr>
        <w:t>exercise physiologist;</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(h)</w:t>
      </w:r>
      <w:r w:rsidRPr="00A414A8">
        <w:rPr>
          <w:color w:val="auto"/>
        </w:rPr>
        <w:tab/>
      </w:r>
      <w:r w:rsidR="00D1124B" w:rsidRPr="00A414A8">
        <w:rPr>
          <w:color w:val="auto"/>
        </w:rPr>
        <w:t>mental health worker;</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(i)</w:t>
      </w:r>
      <w:r w:rsidRPr="00A414A8">
        <w:rPr>
          <w:color w:val="auto"/>
        </w:rPr>
        <w:tab/>
      </w:r>
      <w:r w:rsidR="00D1124B" w:rsidRPr="00A414A8">
        <w:rPr>
          <w:color w:val="auto"/>
        </w:rPr>
        <w:t>occupational therapist;</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(j)</w:t>
      </w:r>
      <w:r w:rsidRPr="00A414A8">
        <w:rPr>
          <w:color w:val="auto"/>
        </w:rPr>
        <w:tab/>
      </w:r>
      <w:r w:rsidR="00D1124B" w:rsidRPr="00A414A8">
        <w:rPr>
          <w:color w:val="auto"/>
        </w:rPr>
        <w:t>osteopath;</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(k)</w:t>
      </w:r>
      <w:r w:rsidRPr="00A414A8">
        <w:rPr>
          <w:color w:val="auto"/>
        </w:rPr>
        <w:tab/>
      </w:r>
      <w:r w:rsidR="00D1124B" w:rsidRPr="00A414A8">
        <w:rPr>
          <w:color w:val="auto"/>
        </w:rPr>
        <w:t>physiotherapist;</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(l)</w:t>
      </w:r>
      <w:r w:rsidRPr="00A414A8">
        <w:rPr>
          <w:color w:val="auto"/>
        </w:rPr>
        <w:tab/>
      </w:r>
      <w:r w:rsidR="00D1124B" w:rsidRPr="00A414A8">
        <w:rPr>
          <w:color w:val="auto"/>
        </w:rPr>
        <w:t>podiatrist;</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(m)</w:t>
      </w:r>
      <w:r w:rsidRPr="00A414A8">
        <w:rPr>
          <w:color w:val="auto"/>
        </w:rPr>
        <w:tab/>
      </w:r>
      <w:r w:rsidR="00D1124B" w:rsidRPr="00A414A8">
        <w:rPr>
          <w:color w:val="auto"/>
        </w:rPr>
        <w:t>psychologist;</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(n)</w:t>
      </w:r>
      <w:r w:rsidRPr="00A414A8">
        <w:rPr>
          <w:color w:val="auto"/>
        </w:rPr>
        <w:tab/>
      </w:r>
      <w:r w:rsidR="00D1124B" w:rsidRPr="00A414A8">
        <w:rPr>
          <w:color w:val="auto"/>
        </w:rPr>
        <w:t>speech pathologist.</w:t>
      </w:r>
    </w:p>
    <w:p w:rsidR="00D1124B" w:rsidRPr="00A414A8" w:rsidRDefault="00D1124B" w:rsidP="00D1124B">
      <w:pPr>
        <w:pStyle w:val="HealthLevel1"/>
        <w:rPr>
          <w:color w:val="auto"/>
        </w:rPr>
      </w:pPr>
      <w:r w:rsidRPr="00A414A8">
        <w:rPr>
          <w:b/>
          <w:i/>
          <w:color w:val="auto"/>
        </w:rPr>
        <w:t>chronic disease</w:t>
      </w:r>
      <w:r w:rsidRPr="00A414A8">
        <w:rPr>
          <w:color w:val="auto"/>
        </w:rPr>
        <w:t xml:space="preserve"> is a disease that has been, or is likely to be, present for at least 6 months, including, but not limited to, asthma, cancer, cardiovascular illness, diabetes mellitus, a mental health condition, arthritis and a musculoskeletal condition.</w:t>
      </w:r>
    </w:p>
    <w:p w:rsidR="00D1124B" w:rsidRPr="00A414A8" w:rsidRDefault="00D1124B" w:rsidP="00D1124B">
      <w:pPr>
        <w:pStyle w:val="HealthLevel1"/>
        <w:rPr>
          <w:color w:val="auto"/>
        </w:rPr>
      </w:pPr>
      <w:r w:rsidRPr="00A414A8">
        <w:rPr>
          <w:b/>
          <w:i/>
          <w:color w:val="auto"/>
        </w:rPr>
        <w:t>risk factors for chronic disease</w:t>
      </w:r>
      <w:r w:rsidRPr="00A414A8">
        <w:rPr>
          <w:color w:val="auto"/>
        </w:rPr>
        <w:t xml:space="preserve"> include, but are not limited to:</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(a)</w:t>
      </w:r>
      <w:r w:rsidRPr="00A414A8">
        <w:rPr>
          <w:color w:val="auto"/>
        </w:rPr>
        <w:tab/>
      </w:r>
      <w:r w:rsidR="00D1124B" w:rsidRPr="00A414A8">
        <w:rPr>
          <w:color w:val="auto"/>
        </w:rPr>
        <w:t>lifestyle risk factors, including, but not limited to, smoking, physical inactivity, poor nutrition or alcohol misuse; and</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(b)</w:t>
      </w:r>
      <w:r w:rsidRPr="00A414A8">
        <w:rPr>
          <w:color w:val="auto"/>
        </w:rPr>
        <w:tab/>
      </w:r>
      <w:r w:rsidR="00D1124B" w:rsidRPr="00A414A8">
        <w:rPr>
          <w:color w:val="auto"/>
        </w:rPr>
        <w:t>biomedical risk factors, such as high cholesterol, high blood pressure, impaired glucose metabolism or excess weight; and</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(c)</w:t>
      </w:r>
      <w:r w:rsidRPr="00A414A8">
        <w:rPr>
          <w:color w:val="auto"/>
        </w:rPr>
        <w:tab/>
      </w:r>
      <w:r w:rsidR="00D1124B" w:rsidRPr="00A414A8">
        <w:rPr>
          <w:color w:val="auto"/>
        </w:rPr>
        <w:t>family history of a chronic disease.</w:t>
      </w:r>
    </w:p>
    <w:p w:rsidR="00D1124B" w:rsidRPr="00A414A8" w:rsidRDefault="00D1124B" w:rsidP="00D1124B">
      <w:pPr>
        <w:pStyle w:val="Heading1NoNum"/>
      </w:pPr>
      <w:bookmarkStart w:id="39" w:name="_Toc76629978"/>
      <w:r w:rsidRPr="00A414A8">
        <w:lastRenderedPageBreak/>
        <w:t>Part 4</w:t>
      </w:r>
      <w:r w:rsidRPr="00A414A8">
        <w:tab/>
        <w:t>Health insurance business</w:t>
      </w:r>
      <w:bookmarkEnd w:id="39"/>
    </w:p>
    <w:p w:rsidR="00D1124B" w:rsidRPr="00A414A8" w:rsidRDefault="00D2030B" w:rsidP="00D2030B">
      <w:pPr>
        <w:pStyle w:val="Heading1"/>
        <w:keepLines w:val="0"/>
        <w:tabs>
          <w:tab w:val="left" w:pos="850"/>
        </w:tabs>
        <w:autoSpaceDE w:val="0"/>
        <w:autoSpaceDN w:val="0"/>
        <w:spacing w:before="360"/>
        <w:ind w:left="850" w:hanging="850"/>
        <w:rPr>
          <w:rFonts w:ascii="Arial" w:hAnsi="Arial" w:cs="Arial"/>
          <w:sz w:val="24"/>
          <w:szCs w:val="24"/>
        </w:rPr>
      </w:pPr>
      <w:bookmarkStart w:id="40" w:name="_Toc76629979"/>
      <w:r w:rsidRPr="00A414A8">
        <w:rPr>
          <w:rFonts w:ascii="Arial" w:hAnsi="Arial" w:cs="Arial"/>
          <w:sz w:val="24"/>
          <w:szCs w:val="24"/>
        </w:rPr>
        <w:t>13.</w:t>
      </w:r>
      <w:r w:rsidRPr="00A414A8">
        <w:rPr>
          <w:rFonts w:ascii="Arial" w:hAnsi="Arial" w:cs="Arial"/>
          <w:sz w:val="24"/>
          <w:szCs w:val="24"/>
        </w:rPr>
        <w:tab/>
      </w:r>
      <w:r w:rsidR="00D1124B" w:rsidRPr="00A414A8">
        <w:rPr>
          <w:rFonts w:ascii="Arial" w:hAnsi="Arial" w:cs="Arial"/>
          <w:sz w:val="24"/>
          <w:szCs w:val="24"/>
        </w:rPr>
        <w:t>Business that is not accident and sickness insurance</w:t>
      </w:r>
      <w:bookmarkEnd w:id="40"/>
    </w:p>
    <w:p w:rsidR="00D1124B" w:rsidRPr="00A414A8" w:rsidRDefault="00D2030B" w:rsidP="00D2030B">
      <w:pPr>
        <w:pStyle w:val="HealthnumLevel5"/>
        <w:numPr>
          <w:ilvl w:val="0"/>
          <w:numId w:val="0"/>
        </w:numPr>
        <w:tabs>
          <w:tab w:val="left" w:pos="936"/>
        </w:tabs>
        <w:autoSpaceDE w:val="0"/>
        <w:autoSpaceDN w:val="0"/>
        <w:ind w:left="936" w:hanging="510"/>
      </w:pPr>
      <w:r w:rsidRPr="00A414A8">
        <w:t>(1)</w:t>
      </w:r>
      <w:r w:rsidRPr="00A414A8">
        <w:tab/>
      </w:r>
      <w:r w:rsidR="00D1124B" w:rsidRPr="00A414A8">
        <w:t>For the purposes of paragraph 121</w:t>
      </w:r>
      <w:r w:rsidR="00A414A8">
        <w:noBreakHyphen/>
      </w:r>
      <w:r w:rsidR="00D1124B" w:rsidRPr="00A414A8">
        <w:t>20 (2) (b) of the Act, the following kinds of business are specified:</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(a)</w:t>
      </w:r>
      <w:r w:rsidRPr="00A414A8">
        <w:rPr>
          <w:color w:val="auto"/>
        </w:rPr>
        <w:tab/>
      </w:r>
      <w:r w:rsidR="00D1124B" w:rsidRPr="00A414A8">
        <w:rPr>
          <w:color w:val="auto"/>
        </w:rPr>
        <w:t>the business of undertaking liability, by way of insurance, to pay a lump sum, or to make periodic payments, on the happening of a personal accident, disease or sickness, where the extent of the insurer’s liability is calculated by reference to, or is in any way contingent upon, a period of time during which a person is a patient in a hospital;</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(b)</w:t>
      </w:r>
      <w:r w:rsidRPr="00A414A8">
        <w:rPr>
          <w:color w:val="auto"/>
        </w:rPr>
        <w:tab/>
      </w:r>
      <w:r w:rsidR="00D1124B" w:rsidRPr="00A414A8">
        <w:rPr>
          <w:color w:val="auto"/>
        </w:rPr>
        <w:t>the business of undertaking liability, by way of insurance, to pay a lump sum, or to make periodic payments, on the happening of a personal accident, disease or sickness, where the business includes the offer, promotion or offer and promotion of a policy (or a group of policies) in which:</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w:t>
      </w:r>
      <w:r w:rsidRPr="00A414A8">
        <w:rPr>
          <w:color w:val="auto"/>
        </w:rPr>
        <w:tab/>
      </w:r>
      <w:r w:rsidR="00D1124B" w:rsidRPr="00A414A8">
        <w:rPr>
          <w:color w:val="auto"/>
        </w:rPr>
        <w:t>the amount of benefit varies according to the kind of insured event that occurs; and</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(ii)</w:t>
      </w:r>
      <w:r w:rsidRPr="00A414A8">
        <w:rPr>
          <w:color w:val="auto"/>
        </w:rPr>
        <w:tab/>
      </w:r>
      <w:r w:rsidR="00D1124B" w:rsidRPr="00A414A8">
        <w:rPr>
          <w:color w:val="auto"/>
        </w:rPr>
        <w:t>the insured event is defined in terms that involve the provision of hospital treatment or relevant health services;</w:t>
      </w:r>
    </w:p>
    <w:p w:rsidR="00D1124B" w:rsidRPr="00A414A8" w:rsidRDefault="00D1124B" w:rsidP="00D1124B">
      <w:pPr>
        <w:pStyle w:val="HealthLevel2"/>
        <w:rPr>
          <w:color w:val="auto"/>
        </w:rPr>
      </w:pPr>
      <w:r w:rsidRPr="00A414A8">
        <w:rPr>
          <w:color w:val="auto"/>
        </w:rPr>
        <w:t>whether or not the insurer’s liability is in any way contingent on any treatment or services being provided to the insured, or on the payment of fees or charges for any treatment or services.</w:t>
      </w:r>
    </w:p>
    <w:p w:rsidR="00D1124B" w:rsidRPr="00A414A8" w:rsidRDefault="00D2030B" w:rsidP="00D2030B">
      <w:pPr>
        <w:pStyle w:val="HealthnumLevel5"/>
        <w:numPr>
          <w:ilvl w:val="0"/>
          <w:numId w:val="0"/>
        </w:numPr>
        <w:tabs>
          <w:tab w:val="left" w:pos="936"/>
        </w:tabs>
        <w:autoSpaceDE w:val="0"/>
        <w:autoSpaceDN w:val="0"/>
        <w:ind w:left="936" w:hanging="510"/>
      </w:pPr>
      <w:r w:rsidRPr="00A414A8">
        <w:t>(2)</w:t>
      </w:r>
      <w:r w:rsidRPr="00A414A8">
        <w:tab/>
      </w:r>
      <w:r w:rsidR="00D1124B" w:rsidRPr="00A414A8">
        <w:t xml:space="preserve">In this rule, </w:t>
      </w:r>
      <w:r w:rsidR="00D1124B" w:rsidRPr="00A414A8">
        <w:rPr>
          <w:b/>
          <w:i/>
        </w:rPr>
        <w:t>relevant health services</w:t>
      </w:r>
      <w:r w:rsidR="00D1124B" w:rsidRPr="00A414A8">
        <w:t xml:space="preserve"> means medical, surgical, diagnostic, nursing, dental, chiropody, chiropractic, eye therapy, occupational therapy, physiotherapy, speech therapy or similar services or treatment.</w:t>
      </w:r>
    </w:p>
    <w:p w:rsidR="00D1124B" w:rsidRPr="00A414A8" w:rsidRDefault="00D2030B" w:rsidP="00D2030B">
      <w:pPr>
        <w:pStyle w:val="Heading1"/>
        <w:keepLines w:val="0"/>
        <w:tabs>
          <w:tab w:val="left" w:pos="850"/>
        </w:tabs>
        <w:autoSpaceDE w:val="0"/>
        <w:autoSpaceDN w:val="0"/>
        <w:spacing w:before="360"/>
        <w:ind w:left="850" w:hanging="850"/>
        <w:rPr>
          <w:rFonts w:ascii="Arial" w:hAnsi="Arial" w:cs="Arial"/>
          <w:sz w:val="24"/>
          <w:szCs w:val="24"/>
        </w:rPr>
      </w:pPr>
      <w:bookmarkStart w:id="41" w:name="_Toc76629980"/>
      <w:bookmarkStart w:id="42" w:name="_Ref161381922"/>
      <w:bookmarkStart w:id="43" w:name="_Ref161382010"/>
      <w:r w:rsidRPr="00A414A8">
        <w:rPr>
          <w:rFonts w:ascii="Arial" w:hAnsi="Arial" w:cs="Arial"/>
          <w:sz w:val="24"/>
          <w:szCs w:val="24"/>
        </w:rPr>
        <w:t>14.</w:t>
      </w:r>
      <w:r w:rsidRPr="00A414A8">
        <w:rPr>
          <w:rFonts w:ascii="Arial" w:hAnsi="Arial" w:cs="Arial"/>
          <w:sz w:val="24"/>
          <w:szCs w:val="24"/>
        </w:rPr>
        <w:tab/>
      </w:r>
      <w:r w:rsidR="00D1124B" w:rsidRPr="00A414A8">
        <w:rPr>
          <w:rFonts w:ascii="Arial" w:hAnsi="Arial" w:cs="Arial"/>
          <w:sz w:val="24"/>
          <w:szCs w:val="24"/>
        </w:rPr>
        <w:t>Health insurance business: exclusions in respect of certain goods</w:t>
      </w:r>
      <w:bookmarkEnd w:id="41"/>
    </w:p>
    <w:p w:rsidR="00D1124B" w:rsidRPr="00A414A8" w:rsidRDefault="00D2030B" w:rsidP="00D2030B">
      <w:pPr>
        <w:pStyle w:val="HealthnumLevel5"/>
        <w:numPr>
          <w:ilvl w:val="0"/>
          <w:numId w:val="0"/>
        </w:numPr>
        <w:tabs>
          <w:tab w:val="left" w:pos="936"/>
        </w:tabs>
        <w:autoSpaceDE w:val="0"/>
        <w:autoSpaceDN w:val="0"/>
        <w:ind w:left="936" w:hanging="510"/>
      </w:pPr>
      <w:r w:rsidRPr="00A414A8">
        <w:t>(1)</w:t>
      </w:r>
      <w:r w:rsidRPr="00A414A8">
        <w:tab/>
      </w:r>
      <w:r w:rsidR="00D1124B" w:rsidRPr="00A414A8">
        <w:t xml:space="preserve">In this rule, </w:t>
      </w:r>
      <w:r w:rsidR="00D1124B" w:rsidRPr="00A414A8">
        <w:rPr>
          <w:b/>
          <w:i/>
        </w:rPr>
        <w:t>relevant service</w:t>
      </w:r>
      <w:r w:rsidR="00D1124B" w:rsidRPr="00A414A8">
        <w:t xml:space="preserve"> means a service involving the supply, alteration, maintenance or repair of any of the following:</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(a)</w:t>
      </w:r>
      <w:r w:rsidRPr="00A414A8">
        <w:rPr>
          <w:color w:val="auto"/>
        </w:rPr>
        <w:tab/>
      </w:r>
      <w:r w:rsidR="00D1124B" w:rsidRPr="00A414A8">
        <w:rPr>
          <w:color w:val="auto"/>
        </w:rPr>
        <w:t>hearing aids;</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(b)</w:t>
      </w:r>
      <w:r w:rsidRPr="00A414A8">
        <w:rPr>
          <w:color w:val="auto"/>
        </w:rPr>
        <w:tab/>
      </w:r>
      <w:r w:rsidR="00D1124B" w:rsidRPr="00A414A8">
        <w:rPr>
          <w:color w:val="auto"/>
        </w:rPr>
        <w:t>spectacles;</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(c)</w:t>
      </w:r>
      <w:r w:rsidRPr="00A414A8">
        <w:rPr>
          <w:color w:val="auto"/>
        </w:rPr>
        <w:tab/>
      </w:r>
      <w:r w:rsidR="00D1124B" w:rsidRPr="00A414A8">
        <w:rPr>
          <w:color w:val="auto"/>
        </w:rPr>
        <w:t>contact lenses;</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(d)</w:t>
      </w:r>
      <w:r w:rsidRPr="00A414A8">
        <w:rPr>
          <w:color w:val="auto"/>
        </w:rPr>
        <w:tab/>
      </w:r>
      <w:r w:rsidR="00D1124B" w:rsidRPr="00A414A8">
        <w:rPr>
          <w:color w:val="auto"/>
        </w:rPr>
        <w:t>artificial teeth, eyes or limbs (including parts of teeth or limbs);</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(e)</w:t>
      </w:r>
      <w:r w:rsidRPr="00A414A8">
        <w:rPr>
          <w:color w:val="auto"/>
        </w:rPr>
        <w:tab/>
      </w:r>
      <w:r w:rsidR="00D1124B" w:rsidRPr="00A414A8">
        <w:rPr>
          <w:color w:val="auto"/>
        </w:rPr>
        <w:t>other medical, surgical, prosthetic or dental aids, equipment or appliances.</w:t>
      </w:r>
    </w:p>
    <w:p w:rsidR="00D1124B" w:rsidRPr="00A414A8" w:rsidRDefault="00D2030B" w:rsidP="00D2030B">
      <w:pPr>
        <w:pStyle w:val="HealthnumLevel5"/>
        <w:numPr>
          <w:ilvl w:val="0"/>
          <w:numId w:val="0"/>
        </w:numPr>
        <w:tabs>
          <w:tab w:val="left" w:pos="936"/>
        </w:tabs>
        <w:autoSpaceDE w:val="0"/>
        <w:autoSpaceDN w:val="0"/>
        <w:ind w:left="936" w:hanging="510"/>
      </w:pPr>
      <w:r w:rsidRPr="00A414A8">
        <w:t>(2)</w:t>
      </w:r>
      <w:r w:rsidRPr="00A414A8">
        <w:tab/>
      </w:r>
      <w:r w:rsidR="00D1124B" w:rsidRPr="00A414A8">
        <w:t>For section 121</w:t>
      </w:r>
      <w:r w:rsidR="00A414A8">
        <w:noBreakHyphen/>
      </w:r>
      <w:r w:rsidR="00D1124B" w:rsidRPr="00A414A8">
        <w:t xml:space="preserve">30 of the Act, the business of undertaking liability, by way of insurance, or an arrangement to make payments under an employee health benefits scheme, with respect to the provision of a relevant service by way of indemnity for damage to, or loss of an item referred to in this rule is not health insurance business </w:t>
      </w:r>
      <w:r w:rsidR="00D1124B" w:rsidRPr="00A414A8">
        <w:lastRenderedPageBreak/>
        <w:t>unless the insurance policy under which the liability is undertaken primarily covers:</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(a)</w:t>
      </w:r>
      <w:r w:rsidRPr="00A414A8">
        <w:rPr>
          <w:color w:val="auto"/>
        </w:rPr>
        <w:tab/>
      </w:r>
      <w:r w:rsidR="00D1124B" w:rsidRPr="00A414A8">
        <w:rPr>
          <w:color w:val="auto"/>
        </w:rPr>
        <w:t>hospital treatment; or</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(b)</w:t>
      </w:r>
      <w:r w:rsidRPr="00A414A8">
        <w:rPr>
          <w:color w:val="auto"/>
        </w:rPr>
        <w:tab/>
      </w:r>
      <w:r w:rsidR="00D1124B" w:rsidRPr="00A414A8">
        <w:rPr>
          <w:color w:val="auto"/>
        </w:rPr>
        <w:t>general treatment; or</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(c)</w:t>
      </w:r>
      <w:r w:rsidRPr="00A414A8">
        <w:rPr>
          <w:color w:val="auto"/>
        </w:rPr>
        <w:tab/>
      </w:r>
      <w:r w:rsidR="00D1124B" w:rsidRPr="00A414A8">
        <w:rPr>
          <w:color w:val="auto"/>
        </w:rPr>
        <w:t>both hospital treatment and general treatment.</w:t>
      </w:r>
    </w:p>
    <w:p w:rsidR="00D1124B" w:rsidRPr="00A414A8" w:rsidRDefault="00D2030B" w:rsidP="00D2030B">
      <w:pPr>
        <w:pStyle w:val="Heading1"/>
        <w:keepLines w:val="0"/>
        <w:tabs>
          <w:tab w:val="left" w:pos="850"/>
        </w:tabs>
        <w:autoSpaceDE w:val="0"/>
        <w:autoSpaceDN w:val="0"/>
        <w:spacing w:before="360"/>
        <w:ind w:left="850" w:hanging="850"/>
        <w:rPr>
          <w:rFonts w:ascii="Arial" w:hAnsi="Arial" w:cs="Arial"/>
          <w:sz w:val="24"/>
          <w:szCs w:val="24"/>
        </w:rPr>
      </w:pPr>
      <w:bookmarkStart w:id="44" w:name="_Toc76629981"/>
      <w:r w:rsidRPr="00A414A8">
        <w:rPr>
          <w:rFonts w:ascii="Arial" w:hAnsi="Arial" w:cs="Arial"/>
          <w:sz w:val="24"/>
          <w:szCs w:val="24"/>
        </w:rPr>
        <w:t>15.</w:t>
      </w:r>
      <w:r w:rsidRPr="00A414A8">
        <w:rPr>
          <w:rFonts w:ascii="Arial" w:hAnsi="Arial" w:cs="Arial"/>
          <w:sz w:val="24"/>
          <w:szCs w:val="24"/>
        </w:rPr>
        <w:tab/>
      </w:r>
      <w:r w:rsidR="00D1124B" w:rsidRPr="00A414A8">
        <w:rPr>
          <w:rFonts w:ascii="Arial" w:hAnsi="Arial" w:cs="Arial"/>
          <w:sz w:val="24"/>
          <w:szCs w:val="24"/>
        </w:rPr>
        <w:t>Insurance that is not health insurance business</w:t>
      </w:r>
      <w:bookmarkEnd w:id="42"/>
      <w:bookmarkEnd w:id="43"/>
      <w:bookmarkEnd w:id="44"/>
    </w:p>
    <w:p w:rsidR="00D1124B" w:rsidRPr="00A414A8" w:rsidRDefault="00D2030B" w:rsidP="00D2030B">
      <w:pPr>
        <w:pStyle w:val="HealthnumLevel5"/>
        <w:numPr>
          <w:ilvl w:val="0"/>
          <w:numId w:val="0"/>
        </w:numPr>
        <w:tabs>
          <w:tab w:val="left" w:pos="936"/>
        </w:tabs>
        <w:autoSpaceDE w:val="0"/>
        <w:autoSpaceDN w:val="0"/>
        <w:ind w:left="936" w:hanging="510"/>
      </w:pPr>
      <w:bookmarkStart w:id="45" w:name="_Ref155206704"/>
      <w:bookmarkStart w:id="46" w:name="_Ref161421997"/>
      <w:r w:rsidRPr="00A414A8">
        <w:t>(1)</w:t>
      </w:r>
      <w:r w:rsidRPr="00A414A8">
        <w:tab/>
      </w:r>
      <w:r w:rsidR="00D1124B" w:rsidRPr="00A414A8">
        <w:t>For section 121</w:t>
      </w:r>
      <w:r w:rsidR="00A414A8">
        <w:noBreakHyphen/>
      </w:r>
      <w:r w:rsidR="00D1124B" w:rsidRPr="00A414A8">
        <w:t>30 of the Act, the business of undertaking liability, by way of insurance, or an arrangement to make payments under an employee health benefits scheme is not</w:t>
      </w:r>
      <w:r w:rsidR="00D1124B" w:rsidRPr="00A414A8">
        <w:rPr>
          <w:b/>
        </w:rPr>
        <w:t xml:space="preserve"> </w:t>
      </w:r>
      <w:r w:rsidR="00D1124B" w:rsidRPr="00A414A8">
        <w:t>health insurance business if the insurance, whether provided by a private health insurer or other person, covers:</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(a)</w:t>
      </w:r>
      <w:r w:rsidRPr="00A414A8">
        <w:rPr>
          <w:color w:val="auto"/>
        </w:rPr>
        <w:tab/>
      </w:r>
      <w:r w:rsidR="00D1124B" w:rsidRPr="00A414A8">
        <w:rPr>
          <w:color w:val="auto"/>
        </w:rPr>
        <w:t>a matter referred to in subsection 121</w:t>
      </w:r>
      <w:r w:rsidR="00A414A8">
        <w:rPr>
          <w:color w:val="auto"/>
        </w:rPr>
        <w:noBreakHyphen/>
      </w:r>
      <w:r w:rsidR="00D1124B" w:rsidRPr="00A414A8">
        <w:rPr>
          <w:color w:val="auto"/>
        </w:rPr>
        <w:t>1 (2) of the Act; and</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(b)</w:t>
      </w:r>
      <w:r w:rsidRPr="00A414A8">
        <w:rPr>
          <w:color w:val="auto"/>
        </w:rPr>
        <w:tab/>
      </w:r>
      <w:r w:rsidR="00D1124B" w:rsidRPr="00A414A8">
        <w:rPr>
          <w:color w:val="auto"/>
        </w:rPr>
        <w:t xml:space="preserve">a person referred to in any of subrules </w:t>
      </w:r>
      <w:r w:rsidR="00AC30FC" w:rsidRPr="00A414A8">
        <w:rPr>
          <w:color w:val="auto"/>
        </w:rPr>
        <w:t xml:space="preserve">(3) </w:t>
      </w:r>
      <w:r w:rsidR="00D1124B" w:rsidRPr="00A414A8">
        <w:rPr>
          <w:color w:val="auto"/>
        </w:rPr>
        <w:t xml:space="preserve">to </w:t>
      </w:r>
      <w:r w:rsidR="00AC30FC" w:rsidRPr="00A414A8">
        <w:rPr>
          <w:color w:val="auto"/>
        </w:rPr>
        <w:t xml:space="preserve">(8) </w:t>
      </w:r>
      <w:r w:rsidR="00D1124B" w:rsidRPr="00A414A8">
        <w:rPr>
          <w:color w:val="auto"/>
        </w:rPr>
        <w:t>in the circumstances stated in the subrule in respect of that person.</w:t>
      </w:r>
    </w:p>
    <w:p w:rsidR="00D1124B" w:rsidRPr="00A414A8" w:rsidRDefault="00D2030B" w:rsidP="00D2030B">
      <w:pPr>
        <w:pStyle w:val="HealthnumLevel5"/>
        <w:numPr>
          <w:ilvl w:val="0"/>
          <w:numId w:val="0"/>
        </w:numPr>
        <w:tabs>
          <w:tab w:val="left" w:pos="936"/>
        </w:tabs>
        <w:autoSpaceDE w:val="0"/>
        <w:autoSpaceDN w:val="0"/>
        <w:ind w:left="936" w:hanging="510"/>
      </w:pPr>
      <w:r w:rsidRPr="00A414A8">
        <w:t>(2)</w:t>
      </w:r>
      <w:r w:rsidRPr="00A414A8">
        <w:tab/>
      </w:r>
      <w:r w:rsidR="00D1124B" w:rsidRPr="00A414A8">
        <w:t>This rule does not limit the operation of a person's complying health insurance policy that covers the relevant treatment.</w:t>
      </w:r>
    </w:p>
    <w:p w:rsidR="00D1124B" w:rsidRPr="00A414A8" w:rsidRDefault="00D1124B" w:rsidP="00D1124B">
      <w:pPr>
        <w:pStyle w:val="Healthnote"/>
        <w:ind w:left="1701" w:hanging="850"/>
        <w:rPr>
          <w:color w:val="auto"/>
        </w:rPr>
      </w:pPr>
      <w:r w:rsidRPr="00A414A8">
        <w:rPr>
          <w:color w:val="auto"/>
        </w:rPr>
        <w:t>Note:</w:t>
      </w:r>
      <w:r w:rsidRPr="00A414A8">
        <w:rPr>
          <w:color w:val="auto"/>
        </w:rPr>
        <w:tab/>
        <w:t>A complying health insurance policy must meet the coverage requirements specified in section 63</w:t>
      </w:r>
      <w:r w:rsidR="00A414A8">
        <w:rPr>
          <w:color w:val="auto"/>
        </w:rPr>
        <w:noBreakHyphen/>
      </w:r>
      <w:r w:rsidRPr="00A414A8">
        <w:rPr>
          <w:color w:val="auto"/>
        </w:rPr>
        <w:t>10 of the Act.</w:t>
      </w:r>
      <w:bookmarkEnd w:id="45"/>
      <w:bookmarkEnd w:id="46"/>
    </w:p>
    <w:p w:rsidR="00D1124B" w:rsidRPr="00A414A8" w:rsidRDefault="00D2030B" w:rsidP="00D2030B">
      <w:pPr>
        <w:pStyle w:val="HealthnumLevel5"/>
        <w:numPr>
          <w:ilvl w:val="0"/>
          <w:numId w:val="0"/>
        </w:numPr>
        <w:tabs>
          <w:tab w:val="left" w:pos="936"/>
        </w:tabs>
        <w:autoSpaceDE w:val="0"/>
        <w:autoSpaceDN w:val="0"/>
        <w:ind w:left="936" w:hanging="510"/>
      </w:pPr>
      <w:bookmarkStart w:id="47" w:name="_Ref161507393"/>
      <w:r w:rsidRPr="00A414A8">
        <w:t>(3)</w:t>
      </w:r>
      <w:r w:rsidRPr="00A414A8">
        <w:tab/>
      </w:r>
      <w:r w:rsidR="00D1124B" w:rsidRPr="00A414A8">
        <w:rPr>
          <w:b/>
          <w:i/>
        </w:rPr>
        <w:t>A resident temporarily employed outside Australia</w:t>
      </w:r>
      <w:r w:rsidR="00D1124B" w:rsidRPr="00A414A8">
        <w:t>―insurance for a person who is a resident of Australia and engaged in temporary employment outside Australia, or a dependant of that person, in respect of whom an insurance policy provides that liability for hospital treatment or general treatment may arise:</w:t>
      </w:r>
      <w:bookmarkEnd w:id="47"/>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(a)</w:t>
      </w:r>
      <w:r w:rsidRPr="00A414A8">
        <w:rPr>
          <w:color w:val="auto"/>
        </w:rPr>
        <w:tab/>
      </w:r>
      <w:r w:rsidR="00D1124B" w:rsidRPr="00A414A8">
        <w:rPr>
          <w:color w:val="auto"/>
        </w:rPr>
        <w:t>in Australia; or</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(b)</w:t>
      </w:r>
      <w:r w:rsidRPr="00A414A8">
        <w:rPr>
          <w:color w:val="auto"/>
        </w:rPr>
        <w:tab/>
      </w:r>
      <w:r w:rsidR="00D1124B" w:rsidRPr="00A414A8">
        <w:rPr>
          <w:color w:val="auto"/>
        </w:rPr>
        <w:t>outside Australia, if the absence of the person from Australia is due to the temporary employment.</w:t>
      </w:r>
    </w:p>
    <w:p w:rsidR="00D1124B" w:rsidRPr="00A414A8" w:rsidRDefault="00D2030B" w:rsidP="00D2030B">
      <w:pPr>
        <w:pStyle w:val="HealthnumLevel5"/>
        <w:numPr>
          <w:ilvl w:val="0"/>
          <w:numId w:val="0"/>
        </w:numPr>
        <w:tabs>
          <w:tab w:val="left" w:pos="936"/>
        </w:tabs>
        <w:autoSpaceDE w:val="0"/>
        <w:autoSpaceDN w:val="0"/>
        <w:ind w:left="936" w:hanging="510"/>
      </w:pPr>
      <w:bookmarkStart w:id="48" w:name="_Ref161569108"/>
      <w:r w:rsidRPr="00A414A8">
        <w:t>(4)</w:t>
      </w:r>
      <w:r w:rsidRPr="00A414A8">
        <w:tab/>
      </w:r>
      <w:r w:rsidR="00D1124B" w:rsidRPr="00A414A8">
        <w:rPr>
          <w:b/>
          <w:i/>
        </w:rPr>
        <w:t>A person on board a cruise ship</w:t>
      </w:r>
      <w:r w:rsidR="00D1124B" w:rsidRPr="00A414A8">
        <w:t>―a person who is an eligible person and where the cover for that person is for treatment provided while the person is on board a cruise ship that is:</w:t>
      </w:r>
      <w:bookmarkEnd w:id="48"/>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(a)</w:t>
      </w:r>
      <w:r w:rsidRPr="00A414A8">
        <w:rPr>
          <w:color w:val="auto"/>
        </w:rPr>
        <w:tab/>
      </w:r>
      <w:r w:rsidR="00D1124B" w:rsidRPr="00A414A8">
        <w:rPr>
          <w:color w:val="auto"/>
        </w:rPr>
        <w:t>in the coastal sea of Australia; or</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(b)</w:t>
      </w:r>
      <w:r w:rsidRPr="00A414A8">
        <w:rPr>
          <w:color w:val="auto"/>
        </w:rPr>
        <w:tab/>
      </w:r>
      <w:r w:rsidR="00D1124B" w:rsidRPr="00A414A8">
        <w:rPr>
          <w:color w:val="auto"/>
        </w:rPr>
        <w:t>in the internal waters of a State or an internal Territory.</w:t>
      </w:r>
    </w:p>
    <w:p w:rsidR="00D1124B" w:rsidRPr="00A414A8" w:rsidRDefault="00D2030B" w:rsidP="00D2030B">
      <w:pPr>
        <w:pStyle w:val="HealthnumLevel5"/>
        <w:numPr>
          <w:ilvl w:val="0"/>
          <w:numId w:val="0"/>
        </w:numPr>
        <w:tabs>
          <w:tab w:val="left" w:pos="936"/>
        </w:tabs>
        <w:autoSpaceDE w:val="0"/>
        <w:autoSpaceDN w:val="0"/>
        <w:ind w:left="936" w:hanging="510"/>
      </w:pPr>
      <w:r w:rsidRPr="00A414A8">
        <w:t>(5)</w:t>
      </w:r>
      <w:r w:rsidRPr="00A414A8">
        <w:tab/>
      </w:r>
      <w:r w:rsidR="00D1124B" w:rsidRPr="00A414A8">
        <w:rPr>
          <w:b/>
          <w:i/>
        </w:rPr>
        <w:t>Volunteers, sporting and youth activities</w:t>
      </w:r>
      <w:r w:rsidR="00D1124B" w:rsidRPr="00A414A8">
        <w:t>―a person in respect of the occurrence, in relation to that person, of one of the following events:</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(a)</w:t>
      </w:r>
      <w:r w:rsidRPr="00A414A8">
        <w:rPr>
          <w:color w:val="auto"/>
        </w:rPr>
        <w:tab/>
      </w:r>
      <w:r w:rsidR="00D1124B" w:rsidRPr="00A414A8">
        <w:rPr>
          <w:color w:val="auto"/>
        </w:rPr>
        <w:t>an event occurring while the person is, without payment, providing services to an educational, religious, charitable or benevolent organisation or while that person is travelling to or from the place where those services are provided;</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(b)</w:t>
      </w:r>
      <w:r w:rsidRPr="00A414A8">
        <w:rPr>
          <w:color w:val="auto"/>
        </w:rPr>
        <w:tab/>
      </w:r>
      <w:r w:rsidR="00D1124B" w:rsidRPr="00A414A8">
        <w:rPr>
          <w:color w:val="auto"/>
        </w:rPr>
        <w:t>an event occurring while the person;</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w:t>
      </w:r>
      <w:r w:rsidRPr="00A414A8">
        <w:rPr>
          <w:color w:val="auto"/>
        </w:rPr>
        <w:tab/>
      </w:r>
      <w:r w:rsidR="00D1124B" w:rsidRPr="00A414A8">
        <w:rPr>
          <w:color w:val="auto"/>
        </w:rPr>
        <w:t>is engaged in a sporting activity (in the capacity of a participant, adjudicator, judge, referee or umpire or in a similar capacity); or</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lastRenderedPageBreak/>
        <w:t>(ii)</w:t>
      </w:r>
      <w:r w:rsidRPr="00A414A8">
        <w:rPr>
          <w:color w:val="auto"/>
        </w:rPr>
        <w:tab/>
      </w:r>
      <w:r w:rsidR="00D1124B" w:rsidRPr="00A414A8">
        <w:rPr>
          <w:color w:val="auto"/>
        </w:rPr>
        <w:t>is acting as an official at, or otherwise assisting in the conduct of, a sporting activity; or</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(iii)</w:t>
      </w:r>
      <w:r w:rsidRPr="00A414A8">
        <w:rPr>
          <w:color w:val="auto"/>
        </w:rPr>
        <w:tab/>
      </w:r>
      <w:r w:rsidR="00D1124B" w:rsidRPr="00A414A8">
        <w:rPr>
          <w:color w:val="auto"/>
        </w:rPr>
        <w:t>is acting in his or her capacity as an elected or appointed official of a sporting organisation;</w:t>
      </w:r>
    </w:p>
    <w:p w:rsidR="00D1124B" w:rsidRPr="00A414A8" w:rsidRDefault="00D1124B" w:rsidP="00D1124B">
      <w:pPr>
        <w:pStyle w:val="HealthLevel2"/>
        <w:rPr>
          <w:color w:val="auto"/>
        </w:rPr>
      </w:pPr>
      <w:r w:rsidRPr="00A414A8">
        <w:rPr>
          <w:color w:val="auto"/>
        </w:rPr>
        <w:t>or while that person is travelling to or from:</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(iv)</w:t>
      </w:r>
      <w:r w:rsidRPr="00A414A8">
        <w:rPr>
          <w:color w:val="auto"/>
        </w:rPr>
        <w:tab/>
      </w:r>
      <w:r w:rsidR="00D1124B" w:rsidRPr="00A414A8">
        <w:rPr>
          <w:color w:val="auto"/>
        </w:rPr>
        <w:t>that activity; or</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(v)</w:t>
      </w:r>
      <w:r w:rsidRPr="00A414A8">
        <w:rPr>
          <w:color w:val="auto"/>
        </w:rPr>
        <w:tab/>
      </w:r>
      <w:r w:rsidR="00D1124B" w:rsidRPr="00A414A8">
        <w:rPr>
          <w:color w:val="auto"/>
        </w:rPr>
        <w:t>the place where that person acts in that capacity;</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szCs w:val="32"/>
        </w:rPr>
      </w:pPr>
      <w:r w:rsidRPr="00A414A8">
        <w:rPr>
          <w:color w:val="auto"/>
          <w:szCs w:val="32"/>
        </w:rPr>
        <w:t>(c)</w:t>
      </w:r>
      <w:r w:rsidRPr="00A414A8">
        <w:rPr>
          <w:color w:val="auto"/>
          <w:szCs w:val="32"/>
        </w:rPr>
        <w:tab/>
      </w:r>
      <w:r w:rsidR="00D1124B" w:rsidRPr="00A414A8">
        <w:rPr>
          <w:color w:val="auto"/>
        </w:rPr>
        <w:t>an event occurring while the person is engaged in youth activities organised by a voluntary organisation (for example, the Girl Guides Association of Australia, the Scout Association of Australia, the Y.M.C.A. of Australia, the Y.W.C.A. of Australia or a police citizens youth club) or while that person is travelling to or from such activities.</w:t>
      </w:r>
    </w:p>
    <w:p w:rsidR="00D1124B" w:rsidRPr="00A414A8" w:rsidRDefault="00D2030B" w:rsidP="00D2030B">
      <w:pPr>
        <w:pStyle w:val="HealthnumLevel5"/>
        <w:numPr>
          <w:ilvl w:val="0"/>
          <w:numId w:val="0"/>
        </w:numPr>
        <w:tabs>
          <w:tab w:val="left" w:pos="936"/>
        </w:tabs>
        <w:autoSpaceDE w:val="0"/>
        <w:autoSpaceDN w:val="0"/>
        <w:ind w:left="936" w:hanging="510"/>
      </w:pPr>
      <w:r w:rsidRPr="00A414A8">
        <w:t>(6)</w:t>
      </w:r>
      <w:r w:rsidRPr="00A414A8">
        <w:tab/>
      </w:r>
      <w:r w:rsidR="00D1124B" w:rsidRPr="00A414A8">
        <w:rPr>
          <w:b/>
          <w:i/>
        </w:rPr>
        <w:t>Student activities</w:t>
      </w:r>
      <w:r w:rsidR="00D1124B" w:rsidRPr="00A414A8">
        <w:t>―a student at an educational institution, in respect of an event occurring while that person:</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(a)</w:t>
      </w:r>
      <w:r w:rsidRPr="00A414A8">
        <w:rPr>
          <w:color w:val="auto"/>
        </w:rPr>
        <w:tab/>
      </w:r>
      <w:r w:rsidR="00D1124B" w:rsidRPr="00A414A8">
        <w:rPr>
          <w:color w:val="auto"/>
        </w:rPr>
        <w:t>is attending that institution in accordance with the requirements of that institution; or</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(b)</w:t>
      </w:r>
      <w:r w:rsidRPr="00A414A8">
        <w:rPr>
          <w:color w:val="auto"/>
        </w:rPr>
        <w:tab/>
      </w:r>
      <w:r w:rsidR="00D1124B" w:rsidRPr="00A414A8">
        <w:rPr>
          <w:color w:val="auto"/>
        </w:rPr>
        <w:t>is, in the course of such attendance, taking part in an activity organised and supervised by that institution; or</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(c)</w:t>
      </w:r>
      <w:r w:rsidRPr="00A414A8">
        <w:rPr>
          <w:color w:val="auto"/>
        </w:rPr>
        <w:tab/>
      </w:r>
      <w:r w:rsidR="00D1124B" w:rsidRPr="00A414A8">
        <w:rPr>
          <w:color w:val="auto"/>
        </w:rPr>
        <w:t>is travelling to or from such attendance at that institution.</w:t>
      </w:r>
    </w:p>
    <w:p w:rsidR="00D1124B" w:rsidRPr="00A414A8" w:rsidRDefault="00D2030B" w:rsidP="00D2030B">
      <w:pPr>
        <w:pStyle w:val="HealthnumLevel5"/>
        <w:numPr>
          <w:ilvl w:val="0"/>
          <w:numId w:val="0"/>
        </w:numPr>
        <w:tabs>
          <w:tab w:val="left" w:pos="936"/>
        </w:tabs>
        <w:autoSpaceDE w:val="0"/>
        <w:autoSpaceDN w:val="0"/>
        <w:ind w:left="936" w:hanging="510"/>
      </w:pPr>
      <w:r w:rsidRPr="00A414A8">
        <w:t>(7)</w:t>
      </w:r>
      <w:r w:rsidRPr="00A414A8">
        <w:tab/>
      </w:r>
      <w:r w:rsidR="00D1124B" w:rsidRPr="00A414A8">
        <w:rPr>
          <w:b/>
          <w:i/>
        </w:rPr>
        <w:t>Secondary school students</w:t>
      </w:r>
      <w:r w:rsidR="00D1124B" w:rsidRPr="00A414A8">
        <w:t>―a secondary school student, in respect of an event occurring while that person is undertaking, as part of the student's curriculum, non</w:t>
      </w:r>
      <w:r w:rsidR="00A414A8">
        <w:noBreakHyphen/>
      </w:r>
      <w:r w:rsidR="00D1124B" w:rsidRPr="00A414A8">
        <w:t>remunerative work in a work environment unconnected with the school in order to gain work experience or while that person is travelling to or from that work.</w:t>
      </w:r>
    </w:p>
    <w:p w:rsidR="00D1124B" w:rsidRPr="00A414A8" w:rsidRDefault="00D2030B" w:rsidP="00D2030B">
      <w:pPr>
        <w:pStyle w:val="HealthnumLevel5"/>
        <w:numPr>
          <w:ilvl w:val="0"/>
          <w:numId w:val="0"/>
        </w:numPr>
        <w:tabs>
          <w:tab w:val="left" w:pos="936"/>
        </w:tabs>
        <w:autoSpaceDE w:val="0"/>
        <w:autoSpaceDN w:val="0"/>
        <w:ind w:left="936" w:hanging="510"/>
      </w:pPr>
      <w:bookmarkStart w:id="49" w:name="_Ref155267950"/>
      <w:r w:rsidRPr="00A414A8">
        <w:t>(8)</w:t>
      </w:r>
      <w:r w:rsidRPr="00A414A8">
        <w:tab/>
      </w:r>
      <w:r w:rsidR="00D1124B" w:rsidRPr="00A414A8">
        <w:rPr>
          <w:b/>
          <w:i/>
        </w:rPr>
        <w:t>People undertaking Commonwealth</w:t>
      </w:r>
      <w:r w:rsidR="00A414A8">
        <w:rPr>
          <w:b/>
          <w:i/>
        </w:rPr>
        <w:noBreakHyphen/>
      </w:r>
      <w:r w:rsidR="00D1124B" w:rsidRPr="00A414A8">
        <w:rPr>
          <w:b/>
          <w:i/>
        </w:rPr>
        <w:t>funded activities</w:t>
      </w:r>
      <w:r w:rsidR="00D1124B" w:rsidRPr="00A414A8">
        <w:t>―a person to whom a law of a State or Territory relating to workers’ compensation does not apply, in respect of an event occurring while the person:</w:t>
      </w:r>
      <w:bookmarkEnd w:id="49"/>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(a)</w:t>
      </w:r>
      <w:r w:rsidRPr="00A414A8">
        <w:rPr>
          <w:color w:val="auto"/>
        </w:rPr>
        <w:tab/>
      </w:r>
      <w:r w:rsidR="00D1124B" w:rsidRPr="00A414A8">
        <w:rPr>
          <w:color w:val="auto"/>
        </w:rPr>
        <w:t>is undertaking an activity that is part of an employment, education, training or youth program, or initiative, administered or funded by the Commonwealth, including specialist employment services for people with disabilities; or</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(b)</w:t>
      </w:r>
      <w:r w:rsidRPr="00A414A8">
        <w:rPr>
          <w:color w:val="auto"/>
        </w:rPr>
        <w:tab/>
      </w:r>
      <w:r w:rsidR="00D1124B" w:rsidRPr="00A414A8">
        <w:rPr>
          <w:color w:val="auto"/>
        </w:rPr>
        <w:t>is travelling to a place to undertake such an activity or travelling from a place after undertaking the activity at that place.</w:t>
      </w:r>
    </w:p>
    <w:p w:rsidR="00D1124B" w:rsidRPr="00A414A8" w:rsidRDefault="00D2030B" w:rsidP="00D2030B">
      <w:pPr>
        <w:pStyle w:val="Heading1"/>
        <w:keepLines w:val="0"/>
        <w:tabs>
          <w:tab w:val="left" w:pos="850"/>
        </w:tabs>
        <w:autoSpaceDE w:val="0"/>
        <w:autoSpaceDN w:val="0"/>
        <w:spacing w:before="360"/>
        <w:ind w:left="850" w:hanging="850"/>
        <w:rPr>
          <w:rFonts w:ascii="Arial" w:hAnsi="Arial" w:cs="Arial"/>
          <w:sz w:val="24"/>
          <w:szCs w:val="24"/>
        </w:rPr>
      </w:pPr>
      <w:bookmarkStart w:id="50" w:name="_Toc76629982"/>
      <w:r w:rsidRPr="00A414A8">
        <w:rPr>
          <w:rFonts w:ascii="Arial" w:hAnsi="Arial" w:cs="Arial"/>
          <w:sz w:val="24"/>
          <w:szCs w:val="24"/>
        </w:rPr>
        <w:t>16.</w:t>
      </w:r>
      <w:r w:rsidRPr="00A414A8">
        <w:rPr>
          <w:rFonts w:ascii="Arial" w:hAnsi="Arial" w:cs="Arial"/>
          <w:sz w:val="24"/>
          <w:szCs w:val="24"/>
        </w:rPr>
        <w:tab/>
      </w:r>
      <w:r w:rsidR="00D1124B" w:rsidRPr="00A414A8">
        <w:rPr>
          <w:rFonts w:ascii="Arial" w:hAnsi="Arial" w:cs="Arial"/>
          <w:sz w:val="24"/>
          <w:szCs w:val="24"/>
        </w:rPr>
        <w:t>Health insurance business: death or disability benefits</w:t>
      </w:r>
      <w:bookmarkEnd w:id="50"/>
    </w:p>
    <w:p w:rsidR="00D1124B" w:rsidRPr="00A414A8" w:rsidRDefault="00D2030B" w:rsidP="00D2030B">
      <w:pPr>
        <w:pStyle w:val="HealthnumLevel5"/>
        <w:numPr>
          <w:ilvl w:val="0"/>
          <w:numId w:val="0"/>
        </w:numPr>
        <w:tabs>
          <w:tab w:val="left" w:pos="936"/>
        </w:tabs>
        <w:autoSpaceDE w:val="0"/>
        <w:autoSpaceDN w:val="0"/>
        <w:ind w:left="936" w:hanging="510"/>
      </w:pPr>
      <w:r w:rsidRPr="00A414A8">
        <w:t>(1)</w:t>
      </w:r>
      <w:r w:rsidRPr="00A414A8">
        <w:tab/>
      </w:r>
      <w:r w:rsidR="00D1124B" w:rsidRPr="00A414A8">
        <w:t>For the purpose of section 121</w:t>
      </w:r>
      <w:r w:rsidR="00A414A8">
        <w:noBreakHyphen/>
      </w:r>
      <w:r w:rsidR="00D1124B" w:rsidRPr="00A414A8">
        <w:t>30 of the Act, the business of undertaking liability, by way of insurance, is not health insurance business where the liability is for:</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(a)</w:t>
      </w:r>
      <w:r w:rsidRPr="00A414A8">
        <w:rPr>
          <w:color w:val="auto"/>
        </w:rPr>
        <w:tab/>
      </w:r>
      <w:r w:rsidR="00D1124B" w:rsidRPr="00A414A8">
        <w:rPr>
          <w:color w:val="auto"/>
        </w:rPr>
        <w:t>death benefits; or</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(b)</w:t>
      </w:r>
      <w:r w:rsidRPr="00A414A8">
        <w:rPr>
          <w:color w:val="auto"/>
        </w:rPr>
        <w:tab/>
      </w:r>
      <w:r w:rsidR="00D1124B" w:rsidRPr="00A414A8">
        <w:rPr>
          <w:color w:val="auto"/>
        </w:rPr>
        <w:t>benefits payable if the insured is more likely than not to die within 2 years after making a claim for illness or injury; or</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lastRenderedPageBreak/>
        <w:t>(c)</w:t>
      </w:r>
      <w:r w:rsidRPr="00A414A8">
        <w:rPr>
          <w:color w:val="auto"/>
        </w:rPr>
        <w:tab/>
      </w:r>
      <w:r w:rsidR="00D1124B" w:rsidRPr="00A414A8">
        <w:rPr>
          <w:color w:val="auto"/>
        </w:rPr>
        <w:t>benefits payable if the insured has a disability caused by an illness or injury and because of the disability:</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w:t>
      </w:r>
      <w:r w:rsidRPr="00A414A8">
        <w:rPr>
          <w:color w:val="auto"/>
        </w:rPr>
        <w:tab/>
      </w:r>
      <w:r w:rsidR="00D1124B" w:rsidRPr="00A414A8">
        <w:rPr>
          <w:color w:val="auto"/>
        </w:rPr>
        <w:t>is permanently unable to work in the category of occupation defined in the policy; or</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(ii)</w:t>
      </w:r>
      <w:r w:rsidRPr="00A414A8">
        <w:rPr>
          <w:color w:val="auto"/>
        </w:rPr>
        <w:tab/>
      </w:r>
      <w:r w:rsidR="00D1124B" w:rsidRPr="00A414A8">
        <w:rPr>
          <w:color w:val="auto"/>
        </w:rPr>
        <w:t>is accepted by the insurer as being unable to work because of loss of sight or limb; or</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(d)</w:t>
      </w:r>
      <w:r w:rsidRPr="00A414A8">
        <w:rPr>
          <w:color w:val="auto"/>
        </w:rPr>
        <w:tab/>
      </w:r>
      <w:r w:rsidR="00D1124B" w:rsidRPr="00A414A8">
        <w:rPr>
          <w:color w:val="auto"/>
        </w:rPr>
        <w:t>benefits payable as income replacement or as premium payments for an insurance policy because the insured is disabled and restricted from earning income; or</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(e)</w:t>
      </w:r>
      <w:r w:rsidRPr="00A414A8">
        <w:rPr>
          <w:color w:val="auto"/>
        </w:rPr>
        <w:tab/>
      </w:r>
      <w:r w:rsidR="00D1124B" w:rsidRPr="00A414A8">
        <w:rPr>
          <w:color w:val="auto"/>
        </w:rPr>
        <w:t>if the insured is not employed — benefits payable by reference to the time for which the insured is disabled and cannot carry out domestic activities; or</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(f)</w:t>
      </w:r>
      <w:r w:rsidRPr="00A414A8">
        <w:rPr>
          <w:color w:val="auto"/>
        </w:rPr>
        <w:tab/>
      </w:r>
      <w:r w:rsidR="00D1124B" w:rsidRPr="00A414A8">
        <w:rPr>
          <w:color w:val="auto"/>
        </w:rPr>
        <w:t>benefits payable:</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w:t>
      </w:r>
      <w:r w:rsidRPr="00A414A8">
        <w:rPr>
          <w:color w:val="auto"/>
        </w:rPr>
        <w:tab/>
      </w:r>
      <w:r w:rsidR="00D1124B" w:rsidRPr="00A414A8">
        <w:rPr>
          <w:color w:val="auto"/>
        </w:rPr>
        <w:t>because of an event defined in the policy; and</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(ii)</w:t>
      </w:r>
      <w:r w:rsidRPr="00A414A8">
        <w:rPr>
          <w:color w:val="auto"/>
        </w:rPr>
        <w:tab/>
      </w:r>
      <w:r w:rsidR="00D1124B" w:rsidRPr="00A414A8">
        <w:rPr>
          <w:color w:val="auto"/>
        </w:rPr>
        <w:t>in a lump sum or in parts; and</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(iii)</w:t>
      </w:r>
      <w:r w:rsidRPr="00A414A8">
        <w:rPr>
          <w:color w:val="auto"/>
        </w:rPr>
        <w:tab/>
      </w:r>
      <w:r w:rsidR="00D1124B" w:rsidRPr="00A414A8">
        <w:rPr>
          <w:color w:val="auto"/>
        </w:rPr>
        <w:t>if the total benefit payable for each event defined in the policy is at least $10,000.</w:t>
      </w:r>
    </w:p>
    <w:p w:rsidR="00D1124B" w:rsidRPr="00A414A8" w:rsidRDefault="00D2030B" w:rsidP="00D2030B">
      <w:pPr>
        <w:pStyle w:val="HealthnumLevel5"/>
        <w:numPr>
          <w:ilvl w:val="0"/>
          <w:numId w:val="0"/>
        </w:numPr>
        <w:tabs>
          <w:tab w:val="left" w:pos="936"/>
        </w:tabs>
        <w:autoSpaceDE w:val="0"/>
        <w:autoSpaceDN w:val="0"/>
        <w:ind w:left="936" w:hanging="510"/>
      </w:pPr>
      <w:r w:rsidRPr="00A414A8">
        <w:t>(2)</w:t>
      </w:r>
      <w:r w:rsidRPr="00A414A8">
        <w:tab/>
      </w:r>
      <w:r w:rsidR="00D1124B" w:rsidRPr="00A414A8">
        <w:t>This rule does not apply if the provision of a benefit is authorised under rules made for the purposes of paragraph 69</w:t>
      </w:r>
      <w:r w:rsidR="00A414A8">
        <w:noBreakHyphen/>
      </w:r>
      <w:r w:rsidR="00D1124B" w:rsidRPr="00A414A8">
        <w:t>1 (1) (b) of the Act.</w:t>
      </w:r>
    </w:p>
    <w:p w:rsidR="00D1124B" w:rsidRPr="00A414A8" w:rsidRDefault="00D2030B" w:rsidP="00D2030B">
      <w:pPr>
        <w:pStyle w:val="Heading1"/>
        <w:keepLines w:val="0"/>
        <w:tabs>
          <w:tab w:val="left" w:pos="850"/>
        </w:tabs>
        <w:autoSpaceDE w:val="0"/>
        <w:autoSpaceDN w:val="0"/>
        <w:spacing w:before="360"/>
        <w:ind w:left="850" w:hanging="850"/>
        <w:rPr>
          <w:rFonts w:ascii="Arial" w:hAnsi="Arial" w:cs="Arial"/>
          <w:sz w:val="24"/>
          <w:szCs w:val="24"/>
        </w:rPr>
      </w:pPr>
      <w:bookmarkStart w:id="51" w:name="_Toc76629983"/>
      <w:bookmarkStart w:id="52" w:name="_Ref155270325"/>
      <w:bookmarkStart w:id="53" w:name="_Ref156927548"/>
      <w:r w:rsidRPr="00A414A8">
        <w:rPr>
          <w:rFonts w:ascii="Arial" w:hAnsi="Arial" w:cs="Arial"/>
          <w:sz w:val="24"/>
          <w:szCs w:val="24"/>
        </w:rPr>
        <w:t>17.</w:t>
      </w:r>
      <w:r w:rsidRPr="00A414A8">
        <w:rPr>
          <w:rFonts w:ascii="Arial" w:hAnsi="Arial" w:cs="Arial"/>
          <w:sz w:val="24"/>
          <w:szCs w:val="24"/>
        </w:rPr>
        <w:tab/>
      </w:r>
      <w:r w:rsidR="00D1124B" w:rsidRPr="00A414A8">
        <w:rPr>
          <w:rFonts w:ascii="Arial" w:hAnsi="Arial" w:cs="Arial"/>
          <w:sz w:val="24"/>
          <w:szCs w:val="24"/>
        </w:rPr>
        <w:t>Insurance that is not health insurance business―certain overseas visitors</w:t>
      </w:r>
      <w:bookmarkEnd w:id="51"/>
    </w:p>
    <w:p w:rsidR="00D1124B" w:rsidRPr="00A414A8" w:rsidRDefault="00D2030B" w:rsidP="00D2030B">
      <w:pPr>
        <w:pStyle w:val="HealthnumLevel5"/>
        <w:numPr>
          <w:ilvl w:val="0"/>
          <w:numId w:val="0"/>
        </w:numPr>
        <w:tabs>
          <w:tab w:val="left" w:pos="936"/>
        </w:tabs>
        <w:autoSpaceDE w:val="0"/>
        <w:autoSpaceDN w:val="0"/>
        <w:ind w:left="936" w:hanging="510"/>
      </w:pPr>
      <w:bookmarkStart w:id="54" w:name="_Ref161382029"/>
      <w:r w:rsidRPr="00A414A8">
        <w:t>(1)</w:t>
      </w:r>
      <w:r w:rsidRPr="00A414A8">
        <w:tab/>
      </w:r>
      <w:r w:rsidR="00D1124B" w:rsidRPr="00A414A8">
        <w:t>Subject to this rule, for section 121</w:t>
      </w:r>
      <w:r w:rsidR="00A414A8">
        <w:noBreakHyphen/>
      </w:r>
      <w:r w:rsidR="00D1124B" w:rsidRPr="00A414A8">
        <w:t>30 of the Act, the business of undertaking liability, by way of insurance, or an arrangement to make payments under an employee health benefits scheme, is not</w:t>
      </w:r>
      <w:r w:rsidR="00D1124B" w:rsidRPr="00A414A8">
        <w:rPr>
          <w:b/>
        </w:rPr>
        <w:t xml:space="preserve"> </w:t>
      </w:r>
      <w:r w:rsidR="00D1124B" w:rsidRPr="00A414A8">
        <w:t>health insurance business if the insurance covers:</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(a)</w:t>
      </w:r>
      <w:r w:rsidRPr="00A414A8">
        <w:rPr>
          <w:color w:val="auto"/>
        </w:rPr>
        <w:tab/>
      </w:r>
      <w:r w:rsidR="00D1124B" w:rsidRPr="00A414A8">
        <w:rPr>
          <w:color w:val="auto"/>
        </w:rPr>
        <w:t>a matter referred to in subsection 121</w:t>
      </w:r>
      <w:r w:rsidR="00A414A8">
        <w:rPr>
          <w:color w:val="auto"/>
        </w:rPr>
        <w:noBreakHyphen/>
      </w:r>
      <w:r w:rsidR="00D1124B" w:rsidRPr="00A414A8">
        <w:rPr>
          <w:color w:val="auto"/>
        </w:rPr>
        <w:t>1 (2) of the Act; and</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(b)</w:t>
      </w:r>
      <w:r w:rsidRPr="00A414A8">
        <w:rPr>
          <w:color w:val="auto"/>
        </w:rPr>
        <w:tab/>
      </w:r>
      <w:r w:rsidR="00D1124B" w:rsidRPr="00A414A8">
        <w:rPr>
          <w:color w:val="auto"/>
        </w:rPr>
        <w:t>a person who, at the time of entering into the relevant contract of insurance, is or expects to be, temporarily present in Australia and who:</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w:t>
      </w:r>
      <w:r w:rsidRPr="00A414A8">
        <w:rPr>
          <w:color w:val="auto"/>
        </w:rPr>
        <w:tab/>
      </w:r>
      <w:r w:rsidR="00D1124B" w:rsidRPr="00A414A8">
        <w:rPr>
          <w:color w:val="auto"/>
        </w:rPr>
        <w:t>is not, or will not be, an eligible person; or</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(ii)</w:t>
      </w:r>
      <w:r w:rsidRPr="00A414A8">
        <w:rPr>
          <w:color w:val="auto"/>
        </w:rPr>
        <w:tab/>
      </w:r>
      <w:r w:rsidR="00D1124B" w:rsidRPr="00A414A8">
        <w:rPr>
          <w:color w:val="auto"/>
        </w:rPr>
        <w:t xml:space="preserve">is an eligible person by reason only of being treated as an eligible person under subsection 7 (2) of the </w:t>
      </w:r>
      <w:r w:rsidR="00D1124B" w:rsidRPr="00A414A8">
        <w:rPr>
          <w:i/>
          <w:color w:val="auto"/>
        </w:rPr>
        <w:t xml:space="preserve">Health Insurance Act 1973; </w:t>
      </w:r>
      <w:r w:rsidR="00D1124B" w:rsidRPr="00A414A8">
        <w:rPr>
          <w:color w:val="auto"/>
        </w:rPr>
        <w:t>and</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(iii)</w:t>
      </w:r>
      <w:r w:rsidRPr="00A414A8">
        <w:rPr>
          <w:color w:val="auto"/>
        </w:rPr>
        <w:tab/>
      </w:r>
      <w:r w:rsidR="00D1124B" w:rsidRPr="00A414A8">
        <w:rPr>
          <w:color w:val="auto"/>
        </w:rPr>
        <w:t xml:space="preserve">is not an overseas student or specified temporary visa holder who has insurance provided by a private health insurer in the circumstances referred to in rule </w:t>
      </w:r>
      <w:r w:rsidR="00AC30FC" w:rsidRPr="00A414A8">
        <w:rPr>
          <w:color w:val="auto"/>
        </w:rPr>
        <w:t>18</w:t>
      </w:r>
      <w:r w:rsidR="00D1124B" w:rsidRPr="00A414A8">
        <w:rPr>
          <w:color w:val="auto"/>
        </w:rPr>
        <w:t>.</w:t>
      </w:r>
    </w:p>
    <w:p w:rsidR="00D1124B" w:rsidRPr="00A414A8" w:rsidRDefault="00D1124B" w:rsidP="00D1124B">
      <w:pPr>
        <w:pStyle w:val="Healthnote"/>
        <w:ind w:left="3401" w:hanging="850"/>
        <w:rPr>
          <w:color w:val="auto"/>
        </w:rPr>
      </w:pPr>
      <w:r w:rsidRPr="00A414A8">
        <w:rPr>
          <w:color w:val="auto"/>
        </w:rPr>
        <w:t>Note</w:t>
      </w:r>
      <w:r w:rsidRPr="00A414A8">
        <w:rPr>
          <w:color w:val="auto"/>
        </w:rPr>
        <w:tab/>
        <w:t xml:space="preserve">'Overseas student' and 'specified temporary visa holder' are defined in rule </w:t>
      </w:r>
      <w:r w:rsidR="00AC30FC" w:rsidRPr="00A414A8">
        <w:rPr>
          <w:color w:val="auto"/>
        </w:rPr>
        <w:t>18</w:t>
      </w:r>
      <w:r w:rsidRPr="00A414A8">
        <w:rPr>
          <w:color w:val="auto"/>
        </w:rPr>
        <w:t>.</w:t>
      </w:r>
    </w:p>
    <w:p w:rsidR="00D1124B" w:rsidRPr="00A414A8" w:rsidRDefault="00D2030B" w:rsidP="00D2030B">
      <w:pPr>
        <w:pStyle w:val="HealthnumLevel5"/>
        <w:numPr>
          <w:ilvl w:val="0"/>
          <w:numId w:val="0"/>
        </w:numPr>
        <w:tabs>
          <w:tab w:val="left" w:pos="936"/>
        </w:tabs>
        <w:autoSpaceDE w:val="0"/>
        <w:autoSpaceDN w:val="0"/>
        <w:ind w:left="936" w:hanging="510"/>
      </w:pPr>
      <w:r w:rsidRPr="00A414A8">
        <w:t>(2)</w:t>
      </w:r>
      <w:r w:rsidRPr="00A414A8">
        <w:tab/>
      </w:r>
      <w:r w:rsidR="00D1124B" w:rsidRPr="00A414A8">
        <w:t xml:space="preserve">Despite subrule </w:t>
      </w:r>
      <w:r w:rsidR="00AC30FC" w:rsidRPr="00A414A8">
        <w:t>(1)</w:t>
      </w:r>
      <w:r w:rsidR="00D1124B" w:rsidRPr="00A414A8">
        <w:t>, during the period from the commencement of these Rules until 1 July 2008, the business referred to in that subrule is health insurance business if it is conducted by a private health insurer.</w:t>
      </w:r>
    </w:p>
    <w:p w:rsidR="00D1124B" w:rsidRPr="00A414A8" w:rsidRDefault="00D2030B" w:rsidP="00D2030B">
      <w:pPr>
        <w:pStyle w:val="HealthnumLevel5"/>
        <w:numPr>
          <w:ilvl w:val="0"/>
          <w:numId w:val="0"/>
        </w:numPr>
        <w:tabs>
          <w:tab w:val="left" w:pos="936"/>
        </w:tabs>
        <w:autoSpaceDE w:val="0"/>
        <w:autoSpaceDN w:val="0"/>
        <w:ind w:left="936" w:hanging="510"/>
      </w:pPr>
      <w:r w:rsidRPr="00A414A8">
        <w:lastRenderedPageBreak/>
        <w:t>(3)</w:t>
      </w:r>
      <w:r w:rsidRPr="00A414A8">
        <w:tab/>
      </w:r>
      <w:r w:rsidR="00D1124B" w:rsidRPr="00A414A8">
        <w:t>Despite subrule (1), the business referred to in that subrule is health insurance business if the insurance covers a matter referred to in subsection 121</w:t>
      </w:r>
      <w:r w:rsidR="00A414A8">
        <w:noBreakHyphen/>
      </w:r>
      <w:r w:rsidR="00D1124B" w:rsidRPr="00A414A8">
        <w:t>1(2) of the Act and is a complying health insurance policy.</w:t>
      </w:r>
    </w:p>
    <w:p w:rsidR="00D1124B" w:rsidRPr="00A414A8" w:rsidRDefault="00D2030B" w:rsidP="00D2030B">
      <w:pPr>
        <w:pStyle w:val="Heading1"/>
        <w:keepLines w:val="0"/>
        <w:tabs>
          <w:tab w:val="left" w:pos="850"/>
        </w:tabs>
        <w:autoSpaceDE w:val="0"/>
        <w:autoSpaceDN w:val="0"/>
        <w:spacing w:before="360"/>
        <w:ind w:left="850" w:hanging="850"/>
        <w:rPr>
          <w:rFonts w:ascii="Arial" w:hAnsi="Arial" w:cs="Arial"/>
          <w:sz w:val="24"/>
          <w:szCs w:val="24"/>
        </w:rPr>
      </w:pPr>
      <w:bookmarkStart w:id="55" w:name="_Ref161562241"/>
      <w:bookmarkStart w:id="56" w:name="_Toc76629984"/>
      <w:bookmarkEnd w:id="54"/>
      <w:r w:rsidRPr="00A414A8">
        <w:rPr>
          <w:rFonts w:ascii="Arial" w:hAnsi="Arial" w:cs="Arial"/>
          <w:sz w:val="24"/>
          <w:szCs w:val="24"/>
        </w:rPr>
        <w:t>18.</w:t>
      </w:r>
      <w:r w:rsidRPr="00A414A8">
        <w:rPr>
          <w:rFonts w:ascii="Arial" w:hAnsi="Arial" w:cs="Arial"/>
          <w:sz w:val="24"/>
          <w:szCs w:val="24"/>
        </w:rPr>
        <w:tab/>
      </w:r>
      <w:r w:rsidR="00D1124B" w:rsidRPr="00A414A8">
        <w:rPr>
          <w:rFonts w:ascii="Arial" w:hAnsi="Arial" w:cs="Arial"/>
          <w:sz w:val="24"/>
          <w:szCs w:val="24"/>
        </w:rPr>
        <w:t>Overseas students</w:t>
      </w:r>
      <w:bookmarkEnd w:id="52"/>
      <w:r w:rsidR="00D1124B" w:rsidRPr="00A414A8">
        <w:rPr>
          <w:rFonts w:ascii="Arial" w:hAnsi="Arial" w:cs="Arial"/>
          <w:sz w:val="24"/>
          <w:szCs w:val="24"/>
        </w:rPr>
        <w:t xml:space="preserve"> and </w:t>
      </w:r>
      <w:bookmarkEnd w:id="53"/>
      <w:r w:rsidR="00D1124B" w:rsidRPr="00A414A8">
        <w:rPr>
          <w:rFonts w:ascii="Arial" w:hAnsi="Arial" w:cs="Arial"/>
          <w:sz w:val="24"/>
          <w:szCs w:val="24"/>
        </w:rPr>
        <w:t>specified temporary visa holders</w:t>
      </w:r>
      <w:bookmarkEnd w:id="55"/>
      <w:bookmarkEnd w:id="56"/>
    </w:p>
    <w:p w:rsidR="00D1124B" w:rsidRPr="00A414A8" w:rsidRDefault="00D2030B" w:rsidP="00D2030B">
      <w:pPr>
        <w:pStyle w:val="HealthnumLevel5"/>
        <w:numPr>
          <w:ilvl w:val="0"/>
          <w:numId w:val="0"/>
        </w:numPr>
        <w:tabs>
          <w:tab w:val="left" w:pos="936"/>
        </w:tabs>
        <w:autoSpaceDE w:val="0"/>
        <w:autoSpaceDN w:val="0"/>
        <w:ind w:left="936" w:hanging="510"/>
      </w:pPr>
      <w:r w:rsidRPr="00A414A8">
        <w:t>(1)</w:t>
      </w:r>
      <w:r w:rsidRPr="00A414A8">
        <w:tab/>
      </w:r>
      <w:r w:rsidR="00D1124B" w:rsidRPr="00A414A8">
        <w:t>For section 121</w:t>
      </w:r>
      <w:r w:rsidR="00A414A8">
        <w:noBreakHyphen/>
      </w:r>
      <w:r w:rsidR="00D1124B" w:rsidRPr="00A414A8">
        <w:t>30 of the Act, the business of undertaking liability, by way of insurance, with respect to a matter referred to in subsection 121</w:t>
      </w:r>
      <w:r w:rsidR="00A414A8">
        <w:noBreakHyphen/>
      </w:r>
      <w:r w:rsidR="00D1124B" w:rsidRPr="00A414A8">
        <w:t>1 (2) of the Act is not health insurance business if:</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(a)</w:t>
      </w:r>
      <w:r w:rsidRPr="00A414A8">
        <w:rPr>
          <w:color w:val="auto"/>
        </w:rPr>
        <w:tab/>
      </w:r>
      <w:r w:rsidR="00D1124B" w:rsidRPr="00A414A8">
        <w:rPr>
          <w:color w:val="auto"/>
        </w:rPr>
        <w:t>the liability is undertaken by a private health insurer under:</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w:t>
      </w:r>
      <w:r w:rsidRPr="00A414A8">
        <w:rPr>
          <w:color w:val="auto"/>
        </w:rPr>
        <w:tab/>
      </w:r>
      <w:r w:rsidR="00D1124B" w:rsidRPr="00A414A8">
        <w:rPr>
          <w:color w:val="auto"/>
        </w:rPr>
        <w:t>an overseas student health insurance contract; or</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(ii)</w:t>
      </w:r>
      <w:r w:rsidRPr="00A414A8">
        <w:rPr>
          <w:color w:val="auto"/>
        </w:rPr>
        <w:tab/>
      </w:r>
      <w:r w:rsidR="00D1124B" w:rsidRPr="00A414A8">
        <w:rPr>
          <w:color w:val="auto"/>
        </w:rPr>
        <w:t>a specified temporary visa holder</w:t>
      </w:r>
      <w:r w:rsidR="00D1124B" w:rsidRPr="00A414A8" w:rsidDel="00457B60">
        <w:rPr>
          <w:color w:val="auto"/>
        </w:rPr>
        <w:t xml:space="preserve"> </w:t>
      </w:r>
      <w:r w:rsidR="00D1124B" w:rsidRPr="00A414A8">
        <w:rPr>
          <w:color w:val="auto"/>
        </w:rPr>
        <w:t>health insurance contract; and</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bookmarkStart w:id="57" w:name="_Ref156872462"/>
      <w:r w:rsidRPr="00A414A8">
        <w:rPr>
          <w:color w:val="auto"/>
        </w:rPr>
        <w:t>(b)</w:t>
      </w:r>
      <w:r w:rsidRPr="00A414A8">
        <w:rPr>
          <w:color w:val="auto"/>
        </w:rPr>
        <w:tab/>
      </w:r>
      <w:r w:rsidR="00D1124B" w:rsidRPr="00A414A8">
        <w:rPr>
          <w:color w:val="auto"/>
        </w:rPr>
        <w:t>the insurer includes the business in a health benefits fund conducted by the insurer</w:t>
      </w:r>
      <w:bookmarkEnd w:id="57"/>
      <w:r w:rsidR="00D1124B" w:rsidRPr="00A414A8">
        <w:rPr>
          <w:color w:val="auto"/>
        </w:rPr>
        <w:t>.</w:t>
      </w:r>
    </w:p>
    <w:p w:rsidR="00D1124B" w:rsidRPr="00A414A8" w:rsidRDefault="00D1124B" w:rsidP="00D1124B">
      <w:pPr>
        <w:pStyle w:val="Healthnote"/>
        <w:ind w:left="2551" w:hanging="850"/>
        <w:rPr>
          <w:color w:val="auto"/>
        </w:rPr>
      </w:pPr>
      <w:r w:rsidRPr="00A414A8">
        <w:rPr>
          <w:color w:val="auto"/>
        </w:rPr>
        <w:t>Note:</w:t>
      </w:r>
      <w:r w:rsidRPr="00A414A8">
        <w:rPr>
          <w:color w:val="auto"/>
        </w:rPr>
        <w:tab/>
        <w:t>The business of insuring overseas visitors is health</w:t>
      </w:r>
      <w:r w:rsidR="00A414A8">
        <w:rPr>
          <w:color w:val="auto"/>
        </w:rPr>
        <w:noBreakHyphen/>
      </w:r>
      <w:r w:rsidRPr="00A414A8">
        <w:rPr>
          <w:color w:val="auto"/>
        </w:rPr>
        <w:t>related business―see paragraph 131</w:t>
      </w:r>
      <w:r w:rsidR="00A414A8">
        <w:rPr>
          <w:color w:val="auto"/>
        </w:rPr>
        <w:noBreakHyphen/>
      </w:r>
      <w:r w:rsidRPr="00A414A8">
        <w:rPr>
          <w:color w:val="auto"/>
        </w:rPr>
        <w:t>15 (1) (b) of the Act.</w:t>
      </w:r>
    </w:p>
    <w:p w:rsidR="00D1124B" w:rsidRPr="00A414A8" w:rsidRDefault="00D2030B" w:rsidP="00D2030B">
      <w:pPr>
        <w:pStyle w:val="HealthnumLevel5"/>
        <w:numPr>
          <w:ilvl w:val="0"/>
          <w:numId w:val="0"/>
        </w:numPr>
        <w:tabs>
          <w:tab w:val="left" w:pos="936"/>
        </w:tabs>
        <w:autoSpaceDE w:val="0"/>
        <w:autoSpaceDN w:val="0"/>
        <w:ind w:left="936" w:hanging="510"/>
      </w:pPr>
      <w:bookmarkStart w:id="58" w:name="_Ref156885547"/>
      <w:r w:rsidRPr="00A414A8">
        <w:t>(2)</w:t>
      </w:r>
      <w:r w:rsidRPr="00A414A8">
        <w:tab/>
      </w:r>
      <w:r w:rsidR="00D1124B" w:rsidRPr="00A414A8">
        <w:t>In this rule:</w:t>
      </w:r>
      <w:bookmarkEnd w:id="58"/>
    </w:p>
    <w:p w:rsidR="00D1124B" w:rsidRPr="00A414A8" w:rsidRDefault="00D1124B" w:rsidP="00D1124B">
      <w:pPr>
        <w:pStyle w:val="HealthLevel1"/>
        <w:rPr>
          <w:color w:val="auto"/>
        </w:rPr>
      </w:pPr>
      <w:r w:rsidRPr="00A414A8">
        <w:rPr>
          <w:b/>
          <w:i/>
          <w:color w:val="auto"/>
        </w:rPr>
        <w:t>overseas student</w:t>
      </w:r>
      <w:r w:rsidRPr="00A414A8">
        <w:rPr>
          <w:color w:val="auto"/>
        </w:rPr>
        <w:t xml:space="preserve"> means:</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(a)</w:t>
      </w:r>
      <w:r w:rsidRPr="00A414A8">
        <w:rPr>
          <w:color w:val="auto"/>
        </w:rPr>
        <w:tab/>
      </w:r>
      <w:r w:rsidR="00D1124B" w:rsidRPr="00A414A8">
        <w:rPr>
          <w:color w:val="auto"/>
        </w:rPr>
        <w:t>a person who is the holder of a student visa; or</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(b)</w:t>
      </w:r>
      <w:r w:rsidRPr="00A414A8">
        <w:rPr>
          <w:color w:val="auto"/>
        </w:rPr>
        <w:tab/>
      </w:r>
      <w:r w:rsidR="00D1124B" w:rsidRPr="00A414A8">
        <w:rPr>
          <w:color w:val="auto"/>
        </w:rPr>
        <w:t>a person who:</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w:t>
      </w:r>
      <w:r w:rsidRPr="00A414A8">
        <w:rPr>
          <w:color w:val="auto"/>
        </w:rPr>
        <w:tab/>
      </w:r>
      <w:r w:rsidR="00D1124B" w:rsidRPr="00A414A8">
        <w:rPr>
          <w:color w:val="auto"/>
        </w:rPr>
        <w:t>is an applicant for a student visa; and</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(ii)</w:t>
      </w:r>
      <w:r w:rsidRPr="00A414A8">
        <w:rPr>
          <w:color w:val="auto"/>
        </w:rPr>
        <w:tab/>
      </w:r>
      <w:r w:rsidR="00D1124B" w:rsidRPr="00A414A8">
        <w:rPr>
          <w:color w:val="auto"/>
        </w:rPr>
        <w:t>is the holder of a bridging visa; and</w:t>
      </w:r>
    </w:p>
    <w:p w:rsidR="00D1124B" w:rsidRPr="00A414A8" w:rsidRDefault="00D2030B" w:rsidP="00D2030B">
      <w:pPr>
        <w:pStyle w:val="HealthnumLevel3"/>
        <w:numPr>
          <w:ilvl w:val="0"/>
          <w:numId w:val="0"/>
        </w:numPr>
        <w:tabs>
          <w:tab w:val="left" w:pos="2551"/>
        </w:tabs>
        <w:autoSpaceDE w:val="0"/>
        <w:autoSpaceDN w:val="0"/>
        <w:ind w:left="2551" w:hanging="850"/>
        <w:rPr>
          <w:color w:val="auto"/>
        </w:rPr>
      </w:pPr>
      <w:r w:rsidRPr="00A414A8">
        <w:rPr>
          <w:color w:val="auto"/>
        </w:rPr>
        <w:t>(iii)</w:t>
      </w:r>
      <w:r w:rsidRPr="00A414A8">
        <w:rPr>
          <w:color w:val="auto"/>
        </w:rPr>
        <w:tab/>
      </w:r>
      <w:r w:rsidR="00D1124B" w:rsidRPr="00A414A8">
        <w:rPr>
          <w:color w:val="auto"/>
        </w:rPr>
        <w:t>was, immediately before being granted the bridging visa, the holder of a student visa.</w:t>
      </w:r>
    </w:p>
    <w:p w:rsidR="00D1124B" w:rsidRPr="00A414A8" w:rsidRDefault="00D1124B" w:rsidP="00D1124B">
      <w:pPr>
        <w:pStyle w:val="HealthLevel1"/>
        <w:rPr>
          <w:snapToGrid w:val="0"/>
          <w:color w:val="auto"/>
        </w:rPr>
      </w:pPr>
      <w:r w:rsidRPr="00A414A8">
        <w:rPr>
          <w:b/>
          <w:i/>
          <w:snapToGrid w:val="0"/>
          <w:color w:val="auto"/>
        </w:rPr>
        <w:t>overseas student health insurance contract</w:t>
      </w:r>
      <w:r w:rsidRPr="00A414A8">
        <w:rPr>
          <w:snapToGrid w:val="0"/>
          <w:color w:val="auto"/>
        </w:rPr>
        <w:t xml:space="preserve"> and </w:t>
      </w:r>
      <w:r w:rsidRPr="00A414A8">
        <w:rPr>
          <w:b/>
          <w:i/>
          <w:snapToGrid w:val="0"/>
          <w:color w:val="auto"/>
        </w:rPr>
        <w:t>specified temporary visa holder</w:t>
      </w:r>
      <w:r w:rsidRPr="00A414A8" w:rsidDel="00DF788B">
        <w:rPr>
          <w:b/>
          <w:i/>
          <w:color w:val="auto"/>
        </w:rPr>
        <w:t xml:space="preserve"> </w:t>
      </w:r>
      <w:r w:rsidRPr="00A414A8">
        <w:rPr>
          <w:b/>
          <w:i/>
          <w:color w:val="auto"/>
        </w:rPr>
        <w:t>health insurance contract</w:t>
      </w:r>
      <w:r w:rsidRPr="00A414A8">
        <w:rPr>
          <w:color w:val="auto"/>
        </w:rPr>
        <w:t xml:space="preserve"> each </w:t>
      </w:r>
      <w:r w:rsidRPr="00A414A8">
        <w:rPr>
          <w:snapToGrid w:val="0"/>
          <w:color w:val="auto"/>
        </w:rPr>
        <w:t>means an insurance policy made in accordance with a written agreement between a private health insurer and the Commonwealth that allows the private health insurer to pay benefits in respect of the whole or part of the fees and charges incurred by an overseas student or a specified temporary visa holder, as the case may be, or by a dependant of the student or visa holder, in relation to the provision in Australia of any or all of the following:</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(a)</w:t>
      </w:r>
      <w:r w:rsidRPr="00A414A8">
        <w:rPr>
          <w:color w:val="auto"/>
        </w:rPr>
        <w:tab/>
      </w:r>
      <w:r w:rsidR="00D1124B" w:rsidRPr="00A414A8">
        <w:rPr>
          <w:snapToGrid w:val="0"/>
          <w:color w:val="auto"/>
        </w:rPr>
        <w:t>medical,</w:t>
      </w:r>
      <w:r w:rsidR="00D1124B" w:rsidRPr="00A414A8">
        <w:rPr>
          <w:color w:val="auto"/>
        </w:rPr>
        <w:t xml:space="preserve"> surgical, diagnostic, nursing, dental, chiropody, chiropractic, eye therapy, occupational therapy, physiotherapy, speech therapy or similar services or treatment;</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(b)</w:t>
      </w:r>
      <w:r w:rsidRPr="00A414A8">
        <w:rPr>
          <w:color w:val="auto"/>
        </w:rPr>
        <w:tab/>
      </w:r>
      <w:r w:rsidR="00D1124B" w:rsidRPr="00A414A8">
        <w:rPr>
          <w:color w:val="auto"/>
        </w:rPr>
        <w:t>services involving the supply, alteration, maintenance or repair of hearing aids, spectacles, contact lenses, artificial teeth, eyes or limbs (including parts of teeth or limbs) or other medical, surgical, prosthetic or dental aids, equipment or appliances;</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(c)</w:t>
      </w:r>
      <w:r w:rsidRPr="00A414A8">
        <w:rPr>
          <w:color w:val="auto"/>
        </w:rPr>
        <w:tab/>
      </w:r>
      <w:r w:rsidR="00D1124B" w:rsidRPr="00A414A8">
        <w:rPr>
          <w:color w:val="auto"/>
        </w:rPr>
        <w:t>drugs or medicinal preparations;</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(d)</w:t>
      </w:r>
      <w:r w:rsidRPr="00A414A8">
        <w:rPr>
          <w:color w:val="auto"/>
        </w:rPr>
        <w:tab/>
      </w:r>
      <w:r w:rsidR="00D1124B" w:rsidRPr="00A414A8">
        <w:rPr>
          <w:color w:val="auto"/>
        </w:rPr>
        <w:t>ambulance services;</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(e)</w:t>
      </w:r>
      <w:r w:rsidRPr="00A414A8">
        <w:rPr>
          <w:color w:val="auto"/>
        </w:rPr>
        <w:tab/>
      </w:r>
      <w:r w:rsidR="00D1124B" w:rsidRPr="00A414A8">
        <w:rPr>
          <w:color w:val="auto"/>
        </w:rPr>
        <w:t>services by an attendant of a person who is sick or disabled;</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lastRenderedPageBreak/>
        <w:t>(f)</w:t>
      </w:r>
      <w:r w:rsidRPr="00A414A8">
        <w:rPr>
          <w:color w:val="auto"/>
        </w:rPr>
        <w:tab/>
      </w:r>
      <w:r w:rsidR="00D1124B" w:rsidRPr="00A414A8">
        <w:rPr>
          <w:color w:val="auto"/>
        </w:rPr>
        <w:t xml:space="preserve">professional services for which medicare benefits would otherwise be payable under the </w:t>
      </w:r>
      <w:r w:rsidR="00D1124B" w:rsidRPr="00A414A8">
        <w:rPr>
          <w:i/>
          <w:color w:val="auto"/>
        </w:rPr>
        <w:t>Health Insurance Act 1973</w:t>
      </w:r>
      <w:r w:rsidR="00D1124B" w:rsidRPr="00A414A8">
        <w:rPr>
          <w:color w:val="auto"/>
        </w:rPr>
        <w:t>;</w:t>
      </w:r>
    </w:p>
    <w:p w:rsidR="00D1124B" w:rsidRPr="00A414A8" w:rsidRDefault="00D2030B" w:rsidP="00D2030B">
      <w:pPr>
        <w:pStyle w:val="Healthnumlevel2"/>
        <w:numPr>
          <w:ilvl w:val="0"/>
          <w:numId w:val="0"/>
        </w:numPr>
        <w:tabs>
          <w:tab w:val="left" w:pos="1701"/>
        </w:tabs>
        <w:autoSpaceDE w:val="0"/>
        <w:autoSpaceDN w:val="0"/>
        <w:spacing w:line="240" w:lineRule="auto"/>
        <w:ind w:left="1701" w:hanging="851"/>
        <w:rPr>
          <w:color w:val="auto"/>
        </w:rPr>
      </w:pPr>
      <w:r w:rsidRPr="00A414A8">
        <w:rPr>
          <w:color w:val="auto"/>
        </w:rPr>
        <w:t>(g)</w:t>
      </w:r>
      <w:r w:rsidRPr="00A414A8">
        <w:rPr>
          <w:color w:val="auto"/>
        </w:rPr>
        <w:tab/>
      </w:r>
      <w:r w:rsidR="00D1124B" w:rsidRPr="00A414A8">
        <w:rPr>
          <w:color w:val="auto"/>
        </w:rPr>
        <w:t>hospital treatment.</w:t>
      </w:r>
    </w:p>
    <w:p w:rsidR="00D1124B" w:rsidRPr="00A414A8" w:rsidRDefault="00D1124B" w:rsidP="00D1124B">
      <w:pPr>
        <w:pStyle w:val="HealthLevel1"/>
        <w:rPr>
          <w:color w:val="auto"/>
        </w:rPr>
      </w:pPr>
      <w:r w:rsidRPr="00A414A8">
        <w:rPr>
          <w:b/>
          <w:i/>
          <w:color w:val="auto"/>
        </w:rPr>
        <w:t>specified temporary visa holder</w:t>
      </w:r>
      <w:r w:rsidRPr="00A414A8" w:rsidDel="00DF788B">
        <w:rPr>
          <w:b/>
          <w:i/>
          <w:color w:val="auto"/>
        </w:rPr>
        <w:t xml:space="preserve"> </w:t>
      </w:r>
      <w:r w:rsidRPr="00A414A8">
        <w:rPr>
          <w:color w:val="auto"/>
        </w:rPr>
        <w:t xml:space="preserve">means a person, other than an overseas student, who is the holder of, or an applicant for, a temporary visa that includes a condition under the </w:t>
      </w:r>
      <w:r w:rsidRPr="00A414A8">
        <w:rPr>
          <w:i/>
          <w:color w:val="auto"/>
        </w:rPr>
        <w:t>Migration Regulations 1994</w:t>
      </w:r>
      <w:r w:rsidRPr="00A414A8">
        <w:rPr>
          <w:color w:val="auto"/>
        </w:rPr>
        <w:t xml:space="preserve"> requiring the person to maintain adequate arrangements for health insurance while the holder is in Australia.</w:t>
      </w:r>
    </w:p>
    <w:p w:rsidR="00322F42" w:rsidRPr="00A414A8" w:rsidRDefault="00D1124B" w:rsidP="00D1124B">
      <w:pPr>
        <w:pStyle w:val="HealthLevel1"/>
      </w:pPr>
      <w:r w:rsidRPr="00A414A8">
        <w:rPr>
          <w:b/>
          <w:i/>
          <w:snapToGrid w:val="0"/>
          <w:color w:val="auto"/>
        </w:rPr>
        <w:t>student visa</w:t>
      </w:r>
      <w:r w:rsidRPr="00A414A8">
        <w:rPr>
          <w:snapToGrid w:val="0"/>
          <w:color w:val="auto"/>
        </w:rPr>
        <w:t xml:space="preserve"> has the meaning given by subsection 5 (1) of the </w:t>
      </w:r>
      <w:r w:rsidRPr="00A414A8">
        <w:rPr>
          <w:i/>
          <w:snapToGrid w:val="0"/>
          <w:color w:val="auto"/>
        </w:rPr>
        <w:t>Migration Act 1958</w:t>
      </w:r>
      <w:r w:rsidRPr="00A414A8">
        <w:rPr>
          <w:snapToGrid w:val="0"/>
          <w:color w:val="auto"/>
        </w:rPr>
        <w:t>.</w:t>
      </w:r>
    </w:p>
    <w:p w:rsidR="00AF58EB" w:rsidRPr="00A414A8" w:rsidRDefault="00AF58EB">
      <w:pPr>
        <w:sectPr w:rsidR="00AF58EB" w:rsidRPr="00A414A8" w:rsidSect="00274F1B">
          <w:headerReference w:type="even" r:id="rId20"/>
          <w:headerReference w:type="default" r:id="rId21"/>
          <w:headerReference w:type="first" r:id="rId22"/>
          <w:pgSz w:w="11906" w:h="16838" w:code="9"/>
          <w:pgMar w:top="2325" w:right="1797" w:bottom="1440" w:left="1797" w:header="720" w:footer="709" w:gutter="0"/>
          <w:paperSrc w:first="7" w:other="7"/>
          <w:pgNumType w:start="1"/>
          <w:cols w:space="709"/>
          <w:docGrid w:linePitch="326"/>
        </w:sectPr>
      </w:pPr>
    </w:p>
    <w:p w:rsidR="00AF58EB" w:rsidRPr="00A414A8" w:rsidRDefault="00AF58EB" w:rsidP="00AF0109">
      <w:pPr>
        <w:pStyle w:val="ENotesHeading1"/>
      </w:pPr>
      <w:r w:rsidRPr="00A414A8">
        <w:lastRenderedPageBreak/>
        <w:t>Endnotes</w:t>
      </w:r>
    </w:p>
    <w:p w:rsidR="0034447C" w:rsidRPr="00A414A8" w:rsidRDefault="0034447C" w:rsidP="001052B3">
      <w:pPr>
        <w:pStyle w:val="ENotesHeading2"/>
        <w:spacing w:line="240" w:lineRule="auto"/>
        <w:outlineLvl w:val="9"/>
      </w:pPr>
      <w:bookmarkStart w:id="59" w:name="_Toc397001753"/>
      <w:r w:rsidRPr="00A414A8">
        <w:t>Endnote 1—About the endnotes</w:t>
      </w:r>
      <w:bookmarkEnd w:id="59"/>
    </w:p>
    <w:p w:rsidR="0034447C" w:rsidRPr="00A414A8" w:rsidRDefault="0034447C" w:rsidP="001052B3">
      <w:pPr>
        <w:spacing w:after="120"/>
      </w:pPr>
      <w:r w:rsidRPr="00A414A8">
        <w:t>The endnotes provide information about this compilation and the compiled law.</w:t>
      </w:r>
    </w:p>
    <w:p w:rsidR="0034447C" w:rsidRPr="00A414A8" w:rsidRDefault="0034447C" w:rsidP="001052B3">
      <w:pPr>
        <w:spacing w:after="120"/>
      </w:pPr>
      <w:r w:rsidRPr="00A414A8">
        <w:t>The following endnotes are included in every compilation:</w:t>
      </w:r>
    </w:p>
    <w:p w:rsidR="0034447C" w:rsidRPr="00A414A8" w:rsidRDefault="0034447C" w:rsidP="001052B3">
      <w:r w:rsidRPr="00A414A8">
        <w:t>Endnote 1—About the endnotes</w:t>
      </w:r>
    </w:p>
    <w:p w:rsidR="0034447C" w:rsidRPr="00A414A8" w:rsidRDefault="0034447C" w:rsidP="001052B3">
      <w:r w:rsidRPr="00A414A8">
        <w:t>Endnote 2—Abbreviation key</w:t>
      </w:r>
    </w:p>
    <w:p w:rsidR="0034447C" w:rsidRPr="00A414A8" w:rsidRDefault="0034447C" w:rsidP="001052B3">
      <w:r w:rsidRPr="00A414A8">
        <w:t>Endnote 3—Legislation history</w:t>
      </w:r>
    </w:p>
    <w:p w:rsidR="0034447C" w:rsidRPr="00A414A8" w:rsidRDefault="0034447C" w:rsidP="001052B3">
      <w:pPr>
        <w:spacing w:after="120"/>
      </w:pPr>
      <w:r w:rsidRPr="00A414A8">
        <w:t>Endnote 4—Amendment history</w:t>
      </w:r>
    </w:p>
    <w:p w:rsidR="0034447C" w:rsidRPr="00A414A8" w:rsidRDefault="0034447C" w:rsidP="001052B3">
      <w:r w:rsidRPr="00A414A8">
        <w:rPr>
          <w:b/>
        </w:rPr>
        <w:t>Abbreviation key—Endnote 2</w:t>
      </w:r>
    </w:p>
    <w:p w:rsidR="0034447C" w:rsidRPr="00A414A8" w:rsidRDefault="0034447C" w:rsidP="001052B3">
      <w:pPr>
        <w:spacing w:after="120"/>
      </w:pPr>
      <w:r w:rsidRPr="00A414A8">
        <w:t>The abbreviation key sets out abbreviations that may be used in the endnotes.</w:t>
      </w:r>
    </w:p>
    <w:p w:rsidR="0034447C" w:rsidRPr="00A414A8" w:rsidRDefault="0034447C" w:rsidP="001052B3">
      <w:pPr>
        <w:rPr>
          <w:b/>
        </w:rPr>
      </w:pPr>
      <w:r w:rsidRPr="00A414A8">
        <w:rPr>
          <w:b/>
        </w:rPr>
        <w:t>Legislation history and amendment history—Endnotes 3 and 4</w:t>
      </w:r>
    </w:p>
    <w:p w:rsidR="0034447C" w:rsidRPr="00A414A8" w:rsidRDefault="0034447C" w:rsidP="001052B3">
      <w:pPr>
        <w:spacing w:after="120"/>
      </w:pPr>
      <w:r w:rsidRPr="00A414A8">
        <w:t>Amending laws are annotated in the legislation history and amendment history.</w:t>
      </w:r>
    </w:p>
    <w:p w:rsidR="0034447C" w:rsidRPr="00A414A8" w:rsidRDefault="0034447C" w:rsidP="001052B3">
      <w:pPr>
        <w:spacing w:after="120"/>
      </w:pPr>
      <w:r w:rsidRPr="00A414A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4447C" w:rsidRPr="00A414A8" w:rsidRDefault="0034447C" w:rsidP="001052B3">
      <w:pPr>
        <w:spacing w:after="120"/>
      </w:pPr>
      <w:r w:rsidRPr="00A414A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4447C" w:rsidRPr="00A414A8" w:rsidRDefault="0034447C" w:rsidP="001052B3">
      <w:pPr>
        <w:rPr>
          <w:b/>
        </w:rPr>
      </w:pPr>
      <w:r w:rsidRPr="00A414A8">
        <w:rPr>
          <w:b/>
        </w:rPr>
        <w:t>Editorial changes</w:t>
      </w:r>
    </w:p>
    <w:p w:rsidR="0034447C" w:rsidRPr="00A414A8" w:rsidRDefault="0034447C" w:rsidP="001052B3">
      <w:pPr>
        <w:spacing w:after="120"/>
      </w:pPr>
      <w:r w:rsidRPr="00A414A8">
        <w:t xml:space="preserve">The </w:t>
      </w:r>
      <w:r w:rsidRPr="00A414A8">
        <w:rPr>
          <w:i/>
        </w:rPr>
        <w:t>Legislation Act 2003</w:t>
      </w:r>
      <w:r w:rsidRPr="00A414A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4447C" w:rsidRPr="00A414A8" w:rsidRDefault="0034447C" w:rsidP="001052B3">
      <w:pPr>
        <w:spacing w:after="120"/>
      </w:pPr>
      <w:r w:rsidRPr="00A414A8">
        <w:t>If the compilation includes editorial changes, the endnotes include a brief outline of the changes in general terms. Full details of any changes can be obtained from the Office of Parliamentary Counsel.</w:t>
      </w:r>
    </w:p>
    <w:p w:rsidR="0034447C" w:rsidRPr="00A414A8" w:rsidRDefault="0034447C" w:rsidP="001052B3">
      <w:pPr>
        <w:keepNext/>
      </w:pPr>
      <w:r w:rsidRPr="00A414A8">
        <w:rPr>
          <w:b/>
        </w:rPr>
        <w:t>Misdescribed amendments</w:t>
      </w:r>
    </w:p>
    <w:p w:rsidR="0034447C" w:rsidRPr="00A414A8" w:rsidRDefault="0034447C" w:rsidP="001052B3">
      <w:pPr>
        <w:spacing w:after="120"/>
      </w:pPr>
      <w:r w:rsidRPr="00A414A8">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A414A8">
        <w:rPr>
          <w:i/>
        </w:rPr>
        <w:t>Legislation Act 2003</w:t>
      </w:r>
      <w:r w:rsidRPr="00A414A8">
        <w:t>.</w:t>
      </w:r>
    </w:p>
    <w:p w:rsidR="0034447C" w:rsidRPr="00A414A8" w:rsidRDefault="0034447C" w:rsidP="001052B3">
      <w:pPr>
        <w:spacing w:before="120" w:after="240"/>
      </w:pPr>
      <w:r w:rsidRPr="00A414A8">
        <w:t>If a misdescribed amendment cannot be given effect as intended, the amendment is not incorporated and “(md not incorp)” is added to the amendment history.</w:t>
      </w:r>
    </w:p>
    <w:p w:rsidR="009F07F2" w:rsidRPr="00A414A8" w:rsidRDefault="009F07F2" w:rsidP="009F07F2">
      <w:pPr>
        <w:spacing w:before="120"/>
      </w:pPr>
    </w:p>
    <w:p w:rsidR="00AF58EB" w:rsidRPr="00A414A8" w:rsidRDefault="00AF58EB" w:rsidP="00AF0109">
      <w:pPr>
        <w:pStyle w:val="ENotesHeading2"/>
        <w:pageBreakBefore/>
        <w:outlineLvl w:val="9"/>
      </w:pPr>
      <w:r w:rsidRPr="00A414A8">
        <w:lastRenderedPageBreak/>
        <w:t>Endnote 2—Abbreviation key</w:t>
      </w:r>
    </w:p>
    <w:p w:rsidR="00AF58EB" w:rsidRPr="00A414A8" w:rsidRDefault="00AF58EB" w:rsidP="00AF0109">
      <w:pPr>
        <w:pStyle w:val="Tabletext"/>
      </w:pPr>
    </w:p>
    <w:tbl>
      <w:tblPr>
        <w:tblW w:w="5000" w:type="pct"/>
        <w:tblLook w:val="0000" w:firstRow="0" w:lastRow="0" w:firstColumn="0" w:lastColumn="0" w:noHBand="0" w:noVBand="0"/>
      </w:tblPr>
      <w:tblGrid>
        <w:gridCol w:w="4569"/>
        <w:gridCol w:w="3959"/>
      </w:tblGrid>
      <w:tr w:rsidR="00AF58EB" w:rsidRPr="00A414A8" w:rsidTr="009F07F2">
        <w:tc>
          <w:tcPr>
            <w:tcW w:w="2679" w:type="pct"/>
            <w:shd w:val="clear" w:color="auto" w:fill="auto"/>
          </w:tcPr>
          <w:p w:rsidR="00AF58EB" w:rsidRPr="00A414A8" w:rsidRDefault="00AF58EB" w:rsidP="00AF0109">
            <w:pPr>
              <w:spacing w:before="60"/>
              <w:ind w:left="34"/>
              <w:rPr>
                <w:sz w:val="20"/>
              </w:rPr>
            </w:pPr>
            <w:r w:rsidRPr="00A414A8">
              <w:rPr>
                <w:sz w:val="20"/>
              </w:rPr>
              <w:t>ad = added or inserted</w:t>
            </w:r>
          </w:p>
        </w:tc>
        <w:tc>
          <w:tcPr>
            <w:tcW w:w="2321" w:type="pct"/>
            <w:shd w:val="clear" w:color="auto" w:fill="auto"/>
          </w:tcPr>
          <w:p w:rsidR="00AF58EB" w:rsidRPr="00A414A8" w:rsidRDefault="00AF58EB" w:rsidP="00AF0109">
            <w:pPr>
              <w:spacing w:before="60"/>
              <w:ind w:left="34"/>
              <w:rPr>
                <w:sz w:val="20"/>
              </w:rPr>
            </w:pPr>
            <w:r w:rsidRPr="00A414A8">
              <w:rPr>
                <w:sz w:val="20"/>
              </w:rPr>
              <w:t>o = order(s)</w:t>
            </w:r>
          </w:p>
        </w:tc>
      </w:tr>
      <w:tr w:rsidR="00AF58EB" w:rsidRPr="00A414A8" w:rsidTr="009F07F2">
        <w:tc>
          <w:tcPr>
            <w:tcW w:w="2679" w:type="pct"/>
            <w:shd w:val="clear" w:color="auto" w:fill="auto"/>
          </w:tcPr>
          <w:p w:rsidR="00AF58EB" w:rsidRPr="00A414A8" w:rsidRDefault="00AF58EB" w:rsidP="00AF0109">
            <w:pPr>
              <w:spacing w:before="60"/>
              <w:ind w:left="34"/>
              <w:rPr>
                <w:sz w:val="20"/>
              </w:rPr>
            </w:pPr>
            <w:r w:rsidRPr="00A414A8">
              <w:rPr>
                <w:sz w:val="20"/>
              </w:rPr>
              <w:t>am = amended</w:t>
            </w:r>
          </w:p>
        </w:tc>
        <w:tc>
          <w:tcPr>
            <w:tcW w:w="2321" w:type="pct"/>
            <w:shd w:val="clear" w:color="auto" w:fill="auto"/>
          </w:tcPr>
          <w:p w:rsidR="00AF58EB" w:rsidRPr="00A414A8" w:rsidRDefault="00AF58EB" w:rsidP="00AF0109">
            <w:pPr>
              <w:spacing w:before="60"/>
              <w:ind w:left="34"/>
              <w:rPr>
                <w:sz w:val="20"/>
              </w:rPr>
            </w:pPr>
            <w:r w:rsidRPr="00A414A8">
              <w:rPr>
                <w:sz w:val="20"/>
              </w:rPr>
              <w:t>Ord = Ordinance</w:t>
            </w:r>
          </w:p>
        </w:tc>
      </w:tr>
      <w:tr w:rsidR="00AF58EB" w:rsidRPr="00A414A8" w:rsidTr="009F07F2">
        <w:tc>
          <w:tcPr>
            <w:tcW w:w="2679" w:type="pct"/>
            <w:shd w:val="clear" w:color="auto" w:fill="auto"/>
          </w:tcPr>
          <w:p w:rsidR="00AF58EB" w:rsidRPr="00A414A8" w:rsidRDefault="00AF58EB" w:rsidP="00AF0109">
            <w:pPr>
              <w:spacing w:before="60"/>
              <w:ind w:left="34"/>
              <w:rPr>
                <w:sz w:val="20"/>
              </w:rPr>
            </w:pPr>
            <w:r w:rsidRPr="00A414A8">
              <w:rPr>
                <w:sz w:val="20"/>
              </w:rPr>
              <w:t>amdt = amendment</w:t>
            </w:r>
          </w:p>
        </w:tc>
        <w:tc>
          <w:tcPr>
            <w:tcW w:w="2321" w:type="pct"/>
            <w:shd w:val="clear" w:color="auto" w:fill="auto"/>
          </w:tcPr>
          <w:p w:rsidR="00AF58EB" w:rsidRPr="00A414A8" w:rsidRDefault="00AF58EB" w:rsidP="00AF0109">
            <w:pPr>
              <w:spacing w:before="60"/>
              <w:ind w:left="34"/>
              <w:rPr>
                <w:sz w:val="20"/>
              </w:rPr>
            </w:pPr>
            <w:r w:rsidRPr="00A414A8">
              <w:rPr>
                <w:sz w:val="20"/>
              </w:rPr>
              <w:t>orig = original</w:t>
            </w:r>
          </w:p>
        </w:tc>
      </w:tr>
      <w:tr w:rsidR="00AF58EB" w:rsidRPr="00A414A8" w:rsidTr="009F07F2">
        <w:tc>
          <w:tcPr>
            <w:tcW w:w="2679" w:type="pct"/>
            <w:shd w:val="clear" w:color="auto" w:fill="auto"/>
          </w:tcPr>
          <w:p w:rsidR="00AF58EB" w:rsidRPr="00A414A8" w:rsidRDefault="00AF58EB" w:rsidP="00AF0109">
            <w:pPr>
              <w:spacing w:before="60"/>
              <w:ind w:left="34"/>
              <w:rPr>
                <w:sz w:val="20"/>
              </w:rPr>
            </w:pPr>
            <w:r w:rsidRPr="00A414A8">
              <w:rPr>
                <w:sz w:val="20"/>
              </w:rPr>
              <w:t>c = clause(s)</w:t>
            </w:r>
          </w:p>
        </w:tc>
        <w:tc>
          <w:tcPr>
            <w:tcW w:w="2321" w:type="pct"/>
            <w:shd w:val="clear" w:color="auto" w:fill="auto"/>
          </w:tcPr>
          <w:p w:rsidR="00AF58EB" w:rsidRPr="00A414A8" w:rsidRDefault="00AF58EB" w:rsidP="00AF0109">
            <w:pPr>
              <w:spacing w:before="60"/>
              <w:ind w:left="34"/>
              <w:rPr>
                <w:sz w:val="20"/>
              </w:rPr>
            </w:pPr>
            <w:r w:rsidRPr="00A414A8">
              <w:rPr>
                <w:sz w:val="20"/>
              </w:rPr>
              <w:t>par = paragraph(s)/subparagraph(s)</w:t>
            </w:r>
          </w:p>
        </w:tc>
      </w:tr>
      <w:tr w:rsidR="00AF58EB" w:rsidRPr="00A414A8" w:rsidTr="009F07F2">
        <w:tc>
          <w:tcPr>
            <w:tcW w:w="2679" w:type="pct"/>
            <w:shd w:val="clear" w:color="auto" w:fill="auto"/>
          </w:tcPr>
          <w:p w:rsidR="00AF58EB" w:rsidRPr="00A414A8" w:rsidRDefault="00AF58EB" w:rsidP="00AF0109">
            <w:pPr>
              <w:spacing w:before="60"/>
              <w:ind w:left="34"/>
              <w:rPr>
                <w:sz w:val="20"/>
              </w:rPr>
            </w:pPr>
            <w:r w:rsidRPr="00A414A8">
              <w:rPr>
                <w:sz w:val="20"/>
              </w:rPr>
              <w:t>C[x] = Compilation No. x</w:t>
            </w:r>
          </w:p>
        </w:tc>
        <w:tc>
          <w:tcPr>
            <w:tcW w:w="2321" w:type="pct"/>
            <w:shd w:val="clear" w:color="auto" w:fill="auto"/>
          </w:tcPr>
          <w:p w:rsidR="00AF58EB" w:rsidRPr="00A414A8" w:rsidRDefault="00AF31EE" w:rsidP="00AF31EE">
            <w:pPr>
              <w:ind w:left="34" w:firstLine="249"/>
              <w:rPr>
                <w:sz w:val="20"/>
              </w:rPr>
            </w:pPr>
            <w:r w:rsidRPr="00A414A8">
              <w:rPr>
                <w:sz w:val="20"/>
              </w:rPr>
              <w:t>/</w:t>
            </w:r>
            <w:r w:rsidR="00AF58EB" w:rsidRPr="00A414A8">
              <w:rPr>
                <w:sz w:val="20"/>
              </w:rPr>
              <w:t>sub</w:t>
            </w:r>
            <w:r w:rsidR="00A414A8">
              <w:rPr>
                <w:sz w:val="20"/>
              </w:rPr>
              <w:noBreakHyphen/>
            </w:r>
            <w:r w:rsidR="00AF58EB" w:rsidRPr="00A414A8">
              <w:rPr>
                <w:sz w:val="20"/>
              </w:rPr>
              <w:t>subparagraph(s)</w:t>
            </w:r>
          </w:p>
        </w:tc>
      </w:tr>
      <w:tr w:rsidR="00AF58EB" w:rsidRPr="00A414A8" w:rsidTr="009F07F2">
        <w:tc>
          <w:tcPr>
            <w:tcW w:w="2679" w:type="pct"/>
            <w:shd w:val="clear" w:color="auto" w:fill="auto"/>
          </w:tcPr>
          <w:p w:rsidR="00AF58EB" w:rsidRPr="00A414A8" w:rsidRDefault="00AF58EB" w:rsidP="00AF0109">
            <w:pPr>
              <w:spacing w:before="60"/>
              <w:ind w:left="34"/>
              <w:rPr>
                <w:sz w:val="20"/>
              </w:rPr>
            </w:pPr>
            <w:r w:rsidRPr="00A414A8">
              <w:rPr>
                <w:sz w:val="20"/>
              </w:rPr>
              <w:t>Ch = Chapter(s)</w:t>
            </w:r>
          </w:p>
        </w:tc>
        <w:tc>
          <w:tcPr>
            <w:tcW w:w="2321" w:type="pct"/>
            <w:shd w:val="clear" w:color="auto" w:fill="auto"/>
          </w:tcPr>
          <w:p w:rsidR="00AF58EB" w:rsidRPr="00A414A8" w:rsidRDefault="00AF58EB" w:rsidP="00AF0109">
            <w:pPr>
              <w:spacing w:before="60"/>
              <w:ind w:left="34"/>
              <w:rPr>
                <w:sz w:val="20"/>
              </w:rPr>
            </w:pPr>
            <w:r w:rsidRPr="00A414A8">
              <w:rPr>
                <w:sz w:val="20"/>
              </w:rPr>
              <w:t>pres = present</w:t>
            </w:r>
          </w:p>
        </w:tc>
      </w:tr>
      <w:tr w:rsidR="00AF58EB" w:rsidRPr="00A414A8" w:rsidTr="009F07F2">
        <w:tc>
          <w:tcPr>
            <w:tcW w:w="2679" w:type="pct"/>
            <w:shd w:val="clear" w:color="auto" w:fill="auto"/>
          </w:tcPr>
          <w:p w:rsidR="00AF58EB" w:rsidRPr="00A414A8" w:rsidRDefault="00AF58EB" w:rsidP="00AF0109">
            <w:pPr>
              <w:spacing w:before="60"/>
              <w:ind w:left="34"/>
              <w:rPr>
                <w:sz w:val="20"/>
              </w:rPr>
            </w:pPr>
            <w:r w:rsidRPr="00A414A8">
              <w:rPr>
                <w:sz w:val="20"/>
              </w:rPr>
              <w:t>def = definition(s)</w:t>
            </w:r>
          </w:p>
        </w:tc>
        <w:tc>
          <w:tcPr>
            <w:tcW w:w="2321" w:type="pct"/>
            <w:shd w:val="clear" w:color="auto" w:fill="auto"/>
          </w:tcPr>
          <w:p w:rsidR="00AF58EB" w:rsidRPr="00A414A8" w:rsidRDefault="00AF58EB" w:rsidP="00AF0109">
            <w:pPr>
              <w:spacing w:before="60"/>
              <w:ind w:left="34"/>
              <w:rPr>
                <w:sz w:val="20"/>
              </w:rPr>
            </w:pPr>
            <w:r w:rsidRPr="00A414A8">
              <w:rPr>
                <w:sz w:val="20"/>
              </w:rPr>
              <w:t>prev = previous</w:t>
            </w:r>
          </w:p>
        </w:tc>
      </w:tr>
      <w:tr w:rsidR="00AF58EB" w:rsidRPr="00A414A8" w:rsidTr="009F07F2">
        <w:tc>
          <w:tcPr>
            <w:tcW w:w="2679" w:type="pct"/>
            <w:shd w:val="clear" w:color="auto" w:fill="auto"/>
          </w:tcPr>
          <w:p w:rsidR="00AF58EB" w:rsidRPr="00A414A8" w:rsidRDefault="00AF58EB" w:rsidP="00AF0109">
            <w:pPr>
              <w:spacing w:before="60"/>
              <w:ind w:left="34"/>
              <w:rPr>
                <w:sz w:val="20"/>
              </w:rPr>
            </w:pPr>
            <w:r w:rsidRPr="00A414A8">
              <w:rPr>
                <w:sz w:val="20"/>
              </w:rPr>
              <w:t>Dict = Dictionary</w:t>
            </w:r>
          </w:p>
        </w:tc>
        <w:tc>
          <w:tcPr>
            <w:tcW w:w="2321" w:type="pct"/>
            <w:shd w:val="clear" w:color="auto" w:fill="auto"/>
          </w:tcPr>
          <w:p w:rsidR="00AF58EB" w:rsidRPr="00A414A8" w:rsidRDefault="00AF58EB" w:rsidP="00AF0109">
            <w:pPr>
              <w:spacing w:before="60"/>
              <w:ind w:left="34"/>
              <w:rPr>
                <w:sz w:val="20"/>
              </w:rPr>
            </w:pPr>
            <w:r w:rsidRPr="00A414A8">
              <w:rPr>
                <w:sz w:val="20"/>
              </w:rPr>
              <w:t>(prev…) = previously</w:t>
            </w:r>
          </w:p>
        </w:tc>
      </w:tr>
      <w:tr w:rsidR="00AF58EB" w:rsidRPr="00A414A8" w:rsidTr="009F07F2">
        <w:tc>
          <w:tcPr>
            <w:tcW w:w="2679" w:type="pct"/>
            <w:shd w:val="clear" w:color="auto" w:fill="auto"/>
          </w:tcPr>
          <w:p w:rsidR="00AF58EB" w:rsidRPr="00A414A8" w:rsidRDefault="00AF58EB" w:rsidP="00AF0109">
            <w:pPr>
              <w:spacing w:before="60"/>
              <w:ind w:left="34"/>
              <w:rPr>
                <w:sz w:val="20"/>
              </w:rPr>
            </w:pPr>
            <w:r w:rsidRPr="00A414A8">
              <w:rPr>
                <w:sz w:val="20"/>
              </w:rPr>
              <w:t>disallowed = disallowed by Parliament</w:t>
            </w:r>
          </w:p>
        </w:tc>
        <w:tc>
          <w:tcPr>
            <w:tcW w:w="2321" w:type="pct"/>
            <w:shd w:val="clear" w:color="auto" w:fill="auto"/>
          </w:tcPr>
          <w:p w:rsidR="00AF58EB" w:rsidRPr="00A414A8" w:rsidRDefault="00AF58EB" w:rsidP="00AF0109">
            <w:pPr>
              <w:spacing w:before="60"/>
              <w:ind w:left="34"/>
              <w:rPr>
                <w:sz w:val="20"/>
              </w:rPr>
            </w:pPr>
            <w:r w:rsidRPr="00A414A8">
              <w:rPr>
                <w:sz w:val="20"/>
              </w:rPr>
              <w:t>Pt = Part(s)</w:t>
            </w:r>
          </w:p>
        </w:tc>
      </w:tr>
      <w:tr w:rsidR="00AF58EB" w:rsidRPr="00A414A8" w:rsidTr="009F07F2">
        <w:tc>
          <w:tcPr>
            <w:tcW w:w="2679" w:type="pct"/>
            <w:shd w:val="clear" w:color="auto" w:fill="auto"/>
          </w:tcPr>
          <w:p w:rsidR="00AF58EB" w:rsidRPr="00A414A8" w:rsidRDefault="00AF58EB" w:rsidP="00AF0109">
            <w:pPr>
              <w:spacing w:before="60"/>
              <w:ind w:left="34"/>
              <w:rPr>
                <w:sz w:val="20"/>
              </w:rPr>
            </w:pPr>
            <w:r w:rsidRPr="00A414A8">
              <w:rPr>
                <w:sz w:val="20"/>
              </w:rPr>
              <w:t>Div = Division(s)</w:t>
            </w:r>
          </w:p>
        </w:tc>
        <w:tc>
          <w:tcPr>
            <w:tcW w:w="2321" w:type="pct"/>
            <w:shd w:val="clear" w:color="auto" w:fill="auto"/>
          </w:tcPr>
          <w:p w:rsidR="00AF58EB" w:rsidRPr="00A414A8" w:rsidRDefault="00AF58EB" w:rsidP="00AF0109">
            <w:pPr>
              <w:spacing w:before="60"/>
              <w:ind w:left="34"/>
              <w:rPr>
                <w:sz w:val="20"/>
              </w:rPr>
            </w:pPr>
            <w:r w:rsidRPr="00A414A8">
              <w:rPr>
                <w:sz w:val="20"/>
              </w:rPr>
              <w:t>r = regulation(s)/rule(s)</w:t>
            </w:r>
          </w:p>
        </w:tc>
      </w:tr>
      <w:tr w:rsidR="00AF58EB" w:rsidRPr="00A414A8" w:rsidTr="009F07F2">
        <w:tc>
          <w:tcPr>
            <w:tcW w:w="2679" w:type="pct"/>
            <w:shd w:val="clear" w:color="auto" w:fill="auto"/>
          </w:tcPr>
          <w:p w:rsidR="00AF58EB" w:rsidRPr="00A414A8" w:rsidRDefault="00AF58EB" w:rsidP="00AF0109">
            <w:pPr>
              <w:spacing w:before="60"/>
              <w:ind w:left="34"/>
              <w:rPr>
                <w:sz w:val="20"/>
              </w:rPr>
            </w:pPr>
            <w:r w:rsidRPr="00A414A8">
              <w:rPr>
                <w:sz w:val="20"/>
              </w:rPr>
              <w:t>ed = editorial change</w:t>
            </w:r>
          </w:p>
        </w:tc>
        <w:tc>
          <w:tcPr>
            <w:tcW w:w="2321" w:type="pct"/>
            <w:shd w:val="clear" w:color="auto" w:fill="auto"/>
          </w:tcPr>
          <w:p w:rsidR="00AF58EB" w:rsidRPr="00A414A8" w:rsidRDefault="00AF58EB" w:rsidP="00AF0109">
            <w:pPr>
              <w:spacing w:before="60"/>
              <w:ind w:left="34"/>
              <w:rPr>
                <w:sz w:val="20"/>
              </w:rPr>
            </w:pPr>
            <w:r w:rsidRPr="00A414A8">
              <w:rPr>
                <w:sz w:val="20"/>
              </w:rPr>
              <w:t>reloc = relocated</w:t>
            </w:r>
          </w:p>
        </w:tc>
      </w:tr>
      <w:tr w:rsidR="00AF58EB" w:rsidRPr="00A414A8" w:rsidTr="009F07F2">
        <w:tc>
          <w:tcPr>
            <w:tcW w:w="2679" w:type="pct"/>
            <w:shd w:val="clear" w:color="auto" w:fill="auto"/>
          </w:tcPr>
          <w:p w:rsidR="00AF58EB" w:rsidRPr="00A414A8" w:rsidRDefault="00AF58EB" w:rsidP="00AF0109">
            <w:pPr>
              <w:spacing w:before="60"/>
              <w:ind w:left="34"/>
              <w:rPr>
                <w:sz w:val="20"/>
              </w:rPr>
            </w:pPr>
            <w:r w:rsidRPr="00A414A8">
              <w:rPr>
                <w:sz w:val="20"/>
              </w:rPr>
              <w:t>exp = expires/expired or ceases/ceased to have</w:t>
            </w:r>
          </w:p>
        </w:tc>
        <w:tc>
          <w:tcPr>
            <w:tcW w:w="2321" w:type="pct"/>
            <w:shd w:val="clear" w:color="auto" w:fill="auto"/>
          </w:tcPr>
          <w:p w:rsidR="00AF58EB" w:rsidRPr="00A414A8" w:rsidRDefault="00AF58EB" w:rsidP="00AF0109">
            <w:pPr>
              <w:spacing w:before="60"/>
              <w:ind w:left="34"/>
              <w:rPr>
                <w:sz w:val="20"/>
              </w:rPr>
            </w:pPr>
            <w:r w:rsidRPr="00A414A8">
              <w:rPr>
                <w:sz w:val="20"/>
              </w:rPr>
              <w:t>renum = renumbered</w:t>
            </w:r>
          </w:p>
        </w:tc>
      </w:tr>
      <w:tr w:rsidR="00AF58EB" w:rsidRPr="00A414A8" w:rsidTr="009F07F2">
        <w:tc>
          <w:tcPr>
            <w:tcW w:w="2679" w:type="pct"/>
            <w:shd w:val="clear" w:color="auto" w:fill="auto"/>
          </w:tcPr>
          <w:p w:rsidR="00AF58EB" w:rsidRPr="00A414A8" w:rsidRDefault="00AF31EE" w:rsidP="00AF31EE">
            <w:pPr>
              <w:ind w:left="34" w:firstLine="249"/>
              <w:rPr>
                <w:sz w:val="20"/>
              </w:rPr>
            </w:pPr>
            <w:r w:rsidRPr="00A414A8">
              <w:rPr>
                <w:sz w:val="20"/>
              </w:rPr>
              <w:t>e</w:t>
            </w:r>
            <w:r w:rsidR="00AF58EB" w:rsidRPr="00A414A8">
              <w:rPr>
                <w:sz w:val="20"/>
              </w:rPr>
              <w:t>ffect</w:t>
            </w:r>
          </w:p>
        </w:tc>
        <w:tc>
          <w:tcPr>
            <w:tcW w:w="2321" w:type="pct"/>
            <w:shd w:val="clear" w:color="auto" w:fill="auto"/>
          </w:tcPr>
          <w:p w:rsidR="00AF58EB" w:rsidRPr="00A414A8" w:rsidRDefault="00AF58EB" w:rsidP="00AF0109">
            <w:pPr>
              <w:spacing w:before="60"/>
              <w:ind w:left="34"/>
              <w:rPr>
                <w:sz w:val="20"/>
              </w:rPr>
            </w:pPr>
            <w:r w:rsidRPr="00A414A8">
              <w:rPr>
                <w:sz w:val="20"/>
              </w:rPr>
              <w:t>rep = repealed</w:t>
            </w:r>
          </w:p>
        </w:tc>
      </w:tr>
      <w:tr w:rsidR="00AF58EB" w:rsidRPr="00A414A8" w:rsidTr="009F07F2">
        <w:tc>
          <w:tcPr>
            <w:tcW w:w="2679" w:type="pct"/>
            <w:shd w:val="clear" w:color="auto" w:fill="auto"/>
          </w:tcPr>
          <w:p w:rsidR="00AF58EB" w:rsidRPr="00A414A8" w:rsidRDefault="00AF58EB" w:rsidP="00AF0109">
            <w:pPr>
              <w:spacing w:before="60"/>
              <w:ind w:left="34"/>
              <w:rPr>
                <w:sz w:val="20"/>
              </w:rPr>
            </w:pPr>
            <w:r w:rsidRPr="00A414A8">
              <w:rPr>
                <w:sz w:val="20"/>
              </w:rPr>
              <w:t>F = Federal Register of Legislation</w:t>
            </w:r>
          </w:p>
        </w:tc>
        <w:tc>
          <w:tcPr>
            <w:tcW w:w="2321" w:type="pct"/>
            <w:shd w:val="clear" w:color="auto" w:fill="auto"/>
          </w:tcPr>
          <w:p w:rsidR="00AF58EB" w:rsidRPr="00A414A8" w:rsidRDefault="00AF58EB" w:rsidP="00AF0109">
            <w:pPr>
              <w:spacing w:before="60"/>
              <w:ind w:left="34"/>
              <w:rPr>
                <w:sz w:val="20"/>
              </w:rPr>
            </w:pPr>
            <w:r w:rsidRPr="00A414A8">
              <w:rPr>
                <w:sz w:val="20"/>
              </w:rPr>
              <w:t>rs = repealed and substituted</w:t>
            </w:r>
          </w:p>
        </w:tc>
      </w:tr>
      <w:tr w:rsidR="00AF58EB" w:rsidRPr="00A414A8" w:rsidTr="009F07F2">
        <w:tc>
          <w:tcPr>
            <w:tcW w:w="2679" w:type="pct"/>
            <w:shd w:val="clear" w:color="auto" w:fill="auto"/>
          </w:tcPr>
          <w:p w:rsidR="00AF58EB" w:rsidRPr="00A414A8" w:rsidRDefault="00AF58EB" w:rsidP="00AF0109">
            <w:pPr>
              <w:spacing w:before="60"/>
              <w:ind w:left="34"/>
              <w:rPr>
                <w:sz w:val="20"/>
              </w:rPr>
            </w:pPr>
            <w:r w:rsidRPr="00A414A8">
              <w:rPr>
                <w:sz w:val="20"/>
              </w:rPr>
              <w:t>gaz = gazette</w:t>
            </w:r>
          </w:p>
        </w:tc>
        <w:tc>
          <w:tcPr>
            <w:tcW w:w="2321" w:type="pct"/>
            <w:shd w:val="clear" w:color="auto" w:fill="auto"/>
          </w:tcPr>
          <w:p w:rsidR="00AF58EB" w:rsidRPr="00A414A8" w:rsidRDefault="00AF58EB" w:rsidP="00AF0109">
            <w:pPr>
              <w:spacing w:before="60"/>
              <w:ind w:left="34"/>
              <w:rPr>
                <w:sz w:val="20"/>
              </w:rPr>
            </w:pPr>
            <w:r w:rsidRPr="00A414A8">
              <w:rPr>
                <w:sz w:val="20"/>
              </w:rPr>
              <w:t>s = section(s)/subsection(s)</w:t>
            </w:r>
          </w:p>
        </w:tc>
      </w:tr>
      <w:tr w:rsidR="00AF58EB" w:rsidRPr="00A414A8" w:rsidTr="009F07F2">
        <w:tc>
          <w:tcPr>
            <w:tcW w:w="2679" w:type="pct"/>
            <w:shd w:val="clear" w:color="auto" w:fill="auto"/>
          </w:tcPr>
          <w:p w:rsidR="00AF58EB" w:rsidRPr="00A414A8" w:rsidRDefault="00AF58EB" w:rsidP="00AF0109">
            <w:pPr>
              <w:spacing w:before="60"/>
              <w:ind w:left="34"/>
              <w:rPr>
                <w:sz w:val="20"/>
              </w:rPr>
            </w:pPr>
            <w:r w:rsidRPr="00A414A8">
              <w:rPr>
                <w:sz w:val="20"/>
              </w:rPr>
              <w:t xml:space="preserve">LA = </w:t>
            </w:r>
            <w:r w:rsidRPr="00A414A8">
              <w:rPr>
                <w:i/>
                <w:sz w:val="20"/>
              </w:rPr>
              <w:t>Legislation Act 2003</w:t>
            </w:r>
          </w:p>
        </w:tc>
        <w:tc>
          <w:tcPr>
            <w:tcW w:w="2321" w:type="pct"/>
            <w:shd w:val="clear" w:color="auto" w:fill="auto"/>
          </w:tcPr>
          <w:p w:rsidR="00AF58EB" w:rsidRPr="00A414A8" w:rsidRDefault="00AF58EB" w:rsidP="00AF0109">
            <w:pPr>
              <w:spacing w:before="60"/>
              <w:ind w:left="34"/>
              <w:rPr>
                <w:sz w:val="20"/>
              </w:rPr>
            </w:pPr>
            <w:r w:rsidRPr="00A414A8">
              <w:rPr>
                <w:sz w:val="20"/>
              </w:rPr>
              <w:t>Sch = Schedule(s)</w:t>
            </w:r>
          </w:p>
        </w:tc>
      </w:tr>
      <w:tr w:rsidR="00AF58EB" w:rsidRPr="00A414A8" w:rsidTr="009F07F2">
        <w:tc>
          <w:tcPr>
            <w:tcW w:w="2679" w:type="pct"/>
            <w:shd w:val="clear" w:color="auto" w:fill="auto"/>
          </w:tcPr>
          <w:p w:rsidR="00AF58EB" w:rsidRPr="00A414A8" w:rsidRDefault="00AF58EB" w:rsidP="00AF0109">
            <w:pPr>
              <w:spacing w:before="60"/>
              <w:ind w:left="34"/>
              <w:rPr>
                <w:sz w:val="20"/>
              </w:rPr>
            </w:pPr>
            <w:r w:rsidRPr="00A414A8">
              <w:rPr>
                <w:sz w:val="20"/>
              </w:rPr>
              <w:t xml:space="preserve">LIA = </w:t>
            </w:r>
            <w:r w:rsidRPr="00A414A8">
              <w:rPr>
                <w:i/>
                <w:sz w:val="20"/>
              </w:rPr>
              <w:t>Legislative Instruments Act 2003</w:t>
            </w:r>
          </w:p>
        </w:tc>
        <w:tc>
          <w:tcPr>
            <w:tcW w:w="2321" w:type="pct"/>
            <w:shd w:val="clear" w:color="auto" w:fill="auto"/>
          </w:tcPr>
          <w:p w:rsidR="00AF58EB" w:rsidRPr="00A414A8" w:rsidRDefault="00AF58EB" w:rsidP="00AF0109">
            <w:pPr>
              <w:spacing w:before="60"/>
              <w:ind w:left="34"/>
              <w:rPr>
                <w:sz w:val="20"/>
              </w:rPr>
            </w:pPr>
            <w:r w:rsidRPr="00A414A8">
              <w:rPr>
                <w:sz w:val="20"/>
              </w:rPr>
              <w:t>Sdiv = Subdivision(s)</w:t>
            </w:r>
          </w:p>
        </w:tc>
      </w:tr>
      <w:tr w:rsidR="00AF58EB" w:rsidRPr="00A414A8" w:rsidTr="009F07F2">
        <w:tc>
          <w:tcPr>
            <w:tcW w:w="2679" w:type="pct"/>
            <w:shd w:val="clear" w:color="auto" w:fill="auto"/>
          </w:tcPr>
          <w:p w:rsidR="00AF58EB" w:rsidRPr="00A414A8" w:rsidRDefault="00AF58EB" w:rsidP="00AF0109">
            <w:pPr>
              <w:spacing w:before="60"/>
              <w:ind w:left="34"/>
              <w:rPr>
                <w:sz w:val="20"/>
              </w:rPr>
            </w:pPr>
            <w:r w:rsidRPr="00A414A8">
              <w:rPr>
                <w:sz w:val="20"/>
              </w:rPr>
              <w:t>(md) = misdescribed amendment can be given</w:t>
            </w:r>
          </w:p>
        </w:tc>
        <w:tc>
          <w:tcPr>
            <w:tcW w:w="2321" w:type="pct"/>
            <w:shd w:val="clear" w:color="auto" w:fill="auto"/>
          </w:tcPr>
          <w:p w:rsidR="00AF58EB" w:rsidRPr="00A414A8" w:rsidRDefault="00AF58EB" w:rsidP="00AF0109">
            <w:pPr>
              <w:spacing w:before="60"/>
              <w:ind w:left="34"/>
              <w:rPr>
                <w:sz w:val="20"/>
              </w:rPr>
            </w:pPr>
            <w:r w:rsidRPr="00A414A8">
              <w:rPr>
                <w:sz w:val="20"/>
              </w:rPr>
              <w:t>SLI = Select Legislative Instrument</w:t>
            </w:r>
          </w:p>
        </w:tc>
      </w:tr>
      <w:tr w:rsidR="00AF58EB" w:rsidRPr="00A414A8" w:rsidTr="009F07F2">
        <w:tc>
          <w:tcPr>
            <w:tcW w:w="2679" w:type="pct"/>
            <w:shd w:val="clear" w:color="auto" w:fill="auto"/>
          </w:tcPr>
          <w:p w:rsidR="00AF58EB" w:rsidRPr="00A414A8" w:rsidRDefault="00AF31EE" w:rsidP="00AF31EE">
            <w:pPr>
              <w:ind w:left="34" w:firstLine="249"/>
              <w:rPr>
                <w:sz w:val="20"/>
              </w:rPr>
            </w:pPr>
            <w:r w:rsidRPr="00A414A8">
              <w:rPr>
                <w:sz w:val="20"/>
              </w:rPr>
              <w:t>e</w:t>
            </w:r>
            <w:r w:rsidR="00AF58EB" w:rsidRPr="00A414A8">
              <w:rPr>
                <w:sz w:val="20"/>
              </w:rPr>
              <w:t>ffect</w:t>
            </w:r>
          </w:p>
        </w:tc>
        <w:tc>
          <w:tcPr>
            <w:tcW w:w="2321" w:type="pct"/>
            <w:shd w:val="clear" w:color="auto" w:fill="auto"/>
          </w:tcPr>
          <w:p w:rsidR="00AF58EB" w:rsidRPr="00A414A8" w:rsidRDefault="00AF58EB" w:rsidP="00AF0109">
            <w:pPr>
              <w:spacing w:before="60"/>
              <w:ind w:left="34"/>
              <w:rPr>
                <w:sz w:val="20"/>
              </w:rPr>
            </w:pPr>
            <w:r w:rsidRPr="00A414A8">
              <w:rPr>
                <w:sz w:val="20"/>
              </w:rPr>
              <w:t>SR = Statutory Rules</w:t>
            </w:r>
          </w:p>
        </w:tc>
      </w:tr>
      <w:tr w:rsidR="00AF58EB" w:rsidRPr="00A414A8" w:rsidTr="009F07F2">
        <w:tc>
          <w:tcPr>
            <w:tcW w:w="2679" w:type="pct"/>
            <w:shd w:val="clear" w:color="auto" w:fill="auto"/>
          </w:tcPr>
          <w:p w:rsidR="00AF58EB" w:rsidRPr="00A414A8" w:rsidRDefault="00AF58EB" w:rsidP="00AF0109">
            <w:pPr>
              <w:spacing w:before="60"/>
              <w:ind w:left="34"/>
              <w:rPr>
                <w:sz w:val="20"/>
              </w:rPr>
            </w:pPr>
            <w:r w:rsidRPr="00A414A8">
              <w:rPr>
                <w:sz w:val="20"/>
              </w:rPr>
              <w:t>(md not incorp) = misdescribed amendment</w:t>
            </w:r>
          </w:p>
        </w:tc>
        <w:tc>
          <w:tcPr>
            <w:tcW w:w="2321" w:type="pct"/>
            <w:shd w:val="clear" w:color="auto" w:fill="auto"/>
          </w:tcPr>
          <w:p w:rsidR="00AF58EB" w:rsidRPr="00A414A8" w:rsidRDefault="00AF58EB" w:rsidP="00AF0109">
            <w:pPr>
              <w:spacing w:before="60"/>
              <w:ind w:left="34"/>
              <w:rPr>
                <w:sz w:val="20"/>
              </w:rPr>
            </w:pPr>
            <w:r w:rsidRPr="00A414A8">
              <w:rPr>
                <w:sz w:val="20"/>
              </w:rPr>
              <w:t>Sub</w:t>
            </w:r>
            <w:r w:rsidR="00A414A8">
              <w:rPr>
                <w:sz w:val="20"/>
              </w:rPr>
              <w:noBreakHyphen/>
            </w:r>
            <w:r w:rsidRPr="00A414A8">
              <w:rPr>
                <w:sz w:val="20"/>
              </w:rPr>
              <w:t>Ch = Sub</w:t>
            </w:r>
            <w:r w:rsidR="00A414A8">
              <w:rPr>
                <w:sz w:val="20"/>
              </w:rPr>
              <w:noBreakHyphen/>
            </w:r>
            <w:r w:rsidRPr="00A414A8">
              <w:rPr>
                <w:sz w:val="20"/>
              </w:rPr>
              <w:t>Chapter(s)</w:t>
            </w:r>
          </w:p>
        </w:tc>
      </w:tr>
      <w:tr w:rsidR="00AF58EB" w:rsidRPr="00A414A8" w:rsidTr="009F07F2">
        <w:tc>
          <w:tcPr>
            <w:tcW w:w="2679" w:type="pct"/>
            <w:shd w:val="clear" w:color="auto" w:fill="auto"/>
          </w:tcPr>
          <w:p w:rsidR="00AF58EB" w:rsidRPr="00A414A8" w:rsidRDefault="00AF31EE" w:rsidP="00AF31EE">
            <w:pPr>
              <w:ind w:left="34" w:firstLine="249"/>
              <w:rPr>
                <w:sz w:val="20"/>
              </w:rPr>
            </w:pPr>
            <w:r w:rsidRPr="00A414A8">
              <w:rPr>
                <w:sz w:val="20"/>
              </w:rPr>
              <w:t>c</w:t>
            </w:r>
            <w:r w:rsidR="00AF58EB" w:rsidRPr="00A414A8">
              <w:rPr>
                <w:sz w:val="20"/>
              </w:rPr>
              <w:t>annot be given effect</w:t>
            </w:r>
          </w:p>
        </w:tc>
        <w:tc>
          <w:tcPr>
            <w:tcW w:w="2321" w:type="pct"/>
            <w:shd w:val="clear" w:color="auto" w:fill="auto"/>
          </w:tcPr>
          <w:p w:rsidR="00AF58EB" w:rsidRPr="00A414A8" w:rsidRDefault="00AF58EB" w:rsidP="00AF0109">
            <w:pPr>
              <w:spacing w:before="60"/>
              <w:ind w:left="34"/>
              <w:rPr>
                <w:sz w:val="20"/>
              </w:rPr>
            </w:pPr>
            <w:r w:rsidRPr="00A414A8">
              <w:rPr>
                <w:sz w:val="20"/>
              </w:rPr>
              <w:t>SubPt = Subpart(s)</w:t>
            </w:r>
          </w:p>
        </w:tc>
      </w:tr>
      <w:tr w:rsidR="00AF58EB" w:rsidRPr="00A414A8" w:rsidTr="009F07F2">
        <w:tc>
          <w:tcPr>
            <w:tcW w:w="2679" w:type="pct"/>
            <w:shd w:val="clear" w:color="auto" w:fill="auto"/>
          </w:tcPr>
          <w:p w:rsidR="00AF58EB" w:rsidRPr="00A414A8" w:rsidRDefault="00AF58EB" w:rsidP="00AF0109">
            <w:pPr>
              <w:spacing w:before="60"/>
              <w:ind w:left="34"/>
              <w:rPr>
                <w:sz w:val="20"/>
              </w:rPr>
            </w:pPr>
            <w:r w:rsidRPr="00A414A8">
              <w:rPr>
                <w:sz w:val="20"/>
              </w:rPr>
              <w:t>mod = modified/modification</w:t>
            </w:r>
          </w:p>
        </w:tc>
        <w:tc>
          <w:tcPr>
            <w:tcW w:w="2321" w:type="pct"/>
            <w:shd w:val="clear" w:color="auto" w:fill="auto"/>
          </w:tcPr>
          <w:p w:rsidR="00AF58EB" w:rsidRPr="00A414A8" w:rsidRDefault="00AF58EB" w:rsidP="00AF0109">
            <w:pPr>
              <w:spacing w:before="60"/>
              <w:ind w:left="34"/>
              <w:rPr>
                <w:sz w:val="20"/>
              </w:rPr>
            </w:pPr>
            <w:r w:rsidRPr="00A414A8">
              <w:rPr>
                <w:sz w:val="20"/>
                <w:u w:val="single"/>
              </w:rPr>
              <w:t>underlining</w:t>
            </w:r>
            <w:r w:rsidRPr="00A414A8">
              <w:rPr>
                <w:sz w:val="20"/>
              </w:rPr>
              <w:t xml:space="preserve"> = whole or part not</w:t>
            </w:r>
          </w:p>
        </w:tc>
      </w:tr>
      <w:tr w:rsidR="00AF58EB" w:rsidRPr="00A414A8" w:rsidTr="009F07F2">
        <w:tc>
          <w:tcPr>
            <w:tcW w:w="2679" w:type="pct"/>
            <w:shd w:val="clear" w:color="auto" w:fill="auto"/>
          </w:tcPr>
          <w:p w:rsidR="00AF58EB" w:rsidRPr="00A414A8" w:rsidRDefault="00AF58EB" w:rsidP="00AF0109">
            <w:pPr>
              <w:spacing w:before="60"/>
              <w:ind w:left="34"/>
              <w:rPr>
                <w:sz w:val="20"/>
              </w:rPr>
            </w:pPr>
            <w:r w:rsidRPr="00A414A8">
              <w:rPr>
                <w:sz w:val="20"/>
              </w:rPr>
              <w:t>No. = Number(s)</w:t>
            </w:r>
          </w:p>
        </w:tc>
        <w:tc>
          <w:tcPr>
            <w:tcW w:w="2321" w:type="pct"/>
            <w:shd w:val="clear" w:color="auto" w:fill="auto"/>
          </w:tcPr>
          <w:p w:rsidR="00AF58EB" w:rsidRPr="00A414A8" w:rsidRDefault="00AF31EE" w:rsidP="00AF31EE">
            <w:pPr>
              <w:ind w:left="34" w:firstLine="249"/>
              <w:rPr>
                <w:sz w:val="20"/>
              </w:rPr>
            </w:pPr>
            <w:r w:rsidRPr="00A414A8">
              <w:rPr>
                <w:sz w:val="20"/>
              </w:rPr>
              <w:t>c</w:t>
            </w:r>
            <w:r w:rsidR="00AF58EB" w:rsidRPr="00A414A8">
              <w:rPr>
                <w:sz w:val="20"/>
              </w:rPr>
              <w:t>ommenced or to be commenced</w:t>
            </w:r>
          </w:p>
        </w:tc>
      </w:tr>
    </w:tbl>
    <w:p w:rsidR="00AF58EB" w:rsidRPr="00A414A8" w:rsidRDefault="00AF58EB" w:rsidP="00AF0109">
      <w:pPr>
        <w:pStyle w:val="Tabletext"/>
      </w:pPr>
    </w:p>
    <w:p w:rsidR="00AF58EB" w:rsidRPr="00A414A8" w:rsidRDefault="00AF58EB" w:rsidP="00AF0109">
      <w:pPr>
        <w:pStyle w:val="ENotesHeading2"/>
        <w:pageBreakBefore/>
      </w:pPr>
      <w:r w:rsidRPr="00A414A8">
        <w:lastRenderedPageBreak/>
        <w:t>Endnote 3—Legislation history</w:t>
      </w:r>
    </w:p>
    <w:p w:rsidR="00AF0109" w:rsidRPr="00A414A8" w:rsidRDefault="00AF0109" w:rsidP="00AF010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54"/>
        <w:gridCol w:w="2296"/>
        <w:gridCol w:w="2009"/>
        <w:gridCol w:w="2069"/>
      </w:tblGrid>
      <w:tr w:rsidR="00AF0109" w:rsidRPr="00A414A8" w:rsidTr="009F07F2">
        <w:trPr>
          <w:cantSplit/>
          <w:tblHeader/>
        </w:trPr>
        <w:tc>
          <w:tcPr>
            <w:tcW w:w="1263" w:type="pct"/>
            <w:tcBorders>
              <w:top w:val="single" w:sz="12" w:space="0" w:color="auto"/>
              <w:bottom w:val="single" w:sz="12" w:space="0" w:color="auto"/>
            </w:tcBorders>
            <w:shd w:val="clear" w:color="auto" w:fill="auto"/>
          </w:tcPr>
          <w:p w:rsidR="00AF0109" w:rsidRPr="00A414A8" w:rsidRDefault="00AF0109" w:rsidP="00AF0109">
            <w:pPr>
              <w:pStyle w:val="ENoteTableHeading"/>
            </w:pPr>
            <w:r w:rsidRPr="00A414A8">
              <w:t>Name</w:t>
            </w:r>
          </w:p>
        </w:tc>
        <w:tc>
          <w:tcPr>
            <w:tcW w:w="1346" w:type="pct"/>
            <w:tcBorders>
              <w:top w:val="single" w:sz="12" w:space="0" w:color="auto"/>
              <w:bottom w:val="single" w:sz="12" w:space="0" w:color="auto"/>
            </w:tcBorders>
            <w:shd w:val="clear" w:color="auto" w:fill="auto"/>
          </w:tcPr>
          <w:p w:rsidR="00AF0109" w:rsidRPr="00A414A8" w:rsidRDefault="00AF0109" w:rsidP="00AF0109">
            <w:pPr>
              <w:pStyle w:val="ENoteTableHeading"/>
            </w:pPr>
            <w:r w:rsidRPr="00A414A8">
              <w:t>Registration</w:t>
            </w:r>
          </w:p>
        </w:tc>
        <w:tc>
          <w:tcPr>
            <w:tcW w:w="1178" w:type="pct"/>
            <w:tcBorders>
              <w:top w:val="single" w:sz="12" w:space="0" w:color="auto"/>
              <w:bottom w:val="single" w:sz="12" w:space="0" w:color="auto"/>
            </w:tcBorders>
            <w:shd w:val="clear" w:color="auto" w:fill="auto"/>
          </w:tcPr>
          <w:p w:rsidR="00AF0109" w:rsidRPr="00A414A8" w:rsidRDefault="00AF0109" w:rsidP="00AF0109">
            <w:pPr>
              <w:pStyle w:val="ENoteTableHeading"/>
            </w:pPr>
            <w:r w:rsidRPr="00A414A8">
              <w:t>Commencement</w:t>
            </w:r>
          </w:p>
        </w:tc>
        <w:tc>
          <w:tcPr>
            <w:tcW w:w="1213" w:type="pct"/>
            <w:tcBorders>
              <w:top w:val="single" w:sz="12" w:space="0" w:color="auto"/>
              <w:bottom w:val="single" w:sz="12" w:space="0" w:color="auto"/>
            </w:tcBorders>
            <w:shd w:val="clear" w:color="auto" w:fill="auto"/>
          </w:tcPr>
          <w:p w:rsidR="00AF0109" w:rsidRPr="00A414A8" w:rsidRDefault="00AF0109" w:rsidP="00AF0109">
            <w:pPr>
              <w:pStyle w:val="ENoteTableHeading"/>
            </w:pPr>
            <w:r w:rsidRPr="00A414A8">
              <w:t>Application, saving and transitional provisions</w:t>
            </w:r>
          </w:p>
        </w:tc>
      </w:tr>
      <w:tr w:rsidR="00AF0109" w:rsidRPr="00A414A8" w:rsidTr="009F07F2">
        <w:trPr>
          <w:cantSplit/>
        </w:trPr>
        <w:tc>
          <w:tcPr>
            <w:tcW w:w="1263" w:type="pct"/>
            <w:tcBorders>
              <w:bottom w:val="single" w:sz="4" w:space="0" w:color="auto"/>
            </w:tcBorders>
            <w:shd w:val="clear" w:color="auto" w:fill="auto"/>
          </w:tcPr>
          <w:p w:rsidR="00AF0109" w:rsidRPr="00A414A8" w:rsidRDefault="00AF0109" w:rsidP="00AF0109">
            <w:pPr>
              <w:pStyle w:val="ENoteTableText"/>
            </w:pPr>
            <w:r w:rsidRPr="00A414A8">
              <w:rPr>
                <w:rFonts w:ascii="Helvetica Neue" w:hAnsi="Helvetica Neue"/>
              </w:rPr>
              <w:t>Private Health Insurance (Health Insurance Business) Rules 2018</w:t>
            </w:r>
          </w:p>
        </w:tc>
        <w:tc>
          <w:tcPr>
            <w:tcW w:w="1346" w:type="pct"/>
            <w:tcBorders>
              <w:bottom w:val="single" w:sz="4" w:space="0" w:color="auto"/>
            </w:tcBorders>
            <w:shd w:val="clear" w:color="auto" w:fill="auto"/>
          </w:tcPr>
          <w:p w:rsidR="00AF0109" w:rsidRPr="00A414A8" w:rsidRDefault="00AF0109" w:rsidP="00AF0109">
            <w:pPr>
              <w:pStyle w:val="ENoteTableText"/>
            </w:pPr>
            <w:r w:rsidRPr="00A414A8">
              <w:t>6 June 2018 (F2018L00718)</w:t>
            </w:r>
          </w:p>
        </w:tc>
        <w:tc>
          <w:tcPr>
            <w:tcW w:w="1178" w:type="pct"/>
            <w:tcBorders>
              <w:bottom w:val="single" w:sz="4" w:space="0" w:color="auto"/>
            </w:tcBorders>
            <w:shd w:val="clear" w:color="auto" w:fill="auto"/>
          </w:tcPr>
          <w:p w:rsidR="00AF0109" w:rsidRPr="00A414A8" w:rsidRDefault="00AF0109" w:rsidP="00AF0109">
            <w:pPr>
              <w:pStyle w:val="ENoteTableText"/>
            </w:pPr>
            <w:r w:rsidRPr="00A414A8">
              <w:t>1 July 2018 (</w:t>
            </w:r>
            <w:r w:rsidR="00B379AB" w:rsidRPr="00A414A8">
              <w:t>r</w:t>
            </w:r>
            <w:r w:rsidRPr="00A414A8">
              <w:t xml:space="preserve"> 2)</w:t>
            </w:r>
          </w:p>
        </w:tc>
        <w:tc>
          <w:tcPr>
            <w:tcW w:w="1213" w:type="pct"/>
            <w:tcBorders>
              <w:bottom w:val="single" w:sz="4" w:space="0" w:color="auto"/>
            </w:tcBorders>
            <w:shd w:val="clear" w:color="auto" w:fill="auto"/>
          </w:tcPr>
          <w:p w:rsidR="00AF0109" w:rsidRPr="00A414A8" w:rsidRDefault="00AF0109" w:rsidP="00AF0109">
            <w:pPr>
              <w:pStyle w:val="ENoteTableText"/>
            </w:pPr>
          </w:p>
        </w:tc>
      </w:tr>
      <w:tr w:rsidR="00AF0109" w:rsidRPr="00A414A8" w:rsidTr="009F07F2">
        <w:trPr>
          <w:cantSplit/>
        </w:trPr>
        <w:tc>
          <w:tcPr>
            <w:tcW w:w="1263" w:type="pct"/>
            <w:tcBorders>
              <w:bottom w:val="nil"/>
            </w:tcBorders>
            <w:shd w:val="clear" w:color="auto" w:fill="auto"/>
          </w:tcPr>
          <w:p w:rsidR="00AF0109" w:rsidRPr="00A414A8" w:rsidRDefault="00AF0109" w:rsidP="00AF0109">
            <w:pPr>
              <w:pStyle w:val="ENoteTableText"/>
            </w:pPr>
            <w:r w:rsidRPr="00A414A8">
              <w:rPr>
                <w:rFonts w:ascii="Helvetica Neue" w:hAnsi="Helvetica Neue"/>
              </w:rPr>
              <w:t>Private Health Insurance (Reforms) Amendment Rules 2018</w:t>
            </w:r>
          </w:p>
        </w:tc>
        <w:tc>
          <w:tcPr>
            <w:tcW w:w="1346" w:type="pct"/>
            <w:tcBorders>
              <w:bottom w:val="nil"/>
            </w:tcBorders>
            <w:shd w:val="clear" w:color="auto" w:fill="auto"/>
          </w:tcPr>
          <w:p w:rsidR="00AF0109" w:rsidRPr="00A414A8" w:rsidRDefault="00AF0109" w:rsidP="00AF0109">
            <w:pPr>
              <w:pStyle w:val="ENoteTableText"/>
            </w:pPr>
            <w:r w:rsidRPr="00A414A8">
              <w:t>11 Oct 2018 (F2018L01414)</w:t>
            </w:r>
          </w:p>
        </w:tc>
        <w:tc>
          <w:tcPr>
            <w:tcW w:w="1178" w:type="pct"/>
            <w:tcBorders>
              <w:bottom w:val="nil"/>
            </w:tcBorders>
            <w:shd w:val="clear" w:color="auto" w:fill="auto"/>
          </w:tcPr>
          <w:p w:rsidR="00AF0109" w:rsidRPr="00A414A8" w:rsidRDefault="00AF0109" w:rsidP="00AF0109">
            <w:pPr>
              <w:pStyle w:val="ENoteTableText"/>
            </w:pPr>
            <w:r w:rsidRPr="00A414A8">
              <w:t>Sch 4 (items 8,</w:t>
            </w:r>
            <w:r w:rsidR="004060C5" w:rsidRPr="00A414A8">
              <w:t xml:space="preserve"> </w:t>
            </w:r>
            <w:r w:rsidRPr="00A414A8">
              <w:t xml:space="preserve">9): 1 Jan </w:t>
            </w:r>
            <w:r w:rsidR="00B379AB" w:rsidRPr="00A414A8">
              <w:t xml:space="preserve">2019 </w:t>
            </w:r>
            <w:r w:rsidRPr="00A414A8">
              <w:t>(s 2(1) item 8)</w:t>
            </w:r>
            <w:r w:rsidRPr="00A414A8">
              <w:br/>
              <w:t>Sch 5 (items 1</w:t>
            </w:r>
            <w:r w:rsidR="004060C5" w:rsidRPr="00A414A8">
              <w:t>–3): 1 Apr 2019 (s 2(1) item 9)</w:t>
            </w:r>
          </w:p>
        </w:tc>
        <w:tc>
          <w:tcPr>
            <w:tcW w:w="1213" w:type="pct"/>
            <w:tcBorders>
              <w:bottom w:val="nil"/>
            </w:tcBorders>
            <w:shd w:val="clear" w:color="auto" w:fill="auto"/>
          </w:tcPr>
          <w:p w:rsidR="00AF0109" w:rsidRPr="00A414A8" w:rsidRDefault="00AF0109" w:rsidP="00AF0109">
            <w:pPr>
              <w:pStyle w:val="ENoteTableText"/>
            </w:pPr>
            <w:r w:rsidRPr="00A414A8">
              <w:t>—</w:t>
            </w:r>
          </w:p>
        </w:tc>
      </w:tr>
      <w:tr w:rsidR="008E4BD0" w:rsidRPr="00A414A8" w:rsidTr="009F07F2">
        <w:trPr>
          <w:cantSplit/>
        </w:trPr>
        <w:tc>
          <w:tcPr>
            <w:tcW w:w="1263" w:type="pct"/>
            <w:tcBorders>
              <w:top w:val="nil"/>
              <w:bottom w:val="nil"/>
            </w:tcBorders>
            <w:shd w:val="clear" w:color="auto" w:fill="auto"/>
          </w:tcPr>
          <w:p w:rsidR="008E4BD0" w:rsidRPr="00A414A8" w:rsidRDefault="008E4BD0" w:rsidP="00AF53CC">
            <w:pPr>
              <w:pStyle w:val="ENoteTTIndentHeading"/>
            </w:pPr>
            <w:r w:rsidRPr="00A414A8">
              <w:t>as amended by</w:t>
            </w:r>
          </w:p>
        </w:tc>
        <w:tc>
          <w:tcPr>
            <w:tcW w:w="1346" w:type="pct"/>
            <w:tcBorders>
              <w:top w:val="nil"/>
              <w:bottom w:val="nil"/>
            </w:tcBorders>
            <w:shd w:val="clear" w:color="auto" w:fill="auto"/>
          </w:tcPr>
          <w:p w:rsidR="008E4BD0" w:rsidRPr="00A414A8" w:rsidRDefault="008E4BD0" w:rsidP="00AF53CC">
            <w:pPr>
              <w:pStyle w:val="ENoteTableText"/>
            </w:pPr>
          </w:p>
        </w:tc>
        <w:tc>
          <w:tcPr>
            <w:tcW w:w="1178" w:type="pct"/>
            <w:tcBorders>
              <w:top w:val="nil"/>
              <w:bottom w:val="nil"/>
            </w:tcBorders>
            <w:shd w:val="clear" w:color="auto" w:fill="auto"/>
          </w:tcPr>
          <w:p w:rsidR="008E4BD0" w:rsidRPr="00A414A8" w:rsidRDefault="008E4BD0" w:rsidP="00AF53CC">
            <w:pPr>
              <w:pStyle w:val="ENoteTableText"/>
            </w:pPr>
          </w:p>
        </w:tc>
        <w:tc>
          <w:tcPr>
            <w:tcW w:w="1213" w:type="pct"/>
            <w:tcBorders>
              <w:top w:val="nil"/>
              <w:bottom w:val="nil"/>
            </w:tcBorders>
            <w:shd w:val="clear" w:color="auto" w:fill="auto"/>
          </w:tcPr>
          <w:p w:rsidR="008E4BD0" w:rsidRPr="00A414A8" w:rsidRDefault="008E4BD0" w:rsidP="00AF53CC">
            <w:pPr>
              <w:pStyle w:val="ENoteTableText"/>
            </w:pPr>
          </w:p>
        </w:tc>
      </w:tr>
      <w:tr w:rsidR="008E4BD0" w:rsidRPr="00A414A8" w:rsidTr="00D22DD0">
        <w:trPr>
          <w:cantSplit/>
        </w:trPr>
        <w:tc>
          <w:tcPr>
            <w:tcW w:w="1263" w:type="pct"/>
            <w:tcBorders>
              <w:top w:val="nil"/>
              <w:bottom w:val="single" w:sz="4" w:space="0" w:color="auto"/>
            </w:tcBorders>
            <w:shd w:val="clear" w:color="auto" w:fill="auto"/>
          </w:tcPr>
          <w:p w:rsidR="008E4BD0" w:rsidRPr="00A414A8" w:rsidRDefault="008E4BD0" w:rsidP="00455F31">
            <w:pPr>
              <w:pStyle w:val="ENoteTTi"/>
              <w:keepNext w:val="0"/>
            </w:pPr>
            <w:r w:rsidRPr="00A414A8">
              <w:t>Private Health Insurance (Reforms) Amendment Rules (No. 3) 2018</w:t>
            </w:r>
          </w:p>
        </w:tc>
        <w:tc>
          <w:tcPr>
            <w:tcW w:w="1346" w:type="pct"/>
            <w:tcBorders>
              <w:top w:val="nil"/>
              <w:bottom w:val="single" w:sz="4" w:space="0" w:color="auto"/>
            </w:tcBorders>
            <w:shd w:val="clear" w:color="auto" w:fill="auto"/>
          </w:tcPr>
          <w:p w:rsidR="008E4BD0" w:rsidRPr="00A414A8" w:rsidRDefault="008E4BD0" w:rsidP="00AF53CC">
            <w:pPr>
              <w:pStyle w:val="ENoteTableText"/>
            </w:pPr>
            <w:r w:rsidRPr="00A414A8">
              <w:t>19 Dec 2018 (F2018L01795)</w:t>
            </w:r>
          </w:p>
        </w:tc>
        <w:tc>
          <w:tcPr>
            <w:tcW w:w="1178" w:type="pct"/>
            <w:tcBorders>
              <w:top w:val="nil"/>
              <w:bottom w:val="single" w:sz="4" w:space="0" w:color="auto"/>
            </w:tcBorders>
            <w:shd w:val="clear" w:color="auto" w:fill="auto"/>
          </w:tcPr>
          <w:p w:rsidR="008E4BD0" w:rsidRPr="00A414A8" w:rsidRDefault="008E4BD0" w:rsidP="00AF53CC">
            <w:pPr>
              <w:pStyle w:val="ENoteTableText"/>
            </w:pPr>
            <w:r w:rsidRPr="00A414A8">
              <w:t>Sch 2: 31 Dec 2018 (s 2</w:t>
            </w:r>
            <w:r w:rsidR="00F067A3" w:rsidRPr="00A414A8">
              <w:t>(1)</w:t>
            </w:r>
            <w:r w:rsidRPr="00A414A8">
              <w:t xml:space="preserve"> item 3)</w:t>
            </w:r>
          </w:p>
        </w:tc>
        <w:tc>
          <w:tcPr>
            <w:tcW w:w="1213" w:type="pct"/>
            <w:tcBorders>
              <w:top w:val="nil"/>
              <w:bottom w:val="single" w:sz="4" w:space="0" w:color="auto"/>
            </w:tcBorders>
            <w:shd w:val="clear" w:color="auto" w:fill="auto"/>
          </w:tcPr>
          <w:p w:rsidR="008E4BD0" w:rsidRPr="00A414A8" w:rsidRDefault="008E4BD0" w:rsidP="00AF53CC">
            <w:pPr>
              <w:pStyle w:val="ENoteTableText"/>
            </w:pPr>
            <w:r w:rsidRPr="00A414A8">
              <w:t>—</w:t>
            </w:r>
          </w:p>
        </w:tc>
      </w:tr>
      <w:tr w:rsidR="00BF41F2" w:rsidRPr="00A414A8" w:rsidTr="005C4E13">
        <w:trPr>
          <w:cantSplit/>
        </w:trPr>
        <w:tc>
          <w:tcPr>
            <w:tcW w:w="1263" w:type="pct"/>
            <w:tcBorders>
              <w:top w:val="single" w:sz="4" w:space="0" w:color="auto"/>
              <w:bottom w:val="single" w:sz="4" w:space="0" w:color="auto"/>
            </w:tcBorders>
            <w:shd w:val="clear" w:color="auto" w:fill="auto"/>
          </w:tcPr>
          <w:p w:rsidR="00BF41F2" w:rsidRPr="00A414A8" w:rsidRDefault="00BF41F2" w:rsidP="00D22DD0">
            <w:pPr>
              <w:pStyle w:val="ENoteTableText"/>
            </w:pPr>
            <w:r w:rsidRPr="00A414A8">
              <w:t>Private Health Insurance (Health Insurance Business) Amendment Rules 2019</w:t>
            </w:r>
          </w:p>
        </w:tc>
        <w:tc>
          <w:tcPr>
            <w:tcW w:w="1346" w:type="pct"/>
            <w:tcBorders>
              <w:top w:val="single" w:sz="4" w:space="0" w:color="auto"/>
              <w:bottom w:val="single" w:sz="4" w:space="0" w:color="auto"/>
            </w:tcBorders>
            <w:shd w:val="clear" w:color="auto" w:fill="auto"/>
          </w:tcPr>
          <w:p w:rsidR="00BF41F2" w:rsidRPr="00A414A8" w:rsidRDefault="00BF41F2" w:rsidP="00AF53CC">
            <w:pPr>
              <w:pStyle w:val="ENoteTableText"/>
            </w:pPr>
            <w:r w:rsidRPr="00A414A8">
              <w:t>13 June 2019 (F2019L00815)</w:t>
            </w:r>
          </w:p>
        </w:tc>
        <w:tc>
          <w:tcPr>
            <w:tcW w:w="1178" w:type="pct"/>
            <w:tcBorders>
              <w:top w:val="single" w:sz="4" w:space="0" w:color="auto"/>
              <w:bottom w:val="single" w:sz="4" w:space="0" w:color="auto"/>
            </w:tcBorders>
            <w:shd w:val="clear" w:color="auto" w:fill="auto"/>
          </w:tcPr>
          <w:p w:rsidR="00BF41F2" w:rsidRPr="00A414A8" w:rsidRDefault="00BF41F2" w:rsidP="00AF53CC">
            <w:pPr>
              <w:pStyle w:val="ENoteTableText"/>
            </w:pPr>
            <w:r w:rsidRPr="00A414A8">
              <w:t>1 July 2019 (s 2)</w:t>
            </w:r>
          </w:p>
        </w:tc>
        <w:tc>
          <w:tcPr>
            <w:tcW w:w="1213" w:type="pct"/>
            <w:tcBorders>
              <w:top w:val="single" w:sz="4" w:space="0" w:color="auto"/>
              <w:bottom w:val="single" w:sz="4" w:space="0" w:color="auto"/>
            </w:tcBorders>
            <w:shd w:val="clear" w:color="auto" w:fill="auto"/>
          </w:tcPr>
          <w:p w:rsidR="00BF41F2" w:rsidRPr="00A414A8" w:rsidRDefault="00BF41F2" w:rsidP="00AF53CC">
            <w:pPr>
              <w:pStyle w:val="ENoteTableText"/>
            </w:pPr>
            <w:r w:rsidRPr="00A414A8">
              <w:t>—</w:t>
            </w:r>
          </w:p>
        </w:tc>
      </w:tr>
      <w:tr w:rsidR="00D17FF0" w:rsidRPr="00A414A8" w:rsidTr="005C4E13">
        <w:trPr>
          <w:cantSplit/>
        </w:trPr>
        <w:tc>
          <w:tcPr>
            <w:tcW w:w="1263" w:type="pct"/>
            <w:tcBorders>
              <w:top w:val="single" w:sz="4" w:space="0" w:color="auto"/>
              <w:bottom w:val="single" w:sz="4" w:space="0" w:color="auto"/>
            </w:tcBorders>
            <w:shd w:val="clear" w:color="auto" w:fill="auto"/>
          </w:tcPr>
          <w:p w:rsidR="00D17FF0" w:rsidRPr="00A414A8" w:rsidRDefault="00D17FF0" w:rsidP="00D22DD0">
            <w:pPr>
              <w:pStyle w:val="ENoteTableText"/>
            </w:pPr>
            <w:r w:rsidRPr="00A414A8">
              <w:t>Private Health Insurance (Health Insurance Business) Amendment Rules 2020</w:t>
            </w:r>
          </w:p>
        </w:tc>
        <w:tc>
          <w:tcPr>
            <w:tcW w:w="1346" w:type="pct"/>
            <w:tcBorders>
              <w:top w:val="single" w:sz="4" w:space="0" w:color="auto"/>
              <w:bottom w:val="single" w:sz="4" w:space="0" w:color="auto"/>
            </w:tcBorders>
            <w:shd w:val="clear" w:color="auto" w:fill="auto"/>
          </w:tcPr>
          <w:p w:rsidR="00D17FF0" w:rsidRPr="00A414A8" w:rsidRDefault="00D17FF0">
            <w:pPr>
              <w:pStyle w:val="ENoteTableText"/>
            </w:pPr>
            <w:r w:rsidRPr="00A414A8">
              <w:t>15 May 2020 (F2020L00578)</w:t>
            </w:r>
          </w:p>
        </w:tc>
        <w:tc>
          <w:tcPr>
            <w:tcW w:w="1178" w:type="pct"/>
            <w:tcBorders>
              <w:top w:val="single" w:sz="4" w:space="0" w:color="auto"/>
              <w:bottom w:val="single" w:sz="4" w:space="0" w:color="auto"/>
            </w:tcBorders>
            <w:shd w:val="clear" w:color="auto" w:fill="auto"/>
          </w:tcPr>
          <w:p w:rsidR="00D17FF0" w:rsidRPr="00A414A8" w:rsidRDefault="00D17FF0">
            <w:pPr>
              <w:pStyle w:val="ENoteTableText"/>
            </w:pPr>
            <w:r w:rsidRPr="00A414A8">
              <w:t>1 July 2020 (s 2(1) item 1)</w:t>
            </w:r>
          </w:p>
        </w:tc>
        <w:tc>
          <w:tcPr>
            <w:tcW w:w="1213" w:type="pct"/>
            <w:tcBorders>
              <w:top w:val="single" w:sz="4" w:space="0" w:color="auto"/>
              <w:bottom w:val="single" w:sz="4" w:space="0" w:color="auto"/>
            </w:tcBorders>
            <w:shd w:val="clear" w:color="auto" w:fill="auto"/>
          </w:tcPr>
          <w:p w:rsidR="00D17FF0" w:rsidRPr="00A414A8" w:rsidRDefault="00D17FF0" w:rsidP="00AF53CC">
            <w:pPr>
              <w:pStyle w:val="ENoteTableText"/>
            </w:pPr>
            <w:r w:rsidRPr="00A414A8">
              <w:t>—</w:t>
            </w:r>
          </w:p>
        </w:tc>
      </w:tr>
      <w:tr w:rsidR="00D17FF0" w:rsidRPr="00A414A8" w:rsidTr="000426CD">
        <w:trPr>
          <w:cantSplit/>
        </w:trPr>
        <w:tc>
          <w:tcPr>
            <w:tcW w:w="1263" w:type="pct"/>
            <w:tcBorders>
              <w:top w:val="single" w:sz="4" w:space="0" w:color="auto"/>
              <w:bottom w:val="single" w:sz="4" w:space="0" w:color="auto"/>
            </w:tcBorders>
            <w:shd w:val="clear" w:color="auto" w:fill="auto"/>
          </w:tcPr>
          <w:p w:rsidR="00D17FF0" w:rsidRPr="00A414A8" w:rsidRDefault="00D17FF0" w:rsidP="00D22DD0">
            <w:pPr>
              <w:pStyle w:val="ENoteTableText"/>
            </w:pPr>
            <w:r w:rsidRPr="00A414A8">
              <w:rPr>
                <w:rFonts w:ascii="Helvetica Neue" w:hAnsi="Helvetica Neue"/>
              </w:rPr>
              <w:t>Private Health Insurance Legislation Amendment Rules (No. 4) 2020</w:t>
            </w:r>
          </w:p>
        </w:tc>
        <w:tc>
          <w:tcPr>
            <w:tcW w:w="1346" w:type="pct"/>
            <w:tcBorders>
              <w:top w:val="single" w:sz="4" w:space="0" w:color="auto"/>
              <w:bottom w:val="single" w:sz="4" w:space="0" w:color="auto"/>
            </w:tcBorders>
            <w:shd w:val="clear" w:color="auto" w:fill="auto"/>
          </w:tcPr>
          <w:p w:rsidR="00D17FF0" w:rsidRPr="00A414A8" w:rsidRDefault="00D17FF0">
            <w:pPr>
              <w:pStyle w:val="ENoteTableText"/>
            </w:pPr>
            <w:r w:rsidRPr="00A414A8">
              <w:t>30 June 2020 (F2020L00862)</w:t>
            </w:r>
          </w:p>
        </w:tc>
        <w:tc>
          <w:tcPr>
            <w:tcW w:w="1178" w:type="pct"/>
            <w:tcBorders>
              <w:top w:val="single" w:sz="4" w:space="0" w:color="auto"/>
              <w:bottom w:val="single" w:sz="4" w:space="0" w:color="auto"/>
            </w:tcBorders>
            <w:shd w:val="clear" w:color="auto" w:fill="auto"/>
          </w:tcPr>
          <w:p w:rsidR="00D17FF0" w:rsidRPr="00A414A8" w:rsidRDefault="005C4E13" w:rsidP="0029660D">
            <w:pPr>
              <w:pStyle w:val="ENoteTableText"/>
            </w:pPr>
            <w:r w:rsidRPr="00A414A8">
              <w:t>Sch 4 (item 1):</w:t>
            </w:r>
            <w:r w:rsidR="00D17FF0" w:rsidRPr="00A414A8">
              <w:t xml:space="preserve">1 July 2020 </w:t>
            </w:r>
            <w:r w:rsidR="00C718AD" w:rsidRPr="00A414A8">
              <w:t>(s 2(1) item 1)</w:t>
            </w:r>
          </w:p>
        </w:tc>
        <w:tc>
          <w:tcPr>
            <w:tcW w:w="1213" w:type="pct"/>
            <w:tcBorders>
              <w:top w:val="single" w:sz="4" w:space="0" w:color="auto"/>
              <w:bottom w:val="single" w:sz="4" w:space="0" w:color="auto"/>
            </w:tcBorders>
            <w:shd w:val="clear" w:color="auto" w:fill="auto"/>
          </w:tcPr>
          <w:p w:rsidR="00D17FF0" w:rsidRPr="00A414A8" w:rsidRDefault="00C718AD" w:rsidP="00AF53CC">
            <w:pPr>
              <w:pStyle w:val="ENoteTableText"/>
            </w:pPr>
            <w:r w:rsidRPr="00A414A8">
              <w:t>—</w:t>
            </w:r>
          </w:p>
        </w:tc>
      </w:tr>
      <w:tr w:rsidR="00F8146B" w:rsidRPr="00A414A8" w:rsidTr="00BE6930">
        <w:trPr>
          <w:cantSplit/>
        </w:trPr>
        <w:tc>
          <w:tcPr>
            <w:tcW w:w="1263" w:type="pct"/>
            <w:tcBorders>
              <w:top w:val="single" w:sz="4" w:space="0" w:color="auto"/>
              <w:bottom w:val="single" w:sz="4" w:space="0" w:color="auto"/>
            </w:tcBorders>
            <w:shd w:val="clear" w:color="auto" w:fill="auto"/>
          </w:tcPr>
          <w:p w:rsidR="00F8146B" w:rsidRPr="00A414A8" w:rsidRDefault="00F8146B" w:rsidP="00D22DD0">
            <w:pPr>
              <w:pStyle w:val="ENoteTableText"/>
              <w:rPr>
                <w:rFonts w:ascii="Helvetica Neue" w:hAnsi="Helvetica Neue"/>
              </w:rPr>
            </w:pPr>
            <w:r w:rsidRPr="00A414A8">
              <w:rPr>
                <w:rFonts w:ascii="Helvetica Neue" w:hAnsi="Helvetica Neue"/>
              </w:rPr>
              <w:t>Private Health Insurance Legislation Amendment Rules (No. 7) 2020</w:t>
            </w:r>
          </w:p>
        </w:tc>
        <w:tc>
          <w:tcPr>
            <w:tcW w:w="1346" w:type="pct"/>
            <w:tcBorders>
              <w:top w:val="single" w:sz="4" w:space="0" w:color="auto"/>
              <w:bottom w:val="single" w:sz="4" w:space="0" w:color="auto"/>
            </w:tcBorders>
            <w:shd w:val="clear" w:color="auto" w:fill="auto"/>
          </w:tcPr>
          <w:p w:rsidR="00F8146B" w:rsidRPr="00A414A8" w:rsidRDefault="00F8146B">
            <w:pPr>
              <w:pStyle w:val="ENoteTableText"/>
            </w:pPr>
            <w:r w:rsidRPr="00A414A8">
              <w:t>30 Oct 2020 (F2020L01378)</w:t>
            </w:r>
          </w:p>
        </w:tc>
        <w:tc>
          <w:tcPr>
            <w:tcW w:w="1178" w:type="pct"/>
            <w:tcBorders>
              <w:top w:val="single" w:sz="4" w:space="0" w:color="auto"/>
              <w:bottom w:val="single" w:sz="4" w:space="0" w:color="auto"/>
            </w:tcBorders>
            <w:shd w:val="clear" w:color="auto" w:fill="auto"/>
          </w:tcPr>
          <w:p w:rsidR="00F8146B" w:rsidRPr="00A414A8" w:rsidRDefault="00F8146B" w:rsidP="0029660D">
            <w:pPr>
              <w:pStyle w:val="ENoteTableText"/>
            </w:pPr>
            <w:r w:rsidRPr="00A414A8">
              <w:t>Sch 4: 1 Nov 2020 (s 2(1) item 1)</w:t>
            </w:r>
          </w:p>
        </w:tc>
        <w:tc>
          <w:tcPr>
            <w:tcW w:w="1213" w:type="pct"/>
            <w:tcBorders>
              <w:top w:val="single" w:sz="4" w:space="0" w:color="auto"/>
              <w:bottom w:val="single" w:sz="4" w:space="0" w:color="auto"/>
            </w:tcBorders>
            <w:shd w:val="clear" w:color="auto" w:fill="auto"/>
          </w:tcPr>
          <w:p w:rsidR="00F8146B" w:rsidRPr="00A414A8" w:rsidRDefault="00F8146B" w:rsidP="00AF53CC">
            <w:pPr>
              <w:pStyle w:val="ENoteTableText"/>
            </w:pPr>
            <w:r w:rsidRPr="00A414A8">
              <w:t>—</w:t>
            </w:r>
          </w:p>
        </w:tc>
      </w:tr>
      <w:tr w:rsidR="00042A1F" w:rsidRPr="00A414A8" w:rsidTr="008A7748">
        <w:trPr>
          <w:cantSplit/>
        </w:trPr>
        <w:tc>
          <w:tcPr>
            <w:tcW w:w="1263" w:type="pct"/>
            <w:tcBorders>
              <w:top w:val="single" w:sz="4" w:space="0" w:color="auto"/>
              <w:bottom w:val="single" w:sz="4" w:space="0" w:color="auto"/>
            </w:tcBorders>
            <w:shd w:val="clear" w:color="auto" w:fill="auto"/>
          </w:tcPr>
          <w:p w:rsidR="00042A1F" w:rsidRPr="00A414A8" w:rsidRDefault="00042A1F" w:rsidP="00D22DD0">
            <w:pPr>
              <w:pStyle w:val="ENoteTableText"/>
              <w:rPr>
                <w:rFonts w:ascii="Helvetica Neue" w:hAnsi="Helvetica Neue"/>
              </w:rPr>
            </w:pPr>
            <w:r w:rsidRPr="00A414A8">
              <w:rPr>
                <w:rFonts w:ascii="Helvetica Neue" w:hAnsi="Helvetica Neue"/>
              </w:rPr>
              <w:t>Private Health Insurance (Health Insurance Business) Amendment Rules 2021</w:t>
            </w:r>
          </w:p>
        </w:tc>
        <w:tc>
          <w:tcPr>
            <w:tcW w:w="1346" w:type="pct"/>
            <w:tcBorders>
              <w:top w:val="single" w:sz="4" w:space="0" w:color="auto"/>
              <w:bottom w:val="single" w:sz="4" w:space="0" w:color="auto"/>
            </w:tcBorders>
            <w:shd w:val="clear" w:color="auto" w:fill="auto"/>
          </w:tcPr>
          <w:p w:rsidR="00042A1F" w:rsidRPr="00A414A8" w:rsidRDefault="00042A1F">
            <w:pPr>
              <w:pStyle w:val="ENoteTableText"/>
            </w:pPr>
            <w:r w:rsidRPr="00A414A8">
              <w:t>10 Feb 2021 (F2021L00109)</w:t>
            </w:r>
          </w:p>
        </w:tc>
        <w:tc>
          <w:tcPr>
            <w:tcW w:w="1178" w:type="pct"/>
            <w:tcBorders>
              <w:top w:val="single" w:sz="4" w:space="0" w:color="auto"/>
              <w:bottom w:val="single" w:sz="4" w:space="0" w:color="auto"/>
            </w:tcBorders>
            <w:shd w:val="clear" w:color="auto" w:fill="auto"/>
          </w:tcPr>
          <w:p w:rsidR="00042A1F" w:rsidRPr="00A414A8" w:rsidRDefault="00042A1F" w:rsidP="0029660D">
            <w:pPr>
              <w:pStyle w:val="ENoteTableText"/>
            </w:pPr>
            <w:r w:rsidRPr="00A414A8">
              <w:t>1 July 2021 (s 2(1) item 1)</w:t>
            </w:r>
          </w:p>
        </w:tc>
        <w:tc>
          <w:tcPr>
            <w:tcW w:w="1213" w:type="pct"/>
            <w:tcBorders>
              <w:top w:val="single" w:sz="4" w:space="0" w:color="auto"/>
              <w:bottom w:val="single" w:sz="4" w:space="0" w:color="auto"/>
            </w:tcBorders>
            <w:shd w:val="clear" w:color="auto" w:fill="auto"/>
          </w:tcPr>
          <w:p w:rsidR="00042A1F" w:rsidRPr="00A414A8" w:rsidRDefault="00042A1F" w:rsidP="00AF53CC">
            <w:pPr>
              <w:pStyle w:val="ENoteTableText"/>
            </w:pPr>
            <w:r w:rsidRPr="00A414A8">
              <w:t>—</w:t>
            </w:r>
          </w:p>
        </w:tc>
      </w:tr>
      <w:tr w:rsidR="00042A1F" w:rsidRPr="00A414A8" w:rsidTr="00D45764">
        <w:trPr>
          <w:cantSplit/>
        </w:trPr>
        <w:tc>
          <w:tcPr>
            <w:tcW w:w="1263" w:type="pct"/>
            <w:tcBorders>
              <w:top w:val="single" w:sz="4" w:space="0" w:color="auto"/>
              <w:bottom w:val="single" w:sz="4" w:space="0" w:color="auto"/>
            </w:tcBorders>
            <w:shd w:val="clear" w:color="auto" w:fill="auto"/>
          </w:tcPr>
          <w:p w:rsidR="00042A1F" w:rsidRPr="00A414A8" w:rsidRDefault="00042A1F" w:rsidP="00D22DD0">
            <w:pPr>
              <w:pStyle w:val="ENoteTableText"/>
              <w:rPr>
                <w:rFonts w:ascii="Helvetica Neue" w:hAnsi="Helvetica Neue"/>
              </w:rPr>
            </w:pPr>
            <w:r w:rsidRPr="00A414A8">
              <w:rPr>
                <w:rFonts w:ascii="Helvetica Neue" w:hAnsi="Helvetica Neue"/>
              </w:rPr>
              <w:t>Private Health Insurance Legislation Amendment Rules (No. 3) 2021</w:t>
            </w:r>
          </w:p>
        </w:tc>
        <w:tc>
          <w:tcPr>
            <w:tcW w:w="1346" w:type="pct"/>
            <w:tcBorders>
              <w:top w:val="single" w:sz="4" w:space="0" w:color="auto"/>
              <w:bottom w:val="single" w:sz="4" w:space="0" w:color="auto"/>
            </w:tcBorders>
            <w:shd w:val="clear" w:color="auto" w:fill="auto"/>
          </w:tcPr>
          <w:p w:rsidR="00042A1F" w:rsidRPr="00A414A8" w:rsidRDefault="00042A1F">
            <w:pPr>
              <w:pStyle w:val="ENoteTableText"/>
            </w:pPr>
            <w:r w:rsidRPr="00A414A8">
              <w:t>25 Jun</w:t>
            </w:r>
            <w:r w:rsidR="00E759CD" w:rsidRPr="00A414A8">
              <w:t>e</w:t>
            </w:r>
            <w:r w:rsidRPr="00A414A8">
              <w:t xml:space="preserve"> 2021 (F2021L00856)</w:t>
            </w:r>
          </w:p>
        </w:tc>
        <w:tc>
          <w:tcPr>
            <w:tcW w:w="1178" w:type="pct"/>
            <w:tcBorders>
              <w:top w:val="single" w:sz="4" w:space="0" w:color="auto"/>
              <w:bottom w:val="single" w:sz="4" w:space="0" w:color="auto"/>
            </w:tcBorders>
            <w:shd w:val="clear" w:color="auto" w:fill="auto"/>
          </w:tcPr>
          <w:p w:rsidR="00042A1F" w:rsidRPr="00A414A8" w:rsidRDefault="00042A1F" w:rsidP="0029660D">
            <w:pPr>
              <w:pStyle w:val="ENoteTableText"/>
            </w:pPr>
            <w:r w:rsidRPr="00A414A8">
              <w:t xml:space="preserve">Sch </w:t>
            </w:r>
            <w:r w:rsidR="0088236B" w:rsidRPr="00A414A8">
              <w:t>3</w:t>
            </w:r>
            <w:r w:rsidRPr="00A414A8">
              <w:t xml:space="preserve">: </w:t>
            </w:r>
            <w:r w:rsidR="0088236B" w:rsidRPr="00A414A8">
              <w:t xml:space="preserve">1 </w:t>
            </w:r>
            <w:r w:rsidRPr="00A414A8">
              <w:t>July 2021 (s 2(1) item 1)</w:t>
            </w:r>
          </w:p>
        </w:tc>
        <w:tc>
          <w:tcPr>
            <w:tcW w:w="1213" w:type="pct"/>
            <w:tcBorders>
              <w:top w:val="single" w:sz="4" w:space="0" w:color="auto"/>
              <w:bottom w:val="single" w:sz="4" w:space="0" w:color="auto"/>
            </w:tcBorders>
            <w:shd w:val="clear" w:color="auto" w:fill="auto"/>
          </w:tcPr>
          <w:p w:rsidR="00042A1F" w:rsidRPr="00A414A8" w:rsidRDefault="00042A1F" w:rsidP="00AF53CC">
            <w:pPr>
              <w:pStyle w:val="ENoteTableText"/>
            </w:pPr>
            <w:r w:rsidRPr="00A414A8">
              <w:t>—</w:t>
            </w:r>
          </w:p>
        </w:tc>
      </w:tr>
      <w:tr w:rsidR="00366F70" w:rsidRPr="00A414A8" w:rsidTr="001F7C16">
        <w:trPr>
          <w:cantSplit/>
        </w:trPr>
        <w:tc>
          <w:tcPr>
            <w:tcW w:w="1263" w:type="pct"/>
            <w:tcBorders>
              <w:top w:val="single" w:sz="4" w:space="0" w:color="auto"/>
              <w:bottom w:val="single" w:sz="4" w:space="0" w:color="auto"/>
            </w:tcBorders>
            <w:shd w:val="clear" w:color="auto" w:fill="auto"/>
          </w:tcPr>
          <w:p w:rsidR="00366F70" w:rsidRPr="00A414A8" w:rsidRDefault="00366F70" w:rsidP="00D22DD0">
            <w:pPr>
              <w:pStyle w:val="ENoteTableText"/>
              <w:rPr>
                <w:rFonts w:ascii="Helvetica Neue" w:hAnsi="Helvetica Neue"/>
              </w:rPr>
            </w:pPr>
            <w:r w:rsidRPr="00A414A8">
              <w:rPr>
                <w:rFonts w:ascii="Helvetica Neue" w:hAnsi="Helvetica Neue"/>
              </w:rPr>
              <w:t>Private Health Insurance (Health Insurance Business) Amendment Rules (No. 2) 2021</w:t>
            </w:r>
          </w:p>
        </w:tc>
        <w:tc>
          <w:tcPr>
            <w:tcW w:w="1346" w:type="pct"/>
            <w:tcBorders>
              <w:top w:val="single" w:sz="4" w:space="0" w:color="auto"/>
              <w:bottom w:val="single" w:sz="4" w:space="0" w:color="auto"/>
            </w:tcBorders>
            <w:shd w:val="clear" w:color="auto" w:fill="auto"/>
          </w:tcPr>
          <w:p w:rsidR="00366F70" w:rsidRPr="00A414A8" w:rsidRDefault="00366F70">
            <w:pPr>
              <w:pStyle w:val="ENoteTableText"/>
            </w:pPr>
            <w:r w:rsidRPr="00A414A8">
              <w:t>14 Sept 2021 (F2021L01260)</w:t>
            </w:r>
          </w:p>
        </w:tc>
        <w:tc>
          <w:tcPr>
            <w:tcW w:w="1178" w:type="pct"/>
            <w:tcBorders>
              <w:top w:val="single" w:sz="4" w:space="0" w:color="auto"/>
              <w:bottom w:val="single" w:sz="4" w:space="0" w:color="auto"/>
            </w:tcBorders>
            <w:shd w:val="clear" w:color="auto" w:fill="auto"/>
          </w:tcPr>
          <w:p w:rsidR="00366F70" w:rsidRPr="00A414A8" w:rsidRDefault="00E759CD" w:rsidP="0029660D">
            <w:pPr>
              <w:pStyle w:val="ENoteTableText"/>
            </w:pPr>
            <w:r w:rsidRPr="00A414A8">
              <w:t>15 Sept 2021 (s 2(1) item 1)</w:t>
            </w:r>
          </w:p>
        </w:tc>
        <w:tc>
          <w:tcPr>
            <w:tcW w:w="1213" w:type="pct"/>
            <w:tcBorders>
              <w:top w:val="single" w:sz="4" w:space="0" w:color="auto"/>
              <w:bottom w:val="single" w:sz="4" w:space="0" w:color="auto"/>
            </w:tcBorders>
            <w:shd w:val="clear" w:color="auto" w:fill="auto"/>
          </w:tcPr>
          <w:p w:rsidR="00366F70" w:rsidRPr="00A414A8" w:rsidRDefault="00E759CD" w:rsidP="00AF53CC">
            <w:pPr>
              <w:pStyle w:val="ENoteTableText"/>
            </w:pPr>
            <w:r w:rsidRPr="00A414A8">
              <w:t>—</w:t>
            </w:r>
          </w:p>
        </w:tc>
      </w:tr>
      <w:tr w:rsidR="00272D5B" w:rsidRPr="00A414A8" w:rsidTr="001F7C16">
        <w:trPr>
          <w:cantSplit/>
        </w:trPr>
        <w:tc>
          <w:tcPr>
            <w:tcW w:w="1263" w:type="pct"/>
            <w:tcBorders>
              <w:top w:val="single" w:sz="4" w:space="0" w:color="auto"/>
              <w:bottom w:val="single" w:sz="4" w:space="0" w:color="auto"/>
            </w:tcBorders>
            <w:shd w:val="clear" w:color="auto" w:fill="auto"/>
          </w:tcPr>
          <w:p w:rsidR="00272D5B" w:rsidRPr="00A414A8" w:rsidRDefault="00272D5B" w:rsidP="00D22DD0">
            <w:pPr>
              <w:pStyle w:val="ENoteTableText"/>
              <w:rPr>
                <w:rFonts w:ascii="Helvetica Neue" w:hAnsi="Helvetica Neue"/>
              </w:rPr>
            </w:pPr>
            <w:r w:rsidRPr="00A414A8">
              <w:rPr>
                <w:rFonts w:ascii="Helvetica Neue" w:hAnsi="Helvetica Neue"/>
              </w:rPr>
              <w:t>Private Health Insurance Legislation Amendment Rules (No. 7) 2021</w:t>
            </w:r>
          </w:p>
        </w:tc>
        <w:tc>
          <w:tcPr>
            <w:tcW w:w="1346" w:type="pct"/>
            <w:tcBorders>
              <w:top w:val="single" w:sz="4" w:space="0" w:color="auto"/>
              <w:bottom w:val="single" w:sz="4" w:space="0" w:color="auto"/>
            </w:tcBorders>
            <w:shd w:val="clear" w:color="auto" w:fill="auto"/>
          </w:tcPr>
          <w:p w:rsidR="00272D5B" w:rsidRPr="00A414A8" w:rsidRDefault="00272D5B">
            <w:pPr>
              <w:pStyle w:val="ENoteTableText"/>
            </w:pPr>
            <w:r w:rsidRPr="00A414A8">
              <w:t>22 Dec 2021 (F2021L01879)</w:t>
            </w:r>
          </w:p>
        </w:tc>
        <w:tc>
          <w:tcPr>
            <w:tcW w:w="1178" w:type="pct"/>
            <w:tcBorders>
              <w:top w:val="single" w:sz="4" w:space="0" w:color="auto"/>
              <w:bottom w:val="single" w:sz="4" w:space="0" w:color="auto"/>
            </w:tcBorders>
            <w:shd w:val="clear" w:color="auto" w:fill="auto"/>
          </w:tcPr>
          <w:p w:rsidR="00272D5B" w:rsidRPr="00A414A8" w:rsidRDefault="00B02AD8" w:rsidP="0029660D">
            <w:pPr>
              <w:pStyle w:val="ENoteTableText"/>
            </w:pPr>
            <w:r w:rsidRPr="00A414A8">
              <w:t>Sch 4: 1 Jan 2022 (s 2(1) item 1)</w:t>
            </w:r>
          </w:p>
        </w:tc>
        <w:tc>
          <w:tcPr>
            <w:tcW w:w="1213" w:type="pct"/>
            <w:tcBorders>
              <w:top w:val="single" w:sz="4" w:space="0" w:color="auto"/>
              <w:bottom w:val="single" w:sz="4" w:space="0" w:color="auto"/>
            </w:tcBorders>
            <w:shd w:val="clear" w:color="auto" w:fill="auto"/>
          </w:tcPr>
          <w:p w:rsidR="00272D5B" w:rsidRPr="00A414A8" w:rsidRDefault="00B02AD8" w:rsidP="00AF53CC">
            <w:pPr>
              <w:pStyle w:val="ENoteTableText"/>
            </w:pPr>
            <w:r w:rsidRPr="00A414A8">
              <w:t>—</w:t>
            </w:r>
          </w:p>
        </w:tc>
      </w:tr>
      <w:tr w:rsidR="002244B8" w:rsidRPr="00A414A8" w:rsidTr="00047AD0">
        <w:trPr>
          <w:cantSplit/>
        </w:trPr>
        <w:tc>
          <w:tcPr>
            <w:tcW w:w="1263" w:type="pct"/>
            <w:tcBorders>
              <w:top w:val="single" w:sz="4" w:space="0" w:color="auto"/>
              <w:bottom w:val="single" w:sz="4" w:space="0" w:color="auto"/>
            </w:tcBorders>
            <w:shd w:val="clear" w:color="auto" w:fill="auto"/>
          </w:tcPr>
          <w:p w:rsidR="002244B8" w:rsidRPr="00A414A8" w:rsidRDefault="002244B8" w:rsidP="00D22DD0">
            <w:pPr>
              <w:pStyle w:val="ENoteTableText"/>
              <w:rPr>
                <w:rFonts w:ascii="Helvetica Neue" w:hAnsi="Helvetica Neue"/>
              </w:rPr>
            </w:pPr>
            <w:r w:rsidRPr="00A414A8">
              <w:t>Private Health Insurance (Health Insurance Business) Amendment Rules (No. 1) 2022</w:t>
            </w:r>
          </w:p>
        </w:tc>
        <w:tc>
          <w:tcPr>
            <w:tcW w:w="1346" w:type="pct"/>
            <w:tcBorders>
              <w:top w:val="single" w:sz="4" w:space="0" w:color="auto"/>
              <w:bottom w:val="single" w:sz="4" w:space="0" w:color="auto"/>
            </w:tcBorders>
            <w:shd w:val="clear" w:color="auto" w:fill="auto"/>
          </w:tcPr>
          <w:p w:rsidR="002244B8" w:rsidRPr="00A414A8" w:rsidRDefault="002244B8">
            <w:pPr>
              <w:pStyle w:val="ENoteTableText"/>
            </w:pPr>
            <w:r w:rsidRPr="00A414A8">
              <w:t>17 Jan 2022 (F2022L00036)</w:t>
            </w:r>
          </w:p>
        </w:tc>
        <w:tc>
          <w:tcPr>
            <w:tcW w:w="1178" w:type="pct"/>
            <w:tcBorders>
              <w:top w:val="single" w:sz="4" w:space="0" w:color="auto"/>
              <w:bottom w:val="single" w:sz="4" w:space="0" w:color="auto"/>
            </w:tcBorders>
            <w:shd w:val="clear" w:color="auto" w:fill="auto"/>
          </w:tcPr>
          <w:p w:rsidR="002244B8" w:rsidRPr="00A414A8" w:rsidRDefault="002244B8" w:rsidP="0029660D">
            <w:pPr>
              <w:pStyle w:val="ENoteTableText"/>
            </w:pPr>
            <w:r w:rsidRPr="00A414A8">
              <w:t>Sch 1: 1 Jan 2022 (s 2(1) item 2)</w:t>
            </w:r>
          </w:p>
        </w:tc>
        <w:tc>
          <w:tcPr>
            <w:tcW w:w="1213" w:type="pct"/>
            <w:tcBorders>
              <w:top w:val="single" w:sz="4" w:space="0" w:color="auto"/>
              <w:bottom w:val="single" w:sz="4" w:space="0" w:color="auto"/>
            </w:tcBorders>
            <w:shd w:val="clear" w:color="auto" w:fill="auto"/>
          </w:tcPr>
          <w:p w:rsidR="002244B8" w:rsidRPr="00A414A8" w:rsidRDefault="002244B8" w:rsidP="00AF53CC">
            <w:pPr>
              <w:pStyle w:val="ENoteTableText"/>
            </w:pPr>
            <w:r w:rsidRPr="00A414A8">
              <w:t>—</w:t>
            </w:r>
          </w:p>
        </w:tc>
      </w:tr>
      <w:tr w:rsidR="00586378" w:rsidRPr="00A414A8" w:rsidTr="002F2076">
        <w:trPr>
          <w:cantSplit/>
        </w:trPr>
        <w:tc>
          <w:tcPr>
            <w:tcW w:w="1263" w:type="pct"/>
            <w:tcBorders>
              <w:top w:val="single" w:sz="4" w:space="0" w:color="auto"/>
              <w:bottom w:val="single" w:sz="4" w:space="0" w:color="auto"/>
            </w:tcBorders>
            <w:shd w:val="clear" w:color="auto" w:fill="auto"/>
          </w:tcPr>
          <w:p w:rsidR="00586378" w:rsidRPr="00A414A8" w:rsidRDefault="00586378" w:rsidP="00D22DD0">
            <w:pPr>
              <w:pStyle w:val="ENoteTableText"/>
            </w:pPr>
            <w:r w:rsidRPr="00A414A8">
              <w:lastRenderedPageBreak/>
              <w:t>Private Health Insurance (Health Insurance Business) Amendment Rules 2022</w:t>
            </w:r>
          </w:p>
        </w:tc>
        <w:tc>
          <w:tcPr>
            <w:tcW w:w="1346" w:type="pct"/>
            <w:tcBorders>
              <w:top w:val="single" w:sz="4" w:space="0" w:color="auto"/>
              <w:bottom w:val="single" w:sz="4" w:space="0" w:color="auto"/>
            </w:tcBorders>
            <w:shd w:val="clear" w:color="auto" w:fill="auto"/>
          </w:tcPr>
          <w:p w:rsidR="00586378" w:rsidRPr="00A414A8" w:rsidRDefault="00586378">
            <w:pPr>
              <w:pStyle w:val="ENoteTableText"/>
            </w:pPr>
            <w:r w:rsidRPr="00A414A8">
              <w:t>13 May 2022 (F2022L00699)</w:t>
            </w:r>
          </w:p>
        </w:tc>
        <w:tc>
          <w:tcPr>
            <w:tcW w:w="1178" w:type="pct"/>
            <w:tcBorders>
              <w:top w:val="single" w:sz="4" w:space="0" w:color="auto"/>
              <w:bottom w:val="single" w:sz="4" w:space="0" w:color="auto"/>
            </w:tcBorders>
            <w:shd w:val="clear" w:color="auto" w:fill="auto"/>
          </w:tcPr>
          <w:p w:rsidR="00586378" w:rsidRPr="00A414A8" w:rsidRDefault="00586378" w:rsidP="0029660D">
            <w:pPr>
              <w:pStyle w:val="ENoteTableText"/>
            </w:pPr>
            <w:r w:rsidRPr="00A414A8">
              <w:t>1 July 2022 (s 2(1) item 1)</w:t>
            </w:r>
          </w:p>
        </w:tc>
        <w:tc>
          <w:tcPr>
            <w:tcW w:w="1213" w:type="pct"/>
            <w:tcBorders>
              <w:top w:val="single" w:sz="4" w:space="0" w:color="auto"/>
              <w:bottom w:val="single" w:sz="4" w:space="0" w:color="auto"/>
            </w:tcBorders>
            <w:shd w:val="clear" w:color="auto" w:fill="auto"/>
          </w:tcPr>
          <w:p w:rsidR="00586378" w:rsidRPr="00A414A8" w:rsidRDefault="00586378" w:rsidP="00AF53CC">
            <w:pPr>
              <w:pStyle w:val="ENoteTableText"/>
            </w:pPr>
            <w:r w:rsidRPr="00A414A8">
              <w:t>—</w:t>
            </w:r>
          </w:p>
        </w:tc>
      </w:tr>
      <w:tr w:rsidR="006E002E" w:rsidRPr="00A414A8" w:rsidTr="00D22DD0">
        <w:trPr>
          <w:cantSplit/>
        </w:trPr>
        <w:tc>
          <w:tcPr>
            <w:tcW w:w="1263" w:type="pct"/>
            <w:tcBorders>
              <w:top w:val="single" w:sz="4" w:space="0" w:color="auto"/>
              <w:bottom w:val="single" w:sz="12" w:space="0" w:color="auto"/>
            </w:tcBorders>
            <w:shd w:val="clear" w:color="auto" w:fill="auto"/>
          </w:tcPr>
          <w:p w:rsidR="006E002E" w:rsidRPr="00A414A8" w:rsidRDefault="006E002E" w:rsidP="00D22DD0">
            <w:pPr>
              <w:pStyle w:val="ENoteTableText"/>
            </w:pPr>
            <w:r w:rsidRPr="00A414A8">
              <w:t>Private Health Insurance Legislation Amendment Rules (No. 9) 2022</w:t>
            </w:r>
          </w:p>
        </w:tc>
        <w:tc>
          <w:tcPr>
            <w:tcW w:w="1346" w:type="pct"/>
            <w:tcBorders>
              <w:top w:val="single" w:sz="4" w:space="0" w:color="auto"/>
              <w:bottom w:val="single" w:sz="12" w:space="0" w:color="auto"/>
            </w:tcBorders>
            <w:shd w:val="clear" w:color="auto" w:fill="auto"/>
          </w:tcPr>
          <w:p w:rsidR="006E002E" w:rsidRPr="00A414A8" w:rsidRDefault="006E002E">
            <w:pPr>
              <w:pStyle w:val="ENoteTableText"/>
            </w:pPr>
            <w:r w:rsidRPr="00A414A8">
              <w:t>27 July 2022 (F2022L01010)</w:t>
            </w:r>
          </w:p>
        </w:tc>
        <w:tc>
          <w:tcPr>
            <w:tcW w:w="1178" w:type="pct"/>
            <w:tcBorders>
              <w:top w:val="single" w:sz="4" w:space="0" w:color="auto"/>
              <w:bottom w:val="single" w:sz="12" w:space="0" w:color="auto"/>
            </w:tcBorders>
            <w:shd w:val="clear" w:color="auto" w:fill="auto"/>
          </w:tcPr>
          <w:p w:rsidR="006E002E" w:rsidRPr="00A414A8" w:rsidRDefault="006E002E" w:rsidP="0029660D">
            <w:pPr>
              <w:pStyle w:val="ENoteTableText"/>
            </w:pPr>
            <w:r w:rsidRPr="00A414A8">
              <w:t>Sch 2 (item 1): 1 Aug 2022 (s 2(1) item 1)</w:t>
            </w:r>
          </w:p>
        </w:tc>
        <w:tc>
          <w:tcPr>
            <w:tcW w:w="1213" w:type="pct"/>
            <w:tcBorders>
              <w:top w:val="single" w:sz="4" w:space="0" w:color="auto"/>
              <w:bottom w:val="single" w:sz="12" w:space="0" w:color="auto"/>
            </w:tcBorders>
            <w:shd w:val="clear" w:color="auto" w:fill="auto"/>
          </w:tcPr>
          <w:p w:rsidR="006E002E" w:rsidRPr="00A414A8" w:rsidRDefault="006E002E" w:rsidP="00AF53CC">
            <w:pPr>
              <w:pStyle w:val="ENoteTableText"/>
            </w:pPr>
            <w:r w:rsidRPr="00A414A8">
              <w:t>—</w:t>
            </w:r>
          </w:p>
        </w:tc>
      </w:tr>
    </w:tbl>
    <w:p w:rsidR="00AF0109" w:rsidRPr="00A414A8" w:rsidRDefault="00AF0109" w:rsidP="00240E2A">
      <w:pPr>
        <w:pStyle w:val="Tabletext"/>
      </w:pPr>
    </w:p>
    <w:p w:rsidR="00AF0109" w:rsidRPr="00A414A8" w:rsidRDefault="00AF0109" w:rsidP="00AF0109">
      <w:pPr>
        <w:pStyle w:val="ENotesHeading2"/>
        <w:pageBreakBefore/>
        <w:outlineLvl w:val="9"/>
      </w:pPr>
      <w:r w:rsidRPr="00A414A8">
        <w:lastRenderedPageBreak/>
        <w:t>Endnote 4—Amendment history</w:t>
      </w:r>
    </w:p>
    <w:p w:rsidR="00AF0109" w:rsidRPr="00A414A8" w:rsidRDefault="00AF0109" w:rsidP="00AF0109">
      <w:pPr>
        <w:pStyle w:val="Tabletext"/>
      </w:pPr>
    </w:p>
    <w:tbl>
      <w:tblPr>
        <w:tblW w:w="5000" w:type="pct"/>
        <w:tblLook w:val="0000" w:firstRow="0" w:lastRow="0" w:firstColumn="0" w:lastColumn="0" w:noHBand="0" w:noVBand="0"/>
      </w:tblPr>
      <w:tblGrid>
        <w:gridCol w:w="2575"/>
        <w:gridCol w:w="5953"/>
      </w:tblGrid>
      <w:tr w:rsidR="00AF0109" w:rsidRPr="00A414A8" w:rsidTr="009F07F2">
        <w:trPr>
          <w:cantSplit/>
          <w:tblHeader/>
        </w:trPr>
        <w:tc>
          <w:tcPr>
            <w:tcW w:w="1510" w:type="pct"/>
            <w:tcBorders>
              <w:top w:val="single" w:sz="12" w:space="0" w:color="auto"/>
              <w:bottom w:val="single" w:sz="12" w:space="0" w:color="auto"/>
            </w:tcBorders>
            <w:shd w:val="clear" w:color="auto" w:fill="auto"/>
          </w:tcPr>
          <w:p w:rsidR="00AF0109" w:rsidRPr="00A414A8" w:rsidRDefault="00AF0109" w:rsidP="00AF0109">
            <w:pPr>
              <w:pStyle w:val="ENoteTableHeading"/>
            </w:pPr>
            <w:r w:rsidRPr="00A414A8">
              <w:t>Provision affected</w:t>
            </w:r>
          </w:p>
        </w:tc>
        <w:tc>
          <w:tcPr>
            <w:tcW w:w="3490" w:type="pct"/>
            <w:tcBorders>
              <w:top w:val="single" w:sz="12" w:space="0" w:color="auto"/>
              <w:bottom w:val="single" w:sz="12" w:space="0" w:color="auto"/>
            </w:tcBorders>
            <w:shd w:val="clear" w:color="auto" w:fill="auto"/>
          </w:tcPr>
          <w:p w:rsidR="00AF0109" w:rsidRPr="00A414A8" w:rsidRDefault="00AF0109" w:rsidP="00AF0109">
            <w:pPr>
              <w:pStyle w:val="ENoteTableHeading"/>
            </w:pPr>
            <w:r w:rsidRPr="00A414A8">
              <w:t>How affected</w:t>
            </w:r>
          </w:p>
        </w:tc>
      </w:tr>
      <w:tr w:rsidR="00AF0109" w:rsidRPr="00A414A8" w:rsidTr="009F07F2">
        <w:trPr>
          <w:cantSplit/>
        </w:trPr>
        <w:tc>
          <w:tcPr>
            <w:tcW w:w="1510" w:type="pct"/>
            <w:tcBorders>
              <w:top w:val="single" w:sz="12" w:space="0" w:color="auto"/>
            </w:tcBorders>
            <w:shd w:val="clear" w:color="auto" w:fill="auto"/>
          </w:tcPr>
          <w:p w:rsidR="00AF0109" w:rsidRPr="00A414A8" w:rsidRDefault="00AF0109" w:rsidP="00AF0109">
            <w:pPr>
              <w:pStyle w:val="ENoteTableText"/>
              <w:rPr>
                <w:b/>
              </w:rPr>
            </w:pPr>
            <w:r w:rsidRPr="00A414A8">
              <w:rPr>
                <w:b/>
              </w:rPr>
              <w:t>Part 1</w:t>
            </w:r>
          </w:p>
        </w:tc>
        <w:tc>
          <w:tcPr>
            <w:tcW w:w="3490" w:type="pct"/>
            <w:tcBorders>
              <w:top w:val="single" w:sz="12" w:space="0" w:color="auto"/>
            </w:tcBorders>
            <w:shd w:val="clear" w:color="auto" w:fill="auto"/>
          </w:tcPr>
          <w:p w:rsidR="00AF0109" w:rsidRPr="00A414A8" w:rsidRDefault="00AF0109" w:rsidP="00AF0109">
            <w:pPr>
              <w:pStyle w:val="ENoteTableText"/>
            </w:pPr>
          </w:p>
        </w:tc>
      </w:tr>
      <w:tr w:rsidR="00AF0109" w:rsidRPr="00A414A8" w:rsidTr="009F07F2">
        <w:trPr>
          <w:cantSplit/>
        </w:trPr>
        <w:tc>
          <w:tcPr>
            <w:tcW w:w="1510" w:type="pct"/>
            <w:shd w:val="clear" w:color="auto" w:fill="auto"/>
          </w:tcPr>
          <w:p w:rsidR="00AF0109" w:rsidRPr="00A414A8" w:rsidRDefault="005B5F23" w:rsidP="00AF0109">
            <w:pPr>
              <w:pStyle w:val="ENoteTableText"/>
              <w:tabs>
                <w:tab w:val="center" w:leader="dot" w:pos="2268"/>
              </w:tabs>
            </w:pPr>
            <w:r w:rsidRPr="00A414A8">
              <w:t>r</w:t>
            </w:r>
            <w:r w:rsidR="00AF0109" w:rsidRPr="00A414A8">
              <w:t xml:space="preserve"> 2</w:t>
            </w:r>
            <w:r w:rsidR="00AF0109" w:rsidRPr="00A414A8">
              <w:tab/>
            </w:r>
          </w:p>
        </w:tc>
        <w:tc>
          <w:tcPr>
            <w:tcW w:w="3490" w:type="pct"/>
            <w:shd w:val="clear" w:color="auto" w:fill="auto"/>
          </w:tcPr>
          <w:p w:rsidR="00AF0109" w:rsidRPr="00A414A8" w:rsidRDefault="00BA5091" w:rsidP="00AF0109">
            <w:pPr>
              <w:pStyle w:val="ENoteTableText"/>
            </w:pPr>
            <w:r w:rsidRPr="00A414A8">
              <w:t>rep LA s 48D</w:t>
            </w:r>
          </w:p>
        </w:tc>
      </w:tr>
      <w:tr w:rsidR="00AF0109" w:rsidRPr="00A414A8" w:rsidTr="009F07F2">
        <w:trPr>
          <w:cantSplit/>
        </w:trPr>
        <w:tc>
          <w:tcPr>
            <w:tcW w:w="1510" w:type="pct"/>
            <w:shd w:val="clear" w:color="auto" w:fill="auto"/>
          </w:tcPr>
          <w:p w:rsidR="00AF0109" w:rsidRPr="00A414A8" w:rsidRDefault="005B5F23" w:rsidP="00AF0109">
            <w:pPr>
              <w:pStyle w:val="ENoteTableText"/>
              <w:tabs>
                <w:tab w:val="center" w:leader="dot" w:pos="2268"/>
              </w:tabs>
            </w:pPr>
            <w:r w:rsidRPr="00A414A8">
              <w:t>r</w:t>
            </w:r>
            <w:r w:rsidR="00AF0109" w:rsidRPr="00A414A8">
              <w:t xml:space="preserve"> 2A</w:t>
            </w:r>
            <w:r w:rsidR="00AF0109" w:rsidRPr="00A414A8">
              <w:tab/>
            </w:r>
          </w:p>
        </w:tc>
        <w:tc>
          <w:tcPr>
            <w:tcW w:w="3490" w:type="pct"/>
            <w:shd w:val="clear" w:color="auto" w:fill="auto"/>
          </w:tcPr>
          <w:p w:rsidR="00AF0109" w:rsidRPr="00A414A8" w:rsidRDefault="00AF0109" w:rsidP="00AF0109">
            <w:pPr>
              <w:pStyle w:val="ENoteTableText"/>
            </w:pPr>
            <w:r w:rsidRPr="00A414A8">
              <w:t>rep LA s 48</w:t>
            </w:r>
            <w:r w:rsidR="00BA5091" w:rsidRPr="00A414A8">
              <w:t>C</w:t>
            </w:r>
          </w:p>
        </w:tc>
      </w:tr>
      <w:tr w:rsidR="004060C5" w:rsidRPr="00A414A8" w:rsidTr="009F07F2">
        <w:trPr>
          <w:cantSplit/>
        </w:trPr>
        <w:tc>
          <w:tcPr>
            <w:tcW w:w="1510" w:type="pct"/>
            <w:shd w:val="clear" w:color="auto" w:fill="auto"/>
          </w:tcPr>
          <w:p w:rsidR="004060C5" w:rsidRPr="00A414A8" w:rsidRDefault="005B5F23" w:rsidP="005B5F23">
            <w:pPr>
              <w:pStyle w:val="ENoteTableText"/>
              <w:tabs>
                <w:tab w:val="center" w:leader="dot" w:pos="2268"/>
              </w:tabs>
            </w:pPr>
            <w:r w:rsidRPr="00A414A8">
              <w:t>r</w:t>
            </w:r>
            <w:r w:rsidR="004060C5" w:rsidRPr="00A414A8">
              <w:t xml:space="preserve"> 3</w:t>
            </w:r>
            <w:r w:rsidR="004060C5" w:rsidRPr="00A414A8">
              <w:tab/>
            </w:r>
          </w:p>
        </w:tc>
        <w:tc>
          <w:tcPr>
            <w:tcW w:w="3490" w:type="pct"/>
            <w:shd w:val="clear" w:color="auto" w:fill="auto"/>
          </w:tcPr>
          <w:p w:rsidR="004060C5" w:rsidRPr="00A414A8" w:rsidRDefault="004060C5" w:rsidP="006C03D2">
            <w:pPr>
              <w:pStyle w:val="ENoteTableText"/>
            </w:pPr>
            <w:r w:rsidRPr="00A414A8">
              <w:t>am F2018L01414</w:t>
            </w:r>
          </w:p>
        </w:tc>
      </w:tr>
      <w:tr w:rsidR="00BF41F2" w:rsidRPr="00A414A8" w:rsidTr="009F07F2">
        <w:trPr>
          <w:cantSplit/>
        </w:trPr>
        <w:tc>
          <w:tcPr>
            <w:tcW w:w="1510" w:type="pct"/>
            <w:shd w:val="clear" w:color="auto" w:fill="auto"/>
          </w:tcPr>
          <w:p w:rsidR="00BF41F2" w:rsidRPr="00A414A8" w:rsidRDefault="00BF41F2" w:rsidP="00AF0109">
            <w:pPr>
              <w:pStyle w:val="ENoteTableText"/>
              <w:tabs>
                <w:tab w:val="center" w:leader="dot" w:pos="2268"/>
              </w:tabs>
              <w:rPr>
                <w:b/>
              </w:rPr>
            </w:pPr>
            <w:r w:rsidRPr="00A414A8">
              <w:rPr>
                <w:b/>
              </w:rPr>
              <w:t>Part 2</w:t>
            </w:r>
          </w:p>
        </w:tc>
        <w:tc>
          <w:tcPr>
            <w:tcW w:w="3490" w:type="pct"/>
            <w:shd w:val="clear" w:color="auto" w:fill="auto"/>
          </w:tcPr>
          <w:p w:rsidR="00BF41F2" w:rsidRPr="00A414A8" w:rsidRDefault="00BF41F2" w:rsidP="00AF0109">
            <w:pPr>
              <w:pStyle w:val="ENoteTableText"/>
            </w:pPr>
          </w:p>
        </w:tc>
      </w:tr>
      <w:tr w:rsidR="00BF41F2" w:rsidRPr="00A414A8" w:rsidTr="009F07F2">
        <w:trPr>
          <w:cantSplit/>
        </w:trPr>
        <w:tc>
          <w:tcPr>
            <w:tcW w:w="1510" w:type="pct"/>
            <w:shd w:val="clear" w:color="auto" w:fill="auto"/>
          </w:tcPr>
          <w:p w:rsidR="00BF41F2" w:rsidRPr="00A414A8" w:rsidRDefault="00BF41F2" w:rsidP="00AF0109">
            <w:pPr>
              <w:pStyle w:val="ENoteTableText"/>
              <w:tabs>
                <w:tab w:val="center" w:leader="dot" w:pos="2268"/>
              </w:tabs>
            </w:pPr>
            <w:r w:rsidRPr="00A414A8">
              <w:t>r 4</w:t>
            </w:r>
            <w:r w:rsidRPr="00A414A8">
              <w:tab/>
            </w:r>
          </w:p>
        </w:tc>
        <w:tc>
          <w:tcPr>
            <w:tcW w:w="3490" w:type="pct"/>
            <w:shd w:val="clear" w:color="auto" w:fill="auto"/>
          </w:tcPr>
          <w:p w:rsidR="00BF41F2" w:rsidRPr="00A414A8" w:rsidRDefault="00BF41F2" w:rsidP="00AF0109">
            <w:pPr>
              <w:pStyle w:val="ENoteTableText"/>
            </w:pPr>
            <w:r w:rsidRPr="00A414A8">
              <w:t>am F2019L00815</w:t>
            </w:r>
            <w:r w:rsidR="00C718AD" w:rsidRPr="00A414A8">
              <w:t>; F2020L00578</w:t>
            </w:r>
            <w:r w:rsidR="00042A1F" w:rsidRPr="00A414A8">
              <w:t>; F2021L00109</w:t>
            </w:r>
            <w:r w:rsidR="00FF0529" w:rsidRPr="00A414A8">
              <w:t>; F2022L00699</w:t>
            </w:r>
          </w:p>
        </w:tc>
      </w:tr>
      <w:tr w:rsidR="00BF41F2" w:rsidRPr="00A414A8" w:rsidTr="009F07F2">
        <w:trPr>
          <w:cantSplit/>
        </w:trPr>
        <w:tc>
          <w:tcPr>
            <w:tcW w:w="1510" w:type="pct"/>
            <w:shd w:val="clear" w:color="auto" w:fill="auto"/>
          </w:tcPr>
          <w:p w:rsidR="00BF41F2" w:rsidRPr="00A414A8" w:rsidRDefault="00BF41F2" w:rsidP="00AF0109">
            <w:pPr>
              <w:pStyle w:val="ENoteTableText"/>
              <w:tabs>
                <w:tab w:val="center" w:leader="dot" w:pos="2268"/>
              </w:tabs>
            </w:pPr>
            <w:r w:rsidRPr="00A414A8">
              <w:t>r 7</w:t>
            </w:r>
            <w:r w:rsidRPr="00A414A8">
              <w:tab/>
            </w:r>
          </w:p>
        </w:tc>
        <w:tc>
          <w:tcPr>
            <w:tcW w:w="3490" w:type="pct"/>
            <w:shd w:val="clear" w:color="auto" w:fill="auto"/>
          </w:tcPr>
          <w:p w:rsidR="00BF41F2" w:rsidRPr="00A414A8" w:rsidRDefault="00BF41F2" w:rsidP="00AF0109">
            <w:pPr>
              <w:pStyle w:val="ENoteTableText"/>
            </w:pPr>
            <w:r w:rsidRPr="00A414A8">
              <w:t>am F2019L00815</w:t>
            </w:r>
            <w:r w:rsidR="00C718AD" w:rsidRPr="00A414A8">
              <w:t>; F2020L00578</w:t>
            </w:r>
            <w:r w:rsidR="00042A1F" w:rsidRPr="00A414A8">
              <w:t>; F2021L00109</w:t>
            </w:r>
            <w:r w:rsidR="00FF0529" w:rsidRPr="00A414A8">
              <w:t>; F2022L00699</w:t>
            </w:r>
          </w:p>
        </w:tc>
      </w:tr>
      <w:tr w:rsidR="009A75EA" w:rsidRPr="00A414A8" w:rsidTr="009F07F2">
        <w:trPr>
          <w:cantSplit/>
        </w:trPr>
        <w:tc>
          <w:tcPr>
            <w:tcW w:w="1510" w:type="pct"/>
            <w:shd w:val="clear" w:color="auto" w:fill="auto"/>
          </w:tcPr>
          <w:p w:rsidR="009A75EA" w:rsidRPr="00A414A8" w:rsidRDefault="009A75EA" w:rsidP="00AF0109">
            <w:pPr>
              <w:pStyle w:val="ENoteTableText"/>
              <w:tabs>
                <w:tab w:val="center" w:leader="dot" w:pos="2268"/>
              </w:tabs>
            </w:pPr>
            <w:r w:rsidRPr="00A414A8">
              <w:rPr>
                <w:b/>
              </w:rPr>
              <w:t>Part 2A</w:t>
            </w:r>
          </w:p>
        </w:tc>
        <w:tc>
          <w:tcPr>
            <w:tcW w:w="3490" w:type="pct"/>
            <w:shd w:val="clear" w:color="auto" w:fill="auto"/>
          </w:tcPr>
          <w:p w:rsidR="009A75EA" w:rsidRPr="00A414A8" w:rsidRDefault="009A75EA" w:rsidP="00AF0109">
            <w:pPr>
              <w:pStyle w:val="ENoteTableText"/>
            </w:pPr>
          </w:p>
        </w:tc>
      </w:tr>
      <w:tr w:rsidR="009A75EA" w:rsidRPr="00A414A8" w:rsidTr="009F07F2">
        <w:trPr>
          <w:cantSplit/>
        </w:trPr>
        <w:tc>
          <w:tcPr>
            <w:tcW w:w="1510" w:type="pct"/>
            <w:shd w:val="clear" w:color="auto" w:fill="auto"/>
          </w:tcPr>
          <w:p w:rsidR="009A75EA" w:rsidRPr="00A414A8" w:rsidRDefault="009A75EA" w:rsidP="00AF0109">
            <w:pPr>
              <w:pStyle w:val="ENoteTableText"/>
              <w:tabs>
                <w:tab w:val="center" w:leader="dot" w:pos="2268"/>
              </w:tabs>
            </w:pPr>
            <w:r w:rsidRPr="00A414A8">
              <w:t>Part 2A</w:t>
            </w:r>
            <w:r w:rsidRPr="00A414A8">
              <w:tab/>
            </w:r>
          </w:p>
        </w:tc>
        <w:tc>
          <w:tcPr>
            <w:tcW w:w="3490" w:type="pct"/>
            <w:shd w:val="clear" w:color="auto" w:fill="auto"/>
          </w:tcPr>
          <w:p w:rsidR="009A75EA" w:rsidRPr="00A414A8" w:rsidRDefault="009A75EA" w:rsidP="00AF0109">
            <w:pPr>
              <w:pStyle w:val="ENoteTableText"/>
            </w:pPr>
            <w:r w:rsidRPr="00A414A8">
              <w:t>ad F2018L01414</w:t>
            </w:r>
          </w:p>
        </w:tc>
      </w:tr>
      <w:tr w:rsidR="009A75EA" w:rsidRPr="00A414A8" w:rsidTr="009F07F2">
        <w:trPr>
          <w:cantSplit/>
        </w:trPr>
        <w:tc>
          <w:tcPr>
            <w:tcW w:w="1510" w:type="pct"/>
            <w:shd w:val="clear" w:color="auto" w:fill="auto"/>
          </w:tcPr>
          <w:p w:rsidR="009A75EA" w:rsidRPr="00A414A8" w:rsidRDefault="005B5F23" w:rsidP="005B5F23">
            <w:pPr>
              <w:pStyle w:val="ENoteTableText"/>
              <w:tabs>
                <w:tab w:val="center" w:leader="dot" w:pos="2268"/>
              </w:tabs>
            </w:pPr>
            <w:r w:rsidRPr="00A414A8">
              <w:t>r</w:t>
            </w:r>
            <w:r w:rsidR="009A75EA" w:rsidRPr="00A414A8">
              <w:t xml:space="preserve"> 7A</w:t>
            </w:r>
            <w:r w:rsidR="009A75EA" w:rsidRPr="00A414A8">
              <w:tab/>
            </w:r>
          </w:p>
        </w:tc>
        <w:tc>
          <w:tcPr>
            <w:tcW w:w="3490" w:type="pct"/>
            <w:shd w:val="clear" w:color="auto" w:fill="auto"/>
          </w:tcPr>
          <w:p w:rsidR="009A75EA" w:rsidRPr="00A414A8" w:rsidRDefault="009A75EA" w:rsidP="00AF0109">
            <w:pPr>
              <w:pStyle w:val="ENoteTableText"/>
            </w:pPr>
            <w:r w:rsidRPr="00A414A8">
              <w:t>ad F2018L01414</w:t>
            </w:r>
          </w:p>
        </w:tc>
      </w:tr>
      <w:tr w:rsidR="009A75EA" w:rsidRPr="00A414A8" w:rsidTr="009F07F2">
        <w:trPr>
          <w:cantSplit/>
        </w:trPr>
        <w:tc>
          <w:tcPr>
            <w:tcW w:w="1510" w:type="pct"/>
            <w:shd w:val="clear" w:color="auto" w:fill="auto"/>
          </w:tcPr>
          <w:p w:rsidR="009A75EA" w:rsidRPr="00A414A8" w:rsidRDefault="005B5F23" w:rsidP="005B5F23">
            <w:pPr>
              <w:pStyle w:val="ENoteTableText"/>
              <w:tabs>
                <w:tab w:val="center" w:leader="dot" w:pos="2268"/>
              </w:tabs>
            </w:pPr>
            <w:r w:rsidRPr="00A414A8">
              <w:t>r</w:t>
            </w:r>
            <w:r w:rsidR="009A75EA" w:rsidRPr="00A414A8">
              <w:t xml:space="preserve"> 7B</w:t>
            </w:r>
            <w:r w:rsidR="009A75EA" w:rsidRPr="00A414A8">
              <w:tab/>
            </w:r>
          </w:p>
        </w:tc>
        <w:tc>
          <w:tcPr>
            <w:tcW w:w="3490" w:type="pct"/>
            <w:shd w:val="clear" w:color="auto" w:fill="auto"/>
          </w:tcPr>
          <w:p w:rsidR="009A75EA" w:rsidRPr="00A414A8" w:rsidRDefault="009A75EA" w:rsidP="00AF0109">
            <w:pPr>
              <w:pStyle w:val="ENoteTableText"/>
            </w:pPr>
            <w:r w:rsidRPr="00A414A8">
              <w:t>ad F2018L01414</w:t>
            </w:r>
          </w:p>
        </w:tc>
      </w:tr>
      <w:tr w:rsidR="00C718AD" w:rsidRPr="00A414A8" w:rsidTr="009F07F2">
        <w:trPr>
          <w:cantSplit/>
        </w:trPr>
        <w:tc>
          <w:tcPr>
            <w:tcW w:w="1510" w:type="pct"/>
            <w:shd w:val="clear" w:color="auto" w:fill="auto"/>
          </w:tcPr>
          <w:p w:rsidR="00C718AD" w:rsidRPr="00A414A8" w:rsidRDefault="00C718AD" w:rsidP="005B5F23">
            <w:pPr>
              <w:pStyle w:val="ENoteTableText"/>
              <w:tabs>
                <w:tab w:val="center" w:leader="dot" w:pos="2268"/>
              </w:tabs>
            </w:pPr>
          </w:p>
        </w:tc>
        <w:tc>
          <w:tcPr>
            <w:tcW w:w="3490" w:type="pct"/>
            <w:shd w:val="clear" w:color="auto" w:fill="auto"/>
          </w:tcPr>
          <w:p w:rsidR="00C718AD" w:rsidRPr="00A414A8" w:rsidRDefault="00C718AD" w:rsidP="00AF0109">
            <w:pPr>
              <w:pStyle w:val="ENoteTableText"/>
            </w:pPr>
            <w:r w:rsidRPr="00A414A8">
              <w:t>am F2020L00862</w:t>
            </w:r>
            <w:r w:rsidR="00042A1F" w:rsidRPr="00A414A8">
              <w:t>; F2021L00856</w:t>
            </w:r>
          </w:p>
        </w:tc>
      </w:tr>
      <w:tr w:rsidR="009A75EA" w:rsidRPr="00A414A8" w:rsidTr="009F07F2">
        <w:trPr>
          <w:cantSplit/>
        </w:trPr>
        <w:tc>
          <w:tcPr>
            <w:tcW w:w="1510" w:type="pct"/>
            <w:shd w:val="clear" w:color="auto" w:fill="auto"/>
          </w:tcPr>
          <w:p w:rsidR="009A75EA" w:rsidRPr="00A414A8" w:rsidRDefault="005B5F23" w:rsidP="00AF0109">
            <w:pPr>
              <w:pStyle w:val="ENoteTableText"/>
              <w:tabs>
                <w:tab w:val="center" w:leader="dot" w:pos="2268"/>
              </w:tabs>
            </w:pPr>
            <w:r w:rsidRPr="00A414A8">
              <w:t>r</w:t>
            </w:r>
            <w:r w:rsidR="009A75EA" w:rsidRPr="00A414A8">
              <w:t xml:space="preserve"> 7C</w:t>
            </w:r>
            <w:r w:rsidR="009A75EA" w:rsidRPr="00A414A8">
              <w:tab/>
            </w:r>
          </w:p>
        </w:tc>
        <w:tc>
          <w:tcPr>
            <w:tcW w:w="3490" w:type="pct"/>
            <w:shd w:val="clear" w:color="auto" w:fill="auto"/>
          </w:tcPr>
          <w:p w:rsidR="009A75EA" w:rsidRPr="00A414A8" w:rsidRDefault="009A75EA" w:rsidP="00AF0109">
            <w:pPr>
              <w:pStyle w:val="ENoteTableText"/>
            </w:pPr>
            <w:r w:rsidRPr="00A414A8">
              <w:t>ad F2018L01414</w:t>
            </w:r>
          </w:p>
        </w:tc>
      </w:tr>
      <w:tr w:rsidR="00F8146B" w:rsidRPr="00A414A8" w:rsidTr="009F07F2">
        <w:trPr>
          <w:cantSplit/>
        </w:trPr>
        <w:tc>
          <w:tcPr>
            <w:tcW w:w="1510" w:type="pct"/>
            <w:shd w:val="clear" w:color="auto" w:fill="auto"/>
          </w:tcPr>
          <w:p w:rsidR="00F8146B" w:rsidRPr="00A414A8" w:rsidRDefault="00F8146B" w:rsidP="00AF0109">
            <w:pPr>
              <w:pStyle w:val="ENoteTableText"/>
              <w:tabs>
                <w:tab w:val="center" w:leader="dot" w:pos="2268"/>
              </w:tabs>
            </w:pPr>
          </w:p>
        </w:tc>
        <w:tc>
          <w:tcPr>
            <w:tcW w:w="3490" w:type="pct"/>
            <w:shd w:val="clear" w:color="auto" w:fill="auto"/>
          </w:tcPr>
          <w:p w:rsidR="00F8146B" w:rsidRPr="00A414A8" w:rsidRDefault="00F8146B" w:rsidP="00AF0109">
            <w:pPr>
              <w:pStyle w:val="ENoteTableText"/>
            </w:pPr>
            <w:r w:rsidRPr="00A414A8">
              <w:t>am F2020L01378</w:t>
            </w:r>
          </w:p>
        </w:tc>
      </w:tr>
      <w:tr w:rsidR="009A75EA" w:rsidRPr="00A414A8" w:rsidTr="009F07F2">
        <w:trPr>
          <w:cantSplit/>
        </w:trPr>
        <w:tc>
          <w:tcPr>
            <w:tcW w:w="1510" w:type="pct"/>
            <w:shd w:val="clear" w:color="auto" w:fill="auto"/>
          </w:tcPr>
          <w:p w:rsidR="009A75EA" w:rsidRPr="00A414A8" w:rsidRDefault="005B5F23" w:rsidP="00AF0109">
            <w:pPr>
              <w:pStyle w:val="ENoteTableText"/>
              <w:tabs>
                <w:tab w:val="center" w:leader="dot" w:pos="2268"/>
              </w:tabs>
            </w:pPr>
            <w:r w:rsidRPr="00A414A8">
              <w:t>r</w:t>
            </w:r>
            <w:r w:rsidR="009A75EA" w:rsidRPr="00A414A8">
              <w:t xml:space="preserve"> 7D</w:t>
            </w:r>
            <w:r w:rsidR="009A75EA" w:rsidRPr="00A414A8">
              <w:tab/>
            </w:r>
          </w:p>
        </w:tc>
        <w:tc>
          <w:tcPr>
            <w:tcW w:w="3490" w:type="pct"/>
            <w:shd w:val="clear" w:color="auto" w:fill="auto"/>
          </w:tcPr>
          <w:p w:rsidR="009A75EA" w:rsidRPr="00A414A8" w:rsidRDefault="009A75EA" w:rsidP="00AF0109">
            <w:pPr>
              <w:pStyle w:val="ENoteTableText"/>
            </w:pPr>
            <w:r w:rsidRPr="00A414A8">
              <w:t>ad F2018L01414</w:t>
            </w:r>
          </w:p>
        </w:tc>
      </w:tr>
      <w:tr w:rsidR="009A75EA" w:rsidRPr="00A414A8" w:rsidTr="009F07F2">
        <w:trPr>
          <w:cantSplit/>
        </w:trPr>
        <w:tc>
          <w:tcPr>
            <w:tcW w:w="1510" w:type="pct"/>
            <w:shd w:val="clear" w:color="auto" w:fill="auto"/>
          </w:tcPr>
          <w:p w:rsidR="009A75EA" w:rsidRPr="00A414A8" w:rsidRDefault="005B5F23" w:rsidP="00AF0109">
            <w:pPr>
              <w:pStyle w:val="ENoteTableText"/>
              <w:tabs>
                <w:tab w:val="center" w:leader="dot" w:pos="2268"/>
              </w:tabs>
            </w:pPr>
            <w:r w:rsidRPr="00A414A8">
              <w:t>r</w:t>
            </w:r>
            <w:r w:rsidR="009A75EA" w:rsidRPr="00A414A8">
              <w:t xml:space="preserve"> 7E</w:t>
            </w:r>
            <w:r w:rsidR="009A75EA" w:rsidRPr="00A414A8">
              <w:tab/>
            </w:r>
          </w:p>
        </w:tc>
        <w:tc>
          <w:tcPr>
            <w:tcW w:w="3490" w:type="pct"/>
            <w:shd w:val="clear" w:color="auto" w:fill="auto"/>
          </w:tcPr>
          <w:p w:rsidR="009A75EA" w:rsidRPr="00A414A8" w:rsidRDefault="009A75EA" w:rsidP="00AF0109">
            <w:pPr>
              <w:pStyle w:val="ENoteTableText"/>
            </w:pPr>
            <w:r w:rsidRPr="00A414A8">
              <w:t>ad F2018L01414</w:t>
            </w:r>
          </w:p>
        </w:tc>
      </w:tr>
      <w:tr w:rsidR="00F8146B" w:rsidRPr="00A414A8" w:rsidTr="009F07F2">
        <w:trPr>
          <w:cantSplit/>
        </w:trPr>
        <w:tc>
          <w:tcPr>
            <w:tcW w:w="1510" w:type="pct"/>
            <w:shd w:val="clear" w:color="auto" w:fill="auto"/>
          </w:tcPr>
          <w:p w:rsidR="00F8146B" w:rsidRPr="00A414A8" w:rsidRDefault="00F8146B" w:rsidP="00AF0109">
            <w:pPr>
              <w:pStyle w:val="ENoteTableText"/>
              <w:tabs>
                <w:tab w:val="center" w:leader="dot" w:pos="2268"/>
              </w:tabs>
            </w:pPr>
          </w:p>
        </w:tc>
        <w:tc>
          <w:tcPr>
            <w:tcW w:w="3490" w:type="pct"/>
            <w:shd w:val="clear" w:color="auto" w:fill="auto"/>
          </w:tcPr>
          <w:p w:rsidR="00F8146B" w:rsidRPr="00A414A8" w:rsidRDefault="00F8146B" w:rsidP="00AF0109">
            <w:pPr>
              <w:pStyle w:val="ENoteTableText"/>
            </w:pPr>
            <w:r w:rsidRPr="00A414A8">
              <w:t>rep F2020L01378</w:t>
            </w:r>
          </w:p>
        </w:tc>
      </w:tr>
      <w:tr w:rsidR="00F8146B" w:rsidRPr="00A414A8" w:rsidTr="009F07F2">
        <w:trPr>
          <w:cantSplit/>
        </w:trPr>
        <w:tc>
          <w:tcPr>
            <w:tcW w:w="1510" w:type="pct"/>
            <w:shd w:val="clear" w:color="auto" w:fill="auto"/>
          </w:tcPr>
          <w:p w:rsidR="00F8146B" w:rsidRPr="00A414A8" w:rsidRDefault="00F8146B" w:rsidP="00AF0109">
            <w:pPr>
              <w:pStyle w:val="ENoteTableText"/>
              <w:tabs>
                <w:tab w:val="center" w:leader="dot" w:pos="2268"/>
              </w:tabs>
            </w:pPr>
            <w:r w:rsidRPr="00A414A8">
              <w:t>r 7F</w:t>
            </w:r>
            <w:r w:rsidRPr="00A414A8">
              <w:tab/>
            </w:r>
          </w:p>
        </w:tc>
        <w:tc>
          <w:tcPr>
            <w:tcW w:w="3490" w:type="pct"/>
            <w:shd w:val="clear" w:color="auto" w:fill="auto"/>
          </w:tcPr>
          <w:p w:rsidR="00F8146B" w:rsidRPr="00A414A8" w:rsidRDefault="00F8146B" w:rsidP="00AF0109">
            <w:pPr>
              <w:pStyle w:val="ENoteTableText"/>
            </w:pPr>
            <w:r w:rsidRPr="00A414A8">
              <w:t>ad F2020L01378</w:t>
            </w:r>
          </w:p>
        </w:tc>
      </w:tr>
      <w:tr w:rsidR="00E347F6" w:rsidRPr="00A414A8" w:rsidTr="009F07F2">
        <w:trPr>
          <w:cantSplit/>
        </w:trPr>
        <w:tc>
          <w:tcPr>
            <w:tcW w:w="1510" w:type="pct"/>
            <w:shd w:val="clear" w:color="auto" w:fill="auto"/>
          </w:tcPr>
          <w:p w:rsidR="00E347F6" w:rsidRPr="00A414A8" w:rsidRDefault="00E347F6" w:rsidP="00AF0109">
            <w:pPr>
              <w:pStyle w:val="ENoteTableText"/>
              <w:tabs>
                <w:tab w:val="center" w:leader="dot" w:pos="2268"/>
              </w:tabs>
            </w:pPr>
          </w:p>
        </w:tc>
        <w:tc>
          <w:tcPr>
            <w:tcW w:w="3490" w:type="pct"/>
            <w:shd w:val="clear" w:color="auto" w:fill="auto"/>
          </w:tcPr>
          <w:p w:rsidR="00E347F6" w:rsidRPr="00A414A8" w:rsidRDefault="00E347F6" w:rsidP="00AF0109">
            <w:pPr>
              <w:pStyle w:val="ENoteTableText"/>
            </w:pPr>
            <w:r w:rsidRPr="00A414A8">
              <w:t>ed C5</w:t>
            </w:r>
          </w:p>
        </w:tc>
      </w:tr>
      <w:tr w:rsidR="000C29A7" w:rsidRPr="00A414A8" w:rsidTr="009F07F2">
        <w:trPr>
          <w:cantSplit/>
        </w:trPr>
        <w:tc>
          <w:tcPr>
            <w:tcW w:w="1510" w:type="pct"/>
            <w:shd w:val="clear" w:color="auto" w:fill="auto"/>
          </w:tcPr>
          <w:p w:rsidR="000C29A7" w:rsidRPr="00A414A8" w:rsidRDefault="000C29A7" w:rsidP="00AF0109">
            <w:pPr>
              <w:pStyle w:val="ENoteTableText"/>
              <w:tabs>
                <w:tab w:val="center" w:leader="dot" w:pos="2268"/>
              </w:tabs>
            </w:pPr>
            <w:r w:rsidRPr="00A414A8">
              <w:rPr>
                <w:b/>
              </w:rPr>
              <w:t>Part 3</w:t>
            </w:r>
          </w:p>
        </w:tc>
        <w:tc>
          <w:tcPr>
            <w:tcW w:w="3490" w:type="pct"/>
            <w:shd w:val="clear" w:color="auto" w:fill="auto"/>
          </w:tcPr>
          <w:p w:rsidR="000C29A7" w:rsidRPr="00A414A8" w:rsidRDefault="000C29A7" w:rsidP="00AF0109">
            <w:pPr>
              <w:pStyle w:val="ENoteTableText"/>
            </w:pPr>
          </w:p>
        </w:tc>
      </w:tr>
      <w:tr w:rsidR="00AF0109" w:rsidRPr="00A414A8" w:rsidTr="009F07F2">
        <w:trPr>
          <w:cantSplit/>
        </w:trPr>
        <w:tc>
          <w:tcPr>
            <w:tcW w:w="1510" w:type="pct"/>
            <w:shd w:val="clear" w:color="auto" w:fill="auto"/>
          </w:tcPr>
          <w:p w:rsidR="00AF0109" w:rsidRPr="00A414A8" w:rsidRDefault="005B5F23" w:rsidP="00AF0109">
            <w:pPr>
              <w:pStyle w:val="ENoteTableText"/>
              <w:tabs>
                <w:tab w:val="center" w:leader="dot" w:pos="2268"/>
              </w:tabs>
            </w:pPr>
            <w:r w:rsidRPr="00A414A8">
              <w:t>r</w:t>
            </w:r>
            <w:r w:rsidR="00AF0109" w:rsidRPr="00A414A8">
              <w:t xml:space="preserve"> </w:t>
            </w:r>
            <w:r w:rsidR="004060C5" w:rsidRPr="00A414A8">
              <w:t>8</w:t>
            </w:r>
            <w:r w:rsidR="00AF0109" w:rsidRPr="00A414A8">
              <w:tab/>
            </w:r>
          </w:p>
        </w:tc>
        <w:tc>
          <w:tcPr>
            <w:tcW w:w="3490" w:type="pct"/>
            <w:shd w:val="clear" w:color="auto" w:fill="auto"/>
          </w:tcPr>
          <w:p w:rsidR="00AF0109" w:rsidRPr="00A414A8" w:rsidRDefault="004060C5" w:rsidP="006C03D2">
            <w:pPr>
              <w:pStyle w:val="ENoteTableText"/>
            </w:pPr>
            <w:r w:rsidRPr="00A414A8">
              <w:t>am F2018L01414</w:t>
            </w:r>
            <w:r w:rsidR="00E759CD" w:rsidRPr="00A414A8">
              <w:t>; F2021L01260</w:t>
            </w:r>
            <w:r w:rsidR="00272D5B" w:rsidRPr="00A414A8">
              <w:t>; F2021L01879</w:t>
            </w:r>
            <w:r w:rsidR="002244B8" w:rsidRPr="00A414A8">
              <w:t>; F2022L00036</w:t>
            </w:r>
          </w:p>
        </w:tc>
      </w:tr>
      <w:tr w:rsidR="00272D5B" w:rsidRPr="00A414A8" w:rsidTr="009F07F2">
        <w:trPr>
          <w:cantSplit/>
        </w:trPr>
        <w:tc>
          <w:tcPr>
            <w:tcW w:w="1510" w:type="pct"/>
            <w:shd w:val="clear" w:color="auto" w:fill="auto"/>
          </w:tcPr>
          <w:p w:rsidR="00272D5B" w:rsidRPr="00A414A8" w:rsidRDefault="00272D5B" w:rsidP="00AF0109">
            <w:pPr>
              <w:pStyle w:val="ENoteTableText"/>
              <w:tabs>
                <w:tab w:val="center" w:leader="dot" w:pos="2268"/>
              </w:tabs>
            </w:pPr>
          </w:p>
        </w:tc>
        <w:tc>
          <w:tcPr>
            <w:tcW w:w="3490" w:type="pct"/>
            <w:shd w:val="clear" w:color="auto" w:fill="auto"/>
          </w:tcPr>
          <w:p w:rsidR="00272D5B" w:rsidRPr="00A414A8" w:rsidRDefault="00272D5B" w:rsidP="006C03D2">
            <w:pPr>
              <w:pStyle w:val="ENoteTableText"/>
            </w:pPr>
            <w:r w:rsidRPr="00A414A8">
              <w:t>ed C8</w:t>
            </w:r>
          </w:p>
        </w:tc>
      </w:tr>
      <w:tr w:rsidR="006E002E" w:rsidRPr="00A414A8" w:rsidTr="009F07F2">
        <w:trPr>
          <w:cantSplit/>
        </w:trPr>
        <w:tc>
          <w:tcPr>
            <w:tcW w:w="1510" w:type="pct"/>
            <w:shd w:val="clear" w:color="auto" w:fill="auto"/>
          </w:tcPr>
          <w:p w:rsidR="006E002E" w:rsidRPr="00A414A8" w:rsidRDefault="006E002E" w:rsidP="00AF0109">
            <w:pPr>
              <w:pStyle w:val="ENoteTableText"/>
              <w:tabs>
                <w:tab w:val="center" w:leader="dot" w:pos="2268"/>
              </w:tabs>
            </w:pPr>
          </w:p>
        </w:tc>
        <w:tc>
          <w:tcPr>
            <w:tcW w:w="3490" w:type="pct"/>
            <w:shd w:val="clear" w:color="auto" w:fill="auto"/>
          </w:tcPr>
          <w:p w:rsidR="006E002E" w:rsidRPr="00A414A8" w:rsidRDefault="006E002E" w:rsidP="006C03D2">
            <w:pPr>
              <w:pStyle w:val="ENoteTableText"/>
            </w:pPr>
            <w:r w:rsidRPr="00A414A8">
              <w:t>am F2022L01010</w:t>
            </w:r>
          </w:p>
        </w:tc>
      </w:tr>
      <w:tr w:rsidR="00AF0109" w:rsidRPr="00A414A8" w:rsidTr="009F07F2">
        <w:trPr>
          <w:cantSplit/>
        </w:trPr>
        <w:tc>
          <w:tcPr>
            <w:tcW w:w="1510" w:type="pct"/>
            <w:tcBorders>
              <w:bottom w:val="single" w:sz="12" w:space="0" w:color="auto"/>
            </w:tcBorders>
            <w:shd w:val="clear" w:color="auto" w:fill="auto"/>
          </w:tcPr>
          <w:p w:rsidR="00AF0109" w:rsidRPr="00A414A8" w:rsidRDefault="005B5F23" w:rsidP="00AF0109">
            <w:pPr>
              <w:pStyle w:val="ENoteTableText"/>
              <w:tabs>
                <w:tab w:val="center" w:leader="dot" w:pos="2268"/>
              </w:tabs>
            </w:pPr>
            <w:r w:rsidRPr="00A414A8">
              <w:t>r</w:t>
            </w:r>
            <w:r w:rsidR="00AF0109" w:rsidRPr="00A414A8">
              <w:t xml:space="preserve"> </w:t>
            </w:r>
            <w:r w:rsidR="004060C5" w:rsidRPr="00A414A8">
              <w:t>11</w:t>
            </w:r>
            <w:r w:rsidR="00AF0109" w:rsidRPr="00A414A8">
              <w:tab/>
            </w:r>
          </w:p>
        </w:tc>
        <w:tc>
          <w:tcPr>
            <w:tcW w:w="3490" w:type="pct"/>
            <w:tcBorders>
              <w:bottom w:val="single" w:sz="12" w:space="0" w:color="auto"/>
            </w:tcBorders>
            <w:shd w:val="clear" w:color="auto" w:fill="auto"/>
          </w:tcPr>
          <w:p w:rsidR="00AF0109" w:rsidRPr="00A414A8" w:rsidRDefault="005E4078" w:rsidP="006C03D2">
            <w:pPr>
              <w:pStyle w:val="ENoteTableText"/>
            </w:pPr>
            <w:r w:rsidRPr="00A414A8">
              <w:t xml:space="preserve">rs </w:t>
            </w:r>
            <w:r w:rsidR="004060C5" w:rsidRPr="00A414A8">
              <w:t>F2018L01414</w:t>
            </w:r>
          </w:p>
        </w:tc>
      </w:tr>
    </w:tbl>
    <w:p w:rsidR="00713F0F" w:rsidRPr="00A414A8" w:rsidRDefault="00713F0F" w:rsidP="00713F0F">
      <w:pPr>
        <w:pStyle w:val="Tabletext"/>
      </w:pPr>
    </w:p>
    <w:sectPr w:rsidR="00713F0F" w:rsidRPr="00A414A8" w:rsidSect="00274F1B">
      <w:headerReference w:type="even" r:id="rId23"/>
      <w:headerReference w:type="default" r:id="rId24"/>
      <w:footerReference w:type="even" r:id="rId25"/>
      <w:footerReference w:type="default" r:id="rId26"/>
      <w:pgSz w:w="11906" w:h="16838" w:code="9"/>
      <w:pgMar w:top="2325" w:right="1797" w:bottom="1440" w:left="1797" w:header="720" w:footer="709" w:gutter="0"/>
      <w:paperSrc w:first="7" w:other="7"/>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2B3" w:rsidRDefault="001052B3">
      <w:r>
        <w:separator/>
      </w:r>
    </w:p>
  </w:endnote>
  <w:endnote w:type="continuationSeparator" w:id="0">
    <w:p w:rsidR="001052B3" w:rsidRDefault="0010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Helvetica Neu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B3" w:rsidRDefault="001052B3">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B3" w:rsidRDefault="001052B3" w:rsidP="009F07F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B3" w:rsidRPr="00ED79B6" w:rsidRDefault="001052B3" w:rsidP="009F07F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1596"/>
      <w:gridCol w:w="5192"/>
      <w:gridCol w:w="1740"/>
    </w:tblGrid>
    <w:tr w:rsidR="001052B3" w:rsidTr="009F07F2">
      <w:tc>
        <w:tcPr>
          <w:tcW w:w="936" w:type="pct"/>
          <w:tcBorders>
            <w:top w:val="single" w:sz="4" w:space="0" w:color="auto"/>
          </w:tcBorders>
        </w:tcPr>
        <w:p w:rsidR="001052B3" w:rsidRDefault="001052B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tc>
      <w:tc>
        <w:tcPr>
          <w:tcW w:w="3044" w:type="pct"/>
          <w:tcBorders>
            <w:top w:val="single" w:sz="4" w:space="0" w:color="auto"/>
          </w:tcBorders>
        </w:tcPr>
        <w:p w:rsidR="001052B3" w:rsidRPr="00197D24" w:rsidRDefault="001052B3" w:rsidP="00AF0109">
          <w:pPr>
            <w:pStyle w:val="Footer"/>
            <w:spacing w:before="120" w:line="200" w:lineRule="exact"/>
            <w:jc w:val="center"/>
            <w:rPr>
              <w:i/>
              <w:iCs/>
            </w:rPr>
          </w:pPr>
          <w:r w:rsidRPr="00197D24">
            <w:rPr>
              <w:i/>
              <w:iCs/>
            </w:rPr>
            <w:fldChar w:fldCharType="begin"/>
          </w:r>
          <w:r w:rsidRPr="00197D24">
            <w:rPr>
              <w:i/>
              <w:iCs/>
            </w:rPr>
            <w:instrText xml:space="preserve"> REF  DocName  \* MERGEFORMAT </w:instrText>
          </w:r>
          <w:r w:rsidRPr="00197D24">
            <w:rPr>
              <w:i/>
              <w:iCs/>
            </w:rPr>
            <w:fldChar w:fldCharType="separate"/>
          </w:r>
          <w:r w:rsidR="007B0B30">
            <w:rPr>
              <w:b/>
              <w:bCs/>
              <w:i/>
              <w:iCs/>
              <w:lang w:val="en-US"/>
            </w:rPr>
            <w:t>Error! Reference source not found.</w:t>
          </w:r>
          <w:r w:rsidRPr="00197D24">
            <w:rPr>
              <w:i/>
              <w:iCs/>
            </w:rPr>
            <w:fldChar w:fldCharType="end"/>
          </w:r>
        </w:p>
      </w:tc>
      <w:tc>
        <w:tcPr>
          <w:tcW w:w="1020" w:type="pct"/>
          <w:tcBorders>
            <w:top w:val="single" w:sz="4" w:space="0" w:color="auto"/>
          </w:tcBorders>
        </w:tcPr>
        <w:p w:rsidR="001052B3" w:rsidRDefault="001052B3">
          <w:pPr>
            <w:pStyle w:val="Footer"/>
            <w:jc w:val="right"/>
          </w:pPr>
        </w:p>
      </w:tc>
    </w:tr>
  </w:tbl>
  <w:p w:rsidR="001052B3" w:rsidRDefault="001052B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B3" w:rsidRPr="007B3B51" w:rsidRDefault="001052B3" w:rsidP="00FC53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9"/>
      <w:gridCol w:w="287"/>
      <w:gridCol w:w="1446"/>
    </w:tblGrid>
    <w:tr w:rsidR="001052B3" w:rsidRPr="007B3B51" w:rsidTr="009F07F2">
      <w:tc>
        <w:tcPr>
          <w:tcW w:w="681" w:type="pct"/>
        </w:tcPr>
        <w:p w:rsidR="001052B3" w:rsidRPr="007B3B51" w:rsidRDefault="001052B3" w:rsidP="00FC5370">
          <w:pPr>
            <w:rPr>
              <w:i/>
              <w:sz w:val="16"/>
              <w:szCs w:val="16"/>
            </w:rPr>
          </w:pPr>
        </w:p>
      </w:tc>
      <w:tc>
        <w:tcPr>
          <w:tcW w:w="3471" w:type="pct"/>
          <w:gridSpan w:val="3"/>
        </w:tcPr>
        <w:p w:rsidR="001052B3" w:rsidRPr="007B3B51" w:rsidRDefault="001052B3" w:rsidP="00FC537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4F1B">
            <w:rPr>
              <w:i/>
              <w:noProof/>
              <w:sz w:val="16"/>
              <w:szCs w:val="16"/>
            </w:rPr>
            <w:t>Private Health Insurance (Health Insurance Business) Rules 2018</w:t>
          </w:r>
          <w:r w:rsidRPr="007B3B51">
            <w:rPr>
              <w:i/>
              <w:sz w:val="16"/>
              <w:szCs w:val="16"/>
            </w:rPr>
            <w:fldChar w:fldCharType="end"/>
          </w:r>
        </w:p>
      </w:tc>
      <w:tc>
        <w:tcPr>
          <w:tcW w:w="848" w:type="pct"/>
        </w:tcPr>
        <w:p w:rsidR="001052B3" w:rsidRPr="007B3B51" w:rsidRDefault="001052B3" w:rsidP="00FC537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w:t>
          </w:r>
          <w:r w:rsidRPr="007B3B51">
            <w:rPr>
              <w:i/>
              <w:sz w:val="16"/>
              <w:szCs w:val="16"/>
            </w:rPr>
            <w:fldChar w:fldCharType="end"/>
          </w:r>
        </w:p>
      </w:tc>
    </w:tr>
    <w:tr w:rsidR="001052B3" w:rsidRPr="00130F37" w:rsidTr="007B0B30">
      <w:tc>
        <w:tcPr>
          <w:tcW w:w="895" w:type="pct"/>
          <w:gridSpan w:val="2"/>
        </w:tcPr>
        <w:p w:rsidR="001052B3" w:rsidRPr="00130F37" w:rsidRDefault="001052B3" w:rsidP="00FC537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B0B30">
            <w:rPr>
              <w:sz w:val="16"/>
              <w:szCs w:val="16"/>
            </w:rPr>
            <w:t>10</w:t>
          </w:r>
          <w:r w:rsidRPr="00130F37">
            <w:rPr>
              <w:sz w:val="16"/>
              <w:szCs w:val="16"/>
            </w:rPr>
            <w:fldChar w:fldCharType="end"/>
          </w:r>
        </w:p>
      </w:tc>
      <w:tc>
        <w:tcPr>
          <w:tcW w:w="3089" w:type="pct"/>
        </w:tcPr>
        <w:p w:rsidR="001052B3" w:rsidRPr="00130F37" w:rsidRDefault="001052B3" w:rsidP="00FC537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B0B30">
            <w:rPr>
              <w:sz w:val="16"/>
              <w:szCs w:val="16"/>
            </w:rPr>
            <w:t>01/08/2022</w:t>
          </w:r>
          <w:r w:rsidRPr="00130F37">
            <w:rPr>
              <w:sz w:val="16"/>
              <w:szCs w:val="16"/>
            </w:rPr>
            <w:fldChar w:fldCharType="end"/>
          </w:r>
        </w:p>
      </w:tc>
      <w:tc>
        <w:tcPr>
          <w:tcW w:w="1017" w:type="pct"/>
          <w:gridSpan w:val="2"/>
        </w:tcPr>
        <w:p w:rsidR="001052B3" w:rsidRPr="00130F37" w:rsidRDefault="001052B3" w:rsidP="00FC537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B0B30">
            <w:rPr>
              <w:sz w:val="16"/>
              <w:szCs w:val="16"/>
            </w:rPr>
            <w:instrText>11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B0B30">
            <w:rPr>
              <w:sz w:val="16"/>
              <w:szCs w:val="16"/>
            </w:rPr>
            <w:instrText>11/08/2022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B0B30">
            <w:rPr>
              <w:noProof/>
              <w:sz w:val="16"/>
              <w:szCs w:val="16"/>
            </w:rPr>
            <w:t>11/08/2022</w:t>
          </w:r>
          <w:r w:rsidRPr="00130F37">
            <w:rPr>
              <w:sz w:val="16"/>
              <w:szCs w:val="16"/>
            </w:rPr>
            <w:fldChar w:fldCharType="end"/>
          </w:r>
        </w:p>
      </w:tc>
    </w:tr>
  </w:tbl>
  <w:p w:rsidR="001052B3" w:rsidRPr="006F13E4" w:rsidRDefault="001052B3" w:rsidP="006F13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B3" w:rsidRPr="00E33C1C" w:rsidRDefault="001052B3" w:rsidP="00AF0109">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713"/>
      <w:gridCol w:w="1845"/>
      <w:gridCol w:w="3411"/>
      <w:gridCol w:w="1158"/>
      <w:gridCol w:w="1392"/>
      <w:gridCol w:w="9"/>
    </w:tblGrid>
    <w:tr w:rsidR="001052B3" w:rsidTr="009F07F2">
      <w:trPr>
        <w:gridAfter w:val="1"/>
        <w:wAfter w:w="5" w:type="pct"/>
      </w:trPr>
      <w:tc>
        <w:tcPr>
          <w:tcW w:w="418" w:type="pct"/>
          <w:tcBorders>
            <w:top w:val="nil"/>
            <w:left w:val="nil"/>
            <w:bottom w:val="nil"/>
            <w:right w:val="nil"/>
          </w:tcBorders>
        </w:tcPr>
        <w:p w:rsidR="001052B3" w:rsidRDefault="001052B3" w:rsidP="00AF01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19</w:t>
          </w:r>
          <w:r w:rsidRPr="00ED79B6">
            <w:rPr>
              <w:i/>
              <w:sz w:val="18"/>
            </w:rPr>
            <w:fldChar w:fldCharType="end"/>
          </w:r>
        </w:p>
      </w:tc>
      <w:tc>
        <w:tcPr>
          <w:tcW w:w="3761" w:type="pct"/>
          <w:gridSpan w:val="3"/>
          <w:tcBorders>
            <w:top w:val="nil"/>
            <w:left w:val="nil"/>
            <w:bottom w:val="nil"/>
            <w:right w:val="nil"/>
          </w:tcBorders>
        </w:tcPr>
        <w:p w:rsidR="001052B3" w:rsidRDefault="001052B3" w:rsidP="00AF01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B0B30">
            <w:rPr>
              <w:i/>
              <w:sz w:val="18"/>
            </w:rPr>
            <w:t>Private Health Insurance (Health Insurance Business) Rules 2018</w:t>
          </w:r>
          <w:r w:rsidRPr="007A1328">
            <w:rPr>
              <w:i/>
              <w:sz w:val="18"/>
            </w:rPr>
            <w:fldChar w:fldCharType="end"/>
          </w:r>
        </w:p>
      </w:tc>
      <w:tc>
        <w:tcPr>
          <w:tcW w:w="816" w:type="pct"/>
          <w:tcBorders>
            <w:top w:val="nil"/>
            <w:left w:val="nil"/>
            <w:bottom w:val="nil"/>
            <w:right w:val="nil"/>
          </w:tcBorders>
        </w:tcPr>
        <w:p w:rsidR="001052B3" w:rsidRDefault="001052B3" w:rsidP="00AF0109">
          <w:pPr>
            <w:spacing w:line="0" w:lineRule="atLeast"/>
            <w:jc w:val="right"/>
            <w:rPr>
              <w:sz w:val="18"/>
            </w:rPr>
          </w:pPr>
        </w:p>
      </w:tc>
    </w:tr>
    <w:tr w:rsidR="001052B3" w:rsidTr="009F0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0" w:type="pct"/>
          <w:gridSpan w:val="2"/>
        </w:tcPr>
        <w:p w:rsidR="001052B3" w:rsidRPr="003A0A61" w:rsidRDefault="001052B3" w:rsidP="00AF0109">
          <w:pPr>
            <w:rPr>
              <w:sz w:val="18"/>
            </w:rPr>
          </w:pPr>
          <w:r w:rsidRPr="003A0A61">
            <w:rPr>
              <w:sz w:val="18"/>
            </w:rPr>
            <w:t xml:space="preserve">Compilation No. </w:t>
          </w:r>
          <w:r w:rsidRPr="003A0A61">
            <w:rPr>
              <w:sz w:val="18"/>
            </w:rPr>
            <w:fldChar w:fldCharType="begin"/>
          </w:r>
          <w:r w:rsidRPr="003A0A61">
            <w:rPr>
              <w:sz w:val="18"/>
            </w:rPr>
            <w:instrText xml:space="preserve"> DOCPROPERTY  CompilationNumber  \* MERGEFORMAT </w:instrText>
          </w:r>
          <w:r w:rsidRPr="003A0A61">
            <w:rPr>
              <w:sz w:val="18"/>
            </w:rPr>
            <w:fldChar w:fldCharType="separate"/>
          </w:r>
          <w:r w:rsidR="007B0B30" w:rsidRPr="007B0B30">
            <w:rPr>
              <w:b/>
              <w:bCs/>
              <w:sz w:val="18"/>
              <w:lang w:val="en-US"/>
            </w:rPr>
            <w:t>10</w:t>
          </w:r>
          <w:r w:rsidRPr="003A0A61">
            <w:rPr>
              <w:sz w:val="18"/>
            </w:rPr>
            <w:fldChar w:fldCharType="end"/>
          </w:r>
        </w:p>
      </w:tc>
      <w:tc>
        <w:tcPr>
          <w:tcW w:w="2000" w:type="pct"/>
        </w:tcPr>
        <w:p w:rsidR="001052B3" w:rsidRPr="003A0A61" w:rsidRDefault="001052B3" w:rsidP="00AF0109">
          <w:pPr>
            <w:jc w:val="center"/>
            <w:rPr>
              <w:sz w:val="18"/>
            </w:rPr>
          </w:pPr>
          <w:r w:rsidRPr="003A0A61">
            <w:rPr>
              <w:sz w:val="18"/>
            </w:rPr>
            <w:t xml:space="preserve">Compilation date: </w:t>
          </w:r>
          <w:r w:rsidRPr="003A0A61">
            <w:rPr>
              <w:sz w:val="18"/>
            </w:rPr>
            <w:fldChar w:fldCharType="begin"/>
          </w:r>
          <w:r>
            <w:rPr>
              <w:sz w:val="18"/>
            </w:rPr>
            <w:instrText xml:space="preserve"> DOCPROPERTY  StartDate \@ "dd/MM/yyyy"  </w:instrText>
          </w:r>
          <w:r w:rsidRPr="003A0A61">
            <w:rPr>
              <w:sz w:val="18"/>
            </w:rPr>
            <w:fldChar w:fldCharType="separate"/>
          </w:r>
          <w:r w:rsidR="007B0B30">
            <w:rPr>
              <w:sz w:val="18"/>
            </w:rPr>
            <w:t>01/08/2022</w:t>
          </w:r>
          <w:r w:rsidRPr="003A0A61">
            <w:rPr>
              <w:sz w:val="18"/>
            </w:rPr>
            <w:fldChar w:fldCharType="end"/>
          </w:r>
        </w:p>
      </w:tc>
      <w:tc>
        <w:tcPr>
          <w:tcW w:w="1500" w:type="pct"/>
          <w:gridSpan w:val="3"/>
        </w:tcPr>
        <w:p w:rsidR="001052B3" w:rsidRPr="003A0A61" w:rsidRDefault="001052B3" w:rsidP="00AF0109">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sidR="007B0B30">
            <w:rPr>
              <w:sz w:val="18"/>
            </w:rPr>
            <w:instrText>11 August 2022</w:instrText>
          </w:r>
          <w:r w:rsidRPr="003A0A61">
            <w:rPr>
              <w:sz w:val="18"/>
            </w:rPr>
            <w:fldChar w:fldCharType="end"/>
          </w:r>
          <w:r w:rsidRPr="003A0A61">
            <w:rPr>
              <w:sz w:val="18"/>
            </w:rPr>
            <w:instrText xml:space="preserve"> = #1/1/1901# "Unknown" </w:instrText>
          </w:r>
          <w:r w:rsidRPr="003A0A61">
            <w:rPr>
              <w:sz w:val="18"/>
            </w:rPr>
            <w:fldChar w:fldCharType="begin"/>
          </w:r>
          <w:r>
            <w:rPr>
              <w:sz w:val="18"/>
            </w:rPr>
            <w:instrText xml:space="preserve"> DOCPROPERTY RegisteredDate \@ "dd/MM/yyyy" </w:instrText>
          </w:r>
          <w:r w:rsidRPr="003A0A61">
            <w:rPr>
              <w:sz w:val="18"/>
            </w:rPr>
            <w:fldChar w:fldCharType="separate"/>
          </w:r>
          <w:r w:rsidR="007B0B30">
            <w:rPr>
              <w:sz w:val="18"/>
            </w:rPr>
            <w:instrText>11/08/2022</w:instrText>
          </w:r>
          <w:r w:rsidRPr="003A0A61">
            <w:rPr>
              <w:sz w:val="18"/>
            </w:rPr>
            <w:fldChar w:fldCharType="end"/>
          </w:r>
          <w:r w:rsidRPr="003A0A61">
            <w:rPr>
              <w:sz w:val="18"/>
            </w:rPr>
            <w:instrText xml:space="preserve"> </w:instrText>
          </w:r>
          <w:r w:rsidRPr="003A0A61">
            <w:rPr>
              <w:sz w:val="18"/>
            </w:rPr>
            <w:fldChar w:fldCharType="separate"/>
          </w:r>
          <w:r w:rsidR="007B0B30">
            <w:rPr>
              <w:noProof/>
              <w:sz w:val="18"/>
            </w:rPr>
            <w:t>11/08/2022</w:t>
          </w:r>
          <w:r w:rsidRPr="003A0A61">
            <w:rPr>
              <w:sz w:val="18"/>
            </w:rPr>
            <w:fldChar w:fldCharType="end"/>
          </w:r>
        </w:p>
      </w:tc>
    </w:tr>
  </w:tbl>
  <w:p w:rsidR="001052B3" w:rsidRPr="00ED79B6" w:rsidRDefault="001052B3" w:rsidP="00AF010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B3" w:rsidRPr="007B3B51" w:rsidRDefault="001052B3" w:rsidP="00FC53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285"/>
      <w:gridCol w:w="5347"/>
      <w:gridCol w:w="288"/>
      <w:gridCol w:w="1446"/>
    </w:tblGrid>
    <w:tr w:rsidR="001052B3" w:rsidRPr="007B3B51" w:rsidTr="009F07F2">
      <w:tc>
        <w:tcPr>
          <w:tcW w:w="681" w:type="pct"/>
        </w:tcPr>
        <w:p w:rsidR="001052B3" w:rsidRPr="007B3B51" w:rsidRDefault="001052B3" w:rsidP="00FC5370">
          <w:pPr>
            <w:rPr>
              <w:i/>
              <w:sz w:val="16"/>
              <w:szCs w:val="16"/>
            </w:rPr>
          </w:pPr>
        </w:p>
      </w:tc>
      <w:tc>
        <w:tcPr>
          <w:tcW w:w="3471" w:type="pct"/>
          <w:gridSpan w:val="3"/>
        </w:tcPr>
        <w:p w:rsidR="001052B3" w:rsidRPr="007B3B51" w:rsidRDefault="001052B3" w:rsidP="00FC537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4F1B">
            <w:rPr>
              <w:i/>
              <w:noProof/>
              <w:sz w:val="16"/>
              <w:szCs w:val="16"/>
            </w:rPr>
            <w:t>Private Health Insurance (Health Insurance Business) Rules 2018</w:t>
          </w:r>
          <w:r w:rsidRPr="007B3B51">
            <w:rPr>
              <w:i/>
              <w:sz w:val="16"/>
              <w:szCs w:val="16"/>
            </w:rPr>
            <w:fldChar w:fldCharType="end"/>
          </w:r>
        </w:p>
      </w:tc>
      <w:tc>
        <w:tcPr>
          <w:tcW w:w="848" w:type="pct"/>
        </w:tcPr>
        <w:p w:rsidR="001052B3" w:rsidRPr="007B3B51" w:rsidRDefault="001052B3" w:rsidP="00FC537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w:t>
          </w:r>
          <w:r w:rsidRPr="007B3B51">
            <w:rPr>
              <w:i/>
              <w:sz w:val="16"/>
              <w:szCs w:val="16"/>
            </w:rPr>
            <w:fldChar w:fldCharType="end"/>
          </w:r>
        </w:p>
      </w:tc>
    </w:tr>
    <w:tr w:rsidR="001052B3" w:rsidRPr="00130F37" w:rsidTr="009F07F2">
      <w:tc>
        <w:tcPr>
          <w:tcW w:w="848" w:type="pct"/>
          <w:gridSpan w:val="2"/>
        </w:tcPr>
        <w:p w:rsidR="001052B3" w:rsidRPr="00130F37" w:rsidRDefault="001052B3" w:rsidP="00FC537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B0B30">
            <w:rPr>
              <w:sz w:val="16"/>
              <w:szCs w:val="16"/>
            </w:rPr>
            <w:t>10</w:t>
          </w:r>
          <w:r w:rsidRPr="00130F37">
            <w:rPr>
              <w:sz w:val="16"/>
              <w:szCs w:val="16"/>
            </w:rPr>
            <w:fldChar w:fldCharType="end"/>
          </w:r>
        </w:p>
      </w:tc>
      <w:tc>
        <w:tcPr>
          <w:tcW w:w="3135" w:type="pct"/>
        </w:tcPr>
        <w:p w:rsidR="001052B3" w:rsidRPr="00130F37" w:rsidRDefault="001052B3" w:rsidP="00FC537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B0B30">
            <w:rPr>
              <w:sz w:val="16"/>
              <w:szCs w:val="16"/>
            </w:rPr>
            <w:t>01/08/2022</w:t>
          </w:r>
          <w:r w:rsidRPr="00130F37">
            <w:rPr>
              <w:sz w:val="16"/>
              <w:szCs w:val="16"/>
            </w:rPr>
            <w:fldChar w:fldCharType="end"/>
          </w:r>
        </w:p>
      </w:tc>
      <w:tc>
        <w:tcPr>
          <w:tcW w:w="1017" w:type="pct"/>
          <w:gridSpan w:val="2"/>
        </w:tcPr>
        <w:p w:rsidR="001052B3" w:rsidRPr="00130F37" w:rsidRDefault="001052B3" w:rsidP="00FC537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B0B30">
            <w:rPr>
              <w:sz w:val="16"/>
              <w:szCs w:val="16"/>
            </w:rPr>
            <w:instrText>11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B0B30">
            <w:rPr>
              <w:sz w:val="16"/>
              <w:szCs w:val="16"/>
            </w:rPr>
            <w:instrText>11/08/2022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B0B30">
            <w:rPr>
              <w:noProof/>
              <w:sz w:val="16"/>
              <w:szCs w:val="16"/>
            </w:rPr>
            <w:t>11/08/2022</w:t>
          </w:r>
          <w:r w:rsidRPr="00130F37">
            <w:rPr>
              <w:sz w:val="16"/>
              <w:szCs w:val="16"/>
            </w:rPr>
            <w:fldChar w:fldCharType="end"/>
          </w:r>
        </w:p>
      </w:tc>
    </w:tr>
  </w:tbl>
  <w:p w:rsidR="001052B3" w:rsidRPr="006F13E4" w:rsidRDefault="001052B3" w:rsidP="006F1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2B3" w:rsidRDefault="001052B3">
      <w:r>
        <w:separator/>
      </w:r>
    </w:p>
  </w:footnote>
  <w:footnote w:type="continuationSeparator" w:id="0">
    <w:p w:rsidR="001052B3" w:rsidRDefault="00105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B3" w:rsidRDefault="001052B3" w:rsidP="009F07F2">
    <w:pPr>
      <w:pStyle w:val="Header"/>
      <w:pBdr>
        <w:bottom w:val="single" w:sz="6" w:space="1" w:color="auto"/>
      </w:pBdr>
    </w:pPr>
  </w:p>
  <w:p w:rsidR="001052B3" w:rsidRDefault="001052B3" w:rsidP="009F07F2">
    <w:pPr>
      <w:pStyle w:val="Header"/>
      <w:pBdr>
        <w:bottom w:val="single" w:sz="6" w:space="1" w:color="auto"/>
      </w:pBdr>
    </w:pPr>
  </w:p>
  <w:p w:rsidR="001052B3" w:rsidRPr="001E77D2" w:rsidRDefault="001052B3" w:rsidP="009F07F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B3" w:rsidRPr="00C4473E" w:rsidRDefault="001052B3" w:rsidP="00AF0109">
    <w:pPr>
      <w:rPr>
        <w:sz w:val="26"/>
        <w:szCs w:val="26"/>
      </w:rPr>
    </w:pPr>
  </w:p>
  <w:p w:rsidR="001052B3" w:rsidRPr="00965EE7" w:rsidRDefault="001052B3" w:rsidP="00AF0109">
    <w:pPr>
      <w:rPr>
        <w:b/>
        <w:sz w:val="20"/>
      </w:rPr>
    </w:pPr>
    <w:r w:rsidRPr="00965EE7">
      <w:rPr>
        <w:b/>
        <w:sz w:val="20"/>
      </w:rPr>
      <w:t>Endnotes</w:t>
    </w:r>
  </w:p>
  <w:p w:rsidR="001052B3" w:rsidRPr="007A1328" w:rsidRDefault="001052B3" w:rsidP="00AF0109">
    <w:pPr>
      <w:rPr>
        <w:sz w:val="20"/>
      </w:rPr>
    </w:pPr>
  </w:p>
  <w:p w:rsidR="001052B3" w:rsidRPr="007A1328" w:rsidRDefault="001052B3" w:rsidP="00AF0109">
    <w:pPr>
      <w:rPr>
        <w:b/>
        <w:sz w:val="24"/>
      </w:rPr>
    </w:pPr>
  </w:p>
  <w:p w:rsidR="001052B3" w:rsidRDefault="001052B3" w:rsidP="00AF0109">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B0B30">
      <w:rPr>
        <w:noProof/>
        <w:szCs w:val="22"/>
      </w:rPr>
      <w:t>Endnote 1—About the endnotes</w:t>
    </w:r>
    <w:r w:rsidRPr="00C4473E">
      <w:rPr>
        <w:szCs w:val="22"/>
      </w:rPr>
      <w:fldChar w:fldCharType="end"/>
    </w:r>
  </w:p>
  <w:p w:rsidR="001052B3" w:rsidRPr="00C4473E" w:rsidRDefault="001052B3" w:rsidP="00AF0109">
    <w:pPr>
      <w:rPr>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B3" w:rsidRPr="00C4473E" w:rsidRDefault="001052B3" w:rsidP="00AF0109">
    <w:pPr>
      <w:jc w:val="right"/>
      <w:rPr>
        <w:sz w:val="26"/>
        <w:szCs w:val="26"/>
      </w:rPr>
    </w:pPr>
  </w:p>
  <w:p w:rsidR="001052B3" w:rsidRPr="00965EE7" w:rsidRDefault="001052B3" w:rsidP="00AF0109">
    <w:pPr>
      <w:jc w:val="right"/>
      <w:rPr>
        <w:b/>
        <w:sz w:val="20"/>
      </w:rPr>
    </w:pPr>
    <w:r w:rsidRPr="00965EE7">
      <w:rPr>
        <w:b/>
        <w:sz w:val="20"/>
      </w:rPr>
      <w:t>Endnotes</w:t>
    </w:r>
  </w:p>
  <w:p w:rsidR="001052B3" w:rsidRPr="007A1328" w:rsidRDefault="001052B3" w:rsidP="00AF0109">
    <w:pPr>
      <w:jc w:val="right"/>
      <w:rPr>
        <w:sz w:val="20"/>
      </w:rPr>
    </w:pPr>
  </w:p>
  <w:p w:rsidR="001052B3" w:rsidRPr="007A1328" w:rsidRDefault="001052B3" w:rsidP="00AF0109">
    <w:pPr>
      <w:jc w:val="right"/>
      <w:rPr>
        <w:b/>
        <w:sz w:val="24"/>
      </w:rPr>
    </w:pPr>
  </w:p>
  <w:p w:rsidR="001052B3" w:rsidRPr="00C4473E" w:rsidRDefault="001052B3" w:rsidP="00AF0109">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74F1B">
      <w:rPr>
        <w:noProof/>
        <w:szCs w:val="22"/>
      </w:rPr>
      <w:t>Endnote 1—About the endnotes</w:t>
    </w:r>
    <w:r w:rsidRPr="00C4473E">
      <w:rPr>
        <w:szCs w:val="22"/>
      </w:rPr>
      <w:fldChar w:fldCharType="end"/>
    </w:r>
  </w:p>
  <w:p w:rsidR="001052B3" w:rsidRDefault="001052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B3" w:rsidRDefault="001052B3" w:rsidP="009F07F2">
    <w:pPr>
      <w:pStyle w:val="Header"/>
      <w:pBdr>
        <w:bottom w:val="single" w:sz="4" w:space="1" w:color="auto"/>
      </w:pBdr>
    </w:pPr>
  </w:p>
  <w:p w:rsidR="001052B3" w:rsidRDefault="001052B3" w:rsidP="009F07F2">
    <w:pPr>
      <w:pStyle w:val="Header"/>
      <w:pBdr>
        <w:bottom w:val="single" w:sz="4" w:space="1" w:color="auto"/>
      </w:pBdr>
    </w:pPr>
  </w:p>
  <w:p w:rsidR="001052B3" w:rsidRPr="001E77D2" w:rsidRDefault="001052B3" w:rsidP="009F07F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B3" w:rsidRPr="005F1388" w:rsidRDefault="001052B3" w:rsidP="009F07F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31"/>
      <w:gridCol w:w="6804"/>
    </w:tblGrid>
    <w:tr w:rsidR="001052B3">
      <w:trPr>
        <w:jc w:val="center"/>
      </w:trPr>
      <w:tc>
        <w:tcPr>
          <w:tcW w:w="1531" w:type="dxa"/>
        </w:tcPr>
        <w:p w:rsidR="001052B3" w:rsidRDefault="001052B3"/>
      </w:tc>
      <w:tc>
        <w:tcPr>
          <w:tcW w:w="6804" w:type="dxa"/>
        </w:tcPr>
        <w:p w:rsidR="001052B3" w:rsidRDefault="001052B3">
          <w:pPr>
            <w:jc w:val="right"/>
            <w:rPr>
              <w:rFonts w:ascii="Arial" w:hAnsi="Arial" w:cs="Arial"/>
            </w:rPr>
          </w:pPr>
        </w:p>
      </w:tc>
    </w:tr>
    <w:tr w:rsidR="001052B3">
      <w:trPr>
        <w:jc w:val="center"/>
      </w:trPr>
      <w:tc>
        <w:tcPr>
          <w:tcW w:w="1531" w:type="dxa"/>
        </w:tcPr>
        <w:p w:rsidR="001052B3" w:rsidRDefault="001052B3"/>
      </w:tc>
      <w:tc>
        <w:tcPr>
          <w:tcW w:w="6804" w:type="dxa"/>
        </w:tcPr>
        <w:p w:rsidR="001052B3" w:rsidRDefault="001052B3"/>
      </w:tc>
    </w:tr>
    <w:tr w:rsidR="001052B3">
      <w:trPr>
        <w:cantSplit/>
        <w:jc w:val="center"/>
      </w:trPr>
      <w:tc>
        <w:tcPr>
          <w:tcW w:w="8335" w:type="dxa"/>
          <w:gridSpan w:val="2"/>
          <w:tcBorders>
            <w:bottom w:val="single" w:sz="4" w:space="0" w:color="auto"/>
          </w:tcBorders>
        </w:tcPr>
        <w:p w:rsidR="001052B3" w:rsidRDefault="001052B3">
          <w:pPr>
            <w:pStyle w:val="Header"/>
            <w:jc w:val="right"/>
          </w:pPr>
          <w:r>
            <w:t>Contents</w:t>
          </w:r>
        </w:p>
      </w:tc>
    </w:tr>
  </w:tbl>
  <w:p w:rsidR="001052B3" w:rsidRDefault="001052B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31"/>
      <w:gridCol w:w="6804"/>
    </w:tblGrid>
    <w:tr w:rsidR="001052B3">
      <w:trPr>
        <w:jc w:val="center"/>
      </w:trPr>
      <w:tc>
        <w:tcPr>
          <w:tcW w:w="1531" w:type="dxa"/>
        </w:tcPr>
        <w:p w:rsidR="001052B3" w:rsidRDefault="001052B3"/>
      </w:tc>
      <w:tc>
        <w:tcPr>
          <w:tcW w:w="6804" w:type="dxa"/>
        </w:tcPr>
        <w:p w:rsidR="001052B3" w:rsidRDefault="001052B3">
          <w:pPr>
            <w:jc w:val="right"/>
            <w:rPr>
              <w:rFonts w:ascii="Arial" w:hAnsi="Arial" w:cs="Arial"/>
            </w:rPr>
          </w:pPr>
        </w:p>
      </w:tc>
    </w:tr>
    <w:tr w:rsidR="001052B3">
      <w:trPr>
        <w:jc w:val="center"/>
      </w:trPr>
      <w:tc>
        <w:tcPr>
          <w:tcW w:w="1531" w:type="dxa"/>
        </w:tcPr>
        <w:p w:rsidR="001052B3" w:rsidRDefault="001052B3"/>
      </w:tc>
      <w:tc>
        <w:tcPr>
          <w:tcW w:w="6804" w:type="dxa"/>
        </w:tcPr>
        <w:p w:rsidR="001052B3" w:rsidRDefault="001052B3"/>
      </w:tc>
    </w:tr>
    <w:tr w:rsidR="001052B3">
      <w:trPr>
        <w:cantSplit/>
        <w:jc w:val="center"/>
      </w:trPr>
      <w:tc>
        <w:tcPr>
          <w:tcW w:w="8335" w:type="dxa"/>
          <w:gridSpan w:val="2"/>
          <w:tcBorders>
            <w:bottom w:val="single" w:sz="4" w:space="0" w:color="auto"/>
          </w:tcBorders>
        </w:tcPr>
        <w:p w:rsidR="001052B3" w:rsidRDefault="001052B3">
          <w:pPr>
            <w:pStyle w:val="Header"/>
            <w:jc w:val="right"/>
          </w:pPr>
          <w:r>
            <w:t>Contents</w:t>
          </w:r>
        </w:p>
      </w:tc>
    </w:tr>
  </w:tbl>
  <w:p w:rsidR="001052B3" w:rsidRPr="00212353" w:rsidRDefault="001052B3">
    <w:pPr>
      <w:pStyle w:val="Header"/>
      <w:jc w:val="right"/>
      <w:rPr>
        <w:outline/>
        <w:color w:val="000000"/>
        <w:sz w:val="2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B3" w:rsidRDefault="00274F1B">
    <w:pPr>
      <w:pStyle w:val="Heade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1" type="#_x0000_t136" style="position:absolute;margin-left:0;margin-top:0;width:418.5pt;height:16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35" w:type="dxa"/>
      <w:jc w:val="center"/>
      <w:tblLayout w:type="fixed"/>
      <w:tblLook w:val="0000" w:firstRow="0" w:lastRow="0" w:firstColumn="0" w:lastColumn="0" w:noHBand="0" w:noVBand="0"/>
    </w:tblPr>
    <w:tblGrid>
      <w:gridCol w:w="8335"/>
    </w:tblGrid>
    <w:tr w:rsidR="001052B3">
      <w:trPr>
        <w:cantSplit/>
        <w:jc w:val="center"/>
      </w:trPr>
      <w:tc>
        <w:tcPr>
          <w:tcW w:w="8335" w:type="dxa"/>
        </w:tcPr>
        <w:p w:rsidR="001052B3" w:rsidRPr="00557343" w:rsidRDefault="00274F1B" w:rsidP="00AF0109">
          <w:pPr>
            <w:pStyle w:val="Header"/>
            <w:jc w:val="both"/>
            <w:rPr>
              <w:b/>
            </w:rPr>
          </w:pPr>
          <w:r>
            <w:fldChar w:fldCharType="begin"/>
          </w:r>
          <w:r>
            <w:instrText xml:space="preserve"> STYLEREF "Heading</w:instrText>
          </w:r>
          <w:r>
            <w:instrText xml:space="preserve"> 1 No Num"\l \* mergeformat  </w:instrText>
          </w:r>
          <w:r>
            <w:fldChar w:fldCharType="separate"/>
          </w:r>
          <w:r w:rsidR="007B0B30">
            <w:rPr>
              <w:noProof/>
            </w:rPr>
            <w:t>Part 1</w:t>
          </w:r>
          <w:r w:rsidR="007B0B30">
            <w:rPr>
              <w:noProof/>
            </w:rPr>
            <w:tab/>
            <w:t>Preliminary</w:t>
          </w:r>
          <w:r>
            <w:rPr>
              <w:noProof/>
            </w:rPr>
            <w:fldChar w:fldCharType="end"/>
          </w:r>
        </w:p>
      </w:tc>
    </w:tr>
    <w:tr w:rsidR="001052B3">
      <w:trPr>
        <w:cantSplit/>
        <w:jc w:val="center"/>
      </w:trPr>
      <w:tc>
        <w:tcPr>
          <w:tcW w:w="8335" w:type="dxa"/>
        </w:tcPr>
        <w:p w:rsidR="001052B3" w:rsidRDefault="001052B3"/>
      </w:tc>
    </w:tr>
    <w:tr w:rsidR="001052B3">
      <w:trPr>
        <w:cantSplit/>
        <w:jc w:val="center"/>
      </w:trPr>
      <w:tc>
        <w:tcPr>
          <w:tcW w:w="8335" w:type="dxa"/>
          <w:tcBorders>
            <w:bottom w:val="single" w:sz="4" w:space="0" w:color="auto"/>
          </w:tcBorders>
        </w:tcPr>
        <w:p w:rsidR="001052B3" w:rsidRDefault="001052B3">
          <w:pPr>
            <w:pStyle w:val="Header"/>
          </w:pPr>
        </w:p>
      </w:tc>
    </w:tr>
  </w:tbl>
  <w:p w:rsidR="001052B3" w:rsidRDefault="001052B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8335"/>
    </w:tblGrid>
    <w:tr w:rsidR="001052B3">
      <w:trPr>
        <w:cantSplit/>
        <w:jc w:val="center"/>
      </w:trPr>
      <w:tc>
        <w:tcPr>
          <w:tcW w:w="8335" w:type="dxa"/>
        </w:tcPr>
        <w:p w:rsidR="001052B3" w:rsidRPr="00557343" w:rsidRDefault="00274F1B">
          <w:pPr>
            <w:pStyle w:val="Header"/>
            <w:tabs>
              <w:tab w:val="clear" w:pos="4150"/>
              <w:tab w:val="left" w:pos="3590"/>
            </w:tabs>
            <w:jc w:val="right"/>
            <w:rPr>
              <w:b/>
            </w:rPr>
          </w:pPr>
          <w:r>
            <w:fldChar w:fldCharType="begin"/>
          </w:r>
          <w:r>
            <w:instrText xml:space="preserve"> STYLEREF "Heading 1 No Num"\l \* mergeformat  </w:instrText>
          </w:r>
          <w:r>
            <w:fldChar w:fldCharType="separate"/>
          </w:r>
          <w:r>
            <w:rPr>
              <w:noProof/>
            </w:rPr>
            <w:t>Part 1</w:t>
          </w:r>
          <w:r>
            <w:rPr>
              <w:noProof/>
            </w:rPr>
            <w:tab/>
            <w:t>Preliminary</w:t>
          </w:r>
          <w:r>
            <w:rPr>
              <w:noProof/>
            </w:rPr>
            <w:fldChar w:fldCharType="end"/>
          </w:r>
        </w:p>
      </w:tc>
    </w:tr>
    <w:tr w:rsidR="001052B3">
      <w:trPr>
        <w:cantSplit/>
        <w:jc w:val="center"/>
      </w:trPr>
      <w:tc>
        <w:tcPr>
          <w:tcW w:w="8335" w:type="dxa"/>
        </w:tcPr>
        <w:p w:rsidR="001052B3" w:rsidRDefault="001052B3"/>
      </w:tc>
    </w:tr>
    <w:tr w:rsidR="001052B3">
      <w:trPr>
        <w:cantSplit/>
        <w:jc w:val="center"/>
      </w:trPr>
      <w:tc>
        <w:tcPr>
          <w:tcW w:w="8335" w:type="dxa"/>
          <w:tcBorders>
            <w:bottom w:val="single" w:sz="4" w:space="0" w:color="auto"/>
          </w:tcBorders>
        </w:tcPr>
        <w:p w:rsidR="001052B3" w:rsidRDefault="001052B3">
          <w:pPr>
            <w:pStyle w:val="Header"/>
          </w:pPr>
        </w:p>
      </w:tc>
    </w:tr>
  </w:tbl>
  <w:p w:rsidR="001052B3" w:rsidRDefault="001052B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B3" w:rsidRDefault="00274F1B">
    <w:pPr>
      <w:pStyle w:val="Heade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2" type="#_x0000_t136" style="position:absolute;margin-left:0;margin-top:0;width:418.5pt;height:167.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144413"/>
    <w:multiLevelType w:val="multilevel"/>
    <w:tmpl w:val="B9D2432E"/>
    <w:lvl w:ilvl="0">
      <w:start w:val="1"/>
      <w:numFmt w:val="decimal"/>
      <w:lvlRestart w:val="0"/>
      <w:lvlText w:val="%1."/>
      <w:lvlJc w:val="left"/>
      <w:pPr>
        <w:tabs>
          <w:tab w:val="num" w:pos="850"/>
        </w:tabs>
        <w:ind w:left="850" w:hanging="850"/>
      </w:pPr>
      <w:rPr>
        <w:rFonts w:hint="default"/>
        <w:sz w:val="24"/>
        <w:szCs w:val="24"/>
      </w:rPr>
    </w:lvl>
    <w:lvl w:ilvl="1">
      <w:start w:val="1"/>
      <w:numFmt w:val="upperLetter"/>
      <w:pStyle w:val="Heading2"/>
      <w:lvlText w:val="%1%2"/>
      <w:lvlJc w:val="left"/>
      <w:pPr>
        <w:tabs>
          <w:tab w:val="num" w:pos="850"/>
        </w:tabs>
        <w:ind w:left="850" w:hanging="850"/>
      </w:pPr>
      <w:rPr>
        <w:rFonts w:hint="default"/>
      </w:rPr>
    </w:lvl>
    <w:lvl w:ilvl="2">
      <w:start w:val="1"/>
      <w:numFmt w:val="lowerLetter"/>
      <w:lvlRestart w:val="0"/>
      <w:pStyle w:val="Healthnumlevel2"/>
      <w:lvlText w:val="(%3)"/>
      <w:lvlJc w:val="left"/>
      <w:pPr>
        <w:tabs>
          <w:tab w:val="num" w:pos="1701"/>
        </w:tabs>
        <w:ind w:left="1701" w:hanging="851"/>
      </w:pPr>
      <w:rPr>
        <w:rFonts w:hint="default"/>
      </w:rPr>
    </w:lvl>
    <w:lvl w:ilvl="3">
      <w:start w:val="1"/>
      <w:numFmt w:val="lowerRoman"/>
      <w:pStyle w:val="HealthnumLevel3"/>
      <w:lvlText w:val="(%4)"/>
      <w:lvlJc w:val="left"/>
      <w:pPr>
        <w:tabs>
          <w:tab w:val="num" w:pos="2551"/>
        </w:tabs>
        <w:ind w:left="2551" w:hanging="850"/>
      </w:pPr>
      <w:rPr>
        <w:rFonts w:hint="default"/>
      </w:rPr>
    </w:lvl>
    <w:lvl w:ilvl="4">
      <w:start w:val="1"/>
      <w:numFmt w:val="upperLetter"/>
      <w:pStyle w:val="HealthnumLevel4"/>
      <w:lvlText w:val="(%5)"/>
      <w:lvlJc w:val="left"/>
      <w:pPr>
        <w:tabs>
          <w:tab w:val="num" w:pos="3402"/>
        </w:tabs>
        <w:ind w:left="3402" w:hanging="851"/>
      </w:pPr>
      <w:rPr>
        <w:rFonts w:hint="default"/>
      </w:rPr>
    </w:lvl>
    <w:lvl w:ilvl="5">
      <w:start w:val="1"/>
      <w:numFmt w:val="decimal"/>
      <w:lvlRestart w:val="2"/>
      <w:pStyle w:val="HealthnumLevel5"/>
      <w:lvlText w:val="(%6)"/>
      <w:lvlJc w:val="left"/>
      <w:pPr>
        <w:tabs>
          <w:tab w:val="num" w:pos="6889"/>
        </w:tabs>
        <w:ind w:left="6889" w:hanging="510"/>
      </w:pPr>
      <w:rPr>
        <w:rFonts w:hint="default"/>
      </w:rPr>
    </w:lvl>
    <w:lvl w:ilvl="6">
      <w:start w:val="1"/>
      <w:numFmt w:val="upperLetter"/>
      <w:pStyle w:val="HealthnumLevel6"/>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460351"/>
    <w:multiLevelType w:val="multilevel"/>
    <w:tmpl w:val="79263A74"/>
    <w:lvl w:ilvl="0">
      <w:start w:val="1"/>
      <w:numFmt w:val="decimal"/>
      <w:pStyle w:val="LapPam1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0"/>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F42"/>
    <w:rsid w:val="00004351"/>
    <w:rsid w:val="000072A3"/>
    <w:rsid w:val="00034DF3"/>
    <w:rsid w:val="000426CD"/>
    <w:rsid w:val="00042A1F"/>
    <w:rsid w:val="00047AD0"/>
    <w:rsid w:val="00063331"/>
    <w:rsid w:val="00065C74"/>
    <w:rsid w:val="0007273B"/>
    <w:rsid w:val="000770C7"/>
    <w:rsid w:val="0007770D"/>
    <w:rsid w:val="00080063"/>
    <w:rsid w:val="00081309"/>
    <w:rsid w:val="00082A0D"/>
    <w:rsid w:val="000976DE"/>
    <w:rsid w:val="000C29A7"/>
    <w:rsid w:val="000C56E3"/>
    <w:rsid w:val="000E529D"/>
    <w:rsid w:val="000E5A12"/>
    <w:rsid w:val="000F2B7A"/>
    <w:rsid w:val="000F56AB"/>
    <w:rsid w:val="001052B3"/>
    <w:rsid w:val="00105C22"/>
    <w:rsid w:val="00106CDE"/>
    <w:rsid w:val="00137E41"/>
    <w:rsid w:val="00153702"/>
    <w:rsid w:val="00154BB7"/>
    <w:rsid w:val="00161F8C"/>
    <w:rsid w:val="00175F9D"/>
    <w:rsid w:val="00183AD2"/>
    <w:rsid w:val="001931A7"/>
    <w:rsid w:val="001A1368"/>
    <w:rsid w:val="001A6EB4"/>
    <w:rsid w:val="001B04D7"/>
    <w:rsid w:val="001B7406"/>
    <w:rsid w:val="001D34F8"/>
    <w:rsid w:val="001D4835"/>
    <w:rsid w:val="001E1D7E"/>
    <w:rsid w:val="001E3370"/>
    <w:rsid w:val="001E54EE"/>
    <w:rsid w:val="001F42F8"/>
    <w:rsid w:val="001F7C16"/>
    <w:rsid w:val="00203FCB"/>
    <w:rsid w:val="00212353"/>
    <w:rsid w:val="002244B8"/>
    <w:rsid w:val="00232592"/>
    <w:rsid w:val="0023703B"/>
    <w:rsid w:val="00240E2A"/>
    <w:rsid w:val="002444C1"/>
    <w:rsid w:val="0025241F"/>
    <w:rsid w:val="00253573"/>
    <w:rsid w:val="00262974"/>
    <w:rsid w:val="00272D5B"/>
    <w:rsid w:val="00274F1B"/>
    <w:rsid w:val="00281EA6"/>
    <w:rsid w:val="0029657A"/>
    <w:rsid w:val="0029660D"/>
    <w:rsid w:val="002C4AE2"/>
    <w:rsid w:val="002C7F9A"/>
    <w:rsid w:val="002E5226"/>
    <w:rsid w:val="002E55FB"/>
    <w:rsid w:val="002F2076"/>
    <w:rsid w:val="002F41B9"/>
    <w:rsid w:val="00316E31"/>
    <w:rsid w:val="00320FC3"/>
    <w:rsid w:val="00322F42"/>
    <w:rsid w:val="00325D80"/>
    <w:rsid w:val="0032759D"/>
    <w:rsid w:val="00330625"/>
    <w:rsid w:val="00331BE6"/>
    <w:rsid w:val="00341732"/>
    <w:rsid w:val="0034447C"/>
    <w:rsid w:val="00360BA7"/>
    <w:rsid w:val="0036360F"/>
    <w:rsid w:val="003637B3"/>
    <w:rsid w:val="00363CC0"/>
    <w:rsid w:val="00366F70"/>
    <w:rsid w:val="0036754E"/>
    <w:rsid w:val="00374F2A"/>
    <w:rsid w:val="003B53AE"/>
    <w:rsid w:val="003B77C0"/>
    <w:rsid w:val="003C1476"/>
    <w:rsid w:val="003C3A2C"/>
    <w:rsid w:val="003D47DB"/>
    <w:rsid w:val="003E0E2B"/>
    <w:rsid w:val="003E5302"/>
    <w:rsid w:val="003E6E20"/>
    <w:rsid w:val="003F226D"/>
    <w:rsid w:val="00401928"/>
    <w:rsid w:val="004060C5"/>
    <w:rsid w:val="0041592D"/>
    <w:rsid w:val="00420AA7"/>
    <w:rsid w:val="004240F7"/>
    <w:rsid w:val="00431143"/>
    <w:rsid w:val="0043236E"/>
    <w:rsid w:val="00434BA9"/>
    <w:rsid w:val="004430AF"/>
    <w:rsid w:val="004451E1"/>
    <w:rsid w:val="004472A3"/>
    <w:rsid w:val="00452C7C"/>
    <w:rsid w:val="004558A9"/>
    <w:rsid w:val="00455F31"/>
    <w:rsid w:val="0047535A"/>
    <w:rsid w:val="0048127A"/>
    <w:rsid w:val="00482E24"/>
    <w:rsid w:val="004A334E"/>
    <w:rsid w:val="004A65FB"/>
    <w:rsid w:val="004C01B4"/>
    <w:rsid w:val="004D4D36"/>
    <w:rsid w:val="004D51C8"/>
    <w:rsid w:val="004D540B"/>
    <w:rsid w:val="004D5DEC"/>
    <w:rsid w:val="004F6848"/>
    <w:rsid w:val="0051533F"/>
    <w:rsid w:val="00523984"/>
    <w:rsid w:val="005268C2"/>
    <w:rsid w:val="005370FD"/>
    <w:rsid w:val="00537D64"/>
    <w:rsid w:val="005423CD"/>
    <w:rsid w:val="00571488"/>
    <w:rsid w:val="005837F9"/>
    <w:rsid w:val="00586378"/>
    <w:rsid w:val="00592729"/>
    <w:rsid w:val="005950D3"/>
    <w:rsid w:val="00595C31"/>
    <w:rsid w:val="005A7E21"/>
    <w:rsid w:val="005B5F23"/>
    <w:rsid w:val="005C4E13"/>
    <w:rsid w:val="005D2820"/>
    <w:rsid w:val="005D5140"/>
    <w:rsid w:val="005E3521"/>
    <w:rsid w:val="005E4078"/>
    <w:rsid w:val="005F07AC"/>
    <w:rsid w:val="005F6E09"/>
    <w:rsid w:val="00622FD6"/>
    <w:rsid w:val="00632CC1"/>
    <w:rsid w:val="00640AA9"/>
    <w:rsid w:val="006443F7"/>
    <w:rsid w:val="00646EFB"/>
    <w:rsid w:val="00655D4F"/>
    <w:rsid w:val="006624F1"/>
    <w:rsid w:val="00663432"/>
    <w:rsid w:val="0067110C"/>
    <w:rsid w:val="00676341"/>
    <w:rsid w:val="00682E36"/>
    <w:rsid w:val="0069711B"/>
    <w:rsid w:val="006A0727"/>
    <w:rsid w:val="006A668D"/>
    <w:rsid w:val="006A7533"/>
    <w:rsid w:val="006C03D2"/>
    <w:rsid w:val="006C1DCA"/>
    <w:rsid w:val="006C398C"/>
    <w:rsid w:val="006D0380"/>
    <w:rsid w:val="006D2F28"/>
    <w:rsid w:val="006D393E"/>
    <w:rsid w:val="006D5C83"/>
    <w:rsid w:val="006E002E"/>
    <w:rsid w:val="006E031E"/>
    <w:rsid w:val="006F13E4"/>
    <w:rsid w:val="006F1637"/>
    <w:rsid w:val="006F63D8"/>
    <w:rsid w:val="00702356"/>
    <w:rsid w:val="00713F0F"/>
    <w:rsid w:val="007205DF"/>
    <w:rsid w:val="0072481E"/>
    <w:rsid w:val="00724FD2"/>
    <w:rsid w:val="0073374D"/>
    <w:rsid w:val="00744589"/>
    <w:rsid w:val="00750BB5"/>
    <w:rsid w:val="00760459"/>
    <w:rsid w:val="0076669A"/>
    <w:rsid w:val="00767A17"/>
    <w:rsid w:val="0077411E"/>
    <w:rsid w:val="007B0B30"/>
    <w:rsid w:val="007B354F"/>
    <w:rsid w:val="007D0CB0"/>
    <w:rsid w:val="007F071F"/>
    <w:rsid w:val="007F1768"/>
    <w:rsid w:val="007F6D94"/>
    <w:rsid w:val="00810FBD"/>
    <w:rsid w:val="00817032"/>
    <w:rsid w:val="00820EB1"/>
    <w:rsid w:val="008314B9"/>
    <w:rsid w:val="00832C2B"/>
    <w:rsid w:val="00834528"/>
    <w:rsid w:val="00836417"/>
    <w:rsid w:val="0083677E"/>
    <w:rsid w:val="00841DC3"/>
    <w:rsid w:val="008678F5"/>
    <w:rsid w:val="00871878"/>
    <w:rsid w:val="008735A7"/>
    <w:rsid w:val="00873615"/>
    <w:rsid w:val="0088236B"/>
    <w:rsid w:val="00892E3B"/>
    <w:rsid w:val="00894868"/>
    <w:rsid w:val="008948A2"/>
    <w:rsid w:val="0089709A"/>
    <w:rsid w:val="008A7748"/>
    <w:rsid w:val="008A7D9F"/>
    <w:rsid w:val="008C0AB4"/>
    <w:rsid w:val="008C26DC"/>
    <w:rsid w:val="008E202D"/>
    <w:rsid w:val="008E4BD0"/>
    <w:rsid w:val="00901207"/>
    <w:rsid w:val="00951413"/>
    <w:rsid w:val="00967AB6"/>
    <w:rsid w:val="00990B50"/>
    <w:rsid w:val="009A47DE"/>
    <w:rsid w:val="009A75EA"/>
    <w:rsid w:val="009B3E12"/>
    <w:rsid w:val="009C27B6"/>
    <w:rsid w:val="009E210E"/>
    <w:rsid w:val="009E56B5"/>
    <w:rsid w:val="009F07F2"/>
    <w:rsid w:val="009F37AF"/>
    <w:rsid w:val="00A22994"/>
    <w:rsid w:val="00A257B5"/>
    <w:rsid w:val="00A36A46"/>
    <w:rsid w:val="00A414A8"/>
    <w:rsid w:val="00A600C4"/>
    <w:rsid w:val="00A64AC6"/>
    <w:rsid w:val="00A8440C"/>
    <w:rsid w:val="00A86AFC"/>
    <w:rsid w:val="00A96849"/>
    <w:rsid w:val="00A97FD6"/>
    <w:rsid w:val="00AB1AD7"/>
    <w:rsid w:val="00AC049C"/>
    <w:rsid w:val="00AC30FC"/>
    <w:rsid w:val="00AC3794"/>
    <w:rsid w:val="00AC57D9"/>
    <w:rsid w:val="00AE25B1"/>
    <w:rsid w:val="00AF0109"/>
    <w:rsid w:val="00AF31EE"/>
    <w:rsid w:val="00AF323C"/>
    <w:rsid w:val="00AF53CC"/>
    <w:rsid w:val="00AF58EB"/>
    <w:rsid w:val="00B02AD8"/>
    <w:rsid w:val="00B03B4F"/>
    <w:rsid w:val="00B353D2"/>
    <w:rsid w:val="00B379AB"/>
    <w:rsid w:val="00B42C35"/>
    <w:rsid w:val="00B4767C"/>
    <w:rsid w:val="00B54250"/>
    <w:rsid w:val="00B61271"/>
    <w:rsid w:val="00B63FCB"/>
    <w:rsid w:val="00B72F8F"/>
    <w:rsid w:val="00B825AD"/>
    <w:rsid w:val="00BA2B84"/>
    <w:rsid w:val="00BA5091"/>
    <w:rsid w:val="00BA76F2"/>
    <w:rsid w:val="00BB608D"/>
    <w:rsid w:val="00BC1F6C"/>
    <w:rsid w:val="00BC719B"/>
    <w:rsid w:val="00BD7EA7"/>
    <w:rsid w:val="00BE0FA6"/>
    <w:rsid w:val="00BE6930"/>
    <w:rsid w:val="00BF3316"/>
    <w:rsid w:val="00BF3C4D"/>
    <w:rsid w:val="00BF41F2"/>
    <w:rsid w:val="00BF59D5"/>
    <w:rsid w:val="00C00222"/>
    <w:rsid w:val="00C0315E"/>
    <w:rsid w:val="00C03BCB"/>
    <w:rsid w:val="00C128DF"/>
    <w:rsid w:val="00C21557"/>
    <w:rsid w:val="00C22730"/>
    <w:rsid w:val="00C22E4C"/>
    <w:rsid w:val="00C25265"/>
    <w:rsid w:val="00C26687"/>
    <w:rsid w:val="00C27D9B"/>
    <w:rsid w:val="00C474B3"/>
    <w:rsid w:val="00C53651"/>
    <w:rsid w:val="00C540A8"/>
    <w:rsid w:val="00C5691B"/>
    <w:rsid w:val="00C57413"/>
    <w:rsid w:val="00C601B8"/>
    <w:rsid w:val="00C718AD"/>
    <w:rsid w:val="00C775F5"/>
    <w:rsid w:val="00C8154C"/>
    <w:rsid w:val="00C94456"/>
    <w:rsid w:val="00C96B30"/>
    <w:rsid w:val="00CB510E"/>
    <w:rsid w:val="00CC6604"/>
    <w:rsid w:val="00D1124B"/>
    <w:rsid w:val="00D1175B"/>
    <w:rsid w:val="00D14F61"/>
    <w:rsid w:val="00D17FF0"/>
    <w:rsid w:val="00D2030B"/>
    <w:rsid w:val="00D22DD0"/>
    <w:rsid w:val="00D25B20"/>
    <w:rsid w:val="00D30D7C"/>
    <w:rsid w:val="00D30DEE"/>
    <w:rsid w:val="00D32083"/>
    <w:rsid w:val="00D45764"/>
    <w:rsid w:val="00D458AF"/>
    <w:rsid w:val="00D459BD"/>
    <w:rsid w:val="00D45C59"/>
    <w:rsid w:val="00D462DE"/>
    <w:rsid w:val="00D466DC"/>
    <w:rsid w:val="00D61327"/>
    <w:rsid w:val="00D61D72"/>
    <w:rsid w:val="00D72563"/>
    <w:rsid w:val="00DA1B22"/>
    <w:rsid w:val="00DA3419"/>
    <w:rsid w:val="00DB0B32"/>
    <w:rsid w:val="00DB0F49"/>
    <w:rsid w:val="00DC6853"/>
    <w:rsid w:val="00DD7622"/>
    <w:rsid w:val="00DE5013"/>
    <w:rsid w:val="00DE56C0"/>
    <w:rsid w:val="00DE5BF3"/>
    <w:rsid w:val="00DE7FE2"/>
    <w:rsid w:val="00DF249B"/>
    <w:rsid w:val="00E15C97"/>
    <w:rsid w:val="00E17A03"/>
    <w:rsid w:val="00E2361C"/>
    <w:rsid w:val="00E321DA"/>
    <w:rsid w:val="00E347F6"/>
    <w:rsid w:val="00E3702C"/>
    <w:rsid w:val="00E40FE9"/>
    <w:rsid w:val="00E41A5A"/>
    <w:rsid w:val="00E455C5"/>
    <w:rsid w:val="00E53353"/>
    <w:rsid w:val="00E57506"/>
    <w:rsid w:val="00E734E6"/>
    <w:rsid w:val="00E759CD"/>
    <w:rsid w:val="00E86B4E"/>
    <w:rsid w:val="00E877F0"/>
    <w:rsid w:val="00E95440"/>
    <w:rsid w:val="00E97ED5"/>
    <w:rsid w:val="00EB12B8"/>
    <w:rsid w:val="00EB4B9B"/>
    <w:rsid w:val="00EB55AA"/>
    <w:rsid w:val="00ED048D"/>
    <w:rsid w:val="00EE6523"/>
    <w:rsid w:val="00EE6B5F"/>
    <w:rsid w:val="00F02D54"/>
    <w:rsid w:val="00F067A3"/>
    <w:rsid w:val="00F074A9"/>
    <w:rsid w:val="00F16F92"/>
    <w:rsid w:val="00F35BD6"/>
    <w:rsid w:val="00F35BF0"/>
    <w:rsid w:val="00F429E3"/>
    <w:rsid w:val="00F6655D"/>
    <w:rsid w:val="00F8146B"/>
    <w:rsid w:val="00F81D14"/>
    <w:rsid w:val="00F8560A"/>
    <w:rsid w:val="00F90C70"/>
    <w:rsid w:val="00F96B47"/>
    <w:rsid w:val="00F97E90"/>
    <w:rsid w:val="00FC5127"/>
    <w:rsid w:val="00FC5370"/>
    <w:rsid w:val="00FD2551"/>
    <w:rsid w:val="00FE02D5"/>
    <w:rsid w:val="00FF052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763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F07F2"/>
    <w:pPr>
      <w:spacing w:after="0" w:line="260" w:lineRule="atLeast"/>
    </w:pPr>
    <w:rPr>
      <w:rFonts w:ascii="Times New Roman" w:hAnsi="Times New Roman"/>
      <w:szCs w:val="20"/>
    </w:rPr>
  </w:style>
  <w:style w:type="paragraph" w:styleId="Heading1">
    <w:name w:val="heading 1"/>
    <w:aliases w:val="h1,c,ActHead 1"/>
    <w:basedOn w:val="OPCParaBase"/>
    <w:next w:val="Normal"/>
    <w:link w:val="Heading1Char"/>
    <w:qFormat/>
    <w:rsid w:val="009F07F2"/>
    <w:pPr>
      <w:keepNext/>
      <w:keepLines/>
      <w:spacing w:line="240" w:lineRule="auto"/>
      <w:ind w:left="1134" w:hanging="1134"/>
      <w:outlineLvl w:val="0"/>
    </w:pPr>
    <w:rPr>
      <w:b/>
      <w:kern w:val="28"/>
      <w:sz w:val="36"/>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qFormat/>
    <w:rsid w:val="00322F42"/>
    <w:pPr>
      <w:keepNext/>
      <w:numPr>
        <w:ilvl w:val="1"/>
        <w:numId w:val="1"/>
      </w:numPr>
      <w:spacing w:before="240" w:after="60"/>
      <w:outlineLvl w:val="1"/>
    </w:pPr>
    <w:rPr>
      <w:rFonts w:ascii="Arial" w:hAnsi="Arial" w:cs="Arial"/>
      <w:b/>
      <w:bCs/>
      <w:iCs/>
      <w:szCs w:val="28"/>
    </w:rPr>
  </w:style>
  <w:style w:type="paragraph" w:styleId="Heading4">
    <w:name w:val="heading 4"/>
    <w:basedOn w:val="Normal"/>
    <w:next w:val="Normal"/>
    <w:link w:val="Heading4Char"/>
    <w:qFormat/>
    <w:rsid w:val="00322F4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ActHead 1 Char"/>
    <w:basedOn w:val="DefaultParagraphFont"/>
    <w:link w:val="Heading1"/>
    <w:rsid w:val="00322F42"/>
    <w:rPr>
      <w:rFonts w:ascii="Times New Roman" w:eastAsia="Times New Roman" w:hAnsi="Times New Roman" w:cs="Times New Roman"/>
      <w:b/>
      <w:kern w:val="28"/>
      <w:sz w:val="36"/>
      <w:szCs w:val="20"/>
      <w:lang w:eastAsia="en-AU"/>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rsid w:val="00322F42"/>
    <w:rPr>
      <w:rFonts w:ascii="Arial" w:hAnsi="Arial" w:cs="Arial"/>
      <w:b/>
      <w:bCs/>
      <w:iCs/>
      <w:szCs w:val="28"/>
    </w:rPr>
  </w:style>
  <w:style w:type="character" w:customStyle="1" w:styleId="Heading4Char">
    <w:name w:val="Heading 4 Char"/>
    <w:basedOn w:val="DefaultParagraphFont"/>
    <w:link w:val="Heading4"/>
    <w:rsid w:val="00322F42"/>
    <w:rPr>
      <w:rFonts w:ascii="Times New Roman" w:eastAsia="Times New Roman" w:hAnsi="Times New Roman" w:cs="Times New Roman"/>
      <w:b/>
      <w:bCs/>
      <w:sz w:val="28"/>
      <w:szCs w:val="28"/>
    </w:rPr>
  </w:style>
  <w:style w:type="paragraph" w:customStyle="1" w:styleId="HealthLevel1">
    <w:name w:val="Health Level 1"/>
    <w:basedOn w:val="Normal"/>
    <w:link w:val="HealthLevel1Char"/>
    <w:rsid w:val="00322F42"/>
    <w:pPr>
      <w:tabs>
        <w:tab w:val="left" w:pos="851"/>
      </w:tabs>
      <w:spacing w:before="120" w:line="260" w:lineRule="exact"/>
      <w:ind w:left="851"/>
    </w:pPr>
    <w:rPr>
      <w:color w:val="000000"/>
    </w:rPr>
  </w:style>
  <w:style w:type="paragraph" w:customStyle="1" w:styleId="Healthnumlevel2">
    <w:name w:val="Health (num) level 2"/>
    <w:basedOn w:val="Normal"/>
    <w:link w:val="Healthnumlevel2Char"/>
    <w:rsid w:val="00322F42"/>
    <w:pPr>
      <w:numPr>
        <w:ilvl w:val="2"/>
        <w:numId w:val="1"/>
      </w:numPr>
      <w:spacing w:before="60"/>
    </w:pPr>
    <w:rPr>
      <w:color w:val="000000"/>
    </w:rPr>
  </w:style>
  <w:style w:type="paragraph" w:customStyle="1" w:styleId="HealthnumLevel3">
    <w:name w:val="Health (num) Level 3"/>
    <w:basedOn w:val="Normal"/>
    <w:rsid w:val="00322F42"/>
    <w:pPr>
      <w:numPr>
        <w:ilvl w:val="3"/>
        <w:numId w:val="1"/>
      </w:numPr>
      <w:spacing w:before="60" w:line="260" w:lineRule="exact"/>
      <w:jc w:val="both"/>
    </w:pPr>
    <w:rPr>
      <w:color w:val="000000"/>
    </w:rPr>
  </w:style>
  <w:style w:type="paragraph" w:customStyle="1" w:styleId="HealthnumLevel4">
    <w:name w:val="Health (num) Level 4"/>
    <w:basedOn w:val="Normal"/>
    <w:rsid w:val="00322F42"/>
    <w:pPr>
      <w:numPr>
        <w:ilvl w:val="4"/>
        <w:numId w:val="1"/>
      </w:numPr>
      <w:spacing w:before="60" w:line="260" w:lineRule="exact"/>
    </w:pPr>
  </w:style>
  <w:style w:type="paragraph" w:customStyle="1" w:styleId="HealthnumLevel5">
    <w:name w:val="Health (num) Level 5"/>
    <w:basedOn w:val="Normal"/>
    <w:link w:val="HealthnumLevel5Char"/>
    <w:rsid w:val="00322F42"/>
    <w:pPr>
      <w:numPr>
        <w:ilvl w:val="5"/>
        <w:numId w:val="1"/>
      </w:numPr>
      <w:spacing w:before="180" w:line="260" w:lineRule="exact"/>
    </w:pPr>
  </w:style>
  <w:style w:type="paragraph" w:customStyle="1" w:styleId="HealthnumLevel6">
    <w:name w:val="Health (num) Level 6"/>
    <w:basedOn w:val="Normal"/>
    <w:rsid w:val="00322F42"/>
    <w:pPr>
      <w:numPr>
        <w:ilvl w:val="6"/>
        <w:numId w:val="1"/>
      </w:numPr>
      <w:spacing w:before="180" w:line="260" w:lineRule="exact"/>
    </w:pPr>
  </w:style>
  <w:style w:type="paragraph" w:customStyle="1" w:styleId="Healthnote">
    <w:name w:val="Health note"/>
    <w:basedOn w:val="Normal"/>
    <w:link w:val="HealthnoteChar"/>
    <w:rsid w:val="00322F42"/>
    <w:pPr>
      <w:tabs>
        <w:tab w:val="left" w:pos="567"/>
      </w:tabs>
      <w:spacing w:before="120" w:line="220" w:lineRule="exact"/>
      <w:ind w:left="851"/>
    </w:pPr>
    <w:rPr>
      <w:iCs/>
      <w:color w:val="000000"/>
      <w:sz w:val="20"/>
    </w:rPr>
  </w:style>
  <w:style w:type="paragraph" w:customStyle="1" w:styleId="HealthLevel2">
    <w:name w:val="Health Level 2"/>
    <w:basedOn w:val="HealthLevel1"/>
    <w:rsid w:val="00322F42"/>
    <w:pPr>
      <w:ind w:left="1701"/>
    </w:pPr>
  </w:style>
  <w:style w:type="paragraph" w:customStyle="1" w:styleId="Heading1NoNum">
    <w:name w:val="Heading 1 No Num"/>
    <w:basedOn w:val="Normal"/>
    <w:rsid w:val="00322F42"/>
    <w:pPr>
      <w:keepNext/>
      <w:keepLines/>
      <w:pageBreakBefore/>
      <w:tabs>
        <w:tab w:val="left" w:pos="1559"/>
      </w:tabs>
      <w:spacing w:before="120" w:line="240" w:lineRule="atLeast"/>
    </w:pPr>
    <w:rPr>
      <w:rFonts w:ascii="Arial" w:hAnsi="Arial" w:cs="Arial"/>
      <w:b/>
      <w:bCs/>
      <w:sz w:val="32"/>
      <w:szCs w:val="32"/>
    </w:rPr>
  </w:style>
  <w:style w:type="paragraph" w:styleId="Footer">
    <w:name w:val="footer"/>
    <w:link w:val="FooterChar"/>
    <w:rsid w:val="009F07F2"/>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9F07F2"/>
    <w:rPr>
      <w:rFonts w:ascii="Times New Roman" w:eastAsia="Times New Roman" w:hAnsi="Times New Roman" w:cs="Times New Roman"/>
      <w:szCs w:val="24"/>
      <w:lang w:eastAsia="en-AU"/>
    </w:rPr>
  </w:style>
  <w:style w:type="paragraph" w:styleId="Header">
    <w:name w:val="header"/>
    <w:basedOn w:val="OPCParaBase"/>
    <w:link w:val="HeaderChar"/>
    <w:unhideWhenUsed/>
    <w:rsid w:val="009F07F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F07F2"/>
    <w:rPr>
      <w:rFonts w:ascii="Times New Roman" w:eastAsia="Times New Roman" w:hAnsi="Times New Roman" w:cs="Times New Roman"/>
      <w:sz w:val="16"/>
      <w:szCs w:val="20"/>
      <w:lang w:eastAsia="en-AU"/>
    </w:rPr>
  </w:style>
  <w:style w:type="character" w:styleId="PageNumber">
    <w:name w:val="page number"/>
    <w:rsid w:val="00322F42"/>
    <w:rPr>
      <w:rFonts w:ascii="Arial" w:hAnsi="Arial" w:cs="Arial"/>
      <w:sz w:val="22"/>
      <w:szCs w:val="22"/>
    </w:rPr>
  </w:style>
  <w:style w:type="paragraph" w:styleId="Title">
    <w:name w:val="Title"/>
    <w:basedOn w:val="Normal"/>
    <w:next w:val="Normal"/>
    <w:link w:val="TitleChar"/>
    <w:qFormat/>
    <w:rsid w:val="00322F42"/>
    <w:pPr>
      <w:spacing w:before="480"/>
    </w:pPr>
    <w:rPr>
      <w:rFonts w:ascii="Arial" w:hAnsi="Arial" w:cs="Arial"/>
      <w:b/>
      <w:bCs/>
      <w:sz w:val="40"/>
      <w:szCs w:val="40"/>
    </w:rPr>
  </w:style>
  <w:style w:type="character" w:customStyle="1" w:styleId="TitleChar">
    <w:name w:val="Title Char"/>
    <w:basedOn w:val="DefaultParagraphFont"/>
    <w:link w:val="Title"/>
    <w:rsid w:val="00322F42"/>
    <w:rPr>
      <w:rFonts w:ascii="Arial" w:eastAsia="Times New Roman" w:hAnsi="Arial" w:cs="Arial"/>
      <w:b/>
      <w:bCs/>
      <w:sz w:val="40"/>
      <w:szCs w:val="40"/>
    </w:rPr>
  </w:style>
  <w:style w:type="paragraph" w:customStyle="1" w:styleId="SigningPageBreak">
    <w:name w:val="SigningPageBreak"/>
    <w:basedOn w:val="Normal"/>
    <w:next w:val="Normal"/>
    <w:rsid w:val="00322F42"/>
  </w:style>
  <w:style w:type="paragraph" w:styleId="TOC1">
    <w:name w:val="toc 1"/>
    <w:basedOn w:val="OPCParaBase"/>
    <w:next w:val="Normal"/>
    <w:uiPriority w:val="39"/>
    <w:unhideWhenUsed/>
    <w:rsid w:val="009F07F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F07F2"/>
    <w:pPr>
      <w:keepNext/>
      <w:keepLines/>
      <w:tabs>
        <w:tab w:val="right" w:pos="8278"/>
      </w:tabs>
      <w:spacing w:before="120" w:line="240" w:lineRule="auto"/>
      <w:ind w:left="879" w:right="567" w:hanging="879"/>
    </w:pPr>
    <w:rPr>
      <w:b/>
      <w:kern w:val="28"/>
      <w:sz w:val="24"/>
    </w:rPr>
  </w:style>
  <w:style w:type="character" w:customStyle="1" w:styleId="HealthnumLevel5Char">
    <w:name w:val="Health (num) Level 5 Char"/>
    <w:link w:val="HealthnumLevel5"/>
    <w:rsid w:val="00322F42"/>
    <w:rPr>
      <w:rFonts w:ascii="Times New Roman" w:hAnsi="Times New Roman"/>
      <w:szCs w:val="20"/>
    </w:rPr>
  </w:style>
  <w:style w:type="character" w:customStyle="1" w:styleId="Healthnumlevel2Char">
    <w:name w:val="Health (num) level 2 Char"/>
    <w:link w:val="Healthnumlevel2"/>
    <w:rsid w:val="00322F42"/>
    <w:rPr>
      <w:rFonts w:ascii="Times New Roman" w:hAnsi="Times New Roman"/>
      <w:color w:val="000000"/>
      <w:szCs w:val="20"/>
    </w:rPr>
  </w:style>
  <w:style w:type="character" w:customStyle="1" w:styleId="HealthLevel1Char">
    <w:name w:val="Health Level 1 Char"/>
    <w:link w:val="HealthLevel1"/>
    <w:rsid w:val="00322F42"/>
    <w:rPr>
      <w:rFonts w:ascii="Times New Roman" w:eastAsia="Times New Roman" w:hAnsi="Times New Roman" w:cs="Times New Roman"/>
      <w:color w:val="000000"/>
      <w:sz w:val="24"/>
      <w:szCs w:val="24"/>
    </w:rPr>
  </w:style>
  <w:style w:type="paragraph" w:customStyle="1" w:styleId="NoteEnd">
    <w:name w:val="Note End"/>
    <w:basedOn w:val="Normal"/>
    <w:rsid w:val="00322F42"/>
    <w:pPr>
      <w:spacing w:before="120" w:line="240" w:lineRule="exact"/>
      <w:ind w:left="567" w:hanging="567"/>
      <w:jc w:val="both"/>
    </w:pPr>
  </w:style>
  <w:style w:type="character" w:customStyle="1" w:styleId="HealthnoteChar">
    <w:name w:val="Health note Char"/>
    <w:link w:val="Healthnote"/>
    <w:rsid w:val="00322F42"/>
    <w:rPr>
      <w:rFonts w:ascii="Times New Roman" w:eastAsia="Times New Roman" w:hAnsi="Times New Roman" w:cs="Times New Roman"/>
      <w:iCs/>
      <w:color w:val="000000"/>
      <w:sz w:val="20"/>
      <w:szCs w:val="20"/>
    </w:rPr>
  </w:style>
  <w:style w:type="paragraph" w:customStyle="1" w:styleId="Char1CharChar">
    <w:name w:val="Char1 Char Char"/>
    <w:basedOn w:val="Normal"/>
    <w:rsid w:val="00322F42"/>
    <w:rPr>
      <w:rFonts w:ascii="Arial" w:hAnsi="Arial" w:cs="Arial"/>
      <w:szCs w:val="22"/>
    </w:rPr>
  </w:style>
  <w:style w:type="paragraph" w:styleId="BalloonText">
    <w:name w:val="Balloon Text"/>
    <w:basedOn w:val="Normal"/>
    <w:link w:val="BalloonTextChar"/>
    <w:uiPriority w:val="99"/>
    <w:semiHidden/>
    <w:unhideWhenUsed/>
    <w:rsid w:val="009F07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7F2"/>
    <w:rPr>
      <w:rFonts w:ascii="Tahoma" w:hAnsi="Tahoma" w:cs="Tahoma"/>
      <w:sz w:val="16"/>
      <w:szCs w:val="16"/>
    </w:rPr>
  </w:style>
  <w:style w:type="character" w:styleId="CommentReference">
    <w:name w:val="annotation reference"/>
    <w:basedOn w:val="DefaultParagraphFont"/>
    <w:uiPriority w:val="99"/>
    <w:semiHidden/>
    <w:unhideWhenUsed/>
    <w:rsid w:val="002C7F9A"/>
    <w:rPr>
      <w:sz w:val="16"/>
      <w:szCs w:val="16"/>
    </w:rPr>
  </w:style>
  <w:style w:type="paragraph" w:styleId="CommentText">
    <w:name w:val="annotation text"/>
    <w:basedOn w:val="Normal"/>
    <w:link w:val="CommentTextChar"/>
    <w:uiPriority w:val="99"/>
    <w:semiHidden/>
    <w:unhideWhenUsed/>
    <w:rsid w:val="002C7F9A"/>
    <w:rPr>
      <w:sz w:val="20"/>
    </w:rPr>
  </w:style>
  <w:style w:type="character" w:customStyle="1" w:styleId="CommentTextChar">
    <w:name w:val="Comment Text Char"/>
    <w:basedOn w:val="DefaultParagraphFont"/>
    <w:link w:val="CommentText"/>
    <w:uiPriority w:val="99"/>
    <w:semiHidden/>
    <w:rsid w:val="002C7F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7F9A"/>
    <w:rPr>
      <w:b/>
      <w:bCs/>
    </w:rPr>
  </w:style>
  <w:style w:type="character" w:customStyle="1" w:styleId="CommentSubjectChar">
    <w:name w:val="Comment Subject Char"/>
    <w:basedOn w:val="CommentTextChar"/>
    <w:link w:val="CommentSubject"/>
    <w:uiPriority w:val="99"/>
    <w:semiHidden/>
    <w:rsid w:val="002C7F9A"/>
    <w:rPr>
      <w:rFonts w:ascii="Times New Roman" w:eastAsia="Times New Roman" w:hAnsi="Times New Roman" w:cs="Times New Roman"/>
      <w:b/>
      <w:bCs/>
      <w:sz w:val="20"/>
      <w:szCs w:val="20"/>
    </w:rPr>
  </w:style>
  <w:style w:type="character" w:customStyle="1" w:styleId="CharChapNo">
    <w:name w:val="CharChapNo"/>
    <w:basedOn w:val="OPCCharBase"/>
    <w:qFormat/>
    <w:rsid w:val="009F07F2"/>
  </w:style>
  <w:style w:type="character" w:customStyle="1" w:styleId="CharChapText">
    <w:name w:val="CharChapText"/>
    <w:basedOn w:val="OPCCharBase"/>
    <w:qFormat/>
    <w:rsid w:val="009F07F2"/>
  </w:style>
  <w:style w:type="paragraph" w:customStyle="1" w:styleId="ShortT">
    <w:name w:val="ShortT"/>
    <w:basedOn w:val="OPCParaBase"/>
    <w:next w:val="Normal"/>
    <w:qFormat/>
    <w:rsid w:val="009F07F2"/>
    <w:pPr>
      <w:spacing w:line="240" w:lineRule="auto"/>
    </w:pPr>
    <w:rPr>
      <w:b/>
      <w:sz w:val="40"/>
    </w:rPr>
  </w:style>
  <w:style w:type="character" w:customStyle="1" w:styleId="CharDivNo">
    <w:name w:val="CharDivNo"/>
    <w:basedOn w:val="OPCCharBase"/>
    <w:qFormat/>
    <w:rsid w:val="009F07F2"/>
  </w:style>
  <w:style w:type="character" w:customStyle="1" w:styleId="CharDivText">
    <w:name w:val="CharDivText"/>
    <w:basedOn w:val="OPCCharBase"/>
    <w:qFormat/>
    <w:rsid w:val="009F07F2"/>
  </w:style>
  <w:style w:type="character" w:customStyle="1" w:styleId="CharPartNo">
    <w:name w:val="CharPartNo"/>
    <w:basedOn w:val="OPCCharBase"/>
    <w:qFormat/>
    <w:rsid w:val="009F07F2"/>
  </w:style>
  <w:style w:type="character" w:customStyle="1" w:styleId="CharPartText">
    <w:name w:val="CharPartText"/>
    <w:basedOn w:val="OPCCharBase"/>
    <w:qFormat/>
    <w:rsid w:val="009F07F2"/>
  </w:style>
  <w:style w:type="paragraph" w:customStyle="1" w:styleId="CompiledActNo">
    <w:name w:val="CompiledActNo"/>
    <w:basedOn w:val="OPCParaBase"/>
    <w:next w:val="Normal"/>
    <w:rsid w:val="009F07F2"/>
    <w:rPr>
      <w:b/>
      <w:sz w:val="24"/>
      <w:szCs w:val="24"/>
    </w:rPr>
  </w:style>
  <w:style w:type="paragraph" w:customStyle="1" w:styleId="LapPam17">
    <w:name w:val="/LapPam_17"/>
    <w:rsid w:val="00AF58EB"/>
    <w:pPr>
      <w:numPr>
        <w:numId w:val="5"/>
      </w:numPr>
      <w:tabs>
        <w:tab w:val="clear" w:pos="360"/>
        <w:tab w:val="num" w:pos="720"/>
      </w:tabs>
      <w:spacing w:before="240" w:after="0" w:line="240" w:lineRule="auto"/>
      <w:ind w:left="0" w:firstLine="0"/>
    </w:pPr>
    <w:rPr>
      <w:rFonts w:ascii="Times New Roman" w:eastAsia="Times New Roman" w:hAnsi="Times New Roman" w:cs="Times New Roman"/>
      <w:sz w:val="24"/>
      <w:szCs w:val="20"/>
      <w:lang w:eastAsia="en-AU"/>
    </w:rPr>
  </w:style>
  <w:style w:type="character" w:customStyle="1" w:styleId="OPCCharBase">
    <w:name w:val="OPCCharBase"/>
    <w:uiPriority w:val="1"/>
    <w:qFormat/>
    <w:rsid w:val="009F07F2"/>
  </w:style>
  <w:style w:type="paragraph" w:customStyle="1" w:styleId="OPCParaBase">
    <w:name w:val="OPCParaBase"/>
    <w:qFormat/>
    <w:rsid w:val="009F07F2"/>
    <w:pPr>
      <w:spacing w:after="0" w:line="260" w:lineRule="atLeast"/>
    </w:pPr>
    <w:rPr>
      <w:rFonts w:ascii="Times New Roman" w:eastAsia="Times New Roman" w:hAnsi="Times New Roman" w:cs="Times New Roman"/>
      <w:szCs w:val="20"/>
      <w:lang w:eastAsia="en-AU"/>
    </w:rPr>
  </w:style>
  <w:style w:type="paragraph" w:customStyle="1" w:styleId="ActHead2">
    <w:name w:val="ActHead 2"/>
    <w:aliases w:val="p"/>
    <w:basedOn w:val="OPCParaBase"/>
    <w:next w:val="ActHead3"/>
    <w:qFormat/>
    <w:rsid w:val="009F07F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F07F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F07F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F07F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F07F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F07F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F07F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F07F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F07F2"/>
  </w:style>
  <w:style w:type="paragraph" w:customStyle="1" w:styleId="Blocks">
    <w:name w:val="Blocks"/>
    <w:aliases w:val="bb"/>
    <w:basedOn w:val="OPCParaBase"/>
    <w:qFormat/>
    <w:rsid w:val="009F07F2"/>
    <w:pPr>
      <w:spacing w:line="240" w:lineRule="auto"/>
    </w:pPr>
    <w:rPr>
      <w:sz w:val="24"/>
    </w:rPr>
  </w:style>
  <w:style w:type="paragraph" w:customStyle="1" w:styleId="BoxText">
    <w:name w:val="BoxText"/>
    <w:aliases w:val="bt"/>
    <w:basedOn w:val="OPCParaBase"/>
    <w:qFormat/>
    <w:rsid w:val="009F07F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F07F2"/>
    <w:rPr>
      <w:b/>
    </w:rPr>
  </w:style>
  <w:style w:type="paragraph" w:customStyle="1" w:styleId="BoxHeadItalic">
    <w:name w:val="BoxHeadItalic"/>
    <w:aliases w:val="bhi"/>
    <w:basedOn w:val="BoxText"/>
    <w:next w:val="BoxStep"/>
    <w:qFormat/>
    <w:rsid w:val="009F07F2"/>
    <w:rPr>
      <w:i/>
    </w:rPr>
  </w:style>
  <w:style w:type="paragraph" w:customStyle="1" w:styleId="BoxList">
    <w:name w:val="BoxList"/>
    <w:aliases w:val="bl"/>
    <w:basedOn w:val="BoxText"/>
    <w:qFormat/>
    <w:rsid w:val="009F07F2"/>
    <w:pPr>
      <w:ind w:left="1559" w:hanging="425"/>
    </w:pPr>
  </w:style>
  <w:style w:type="paragraph" w:customStyle="1" w:styleId="BoxNote">
    <w:name w:val="BoxNote"/>
    <w:aliases w:val="bn"/>
    <w:basedOn w:val="BoxText"/>
    <w:qFormat/>
    <w:rsid w:val="009F07F2"/>
    <w:pPr>
      <w:tabs>
        <w:tab w:val="left" w:pos="1985"/>
      </w:tabs>
      <w:spacing w:before="122" w:line="198" w:lineRule="exact"/>
      <w:ind w:left="2948" w:hanging="1814"/>
    </w:pPr>
    <w:rPr>
      <w:sz w:val="18"/>
    </w:rPr>
  </w:style>
  <w:style w:type="paragraph" w:customStyle="1" w:styleId="BoxPara">
    <w:name w:val="BoxPara"/>
    <w:aliases w:val="bp"/>
    <w:basedOn w:val="BoxText"/>
    <w:qFormat/>
    <w:rsid w:val="009F07F2"/>
    <w:pPr>
      <w:tabs>
        <w:tab w:val="right" w:pos="2268"/>
      </w:tabs>
      <w:ind w:left="2552" w:hanging="1418"/>
    </w:pPr>
  </w:style>
  <w:style w:type="paragraph" w:customStyle="1" w:styleId="BoxStep">
    <w:name w:val="BoxStep"/>
    <w:aliases w:val="bs"/>
    <w:basedOn w:val="BoxText"/>
    <w:qFormat/>
    <w:rsid w:val="009F07F2"/>
    <w:pPr>
      <w:ind w:left="1985" w:hanging="851"/>
    </w:pPr>
  </w:style>
  <w:style w:type="character" w:customStyle="1" w:styleId="CharAmPartNo">
    <w:name w:val="CharAmPartNo"/>
    <w:basedOn w:val="OPCCharBase"/>
    <w:uiPriority w:val="1"/>
    <w:qFormat/>
    <w:rsid w:val="009F07F2"/>
  </w:style>
  <w:style w:type="character" w:customStyle="1" w:styleId="CharAmPartText">
    <w:name w:val="CharAmPartText"/>
    <w:basedOn w:val="OPCCharBase"/>
    <w:uiPriority w:val="1"/>
    <w:qFormat/>
    <w:rsid w:val="009F07F2"/>
  </w:style>
  <w:style w:type="character" w:customStyle="1" w:styleId="CharAmSchNo">
    <w:name w:val="CharAmSchNo"/>
    <w:basedOn w:val="OPCCharBase"/>
    <w:uiPriority w:val="1"/>
    <w:qFormat/>
    <w:rsid w:val="009F07F2"/>
  </w:style>
  <w:style w:type="character" w:customStyle="1" w:styleId="CharAmSchText">
    <w:name w:val="CharAmSchText"/>
    <w:basedOn w:val="OPCCharBase"/>
    <w:uiPriority w:val="1"/>
    <w:qFormat/>
    <w:rsid w:val="009F07F2"/>
  </w:style>
  <w:style w:type="character" w:customStyle="1" w:styleId="CharBoldItalic">
    <w:name w:val="CharBoldItalic"/>
    <w:basedOn w:val="OPCCharBase"/>
    <w:uiPriority w:val="1"/>
    <w:qFormat/>
    <w:rsid w:val="009F07F2"/>
    <w:rPr>
      <w:b/>
      <w:i/>
    </w:rPr>
  </w:style>
  <w:style w:type="character" w:customStyle="1" w:styleId="CharItalic">
    <w:name w:val="CharItalic"/>
    <w:basedOn w:val="OPCCharBase"/>
    <w:uiPriority w:val="1"/>
    <w:qFormat/>
    <w:rsid w:val="009F07F2"/>
    <w:rPr>
      <w:i/>
    </w:rPr>
  </w:style>
  <w:style w:type="character" w:customStyle="1" w:styleId="CharSectno">
    <w:name w:val="CharSectno"/>
    <w:basedOn w:val="OPCCharBase"/>
    <w:qFormat/>
    <w:rsid w:val="009F07F2"/>
  </w:style>
  <w:style w:type="character" w:customStyle="1" w:styleId="CharSubdNo">
    <w:name w:val="CharSubdNo"/>
    <w:basedOn w:val="OPCCharBase"/>
    <w:uiPriority w:val="1"/>
    <w:qFormat/>
    <w:rsid w:val="009F07F2"/>
  </w:style>
  <w:style w:type="character" w:customStyle="1" w:styleId="CharSubdText">
    <w:name w:val="CharSubdText"/>
    <w:basedOn w:val="OPCCharBase"/>
    <w:uiPriority w:val="1"/>
    <w:qFormat/>
    <w:rsid w:val="009F07F2"/>
  </w:style>
  <w:style w:type="paragraph" w:customStyle="1" w:styleId="CTA--">
    <w:name w:val="CTA --"/>
    <w:basedOn w:val="OPCParaBase"/>
    <w:next w:val="Normal"/>
    <w:rsid w:val="009F07F2"/>
    <w:pPr>
      <w:spacing w:before="60" w:line="240" w:lineRule="atLeast"/>
      <w:ind w:left="142" w:hanging="142"/>
    </w:pPr>
    <w:rPr>
      <w:sz w:val="20"/>
    </w:rPr>
  </w:style>
  <w:style w:type="paragraph" w:customStyle="1" w:styleId="CTA-">
    <w:name w:val="CTA -"/>
    <w:basedOn w:val="OPCParaBase"/>
    <w:rsid w:val="009F07F2"/>
    <w:pPr>
      <w:spacing w:before="60" w:line="240" w:lineRule="atLeast"/>
      <w:ind w:left="85" w:hanging="85"/>
    </w:pPr>
    <w:rPr>
      <w:sz w:val="20"/>
    </w:rPr>
  </w:style>
  <w:style w:type="paragraph" w:customStyle="1" w:styleId="CTA---">
    <w:name w:val="CTA ---"/>
    <w:basedOn w:val="OPCParaBase"/>
    <w:next w:val="Normal"/>
    <w:rsid w:val="009F07F2"/>
    <w:pPr>
      <w:spacing w:before="60" w:line="240" w:lineRule="atLeast"/>
      <w:ind w:left="198" w:hanging="198"/>
    </w:pPr>
    <w:rPr>
      <w:sz w:val="20"/>
    </w:rPr>
  </w:style>
  <w:style w:type="paragraph" w:customStyle="1" w:styleId="CTA----">
    <w:name w:val="CTA ----"/>
    <w:basedOn w:val="OPCParaBase"/>
    <w:next w:val="Normal"/>
    <w:rsid w:val="009F07F2"/>
    <w:pPr>
      <w:spacing w:before="60" w:line="240" w:lineRule="atLeast"/>
      <w:ind w:left="255" w:hanging="255"/>
    </w:pPr>
    <w:rPr>
      <w:sz w:val="20"/>
    </w:rPr>
  </w:style>
  <w:style w:type="paragraph" w:customStyle="1" w:styleId="CTA1a">
    <w:name w:val="CTA 1(a)"/>
    <w:basedOn w:val="OPCParaBase"/>
    <w:rsid w:val="009F07F2"/>
    <w:pPr>
      <w:tabs>
        <w:tab w:val="right" w:pos="414"/>
      </w:tabs>
      <w:spacing w:before="40" w:line="240" w:lineRule="atLeast"/>
      <w:ind w:left="675" w:hanging="675"/>
    </w:pPr>
    <w:rPr>
      <w:sz w:val="20"/>
    </w:rPr>
  </w:style>
  <w:style w:type="paragraph" w:customStyle="1" w:styleId="CTA1ai">
    <w:name w:val="CTA 1(a)(i)"/>
    <w:basedOn w:val="OPCParaBase"/>
    <w:rsid w:val="009F07F2"/>
    <w:pPr>
      <w:tabs>
        <w:tab w:val="right" w:pos="1004"/>
      </w:tabs>
      <w:spacing w:before="40" w:line="240" w:lineRule="atLeast"/>
      <w:ind w:left="1253" w:hanging="1253"/>
    </w:pPr>
    <w:rPr>
      <w:sz w:val="20"/>
    </w:rPr>
  </w:style>
  <w:style w:type="paragraph" w:customStyle="1" w:styleId="CTA2a">
    <w:name w:val="CTA 2(a)"/>
    <w:basedOn w:val="OPCParaBase"/>
    <w:rsid w:val="009F07F2"/>
    <w:pPr>
      <w:tabs>
        <w:tab w:val="right" w:pos="482"/>
      </w:tabs>
      <w:spacing w:before="40" w:line="240" w:lineRule="atLeast"/>
      <w:ind w:left="748" w:hanging="748"/>
    </w:pPr>
    <w:rPr>
      <w:sz w:val="20"/>
    </w:rPr>
  </w:style>
  <w:style w:type="paragraph" w:customStyle="1" w:styleId="CTA2ai">
    <w:name w:val="CTA 2(a)(i)"/>
    <w:basedOn w:val="OPCParaBase"/>
    <w:rsid w:val="009F07F2"/>
    <w:pPr>
      <w:tabs>
        <w:tab w:val="right" w:pos="1089"/>
      </w:tabs>
      <w:spacing w:before="40" w:line="240" w:lineRule="atLeast"/>
      <w:ind w:left="1327" w:hanging="1327"/>
    </w:pPr>
    <w:rPr>
      <w:sz w:val="20"/>
    </w:rPr>
  </w:style>
  <w:style w:type="paragraph" w:customStyle="1" w:styleId="CTA3a">
    <w:name w:val="CTA 3(a)"/>
    <w:basedOn w:val="OPCParaBase"/>
    <w:rsid w:val="009F07F2"/>
    <w:pPr>
      <w:tabs>
        <w:tab w:val="right" w:pos="556"/>
      </w:tabs>
      <w:spacing w:before="40" w:line="240" w:lineRule="atLeast"/>
      <w:ind w:left="805" w:hanging="805"/>
    </w:pPr>
    <w:rPr>
      <w:sz w:val="20"/>
    </w:rPr>
  </w:style>
  <w:style w:type="paragraph" w:customStyle="1" w:styleId="CTA3ai">
    <w:name w:val="CTA 3(a)(i)"/>
    <w:basedOn w:val="OPCParaBase"/>
    <w:rsid w:val="009F07F2"/>
    <w:pPr>
      <w:tabs>
        <w:tab w:val="right" w:pos="1140"/>
      </w:tabs>
      <w:spacing w:before="40" w:line="240" w:lineRule="atLeast"/>
      <w:ind w:left="1361" w:hanging="1361"/>
    </w:pPr>
    <w:rPr>
      <w:sz w:val="20"/>
    </w:rPr>
  </w:style>
  <w:style w:type="paragraph" w:customStyle="1" w:styleId="CTA4a">
    <w:name w:val="CTA 4(a)"/>
    <w:basedOn w:val="OPCParaBase"/>
    <w:rsid w:val="009F07F2"/>
    <w:pPr>
      <w:tabs>
        <w:tab w:val="right" w:pos="624"/>
      </w:tabs>
      <w:spacing w:before="40" w:line="240" w:lineRule="atLeast"/>
      <w:ind w:left="873" w:hanging="873"/>
    </w:pPr>
    <w:rPr>
      <w:sz w:val="20"/>
    </w:rPr>
  </w:style>
  <w:style w:type="paragraph" w:customStyle="1" w:styleId="CTA4ai">
    <w:name w:val="CTA 4(a)(i)"/>
    <w:basedOn w:val="OPCParaBase"/>
    <w:rsid w:val="009F07F2"/>
    <w:pPr>
      <w:tabs>
        <w:tab w:val="right" w:pos="1213"/>
      </w:tabs>
      <w:spacing w:before="40" w:line="240" w:lineRule="atLeast"/>
      <w:ind w:left="1452" w:hanging="1452"/>
    </w:pPr>
    <w:rPr>
      <w:sz w:val="20"/>
    </w:rPr>
  </w:style>
  <w:style w:type="paragraph" w:customStyle="1" w:styleId="CTACAPS">
    <w:name w:val="CTA CAPS"/>
    <w:basedOn w:val="OPCParaBase"/>
    <w:rsid w:val="009F07F2"/>
    <w:pPr>
      <w:spacing w:before="60" w:line="240" w:lineRule="atLeast"/>
    </w:pPr>
    <w:rPr>
      <w:sz w:val="20"/>
    </w:rPr>
  </w:style>
  <w:style w:type="paragraph" w:customStyle="1" w:styleId="CTAright">
    <w:name w:val="CTA right"/>
    <w:basedOn w:val="OPCParaBase"/>
    <w:rsid w:val="009F07F2"/>
    <w:pPr>
      <w:spacing w:before="60" w:line="240" w:lineRule="auto"/>
      <w:jc w:val="right"/>
    </w:pPr>
    <w:rPr>
      <w:sz w:val="20"/>
    </w:rPr>
  </w:style>
  <w:style w:type="paragraph" w:customStyle="1" w:styleId="subsection">
    <w:name w:val="subsection"/>
    <w:aliases w:val="ss,Subsection,t_Main"/>
    <w:basedOn w:val="OPCParaBase"/>
    <w:link w:val="subsectionChar"/>
    <w:rsid w:val="009F07F2"/>
    <w:pPr>
      <w:tabs>
        <w:tab w:val="right" w:pos="1021"/>
      </w:tabs>
      <w:spacing w:before="180" w:line="240" w:lineRule="auto"/>
      <w:ind w:left="1134" w:hanging="1134"/>
    </w:pPr>
  </w:style>
  <w:style w:type="paragraph" w:customStyle="1" w:styleId="Definition">
    <w:name w:val="Definition"/>
    <w:aliases w:val="dd"/>
    <w:basedOn w:val="OPCParaBase"/>
    <w:rsid w:val="009F07F2"/>
    <w:pPr>
      <w:spacing w:before="180" w:line="240" w:lineRule="auto"/>
      <w:ind w:left="1134"/>
    </w:pPr>
  </w:style>
  <w:style w:type="paragraph" w:customStyle="1" w:styleId="EndNotespara">
    <w:name w:val="EndNotes(para)"/>
    <w:aliases w:val="eta"/>
    <w:basedOn w:val="OPCParaBase"/>
    <w:next w:val="EndNotessubpara"/>
    <w:rsid w:val="009F07F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F07F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F07F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F07F2"/>
    <w:pPr>
      <w:tabs>
        <w:tab w:val="right" w:pos="1412"/>
      </w:tabs>
      <w:spacing w:before="60" w:line="240" w:lineRule="auto"/>
      <w:ind w:left="1525" w:hanging="1525"/>
    </w:pPr>
    <w:rPr>
      <w:sz w:val="20"/>
    </w:rPr>
  </w:style>
  <w:style w:type="paragraph" w:customStyle="1" w:styleId="Formula">
    <w:name w:val="Formula"/>
    <w:basedOn w:val="OPCParaBase"/>
    <w:rsid w:val="009F07F2"/>
    <w:pPr>
      <w:spacing w:line="240" w:lineRule="auto"/>
      <w:ind w:left="1134"/>
    </w:pPr>
    <w:rPr>
      <w:sz w:val="20"/>
    </w:rPr>
  </w:style>
  <w:style w:type="paragraph" w:customStyle="1" w:styleId="House">
    <w:name w:val="House"/>
    <w:basedOn w:val="OPCParaBase"/>
    <w:rsid w:val="009F07F2"/>
    <w:pPr>
      <w:spacing w:line="240" w:lineRule="auto"/>
    </w:pPr>
    <w:rPr>
      <w:sz w:val="28"/>
    </w:rPr>
  </w:style>
  <w:style w:type="paragraph" w:customStyle="1" w:styleId="Item">
    <w:name w:val="Item"/>
    <w:aliases w:val="i"/>
    <w:basedOn w:val="OPCParaBase"/>
    <w:next w:val="ItemHead"/>
    <w:rsid w:val="009F07F2"/>
    <w:pPr>
      <w:keepLines/>
      <w:spacing w:before="80" w:line="240" w:lineRule="auto"/>
      <w:ind w:left="709"/>
    </w:pPr>
  </w:style>
  <w:style w:type="paragraph" w:customStyle="1" w:styleId="ItemHead">
    <w:name w:val="ItemHead"/>
    <w:aliases w:val="ih"/>
    <w:basedOn w:val="OPCParaBase"/>
    <w:next w:val="Item"/>
    <w:rsid w:val="009F07F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F07F2"/>
    <w:pPr>
      <w:spacing w:line="240" w:lineRule="auto"/>
    </w:pPr>
    <w:rPr>
      <w:b/>
      <w:sz w:val="32"/>
    </w:rPr>
  </w:style>
  <w:style w:type="paragraph" w:customStyle="1" w:styleId="notedraft">
    <w:name w:val="note(draft)"/>
    <w:aliases w:val="nd"/>
    <w:basedOn w:val="OPCParaBase"/>
    <w:rsid w:val="009F07F2"/>
    <w:pPr>
      <w:spacing w:before="240" w:line="240" w:lineRule="auto"/>
      <w:ind w:left="284" w:hanging="284"/>
    </w:pPr>
    <w:rPr>
      <w:i/>
      <w:sz w:val="24"/>
    </w:rPr>
  </w:style>
  <w:style w:type="paragraph" w:customStyle="1" w:styleId="notemargin">
    <w:name w:val="note(margin)"/>
    <w:aliases w:val="nm,n_to_Heading"/>
    <w:basedOn w:val="OPCParaBase"/>
    <w:rsid w:val="009F07F2"/>
    <w:pPr>
      <w:tabs>
        <w:tab w:val="left" w:pos="709"/>
      </w:tabs>
      <w:spacing w:before="122" w:line="198" w:lineRule="exact"/>
      <w:ind w:left="709" w:hanging="709"/>
    </w:pPr>
    <w:rPr>
      <w:sz w:val="18"/>
    </w:rPr>
  </w:style>
  <w:style w:type="paragraph" w:customStyle="1" w:styleId="noteToPara">
    <w:name w:val="noteToPara"/>
    <w:aliases w:val="ntp"/>
    <w:basedOn w:val="OPCParaBase"/>
    <w:rsid w:val="009F07F2"/>
    <w:pPr>
      <w:spacing w:before="122" w:line="198" w:lineRule="exact"/>
      <w:ind w:left="2353" w:hanging="709"/>
    </w:pPr>
    <w:rPr>
      <w:sz w:val="18"/>
    </w:rPr>
  </w:style>
  <w:style w:type="paragraph" w:customStyle="1" w:styleId="noteParlAmend">
    <w:name w:val="note(ParlAmend)"/>
    <w:aliases w:val="npp"/>
    <w:basedOn w:val="OPCParaBase"/>
    <w:next w:val="ParlAmend"/>
    <w:rsid w:val="009F07F2"/>
    <w:pPr>
      <w:spacing w:line="240" w:lineRule="auto"/>
      <w:jc w:val="right"/>
    </w:pPr>
    <w:rPr>
      <w:rFonts w:ascii="Arial" w:hAnsi="Arial"/>
      <w:b/>
      <w:i/>
    </w:rPr>
  </w:style>
  <w:style w:type="paragraph" w:customStyle="1" w:styleId="Page1">
    <w:name w:val="Page1"/>
    <w:basedOn w:val="OPCParaBase"/>
    <w:rsid w:val="009F07F2"/>
    <w:pPr>
      <w:spacing w:before="5600" w:line="240" w:lineRule="auto"/>
    </w:pPr>
    <w:rPr>
      <w:b/>
      <w:sz w:val="32"/>
    </w:rPr>
  </w:style>
  <w:style w:type="paragraph" w:customStyle="1" w:styleId="PageBreak">
    <w:name w:val="PageBreak"/>
    <w:aliases w:val="pb"/>
    <w:basedOn w:val="OPCParaBase"/>
    <w:rsid w:val="009F07F2"/>
    <w:pPr>
      <w:spacing w:line="240" w:lineRule="auto"/>
    </w:pPr>
    <w:rPr>
      <w:sz w:val="20"/>
    </w:rPr>
  </w:style>
  <w:style w:type="paragraph" w:customStyle="1" w:styleId="paragraphsub">
    <w:name w:val="paragraph(sub)"/>
    <w:aliases w:val="aa"/>
    <w:basedOn w:val="OPCParaBase"/>
    <w:rsid w:val="009F07F2"/>
    <w:pPr>
      <w:tabs>
        <w:tab w:val="right" w:pos="1985"/>
      </w:tabs>
      <w:spacing w:before="40" w:line="240" w:lineRule="auto"/>
      <w:ind w:left="2098" w:hanging="2098"/>
    </w:pPr>
  </w:style>
  <w:style w:type="paragraph" w:customStyle="1" w:styleId="paragraphsub-sub">
    <w:name w:val="paragraph(sub-sub)"/>
    <w:aliases w:val="aaa"/>
    <w:basedOn w:val="OPCParaBase"/>
    <w:rsid w:val="009F07F2"/>
    <w:pPr>
      <w:tabs>
        <w:tab w:val="right" w:pos="2722"/>
      </w:tabs>
      <w:spacing w:before="40" w:line="240" w:lineRule="auto"/>
      <w:ind w:left="2835" w:hanging="2835"/>
    </w:pPr>
  </w:style>
  <w:style w:type="paragraph" w:customStyle="1" w:styleId="paragraph">
    <w:name w:val="paragraph"/>
    <w:aliases w:val="a"/>
    <w:basedOn w:val="OPCParaBase"/>
    <w:link w:val="paragraphChar"/>
    <w:rsid w:val="009F07F2"/>
    <w:pPr>
      <w:tabs>
        <w:tab w:val="right" w:pos="1531"/>
      </w:tabs>
      <w:spacing w:before="40" w:line="240" w:lineRule="auto"/>
      <w:ind w:left="1644" w:hanging="1644"/>
    </w:pPr>
  </w:style>
  <w:style w:type="paragraph" w:customStyle="1" w:styleId="ParlAmend">
    <w:name w:val="ParlAmend"/>
    <w:aliases w:val="pp"/>
    <w:basedOn w:val="OPCParaBase"/>
    <w:rsid w:val="009F07F2"/>
    <w:pPr>
      <w:spacing w:before="240" w:line="240" w:lineRule="atLeast"/>
      <w:ind w:hanging="567"/>
    </w:pPr>
    <w:rPr>
      <w:sz w:val="24"/>
    </w:rPr>
  </w:style>
  <w:style w:type="paragraph" w:customStyle="1" w:styleId="Penalty">
    <w:name w:val="Penalty"/>
    <w:basedOn w:val="OPCParaBase"/>
    <w:rsid w:val="009F07F2"/>
    <w:pPr>
      <w:tabs>
        <w:tab w:val="left" w:pos="2977"/>
      </w:tabs>
      <w:spacing w:before="180" w:line="240" w:lineRule="auto"/>
      <w:ind w:left="1985" w:hanging="851"/>
    </w:pPr>
  </w:style>
  <w:style w:type="paragraph" w:customStyle="1" w:styleId="Portfolio">
    <w:name w:val="Portfolio"/>
    <w:basedOn w:val="OPCParaBase"/>
    <w:rsid w:val="009F07F2"/>
    <w:pPr>
      <w:spacing w:line="240" w:lineRule="auto"/>
    </w:pPr>
    <w:rPr>
      <w:i/>
      <w:sz w:val="20"/>
    </w:rPr>
  </w:style>
  <w:style w:type="paragraph" w:customStyle="1" w:styleId="Preamble">
    <w:name w:val="Preamble"/>
    <w:basedOn w:val="OPCParaBase"/>
    <w:next w:val="Normal"/>
    <w:rsid w:val="009F07F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F07F2"/>
    <w:pPr>
      <w:spacing w:line="240" w:lineRule="auto"/>
    </w:pPr>
    <w:rPr>
      <w:i/>
      <w:sz w:val="20"/>
    </w:rPr>
  </w:style>
  <w:style w:type="paragraph" w:customStyle="1" w:styleId="Session">
    <w:name w:val="Session"/>
    <w:basedOn w:val="OPCParaBase"/>
    <w:rsid w:val="009F07F2"/>
    <w:pPr>
      <w:spacing w:line="240" w:lineRule="auto"/>
    </w:pPr>
    <w:rPr>
      <w:sz w:val="28"/>
    </w:rPr>
  </w:style>
  <w:style w:type="paragraph" w:customStyle="1" w:styleId="Sponsor">
    <w:name w:val="Sponsor"/>
    <w:basedOn w:val="OPCParaBase"/>
    <w:rsid w:val="009F07F2"/>
    <w:pPr>
      <w:spacing w:line="240" w:lineRule="auto"/>
    </w:pPr>
    <w:rPr>
      <w:i/>
    </w:rPr>
  </w:style>
  <w:style w:type="paragraph" w:customStyle="1" w:styleId="Subitem">
    <w:name w:val="Subitem"/>
    <w:aliases w:val="iss"/>
    <w:basedOn w:val="OPCParaBase"/>
    <w:rsid w:val="009F07F2"/>
    <w:pPr>
      <w:spacing w:before="180" w:line="240" w:lineRule="auto"/>
      <w:ind w:left="709" w:hanging="709"/>
    </w:pPr>
  </w:style>
  <w:style w:type="paragraph" w:customStyle="1" w:styleId="SubitemHead">
    <w:name w:val="SubitemHead"/>
    <w:aliases w:val="issh"/>
    <w:basedOn w:val="OPCParaBase"/>
    <w:rsid w:val="009F07F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F07F2"/>
    <w:pPr>
      <w:spacing w:before="40" w:line="240" w:lineRule="auto"/>
      <w:ind w:left="1134"/>
    </w:pPr>
  </w:style>
  <w:style w:type="paragraph" w:customStyle="1" w:styleId="SubsectionHead">
    <w:name w:val="SubsectionHead"/>
    <w:aliases w:val="ssh"/>
    <w:basedOn w:val="OPCParaBase"/>
    <w:next w:val="subsection"/>
    <w:rsid w:val="009F07F2"/>
    <w:pPr>
      <w:keepNext/>
      <w:keepLines/>
      <w:spacing w:before="240" w:line="240" w:lineRule="auto"/>
      <w:ind w:left="1134"/>
    </w:pPr>
    <w:rPr>
      <w:i/>
    </w:rPr>
  </w:style>
  <w:style w:type="paragraph" w:customStyle="1" w:styleId="Tablea">
    <w:name w:val="Table(a)"/>
    <w:aliases w:val="ta"/>
    <w:basedOn w:val="OPCParaBase"/>
    <w:rsid w:val="009F07F2"/>
    <w:pPr>
      <w:spacing w:before="60" w:line="240" w:lineRule="auto"/>
      <w:ind w:left="284" w:hanging="284"/>
    </w:pPr>
    <w:rPr>
      <w:sz w:val="20"/>
    </w:rPr>
  </w:style>
  <w:style w:type="paragraph" w:customStyle="1" w:styleId="TableAA">
    <w:name w:val="Table(AA)"/>
    <w:aliases w:val="taaa"/>
    <w:basedOn w:val="OPCParaBase"/>
    <w:rsid w:val="009F07F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F07F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F07F2"/>
    <w:pPr>
      <w:spacing w:before="60" w:line="240" w:lineRule="atLeast"/>
    </w:pPr>
    <w:rPr>
      <w:sz w:val="20"/>
    </w:rPr>
  </w:style>
  <w:style w:type="paragraph" w:customStyle="1" w:styleId="TLPBoxTextnote">
    <w:name w:val="TLPBoxText(note"/>
    <w:aliases w:val="right)"/>
    <w:basedOn w:val="OPCParaBase"/>
    <w:rsid w:val="009F07F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F07F2"/>
    <w:pPr>
      <w:numPr>
        <w:numId w:val="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F07F2"/>
    <w:pPr>
      <w:spacing w:before="122" w:line="198" w:lineRule="exact"/>
      <w:ind w:left="1985" w:hanging="851"/>
      <w:jc w:val="right"/>
    </w:pPr>
    <w:rPr>
      <w:sz w:val="18"/>
    </w:rPr>
  </w:style>
  <w:style w:type="paragraph" w:customStyle="1" w:styleId="TLPTableBullet">
    <w:name w:val="TLPTableBullet"/>
    <w:aliases w:val="ttb"/>
    <w:basedOn w:val="OPCParaBase"/>
    <w:rsid w:val="009F07F2"/>
    <w:pPr>
      <w:spacing w:line="240" w:lineRule="exact"/>
      <w:ind w:left="284" w:hanging="284"/>
    </w:pPr>
    <w:rPr>
      <w:sz w:val="20"/>
    </w:rPr>
  </w:style>
  <w:style w:type="paragraph" w:styleId="TOC3">
    <w:name w:val="toc 3"/>
    <w:basedOn w:val="OPCParaBase"/>
    <w:next w:val="Normal"/>
    <w:uiPriority w:val="39"/>
    <w:unhideWhenUsed/>
    <w:rsid w:val="009F07F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F07F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9F07F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F07F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F07F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F07F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F07F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F07F2"/>
    <w:pPr>
      <w:keepLines/>
      <w:spacing w:before="240" w:after="120" w:line="240" w:lineRule="auto"/>
      <w:ind w:left="794"/>
    </w:pPr>
    <w:rPr>
      <w:b/>
      <w:kern w:val="28"/>
      <w:sz w:val="20"/>
    </w:rPr>
  </w:style>
  <w:style w:type="paragraph" w:customStyle="1" w:styleId="TofSectsHeading">
    <w:name w:val="TofSects(Heading)"/>
    <w:basedOn w:val="OPCParaBase"/>
    <w:rsid w:val="009F07F2"/>
    <w:pPr>
      <w:spacing w:before="240" w:after="120" w:line="240" w:lineRule="auto"/>
    </w:pPr>
    <w:rPr>
      <w:b/>
      <w:sz w:val="24"/>
    </w:rPr>
  </w:style>
  <w:style w:type="paragraph" w:customStyle="1" w:styleId="TofSectsSection">
    <w:name w:val="TofSects(Section)"/>
    <w:basedOn w:val="OPCParaBase"/>
    <w:rsid w:val="009F07F2"/>
    <w:pPr>
      <w:keepLines/>
      <w:spacing w:before="40" w:line="240" w:lineRule="auto"/>
      <w:ind w:left="1588" w:hanging="794"/>
    </w:pPr>
    <w:rPr>
      <w:kern w:val="28"/>
      <w:sz w:val="18"/>
    </w:rPr>
  </w:style>
  <w:style w:type="paragraph" w:customStyle="1" w:styleId="TofSectsSubdiv">
    <w:name w:val="TofSects(Subdiv)"/>
    <w:basedOn w:val="OPCParaBase"/>
    <w:rsid w:val="009F07F2"/>
    <w:pPr>
      <w:keepLines/>
      <w:spacing w:before="80" w:line="240" w:lineRule="auto"/>
      <w:ind w:left="1588" w:hanging="794"/>
    </w:pPr>
    <w:rPr>
      <w:kern w:val="28"/>
    </w:rPr>
  </w:style>
  <w:style w:type="paragraph" w:customStyle="1" w:styleId="WRStyle">
    <w:name w:val="WR Style"/>
    <w:aliases w:val="WR"/>
    <w:basedOn w:val="OPCParaBase"/>
    <w:rsid w:val="009F07F2"/>
    <w:pPr>
      <w:spacing w:before="240" w:line="240" w:lineRule="auto"/>
      <w:ind w:left="284" w:hanging="284"/>
    </w:pPr>
    <w:rPr>
      <w:b/>
      <w:i/>
      <w:kern w:val="28"/>
      <w:sz w:val="24"/>
    </w:rPr>
  </w:style>
  <w:style w:type="paragraph" w:customStyle="1" w:styleId="notepara">
    <w:name w:val="note(para)"/>
    <w:aliases w:val="na"/>
    <w:basedOn w:val="OPCParaBase"/>
    <w:rsid w:val="009F07F2"/>
    <w:pPr>
      <w:spacing w:before="40" w:line="198" w:lineRule="exact"/>
      <w:ind w:left="2354" w:hanging="369"/>
    </w:pPr>
    <w:rPr>
      <w:sz w:val="18"/>
    </w:rPr>
  </w:style>
  <w:style w:type="character" w:styleId="LineNumber">
    <w:name w:val="line number"/>
    <w:basedOn w:val="OPCCharBase"/>
    <w:uiPriority w:val="99"/>
    <w:semiHidden/>
    <w:unhideWhenUsed/>
    <w:rsid w:val="009F07F2"/>
    <w:rPr>
      <w:sz w:val="16"/>
    </w:rPr>
  </w:style>
  <w:style w:type="table" w:customStyle="1" w:styleId="CFlag">
    <w:name w:val="CFlag"/>
    <w:basedOn w:val="TableNormal"/>
    <w:uiPriority w:val="99"/>
    <w:rsid w:val="009F07F2"/>
    <w:pPr>
      <w:spacing w:after="0" w:line="240" w:lineRule="auto"/>
    </w:pPr>
    <w:rPr>
      <w:rFonts w:ascii="Times New Roman" w:eastAsia="Times New Roman" w:hAnsi="Times New Roman" w:cs="Times New Roman"/>
      <w:sz w:val="20"/>
      <w:szCs w:val="20"/>
      <w:lang w:eastAsia="en-AU"/>
    </w:rPr>
    <w:tblPr/>
  </w:style>
  <w:style w:type="table" w:styleId="TableGrid">
    <w:name w:val="Table Grid"/>
    <w:basedOn w:val="TableNormal"/>
    <w:uiPriority w:val="59"/>
    <w:rsid w:val="009F07F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F07F2"/>
    <w:rPr>
      <w:b/>
      <w:sz w:val="28"/>
      <w:szCs w:val="32"/>
    </w:rPr>
  </w:style>
  <w:style w:type="paragraph" w:customStyle="1" w:styleId="LegislationMadeUnder">
    <w:name w:val="LegislationMadeUnder"/>
    <w:basedOn w:val="OPCParaBase"/>
    <w:next w:val="Normal"/>
    <w:rsid w:val="009F07F2"/>
    <w:rPr>
      <w:i/>
      <w:sz w:val="32"/>
      <w:szCs w:val="32"/>
    </w:rPr>
  </w:style>
  <w:style w:type="paragraph" w:customStyle="1" w:styleId="ActHead10">
    <w:name w:val="ActHead 10"/>
    <w:aliases w:val="sp"/>
    <w:basedOn w:val="OPCParaBase"/>
    <w:next w:val="ActHead3"/>
    <w:rsid w:val="009F07F2"/>
    <w:pPr>
      <w:keepNext/>
      <w:spacing w:before="280" w:line="240" w:lineRule="auto"/>
      <w:outlineLvl w:val="1"/>
    </w:pPr>
    <w:rPr>
      <w:b/>
      <w:sz w:val="32"/>
      <w:szCs w:val="30"/>
    </w:rPr>
  </w:style>
  <w:style w:type="paragraph" w:customStyle="1" w:styleId="SignCoverPageEnd">
    <w:name w:val="SignCoverPageEnd"/>
    <w:basedOn w:val="OPCParaBase"/>
    <w:next w:val="Normal"/>
    <w:rsid w:val="009F07F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F07F2"/>
    <w:pPr>
      <w:pBdr>
        <w:top w:val="single" w:sz="4" w:space="1" w:color="auto"/>
      </w:pBdr>
      <w:spacing w:before="360"/>
      <w:ind w:right="397"/>
      <w:jc w:val="both"/>
    </w:pPr>
  </w:style>
  <w:style w:type="paragraph" w:customStyle="1" w:styleId="NotesHeading1">
    <w:name w:val="NotesHeading 1"/>
    <w:basedOn w:val="OPCParaBase"/>
    <w:next w:val="Normal"/>
    <w:rsid w:val="009F07F2"/>
    <w:pPr>
      <w:outlineLvl w:val="0"/>
    </w:pPr>
    <w:rPr>
      <w:b/>
      <w:sz w:val="28"/>
      <w:szCs w:val="28"/>
    </w:rPr>
  </w:style>
  <w:style w:type="paragraph" w:customStyle="1" w:styleId="NotesHeading2">
    <w:name w:val="NotesHeading 2"/>
    <w:basedOn w:val="OPCParaBase"/>
    <w:next w:val="Normal"/>
    <w:rsid w:val="009F07F2"/>
    <w:rPr>
      <w:b/>
      <w:sz w:val="28"/>
      <w:szCs w:val="28"/>
    </w:rPr>
  </w:style>
  <w:style w:type="paragraph" w:customStyle="1" w:styleId="ENotesText">
    <w:name w:val="ENotesText"/>
    <w:aliases w:val="Ent"/>
    <w:basedOn w:val="OPCParaBase"/>
    <w:next w:val="Normal"/>
    <w:rsid w:val="009F07F2"/>
    <w:pPr>
      <w:spacing w:before="120"/>
    </w:pPr>
  </w:style>
  <w:style w:type="paragraph" w:customStyle="1" w:styleId="CompiledMadeUnder">
    <w:name w:val="CompiledMadeUnder"/>
    <w:basedOn w:val="OPCParaBase"/>
    <w:next w:val="Normal"/>
    <w:rsid w:val="009F07F2"/>
    <w:rPr>
      <w:i/>
      <w:sz w:val="24"/>
      <w:szCs w:val="24"/>
    </w:rPr>
  </w:style>
  <w:style w:type="paragraph" w:customStyle="1" w:styleId="Paragraphsub-sub-sub">
    <w:name w:val="Paragraph(sub-sub-sub)"/>
    <w:aliases w:val="aaaa"/>
    <w:basedOn w:val="OPCParaBase"/>
    <w:rsid w:val="009F07F2"/>
    <w:pPr>
      <w:tabs>
        <w:tab w:val="right" w:pos="3402"/>
      </w:tabs>
      <w:spacing w:before="40" w:line="240" w:lineRule="auto"/>
      <w:ind w:left="3402" w:hanging="3402"/>
    </w:pPr>
  </w:style>
  <w:style w:type="paragraph" w:customStyle="1" w:styleId="TableTextEndNotes">
    <w:name w:val="TableTextEndNotes"/>
    <w:aliases w:val="Tten"/>
    <w:basedOn w:val="Normal"/>
    <w:rsid w:val="009F07F2"/>
    <w:pPr>
      <w:spacing w:before="60" w:line="240" w:lineRule="auto"/>
    </w:pPr>
    <w:rPr>
      <w:rFonts w:cs="Arial"/>
      <w:sz w:val="20"/>
      <w:szCs w:val="22"/>
    </w:rPr>
  </w:style>
  <w:style w:type="paragraph" w:customStyle="1" w:styleId="NoteToSubpara">
    <w:name w:val="NoteToSubpara"/>
    <w:aliases w:val="nts"/>
    <w:basedOn w:val="OPCParaBase"/>
    <w:rsid w:val="009F07F2"/>
    <w:pPr>
      <w:spacing w:before="40" w:line="198" w:lineRule="exact"/>
      <w:ind w:left="2835" w:hanging="709"/>
    </w:pPr>
    <w:rPr>
      <w:sz w:val="18"/>
    </w:rPr>
  </w:style>
  <w:style w:type="paragraph" w:customStyle="1" w:styleId="ENoteTableHeading">
    <w:name w:val="ENoteTableHeading"/>
    <w:aliases w:val="enth"/>
    <w:basedOn w:val="OPCParaBase"/>
    <w:rsid w:val="009F07F2"/>
    <w:pPr>
      <w:keepNext/>
      <w:spacing w:before="60" w:line="240" w:lineRule="atLeast"/>
    </w:pPr>
    <w:rPr>
      <w:rFonts w:ascii="Arial" w:hAnsi="Arial"/>
      <w:b/>
      <w:sz w:val="16"/>
    </w:rPr>
  </w:style>
  <w:style w:type="paragraph" w:customStyle="1" w:styleId="ENoteTableText">
    <w:name w:val="ENoteTableText"/>
    <w:aliases w:val="entt"/>
    <w:basedOn w:val="OPCParaBase"/>
    <w:rsid w:val="009F07F2"/>
    <w:pPr>
      <w:spacing w:before="60" w:line="240" w:lineRule="atLeast"/>
    </w:pPr>
    <w:rPr>
      <w:sz w:val="16"/>
    </w:rPr>
  </w:style>
  <w:style w:type="paragraph" w:customStyle="1" w:styleId="ENoteTTi">
    <w:name w:val="ENoteTTi"/>
    <w:aliases w:val="entti"/>
    <w:basedOn w:val="OPCParaBase"/>
    <w:rsid w:val="009F07F2"/>
    <w:pPr>
      <w:keepNext/>
      <w:spacing w:before="60" w:line="240" w:lineRule="atLeast"/>
      <w:ind w:left="170"/>
    </w:pPr>
    <w:rPr>
      <w:sz w:val="16"/>
    </w:rPr>
  </w:style>
  <w:style w:type="paragraph" w:customStyle="1" w:styleId="ENoteTTIndentHeading">
    <w:name w:val="ENoteTTIndentHeading"/>
    <w:aliases w:val="enTTHi"/>
    <w:basedOn w:val="OPCParaBase"/>
    <w:rsid w:val="009F07F2"/>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9F07F2"/>
    <w:pPr>
      <w:spacing w:before="120"/>
      <w:outlineLvl w:val="1"/>
    </w:pPr>
    <w:rPr>
      <w:b/>
      <w:sz w:val="28"/>
      <w:szCs w:val="28"/>
    </w:rPr>
  </w:style>
  <w:style w:type="paragraph" w:customStyle="1" w:styleId="ENotesHeading2">
    <w:name w:val="ENotesHeading 2"/>
    <w:aliases w:val="Enh2,ENh2"/>
    <w:basedOn w:val="OPCParaBase"/>
    <w:next w:val="Normal"/>
    <w:rsid w:val="009F07F2"/>
    <w:pPr>
      <w:spacing w:before="120" w:after="120"/>
      <w:outlineLvl w:val="2"/>
    </w:pPr>
    <w:rPr>
      <w:b/>
      <w:sz w:val="24"/>
      <w:szCs w:val="28"/>
    </w:rPr>
  </w:style>
  <w:style w:type="paragraph" w:customStyle="1" w:styleId="MadeunderText">
    <w:name w:val="MadeunderText"/>
    <w:basedOn w:val="OPCParaBase"/>
    <w:next w:val="CompiledMadeUnder"/>
    <w:rsid w:val="009F07F2"/>
    <w:pPr>
      <w:spacing w:before="240"/>
    </w:pPr>
    <w:rPr>
      <w:sz w:val="24"/>
      <w:szCs w:val="24"/>
    </w:rPr>
  </w:style>
  <w:style w:type="paragraph" w:customStyle="1" w:styleId="ENotesHeading3">
    <w:name w:val="ENotesHeading 3"/>
    <w:aliases w:val="Enh3"/>
    <w:basedOn w:val="OPCParaBase"/>
    <w:next w:val="Normal"/>
    <w:rsid w:val="009F07F2"/>
    <w:pPr>
      <w:keepNext/>
      <w:spacing w:before="120" w:line="240" w:lineRule="auto"/>
      <w:outlineLvl w:val="4"/>
    </w:pPr>
    <w:rPr>
      <w:b/>
      <w:szCs w:val="24"/>
    </w:rPr>
  </w:style>
  <w:style w:type="paragraph" w:customStyle="1" w:styleId="SubPartCASA">
    <w:name w:val="SubPart(CASA)"/>
    <w:aliases w:val="csp"/>
    <w:basedOn w:val="OPCParaBase"/>
    <w:next w:val="ActHead3"/>
    <w:rsid w:val="009F07F2"/>
    <w:pPr>
      <w:keepNext/>
      <w:keepLines/>
      <w:spacing w:before="280"/>
      <w:outlineLvl w:val="1"/>
    </w:pPr>
    <w:rPr>
      <w:b/>
      <w:kern w:val="28"/>
      <w:sz w:val="32"/>
    </w:rPr>
  </w:style>
  <w:style w:type="character" w:customStyle="1" w:styleId="CharSubPartTextCASA">
    <w:name w:val="CharSubPartText(CASA)"/>
    <w:basedOn w:val="OPCCharBase"/>
    <w:uiPriority w:val="1"/>
    <w:rsid w:val="009F07F2"/>
  </w:style>
  <w:style w:type="character" w:customStyle="1" w:styleId="CharSubPartNoCASA">
    <w:name w:val="CharSubPartNo(CASA)"/>
    <w:basedOn w:val="OPCCharBase"/>
    <w:uiPriority w:val="1"/>
    <w:rsid w:val="009F07F2"/>
  </w:style>
  <w:style w:type="paragraph" w:customStyle="1" w:styleId="ENoteTTIndentHeadingSub">
    <w:name w:val="ENoteTTIndentHeadingSub"/>
    <w:aliases w:val="enTTHis"/>
    <w:basedOn w:val="OPCParaBase"/>
    <w:rsid w:val="009F07F2"/>
    <w:pPr>
      <w:keepNext/>
      <w:spacing w:before="60" w:line="240" w:lineRule="atLeast"/>
      <w:ind w:left="340"/>
    </w:pPr>
    <w:rPr>
      <w:b/>
      <w:sz w:val="16"/>
    </w:rPr>
  </w:style>
  <w:style w:type="paragraph" w:customStyle="1" w:styleId="ENoteTTiSub">
    <w:name w:val="ENoteTTiSub"/>
    <w:aliases w:val="enttis"/>
    <w:basedOn w:val="OPCParaBase"/>
    <w:rsid w:val="009F07F2"/>
    <w:pPr>
      <w:keepNext/>
      <w:spacing w:before="60" w:line="240" w:lineRule="atLeast"/>
      <w:ind w:left="340"/>
    </w:pPr>
    <w:rPr>
      <w:sz w:val="16"/>
    </w:rPr>
  </w:style>
  <w:style w:type="paragraph" w:customStyle="1" w:styleId="SubDivisionMigration">
    <w:name w:val="SubDivisionMigration"/>
    <w:aliases w:val="sdm"/>
    <w:basedOn w:val="OPCParaBase"/>
    <w:rsid w:val="009F07F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F07F2"/>
    <w:pPr>
      <w:keepNext/>
      <w:keepLines/>
      <w:spacing w:before="240" w:line="240" w:lineRule="auto"/>
      <w:ind w:left="1134" w:hanging="1134"/>
    </w:pPr>
    <w:rPr>
      <w:b/>
      <w:sz w:val="28"/>
    </w:rPr>
  </w:style>
  <w:style w:type="paragraph" w:customStyle="1" w:styleId="notetext">
    <w:name w:val="note(text)"/>
    <w:aliases w:val="n,n_Main"/>
    <w:basedOn w:val="OPCParaBase"/>
    <w:link w:val="notetextChar"/>
    <w:rsid w:val="009F07F2"/>
    <w:pPr>
      <w:spacing w:before="122" w:line="240" w:lineRule="auto"/>
      <w:ind w:left="1985" w:hanging="851"/>
    </w:pPr>
    <w:rPr>
      <w:sz w:val="18"/>
    </w:rPr>
  </w:style>
  <w:style w:type="paragraph" w:customStyle="1" w:styleId="FreeForm">
    <w:name w:val="FreeForm"/>
    <w:rsid w:val="009F07F2"/>
    <w:pPr>
      <w:spacing w:after="0" w:line="240" w:lineRule="auto"/>
    </w:pPr>
    <w:rPr>
      <w:rFonts w:ascii="Arial" w:hAnsi="Arial"/>
      <w:szCs w:val="20"/>
    </w:rPr>
  </w:style>
  <w:style w:type="paragraph" w:customStyle="1" w:styleId="SOText">
    <w:name w:val="SO Text"/>
    <w:aliases w:val="sot"/>
    <w:link w:val="SOTextChar"/>
    <w:rsid w:val="009F07F2"/>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9F07F2"/>
    <w:rPr>
      <w:rFonts w:ascii="Times New Roman" w:hAnsi="Times New Roman"/>
      <w:szCs w:val="20"/>
    </w:rPr>
  </w:style>
  <w:style w:type="paragraph" w:customStyle="1" w:styleId="SOTextNote">
    <w:name w:val="SO TextNote"/>
    <w:aliases w:val="sont"/>
    <w:basedOn w:val="SOText"/>
    <w:qFormat/>
    <w:rsid w:val="009F07F2"/>
    <w:pPr>
      <w:spacing w:before="122" w:line="198" w:lineRule="exact"/>
      <w:ind w:left="1843" w:hanging="709"/>
    </w:pPr>
    <w:rPr>
      <w:sz w:val="18"/>
    </w:rPr>
  </w:style>
  <w:style w:type="paragraph" w:customStyle="1" w:styleId="SOPara">
    <w:name w:val="SO Para"/>
    <w:aliases w:val="soa"/>
    <w:basedOn w:val="SOText"/>
    <w:link w:val="SOParaChar"/>
    <w:qFormat/>
    <w:rsid w:val="009F07F2"/>
    <w:pPr>
      <w:tabs>
        <w:tab w:val="right" w:pos="1786"/>
      </w:tabs>
      <w:spacing w:before="40"/>
      <w:ind w:left="2070" w:hanging="936"/>
    </w:pPr>
  </w:style>
  <w:style w:type="character" w:customStyle="1" w:styleId="SOParaChar">
    <w:name w:val="SO Para Char"/>
    <w:aliases w:val="soa Char"/>
    <w:basedOn w:val="DefaultParagraphFont"/>
    <w:link w:val="SOPara"/>
    <w:rsid w:val="009F07F2"/>
    <w:rPr>
      <w:rFonts w:ascii="Times New Roman" w:hAnsi="Times New Roman"/>
      <w:szCs w:val="20"/>
    </w:rPr>
  </w:style>
  <w:style w:type="paragraph" w:customStyle="1" w:styleId="FileName">
    <w:name w:val="FileName"/>
    <w:basedOn w:val="Normal"/>
    <w:rsid w:val="009F07F2"/>
  </w:style>
  <w:style w:type="paragraph" w:customStyle="1" w:styleId="TableHeading">
    <w:name w:val="TableHeading"/>
    <w:aliases w:val="th"/>
    <w:basedOn w:val="OPCParaBase"/>
    <w:next w:val="Tabletext"/>
    <w:rsid w:val="009F07F2"/>
    <w:pPr>
      <w:keepNext/>
      <w:spacing w:before="60" w:line="240" w:lineRule="atLeast"/>
    </w:pPr>
    <w:rPr>
      <w:b/>
      <w:sz w:val="20"/>
    </w:rPr>
  </w:style>
  <w:style w:type="paragraph" w:customStyle="1" w:styleId="SOHeadBold">
    <w:name w:val="SO HeadBold"/>
    <w:aliases w:val="sohb"/>
    <w:basedOn w:val="SOText"/>
    <w:next w:val="SOText"/>
    <w:link w:val="SOHeadBoldChar"/>
    <w:qFormat/>
    <w:rsid w:val="009F07F2"/>
    <w:rPr>
      <w:b/>
    </w:rPr>
  </w:style>
  <w:style w:type="character" w:customStyle="1" w:styleId="SOHeadBoldChar">
    <w:name w:val="SO HeadBold Char"/>
    <w:aliases w:val="sohb Char"/>
    <w:basedOn w:val="DefaultParagraphFont"/>
    <w:link w:val="SOHeadBold"/>
    <w:rsid w:val="009F07F2"/>
    <w:rPr>
      <w:rFonts w:ascii="Times New Roman" w:hAnsi="Times New Roman"/>
      <w:b/>
      <w:szCs w:val="20"/>
    </w:rPr>
  </w:style>
  <w:style w:type="paragraph" w:customStyle="1" w:styleId="SOHeadItalic">
    <w:name w:val="SO HeadItalic"/>
    <w:aliases w:val="sohi"/>
    <w:basedOn w:val="SOText"/>
    <w:next w:val="SOText"/>
    <w:link w:val="SOHeadItalicChar"/>
    <w:qFormat/>
    <w:rsid w:val="009F07F2"/>
    <w:rPr>
      <w:i/>
    </w:rPr>
  </w:style>
  <w:style w:type="character" w:customStyle="1" w:styleId="SOHeadItalicChar">
    <w:name w:val="SO HeadItalic Char"/>
    <w:aliases w:val="sohi Char"/>
    <w:basedOn w:val="DefaultParagraphFont"/>
    <w:link w:val="SOHeadItalic"/>
    <w:rsid w:val="009F07F2"/>
    <w:rPr>
      <w:rFonts w:ascii="Times New Roman" w:hAnsi="Times New Roman"/>
      <w:i/>
      <w:szCs w:val="20"/>
    </w:rPr>
  </w:style>
  <w:style w:type="paragraph" w:customStyle="1" w:styleId="SOBullet">
    <w:name w:val="SO Bullet"/>
    <w:aliases w:val="sotb"/>
    <w:basedOn w:val="SOText"/>
    <w:link w:val="SOBulletChar"/>
    <w:qFormat/>
    <w:rsid w:val="009F07F2"/>
    <w:pPr>
      <w:ind w:left="1559" w:hanging="425"/>
    </w:pPr>
  </w:style>
  <w:style w:type="character" w:customStyle="1" w:styleId="SOBulletChar">
    <w:name w:val="SO Bullet Char"/>
    <w:aliases w:val="sotb Char"/>
    <w:basedOn w:val="DefaultParagraphFont"/>
    <w:link w:val="SOBullet"/>
    <w:rsid w:val="009F07F2"/>
    <w:rPr>
      <w:rFonts w:ascii="Times New Roman" w:hAnsi="Times New Roman"/>
      <w:szCs w:val="20"/>
    </w:rPr>
  </w:style>
  <w:style w:type="paragraph" w:customStyle="1" w:styleId="SOBulletNote">
    <w:name w:val="SO BulletNote"/>
    <w:aliases w:val="sonb"/>
    <w:basedOn w:val="SOTextNote"/>
    <w:link w:val="SOBulletNoteChar"/>
    <w:qFormat/>
    <w:rsid w:val="009F07F2"/>
    <w:pPr>
      <w:tabs>
        <w:tab w:val="left" w:pos="1560"/>
      </w:tabs>
      <w:ind w:left="2268" w:hanging="1134"/>
    </w:pPr>
  </w:style>
  <w:style w:type="character" w:customStyle="1" w:styleId="SOBulletNoteChar">
    <w:name w:val="SO BulletNote Char"/>
    <w:aliases w:val="sonb Char"/>
    <w:basedOn w:val="DefaultParagraphFont"/>
    <w:link w:val="SOBulletNote"/>
    <w:rsid w:val="009F07F2"/>
    <w:rPr>
      <w:rFonts w:ascii="Times New Roman" w:hAnsi="Times New Roman"/>
      <w:sz w:val="18"/>
      <w:szCs w:val="20"/>
    </w:rPr>
  </w:style>
  <w:style w:type="paragraph" w:customStyle="1" w:styleId="EnStatement">
    <w:name w:val="EnStatement"/>
    <w:basedOn w:val="Normal"/>
    <w:rsid w:val="009F07F2"/>
    <w:pPr>
      <w:numPr>
        <w:numId w:val="7"/>
      </w:numPr>
    </w:pPr>
    <w:rPr>
      <w:rFonts w:eastAsia="Times New Roman" w:cs="Times New Roman"/>
      <w:lang w:eastAsia="en-AU"/>
    </w:rPr>
  </w:style>
  <w:style w:type="paragraph" w:customStyle="1" w:styleId="EnStatementHeading">
    <w:name w:val="EnStatementHeading"/>
    <w:basedOn w:val="Normal"/>
    <w:rsid w:val="009F07F2"/>
    <w:rPr>
      <w:rFonts w:eastAsia="Times New Roman" w:cs="Times New Roman"/>
      <w:b/>
      <w:lang w:eastAsia="en-AU"/>
    </w:rPr>
  </w:style>
  <w:style w:type="paragraph" w:customStyle="1" w:styleId="Transitional">
    <w:name w:val="Transitional"/>
    <w:aliases w:val="tr"/>
    <w:basedOn w:val="Normal"/>
    <w:next w:val="Normal"/>
    <w:rsid w:val="009F07F2"/>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notetextChar">
    <w:name w:val="note(text) Char"/>
    <w:aliases w:val="n Char,n_Main Char"/>
    <w:basedOn w:val="DefaultParagraphFont"/>
    <w:link w:val="notetext"/>
    <w:rsid w:val="00832C2B"/>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832C2B"/>
    <w:rPr>
      <w:rFonts w:ascii="Times New Roman" w:eastAsia="Times New Roman" w:hAnsi="Times New Roman" w:cs="Times New Roman"/>
      <w:szCs w:val="20"/>
      <w:lang w:eastAsia="en-AU"/>
    </w:rPr>
  </w:style>
  <w:style w:type="character" w:customStyle="1" w:styleId="subsectionChar">
    <w:name w:val="subsection Char"/>
    <w:aliases w:val="ss Char,Subsection Char"/>
    <w:basedOn w:val="DefaultParagraphFont"/>
    <w:link w:val="subsection"/>
    <w:locked/>
    <w:rsid w:val="00C22730"/>
    <w:rPr>
      <w:rFonts w:ascii="Times New Roman" w:eastAsia="Times New Roman" w:hAnsi="Times New Roman" w:cs="Times New Roman"/>
      <w:szCs w:val="20"/>
      <w:lang w:eastAsia="en-AU"/>
    </w:rPr>
  </w:style>
  <w:style w:type="character" w:customStyle="1" w:styleId="legsubtitle1">
    <w:name w:val="legsubtitle1"/>
    <w:basedOn w:val="DefaultParagraphFont"/>
    <w:rsid w:val="008E4BD0"/>
    <w:rPr>
      <w:b/>
      <w:bCs/>
    </w:rPr>
  </w:style>
  <w:style w:type="paragraph" w:styleId="Revision">
    <w:name w:val="Revision"/>
    <w:hidden/>
    <w:uiPriority w:val="99"/>
    <w:semiHidden/>
    <w:rsid w:val="006C03D2"/>
    <w:pPr>
      <w:spacing w:after="0" w:line="240" w:lineRule="auto"/>
    </w:pPr>
    <w:rPr>
      <w:rFonts w:ascii="Times New Roman" w:hAnsi="Times New Roman"/>
      <w:szCs w:val="20"/>
    </w:rPr>
  </w:style>
  <w:style w:type="character" w:styleId="Hyperlink">
    <w:name w:val="Hyperlink"/>
    <w:basedOn w:val="DefaultParagraphFont"/>
    <w:uiPriority w:val="99"/>
    <w:unhideWhenUsed/>
    <w:rsid w:val="006F1637"/>
    <w:rPr>
      <w:color w:val="0000FF" w:themeColor="hyperlink"/>
      <w:u w:val="single"/>
    </w:rPr>
  </w:style>
  <w:style w:type="character" w:styleId="FollowedHyperlink">
    <w:name w:val="FollowedHyperlink"/>
    <w:basedOn w:val="DefaultParagraphFont"/>
    <w:uiPriority w:val="99"/>
    <w:semiHidden/>
    <w:unhideWhenUsed/>
    <w:rsid w:val="000426CD"/>
    <w:rPr>
      <w:color w:val="800080" w:themeColor="followedHyperlink"/>
      <w:u w:val="single"/>
    </w:rPr>
  </w:style>
  <w:style w:type="paragraph" w:customStyle="1" w:styleId="item0">
    <w:name w:val="item"/>
    <w:basedOn w:val="Normal"/>
    <w:rsid w:val="00D30DEE"/>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CONSOLINST_New.DOTX</Template>
  <TotalTime>0</TotalTime>
  <Pages>25</Pages>
  <Words>6423</Words>
  <Characters>33683</Characters>
  <Application>Microsoft Office Word</Application>
  <DocSecurity>0</DocSecurity>
  <PresentationFormat/>
  <Lines>865</Lines>
  <Paragraphs>470</Paragraphs>
  <ScaleCrop>false</ScaleCrop>
  <HeadingPairs>
    <vt:vector size="2" baseType="variant">
      <vt:variant>
        <vt:lpstr>Title</vt:lpstr>
      </vt:variant>
      <vt:variant>
        <vt:i4>1</vt:i4>
      </vt:variant>
    </vt:vector>
  </HeadingPairs>
  <TitlesOfParts>
    <vt:vector size="1" baseType="lpstr">
      <vt:lpstr>Private Health Insurance (Health Insurance Business) Rules 2018</vt:lpstr>
    </vt:vector>
  </TitlesOfParts>
  <Manager/>
  <Company/>
  <LinksUpToDate>false</LinksUpToDate>
  <CharactersWithSpaces>39676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(Health Insurance Business) Rules 2018</dc:title>
  <dc:subject/>
  <dc:creator/>
  <cp:keywords/>
  <dc:description/>
  <cp:lastModifiedBy/>
  <cp:revision>1</cp:revision>
  <dcterms:created xsi:type="dcterms:W3CDTF">2022-08-11T06:44:00Z</dcterms:created>
  <dcterms:modified xsi:type="dcterms:W3CDTF">2022-08-11T06:44:00Z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Converted">
    <vt:bool>false</vt:bool>
  </property>
  <property fmtid="{D5CDD505-2E9C-101B-9397-08002B2CF9AE}" pid="6" name="Classification">
    <vt:lpwstr>OFFICIAL</vt:lpwstr>
  </property>
  <property fmtid="{D5CDD505-2E9C-101B-9397-08002B2CF9AE}" pid="7" name="DLM">
    <vt:lpwstr> </vt:lpwstr>
  </property>
  <property fmtid="{D5CDD505-2E9C-101B-9397-08002B2CF9AE}" pid="8" name="ShortT">
    <vt:lpwstr>Private Health Insurance (Health Insurance Business) Rules 2018</vt:lpwstr>
  </property>
  <property fmtid="{D5CDD505-2E9C-101B-9397-08002B2CF9AE}" pid="9" name="CompilationNumber">
    <vt:lpwstr>10</vt:lpwstr>
  </property>
  <property fmtid="{D5CDD505-2E9C-101B-9397-08002B2CF9AE}" pid="10" name="StartDate">
    <vt:lpwstr>1 August 2022</vt:lpwstr>
  </property>
  <property fmtid="{D5CDD505-2E9C-101B-9397-08002B2CF9AE}" pid="11" name="IncludesUpTo">
    <vt:lpwstr>F2022L01010</vt:lpwstr>
  </property>
  <property fmtid="{D5CDD505-2E9C-101B-9397-08002B2CF9AE}" pid="12" name="RegisteredDate">
    <vt:lpwstr>11 August 2022</vt:lpwstr>
  </property>
  <property fmtid="{D5CDD505-2E9C-101B-9397-08002B2CF9AE}" pid="13" name="CompilationVersion">
    <vt:i4>3</vt:i4>
  </property>
  <property fmtid="{D5CDD505-2E9C-101B-9397-08002B2CF9AE}" pid="14" name="DoNotAsk">
    <vt:lpwstr>0</vt:lpwstr>
  </property>
  <property fmtid="{D5CDD505-2E9C-101B-9397-08002B2CF9AE}" pid="15" name="ChangedTitle">
    <vt:lpwstr/>
  </property>
  <property fmtid="{D5CDD505-2E9C-101B-9397-08002B2CF9AE}" pid="16" name="Actno">
    <vt:lpwstr/>
  </property>
</Properties>
</file>