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B8C7B" w14:textId="77777777" w:rsidR="00010351" w:rsidRDefault="00010351" w:rsidP="00010351">
      <w:pPr>
        <w:spacing w:after="0" w:line="240" w:lineRule="auto"/>
        <w:rPr>
          <w:rFonts w:ascii="Arial" w:eastAsia="Times New Roman" w:hAnsi="Arial" w:cs="Arial"/>
          <w:color w:val="000000"/>
          <w:sz w:val="20"/>
          <w:szCs w:val="20"/>
          <w:lang w:eastAsia="en-AU"/>
        </w:rPr>
      </w:pPr>
    </w:p>
    <w:p w14:paraId="06AB8C7C" w14:textId="77777777" w:rsidR="00D73368" w:rsidRDefault="00D73368" w:rsidP="00010351">
      <w:pPr>
        <w:spacing w:after="0" w:line="240" w:lineRule="auto"/>
        <w:rPr>
          <w:rFonts w:ascii="Arial" w:eastAsia="Times New Roman" w:hAnsi="Arial" w:cs="Arial"/>
          <w:color w:val="000000"/>
          <w:sz w:val="20"/>
          <w:szCs w:val="20"/>
          <w:lang w:eastAsia="en-AU"/>
        </w:rPr>
      </w:pPr>
    </w:p>
    <w:p w14:paraId="06AB8C7D" w14:textId="77777777" w:rsidR="00D73368" w:rsidRPr="00010351" w:rsidRDefault="00D73368" w:rsidP="00010351">
      <w:pPr>
        <w:spacing w:after="0" w:line="240" w:lineRule="auto"/>
        <w:rPr>
          <w:rFonts w:ascii="Arial" w:eastAsia="Times New Roman" w:hAnsi="Arial" w:cs="Arial"/>
          <w:color w:val="000000"/>
          <w:sz w:val="20"/>
          <w:szCs w:val="20"/>
          <w:lang w:eastAsia="en-AU"/>
        </w:rPr>
      </w:pPr>
    </w:p>
    <w:p w14:paraId="06AB8C7E" w14:textId="77777777" w:rsidR="00115550" w:rsidRPr="00115550" w:rsidRDefault="00115550" w:rsidP="00842831">
      <w:pPr>
        <w:pStyle w:val="Header"/>
        <w:pBdr>
          <w:top w:val="double" w:sz="4" w:space="1" w:color="auto"/>
          <w:bottom w:val="double" w:sz="4" w:space="1" w:color="auto"/>
        </w:pBdr>
        <w:tabs>
          <w:tab w:val="left" w:pos="855"/>
          <w:tab w:val="center" w:pos="4181"/>
        </w:tabs>
        <w:jc w:val="center"/>
        <w:rPr>
          <w:rFonts w:ascii="Arial" w:eastAsia="Times New Roman" w:hAnsi="Arial" w:cs="Arial"/>
          <w:sz w:val="34"/>
          <w:szCs w:val="34"/>
          <w:lang w:eastAsia="en-AU"/>
        </w:rPr>
      </w:pPr>
      <w:r w:rsidRPr="00115550">
        <w:rPr>
          <w:rFonts w:ascii="Arial" w:eastAsia="Times New Roman" w:hAnsi="Arial" w:cs="Arial"/>
          <w:sz w:val="34"/>
          <w:szCs w:val="34"/>
          <w:lang w:eastAsia="en-AU"/>
        </w:rPr>
        <w:t>Explanatory Statement</w:t>
      </w:r>
    </w:p>
    <w:p w14:paraId="06AB8C7F" w14:textId="77777777" w:rsidR="00115550" w:rsidRPr="00115550" w:rsidRDefault="00115550" w:rsidP="00115550">
      <w:pPr>
        <w:pBdr>
          <w:top w:val="double" w:sz="4" w:space="1" w:color="auto"/>
          <w:bottom w:val="double" w:sz="4" w:space="1" w:color="auto"/>
        </w:pBdr>
        <w:spacing w:after="0" w:line="240" w:lineRule="auto"/>
        <w:jc w:val="center"/>
        <w:rPr>
          <w:rFonts w:ascii="Arial" w:eastAsia="Times New Roman" w:hAnsi="Arial" w:cs="Arial"/>
          <w:sz w:val="34"/>
          <w:szCs w:val="34"/>
          <w:lang w:eastAsia="en-AU"/>
        </w:rPr>
      </w:pPr>
    </w:p>
    <w:p w14:paraId="06AB8C80" w14:textId="77777777" w:rsidR="00842831" w:rsidRDefault="00115550" w:rsidP="00115550">
      <w:pPr>
        <w:pBdr>
          <w:top w:val="double" w:sz="4" w:space="1" w:color="auto"/>
          <w:bottom w:val="double" w:sz="4" w:space="1" w:color="auto"/>
        </w:pBdr>
        <w:spacing w:after="0" w:line="240" w:lineRule="auto"/>
        <w:jc w:val="center"/>
        <w:rPr>
          <w:rFonts w:ascii="Arial" w:eastAsia="Times New Roman" w:hAnsi="Arial" w:cs="Arial"/>
          <w:sz w:val="34"/>
          <w:szCs w:val="34"/>
          <w:lang w:eastAsia="en-AU"/>
        </w:rPr>
      </w:pPr>
      <w:r w:rsidRPr="00115550">
        <w:rPr>
          <w:rFonts w:ascii="Arial" w:eastAsia="Times New Roman" w:hAnsi="Arial" w:cs="Arial"/>
          <w:sz w:val="34"/>
          <w:szCs w:val="34"/>
          <w:lang w:eastAsia="en-AU"/>
        </w:rPr>
        <w:t xml:space="preserve">Goods and Services Tax: Foreign Currency </w:t>
      </w:r>
      <w:r>
        <w:rPr>
          <w:rFonts w:ascii="Arial" w:eastAsia="Times New Roman" w:hAnsi="Arial" w:cs="Arial"/>
          <w:sz w:val="34"/>
          <w:szCs w:val="34"/>
          <w:lang w:eastAsia="en-AU"/>
        </w:rPr>
        <w:t xml:space="preserve">Conversion </w:t>
      </w:r>
      <w:r w:rsidRPr="00115550">
        <w:rPr>
          <w:rFonts w:ascii="Arial" w:eastAsia="Times New Roman" w:hAnsi="Arial" w:cs="Arial"/>
          <w:sz w:val="34"/>
          <w:szCs w:val="34"/>
          <w:lang w:eastAsia="en-AU"/>
        </w:rPr>
        <w:t>Determination 2018</w:t>
      </w:r>
    </w:p>
    <w:p w14:paraId="06AB8C81" w14:textId="77777777" w:rsidR="00115550" w:rsidRPr="00115550" w:rsidRDefault="00115550" w:rsidP="00115550">
      <w:pPr>
        <w:spacing w:after="0" w:line="240" w:lineRule="auto"/>
        <w:jc w:val="center"/>
        <w:rPr>
          <w:rFonts w:ascii="Arial" w:eastAsia="Times New Roman" w:hAnsi="Arial" w:cs="Arial"/>
          <w:sz w:val="24"/>
          <w:szCs w:val="24"/>
          <w:lang w:eastAsia="en-AU"/>
        </w:rPr>
      </w:pPr>
    </w:p>
    <w:p w14:paraId="06AB8C82" w14:textId="77777777" w:rsidR="00115550" w:rsidRPr="00115550" w:rsidRDefault="00115550" w:rsidP="00115550">
      <w:pPr>
        <w:spacing w:after="0" w:line="240" w:lineRule="auto"/>
        <w:jc w:val="center"/>
        <w:rPr>
          <w:rFonts w:ascii="Arial" w:eastAsia="Times New Roman" w:hAnsi="Arial" w:cs="Arial"/>
          <w:sz w:val="24"/>
          <w:szCs w:val="24"/>
          <w:lang w:eastAsia="en-AU"/>
        </w:rPr>
      </w:pPr>
    </w:p>
    <w:p w14:paraId="06AB8C83" w14:textId="32C95CEA" w:rsidR="00115550" w:rsidRPr="00C3099D" w:rsidRDefault="00115550" w:rsidP="00842831">
      <w:pPr>
        <w:pStyle w:val="Heading2"/>
        <w:keepLines/>
        <w:rPr>
          <w:rFonts w:eastAsiaTheme="majorEastAsia" w:cs="Arial"/>
          <w:bCs/>
          <w:sz w:val="24"/>
          <w:szCs w:val="24"/>
        </w:rPr>
      </w:pPr>
      <w:r w:rsidRPr="00C3099D">
        <w:rPr>
          <w:rFonts w:eastAsiaTheme="majorEastAsia" w:cs="Arial"/>
          <w:bCs/>
          <w:sz w:val="24"/>
          <w:szCs w:val="24"/>
        </w:rPr>
        <w:t xml:space="preserve">General Outline of </w:t>
      </w:r>
      <w:r w:rsidR="00936530" w:rsidRPr="00C3099D">
        <w:rPr>
          <w:rFonts w:eastAsiaTheme="majorEastAsia" w:cs="Arial"/>
          <w:bCs/>
          <w:sz w:val="24"/>
          <w:szCs w:val="24"/>
        </w:rPr>
        <w:t>determination</w:t>
      </w:r>
    </w:p>
    <w:p w14:paraId="06AB8C84"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This determination is made under subsection 9-85(2) of the </w:t>
      </w:r>
      <w:r w:rsidRPr="00842831">
        <w:rPr>
          <w:rFonts w:ascii="Arial" w:eastAsia="Times New Roman" w:hAnsi="Arial" w:cs="Arial"/>
          <w:i/>
          <w:iCs/>
          <w:color w:val="000000"/>
          <w:lang w:eastAsia="en-AU"/>
        </w:rPr>
        <w:t>A New Tax System (Goods and Services Tax) Act 1999</w:t>
      </w:r>
      <w:r w:rsidRPr="00842831">
        <w:rPr>
          <w:rFonts w:ascii="Arial" w:eastAsia="Times New Roman" w:hAnsi="Arial" w:cs="Arial"/>
          <w:color w:val="000000"/>
          <w:lang w:eastAsia="en-AU"/>
        </w:rPr>
        <w:t xml:space="preserve"> (the GST Act).</w:t>
      </w:r>
    </w:p>
    <w:p w14:paraId="06AB8C85"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This determination sets out the method to convert amounts of consideration that are expressed in foreign currency into Australian currency for the purposes of working out the value of a taxable supply.</w:t>
      </w:r>
    </w:p>
    <w:p w14:paraId="06AB8C86"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Under subsection 33(3) of the </w:t>
      </w:r>
      <w:r w:rsidRPr="00842831">
        <w:rPr>
          <w:rFonts w:ascii="Arial" w:eastAsia="Times New Roman" w:hAnsi="Arial" w:cs="Arial"/>
          <w:i/>
          <w:iCs/>
          <w:color w:val="000000"/>
          <w:lang w:eastAsia="en-AU"/>
        </w:rPr>
        <w:t>Acts Interpretation Act 1901</w:t>
      </w:r>
      <w:r w:rsidRPr="00842831">
        <w:rPr>
          <w:rFonts w:ascii="Arial" w:eastAsia="Times New Roman" w:hAnsi="Arial" w:cs="Arial"/>
          <w:color w:val="000000"/>
          <w:lang w:eastAsia="en-AU"/>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6AB8C87" w14:textId="77777777" w:rsidR="00115550" w:rsidRPr="00E60D2B" w:rsidRDefault="00115550" w:rsidP="00842831">
      <w:pPr>
        <w:numPr>
          <w:ilvl w:val="0"/>
          <w:numId w:val="7"/>
        </w:numPr>
        <w:spacing w:after="120" w:line="240" w:lineRule="auto"/>
        <w:ind w:left="425" w:hanging="425"/>
        <w:rPr>
          <w:rFonts w:ascii="Arial" w:eastAsia="Times New Roman" w:hAnsi="Arial" w:cs="Arial"/>
          <w:bCs/>
          <w:color w:val="000000"/>
          <w:lang w:eastAsia="en-AU"/>
        </w:rPr>
      </w:pPr>
      <w:r w:rsidRPr="00E60D2B">
        <w:rPr>
          <w:rFonts w:ascii="Arial" w:eastAsia="Times New Roman" w:hAnsi="Arial" w:cs="Arial"/>
          <w:color w:val="000000"/>
          <w:lang w:eastAsia="en-AU"/>
        </w:rPr>
        <w:t xml:space="preserve">This determination is a legislative instrument for the purposes of the </w:t>
      </w:r>
      <w:r w:rsidRPr="00E60D2B">
        <w:rPr>
          <w:rFonts w:ascii="Arial" w:eastAsia="Times New Roman" w:hAnsi="Arial" w:cs="Arial"/>
          <w:i/>
          <w:iCs/>
          <w:color w:val="000000"/>
          <w:lang w:eastAsia="en-AU"/>
        </w:rPr>
        <w:t>Legislation Act 2003.</w:t>
      </w:r>
      <w:r w:rsidRPr="00E60D2B">
        <w:rPr>
          <w:rFonts w:ascii="Arial" w:eastAsia="Times New Roman" w:hAnsi="Arial" w:cs="Arial"/>
          <w:color w:val="000000"/>
          <w:lang w:eastAsia="en-AU"/>
        </w:rPr>
        <w:t xml:space="preserve"> </w:t>
      </w:r>
    </w:p>
    <w:p w14:paraId="06AB8C88" w14:textId="77777777" w:rsidR="00842831" w:rsidRPr="009A0B8E" w:rsidRDefault="00842831" w:rsidP="009A0B8E">
      <w:pPr>
        <w:spacing w:after="120" w:line="240" w:lineRule="auto"/>
        <w:rPr>
          <w:rFonts w:ascii="Arial" w:eastAsia="Times New Roman" w:hAnsi="Arial" w:cs="Arial"/>
          <w:color w:val="000000"/>
          <w:lang w:eastAsia="en-AU"/>
        </w:rPr>
      </w:pPr>
    </w:p>
    <w:p w14:paraId="06AB8C89" w14:textId="77777777" w:rsidR="00842831" w:rsidRPr="00C3099D" w:rsidRDefault="00010351" w:rsidP="00842831">
      <w:pPr>
        <w:pStyle w:val="Heading2"/>
        <w:keepLines/>
        <w:rPr>
          <w:rFonts w:eastAsiaTheme="majorEastAsia" w:cs="Arial"/>
          <w:bCs/>
          <w:sz w:val="24"/>
          <w:szCs w:val="24"/>
        </w:rPr>
      </w:pPr>
      <w:r w:rsidRPr="00C3099D">
        <w:rPr>
          <w:rFonts w:eastAsiaTheme="majorEastAsia" w:cs="Arial"/>
          <w:bCs/>
          <w:sz w:val="24"/>
          <w:szCs w:val="24"/>
        </w:rPr>
        <w:t>Date of effect</w:t>
      </w:r>
    </w:p>
    <w:p w14:paraId="06AB8C8A" w14:textId="77777777" w:rsidR="00842831" w:rsidRDefault="00CE5AC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hAnsi="Arial" w:cs="Arial"/>
        </w:rPr>
        <w:t>This determination commences on 1 July 2018</w:t>
      </w:r>
      <w:r w:rsidR="00010351" w:rsidRPr="00842831">
        <w:rPr>
          <w:rFonts w:ascii="Arial" w:eastAsia="Times New Roman" w:hAnsi="Arial" w:cs="Arial"/>
          <w:color w:val="000000"/>
          <w:lang w:eastAsia="en-AU"/>
        </w:rPr>
        <w:t>.</w:t>
      </w:r>
    </w:p>
    <w:p w14:paraId="06AB8C8B" w14:textId="77777777" w:rsidR="00842831" w:rsidRPr="009A0B8E" w:rsidRDefault="00842831" w:rsidP="009A0B8E">
      <w:pPr>
        <w:spacing w:after="120" w:line="240" w:lineRule="auto"/>
        <w:rPr>
          <w:rFonts w:ascii="Arial" w:eastAsia="Times New Roman" w:hAnsi="Arial" w:cs="Arial"/>
          <w:color w:val="000000"/>
          <w:lang w:eastAsia="en-AU"/>
        </w:rPr>
      </w:pPr>
    </w:p>
    <w:p w14:paraId="06AB8C8C" w14:textId="77777777" w:rsidR="00842831" w:rsidRPr="00C3099D" w:rsidRDefault="00010351" w:rsidP="00842831">
      <w:pPr>
        <w:pStyle w:val="Heading2"/>
        <w:keepLines/>
        <w:rPr>
          <w:rFonts w:eastAsiaTheme="majorEastAsia" w:cs="Arial"/>
          <w:bCs/>
          <w:sz w:val="24"/>
          <w:szCs w:val="24"/>
        </w:rPr>
      </w:pPr>
      <w:r w:rsidRPr="00C3099D">
        <w:rPr>
          <w:rFonts w:eastAsiaTheme="majorEastAsia" w:cs="Arial"/>
          <w:bCs/>
          <w:sz w:val="24"/>
          <w:szCs w:val="24"/>
        </w:rPr>
        <w:t>What is this determination about</w:t>
      </w:r>
    </w:p>
    <w:p w14:paraId="06AB8C8D"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Subsection 9-85(1) of the GST Act requires that the value of a taxable supply be expressed in Australian currency. An entity must report the GST payable </w:t>
      </w:r>
      <w:r w:rsidR="00CE5ACD" w:rsidRPr="00842831">
        <w:rPr>
          <w:rFonts w:ascii="Arial" w:eastAsia="Times New Roman" w:hAnsi="Arial" w:cs="Arial"/>
          <w:color w:val="000000"/>
          <w:lang w:eastAsia="en-AU"/>
        </w:rPr>
        <w:t xml:space="preserve">on </w:t>
      </w:r>
      <w:r w:rsidRPr="00842831">
        <w:rPr>
          <w:rFonts w:ascii="Arial" w:eastAsia="Times New Roman" w:hAnsi="Arial" w:cs="Arial"/>
          <w:color w:val="000000"/>
          <w:lang w:eastAsia="en-AU"/>
        </w:rPr>
        <w:t>taxable supplies in Australian currency on its activity statements.</w:t>
      </w:r>
    </w:p>
    <w:p w14:paraId="06AB8C8E"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In this determination, the Commissioner sets out the method an entity must use to convert foreign currency to Australian currency when working out the value of a taxable supply.</w:t>
      </w:r>
    </w:p>
    <w:p w14:paraId="06AB8C8F" w14:textId="77777777" w:rsidR="00842831" w:rsidRPr="009A0B8E" w:rsidRDefault="00842831" w:rsidP="009A0B8E">
      <w:pPr>
        <w:spacing w:after="120" w:line="240" w:lineRule="auto"/>
        <w:rPr>
          <w:rFonts w:ascii="Arial" w:eastAsia="Times New Roman" w:hAnsi="Arial" w:cs="Arial"/>
          <w:color w:val="000000"/>
          <w:lang w:eastAsia="en-AU"/>
        </w:rPr>
      </w:pPr>
    </w:p>
    <w:p w14:paraId="06AB8C90" w14:textId="77777777" w:rsidR="001E40EF" w:rsidRPr="00C3099D" w:rsidRDefault="00010351" w:rsidP="00842831">
      <w:pPr>
        <w:pStyle w:val="Heading2"/>
        <w:keepLines/>
        <w:rPr>
          <w:rFonts w:eastAsiaTheme="majorEastAsia" w:cs="Arial"/>
          <w:bCs/>
          <w:sz w:val="24"/>
          <w:szCs w:val="24"/>
        </w:rPr>
      </w:pPr>
      <w:r w:rsidRPr="00C3099D">
        <w:rPr>
          <w:rFonts w:eastAsiaTheme="majorEastAsia" w:cs="Arial"/>
          <w:bCs/>
          <w:sz w:val="24"/>
          <w:szCs w:val="24"/>
        </w:rPr>
        <w:t xml:space="preserve">What is the effect of this </w:t>
      </w:r>
      <w:r w:rsidR="001E40EF" w:rsidRPr="00C3099D">
        <w:rPr>
          <w:rFonts w:eastAsiaTheme="majorEastAsia" w:cs="Arial"/>
          <w:bCs/>
          <w:sz w:val="24"/>
          <w:szCs w:val="24"/>
        </w:rPr>
        <w:t>determination</w:t>
      </w:r>
    </w:p>
    <w:p w14:paraId="06AB8C91" w14:textId="77777777" w:rsidR="00010351" w:rsidRP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In working out the value of a taxable supply, an entity must convert any amount of consideration expressed in foreign currency using the </w:t>
      </w:r>
      <w:r w:rsidRPr="00842831" w:rsidDel="00E77078">
        <w:rPr>
          <w:rFonts w:ascii="Arial" w:eastAsia="Times New Roman" w:hAnsi="Arial" w:cs="Arial"/>
          <w:color w:val="000000"/>
          <w:lang w:eastAsia="en-AU"/>
        </w:rPr>
        <w:t xml:space="preserve">following </w:t>
      </w:r>
      <w:r w:rsidRPr="00842831">
        <w:rPr>
          <w:rFonts w:ascii="Arial" w:eastAsia="Times New Roman" w:hAnsi="Arial" w:cs="Arial"/>
          <w:color w:val="000000"/>
          <w:lang w:eastAsia="en-AU"/>
        </w:rPr>
        <w:t>formula</w:t>
      </w:r>
      <w:r w:rsidR="00E77078" w:rsidRPr="00842831">
        <w:rPr>
          <w:rFonts w:ascii="Arial" w:eastAsia="Times New Roman" w:hAnsi="Arial" w:cs="Arial"/>
          <w:color w:val="000000"/>
          <w:lang w:eastAsia="en-AU"/>
        </w:rPr>
        <w:t xml:space="preserve"> </w:t>
      </w:r>
      <w:r w:rsidR="00B95AF9" w:rsidRPr="00842831">
        <w:rPr>
          <w:rFonts w:ascii="Arial" w:eastAsia="Times New Roman" w:hAnsi="Arial" w:cs="Arial"/>
          <w:color w:val="000000"/>
          <w:lang w:eastAsia="en-AU"/>
        </w:rPr>
        <w:t>from</w:t>
      </w:r>
      <w:r w:rsidR="00E77078" w:rsidRPr="00842831">
        <w:rPr>
          <w:rFonts w:ascii="Arial" w:eastAsia="Times New Roman" w:hAnsi="Arial" w:cs="Arial"/>
          <w:color w:val="000000"/>
          <w:lang w:eastAsia="en-AU"/>
        </w:rPr>
        <w:t xml:space="preserve"> the determination</w:t>
      </w:r>
      <w:r w:rsidRPr="00842831">
        <w:rPr>
          <w:rFonts w:ascii="Arial" w:eastAsia="Times New Roman" w:hAnsi="Arial" w:cs="Arial"/>
          <w:color w:val="000000"/>
          <w:lang w:eastAsia="en-AU"/>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08"/>
        <w:gridCol w:w="3878"/>
      </w:tblGrid>
      <w:tr w:rsidR="009A0B8E" w:rsidRPr="00F07FE8" w14:paraId="06AB8C95" w14:textId="77777777" w:rsidTr="00A626CE">
        <w:tc>
          <w:tcPr>
            <w:tcW w:w="3216" w:type="dxa"/>
            <w:vMerge w:val="restart"/>
            <w:vAlign w:val="center"/>
          </w:tcPr>
          <w:p w14:paraId="06AB8C92" w14:textId="77777777" w:rsidR="009A0B8E" w:rsidRPr="00F07FE8" w:rsidRDefault="009A0B8E" w:rsidP="009A0B8E">
            <w:pPr>
              <w:keepNext/>
              <w:jc w:val="center"/>
              <w:rPr>
                <w:rFonts w:ascii="Arial" w:hAnsi="Arial" w:cs="Arial"/>
                <w:sz w:val="22"/>
                <w:szCs w:val="22"/>
              </w:rPr>
            </w:pPr>
            <w:r w:rsidRPr="00F07FE8">
              <w:rPr>
                <w:rFonts w:ascii="Arial" w:hAnsi="Arial" w:cs="Arial"/>
                <w:sz w:val="22"/>
                <w:szCs w:val="22"/>
              </w:rPr>
              <w:t>amount expressed in a foreign currency</w:t>
            </w:r>
          </w:p>
        </w:tc>
        <w:tc>
          <w:tcPr>
            <w:tcW w:w="708" w:type="dxa"/>
            <w:vMerge w:val="restart"/>
            <w:vAlign w:val="center"/>
          </w:tcPr>
          <w:p w14:paraId="06AB8C93" w14:textId="77777777" w:rsidR="009A0B8E" w:rsidRPr="00F07FE8" w:rsidRDefault="009A0B8E" w:rsidP="009A0B8E">
            <w:pPr>
              <w:keepNext/>
              <w:jc w:val="center"/>
              <w:rPr>
                <w:rFonts w:ascii="Arial" w:hAnsi="Arial" w:cs="Arial"/>
                <w:sz w:val="22"/>
                <w:szCs w:val="22"/>
              </w:rPr>
            </w:pPr>
            <w:r w:rsidRPr="00F07FE8">
              <w:rPr>
                <w:rFonts w:ascii="Arial" w:hAnsi="Arial" w:cs="Arial"/>
                <w:sz w:val="22"/>
                <w:szCs w:val="22"/>
              </w:rPr>
              <w:t>x</w:t>
            </w:r>
          </w:p>
        </w:tc>
        <w:tc>
          <w:tcPr>
            <w:tcW w:w="3878" w:type="dxa"/>
            <w:tcBorders>
              <w:bottom w:val="single" w:sz="4" w:space="0" w:color="auto"/>
            </w:tcBorders>
            <w:vAlign w:val="center"/>
          </w:tcPr>
          <w:p w14:paraId="06AB8C94" w14:textId="77777777" w:rsidR="009A0B8E" w:rsidRPr="00F07FE8" w:rsidRDefault="009A0B8E" w:rsidP="009A0B8E">
            <w:pPr>
              <w:keepNext/>
              <w:jc w:val="center"/>
              <w:rPr>
                <w:rFonts w:ascii="Arial" w:hAnsi="Arial" w:cs="Arial"/>
                <w:sz w:val="22"/>
                <w:szCs w:val="22"/>
              </w:rPr>
            </w:pPr>
            <w:r w:rsidRPr="00F07FE8">
              <w:rPr>
                <w:rFonts w:ascii="Arial" w:hAnsi="Arial" w:cs="Arial"/>
                <w:sz w:val="22"/>
                <w:szCs w:val="22"/>
              </w:rPr>
              <w:t>1</w:t>
            </w:r>
          </w:p>
        </w:tc>
      </w:tr>
      <w:tr w:rsidR="009A0B8E" w:rsidRPr="00F07FE8" w14:paraId="06AB8C99" w14:textId="77777777" w:rsidTr="00A626CE">
        <w:tc>
          <w:tcPr>
            <w:tcW w:w="3216" w:type="dxa"/>
            <w:vMerge/>
            <w:vAlign w:val="center"/>
          </w:tcPr>
          <w:p w14:paraId="06AB8C96" w14:textId="77777777" w:rsidR="009A0B8E" w:rsidRPr="00F07FE8" w:rsidRDefault="009A0B8E" w:rsidP="009A0B8E">
            <w:pPr>
              <w:jc w:val="center"/>
              <w:rPr>
                <w:rFonts w:ascii="Arial" w:hAnsi="Arial" w:cs="Arial"/>
                <w:sz w:val="22"/>
                <w:szCs w:val="22"/>
              </w:rPr>
            </w:pPr>
          </w:p>
        </w:tc>
        <w:tc>
          <w:tcPr>
            <w:tcW w:w="708" w:type="dxa"/>
            <w:vMerge/>
            <w:vAlign w:val="center"/>
          </w:tcPr>
          <w:p w14:paraId="06AB8C97" w14:textId="77777777" w:rsidR="009A0B8E" w:rsidRPr="00F07FE8" w:rsidRDefault="009A0B8E" w:rsidP="009A0B8E">
            <w:pPr>
              <w:jc w:val="center"/>
              <w:rPr>
                <w:rFonts w:ascii="Arial" w:hAnsi="Arial" w:cs="Arial"/>
                <w:sz w:val="22"/>
                <w:szCs w:val="22"/>
              </w:rPr>
            </w:pPr>
          </w:p>
        </w:tc>
        <w:tc>
          <w:tcPr>
            <w:tcW w:w="3878" w:type="dxa"/>
            <w:tcBorders>
              <w:top w:val="single" w:sz="4" w:space="0" w:color="auto"/>
            </w:tcBorders>
            <w:vAlign w:val="center"/>
          </w:tcPr>
          <w:p w14:paraId="06AB8C98" w14:textId="77777777" w:rsidR="009A0B8E" w:rsidRPr="00F07FE8" w:rsidRDefault="009A0B8E" w:rsidP="009A0B8E">
            <w:pPr>
              <w:jc w:val="center"/>
              <w:rPr>
                <w:rFonts w:ascii="Arial" w:hAnsi="Arial" w:cs="Arial"/>
                <w:sz w:val="22"/>
                <w:szCs w:val="22"/>
              </w:rPr>
            </w:pPr>
            <w:r w:rsidRPr="00F07FE8">
              <w:rPr>
                <w:rFonts w:ascii="Arial" w:hAnsi="Arial" w:cs="Arial"/>
                <w:sz w:val="22"/>
                <w:szCs w:val="22"/>
              </w:rPr>
              <w:t>your particular exchange rate on the conversion day</w:t>
            </w:r>
          </w:p>
        </w:tc>
      </w:tr>
    </w:tbl>
    <w:p w14:paraId="06AB8C9A" w14:textId="77777777" w:rsidR="00010351" w:rsidRPr="00842831" w:rsidRDefault="00010351" w:rsidP="009A0B8E">
      <w:pPr>
        <w:spacing w:after="120" w:line="240" w:lineRule="auto"/>
        <w:rPr>
          <w:rFonts w:ascii="Arial" w:eastAsia="Times New Roman" w:hAnsi="Arial" w:cs="Arial"/>
          <w:color w:val="000000"/>
          <w:lang w:eastAsia="en-AU"/>
        </w:rPr>
      </w:pPr>
    </w:p>
    <w:p w14:paraId="06AB8C9B" w14:textId="77777777" w:rsidR="00010351" w:rsidRPr="00842831" w:rsidRDefault="00DC6A12" w:rsidP="009A0B8E">
      <w:pPr>
        <w:keepNext/>
        <w:spacing w:after="120" w:line="240" w:lineRule="auto"/>
        <w:rPr>
          <w:rFonts w:ascii="Arial" w:eastAsia="Times New Roman" w:hAnsi="Arial" w:cs="Arial"/>
          <w:color w:val="000000"/>
          <w:lang w:eastAsia="en-AU"/>
        </w:rPr>
      </w:pPr>
      <w:r w:rsidRPr="00842831">
        <w:rPr>
          <w:rFonts w:ascii="Arial" w:eastAsia="Times New Roman" w:hAnsi="Arial" w:cs="Arial"/>
          <w:color w:val="000000"/>
          <w:lang w:eastAsia="en-AU"/>
        </w:rPr>
        <w:lastRenderedPageBreak/>
        <w:t xml:space="preserve">Your </w:t>
      </w:r>
      <w:r w:rsidRPr="00842831">
        <w:rPr>
          <w:rFonts w:ascii="Arial" w:hAnsi="Arial" w:cs="Arial"/>
          <w:bCs/>
          <w:color w:val="000000"/>
        </w:rPr>
        <w:t>particular exchange rate</w:t>
      </w:r>
      <w:r w:rsidRPr="00842831">
        <w:rPr>
          <w:rFonts w:ascii="Arial" w:hAnsi="Arial" w:cs="Arial"/>
          <w:color w:val="000000"/>
        </w:rPr>
        <w:t xml:space="preserve"> is one of the following</w:t>
      </w:r>
    </w:p>
    <w:p w14:paraId="06AB8C9C" w14:textId="77777777" w:rsidR="00DC6A12" w:rsidRPr="00842831" w:rsidRDefault="00DC6A12" w:rsidP="00E60D2B">
      <w:pPr>
        <w:numPr>
          <w:ilvl w:val="0"/>
          <w:numId w:val="5"/>
        </w:numPr>
        <w:spacing w:after="120" w:line="240" w:lineRule="auto"/>
        <w:ind w:left="1276" w:hanging="425"/>
        <w:rPr>
          <w:rFonts w:ascii="Arial" w:eastAsia="Times New Roman" w:hAnsi="Arial" w:cs="Arial"/>
          <w:color w:val="000000"/>
          <w:lang w:eastAsia="en-AU"/>
        </w:rPr>
      </w:pPr>
      <w:r w:rsidRPr="00842831">
        <w:rPr>
          <w:rFonts w:ascii="Arial" w:eastAsia="Times New Roman" w:hAnsi="Arial" w:cs="Arial"/>
          <w:color w:val="000000"/>
          <w:lang w:eastAsia="en-AU"/>
        </w:rPr>
        <w:t>the RBA rate, or</w:t>
      </w:r>
    </w:p>
    <w:p w14:paraId="06AB8C9D" w14:textId="77777777" w:rsidR="00DC6A12" w:rsidRPr="00842831" w:rsidRDefault="00DC6A12" w:rsidP="00E60D2B">
      <w:pPr>
        <w:numPr>
          <w:ilvl w:val="0"/>
          <w:numId w:val="5"/>
        </w:numPr>
        <w:spacing w:after="120" w:line="240" w:lineRule="auto"/>
        <w:ind w:left="1276"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 a rate published by a foreign exchange organisation, or</w:t>
      </w:r>
    </w:p>
    <w:p w14:paraId="06AB8C9E" w14:textId="77777777" w:rsidR="00842831" w:rsidRDefault="00DC6A12" w:rsidP="00E60D2B">
      <w:pPr>
        <w:numPr>
          <w:ilvl w:val="0"/>
          <w:numId w:val="5"/>
        </w:numPr>
        <w:spacing w:after="120" w:line="240" w:lineRule="auto"/>
        <w:ind w:left="1276" w:hanging="425"/>
        <w:rPr>
          <w:rFonts w:ascii="Arial" w:eastAsia="Times New Roman" w:hAnsi="Arial" w:cs="Arial"/>
          <w:color w:val="000000"/>
          <w:lang w:eastAsia="en-AU"/>
        </w:rPr>
      </w:pPr>
      <w:r w:rsidRPr="00842831">
        <w:rPr>
          <w:rFonts w:ascii="Arial" w:eastAsia="Times New Roman" w:hAnsi="Arial" w:cs="Arial"/>
          <w:color w:val="000000"/>
          <w:lang w:eastAsia="en-AU"/>
        </w:rPr>
        <w:t>an agreed rate, or</w:t>
      </w:r>
    </w:p>
    <w:p w14:paraId="06AB8C9F" w14:textId="77777777" w:rsidR="00DC6A12" w:rsidRPr="00842831" w:rsidRDefault="00DC6A12" w:rsidP="00E60D2B">
      <w:pPr>
        <w:numPr>
          <w:ilvl w:val="0"/>
          <w:numId w:val="5"/>
        </w:numPr>
        <w:spacing w:after="120" w:line="240" w:lineRule="auto"/>
        <w:ind w:left="1276"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for taxable supplies of offshore supplies of low value goods a rate chosen under </w:t>
      </w:r>
      <w:r w:rsidRPr="00842831">
        <w:rPr>
          <w:rFonts w:ascii="Arial" w:eastAsia="Times New Roman" w:hAnsi="Arial" w:cs="Arial"/>
          <w:i/>
          <w:lang w:eastAsia="en-AU"/>
        </w:rPr>
        <w:t>Goods and Services Tax: Foreign Currency (Customs Value of Low Value Goods) Determination 2018</w:t>
      </w:r>
      <w:r w:rsidRPr="00842831">
        <w:rPr>
          <w:rFonts w:ascii="Arial" w:eastAsia="Times New Roman" w:hAnsi="Arial" w:cs="Arial"/>
          <w:color w:val="000000"/>
          <w:lang w:eastAsia="en-AU"/>
        </w:rPr>
        <w:t>.</w:t>
      </w:r>
    </w:p>
    <w:p w14:paraId="06AB8CA0" w14:textId="77777777" w:rsidR="00842831" w:rsidRDefault="00C8059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C</w:t>
      </w:r>
      <w:r w:rsidR="00010351" w:rsidRPr="00842831">
        <w:rPr>
          <w:rFonts w:ascii="Arial" w:eastAsia="Times New Roman" w:hAnsi="Arial" w:cs="Arial"/>
          <w:color w:val="000000"/>
          <w:lang w:eastAsia="en-AU"/>
        </w:rPr>
        <w:t>onversion day is the date that the foreign currency is converted into Australian currency as set out in the determination.</w:t>
      </w:r>
    </w:p>
    <w:p w14:paraId="5B4C4F62" w14:textId="502A7442" w:rsidR="00A80DFC" w:rsidRDefault="00A80DFC" w:rsidP="00842831">
      <w:pPr>
        <w:numPr>
          <w:ilvl w:val="0"/>
          <w:numId w:val="7"/>
        </w:numPr>
        <w:spacing w:after="120" w:line="240" w:lineRule="auto"/>
        <w:ind w:left="425" w:hanging="425"/>
        <w:rPr>
          <w:rFonts w:ascii="Arial" w:eastAsia="Times New Roman" w:hAnsi="Arial" w:cs="Arial"/>
          <w:color w:val="000000"/>
          <w:lang w:eastAsia="en-AU"/>
        </w:rPr>
      </w:pPr>
      <w:r>
        <w:rPr>
          <w:rFonts w:ascii="Arial" w:eastAsia="Times New Roman" w:hAnsi="Arial" w:cs="Arial"/>
          <w:lang w:eastAsia="en-AU"/>
        </w:rPr>
        <w:t>C</w:t>
      </w:r>
      <w:r w:rsidRPr="00C54040">
        <w:rPr>
          <w:rFonts w:ascii="Arial" w:eastAsia="Times New Roman" w:hAnsi="Arial" w:cs="Arial"/>
          <w:lang w:eastAsia="en-AU"/>
        </w:rPr>
        <w:t>ompliance Cost Impact: Minor – there will be no or minimal impact for both implementation and ongoing compliance costs. The change is minor or machinery in nature.</w:t>
      </w:r>
    </w:p>
    <w:p w14:paraId="06AB8CA1" w14:textId="77777777" w:rsidR="00842831" w:rsidRPr="009A0B8E" w:rsidRDefault="00842831" w:rsidP="00842831">
      <w:pPr>
        <w:spacing w:after="120" w:line="240" w:lineRule="auto"/>
        <w:rPr>
          <w:rFonts w:ascii="Arial" w:eastAsia="Times New Roman" w:hAnsi="Arial" w:cs="Arial"/>
          <w:color w:val="000000"/>
          <w:lang w:eastAsia="en-AU"/>
        </w:rPr>
      </w:pPr>
    </w:p>
    <w:p w14:paraId="06AB8CA2" w14:textId="77777777" w:rsidR="00842831" w:rsidRPr="00C3099D" w:rsidRDefault="00010351" w:rsidP="00842831">
      <w:pPr>
        <w:pStyle w:val="Heading2"/>
        <w:keepLines/>
        <w:rPr>
          <w:rFonts w:eastAsiaTheme="majorEastAsia" w:cs="Arial"/>
          <w:bCs/>
          <w:sz w:val="24"/>
          <w:szCs w:val="24"/>
        </w:rPr>
      </w:pPr>
      <w:r w:rsidRPr="00C3099D">
        <w:rPr>
          <w:rFonts w:eastAsiaTheme="majorEastAsia" w:cs="Arial"/>
          <w:bCs/>
          <w:sz w:val="24"/>
          <w:szCs w:val="24"/>
        </w:rPr>
        <w:t>Background</w:t>
      </w:r>
    </w:p>
    <w:p w14:paraId="06AB8CA3"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This determination </w:t>
      </w:r>
      <w:r w:rsidR="00CE5ACD" w:rsidRPr="00842831">
        <w:rPr>
          <w:rFonts w:ascii="Arial" w:eastAsia="Times New Roman" w:hAnsi="Arial" w:cs="Arial"/>
          <w:color w:val="000000"/>
          <w:lang w:eastAsia="en-AU"/>
        </w:rPr>
        <w:t xml:space="preserve">repeals and </w:t>
      </w:r>
      <w:r w:rsidRPr="00842831">
        <w:rPr>
          <w:rFonts w:ascii="Arial" w:eastAsia="Times New Roman" w:hAnsi="Arial" w:cs="Arial"/>
          <w:color w:val="000000"/>
          <w:lang w:eastAsia="en-AU"/>
        </w:rPr>
        <w:t xml:space="preserve">replaces the </w:t>
      </w:r>
      <w:r w:rsidRPr="00842831">
        <w:rPr>
          <w:rFonts w:ascii="Arial" w:eastAsia="Times New Roman" w:hAnsi="Arial" w:cs="Arial"/>
          <w:i/>
          <w:iCs/>
          <w:color w:val="000000"/>
          <w:lang w:eastAsia="en-AU"/>
        </w:rPr>
        <w:t>Goods and Services Tax</w:t>
      </w:r>
      <w:r w:rsidR="002B02FD" w:rsidRPr="00842831">
        <w:rPr>
          <w:rFonts w:ascii="Arial" w:eastAsia="Times New Roman" w:hAnsi="Arial" w:cs="Arial"/>
          <w:i/>
          <w:iCs/>
          <w:color w:val="000000"/>
          <w:lang w:eastAsia="en-AU"/>
        </w:rPr>
        <w:t>:</w:t>
      </w:r>
      <w:r w:rsidRPr="00842831">
        <w:rPr>
          <w:rFonts w:ascii="Arial" w:eastAsia="Times New Roman" w:hAnsi="Arial" w:cs="Arial"/>
          <w:i/>
          <w:iCs/>
          <w:color w:val="000000"/>
          <w:lang w:eastAsia="en-AU"/>
        </w:rPr>
        <w:t xml:space="preserve"> Foreign Currency Conversion Determination (No. </w:t>
      </w:r>
      <w:r w:rsidR="00E87B6D" w:rsidRPr="00842831">
        <w:rPr>
          <w:rFonts w:ascii="Arial" w:eastAsia="Times New Roman" w:hAnsi="Arial" w:cs="Arial"/>
          <w:i/>
          <w:iCs/>
          <w:color w:val="000000"/>
          <w:lang w:eastAsia="en-AU"/>
        </w:rPr>
        <w:t>1</w:t>
      </w:r>
      <w:r w:rsidRPr="00842831">
        <w:rPr>
          <w:rFonts w:ascii="Arial" w:eastAsia="Times New Roman" w:hAnsi="Arial" w:cs="Arial"/>
          <w:i/>
          <w:iCs/>
          <w:color w:val="000000"/>
          <w:lang w:eastAsia="en-AU"/>
        </w:rPr>
        <w:t xml:space="preserve">) </w:t>
      </w:r>
      <w:r w:rsidR="00E87B6D" w:rsidRPr="00842831">
        <w:rPr>
          <w:rFonts w:ascii="Arial" w:eastAsia="Times New Roman" w:hAnsi="Arial" w:cs="Arial"/>
          <w:i/>
          <w:iCs/>
          <w:color w:val="000000"/>
          <w:lang w:eastAsia="en-AU"/>
        </w:rPr>
        <w:t>2017</w:t>
      </w:r>
      <w:r w:rsidR="00E87B6D" w:rsidRPr="00842831">
        <w:rPr>
          <w:rFonts w:ascii="Arial" w:eastAsia="Times New Roman" w:hAnsi="Arial" w:cs="Arial"/>
          <w:color w:val="000000"/>
          <w:lang w:eastAsia="en-AU"/>
        </w:rPr>
        <w:t xml:space="preserve"> </w:t>
      </w:r>
      <w:r w:rsidRPr="00842831">
        <w:rPr>
          <w:rFonts w:ascii="Arial" w:eastAsia="Times New Roman" w:hAnsi="Arial" w:cs="Arial"/>
          <w:color w:val="000000"/>
          <w:lang w:eastAsia="en-AU"/>
        </w:rPr>
        <w:t>(the previous determination)</w:t>
      </w:r>
      <w:r w:rsidR="00CE5ACD" w:rsidRPr="00842831">
        <w:rPr>
          <w:rFonts w:ascii="Arial" w:eastAsia="Times New Roman" w:hAnsi="Arial" w:cs="Arial"/>
          <w:color w:val="000000"/>
          <w:lang w:eastAsia="en-AU"/>
        </w:rPr>
        <w:t xml:space="preserve"> </w:t>
      </w:r>
      <w:r w:rsidRPr="00842831">
        <w:rPr>
          <w:rFonts w:ascii="Arial" w:eastAsia="Times New Roman" w:hAnsi="Arial" w:cs="Arial"/>
          <w:color w:val="000000"/>
          <w:lang w:eastAsia="en-AU"/>
        </w:rPr>
        <w:t xml:space="preserve">- </w:t>
      </w:r>
      <w:r w:rsidR="00E87B6D" w:rsidRPr="00842831">
        <w:rPr>
          <w:rFonts w:ascii="Arial" w:eastAsia="Times New Roman" w:hAnsi="Arial" w:cs="Arial"/>
          <w:color w:val="000000"/>
          <w:lang w:eastAsia="en-AU"/>
        </w:rPr>
        <w:t>F2017L0084</w:t>
      </w:r>
      <w:r w:rsidR="002B02FD" w:rsidRPr="00842831">
        <w:rPr>
          <w:rFonts w:ascii="Arial" w:eastAsia="Times New Roman" w:hAnsi="Arial" w:cs="Arial"/>
          <w:color w:val="000000"/>
          <w:lang w:eastAsia="en-AU"/>
        </w:rPr>
        <w:t>5</w:t>
      </w:r>
      <w:r w:rsidRPr="00842831">
        <w:rPr>
          <w:rFonts w:ascii="Arial" w:eastAsia="Times New Roman" w:hAnsi="Arial" w:cs="Arial"/>
          <w:color w:val="000000"/>
          <w:lang w:eastAsia="en-AU"/>
        </w:rPr>
        <w:t xml:space="preserve">, registered on </w:t>
      </w:r>
      <w:r w:rsidR="00B74F2A" w:rsidRPr="00842831">
        <w:rPr>
          <w:rFonts w:ascii="Arial" w:eastAsia="Times New Roman" w:hAnsi="Arial" w:cs="Arial"/>
          <w:color w:val="000000"/>
          <w:lang w:eastAsia="en-AU"/>
        </w:rPr>
        <w:t>30 June 2017</w:t>
      </w:r>
      <w:r w:rsidRPr="00842831">
        <w:rPr>
          <w:rFonts w:ascii="Arial" w:eastAsia="Times New Roman" w:hAnsi="Arial" w:cs="Arial"/>
          <w:color w:val="000000"/>
          <w:lang w:eastAsia="en-AU"/>
        </w:rPr>
        <w:t>.</w:t>
      </w:r>
    </w:p>
    <w:p w14:paraId="06AB8CA4"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This determination explains the method that entities must use to convert an amount of consideration expressed in foreign currency into Australian currency. It is a requirement under subsection 9-85(1) of the GST Act that the value of a taxable supply be expressed in Australian currency for the purposes of the GST Act.</w:t>
      </w:r>
    </w:p>
    <w:p w14:paraId="06AB8CA5"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The method set out in the determination to convert an amount of consideration from foreign currency into Australian currency, requires an entity to choose an exchange rate and a conversion day from a defined list of options.</w:t>
      </w:r>
    </w:p>
    <w:p w14:paraId="06AB8CA6" w14:textId="77777777" w:rsidR="00B74F2A" w:rsidRP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The exchange rate can be a rate from </w:t>
      </w:r>
      <w:r w:rsidR="00670669" w:rsidRPr="00842831">
        <w:rPr>
          <w:rFonts w:ascii="Arial" w:eastAsia="Times New Roman" w:hAnsi="Arial" w:cs="Arial"/>
          <w:color w:val="000000"/>
          <w:lang w:eastAsia="en-AU"/>
        </w:rPr>
        <w:t xml:space="preserve">the RBA rate, </w:t>
      </w:r>
      <w:r w:rsidRPr="00842831">
        <w:rPr>
          <w:rFonts w:ascii="Arial" w:eastAsia="Times New Roman" w:hAnsi="Arial" w:cs="Arial"/>
          <w:color w:val="000000"/>
          <w:lang w:eastAsia="en-AU"/>
        </w:rPr>
        <w:t xml:space="preserve">a foreign exchange organisation, or </w:t>
      </w:r>
      <w:r w:rsidR="00CE5ACD" w:rsidRPr="00842831">
        <w:rPr>
          <w:rFonts w:ascii="Arial" w:eastAsia="Times New Roman" w:hAnsi="Arial" w:cs="Arial"/>
          <w:color w:val="000000"/>
          <w:lang w:eastAsia="en-AU"/>
        </w:rPr>
        <w:t xml:space="preserve">an </w:t>
      </w:r>
      <w:r w:rsidRPr="00842831">
        <w:rPr>
          <w:rFonts w:ascii="Arial" w:eastAsia="Times New Roman" w:hAnsi="Arial" w:cs="Arial"/>
          <w:color w:val="000000"/>
          <w:lang w:eastAsia="en-AU"/>
        </w:rPr>
        <w:t xml:space="preserve">agreed rate. </w:t>
      </w:r>
      <w:r w:rsidR="00DC6A12" w:rsidRPr="00842831">
        <w:rPr>
          <w:rFonts w:ascii="Arial" w:eastAsia="Times New Roman" w:hAnsi="Arial" w:cs="Arial"/>
          <w:color w:val="000000"/>
          <w:lang w:eastAsia="en-AU"/>
        </w:rPr>
        <w:t xml:space="preserve">For taxable supplies of offshore supplies of low value goods a rate chosen under </w:t>
      </w:r>
      <w:r w:rsidR="00DC6A12" w:rsidRPr="00842831">
        <w:rPr>
          <w:rFonts w:ascii="Arial" w:eastAsia="Times New Roman" w:hAnsi="Arial" w:cs="Arial"/>
          <w:i/>
          <w:lang w:eastAsia="en-AU"/>
        </w:rPr>
        <w:t>Goods and Services Tax: Foreign Currency (Customs Value of Low Value Goods) Determination 2018.</w:t>
      </w:r>
    </w:p>
    <w:p w14:paraId="310A9AD9" w14:textId="18F9549A" w:rsidR="000F5260" w:rsidRPr="000F5260" w:rsidRDefault="004C63DA" w:rsidP="000F5260">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The agreed rate means a particular rate agreed to between </w:t>
      </w:r>
      <w:r w:rsidR="000F5260">
        <w:rPr>
          <w:rFonts w:ascii="Arial" w:eastAsia="Times New Roman" w:hAnsi="Arial" w:cs="Arial"/>
          <w:color w:val="000000"/>
          <w:lang w:eastAsia="en-AU"/>
        </w:rPr>
        <w:t>a</w:t>
      </w:r>
      <w:r w:rsidR="000F5260" w:rsidRPr="00842831">
        <w:rPr>
          <w:rFonts w:ascii="Arial" w:eastAsia="Times New Roman" w:hAnsi="Arial" w:cs="Arial"/>
          <w:color w:val="000000"/>
          <w:lang w:eastAsia="en-AU"/>
        </w:rPr>
        <w:t xml:space="preserve"> </w:t>
      </w:r>
      <w:r w:rsidRPr="00842831">
        <w:rPr>
          <w:rFonts w:ascii="Arial" w:eastAsia="Times New Roman" w:hAnsi="Arial" w:cs="Arial"/>
          <w:color w:val="000000"/>
          <w:lang w:eastAsia="en-AU"/>
        </w:rPr>
        <w:t xml:space="preserve">supplier and </w:t>
      </w:r>
      <w:r w:rsidR="000F5260">
        <w:rPr>
          <w:rFonts w:ascii="Arial" w:eastAsia="Times New Roman" w:hAnsi="Arial" w:cs="Arial"/>
          <w:color w:val="000000"/>
          <w:lang w:eastAsia="en-AU"/>
        </w:rPr>
        <w:t xml:space="preserve">a registered </w:t>
      </w:r>
      <w:r w:rsidRPr="00842831">
        <w:rPr>
          <w:rFonts w:ascii="Arial" w:eastAsia="Times New Roman" w:hAnsi="Arial" w:cs="Arial"/>
          <w:color w:val="000000"/>
          <w:lang w:eastAsia="en-AU"/>
        </w:rPr>
        <w:t>recipien</w:t>
      </w:r>
      <w:r w:rsidR="000F5260">
        <w:rPr>
          <w:rFonts w:ascii="Arial" w:eastAsia="Times New Roman" w:hAnsi="Arial" w:cs="Arial"/>
          <w:color w:val="000000"/>
          <w:lang w:eastAsia="en-AU"/>
        </w:rPr>
        <w:t>t.</w:t>
      </w:r>
      <w:r w:rsidRPr="00842831">
        <w:rPr>
          <w:rFonts w:ascii="Arial" w:eastAsia="Times New Roman" w:hAnsi="Arial" w:cs="Arial"/>
          <w:color w:val="000000"/>
          <w:lang w:eastAsia="en-AU"/>
        </w:rPr>
        <w:t xml:space="preserve"> The agreed rate only applies for supplies made under the agreement and for the period of the agreement. Where the supplier and the recipient are associates, the agreed rate </w:t>
      </w:r>
      <w:r w:rsidR="005C1317" w:rsidRPr="00842831">
        <w:rPr>
          <w:rFonts w:ascii="Arial" w:eastAsia="Times New Roman" w:hAnsi="Arial" w:cs="Arial"/>
          <w:color w:val="000000"/>
          <w:lang w:eastAsia="en-AU"/>
        </w:rPr>
        <w:t>must</w:t>
      </w:r>
      <w:r w:rsidRPr="00842831">
        <w:rPr>
          <w:rFonts w:ascii="Arial" w:eastAsia="Times New Roman" w:hAnsi="Arial" w:cs="Arial"/>
          <w:color w:val="000000"/>
          <w:lang w:eastAsia="en-AU"/>
        </w:rPr>
        <w:t xml:space="preserve"> reflect a rate agreed to by parties dealing at arm's length.</w:t>
      </w:r>
    </w:p>
    <w:p w14:paraId="06AB8CA8" w14:textId="77777777"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The exchange rate chosen by the entity </w:t>
      </w:r>
      <w:r w:rsidR="005C1317" w:rsidRPr="00842831">
        <w:rPr>
          <w:rFonts w:ascii="Arial" w:eastAsia="Times New Roman" w:hAnsi="Arial" w:cs="Arial"/>
          <w:color w:val="000000"/>
          <w:lang w:eastAsia="en-AU"/>
        </w:rPr>
        <w:t>must</w:t>
      </w:r>
      <w:r w:rsidRPr="00842831">
        <w:rPr>
          <w:rFonts w:ascii="Arial" w:eastAsia="Times New Roman" w:hAnsi="Arial" w:cs="Arial"/>
          <w:color w:val="000000"/>
          <w:lang w:eastAsia="en-AU"/>
        </w:rPr>
        <w:t xml:space="preserve"> be used consistently for GST purposes. The exchange rate may be changed if an entity has sound commercial reasons for doing so. An entity that alternates between rates with a view to reducing its GST liability has used its rate inconsistently and has not followed the manner stated in the determination.</w:t>
      </w:r>
    </w:p>
    <w:p w14:paraId="06AB8CA9" w14:textId="302F69D8" w:rsidR="00842831" w:rsidRDefault="00C8059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Section</w:t>
      </w:r>
      <w:r w:rsidR="00187220"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C5BB9" w:rsidRPr="00842831">
        <w:rPr>
          <w:rFonts w:ascii="Arial" w:eastAsia="Times New Roman" w:hAnsi="Arial" w:cs="Arial"/>
          <w:color w:val="000000"/>
          <w:lang w:eastAsia="en-AU"/>
        </w:rPr>
        <w:t xml:space="preserve"> </w:t>
      </w:r>
      <w:r w:rsidR="00010351" w:rsidRPr="00842831">
        <w:rPr>
          <w:rFonts w:ascii="Arial" w:eastAsia="Times New Roman" w:hAnsi="Arial" w:cs="Arial"/>
          <w:color w:val="000000"/>
          <w:lang w:eastAsia="en-AU"/>
        </w:rPr>
        <w:t>of the determination defines conversion day to be the date that the entity converts foreign currency into Australian currency. The conversion day differs for entities that account for GST on a cash basis and those that account for GST on a basis other than cash.</w:t>
      </w:r>
    </w:p>
    <w:p w14:paraId="06AB8CAA" w14:textId="5AE57047" w:rsidR="00842831" w:rsidRDefault="00C8059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Paragraph</w:t>
      </w:r>
      <w:r w:rsidR="000C5BB9">
        <w:rPr>
          <w:rFonts w:ascii="Arial" w:eastAsia="Times New Roman" w:hAnsi="Arial" w:cs="Arial"/>
          <w:color w:val="000000"/>
          <w:lang w:eastAsia="en-AU"/>
        </w:rPr>
        <w:t>s</w:t>
      </w:r>
      <w:r w:rsidR="00187220"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 xml:space="preserve">(c) and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 xml:space="preserve">(d) provide additional conversion day options for non-residents that are making inbound intangible consumer supplies </w:t>
      </w:r>
      <w:r w:rsidR="00B54DEA" w:rsidRPr="00842831">
        <w:rPr>
          <w:rFonts w:ascii="Arial" w:eastAsia="Times New Roman" w:hAnsi="Arial" w:cs="Arial"/>
          <w:color w:val="000000"/>
          <w:lang w:eastAsia="en-AU"/>
        </w:rPr>
        <w:t>or offshore supplies of low value goods</w:t>
      </w:r>
      <w:r w:rsidR="000C5BB9">
        <w:rPr>
          <w:rFonts w:ascii="Arial" w:eastAsia="Times New Roman" w:hAnsi="Arial" w:cs="Arial"/>
          <w:color w:val="000000"/>
          <w:lang w:eastAsia="en-AU"/>
        </w:rPr>
        <w:t xml:space="preserve"> or both</w:t>
      </w:r>
      <w:r w:rsidR="00B54DEA" w:rsidRPr="00842831">
        <w:rPr>
          <w:rFonts w:ascii="Arial" w:eastAsia="Times New Roman" w:hAnsi="Arial" w:cs="Arial"/>
          <w:color w:val="000000"/>
          <w:lang w:eastAsia="en-AU"/>
        </w:rPr>
        <w:t>.</w:t>
      </w:r>
    </w:p>
    <w:p w14:paraId="06AB8CAB" w14:textId="361E3401" w:rsidR="005C1317" w:rsidRPr="00842831" w:rsidRDefault="00C8059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Paragraph</w:t>
      </w:r>
      <w:r w:rsidR="00187220"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(c) applies to non-resident entities that are not limited registration entities, but who make inbound intangible consumer supplies</w:t>
      </w:r>
      <w:r w:rsidR="00B54DEA" w:rsidRPr="00842831">
        <w:rPr>
          <w:rFonts w:ascii="Arial" w:eastAsia="Times New Roman" w:hAnsi="Arial" w:cs="Arial"/>
          <w:color w:val="000000"/>
          <w:lang w:eastAsia="en-AU"/>
        </w:rPr>
        <w:t xml:space="preserve"> or offshore supplies of low value </w:t>
      </w:r>
      <w:r w:rsidR="00B54DEA" w:rsidRPr="00842831">
        <w:rPr>
          <w:rFonts w:ascii="Arial" w:eastAsia="Times New Roman" w:hAnsi="Arial" w:cs="Arial"/>
          <w:color w:val="000000"/>
          <w:lang w:eastAsia="en-AU"/>
        </w:rPr>
        <w:lastRenderedPageBreak/>
        <w:t>goods</w:t>
      </w:r>
      <w:r w:rsidR="00CD548E">
        <w:rPr>
          <w:rFonts w:ascii="Arial" w:eastAsia="Times New Roman" w:hAnsi="Arial" w:cs="Arial"/>
          <w:color w:val="000000"/>
          <w:lang w:eastAsia="en-AU"/>
        </w:rPr>
        <w:t>,</w:t>
      </w:r>
      <w:r w:rsidR="000C5BB9">
        <w:rPr>
          <w:rFonts w:ascii="Arial" w:eastAsia="Times New Roman" w:hAnsi="Arial" w:cs="Arial"/>
          <w:color w:val="000000"/>
          <w:lang w:eastAsia="en-AU"/>
        </w:rPr>
        <w:t xml:space="preserve"> or both</w:t>
      </w:r>
      <w:r w:rsidR="00010351" w:rsidRPr="00842831">
        <w:rPr>
          <w:rFonts w:ascii="Arial" w:eastAsia="Times New Roman" w:hAnsi="Arial" w:cs="Arial"/>
          <w:color w:val="000000"/>
          <w:lang w:eastAsia="en-AU"/>
        </w:rPr>
        <w:t xml:space="preserve">. The conversion day for inbound intangible consumer supplies </w:t>
      </w:r>
      <w:r w:rsidR="00B54DEA" w:rsidRPr="00842831">
        <w:rPr>
          <w:rFonts w:ascii="Arial" w:eastAsia="Times New Roman" w:hAnsi="Arial" w:cs="Arial"/>
          <w:color w:val="000000"/>
          <w:lang w:eastAsia="en-AU"/>
        </w:rPr>
        <w:t>or offshore supplies of low value goods</w:t>
      </w:r>
      <w:r w:rsidR="00CD548E">
        <w:rPr>
          <w:rFonts w:ascii="Arial" w:eastAsia="Times New Roman" w:hAnsi="Arial" w:cs="Arial"/>
          <w:color w:val="000000"/>
          <w:lang w:eastAsia="en-AU"/>
        </w:rPr>
        <w:t>,</w:t>
      </w:r>
      <w:r w:rsidR="00010351" w:rsidRPr="00842831">
        <w:rPr>
          <w:rFonts w:ascii="Arial" w:eastAsia="Times New Roman" w:hAnsi="Arial" w:cs="Arial"/>
          <w:color w:val="000000"/>
          <w:lang w:eastAsia="en-AU"/>
        </w:rPr>
        <w:t xml:space="preserve"> can be either</w:t>
      </w:r>
      <w:r w:rsidR="005C1317" w:rsidRPr="00842831">
        <w:rPr>
          <w:rFonts w:ascii="Arial" w:eastAsia="Times New Roman" w:hAnsi="Arial" w:cs="Arial"/>
          <w:color w:val="000000"/>
          <w:lang w:eastAsia="en-AU"/>
        </w:rPr>
        <w:t>:</w:t>
      </w:r>
    </w:p>
    <w:p w14:paraId="06AB8CAC" w14:textId="72F3F00B" w:rsidR="00842831" w:rsidRDefault="00010351" w:rsidP="00E60D2B">
      <w:pPr>
        <w:pStyle w:val="ListParagraph"/>
        <w:numPr>
          <w:ilvl w:val="0"/>
          <w:numId w:val="4"/>
        </w:numPr>
        <w:spacing w:after="120" w:line="240" w:lineRule="auto"/>
        <w:ind w:left="1276" w:hanging="425"/>
        <w:contextualSpacing w:val="0"/>
        <w:rPr>
          <w:rFonts w:ascii="Arial" w:eastAsia="Times New Roman" w:hAnsi="Arial" w:cs="Arial"/>
          <w:color w:val="000000"/>
          <w:lang w:eastAsia="en-AU"/>
        </w:rPr>
      </w:pPr>
      <w:r w:rsidRPr="00842831">
        <w:rPr>
          <w:rFonts w:ascii="Arial" w:eastAsia="Times New Roman" w:hAnsi="Arial" w:cs="Arial"/>
          <w:color w:val="000000"/>
          <w:lang w:eastAsia="en-AU"/>
        </w:rPr>
        <w:t>a day under paragraph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 xml:space="preserve">)(a) or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(b) or,</w:t>
      </w:r>
    </w:p>
    <w:p w14:paraId="06AB8CAD" w14:textId="03389181" w:rsidR="00842831" w:rsidRDefault="00010351" w:rsidP="00E60D2B">
      <w:pPr>
        <w:pStyle w:val="ListParagraph"/>
        <w:numPr>
          <w:ilvl w:val="0"/>
          <w:numId w:val="4"/>
        </w:numPr>
        <w:spacing w:after="120" w:line="240" w:lineRule="auto"/>
        <w:ind w:left="1276" w:hanging="425"/>
        <w:contextualSpacing w:val="0"/>
        <w:rPr>
          <w:rFonts w:ascii="Arial" w:eastAsia="Times New Roman" w:hAnsi="Arial" w:cs="Arial"/>
          <w:color w:val="000000"/>
          <w:lang w:eastAsia="en-AU"/>
        </w:rPr>
      </w:pPr>
      <w:r w:rsidRPr="00842831">
        <w:rPr>
          <w:rFonts w:ascii="Arial" w:eastAsia="Times New Roman" w:hAnsi="Arial" w:cs="Arial"/>
          <w:color w:val="000000"/>
          <w:lang w:eastAsia="en-AU"/>
        </w:rPr>
        <w:t xml:space="preserve">in respect of the inbound intangible consumer supplies </w:t>
      </w:r>
      <w:r w:rsidR="00B54DEA" w:rsidRPr="00842831">
        <w:rPr>
          <w:rFonts w:ascii="Arial" w:eastAsia="Times New Roman" w:hAnsi="Arial" w:cs="Arial"/>
          <w:color w:val="000000"/>
          <w:lang w:eastAsia="en-AU"/>
        </w:rPr>
        <w:t xml:space="preserve">and offshore supplies of low value goods only, </w:t>
      </w:r>
      <w:r w:rsidRPr="00842831">
        <w:rPr>
          <w:rFonts w:ascii="Arial" w:eastAsia="Times New Roman" w:hAnsi="Arial" w:cs="Arial"/>
          <w:color w:val="000000"/>
          <w:lang w:eastAsia="en-AU"/>
        </w:rPr>
        <w:t>the final day of the relevant tax period in which GST is payable (</w:t>
      </w:r>
      <w:r w:rsidR="00C8059D" w:rsidRPr="00842831">
        <w:rPr>
          <w:rFonts w:ascii="Arial" w:eastAsia="Times New Roman" w:hAnsi="Arial" w:cs="Arial"/>
          <w:color w:val="000000"/>
          <w:lang w:eastAsia="en-AU"/>
        </w:rPr>
        <w:t>subparagraph</w:t>
      </w:r>
      <w:r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(c)(ii)).</w:t>
      </w:r>
    </w:p>
    <w:p w14:paraId="06AB8CAE" w14:textId="1D6BF926" w:rsidR="00842831" w:rsidRDefault="00010351"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 xml:space="preserve">If an entity applies </w:t>
      </w:r>
      <w:r w:rsidR="00C8059D" w:rsidRPr="00842831">
        <w:rPr>
          <w:rFonts w:ascii="Arial" w:eastAsia="Times New Roman" w:hAnsi="Arial" w:cs="Arial"/>
          <w:color w:val="000000"/>
          <w:lang w:eastAsia="en-AU"/>
        </w:rPr>
        <w:t>subparagraph</w:t>
      </w:r>
      <w:r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(c)(ii) as the conversion day for its inbound intangible consumer supplies</w:t>
      </w:r>
      <w:r w:rsidR="00B54DEA" w:rsidRPr="00842831">
        <w:rPr>
          <w:rFonts w:ascii="Arial" w:eastAsia="Times New Roman" w:hAnsi="Arial" w:cs="Arial"/>
          <w:color w:val="000000"/>
          <w:lang w:eastAsia="en-AU"/>
        </w:rPr>
        <w:t xml:space="preserve"> or offshore supplies of low value goods or both</w:t>
      </w:r>
      <w:r w:rsidRPr="00842831">
        <w:rPr>
          <w:rFonts w:ascii="Arial" w:eastAsia="Times New Roman" w:hAnsi="Arial" w:cs="Arial"/>
          <w:color w:val="000000"/>
          <w:lang w:eastAsia="en-AU"/>
        </w:rPr>
        <w:t xml:space="preserve">, the conversion day for the entity's other supplies </w:t>
      </w:r>
      <w:r w:rsidR="00DC6A12" w:rsidRPr="00842831">
        <w:rPr>
          <w:rFonts w:ascii="Arial" w:eastAsia="Times New Roman" w:hAnsi="Arial" w:cs="Arial"/>
          <w:color w:val="000000"/>
          <w:lang w:eastAsia="en-AU"/>
        </w:rPr>
        <w:t>must</w:t>
      </w:r>
      <w:r w:rsidRPr="00842831">
        <w:rPr>
          <w:rFonts w:ascii="Arial" w:eastAsia="Times New Roman" w:hAnsi="Arial" w:cs="Arial"/>
          <w:color w:val="000000"/>
          <w:lang w:eastAsia="en-AU"/>
        </w:rPr>
        <w:t xml:space="preserve"> be the day specified in </w:t>
      </w:r>
      <w:r w:rsidR="00C8059D" w:rsidRPr="00842831">
        <w:rPr>
          <w:rFonts w:ascii="Arial" w:eastAsia="Times New Roman" w:hAnsi="Arial" w:cs="Arial"/>
          <w:color w:val="000000"/>
          <w:lang w:eastAsia="en-AU"/>
        </w:rPr>
        <w:t>paragraph</w:t>
      </w:r>
      <w:r w:rsidR="00187220"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 xml:space="preserve">(a) or </w:t>
      </w:r>
      <w:r w:rsidR="000C5BB9">
        <w:rPr>
          <w:rFonts w:ascii="Arial" w:eastAsia="Times New Roman" w:hAnsi="Arial" w:cs="Arial"/>
          <w:color w:val="000000"/>
          <w:lang w:eastAsia="en-AU"/>
        </w:rPr>
        <w:t>6</w:t>
      </w:r>
      <w:r w:rsidRPr="00842831">
        <w:rPr>
          <w:rFonts w:ascii="Arial" w:eastAsia="Times New Roman" w:hAnsi="Arial" w:cs="Arial"/>
          <w:color w:val="000000"/>
          <w:lang w:eastAsia="en-AU"/>
        </w:rPr>
        <w:t>(b).</w:t>
      </w:r>
    </w:p>
    <w:p w14:paraId="06AB8CAF" w14:textId="46C29765" w:rsidR="00842831" w:rsidRDefault="00C8059D" w:rsidP="00842831">
      <w:pPr>
        <w:numPr>
          <w:ilvl w:val="0"/>
          <w:numId w:val="7"/>
        </w:numPr>
        <w:spacing w:after="120" w:line="240" w:lineRule="auto"/>
        <w:ind w:left="425" w:hanging="425"/>
        <w:rPr>
          <w:rFonts w:ascii="Arial" w:eastAsia="Times New Roman" w:hAnsi="Arial" w:cs="Arial"/>
          <w:color w:val="000000"/>
          <w:lang w:eastAsia="en-AU"/>
        </w:rPr>
      </w:pPr>
      <w:r w:rsidRPr="00842831">
        <w:rPr>
          <w:rFonts w:ascii="Arial" w:eastAsia="Times New Roman" w:hAnsi="Arial" w:cs="Arial"/>
          <w:color w:val="000000"/>
          <w:lang w:eastAsia="en-AU"/>
        </w:rPr>
        <w:t>Paragraph</w:t>
      </w:r>
      <w:r w:rsidR="00010351"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 xml:space="preserve">(d) applies to non-resident entities that are limited registration entities. The conversion day for all of their supplies can be a day specified in </w:t>
      </w:r>
      <w:r w:rsidRPr="00842831">
        <w:rPr>
          <w:rFonts w:ascii="Arial" w:eastAsia="Times New Roman" w:hAnsi="Arial" w:cs="Arial"/>
          <w:color w:val="000000"/>
          <w:lang w:eastAsia="en-AU"/>
        </w:rPr>
        <w:t>paragraph</w:t>
      </w:r>
      <w:r w:rsidR="00187220"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 xml:space="preserve">(a) or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(b) or the final day of the relevant tax period in which GST is payable (</w:t>
      </w:r>
      <w:r w:rsidRPr="00842831">
        <w:rPr>
          <w:rFonts w:ascii="Arial" w:eastAsia="Times New Roman" w:hAnsi="Arial" w:cs="Arial"/>
          <w:color w:val="000000"/>
          <w:lang w:eastAsia="en-AU"/>
        </w:rPr>
        <w:t>subparagraph</w:t>
      </w:r>
      <w:r w:rsidR="00010351" w:rsidRPr="00842831">
        <w:rPr>
          <w:rFonts w:ascii="Arial" w:eastAsia="Times New Roman" w:hAnsi="Arial" w:cs="Arial"/>
          <w:color w:val="000000"/>
          <w:lang w:eastAsia="en-AU"/>
        </w:rPr>
        <w:t xml:space="preserve"> </w:t>
      </w:r>
      <w:r w:rsidR="000C5BB9">
        <w:rPr>
          <w:rFonts w:ascii="Arial" w:eastAsia="Times New Roman" w:hAnsi="Arial" w:cs="Arial"/>
          <w:color w:val="000000"/>
          <w:lang w:eastAsia="en-AU"/>
        </w:rPr>
        <w:t>6</w:t>
      </w:r>
      <w:r w:rsidR="00010351" w:rsidRPr="00842831">
        <w:rPr>
          <w:rFonts w:ascii="Arial" w:eastAsia="Times New Roman" w:hAnsi="Arial" w:cs="Arial"/>
          <w:color w:val="000000"/>
          <w:lang w:eastAsia="en-AU"/>
        </w:rPr>
        <w:t>(d)(ii)).</w:t>
      </w:r>
    </w:p>
    <w:p w14:paraId="115ACDB7" w14:textId="77777777" w:rsidR="00617CAD" w:rsidRDefault="00617CAD" w:rsidP="00F30C22">
      <w:pPr>
        <w:pStyle w:val="Heading2"/>
        <w:rPr>
          <w:sz w:val="24"/>
          <w:szCs w:val="24"/>
        </w:rPr>
      </w:pPr>
    </w:p>
    <w:p w14:paraId="30D40E14" w14:textId="77777777" w:rsidR="00F30C22" w:rsidRPr="00254480" w:rsidRDefault="00F30C22" w:rsidP="00F30C22">
      <w:pPr>
        <w:pStyle w:val="Heading2"/>
        <w:rPr>
          <w:sz w:val="24"/>
          <w:szCs w:val="24"/>
        </w:rPr>
      </w:pPr>
      <w:r w:rsidRPr="00774E7F">
        <w:rPr>
          <w:sz w:val="24"/>
          <w:szCs w:val="24"/>
        </w:rPr>
        <w:t xml:space="preserve">Consultation </w:t>
      </w:r>
    </w:p>
    <w:p w14:paraId="522CEAC3" w14:textId="77777777" w:rsidR="00F30C22" w:rsidRDefault="00F30C22" w:rsidP="00F30C22">
      <w:pPr>
        <w:numPr>
          <w:ilvl w:val="0"/>
          <w:numId w:val="7"/>
        </w:numPr>
        <w:spacing w:after="120" w:line="240" w:lineRule="auto"/>
        <w:ind w:left="425" w:hanging="425"/>
        <w:rPr>
          <w:rFonts w:ascii="Arial" w:hAnsi="Arial" w:cs="Arial"/>
        </w:rPr>
      </w:pPr>
      <w:r w:rsidRPr="00F30C22">
        <w:rPr>
          <w:rFonts w:ascii="Arial" w:eastAsia="Times New Roman" w:hAnsi="Arial" w:cs="Arial"/>
          <w:color w:val="000000"/>
          <w:lang w:eastAsia="en-AU"/>
        </w:rPr>
        <w:t>Subsection</w:t>
      </w:r>
      <w:r w:rsidRPr="00774E7F">
        <w:rPr>
          <w:rFonts w:ascii="Arial" w:hAnsi="Arial" w:cs="Arial"/>
        </w:rPr>
        <w:t xml:space="preserve"> 17(1) of the </w:t>
      </w:r>
      <w:r w:rsidRPr="00774E7F">
        <w:rPr>
          <w:rFonts w:ascii="Arial" w:hAnsi="Arial" w:cs="Arial"/>
          <w:i/>
        </w:rPr>
        <w:t>Legislation Act 2003</w:t>
      </w:r>
      <w:r w:rsidRPr="00774E7F">
        <w:rPr>
          <w:rFonts w:ascii="Arial" w:hAnsi="Arial" w:cs="Arial"/>
        </w:rPr>
        <w:t xml:space="preserve"> requires, before the making of a determination, that the rule-maker is satisfied that appropriate and reasonably practicable consultation has been undertaken. </w:t>
      </w:r>
    </w:p>
    <w:p w14:paraId="20370EFD" w14:textId="626D7D25" w:rsidR="00F30C22" w:rsidRDefault="00F30C22" w:rsidP="00F30C22">
      <w:pPr>
        <w:numPr>
          <w:ilvl w:val="0"/>
          <w:numId w:val="7"/>
        </w:numPr>
        <w:spacing w:after="120" w:line="240" w:lineRule="auto"/>
        <w:ind w:left="425" w:hanging="425"/>
        <w:rPr>
          <w:rFonts w:ascii="Arial" w:hAnsi="Arial" w:cs="Arial"/>
        </w:rPr>
      </w:pPr>
      <w:r w:rsidRPr="00DB5BA9">
        <w:rPr>
          <w:rFonts w:ascii="Arial" w:hAnsi="Arial" w:cs="Arial"/>
        </w:rPr>
        <w:t xml:space="preserve">Broad consultation has occurred. </w:t>
      </w:r>
      <w:r>
        <w:rPr>
          <w:rFonts w:ascii="Arial" w:hAnsi="Arial" w:cs="Arial"/>
        </w:rPr>
        <w:t xml:space="preserve">Consultation was conducted through the ATO’s Let’s Talk site and through targeted consultation with key stakeholders. </w:t>
      </w:r>
    </w:p>
    <w:p w14:paraId="7B46B2B5" w14:textId="54323623" w:rsidR="00F30C22" w:rsidRDefault="00F30C22" w:rsidP="00F30C22">
      <w:pPr>
        <w:numPr>
          <w:ilvl w:val="0"/>
          <w:numId w:val="7"/>
        </w:numPr>
        <w:spacing w:after="120" w:line="240" w:lineRule="auto"/>
        <w:ind w:left="425" w:hanging="425"/>
        <w:rPr>
          <w:rFonts w:ascii="Arial" w:hAnsi="Arial" w:cs="Arial"/>
        </w:rPr>
      </w:pPr>
      <w:r w:rsidRPr="00DB5BA9">
        <w:rPr>
          <w:rFonts w:ascii="Arial" w:hAnsi="Arial" w:cs="Arial"/>
        </w:rPr>
        <w:t>The draft determination and draft explanatory statement were published on the ATO Legal Database</w:t>
      </w:r>
      <w:r w:rsidRPr="00DB5BA9">
        <w:rPr>
          <w:rFonts w:ascii="Arial" w:hAnsi="Arial" w:cs="Arial"/>
          <w:color w:val="FF0000"/>
        </w:rPr>
        <w:t xml:space="preserve"> </w:t>
      </w:r>
      <w:r w:rsidRPr="00DB5BA9">
        <w:rPr>
          <w:rFonts w:ascii="Arial" w:hAnsi="Arial" w:cs="Arial"/>
        </w:rPr>
        <w:t xml:space="preserve">at </w:t>
      </w:r>
      <w:r>
        <w:rPr>
          <w:rFonts w:ascii="Arial" w:hAnsi="Arial" w:cs="Arial"/>
        </w:rPr>
        <w:t>www.ato.gov.au</w:t>
      </w:r>
      <w:r w:rsidRPr="00DB5BA9">
        <w:rPr>
          <w:rFonts w:ascii="Arial" w:hAnsi="Arial" w:cs="Arial"/>
          <w:color w:val="1F497D"/>
        </w:rPr>
        <w:t xml:space="preserve"> </w:t>
      </w:r>
      <w:r w:rsidRPr="00DB5BA9">
        <w:rPr>
          <w:rFonts w:ascii="Arial" w:hAnsi="Arial" w:cs="Arial"/>
        </w:rPr>
        <w:t xml:space="preserve">on 29 June 2016 seeking feedback and comments for a period of </w:t>
      </w:r>
      <w:r>
        <w:rPr>
          <w:rFonts w:ascii="Arial" w:hAnsi="Arial" w:cs="Arial"/>
        </w:rPr>
        <w:t>three</w:t>
      </w:r>
      <w:r w:rsidRPr="00DB5BA9">
        <w:rPr>
          <w:rFonts w:ascii="Arial" w:hAnsi="Arial" w:cs="Arial"/>
        </w:rPr>
        <w:t xml:space="preserve"> weeks. The ATO Legal Database sends emails and news feeds to direct subscribers such as tax p</w:t>
      </w:r>
      <w:r w:rsidR="0055582D">
        <w:rPr>
          <w:rFonts w:ascii="Arial" w:hAnsi="Arial" w:cs="Arial"/>
        </w:rPr>
        <w:t>rofessionals and other industry s</w:t>
      </w:r>
      <w:r w:rsidRPr="00DB5BA9">
        <w:rPr>
          <w:rFonts w:ascii="Arial" w:hAnsi="Arial" w:cs="Arial"/>
        </w:rPr>
        <w:t>takeholders.</w:t>
      </w:r>
      <w:r w:rsidRPr="00DB5BA9">
        <w:rPr>
          <w:sz w:val="16"/>
          <w:szCs w:val="16"/>
        </w:rPr>
        <w:t> </w:t>
      </w:r>
      <w:r w:rsidRPr="00DB5BA9">
        <w:t> </w:t>
      </w:r>
      <w:r w:rsidRPr="00DB5BA9">
        <w:rPr>
          <w:rFonts w:ascii="Arial" w:hAnsi="Arial" w:cs="Arial"/>
        </w:rPr>
        <w:t xml:space="preserve"> Consultation on the draft determination and draft explanatory statement was also announced on “What we are consulting about” at ato.gov.au. </w:t>
      </w:r>
      <w:r>
        <w:rPr>
          <w:rFonts w:ascii="Arial" w:hAnsi="Arial" w:cs="Arial"/>
        </w:rPr>
        <w:t>In addition the draft determination and draft explanatory statement was sent to key stakeholders. Only on</w:t>
      </w:r>
      <w:bookmarkStart w:id="0" w:name="_GoBack"/>
      <w:bookmarkEnd w:id="0"/>
      <w:r>
        <w:rPr>
          <w:rFonts w:ascii="Arial" w:hAnsi="Arial" w:cs="Arial"/>
        </w:rPr>
        <w:t>e comment was received which</w:t>
      </w:r>
      <w:r w:rsidR="000C5BB9">
        <w:rPr>
          <w:rFonts w:ascii="Arial" w:hAnsi="Arial" w:cs="Arial"/>
        </w:rPr>
        <w:t xml:space="preserve"> was</w:t>
      </w:r>
      <w:r>
        <w:rPr>
          <w:rFonts w:ascii="Arial" w:hAnsi="Arial" w:cs="Arial"/>
        </w:rPr>
        <w:t xml:space="preserve"> addressed by an amendment to the ‘agreed rate’ which was favourable to stakeholders.</w:t>
      </w:r>
    </w:p>
    <w:p w14:paraId="6242CFCD" w14:textId="77777777" w:rsidR="00F30C22" w:rsidRDefault="00F30C22" w:rsidP="00F30C22">
      <w:pPr>
        <w:autoSpaceDE w:val="0"/>
        <w:autoSpaceDN w:val="0"/>
        <w:adjustRightInd w:val="0"/>
        <w:ind w:left="720"/>
        <w:rPr>
          <w:rFonts w:ascii="Arial" w:hAnsi="Arial" w:cs="Arial"/>
          <w:color w:val="000000"/>
          <w:sz w:val="20"/>
        </w:rPr>
      </w:pPr>
    </w:p>
    <w:p w14:paraId="2DBDAF0F" w14:textId="77777777" w:rsidR="00B7566D" w:rsidRPr="00F30C22" w:rsidRDefault="00B7566D" w:rsidP="00B7566D">
      <w:pPr>
        <w:pStyle w:val="Heading2"/>
        <w:keepLines/>
        <w:spacing w:after="60"/>
        <w:rPr>
          <w:rFonts w:eastAsiaTheme="majorEastAsia" w:cs="Arial"/>
          <w:b w:val="0"/>
          <w:bCs/>
          <w:i/>
          <w:szCs w:val="22"/>
        </w:rPr>
      </w:pPr>
      <w:r w:rsidRPr="00F30C22">
        <w:rPr>
          <w:rFonts w:eastAsiaTheme="majorEastAsia" w:cs="Arial"/>
          <w:b w:val="0"/>
          <w:bCs/>
          <w:i/>
          <w:szCs w:val="22"/>
        </w:rPr>
        <w:t>Legislative references:</w:t>
      </w:r>
    </w:p>
    <w:p w14:paraId="60F19369" w14:textId="77777777" w:rsidR="00B7566D" w:rsidRPr="00F30C22" w:rsidRDefault="00B7566D" w:rsidP="00B7566D">
      <w:pPr>
        <w:spacing w:after="0" w:line="240" w:lineRule="auto"/>
        <w:rPr>
          <w:rFonts w:ascii="Arial" w:eastAsia="Times New Roman" w:hAnsi="Arial" w:cs="Arial"/>
          <w:i/>
          <w:color w:val="000000"/>
          <w:sz w:val="20"/>
          <w:szCs w:val="20"/>
          <w:lang w:eastAsia="en-AU"/>
        </w:rPr>
      </w:pPr>
      <w:r w:rsidRPr="00F30C22">
        <w:rPr>
          <w:rFonts w:ascii="Arial" w:eastAsia="Times New Roman" w:hAnsi="Arial" w:cs="Arial"/>
          <w:i/>
          <w:color w:val="000000"/>
          <w:sz w:val="20"/>
          <w:szCs w:val="20"/>
          <w:lang w:eastAsia="en-AU"/>
        </w:rPr>
        <w:t>Acts Interpretation Act 1901</w:t>
      </w:r>
      <w:r w:rsidRPr="00F30C22">
        <w:rPr>
          <w:rFonts w:ascii="Arial" w:eastAsia="Times New Roman" w:hAnsi="Arial" w:cs="Arial"/>
          <w:i/>
          <w:color w:val="000000"/>
          <w:sz w:val="20"/>
          <w:szCs w:val="20"/>
          <w:lang w:eastAsia="en-AU"/>
        </w:rPr>
        <w:br/>
        <w:t>A New Tax System (Goods And Services Tax) Act 1999</w:t>
      </w:r>
      <w:r w:rsidRPr="00F30C22">
        <w:rPr>
          <w:rFonts w:ascii="Arial" w:eastAsia="Times New Roman" w:hAnsi="Arial" w:cs="Arial"/>
          <w:i/>
          <w:color w:val="000000"/>
          <w:sz w:val="20"/>
          <w:szCs w:val="20"/>
          <w:lang w:eastAsia="en-AU"/>
        </w:rPr>
        <w:br/>
        <w:t>Human Rights (Parliamentary Scrutiny) Act 2011</w:t>
      </w:r>
      <w:r w:rsidRPr="00F30C22">
        <w:rPr>
          <w:rFonts w:ascii="Arial" w:eastAsia="Times New Roman" w:hAnsi="Arial" w:cs="Arial"/>
          <w:i/>
          <w:color w:val="000000"/>
          <w:sz w:val="20"/>
          <w:szCs w:val="20"/>
          <w:lang w:eastAsia="en-AU"/>
        </w:rPr>
        <w:br/>
        <w:t>Legislation Act 2003</w:t>
      </w:r>
      <w:r w:rsidRPr="00F30C22">
        <w:rPr>
          <w:rFonts w:ascii="Arial" w:eastAsia="Times New Roman" w:hAnsi="Arial" w:cs="Arial"/>
          <w:i/>
          <w:color w:val="000000"/>
          <w:sz w:val="20"/>
          <w:szCs w:val="20"/>
          <w:lang w:eastAsia="en-AU"/>
        </w:rPr>
        <w:br/>
        <w:t>Reserve Bank Act 1959</w:t>
      </w:r>
    </w:p>
    <w:p w14:paraId="304FA49A" w14:textId="77777777" w:rsidR="00B7566D" w:rsidRDefault="00B7566D" w:rsidP="00F30C22">
      <w:pPr>
        <w:autoSpaceDE w:val="0"/>
        <w:autoSpaceDN w:val="0"/>
        <w:adjustRightInd w:val="0"/>
        <w:ind w:left="720"/>
        <w:rPr>
          <w:rFonts w:ascii="Arial" w:hAnsi="Arial" w:cs="Arial"/>
          <w:color w:val="000000"/>
          <w:sz w:val="20"/>
        </w:rPr>
      </w:pPr>
    </w:p>
    <w:p w14:paraId="7A6A877A" w14:textId="63DC43DC" w:rsidR="00B7566D" w:rsidRDefault="00B7566D">
      <w:pPr>
        <w:rPr>
          <w:rFonts w:ascii="Arial" w:hAnsi="Arial" w:cs="Arial"/>
          <w:color w:val="000000"/>
          <w:sz w:val="20"/>
        </w:rPr>
      </w:pPr>
      <w:r>
        <w:rPr>
          <w:rFonts w:ascii="Arial" w:hAnsi="Arial" w:cs="Arial"/>
          <w:color w:val="000000"/>
          <w:sz w:val="20"/>
        </w:rPr>
        <w:br w:type="page"/>
      </w:r>
    </w:p>
    <w:p w14:paraId="14244889" w14:textId="77777777" w:rsidR="00B7566D" w:rsidRDefault="00B7566D" w:rsidP="00F30C22">
      <w:pPr>
        <w:autoSpaceDE w:val="0"/>
        <w:autoSpaceDN w:val="0"/>
        <w:adjustRightInd w:val="0"/>
        <w:ind w:left="720"/>
        <w:rPr>
          <w:rFonts w:ascii="Arial" w:hAnsi="Arial" w:cs="Arial"/>
          <w:color w:val="000000"/>
          <w:sz w:val="20"/>
        </w:rPr>
      </w:pPr>
    </w:p>
    <w:p w14:paraId="5A84BF5A" w14:textId="77777777" w:rsidR="00B7566D" w:rsidRDefault="00B7566D" w:rsidP="00F30C22">
      <w:pPr>
        <w:autoSpaceDE w:val="0"/>
        <w:autoSpaceDN w:val="0"/>
        <w:adjustRightInd w:val="0"/>
        <w:ind w:left="720"/>
        <w:rPr>
          <w:rFonts w:ascii="Arial" w:hAnsi="Arial" w:cs="Arial"/>
          <w:color w:val="000000"/>
          <w:sz w:val="20"/>
        </w:rPr>
      </w:pPr>
    </w:p>
    <w:p w14:paraId="382AC3AA" w14:textId="2DD83562" w:rsidR="00F30C22" w:rsidRPr="00B7566D" w:rsidRDefault="00F30C22" w:rsidP="00B7566D">
      <w:pPr>
        <w:pStyle w:val="Heading2"/>
        <w:jc w:val="center"/>
        <w:rPr>
          <w:szCs w:val="22"/>
        </w:rPr>
      </w:pPr>
      <w:r w:rsidRPr="00B7566D">
        <w:rPr>
          <w:szCs w:val="22"/>
        </w:rPr>
        <w:t>Statement of Compatibility with Human Rights</w:t>
      </w:r>
    </w:p>
    <w:p w14:paraId="5BA12294" w14:textId="77777777" w:rsidR="00F30C22" w:rsidRPr="00774E7F" w:rsidRDefault="00F30C22" w:rsidP="00F30C22">
      <w:pPr>
        <w:spacing w:before="100" w:beforeAutospacing="1" w:after="100" w:afterAutospacing="1"/>
        <w:rPr>
          <w:rFonts w:ascii="Arial" w:hAnsi="Arial" w:cs="Arial"/>
          <w:color w:val="000000"/>
        </w:rPr>
      </w:pPr>
      <w:r w:rsidRPr="00774E7F">
        <w:rPr>
          <w:rFonts w:ascii="Arial" w:hAnsi="Arial" w:cs="Arial"/>
          <w:color w:val="000000"/>
        </w:rPr>
        <w:t xml:space="preserve">Prepared in accordance with </w:t>
      </w:r>
      <w:r w:rsidRPr="00774E7F">
        <w:rPr>
          <w:rFonts w:ascii="Arial" w:hAnsi="Arial" w:cs="Arial"/>
          <w:i/>
          <w:iCs/>
          <w:color w:val="000000"/>
        </w:rPr>
        <w:t>Part 3 of the Human Rights (Parliamentary Scrutiny) Act 2011.</w:t>
      </w:r>
      <w:r w:rsidRPr="00774E7F">
        <w:rPr>
          <w:rFonts w:ascii="Arial" w:hAnsi="Arial" w:cs="Arial"/>
          <w:color w:val="000000"/>
        </w:rPr>
        <w:t xml:space="preserve"> </w:t>
      </w:r>
    </w:p>
    <w:p w14:paraId="4FB86F17" w14:textId="1F6D0896" w:rsidR="00F30C22" w:rsidRDefault="00F30C22" w:rsidP="00B7566D">
      <w:pPr>
        <w:spacing w:before="100" w:beforeAutospacing="1" w:after="100" w:afterAutospacing="1"/>
        <w:jc w:val="center"/>
        <w:rPr>
          <w:rFonts w:ascii="Arial" w:hAnsi="Arial" w:cs="Arial"/>
          <w:color w:val="000000"/>
        </w:rPr>
      </w:pPr>
      <w:r w:rsidRPr="00774E7F">
        <w:rPr>
          <w:rFonts w:ascii="Arial" w:hAnsi="Arial" w:cs="Arial"/>
          <w:b/>
          <w:bCs/>
          <w:color w:val="000000"/>
        </w:rPr>
        <w:t xml:space="preserve">Goods and Services Tax: </w:t>
      </w:r>
      <w:r w:rsidRPr="00F60B75">
        <w:rPr>
          <w:rFonts w:ascii="Arial" w:hAnsi="Arial" w:cs="Arial"/>
          <w:b/>
          <w:bCs/>
          <w:color w:val="000000"/>
        </w:rPr>
        <w:t xml:space="preserve">Foreign Currency </w:t>
      </w:r>
      <w:r w:rsidR="00F60B75" w:rsidRPr="00F60B75">
        <w:rPr>
          <w:rFonts w:ascii="Arial" w:hAnsi="Arial" w:cs="Arial"/>
          <w:b/>
          <w:bCs/>
          <w:color w:val="000000"/>
        </w:rPr>
        <w:t xml:space="preserve">Conversion </w:t>
      </w:r>
      <w:r w:rsidRPr="00F60B75">
        <w:rPr>
          <w:rFonts w:ascii="Arial" w:hAnsi="Arial" w:cs="Arial"/>
          <w:b/>
          <w:bCs/>
          <w:color w:val="000000"/>
        </w:rPr>
        <w:t xml:space="preserve">Determination </w:t>
      </w:r>
      <w:r>
        <w:rPr>
          <w:rFonts w:ascii="Arial" w:hAnsi="Arial" w:cs="Arial"/>
          <w:b/>
          <w:bCs/>
          <w:color w:val="000000"/>
        </w:rPr>
        <w:t>2018</w:t>
      </w:r>
    </w:p>
    <w:p w14:paraId="718AB1B3" w14:textId="77777777" w:rsidR="00F30C22" w:rsidRPr="00774E7F" w:rsidRDefault="00F30C22" w:rsidP="00F30C22">
      <w:pPr>
        <w:spacing w:before="100" w:beforeAutospacing="1" w:after="100" w:afterAutospacing="1"/>
        <w:rPr>
          <w:rFonts w:ascii="Arial" w:hAnsi="Arial" w:cs="Arial"/>
          <w:color w:val="000000"/>
        </w:rPr>
      </w:pPr>
      <w:r w:rsidRPr="00774E7F">
        <w:rPr>
          <w:rFonts w:ascii="Arial" w:hAnsi="Arial" w:cs="Arial"/>
          <w:color w:val="000000"/>
        </w:rPr>
        <w:t xml:space="preserve">This Legislative Instrument is compatible with the human rights and freedoms recognised or declared in the international instruments listed in section 3 of the </w:t>
      </w:r>
      <w:r w:rsidRPr="00774E7F">
        <w:rPr>
          <w:rFonts w:ascii="Arial" w:hAnsi="Arial" w:cs="Arial"/>
          <w:i/>
          <w:iCs/>
          <w:color w:val="000000"/>
        </w:rPr>
        <w:t>Human Rights (Parliamentary Scrutiny) Act 2011.</w:t>
      </w:r>
      <w:r w:rsidRPr="00774E7F">
        <w:rPr>
          <w:rFonts w:ascii="Arial" w:hAnsi="Arial" w:cs="Arial"/>
          <w:color w:val="000000"/>
        </w:rPr>
        <w:t xml:space="preserve"> </w:t>
      </w:r>
    </w:p>
    <w:p w14:paraId="70D012E4" w14:textId="20BC06DA" w:rsidR="00F30C22" w:rsidRPr="00774E7F" w:rsidRDefault="00F30C22" w:rsidP="00F30C22">
      <w:pPr>
        <w:spacing w:before="100" w:beforeAutospacing="1" w:after="100" w:afterAutospacing="1"/>
        <w:rPr>
          <w:rFonts w:ascii="Arial" w:hAnsi="Arial" w:cs="Arial"/>
          <w:color w:val="000000"/>
        </w:rPr>
      </w:pPr>
      <w:r w:rsidRPr="00774E7F">
        <w:rPr>
          <w:rFonts w:ascii="Arial" w:hAnsi="Arial" w:cs="Arial"/>
          <w:b/>
          <w:bCs/>
          <w:color w:val="000000"/>
        </w:rPr>
        <w:t>Overview of the Legislative Instrument</w:t>
      </w:r>
      <w:r w:rsidRPr="00774E7F">
        <w:rPr>
          <w:rFonts w:ascii="Arial" w:hAnsi="Arial" w:cs="Arial"/>
          <w:color w:val="000000"/>
        </w:rPr>
        <w:t xml:space="preserve"> </w:t>
      </w:r>
      <w:r w:rsidRPr="00774E7F">
        <w:rPr>
          <w:rFonts w:ascii="Arial" w:hAnsi="Arial" w:cs="Arial"/>
          <w:color w:val="000000"/>
        </w:rPr>
        <w:br/>
        <w:t xml:space="preserve">This Legislative Instrument </w:t>
      </w:r>
      <w:r>
        <w:rPr>
          <w:rFonts w:ascii="Arial" w:hAnsi="Arial" w:cs="Arial"/>
          <w:color w:val="000000"/>
        </w:rPr>
        <w:t xml:space="preserve">provides a method for </w:t>
      </w:r>
      <w:r w:rsidR="00D32C4B">
        <w:rPr>
          <w:rFonts w:ascii="Arial" w:hAnsi="Arial" w:cs="Arial"/>
          <w:color w:val="000000"/>
        </w:rPr>
        <w:t>working out the value of a taxable supply in Australian currency where an amount of the consideration for the supply is expressed in a foreign currency</w:t>
      </w:r>
      <w:r>
        <w:rPr>
          <w:rFonts w:ascii="Arial" w:hAnsi="Arial" w:cs="Arial"/>
          <w:color w:val="000000"/>
        </w:rPr>
        <w:t>.</w:t>
      </w:r>
      <w:r w:rsidRPr="00774E7F" w:rsidDel="00A83657">
        <w:rPr>
          <w:rFonts w:ascii="Arial" w:hAnsi="Arial" w:cs="Arial"/>
          <w:color w:val="000000"/>
        </w:rPr>
        <w:t xml:space="preserve"> </w:t>
      </w:r>
      <w:r w:rsidR="008F7F54">
        <w:rPr>
          <w:rFonts w:ascii="Arial" w:hAnsi="Arial" w:cs="Arial"/>
          <w:color w:val="000000"/>
        </w:rPr>
        <w:t xml:space="preserve">  </w:t>
      </w:r>
    </w:p>
    <w:p w14:paraId="7971A032" w14:textId="77777777" w:rsidR="00F30C22" w:rsidRPr="00774E7F" w:rsidRDefault="00F30C22" w:rsidP="00F30C22">
      <w:pPr>
        <w:spacing w:before="100" w:beforeAutospacing="1" w:after="100" w:afterAutospacing="1"/>
        <w:rPr>
          <w:rFonts w:ascii="Arial" w:hAnsi="Arial" w:cs="Arial"/>
          <w:color w:val="000000"/>
        </w:rPr>
      </w:pPr>
      <w:r w:rsidRPr="00774E7F">
        <w:rPr>
          <w:rFonts w:ascii="Arial" w:hAnsi="Arial" w:cs="Arial"/>
          <w:b/>
          <w:bCs/>
          <w:color w:val="000000"/>
        </w:rPr>
        <w:t>Human rights implications</w:t>
      </w:r>
      <w:r w:rsidRPr="00774E7F">
        <w:rPr>
          <w:rFonts w:ascii="Arial" w:hAnsi="Arial" w:cs="Arial"/>
          <w:color w:val="000000"/>
        </w:rPr>
        <w:t xml:space="preserve"> </w:t>
      </w:r>
      <w:r w:rsidRPr="00774E7F">
        <w:rPr>
          <w:rFonts w:ascii="Arial" w:hAnsi="Arial" w:cs="Arial"/>
          <w:color w:val="000000"/>
        </w:rPr>
        <w:br/>
        <w:t xml:space="preserve">This Legislative Instrument does not engage any of the applicable rights or freedoms as it is considered to be minor or machinery in nature and does not substantially change the law. </w:t>
      </w:r>
    </w:p>
    <w:p w14:paraId="171BA99C" w14:textId="77777777" w:rsidR="00F30C22" w:rsidRPr="00774E7F" w:rsidRDefault="00F30C22" w:rsidP="00F30C22">
      <w:pPr>
        <w:spacing w:before="100" w:beforeAutospacing="1" w:after="100" w:afterAutospacing="1"/>
        <w:rPr>
          <w:rFonts w:ascii="Arial" w:hAnsi="Arial" w:cs="Arial"/>
          <w:color w:val="000000"/>
        </w:rPr>
      </w:pPr>
      <w:r w:rsidRPr="00774E7F">
        <w:rPr>
          <w:rFonts w:ascii="Arial" w:hAnsi="Arial" w:cs="Arial"/>
          <w:b/>
          <w:bCs/>
          <w:color w:val="000000"/>
        </w:rPr>
        <w:t>Conclusion</w:t>
      </w:r>
      <w:r w:rsidRPr="00774E7F">
        <w:rPr>
          <w:rFonts w:ascii="Arial" w:hAnsi="Arial" w:cs="Arial"/>
          <w:color w:val="000000"/>
        </w:rPr>
        <w:t xml:space="preserve"> </w:t>
      </w:r>
      <w:r w:rsidRPr="00774E7F">
        <w:rPr>
          <w:rFonts w:ascii="Arial" w:hAnsi="Arial" w:cs="Arial"/>
          <w:color w:val="000000"/>
        </w:rPr>
        <w:br/>
        <w:t xml:space="preserve">This Legislative Instrument is compatible with human rights as it does not raise any human rights issues. </w:t>
      </w:r>
    </w:p>
    <w:p w14:paraId="06AB8CC6" w14:textId="77777777" w:rsidR="009A0B8E" w:rsidRPr="009A0B8E" w:rsidRDefault="009A0B8E" w:rsidP="009A0B8E">
      <w:pPr>
        <w:spacing w:after="120" w:line="240" w:lineRule="auto"/>
        <w:rPr>
          <w:rFonts w:ascii="Arial" w:eastAsia="Times New Roman" w:hAnsi="Arial" w:cs="Arial"/>
          <w:color w:val="000000"/>
          <w:lang w:eastAsia="en-AU"/>
        </w:rPr>
      </w:pPr>
    </w:p>
    <w:sectPr w:rsidR="009A0B8E" w:rsidRPr="009A0B8E" w:rsidSect="005A3C62">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FC75" w14:textId="77777777" w:rsidR="00044A83" w:rsidRDefault="00044A83" w:rsidP="00115550">
      <w:pPr>
        <w:spacing w:after="0" w:line="240" w:lineRule="auto"/>
      </w:pPr>
      <w:r>
        <w:separator/>
      </w:r>
    </w:p>
  </w:endnote>
  <w:endnote w:type="continuationSeparator" w:id="0">
    <w:p w14:paraId="2D55F1E5" w14:textId="77777777" w:rsidR="00044A83" w:rsidRDefault="00044A83" w:rsidP="0011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8647" w14:textId="77777777" w:rsidR="00044A83" w:rsidRDefault="00044A83" w:rsidP="00115550">
      <w:pPr>
        <w:spacing w:after="0" w:line="240" w:lineRule="auto"/>
      </w:pPr>
      <w:r>
        <w:separator/>
      </w:r>
    </w:p>
  </w:footnote>
  <w:footnote w:type="continuationSeparator" w:id="0">
    <w:p w14:paraId="05B19342" w14:textId="77777777" w:rsidR="00044A83" w:rsidRDefault="00044A83" w:rsidP="0011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8CCB" w14:textId="77777777" w:rsidR="009B0DCB" w:rsidRPr="00115550" w:rsidRDefault="009B0DCB" w:rsidP="005A3C62">
    <w:pPr>
      <w:framePr w:w="4381" w:h="732" w:hSpace="180" w:wrap="around" w:vAnchor="page" w:hAnchor="page" w:x="5761" w:y="991"/>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sz w:val="20"/>
        <w:szCs w:val="20"/>
        <w:lang w:eastAsia="en-AU"/>
      </w:rPr>
    </w:pPr>
    <w:r w:rsidRPr="00115550">
      <w:rPr>
        <w:rFonts w:ascii="Arial" w:eastAsia="Times New Roman" w:hAnsi="Arial" w:cs="Arial"/>
        <w:sz w:val="20"/>
        <w:szCs w:val="20"/>
        <w:lang w:eastAsia="en-AU"/>
      </w:rPr>
      <w:t>Australian Taxation Office Legislative Instrument</w:t>
    </w:r>
  </w:p>
  <w:p w14:paraId="06AB8CCC" w14:textId="59A88052" w:rsidR="009B0DCB" w:rsidRPr="00115550" w:rsidRDefault="009B0DCB" w:rsidP="005A3C62">
    <w:pPr>
      <w:framePr w:w="4381" w:h="732" w:hSpace="180" w:wrap="around" w:vAnchor="page" w:hAnchor="page" w:x="5761" w:y="991"/>
      <w:pBdr>
        <w:top w:val="single" w:sz="12" w:space="1" w:color="auto"/>
        <w:left w:val="single" w:sz="12" w:space="1" w:color="auto"/>
        <w:bottom w:val="single" w:sz="12" w:space="1" w:color="auto"/>
        <w:right w:val="single" w:sz="12" w:space="1" w:color="auto"/>
      </w:pBdr>
      <w:spacing w:after="0" w:line="240" w:lineRule="auto"/>
      <w:rPr>
        <w:rFonts w:ascii="Arial" w:eastAsia="Times New Roman" w:hAnsi="Arial" w:cs="Arial"/>
        <w:sz w:val="28"/>
        <w:szCs w:val="28"/>
        <w:lang w:eastAsia="en-AU"/>
      </w:rPr>
    </w:pPr>
    <w:r w:rsidRPr="00115550">
      <w:rPr>
        <w:rFonts w:ascii="Arial" w:eastAsia="Times New Roman" w:hAnsi="Arial" w:cs="Arial"/>
        <w:b/>
        <w:sz w:val="32"/>
        <w:szCs w:val="32"/>
        <w:lang w:eastAsia="en-AU"/>
      </w:rPr>
      <w:t xml:space="preserve">  </w:t>
    </w:r>
    <w:r w:rsidRPr="00115550">
      <w:rPr>
        <w:rFonts w:ascii="Arial" w:eastAsia="Times New Roman" w:hAnsi="Arial" w:cs="Arial"/>
        <w:b/>
        <w:sz w:val="28"/>
        <w:szCs w:val="28"/>
        <w:lang w:eastAsia="en-AU"/>
      </w:rPr>
      <w:t xml:space="preserve">Instrument ID: </w:t>
    </w:r>
    <w:r w:rsidR="00B7566D">
      <w:rPr>
        <w:rFonts w:ascii="Arial" w:eastAsia="Times New Roman" w:hAnsi="Arial" w:cs="Arial"/>
        <w:b/>
        <w:sz w:val="28"/>
        <w:szCs w:val="28"/>
        <w:lang w:eastAsia="en-AU"/>
      </w:rPr>
      <w:t>2018/ITX/0012</w:t>
    </w:r>
  </w:p>
  <w:p w14:paraId="06AB8CCD" w14:textId="77777777" w:rsidR="009B0DCB" w:rsidRDefault="009B0DCB">
    <w:pPr>
      <w:pStyle w:val="Header"/>
    </w:pPr>
    <w:r>
      <w:rPr>
        <w:noProof/>
        <w:lang w:eastAsia="en-AU"/>
      </w:rPr>
      <w:drawing>
        <wp:inline distT="0" distB="0" distL="0" distR="0" wp14:anchorId="06AB8CCE" wp14:editId="06AB8CCF">
          <wp:extent cx="2413635" cy="701675"/>
          <wp:effectExtent l="0" t="0" r="5715" b="3175"/>
          <wp:docPr id="2" name="Picture 2"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77"/>
    <w:multiLevelType w:val="hybridMultilevel"/>
    <w:tmpl w:val="A9E8D904"/>
    <w:lvl w:ilvl="0" w:tplc="C2ACD91E">
      <w:start w:val="1"/>
      <w:numFmt w:val="lowerLetter"/>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nsid w:val="1958759F"/>
    <w:multiLevelType w:val="hybridMultilevel"/>
    <w:tmpl w:val="63DE9B72"/>
    <w:lvl w:ilvl="0" w:tplc="3AA8994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3F4F1E"/>
    <w:multiLevelType w:val="hybridMultilevel"/>
    <w:tmpl w:val="57722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CC3903"/>
    <w:multiLevelType w:val="hybridMultilevel"/>
    <w:tmpl w:val="3BF0CB3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4511303"/>
    <w:multiLevelType w:val="hybridMultilevel"/>
    <w:tmpl w:val="1D3842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462B4A"/>
    <w:multiLevelType w:val="hybridMultilevel"/>
    <w:tmpl w:val="EB2A6F80"/>
    <w:lvl w:ilvl="0" w:tplc="F76A4FA2">
      <w:start w:val="1"/>
      <w:numFmt w:val="decimal"/>
      <w:lvlText w:val="%1."/>
      <w:lvlJc w:val="left"/>
      <w:pPr>
        <w:tabs>
          <w:tab w:val="num" w:pos="720"/>
        </w:tabs>
        <w:ind w:left="720" w:hanging="360"/>
      </w:pPr>
      <w:rPr>
        <w:b w:val="0"/>
        <w:i w:val="0"/>
        <w:sz w:val="22"/>
      </w:rPr>
    </w:lvl>
    <w:lvl w:ilvl="1" w:tplc="0C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514E7075"/>
    <w:multiLevelType w:val="hybridMultilevel"/>
    <w:tmpl w:val="0CF45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3E145B"/>
    <w:multiLevelType w:val="hybridMultilevel"/>
    <w:tmpl w:val="22B4A738"/>
    <w:lvl w:ilvl="0" w:tplc="C2ACD91E">
      <w:start w:val="1"/>
      <w:numFmt w:val="lowerLetter"/>
      <w:lvlText w:val="(%1)"/>
      <w:lvlJc w:val="left"/>
      <w:pPr>
        <w:ind w:left="1209" w:hanging="360"/>
      </w:pPr>
      <w:rPr>
        <w:rFonts w:hint="default"/>
      </w:rPr>
    </w:lvl>
    <w:lvl w:ilvl="1" w:tplc="0C090019" w:tentative="1">
      <w:start w:val="1"/>
      <w:numFmt w:val="lowerLetter"/>
      <w:lvlText w:val="%2."/>
      <w:lvlJc w:val="left"/>
      <w:pPr>
        <w:ind w:left="1929" w:hanging="360"/>
      </w:pPr>
    </w:lvl>
    <w:lvl w:ilvl="2" w:tplc="0C09001B" w:tentative="1">
      <w:start w:val="1"/>
      <w:numFmt w:val="lowerRoman"/>
      <w:lvlText w:val="%3."/>
      <w:lvlJc w:val="right"/>
      <w:pPr>
        <w:ind w:left="2649" w:hanging="180"/>
      </w:pPr>
    </w:lvl>
    <w:lvl w:ilvl="3" w:tplc="0C09000F" w:tentative="1">
      <w:start w:val="1"/>
      <w:numFmt w:val="decimal"/>
      <w:lvlText w:val="%4."/>
      <w:lvlJc w:val="left"/>
      <w:pPr>
        <w:ind w:left="3369" w:hanging="360"/>
      </w:pPr>
    </w:lvl>
    <w:lvl w:ilvl="4" w:tplc="0C090019" w:tentative="1">
      <w:start w:val="1"/>
      <w:numFmt w:val="lowerLetter"/>
      <w:lvlText w:val="%5."/>
      <w:lvlJc w:val="left"/>
      <w:pPr>
        <w:ind w:left="4089" w:hanging="360"/>
      </w:pPr>
    </w:lvl>
    <w:lvl w:ilvl="5" w:tplc="0C09001B" w:tentative="1">
      <w:start w:val="1"/>
      <w:numFmt w:val="lowerRoman"/>
      <w:lvlText w:val="%6."/>
      <w:lvlJc w:val="right"/>
      <w:pPr>
        <w:ind w:left="4809" w:hanging="180"/>
      </w:pPr>
    </w:lvl>
    <w:lvl w:ilvl="6" w:tplc="0C09000F" w:tentative="1">
      <w:start w:val="1"/>
      <w:numFmt w:val="decimal"/>
      <w:lvlText w:val="%7."/>
      <w:lvlJc w:val="left"/>
      <w:pPr>
        <w:ind w:left="5529" w:hanging="360"/>
      </w:pPr>
    </w:lvl>
    <w:lvl w:ilvl="7" w:tplc="0C090019" w:tentative="1">
      <w:start w:val="1"/>
      <w:numFmt w:val="lowerLetter"/>
      <w:lvlText w:val="%8."/>
      <w:lvlJc w:val="left"/>
      <w:pPr>
        <w:ind w:left="6249" w:hanging="360"/>
      </w:pPr>
    </w:lvl>
    <w:lvl w:ilvl="8" w:tplc="0C09001B" w:tentative="1">
      <w:start w:val="1"/>
      <w:numFmt w:val="lowerRoman"/>
      <w:lvlText w:val="%9."/>
      <w:lvlJc w:val="right"/>
      <w:pPr>
        <w:ind w:left="6969" w:hanging="180"/>
      </w:pPr>
    </w:lvl>
  </w:abstractNum>
  <w:num w:numId="1">
    <w:abstractNumId w:val="1"/>
  </w:num>
  <w:num w:numId="2">
    <w:abstractNumId w:val="4"/>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51"/>
    <w:rsid w:val="00010351"/>
    <w:rsid w:val="0002071D"/>
    <w:rsid w:val="00041A14"/>
    <w:rsid w:val="00044A83"/>
    <w:rsid w:val="000707C8"/>
    <w:rsid w:val="000B76B4"/>
    <w:rsid w:val="000C5BB9"/>
    <w:rsid w:val="000F5260"/>
    <w:rsid w:val="00115550"/>
    <w:rsid w:val="00186E3C"/>
    <w:rsid w:val="00187220"/>
    <w:rsid w:val="001E40EF"/>
    <w:rsid w:val="001F2E7C"/>
    <w:rsid w:val="002275A0"/>
    <w:rsid w:val="002377A8"/>
    <w:rsid w:val="002560C1"/>
    <w:rsid w:val="002B02FD"/>
    <w:rsid w:val="003063FF"/>
    <w:rsid w:val="0039276A"/>
    <w:rsid w:val="003D6191"/>
    <w:rsid w:val="00406A8C"/>
    <w:rsid w:val="00410906"/>
    <w:rsid w:val="004A643B"/>
    <w:rsid w:val="004C63DA"/>
    <w:rsid w:val="0055582D"/>
    <w:rsid w:val="0055724E"/>
    <w:rsid w:val="005911AC"/>
    <w:rsid w:val="005A2F02"/>
    <w:rsid w:val="005A3C62"/>
    <w:rsid w:val="005B2A6B"/>
    <w:rsid w:val="005C1317"/>
    <w:rsid w:val="005D18E3"/>
    <w:rsid w:val="005E0232"/>
    <w:rsid w:val="00617CAD"/>
    <w:rsid w:val="006544EE"/>
    <w:rsid w:val="00670669"/>
    <w:rsid w:val="00695C41"/>
    <w:rsid w:val="00696F49"/>
    <w:rsid w:val="007225B3"/>
    <w:rsid w:val="007757F4"/>
    <w:rsid w:val="007D50B2"/>
    <w:rsid w:val="007F5701"/>
    <w:rsid w:val="007F64A1"/>
    <w:rsid w:val="00842831"/>
    <w:rsid w:val="008F7F54"/>
    <w:rsid w:val="00921B3F"/>
    <w:rsid w:val="00936530"/>
    <w:rsid w:val="0096571F"/>
    <w:rsid w:val="00976D31"/>
    <w:rsid w:val="009A0B8E"/>
    <w:rsid w:val="009B0DCB"/>
    <w:rsid w:val="009D5ECB"/>
    <w:rsid w:val="00A3772B"/>
    <w:rsid w:val="00A80DFC"/>
    <w:rsid w:val="00AA7D50"/>
    <w:rsid w:val="00AB414A"/>
    <w:rsid w:val="00B15842"/>
    <w:rsid w:val="00B20FF2"/>
    <w:rsid w:val="00B337A7"/>
    <w:rsid w:val="00B35635"/>
    <w:rsid w:val="00B54DEA"/>
    <w:rsid w:val="00B55155"/>
    <w:rsid w:val="00B60154"/>
    <w:rsid w:val="00B6172D"/>
    <w:rsid w:val="00B74F2A"/>
    <w:rsid w:val="00B7566D"/>
    <w:rsid w:val="00B95AF9"/>
    <w:rsid w:val="00BB2FC2"/>
    <w:rsid w:val="00BB4E8E"/>
    <w:rsid w:val="00BC4FB0"/>
    <w:rsid w:val="00C03329"/>
    <w:rsid w:val="00C3099D"/>
    <w:rsid w:val="00C56903"/>
    <w:rsid w:val="00C75408"/>
    <w:rsid w:val="00C8059D"/>
    <w:rsid w:val="00CA0C77"/>
    <w:rsid w:val="00CD548E"/>
    <w:rsid w:val="00CE35FF"/>
    <w:rsid w:val="00CE5ACD"/>
    <w:rsid w:val="00CF4404"/>
    <w:rsid w:val="00D32C4B"/>
    <w:rsid w:val="00D506C6"/>
    <w:rsid w:val="00D5216F"/>
    <w:rsid w:val="00D640DE"/>
    <w:rsid w:val="00D701CB"/>
    <w:rsid w:val="00D73368"/>
    <w:rsid w:val="00DC6A12"/>
    <w:rsid w:val="00E3786C"/>
    <w:rsid w:val="00E60D2B"/>
    <w:rsid w:val="00E77078"/>
    <w:rsid w:val="00E87B6D"/>
    <w:rsid w:val="00ED63D4"/>
    <w:rsid w:val="00F15F4E"/>
    <w:rsid w:val="00F30C22"/>
    <w:rsid w:val="00F60B75"/>
    <w:rsid w:val="00FC2760"/>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0B8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qFormat/>
    <w:rsid w:val="00115550"/>
    <w:pPr>
      <w:keepNext/>
      <w:spacing w:after="120" w:line="240" w:lineRule="auto"/>
      <w:outlineLvl w:val="1"/>
    </w:pPr>
    <w:rPr>
      <w:rFonts w:ascii="Arial" w:eastAsia="Times New Roman"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35"/>
    <w:rPr>
      <w:rFonts w:ascii="Tahoma" w:hAnsi="Tahoma" w:cs="Tahoma"/>
      <w:sz w:val="16"/>
      <w:szCs w:val="16"/>
    </w:rPr>
  </w:style>
  <w:style w:type="table" w:styleId="TableGrid">
    <w:name w:val="Table Grid"/>
    <w:basedOn w:val="TableNormal"/>
    <w:rsid w:val="00B356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5635"/>
    <w:rPr>
      <w:sz w:val="16"/>
      <w:szCs w:val="16"/>
    </w:rPr>
  </w:style>
  <w:style w:type="paragraph" w:styleId="CommentText">
    <w:name w:val="annotation text"/>
    <w:basedOn w:val="Normal"/>
    <w:link w:val="CommentTextChar"/>
    <w:semiHidden/>
    <w:rsid w:val="00B35635"/>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B35635"/>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B60154"/>
    <w:rPr>
      <w:color w:val="0000FF" w:themeColor="hyperlink"/>
      <w:u w:val="single"/>
    </w:rPr>
  </w:style>
  <w:style w:type="paragraph" w:styleId="ListParagraph">
    <w:name w:val="List Paragraph"/>
    <w:basedOn w:val="Normal"/>
    <w:uiPriority w:val="34"/>
    <w:qFormat/>
    <w:rsid w:val="00B60154"/>
    <w:pPr>
      <w:ind w:left="720"/>
      <w:contextualSpacing/>
    </w:pPr>
  </w:style>
  <w:style w:type="paragraph" w:styleId="CommentSubject">
    <w:name w:val="annotation subject"/>
    <w:basedOn w:val="CommentText"/>
    <w:next w:val="CommentText"/>
    <w:link w:val="CommentSubjectChar"/>
    <w:uiPriority w:val="99"/>
    <w:semiHidden/>
    <w:unhideWhenUsed/>
    <w:rsid w:val="0041090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10906"/>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rsid w:val="00696F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2A6B"/>
    <w:rPr>
      <w:color w:val="800080" w:themeColor="followedHyperlink"/>
      <w:u w:val="single"/>
    </w:rPr>
  </w:style>
  <w:style w:type="paragraph" w:styleId="Header">
    <w:name w:val="header"/>
    <w:basedOn w:val="Normal"/>
    <w:link w:val="HeaderChar"/>
    <w:uiPriority w:val="99"/>
    <w:unhideWhenUsed/>
    <w:rsid w:val="0011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50"/>
  </w:style>
  <w:style w:type="paragraph" w:styleId="Footer">
    <w:name w:val="footer"/>
    <w:basedOn w:val="Normal"/>
    <w:link w:val="FooterChar"/>
    <w:uiPriority w:val="99"/>
    <w:unhideWhenUsed/>
    <w:rsid w:val="0011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550"/>
  </w:style>
  <w:style w:type="character" w:customStyle="1" w:styleId="Heading2Char">
    <w:name w:val="Heading 2 Char"/>
    <w:basedOn w:val="DefaultParagraphFont"/>
    <w:link w:val="Heading2"/>
    <w:rsid w:val="00115550"/>
    <w:rPr>
      <w:rFonts w:ascii="Arial" w:eastAsia="Times New Roman" w:hAnsi="Arial" w:cs="Times New Roman"/>
      <w:b/>
      <w:szCs w:val="20"/>
      <w:lang w:eastAsia="en-AU"/>
    </w:rPr>
  </w:style>
  <w:style w:type="paragraph" w:styleId="PlainText">
    <w:name w:val="Plain Text"/>
    <w:basedOn w:val="Normal"/>
    <w:link w:val="PlainTextChar"/>
    <w:uiPriority w:val="99"/>
    <w:semiHidden/>
    <w:unhideWhenUsed/>
    <w:rsid w:val="00D733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368"/>
    <w:rPr>
      <w:rFonts w:ascii="Calibri" w:hAnsi="Calibri"/>
      <w:szCs w:val="21"/>
    </w:rPr>
  </w:style>
  <w:style w:type="character" w:customStyle="1" w:styleId="Heading1Char">
    <w:name w:val="Heading 1 Char"/>
    <w:basedOn w:val="DefaultParagraphFont"/>
    <w:link w:val="Heading1"/>
    <w:rsid w:val="009A0B8E"/>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rsid w:val="000F5260"/>
    <w:pPr>
      <w:spacing w:before="100" w:beforeAutospacing="1" w:after="100" w:afterAutospacing="1" w:line="240" w:lineRule="auto"/>
    </w:pPr>
    <w:rPr>
      <w:rFonts w:ascii="Arial" w:eastAsia="Times New Roman" w:hAnsi="Arial" w:cs="Arial"/>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0B8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qFormat/>
    <w:rsid w:val="00115550"/>
    <w:pPr>
      <w:keepNext/>
      <w:spacing w:after="120" w:line="240" w:lineRule="auto"/>
      <w:outlineLvl w:val="1"/>
    </w:pPr>
    <w:rPr>
      <w:rFonts w:ascii="Arial" w:eastAsia="Times New Roman"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35"/>
    <w:rPr>
      <w:rFonts w:ascii="Tahoma" w:hAnsi="Tahoma" w:cs="Tahoma"/>
      <w:sz w:val="16"/>
      <w:szCs w:val="16"/>
    </w:rPr>
  </w:style>
  <w:style w:type="table" w:styleId="TableGrid">
    <w:name w:val="Table Grid"/>
    <w:basedOn w:val="TableNormal"/>
    <w:rsid w:val="00B356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5635"/>
    <w:rPr>
      <w:sz w:val="16"/>
      <w:szCs w:val="16"/>
    </w:rPr>
  </w:style>
  <w:style w:type="paragraph" w:styleId="CommentText">
    <w:name w:val="annotation text"/>
    <w:basedOn w:val="Normal"/>
    <w:link w:val="CommentTextChar"/>
    <w:semiHidden/>
    <w:rsid w:val="00B35635"/>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B35635"/>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B60154"/>
    <w:rPr>
      <w:color w:val="0000FF" w:themeColor="hyperlink"/>
      <w:u w:val="single"/>
    </w:rPr>
  </w:style>
  <w:style w:type="paragraph" w:styleId="ListParagraph">
    <w:name w:val="List Paragraph"/>
    <w:basedOn w:val="Normal"/>
    <w:uiPriority w:val="34"/>
    <w:qFormat/>
    <w:rsid w:val="00B60154"/>
    <w:pPr>
      <w:ind w:left="720"/>
      <w:contextualSpacing/>
    </w:pPr>
  </w:style>
  <w:style w:type="paragraph" w:styleId="CommentSubject">
    <w:name w:val="annotation subject"/>
    <w:basedOn w:val="CommentText"/>
    <w:next w:val="CommentText"/>
    <w:link w:val="CommentSubjectChar"/>
    <w:uiPriority w:val="99"/>
    <w:semiHidden/>
    <w:unhideWhenUsed/>
    <w:rsid w:val="0041090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10906"/>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rsid w:val="00696F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2A6B"/>
    <w:rPr>
      <w:color w:val="800080" w:themeColor="followedHyperlink"/>
      <w:u w:val="single"/>
    </w:rPr>
  </w:style>
  <w:style w:type="paragraph" w:styleId="Header">
    <w:name w:val="header"/>
    <w:basedOn w:val="Normal"/>
    <w:link w:val="HeaderChar"/>
    <w:uiPriority w:val="99"/>
    <w:unhideWhenUsed/>
    <w:rsid w:val="0011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50"/>
  </w:style>
  <w:style w:type="paragraph" w:styleId="Footer">
    <w:name w:val="footer"/>
    <w:basedOn w:val="Normal"/>
    <w:link w:val="FooterChar"/>
    <w:uiPriority w:val="99"/>
    <w:unhideWhenUsed/>
    <w:rsid w:val="0011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550"/>
  </w:style>
  <w:style w:type="character" w:customStyle="1" w:styleId="Heading2Char">
    <w:name w:val="Heading 2 Char"/>
    <w:basedOn w:val="DefaultParagraphFont"/>
    <w:link w:val="Heading2"/>
    <w:rsid w:val="00115550"/>
    <w:rPr>
      <w:rFonts w:ascii="Arial" w:eastAsia="Times New Roman" w:hAnsi="Arial" w:cs="Times New Roman"/>
      <w:b/>
      <w:szCs w:val="20"/>
      <w:lang w:eastAsia="en-AU"/>
    </w:rPr>
  </w:style>
  <w:style w:type="paragraph" w:styleId="PlainText">
    <w:name w:val="Plain Text"/>
    <w:basedOn w:val="Normal"/>
    <w:link w:val="PlainTextChar"/>
    <w:uiPriority w:val="99"/>
    <w:semiHidden/>
    <w:unhideWhenUsed/>
    <w:rsid w:val="00D733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368"/>
    <w:rPr>
      <w:rFonts w:ascii="Calibri" w:hAnsi="Calibri"/>
      <w:szCs w:val="21"/>
    </w:rPr>
  </w:style>
  <w:style w:type="character" w:customStyle="1" w:styleId="Heading1Char">
    <w:name w:val="Heading 1 Char"/>
    <w:basedOn w:val="DefaultParagraphFont"/>
    <w:link w:val="Heading1"/>
    <w:rsid w:val="009A0B8E"/>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rsid w:val="000F5260"/>
    <w:pPr>
      <w:spacing w:before="100" w:beforeAutospacing="1" w:after="100" w:afterAutospacing="1" w:line="240" w:lineRule="auto"/>
    </w:pPr>
    <w:rPr>
      <w:rFonts w:ascii="Arial" w:eastAsia="Times New Roman" w:hAnsi="Arial" w:cs="Arial"/>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9811">
      <w:bodyDiv w:val="1"/>
      <w:marLeft w:val="75"/>
      <w:marRight w:val="75"/>
      <w:marTop w:val="75"/>
      <w:marBottom w:val="75"/>
      <w:divBdr>
        <w:top w:val="none" w:sz="0" w:space="0" w:color="auto"/>
        <w:left w:val="none" w:sz="0" w:space="0" w:color="auto"/>
        <w:bottom w:val="none" w:sz="0" w:space="0" w:color="auto"/>
        <w:right w:val="none" w:sz="0" w:space="0" w:color="auto"/>
      </w:divBdr>
      <w:divsChild>
        <w:div w:id="857080262">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057901760">
      <w:bodyDiv w:val="1"/>
      <w:marLeft w:val="0"/>
      <w:marRight w:val="0"/>
      <w:marTop w:val="0"/>
      <w:marBottom w:val="0"/>
      <w:divBdr>
        <w:top w:val="none" w:sz="0" w:space="0" w:color="auto"/>
        <w:left w:val="none" w:sz="0" w:space="0" w:color="auto"/>
        <w:bottom w:val="none" w:sz="0" w:space="0" w:color="auto"/>
        <w:right w:val="none" w:sz="0" w:space="0" w:color="auto"/>
      </w:divBdr>
    </w:div>
    <w:div w:id="18444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
  <cached>True</cached>
  <openByDefault>False</openByDefault>
  <xsnScope>http://sharepoint</xsnScope>
</customXsn>
</file>

<file path=customXml/item3.xml><?xml version="1.0" encoding="utf-8"?>
<ct:contentTypeSchema xmlns:ct="http://schemas.microsoft.com/office/2006/metadata/contentType" xmlns:ma="http://schemas.microsoft.com/office/2006/metadata/properties/metaAttributes" ct:_="" ma:_="" ma:contentTypeName="Word" ma:contentTypeID="0x010100A64679C44DADA04984EEB770C47918730080A41F3CFA95F3408F1D4B9CD435EFC7" ma:contentTypeVersion="31" ma:contentTypeDescription="" ma:contentTypeScope="" ma:versionID="44a0b8a1c6262f96183d957effb024ca">
  <xsd:schema xmlns:xsd="http://www.w3.org/2001/XMLSchema" xmlns:xs="http://www.w3.org/2001/XMLSchema" xmlns:p="http://schemas.microsoft.com/office/2006/metadata/properties" xmlns:ns1="http://schemas.microsoft.com/sharepoint/v3" xmlns:ns2="5e039acd-daf0-4ba3-b421-e9b9ae1a3620" xmlns:ns3="d550960a-6f7e-4dcc-a53d-cf174d7e9de3" targetNamespace="http://schemas.microsoft.com/office/2006/metadata/properties" ma:root="true" ma:fieldsID="8810737a1bae189c487faf26f71f0eb5" ns1:_="" ns2:_="" ns3:_="">
    <xsd:import namespace="http://schemas.microsoft.com/sharepoint/v3"/>
    <xsd:import namespace="5e039acd-daf0-4ba3-b421-e9b9ae1a3620"/>
    <xsd:import namespace="d550960a-6f7e-4dcc-a53d-cf174d7e9de3"/>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Folder" minOccurs="0"/>
                <xsd:element ref="ns3:Work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0960a-6f7e-4dcc-a53d-cf174d7e9de3" elementFormDefault="qualified">
    <xsd:import namespace="http://schemas.microsoft.com/office/2006/documentManagement/types"/>
    <xsd:import namespace="http://schemas.microsoft.com/office/infopath/2007/PartnerControls"/>
    <xsd:element name="Folder" ma:index="18" nillable="true" ma:displayName="Folder" ma:default="Administrative systems" ma:format="Dropdown" ma:internalName="Folder">
      <xsd:simpleType>
        <xsd:restriction base="dms:Choice">
          <xsd:enumeration value="Administrative systems"/>
          <xsd:enumeration value="Business"/>
          <xsd:enumeration value="International"/>
          <xsd:enumeration value="Law"/>
          <xsd:enumeration value="OECD"/>
          <xsd:enumeration value="Project"/>
          <xsd:enumeration value="Reporting"/>
          <xsd:enumeration value="Risk and compliance"/>
        </xsd:restriction>
      </xsd:simpleType>
    </xsd:element>
    <xsd:element name="Work_type" ma:index="19" ma:displayName="Work_type" ma:default="Drafting instructions" ma:format="Dropdown" ma:internalName="Work_type">
      <xsd:simpleType>
        <xsd:restriction base="dms:Choice">
          <xsd:enumeration value="Drafting instructions"/>
          <xsd:enumeration value="Legislation"/>
          <xsd:enumeration value="Explanatory Memorandum"/>
          <xsd:enumeration value="Bill"/>
          <xsd:enumeration value="Working Documen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 xmlns="d550960a-6f7e-4dcc-a53d-cf174d7e9de3">Law</Folder>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Work_type xmlns="d550960a-6f7e-4dcc-a53d-cf174d7e9de3">Legislation</Work_type>
    <_dlc_ExpireDateSaved xmlns="http://schemas.microsoft.com/sharepoint/v3" xsi:nil="true"/>
    <_dlc_ExpireDate xmlns="http://schemas.microsoft.com/sharepoint/v3">2028-05-30T04:16:36+00:00</_dlc_ExpireDate>
    <_dlc_DocId xmlns="5e039acd-daf0-4ba3-b421-e9b9ae1a3620">5YHNKJZSV77T-3245-409</_dlc_DocId>
    <_dlc_DocIdUrl xmlns="5e039acd-daf0-4ba3-b421-e9b9ae1a3620">
      <Url>http://sharepoint/GASites/ITXCommunicationsExchange/_layouts/DocIdRedir.aspx?ID=5YHNKJZSV77T-3245-409</Url>
      <Description>5YHNKJZSV77T-3245-409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CC3F-B6C2-4BDE-A0E6-1FC59CA16BF9}">
  <ds:schemaRefs>
    <ds:schemaRef ds:uri="http://schemas.microsoft.com/sharepoint/events"/>
  </ds:schemaRefs>
</ds:datastoreItem>
</file>

<file path=customXml/itemProps2.xml><?xml version="1.0" encoding="utf-8"?>
<ds:datastoreItem xmlns:ds="http://schemas.openxmlformats.org/officeDocument/2006/customXml" ds:itemID="{9CC8B83C-CD1C-464C-8D4A-87CEA34ADD89}">
  <ds:schemaRefs>
    <ds:schemaRef ds:uri="http://schemas.microsoft.com/office/2006/metadata/customXsn"/>
  </ds:schemaRefs>
</ds:datastoreItem>
</file>

<file path=customXml/itemProps3.xml><?xml version="1.0" encoding="utf-8"?>
<ds:datastoreItem xmlns:ds="http://schemas.openxmlformats.org/officeDocument/2006/customXml" ds:itemID="{D7F95912-E019-4466-8D08-E80021E4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d550960a-6f7e-4dcc-a53d-cf174d7e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B9DDD-A8A2-408C-84D0-BE95030FCC75}">
  <ds:schemaRefs>
    <ds:schemaRef ds:uri="http://schemas.microsoft.com/office/2006/metadata/properties"/>
    <ds:schemaRef ds:uri="http://schemas.microsoft.com/office/infopath/2007/PartnerControls"/>
    <ds:schemaRef ds:uri="d550960a-6f7e-4dcc-a53d-cf174d7e9de3"/>
    <ds:schemaRef ds:uri="5e039acd-daf0-4ba3-b421-e9b9ae1a3620"/>
    <ds:schemaRef ds:uri="http://schemas.microsoft.com/sharepoint/v3"/>
  </ds:schemaRefs>
</ds:datastoreItem>
</file>

<file path=customXml/itemProps5.xml><?xml version="1.0" encoding="utf-8"?>
<ds:datastoreItem xmlns:ds="http://schemas.openxmlformats.org/officeDocument/2006/customXml" ds:itemID="{8419581D-50B1-49D3-AC24-EA7574F0AC78}">
  <ds:schemaRefs>
    <ds:schemaRef ds:uri="http://schemas.microsoft.com/sharepoint/v3/contenttype/forms"/>
  </ds:schemaRefs>
</ds:datastoreItem>
</file>

<file path=customXml/itemProps6.xml><?xml version="1.0" encoding="utf-8"?>
<ds:datastoreItem xmlns:ds="http://schemas.openxmlformats.org/officeDocument/2006/customXml" ds:itemID="{79807427-E2DA-4DF8-8B5C-61EB3BBA27F8}">
  <ds:schemaRefs>
    <ds:schemaRef ds:uri="office.server.policy"/>
  </ds:schemaRefs>
</ds:datastoreItem>
</file>

<file path=customXml/itemProps7.xml><?xml version="1.0" encoding="utf-8"?>
<ds:datastoreItem xmlns:ds="http://schemas.openxmlformats.org/officeDocument/2006/customXml" ds:itemID="{24B3DEBC-EAE3-479D-8580-464A3AD2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Updated ES for FOREX for section 9-85</vt:lpstr>
    </vt:vector>
  </TitlesOfParts>
  <Company>Australian Taxation Office</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ES for FOREX for section 9-85</dc:title>
  <dc:creator>Sheree Clancy</dc:creator>
  <cp:lastModifiedBy>Ducat, Stuart</cp:lastModifiedBy>
  <cp:revision>4</cp:revision>
  <cp:lastPrinted>2018-05-25T04:40:00Z</cp:lastPrinted>
  <dcterms:created xsi:type="dcterms:W3CDTF">2018-06-06T06:16:00Z</dcterms:created>
  <dcterms:modified xsi:type="dcterms:W3CDTF">2018-06-06T06:21:00Z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0x010100A64679C44DADA04984EEB770C47918730080A41F3CFA95F3408F1D4B9CD435EFC7</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d9bee3a1-8935-44a8-b162-1e3fa760fc1c</vt:lpwstr>
  </property>
  <property fmtid="{D5CDD505-2E9C-101B-9397-08002B2CF9AE}" pid="6" name="Security Classification">
    <vt:lpwstr>1;#UNCLASSIFIED|1bbb598d-ed8e-4faa-b9b5-c952cc7313f8</vt:lpwstr>
  </property>
</Properties>
</file>