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5E5E1" w14:textId="77777777"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bookmarkStart w:id="1" w:name="_GoBack"/>
      <w:bookmarkEnd w:id="1"/>
      <w:r w:rsidRPr="001F2A16">
        <w:rPr>
          <w:rFonts w:ascii="Arial" w:hAnsi="Arial" w:cs="Arial"/>
          <w:sz w:val="34"/>
          <w:szCs w:val="34"/>
        </w:rPr>
        <w:t>Explanatory Statement</w:t>
      </w:r>
    </w:p>
    <w:p w14:paraId="0355E5E2" w14:textId="77777777" w:rsidR="001F2A16" w:rsidRP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0355E5E3" w14:textId="649650B3" w:rsidR="0099555F" w:rsidRPr="001F2A16" w:rsidRDefault="00332CBA"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332CBA">
        <w:rPr>
          <w:rFonts w:ascii="Arial" w:hAnsi="Arial" w:cs="Arial"/>
          <w:sz w:val="34"/>
          <w:szCs w:val="34"/>
        </w:rPr>
        <w:t>Goods and Services Tax: Foreign Currency (Customs Value of Low Value Goods) Determination 201</w:t>
      </w:r>
      <w:r w:rsidR="00A14404">
        <w:rPr>
          <w:rFonts w:ascii="Arial" w:hAnsi="Arial" w:cs="Arial"/>
          <w:sz w:val="34"/>
          <w:szCs w:val="34"/>
        </w:rPr>
        <w:t>8</w:t>
      </w:r>
      <w:r w:rsidR="00380CC4" w:rsidRPr="001F2A16">
        <w:rPr>
          <w:rFonts w:ascii="Arial" w:hAnsi="Arial" w:cs="Arial"/>
          <w:sz w:val="34"/>
          <w:szCs w:val="34"/>
        </w:rPr>
        <w:t xml:space="preserve"> </w:t>
      </w:r>
    </w:p>
    <w:p w14:paraId="0355E5E4" w14:textId="77777777" w:rsidR="0099555F" w:rsidRDefault="0099555F" w:rsidP="0099555F">
      <w:pPr>
        <w:pStyle w:val="Header"/>
        <w:tabs>
          <w:tab w:val="clear" w:pos="4153"/>
          <w:tab w:val="clear" w:pos="8306"/>
        </w:tabs>
        <w:jc w:val="center"/>
        <w:rPr>
          <w:rFonts w:ascii="Arial" w:hAnsi="Arial" w:cs="Arial"/>
          <w:szCs w:val="24"/>
        </w:rPr>
      </w:pPr>
    </w:p>
    <w:p w14:paraId="0355E5E5" w14:textId="77777777" w:rsidR="001F2A16" w:rsidRPr="001F2A16" w:rsidRDefault="001F2A16" w:rsidP="0099555F">
      <w:pPr>
        <w:pStyle w:val="Header"/>
        <w:tabs>
          <w:tab w:val="clear" w:pos="4153"/>
          <w:tab w:val="clear" w:pos="8306"/>
        </w:tabs>
        <w:jc w:val="center"/>
        <w:rPr>
          <w:rFonts w:ascii="Arial" w:hAnsi="Arial" w:cs="Arial"/>
          <w:szCs w:val="24"/>
        </w:rPr>
      </w:pPr>
    </w:p>
    <w:p w14:paraId="0355E5E6" w14:textId="753DC06B" w:rsidR="00486653" w:rsidRDefault="00486653" w:rsidP="00486653">
      <w:pPr>
        <w:pStyle w:val="Heading2"/>
        <w:rPr>
          <w:sz w:val="24"/>
          <w:szCs w:val="24"/>
        </w:rPr>
      </w:pPr>
      <w:bookmarkStart w:id="2" w:name="EDisclaimer"/>
      <w:bookmarkStart w:id="3" w:name="HBody"/>
      <w:bookmarkStart w:id="4" w:name="LReferences"/>
      <w:bookmarkStart w:id="5" w:name="NRulingRef"/>
      <w:bookmarkStart w:id="6" w:name="OSubjectRef"/>
      <w:bookmarkStart w:id="7" w:name="PLegrefText"/>
      <w:bookmarkStart w:id="8" w:name="QLegref"/>
      <w:bookmarkStart w:id="9" w:name="RCaseRefText"/>
      <w:bookmarkStart w:id="10" w:name="SCaseRef"/>
      <w:bookmarkStart w:id="11" w:name="VISSN"/>
      <w:bookmarkEnd w:id="0"/>
      <w:bookmarkEnd w:id="2"/>
      <w:bookmarkEnd w:id="3"/>
      <w:bookmarkEnd w:id="4"/>
      <w:bookmarkEnd w:id="5"/>
      <w:bookmarkEnd w:id="6"/>
      <w:bookmarkEnd w:id="7"/>
      <w:bookmarkEnd w:id="8"/>
      <w:bookmarkEnd w:id="9"/>
      <w:bookmarkEnd w:id="10"/>
      <w:bookmarkEnd w:id="11"/>
      <w:r w:rsidRPr="005E6CCE">
        <w:rPr>
          <w:sz w:val="24"/>
          <w:szCs w:val="24"/>
        </w:rPr>
        <w:t xml:space="preserve">General Outline of </w:t>
      </w:r>
      <w:r w:rsidR="00106975">
        <w:rPr>
          <w:sz w:val="24"/>
          <w:szCs w:val="24"/>
        </w:rPr>
        <w:t>determination</w:t>
      </w:r>
    </w:p>
    <w:p w14:paraId="0355E5E7" w14:textId="77777777" w:rsidR="00486653" w:rsidRPr="00E72FC7" w:rsidRDefault="00486653" w:rsidP="00486653"/>
    <w:p w14:paraId="0355E5EC" w14:textId="252CDDF2" w:rsidR="00D77015" w:rsidRPr="00F8037A" w:rsidRDefault="00486653" w:rsidP="0013353B">
      <w:pPr>
        <w:numPr>
          <w:ilvl w:val="0"/>
          <w:numId w:val="16"/>
        </w:numPr>
        <w:spacing w:after="120"/>
        <w:rPr>
          <w:rFonts w:ascii="Arial" w:hAnsi="Arial" w:cs="Arial"/>
          <w:sz w:val="22"/>
          <w:szCs w:val="22"/>
        </w:rPr>
      </w:pPr>
      <w:bookmarkStart w:id="12" w:name="IComments"/>
      <w:r>
        <w:rPr>
          <w:rFonts w:ascii="Arial" w:hAnsi="Arial" w:cs="Arial"/>
          <w:sz w:val="22"/>
          <w:szCs w:val="22"/>
        </w:rPr>
        <w:t xml:space="preserve">This </w:t>
      </w:r>
      <w:r w:rsidR="005738B4">
        <w:rPr>
          <w:rFonts w:ascii="Arial" w:hAnsi="Arial" w:cs="Arial"/>
          <w:sz w:val="22"/>
          <w:szCs w:val="22"/>
        </w:rPr>
        <w:t xml:space="preserve">determination </w:t>
      </w:r>
      <w:r>
        <w:rPr>
          <w:rFonts w:ascii="Arial" w:hAnsi="Arial" w:cs="Arial"/>
          <w:sz w:val="22"/>
          <w:szCs w:val="22"/>
        </w:rPr>
        <w:t xml:space="preserve">is made </w:t>
      </w:r>
      <w:r w:rsidR="0013353B">
        <w:rPr>
          <w:rFonts w:ascii="Arial" w:hAnsi="Arial" w:cs="Arial"/>
          <w:sz w:val="22"/>
          <w:szCs w:val="22"/>
        </w:rPr>
        <w:t xml:space="preserve">under subsection 84-79(5) of the </w:t>
      </w:r>
      <w:r w:rsidR="0013353B" w:rsidRPr="006976EE">
        <w:rPr>
          <w:rFonts w:ascii="Arial" w:hAnsi="Arial" w:cs="Arial"/>
          <w:i/>
          <w:sz w:val="22"/>
          <w:szCs w:val="22"/>
        </w:rPr>
        <w:t xml:space="preserve">A New Tax System (Goods and Services Tax) Act 1999 </w:t>
      </w:r>
      <w:r w:rsidR="0013353B">
        <w:rPr>
          <w:rFonts w:ascii="Arial" w:hAnsi="Arial" w:cs="Arial"/>
          <w:sz w:val="22"/>
          <w:szCs w:val="22"/>
        </w:rPr>
        <w:t xml:space="preserve">(GST Act). </w:t>
      </w:r>
    </w:p>
    <w:p w14:paraId="0355E5F0" w14:textId="25700CC5" w:rsidR="008C66CC" w:rsidRDefault="0013353B" w:rsidP="00F8037A">
      <w:pPr>
        <w:numPr>
          <w:ilvl w:val="0"/>
          <w:numId w:val="16"/>
        </w:numPr>
        <w:spacing w:after="120"/>
        <w:rPr>
          <w:rFonts w:ascii="Arial" w:hAnsi="Arial" w:cs="Arial"/>
          <w:sz w:val="22"/>
          <w:szCs w:val="22"/>
        </w:rPr>
      </w:pPr>
      <w:r w:rsidRPr="0013353B">
        <w:rPr>
          <w:rFonts w:ascii="Arial" w:hAnsi="Arial" w:cs="Arial"/>
          <w:sz w:val="22"/>
          <w:szCs w:val="22"/>
        </w:rPr>
        <w:t xml:space="preserve">This </w:t>
      </w:r>
      <w:r w:rsidR="005738B4">
        <w:rPr>
          <w:rFonts w:ascii="Arial" w:hAnsi="Arial" w:cs="Arial"/>
          <w:sz w:val="22"/>
          <w:szCs w:val="22"/>
        </w:rPr>
        <w:t>determination</w:t>
      </w:r>
      <w:r w:rsidRPr="0013353B">
        <w:rPr>
          <w:rFonts w:ascii="Arial" w:hAnsi="Arial" w:cs="Arial"/>
          <w:sz w:val="22"/>
          <w:szCs w:val="22"/>
        </w:rPr>
        <w:t xml:space="preserve"> provides </w:t>
      </w:r>
      <w:r w:rsidR="002821D8">
        <w:rPr>
          <w:rFonts w:ascii="Arial" w:hAnsi="Arial" w:cs="Arial"/>
          <w:sz w:val="22"/>
          <w:szCs w:val="22"/>
        </w:rPr>
        <w:t xml:space="preserve">a </w:t>
      </w:r>
      <w:r w:rsidRPr="0013353B">
        <w:rPr>
          <w:rFonts w:ascii="Arial" w:hAnsi="Arial" w:cs="Arial"/>
          <w:sz w:val="22"/>
          <w:szCs w:val="22"/>
        </w:rPr>
        <w:t xml:space="preserve">method for converting </w:t>
      </w:r>
      <w:r w:rsidR="00925DC3">
        <w:rPr>
          <w:rFonts w:ascii="Arial" w:hAnsi="Arial" w:cs="Arial"/>
          <w:sz w:val="22"/>
          <w:szCs w:val="22"/>
        </w:rPr>
        <w:t xml:space="preserve">an </w:t>
      </w:r>
      <w:r w:rsidRPr="0013353B">
        <w:rPr>
          <w:rFonts w:ascii="Arial" w:hAnsi="Arial" w:cs="Arial"/>
          <w:sz w:val="22"/>
          <w:szCs w:val="22"/>
        </w:rPr>
        <w:t xml:space="preserve">amount expressed in foreign currency to Australian currency, when working out the customs value of goods </w:t>
      </w:r>
      <w:r>
        <w:rPr>
          <w:rFonts w:ascii="Arial" w:hAnsi="Arial" w:cs="Arial"/>
          <w:sz w:val="22"/>
          <w:szCs w:val="22"/>
        </w:rPr>
        <w:t xml:space="preserve">under </w:t>
      </w:r>
      <w:r w:rsidR="008C53E1">
        <w:rPr>
          <w:rFonts w:ascii="Arial" w:hAnsi="Arial" w:cs="Arial"/>
          <w:sz w:val="22"/>
          <w:szCs w:val="22"/>
        </w:rPr>
        <w:t>sub</w:t>
      </w:r>
      <w:r>
        <w:rPr>
          <w:rFonts w:ascii="Arial" w:hAnsi="Arial" w:cs="Arial"/>
          <w:sz w:val="22"/>
          <w:szCs w:val="22"/>
        </w:rPr>
        <w:t>section 84-79</w:t>
      </w:r>
      <w:r w:rsidR="008C53E1">
        <w:rPr>
          <w:rFonts w:ascii="Arial" w:hAnsi="Arial" w:cs="Arial"/>
          <w:sz w:val="22"/>
          <w:szCs w:val="22"/>
        </w:rPr>
        <w:t>(4)</w:t>
      </w:r>
      <w:r>
        <w:rPr>
          <w:rFonts w:ascii="Arial" w:hAnsi="Arial" w:cs="Arial"/>
          <w:sz w:val="22"/>
          <w:szCs w:val="22"/>
        </w:rPr>
        <w:t xml:space="preserve"> of the GST Act</w:t>
      </w:r>
      <w:r w:rsidR="002821D8">
        <w:rPr>
          <w:rFonts w:ascii="Arial" w:hAnsi="Arial" w:cs="Arial"/>
          <w:sz w:val="22"/>
          <w:szCs w:val="22"/>
        </w:rPr>
        <w:t>,</w:t>
      </w:r>
      <w:r w:rsidR="00963127">
        <w:rPr>
          <w:rFonts w:ascii="Arial" w:hAnsi="Arial" w:cs="Arial"/>
          <w:sz w:val="22"/>
          <w:szCs w:val="22"/>
        </w:rPr>
        <w:t xml:space="preserve"> to determine if there is a supply of low value goods. </w:t>
      </w:r>
    </w:p>
    <w:p w14:paraId="74F3FEC4" w14:textId="2C013C19" w:rsidR="00EB2391" w:rsidRPr="00EB2391" w:rsidRDefault="00EB2391" w:rsidP="00F8037A">
      <w:pPr>
        <w:numPr>
          <w:ilvl w:val="0"/>
          <w:numId w:val="16"/>
        </w:numPr>
        <w:spacing w:after="120"/>
        <w:rPr>
          <w:rFonts w:ascii="Arial" w:hAnsi="Arial" w:cs="Arial"/>
          <w:sz w:val="22"/>
          <w:szCs w:val="22"/>
        </w:rPr>
      </w:pPr>
      <w:r w:rsidRPr="00EB2391">
        <w:rPr>
          <w:rFonts w:ascii="Arial" w:hAnsi="Arial" w:cs="Arial"/>
          <w:sz w:val="22"/>
          <w:szCs w:val="22"/>
        </w:rPr>
        <w:t xml:space="preserve">Under subsection 33(3) of the </w:t>
      </w:r>
      <w:r w:rsidRPr="00EB2391">
        <w:rPr>
          <w:rFonts w:ascii="Arial" w:hAnsi="Arial" w:cs="Arial"/>
          <w:i/>
          <w:sz w:val="22"/>
          <w:szCs w:val="22"/>
        </w:rPr>
        <w:t>Acts Interpretation Act 1901</w:t>
      </w:r>
      <w:r w:rsidRPr="00EB2391">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355E5F1" w14:textId="01759991" w:rsidR="00486653" w:rsidRPr="00E524D9" w:rsidRDefault="00486653" w:rsidP="00486653">
      <w:pPr>
        <w:numPr>
          <w:ilvl w:val="0"/>
          <w:numId w:val="16"/>
        </w:numPr>
        <w:spacing w:after="120"/>
        <w:rPr>
          <w:rFonts w:ascii="Arial" w:hAnsi="Arial" w:cs="Arial"/>
          <w:sz w:val="22"/>
          <w:szCs w:val="22"/>
        </w:rPr>
      </w:pPr>
      <w:r>
        <w:rPr>
          <w:rFonts w:ascii="Arial" w:hAnsi="Arial" w:cs="Arial"/>
          <w:sz w:val="22"/>
          <w:szCs w:val="22"/>
        </w:rPr>
        <w:t>Th</w:t>
      </w:r>
      <w:r w:rsidR="005738B4">
        <w:rPr>
          <w:rFonts w:ascii="Arial" w:hAnsi="Arial" w:cs="Arial"/>
          <w:sz w:val="22"/>
          <w:szCs w:val="22"/>
        </w:rPr>
        <w:t>is</w:t>
      </w:r>
      <w:r>
        <w:rPr>
          <w:rFonts w:ascii="Arial" w:hAnsi="Arial" w:cs="Arial"/>
          <w:sz w:val="22"/>
          <w:szCs w:val="22"/>
        </w:rPr>
        <w:t xml:space="preserve"> </w:t>
      </w:r>
      <w:r w:rsidR="005738B4">
        <w:rPr>
          <w:rFonts w:ascii="Arial" w:hAnsi="Arial" w:cs="Arial"/>
          <w:sz w:val="22"/>
          <w:szCs w:val="22"/>
        </w:rPr>
        <w:t>determination</w:t>
      </w:r>
      <w:r>
        <w:rPr>
          <w:rFonts w:ascii="Arial" w:hAnsi="Arial" w:cs="Arial"/>
          <w:sz w:val="22"/>
          <w:szCs w:val="22"/>
        </w:rPr>
        <w:t xml:space="preserve"> is a legislative instrument for the purposes of the </w:t>
      </w:r>
      <w:r w:rsidR="00A739C1">
        <w:rPr>
          <w:rFonts w:ascii="Arial" w:hAnsi="Arial" w:cs="Arial"/>
          <w:i/>
          <w:sz w:val="22"/>
          <w:szCs w:val="22"/>
        </w:rPr>
        <w:t>Legislation</w:t>
      </w:r>
      <w:r>
        <w:rPr>
          <w:rFonts w:ascii="Arial" w:hAnsi="Arial" w:cs="Arial"/>
          <w:i/>
          <w:sz w:val="22"/>
          <w:szCs w:val="22"/>
        </w:rPr>
        <w:t xml:space="preserve"> Act 2003</w:t>
      </w:r>
      <w:r>
        <w:rPr>
          <w:rFonts w:ascii="Arial" w:hAnsi="Arial" w:cs="Arial"/>
          <w:sz w:val="22"/>
          <w:szCs w:val="22"/>
        </w:rPr>
        <w:t>.</w:t>
      </w:r>
    </w:p>
    <w:p w14:paraId="0355E5F2" w14:textId="77777777" w:rsidR="00486653" w:rsidRPr="00081FDE" w:rsidRDefault="00486653" w:rsidP="00486653">
      <w:pPr>
        <w:spacing w:after="120"/>
        <w:rPr>
          <w:rFonts w:ascii="Arial" w:hAnsi="Arial" w:cs="Arial"/>
          <w:sz w:val="22"/>
          <w:szCs w:val="22"/>
        </w:rPr>
      </w:pPr>
    </w:p>
    <w:bookmarkEnd w:id="12"/>
    <w:p w14:paraId="0355E5F3" w14:textId="77777777" w:rsidR="00486653" w:rsidRPr="00DC656D" w:rsidRDefault="00486653" w:rsidP="00486653">
      <w:pPr>
        <w:pStyle w:val="Heading2"/>
        <w:rPr>
          <w:sz w:val="24"/>
          <w:szCs w:val="24"/>
        </w:rPr>
      </w:pPr>
      <w:r w:rsidRPr="005E6CCE">
        <w:rPr>
          <w:sz w:val="24"/>
          <w:szCs w:val="24"/>
        </w:rPr>
        <w:t xml:space="preserve">Date </w:t>
      </w:r>
      <w:r w:rsidRPr="00DC656D">
        <w:rPr>
          <w:sz w:val="24"/>
          <w:szCs w:val="24"/>
        </w:rPr>
        <w:t>of effect</w:t>
      </w:r>
    </w:p>
    <w:p w14:paraId="0355E5F9" w14:textId="384E66C9" w:rsidR="00486653" w:rsidRPr="0013353B" w:rsidRDefault="005738B4" w:rsidP="0013353B">
      <w:pPr>
        <w:numPr>
          <w:ilvl w:val="0"/>
          <w:numId w:val="16"/>
        </w:numPr>
        <w:spacing w:after="120"/>
        <w:rPr>
          <w:rFonts w:ascii="Arial" w:hAnsi="Arial" w:cs="Arial"/>
          <w:sz w:val="22"/>
          <w:szCs w:val="22"/>
        </w:rPr>
      </w:pPr>
      <w:r>
        <w:rPr>
          <w:rFonts w:ascii="Arial" w:hAnsi="Arial" w:cs="Arial"/>
          <w:sz w:val="22"/>
          <w:szCs w:val="22"/>
        </w:rPr>
        <w:t xml:space="preserve">This determination </w:t>
      </w:r>
      <w:r w:rsidR="00931599">
        <w:rPr>
          <w:rFonts w:ascii="Arial" w:hAnsi="Arial" w:cs="Arial"/>
          <w:sz w:val="22"/>
          <w:szCs w:val="22"/>
        </w:rPr>
        <w:t xml:space="preserve">commences on </w:t>
      </w:r>
      <w:r>
        <w:rPr>
          <w:rFonts w:ascii="Arial" w:hAnsi="Arial" w:cs="Arial"/>
          <w:sz w:val="22"/>
          <w:szCs w:val="22"/>
        </w:rPr>
        <w:t>1 July 2018.</w:t>
      </w:r>
    </w:p>
    <w:p w14:paraId="509245B8" w14:textId="77777777" w:rsidR="0013353B" w:rsidRPr="000C390A" w:rsidRDefault="0013353B" w:rsidP="0013353B">
      <w:pPr>
        <w:spacing w:after="120"/>
        <w:ind w:left="720"/>
        <w:rPr>
          <w:rFonts w:ascii="Arial" w:hAnsi="Arial" w:cs="Arial"/>
          <w:i/>
          <w:color w:val="000000"/>
          <w:sz w:val="22"/>
          <w:szCs w:val="22"/>
        </w:rPr>
      </w:pPr>
    </w:p>
    <w:p w14:paraId="0355E5FA" w14:textId="496343D0" w:rsidR="00486653" w:rsidRPr="005E6CCE" w:rsidRDefault="00486653" w:rsidP="00486653">
      <w:pPr>
        <w:pStyle w:val="Heading2"/>
        <w:rPr>
          <w:sz w:val="24"/>
          <w:szCs w:val="24"/>
        </w:rPr>
      </w:pPr>
      <w:r w:rsidRPr="007533B3">
        <w:rPr>
          <w:sz w:val="24"/>
          <w:szCs w:val="24"/>
        </w:rPr>
        <w:t xml:space="preserve">What is this </w:t>
      </w:r>
      <w:r w:rsidR="00D10174">
        <w:rPr>
          <w:sz w:val="24"/>
          <w:szCs w:val="24"/>
        </w:rPr>
        <w:t>determination</w:t>
      </w:r>
      <w:r w:rsidR="00D10174" w:rsidRPr="007533B3">
        <w:rPr>
          <w:sz w:val="24"/>
          <w:szCs w:val="24"/>
        </w:rPr>
        <w:t xml:space="preserve"> </w:t>
      </w:r>
      <w:r w:rsidRPr="007533B3">
        <w:rPr>
          <w:sz w:val="24"/>
          <w:szCs w:val="24"/>
        </w:rPr>
        <w:t>about</w:t>
      </w:r>
    </w:p>
    <w:p w14:paraId="0355E5FB" w14:textId="77777777" w:rsidR="00486653" w:rsidRPr="009F31A4" w:rsidRDefault="00486653" w:rsidP="00486653">
      <w:pPr>
        <w:keepNext/>
        <w:keepLines/>
        <w:rPr>
          <w:rFonts w:ascii="Arial" w:hAnsi="Arial" w:cs="Arial"/>
        </w:rPr>
      </w:pPr>
    </w:p>
    <w:p w14:paraId="0041ADDD" w14:textId="22A1116D" w:rsidR="008B0E80" w:rsidRDefault="00486653" w:rsidP="008B0E80">
      <w:pPr>
        <w:pStyle w:val="ListParagraph"/>
        <w:numPr>
          <w:ilvl w:val="0"/>
          <w:numId w:val="16"/>
        </w:numPr>
        <w:rPr>
          <w:rFonts w:ascii="Arial" w:hAnsi="Arial" w:cs="Arial"/>
        </w:rPr>
      </w:pPr>
      <w:r w:rsidRPr="0013353B">
        <w:rPr>
          <w:rFonts w:ascii="Arial" w:hAnsi="Arial" w:cs="Arial"/>
        </w:rPr>
        <w:t xml:space="preserve">The purpose of this </w:t>
      </w:r>
      <w:r w:rsidR="005A3A67">
        <w:rPr>
          <w:rFonts w:ascii="Arial" w:hAnsi="Arial" w:cs="Arial"/>
        </w:rPr>
        <w:t>determination</w:t>
      </w:r>
      <w:r w:rsidR="005A3A67" w:rsidRPr="0013353B">
        <w:rPr>
          <w:rFonts w:ascii="Arial" w:hAnsi="Arial" w:cs="Arial"/>
        </w:rPr>
        <w:t xml:space="preserve"> </w:t>
      </w:r>
      <w:r w:rsidRPr="0013353B">
        <w:rPr>
          <w:rFonts w:ascii="Arial" w:hAnsi="Arial" w:cs="Arial"/>
        </w:rPr>
        <w:t>is</w:t>
      </w:r>
      <w:r w:rsidR="0013353B" w:rsidRPr="0013353B">
        <w:rPr>
          <w:rFonts w:ascii="Arial" w:hAnsi="Arial" w:cs="Arial"/>
        </w:rPr>
        <w:t xml:space="preserve"> </w:t>
      </w:r>
      <w:r w:rsidR="0013353B">
        <w:rPr>
          <w:rFonts w:ascii="Arial" w:hAnsi="Arial" w:cs="Arial"/>
        </w:rPr>
        <w:t>to provide</w:t>
      </w:r>
      <w:r w:rsidR="0013353B" w:rsidRPr="0013353B">
        <w:rPr>
          <w:rFonts w:ascii="Arial" w:hAnsi="Arial" w:cs="Arial"/>
        </w:rPr>
        <w:t xml:space="preserve"> </w:t>
      </w:r>
      <w:r w:rsidR="002821D8">
        <w:rPr>
          <w:rFonts w:ascii="Arial" w:hAnsi="Arial" w:cs="Arial"/>
        </w:rPr>
        <w:t xml:space="preserve">a </w:t>
      </w:r>
      <w:r w:rsidR="0013353B" w:rsidRPr="0013353B">
        <w:rPr>
          <w:rFonts w:ascii="Arial" w:hAnsi="Arial" w:cs="Arial"/>
        </w:rPr>
        <w:t xml:space="preserve">method for converting </w:t>
      </w:r>
      <w:r w:rsidR="001F4485">
        <w:rPr>
          <w:rFonts w:ascii="Arial" w:hAnsi="Arial" w:cs="Arial"/>
        </w:rPr>
        <w:t xml:space="preserve">an </w:t>
      </w:r>
      <w:r w:rsidR="0013353B" w:rsidRPr="0013353B">
        <w:rPr>
          <w:rFonts w:ascii="Arial" w:hAnsi="Arial" w:cs="Arial"/>
        </w:rPr>
        <w:t xml:space="preserve">amount expressed in foreign currency to Australian currency, when working out the customs value of goods </w:t>
      </w:r>
      <w:r w:rsidR="001F4485">
        <w:rPr>
          <w:rFonts w:ascii="Arial" w:hAnsi="Arial" w:cs="Arial"/>
        </w:rPr>
        <w:t>under</w:t>
      </w:r>
      <w:r w:rsidR="00D94062">
        <w:rPr>
          <w:rFonts w:ascii="Arial" w:hAnsi="Arial" w:cs="Arial"/>
        </w:rPr>
        <w:t xml:space="preserve"> </w:t>
      </w:r>
      <w:r w:rsidR="0013353B">
        <w:rPr>
          <w:rFonts w:ascii="Arial" w:hAnsi="Arial" w:cs="Arial"/>
        </w:rPr>
        <w:t>s</w:t>
      </w:r>
      <w:r w:rsidR="008B0E80">
        <w:rPr>
          <w:rFonts w:ascii="Arial" w:hAnsi="Arial" w:cs="Arial"/>
        </w:rPr>
        <w:t>ubs</w:t>
      </w:r>
      <w:r w:rsidR="0013353B">
        <w:rPr>
          <w:rFonts w:ascii="Arial" w:hAnsi="Arial" w:cs="Arial"/>
        </w:rPr>
        <w:t xml:space="preserve">ection 84-79(4) </w:t>
      </w:r>
      <w:r w:rsidR="008B0E80">
        <w:rPr>
          <w:rFonts w:ascii="Arial" w:hAnsi="Arial" w:cs="Arial"/>
        </w:rPr>
        <w:t xml:space="preserve">of the GST Act. </w:t>
      </w:r>
      <w:r w:rsidR="002821D8">
        <w:rPr>
          <w:rFonts w:ascii="Arial" w:hAnsi="Arial" w:cs="Arial"/>
        </w:rPr>
        <w:t>The goods are low value goods if</w:t>
      </w:r>
      <w:r w:rsidR="006A7E69">
        <w:rPr>
          <w:rFonts w:ascii="Arial" w:hAnsi="Arial" w:cs="Arial"/>
        </w:rPr>
        <w:t xml:space="preserve"> the customs value is </w:t>
      </w:r>
      <w:r w:rsidR="00CF66F6">
        <w:rPr>
          <w:rFonts w:ascii="Arial" w:hAnsi="Arial" w:cs="Arial"/>
        </w:rPr>
        <w:t>AUD</w:t>
      </w:r>
      <w:r w:rsidR="002821D8">
        <w:rPr>
          <w:rFonts w:ascii="Arial" w:hAnsi="Arial" w:cs="Arial"/>
        </w:rPr>
        <w:t>1</w:t>
      </w:r>
      <w:proofErr w:type="gramStart"/>
      <w:r w:rsidR="002821D8">
        <w:rPr>
          <w:rFonts w:ascii="Arial" w:hAnsi="Arial" w:cs="Arial"/>
        </w:rPr>
        <w:t>,000</w:t>
      </w:r>
      <w:proofErr w:type="gramEnd"/>
      <w:r w:rsidR="002821D8">
        <w:rPr>
          <w:rFonts w:ascii="Arial" w:hAnsi="Arial" w:cs="Arial"/>
        </w:rPr>
        <w:t xml:space="preserve"> or less.</w:t>
      </w:r>
    </w:p>
    <w:p w14:paraId="15CC94B5" w14:textId="246A6F86" w:rsidR="008B0E80" w:rsidRPr="003D482A" w:rsidRDefault="008B0E80" w:rsidP="003D482A">
      <w:pPr>
        <w:pStyle w:val="ListParagraph"/>
        <w:numPr>
          <w:ilvl w:val="0"/>
          <w:numId w:val="16"/>
        </w:numPr>
        <w:rPr>
          <w:rFonts w:ascii="Arial" w:hAnsi="Arial" w:cs="Arial"/>
        </w:rPr>
      </w:pPr>
      <w:r w:rsidRPr="008B0E80">
        <w:rPr>
          <w:rFonts w:ascii="Arial" w:hAnsi="Arial" w:cs="Arial"/>
        </w:rPr>
        <w:t xml:space="preserve">This </w:t>
      </w:r>
      <w:r w:rsidR="00CF4EFC">
        <w:rPr>
          <w:rFonts w:ascii="Arial" w:hAnsi="Arial" w:cs="Arial"/>
        </w:rPr>
        <w:t>determination will</w:t>
      </w:r>
      <w:r w:rsidR="00CF4EFC" w:rsidRPr="008B0E80">
        <w:rPr>
          <w:rFonts w:ascii="Arial" w:hAnsi="Arial" w:cs="Arial"/>
        </w:rPr>
        <w:t xml:space="preserve"> </w:t>
      </w:r>
      <w:r w:rsidRPr="008B0E80">
        <w:rPr>
          <w:rFonts w:ascii="Arial" w:hAnsi="Arial" w:cs="Arial"/>
        </w:rPr>
        <w:t xml:space="preserve">be relevant </w:t>
      </w:r>
      <w:r w:rsidR="00355C72">
        <w:rPr>
          <w:rFonts w:ascii="Arial" w:hAnsi="Arial" w:cs="Arial"/>
        </w:rPr>
        <w:t xml:space="preserve">to </w:t>
      </w:r>
      <w:r w:rsidR="008C53E1">
        <w:rPr>
          <w:rFonts w:ascii="Arial" w:hAnsi="Arial" w:cs="Arial"/>
        </w:rPr>
        <w:t>a supplier</w:t>
      </w:r>
      <w:r w:rsidRPr="008B0E80">
        <w:rPr>
          <w:rFonts w:ascii="Arial" w:hAnsi="Arial" w:cs="Arial"/>
        </w:rPr>
        <w:t xml:space="preserve">, </w:t>
      </w:r>
      <w:r w:rsidR="00C51290">
        <w:rPr>
          <w:rFonts w:ascii="Arial" w:hAnsi="Arial" w:cs="Arial"/>
        </w:rPr>
        <w:t xml:space="preserve">an </w:t>
      </w:r>
      <w:r w:rsidRPr="008B0E80">
        <w:rPr>
          <w:rFonts w:ascii="Arial" w:hAnsi="Arial" w:cs="Arial"/>
        </w:rPr>
        <w:t xml:space="preserve">electronic distribution platform </w:t>
      </w:r>
      <w:r w:rsidR="00C51290">
        <w:rPr>
          <w:rFonts w:ascii="Arial" w:hAnsi="Arial" w:cs="Arial"/>
        </w:rPr>
        <w:t xml:space="preserve">operator </w:t>
      </w:r>
      <w:r w:rsidRPr="008B0E80">
        <w:rPr>
          <w:rFonts w:ascii="Arial" w:hAnsi="Arial" w:cs="Arial"/>
        </w:rPr>
        <w:t xml:space="preserve">or </w:t>
      </w:r>
      <w:r w:rsidR="00C51290">
        <w:rPr>
          <w:rFonts w:ascii="Arial" w:hAnsi="Arial" w:cs="Arial"/>
        </w:rPr>
        <w:t xml:space="preserve">a </w:t>
      </w:r>
      <w:proofErr w:type="spellStart"/>
      <w:r w:rsidRPr="008B0E80">
        <w:rPr>
          <w:rFonts w:ascii="Arial" w:hAnsi="Arial" w:cs="Arial"/>
        </w:rPr>
        <w:t>redeliverer</w:t>
      </w:r>
      <w:proofErr w:type="spellEnd"/>
      <w:r w:rsidRPr="008B0E80">
        <w:rPr>
          <w:rFonts w:ascii="Arial" w:hAnsi="Arial" w:cs="Arial"/>
        </w:rPr>
        <w:t xml:space="preserve"> </w:t>
      </w:r>
      <w:r w:rsidR="002821D8">
        <w:rPr>
          <w:rFonts w:ascii="Arial" w:hAnsi="Arial" w:cs="Arial"/>
        </w:rPr>
        <w:t xml:space="preserve">in </w:t>
      </w:r>
      <w:r w:rsidRPr="008B0E80">
        <w:rPr>
          <w:rFonts w:ascii="Arial" w:hAnsi="Arial" w:cs="Arial"/>
        </w:rPr>
        <w:t>determining whether there is a supply of low value goods</w:t>
      </w:r>
      <w:r w:rsidR="002821D8">
        <w:rPr>
          <w:rFonts w:ascii="Arial" w:hAnsi="Arial" w:cs="Arial"/>
        </w:rPr>
        <w:t xml:space="preserve">. </w:t>
      </w:r>
      <w:r w:rsidR="004D1351">
        <w:rPr>
          <w:rFonts w:ascii="Arial" w:hAnsi="Arial" w:cs="Arial"/>
        </w:rPr>
        <w:t xml:space="preserve">One of the criteria </w:t>
      </w:r>
      <w:r w:rsidR="007632E8">
        <w:rPr>
          <w:rFonts w:ascii="Arial" w:hAnsi="Arial" w:cs="Arial"/>
        </w:rPr>
        <w:t>for</w:t>
      </w:r>
      <w:r w:rsidR="004D1351">
        <w:rPr>
          <w:rFonts w:ascii="Arial" w:hAnsi="Arial" w:cs="Arial"/>
        </w:rPr>
        <w:t xml:space="preserve"> low value good</w:t>
      </w:r>
      <w:r w:rsidR="007632E8">
        <w:rPr>
          <w:rFonts w:ascii="Arial" w:hAnsi="Arial" w:cs="Arial"/>
        </w:rPr>
        <w:t>s</w:t>
      </w:r>
      <w:r w:rsidR="004D1351">
        <w:rPr>
          <w:rFonts w:ascii="Arial" w:hAnsi="Arial" w:cs="Arial"/>
        </w:rPr>
        <w:t xml:space="preserve"> is that </w:t>
      </w:r>
      <w:r w:rsidR="000309AD">
        <w:rPr>
          <w:rFonts w:ascii="Arial" w:hAnsi="Arial" w:cs="Arial"/>
        </w:rPr>
        <w:t>the custom</w:t>
      </w:r>
      <w:r w:rsidR="00CF4EFC">
        <w:rPr>
          <w:rFonts w:ascii="Arial" w:hAnsi="Arial" w:cs="Arial"/>
        </w:rPr>
        <w:t>s</w:t>
      </w:r>
      <w:r w:rsidR="000309AD">
        <w:rPr>
          <w:rFonts w:ascii="Arial" w:hAnsi="Arial" w:cs="Arial"/>
        </w:rPr>
        <w:t xml:space="preserve"> value </w:t>
      </w:r>
      <w:r w:rsidR="000A6703">
        <w:rPr>
          <w:rFonts w:ascii="Arial" w:hAnsi="Arial" w:cs="Arial"/>
        </w:rPr>
        <w:t xml:space="preserve">of the goods </w:t>
      </w:r>
      <w:r w:rsidR="000309AD">
        <w:rPr>
          <w:rFonts w:ascii="Arial" w:hAnsi="Arial" w:cs="Arial"/>
        </w:rPr>
        <w:t>is A</w:t>
      </w:r>
      <w:r w:rsidR="00326E5B">
        <w:rPr>
          <w:rFonts w:ascii="Arial" w:hAnsi="Arial" w:cs="Arial"/>
        </w:rPr>
        <w:t>UD</w:t>
      </w:r>
      <w:r w:rsidR="000309AD">
        <w:rPr>
          <w:rFonts w:ascii="Arial" w:hAnsi="Arial" w:cs="Arial"/>
        </w:rPr>
        <w:t>1</w:t>
      </w:r>
      <w:proofErr w:type="gramStart"/>
      <w:r w:rsidR="000309AD">
        <w:rPr>
          <w:rFonts w:ascii="Arial" w:hAnsi="Arial" w:cs="Arial"/>
        </w:rPr>
        <w:t>,000</w:t>
      </w:r>
      <w:proofErr w:type="gramEnd"/>
      <w:r w:rsidR="000309AD">
        <w:rPr>
          <w:rFonts w:ascii="Arial" w:hAnsi="Arial" w:cs="Arial"/>
        </w:rPr>
        <w:t xml:space="preserve"> or less</w:t>
      </w:r>
      <w:r w:rsidR="00CF4EFC">
        <w:rPr>
          <w:rFonts w:ascii="Arial" w:hAnsi="Arial" w:cs="Arial"/>
        </w:rPr>
        <w:t xml:space="preserve"> in accordance with </w:t>
      </w:r>
      <w:r w:rsidR="000309AD">
        <w:rPr>
          <w:rFonts w:ascii="Arial" w:hAnsi="Arial" w:cs="Arial"/>
        </w:rPr>
        <w:t>subsection</w:t>
      </w:r>
      <w:r w:rsidR="000A6703">
        <w:rPr>
          <w:rFonts w:ascii="Arial" w:hAnsi="Arial" w:cs="Arial"/>
        </w:rPr>
        <w:t xml:space="preserve"> </w:t>
      </w:r>
      <w:r w:rsidR="000309AD">
        <w:rPr>
          <w:rFonts w:ascii="Arial" w:hAnsi="Arial" w:cs="Arial"/>
        </w:rPr>
        <w:t>84</w:t>
      </w:r>
      <w:r w:rsidR="000A6703">
        <w:rPr>
          <w:rFonts w:ascii="Arial" w:hAnsi="Arial" w:cs="Arial"/>
        </w:rPr>
        <w:noBreakHyphen/>
      </w:r>
      <w:r w:rsidR="000309AD">
        <w:rPr>
          <w:rFonts w:ascii="Arial" w:hAnsi="Arial" w:cs="Arial"/>
        </w:rPr>
        <w:t>79(3) of the GST Act.</w:t>
      </w:r>
      <w:r w:rsidR="002821D8">
        <w:rPr>
          <w:rFonts w:ascii="Arial" w:hAnsi="Arial" w:cs="Arial"/>
        </w:rPr>
        <w:t xml:space="preserve"> </w:t>
      </w:r>
      <w:r w:rsidR="007915F1">
        <w:rPr>
          <w:rFonts w:ascii="Arial" w:hAnsi="Arial" w:cs="Arial"/>
        </w:rPr>
        <w:t>When working out the customs value of the goods</w:t>
      </w:r>
      <w:r w:rsidR="00EA4539">
        <w:rPr>
          <w:rFonts w:ascii="Arial" w:hAnsi="Arial" w:cs="Arial"/>
        </w:rPr>
        <w:t xml:space="preserve"> under</w:t>
      </w:r>
      <w:r w:rsidR="00355C72">
        <w:rPr>
          <w:rFonts w:ascii="Arial" w:hAnsi="Arial" w:cs="Arial"/>
        </w:rPr>
        <w:t xml:space="preserve"> </w:t>
      </w:r>
      <w:r w:rsidR="007915F1">
        <w:rPr>
          <w:rFonts w:ascii="Arial" w:hAnsi="Arial" w:cs="Arial"/>
        </w:rPr>
        <w:t>sub</w:t>
      </w:r>
      <w:r w:rsidR="00355C72">
        <w:rPr>
          <w:rFonts w:ascii="Arial" w:hAnsi="Arial" w:cs="Arial"/>
        </w:rPr>
        <w:t>section 84-79</w:t>
      </w:r>
      <w:r w:rsidR="00AD53BF">
        <w:rPr>
          <w:rFonts w:ascii="Arial" w:hAnsi="Arial" w:cs="Arial"/>
        </w:rPr>
        <w:t>(4)</w:t>
      </w:r>
      <w:r w:rsidR="00355C72">
        <w:rPr>
          <w:rFonts w:ascii="Arial" w:hAnsi="Arial" w:cs="Arial"/>
        </w:rPr>
        <w:t xml:space="preserve"> </w:t>
      </w:r>
      <w:r w:rsidR="00472354">
        <w:rPr>
          <w:rFonts w:ascii="Arial" w:hAnsi="Arial" w:cs="Arial"/>
        </w:rPr>
        <w:t>of the GST Act</w:t>
      </w:r>
      <w:r w:rsidR="00EA4539">
        <w:rPr>
          <w:rFonts w:ascii="Arial" w:hAnsi="Arial" w:cs="Arial"/>
        </w:rPr>
        <w:t xml:space="preserve">, an amount is converted </w:t>
      </w:r>
      <w:r w:rsidR="003D482A">
        <w:rPr>
          <w:rFonts w:ascii="Arial" w:hAnsi="Arial" w:cs="Arial"/>
        </w:rPr>
        <w:t xml:space="preserve">to Australian currency </w:t>
      </w:r>
      <w:r w:rsidR="00366D56">
        <w:rPr>
          <w:rFonts w:ascii="Arial" w:hAnsi="Arial" w:cs="Arial"/>
        </w:rPr>
        <w:t>at the time that consideration is first agreed</w:t>
      </w:r>
      <w:r w:rsidR="00EA4539">
        <w:rPr>
          <w:rFonts w:ascii="Arial" w:hAnsi="Arial" w:cs="Arial"/>
        </w:rPr>
        <w:t xml:space="preserve"> for the supply</w:t>
      </w:r>
      <w:r w:rsidR="003D482A">
        <w:rPr>
          <w:rFonts w:ascii="Arial" w:hAnsi="Arial" w:cs="Arial"/>
        </w:rPr>
        <w:t>.</w:t>
      </w:r>
    </w:p>
    <w:p w14:paraId="6B1A6C72" w14:textId="32F2C4CA" w:rsidR="0013353B" w:rsidRDefault="0014755D" w:rsidP="00880BB1">
      <w:pPr>
        <w:pStyle w:val="ListParagraph"/>
        <w:numPr>
          <w:ilvl w:val="0"/>
          <w:numId w:val="16"/>
        </w:numPr>
        <w:rPr>
          <w:rFonts w:ascii="Arial" w:hAnsi="Arial" w:cs="Arial"/>
        </w:rPr>
      </w:pPr>
      <w:r>
        <w:rPr>
          <w:rFonts w:ascii="Arial" w:eastAsia="Times New Roman" w:hAnsi="Arial" w:cs="Arial"/>
          <w:lang w:eastAsia="en-AU"/>
        </w:rPr>
        <w:t xml:space="preserve">This </w:t>
      </w:r>
      <w:r w:rsidR="00586308">
        <w:rPr>
          <w:rFonts w:ascii="Arial" w:eastAsia="Times New Roman" w:hAnsi="Arial" w:cs="Arial"/>
          <w:lang w:eastAsia="en-AU"/>
        </w:rPr>
        <w:t xml:space="preserve">determination </w:t>
      </w:r>
      <w:r>
        <w:rPr>
          <w:rFonts w:ascii="Arial" w:eastAsia="Times New Roman" w:hAnsi="Arial" w:cs="Arial"/>
          <w:lang w:eastAsia="en-AU"/>
        </w:rPr>
        <w:t xml:space="preserve">does not affect how the customs value of goods </w:t>
      </w:r>
      <w:r w:rsidR="00F37BC4">
        <w:rPr>
          <w:rFonts w:ascii="Arial" w:eastAsia="Times New Roman" w:hAnsi="Arial" w:cs="Arial"/>
          <w:lang w:eastAsia="en-AU"/>
        </w:rPr>
        <w:t xml:space="preserve">is calculated when </w:t>
      </w:r>
      <w:r>
        <w:rPr>
          <w:rFonts w:ascii="Arial" w:eastAsia="Times New Roman" w:hAnsi="Arial" w:cs="Arial"/>
          <w:lang w:eastAsia="en-AU"/>
        </w:rPr>
        <w:t xml:space="preserve">determining </w:t>
      </w:r>
      <w:r w:rsidR="00F37BC4">
        <w:rPr>
          <w:rFonts w:ascii="Arial" w:eastAsia="Times New Roman" w:hAnsi="Arial" w:cs="Arial"/>
          <w:lang w:eastAsia="en-AU"/>
        </w:rPr>
        <w:t xml:space="preserve">whether taxes apply on the importation of goods </w:t>
      </w:r>
      <w:r w:rsidR="00F37BC4">
        <w:rPr>
          <w:rFonts w:ascii="Arial" w:eastAsia="Times New Roman" w:hAnsi="Arial" w:cs="Arial"/>
          <w:lang w:eastAsia="en-AU"/>
        </w:rPr>
        <w:lastRenderedPageBreak/>
        <w:t xml:space="preserve">into </w:t>
      </w:r>
      <w:r w:rsidR="008C53E1">
        <w:rPr>
          <w:rFonts w:ascii="Arial" w:eastAsia="Times New Roman" w:hAnsi="Arial" w:cs="Arial"/>
          <w:lang w:eastAsia="en-AU"/>
        </w:rPr>
        <w:t>the indirect tax zone (</w:t>
      </w:r>
      <w:r w:rsidR="00F37BC4">
        <w:rPr>
          <w:rFonts w:ascii="Arial" w:eastAsia="Times New Roman" w:hAnsi="Arial" w:cs="Arial"/>
          <w:lang w:eastAsia="en-AU"/>
        </w:rPr>
        <w:t>Australia</w:t>
      </w:r>
      <w:r w:rsidR="008C53E1">
        <w:rPr>
          <w:rFonts w:ascii="Arial" w:eastAsia="Times New Roman" w:hAnsi="Arial" w:cs="Arial"/>
          <w:lang w:eastAsia="en-AU"/>
        </w:rPr>
        <w:t>)</w:t>
      </w:r>
      <w:r w:rsidR="00F37BC4">
        <w:rPr>
          <w:rFonts w:ascii="Arial" w:eastAsia="Times New Roman" w:hAnsi="Arial" w:cs="Arial"/>
          <w:lang w:eastAsia="en-AU"/>
        </w:rPr>
        <w:t>.</w:t>
      </w:r>
      <w:r w:rsidR="00510F21">
        <w:rPr>
          <w:rFonts w:ascii="Arial" w:eastAsia="Times New Roman" w:hAnsi="Arial" w:cs="Arial"/>
          <w:lang w:eastAsia="en-AU"/>
        </w:rPr>
        <w:t xml:space="preserve"> T</w:t>
      </w:r>
      <w:r w:rsidR="00F37BC4">
        <w:rPr>
          <w:rFonts w:ascii="Arial" w:eastAsia="Times New Roman" w:hAnsi="Arial" w:cs="Arial"/>
          <w:lang w:eastAsia="en-AU"/>
        </w:rPr>
        <w:t xml:space="preserve">he </w:t>
      </w:r>
      <w:r w:rsidR="00F37BC4" w:rsidRPr="00F37BC4">
        <w:rPr>
          <w:rFonts w:ascii="Arial" w:eastAsia="Times New Roman" w:hAnsi="Arial" w:cs="Arial"/>
          <w:i/>
          <w:lang w:eastAsia="en-AU"/>
        </w:rPr>
        <w:t>Customs Act 1901</w:t>
      </w:r>
      <w:r w:rsidR="00510F21">
        <w:rPr>
          <w:rFonts w:ascii="Arial" w:eastAsia="Times New Roman" w:hAnsi="Arial" w:cs="Arial"/>
          <w:lang w:eastAsia="en-AU"/>
        </w:rPr>
        <w:t xml:space="preserve"> </w:t>
      </w:r>
      <w:r w:rsidR="00963127">
        <w:rPr>
          <w:rFonts w:ascii="Arial" w:eastAsia="Times New Roman" w:hAnsi="Arial" w:cs="Arial"/>
          <w:lang w:eastAsia="en-AU"/>
        </w:rPr>
        <w:t xml:space="preserve">provides the </w:t>
      </w:r>
      <w:r w:rsidR="00510F21" w:rsidRPr="00880BB1">
        <w:rPr>
          <w:rFonts w:ascii="Arial" w:hAnsi="Arial" w:cs="Arial"/>
        </w:rPr>
        <w:t>method</w:t>
      </w:r>
      <w:r w:rsidR="00963127" w:rsidRPr="00880BB1">
        <w:rPr>
          <w:rFonts w:ascii="Arial" w:hAnsi="Arial" w:cs="Arial"/>
        </w:rPr>
        <w:t>s</w:t>
      </w:r>
      <w:r w:rsidR="00510F21" w:rsidRPr="00880BB1">
        <w:rPr>
          <w:rFonts w:ascii="Arial" w:hAnsi="Arial" w:cs="Arial"/>
        </w:rPr>
        <w:t xml:space="preserve"> that can be used for these purposes</w:t>
      </w:r>
      <w:r w:rsidR="00963127" w:rsidRPr="00880BB1">
        <w:rPr>
          <w:rFonts w:ascii="Arial" w:hAnsi="Arial" w:cs="Arial"/>
        </w:rPr>
        <w:t>.</w:t>
      </w:r>
      <w:r w:rsidR="002A61D9">
        <w:rPr>
          <w:rFonts w:ascii="Arial" w:hAnsi="Arial" w:cs="Arial"/>
        </w:rPr>
        <w:t xml:space="preserve"> </w:t>
      </w:r>
    </w:p>
    <w:p w14:paraId="497F47D0" w14:textId="42CFBA5D" w:rsidR="002A61D9" w:rsidRDefault="002A61D9" w:rsidP="00880BB1">
      <w:pPr>
        <w:pStyle w:val="ListParagraph"/>
        <w:numPr>
          <w:ilvl w:val="0"/>
          <w:numId w:val="16"/>
        </w:numPr>
        <w:rPr>
          <w:rFonts w:ascii="Arial" w:hAnsi="Arial" w:cs="Arial"/>
        </w:rPr>
      </w:pPr>
      <w:r>
        <w:rPr>
          <w:rFonts w:ascii="Arial" w:eastAsia="Times New Roman" w:hAnsi="Arial" w:cs="Arial"/>
          <w:lang w:eastAsia="en-AU"/>
        </w:rPr>
        <w:t xml:space="preserve">This determination does not set out how to convert to Australian currency when calculating the GST payable on a supply. </w:t>
      </w:r>
    </w:p>
    <w:p w14:paraId="0355E5FF" w14:textId="77777777" w:rsidR="00486653" w:rsidRPr="008C53E1" w:rsidRDefault="00486653" w:rsidP="00EB7032">
      <w:pPr>
        <w:pStyle w:val="ListParagraph"/>
        <w:keepNext/>
        <w:keepLines/>
        <w:ind w:left="360"/>
        <w:rPr>
          <w:rFonts w:ascii="Arial" w:hAnsi="Arial" w:cs="Arial"/>
        </w:rPr>
      </w:pPr>
    </w:p>
    <w:p w14:paraId="0355E600" w14:textId="734590E1" w:rsidR="00486653" w:rsidRDefault="00486653" w:rsidP="00486653">
      <w:pPr>
        <w:pStyle w:val="Heading2"/>
        <w:rPr>
          <w:sz w:val="24"/>
          <w:szCs w:val="24"/>
        </w:rPr>
      </w:pPr>
      <w:r>
        <w:rPr>
          <w:sz w:val="24"/>
          <w:szCs w:val="24"/>
        </w:rPr>
        <w:t>What is the e</w:t>
      </w:r>
      <w:r w:rsidRPr="005E6CCE">
        <w:rPr>
          <w:sz w:val="24"/>
          <w:szCs w:val="24"/>
        </w:rPr>
        <w:t xml:space="preserve">ffect of this </w:t>
      </w:r>
      <w:r w:rsidR="00976555">
        <w:rPr>
          <w:sz w:val="24"/>
          <w:szCs w:val="24"/>
        </w:rPr>
        <w:t>determination</w:t>
      </w:r>
    </w:p>
    <w:p w14:paraId="5705D660" w14:textId="5D0BBF08" w:rsidR="00DC59A8" w:rsidRDefault="0088399B" w:rsidP="00DC59A8">
      <w:pPr>
        <w:pStyle w:val="ListParagraph"/>
        <w:keepNext/>
        <w:keepLines/>
        <w:numPr>
          <w:ilvl w:val="0"/>
          <w:numId w:val="16"/>
        </w:numPr>
        <w:rPr>
          <w:rFonts w:ascii="Arial" w:eastAsia="Times New Roman" w:hAnsi="Arial" w:cs="Arial"/>
          <w:lang w:eastAsia="en-AU"/>
        </w:rPr>
      </w:pPr>
      <w:r>
        <w:rPr>
          <w:rFonts w:ascii="Arial" w:eastAsia="Times New Roman" w:hAnsi="Arial" w:cs="Arial"/>
          <w:lang w:eastAsia="en-AU"/>
        </w:rPr>
        <w:t>In accordance with paragraph 84-79(4</w:t>
      </w:r>
      <w:proofErr w:type="gramStart"/>
      <w:r>
        <w:rPr>
          <w:rFonts w:ascii="Arial" w:eastAsia="Times New Roman" w:hAnsi="Arial" w:cs="Arial"/>
          <w:lang w:eastAsia="en-AU"/>
        </w:rPr>
        <w:t>)(</w:t>
      </w:r>
      <w:proofErr w:type="gramEnd"/>
      <w:r>
        <w:rPr>
          <w:rFonts w:ascii="Arial" w:eastAsia="Times New Roman" w:hAnsi="Arial" w:cs="Arial"/>
          <w:lang w:eastAsia="en-AU"/>
        </w:rPr>
        <w:t>e), y</w:t>
      </w:r>
      <w:r w:rsidR="00DC59A8" w:rsidRPr="00DC59A8">
        <w:rPr>
          <w:rFonts w:ascii="Arial" w:eastAsia="Times New Roman" w:hAnsi="Arial" w:cs="Arial"/>
          <w:lang w:eastAsia="en-AU"/>
        </w:rPr>
        <w:t>ou can use the method prescribed</w:t>
      </w:r>
      <w:r w:rsidR="00DC59A8">
        <w:rPr>
          <w:rFonts w:ascii="Arial" w:eastAsia="Times New Roman" w:hAnsi="Arial" w:cs="Arial"/>
          <w:lang w:eastAsia="en-AU"/>
        </w:rPr>
        <w:t xml:space="preserve"> in</w:t>
      </w:r>
      <w:r w:rsidR="00DE55E3">
        <w:rPr>
          <w:rFonts w:ascii="Arial" w:eastAsia="Times New Roman" w:hAnsi="Arial" w:cs="Arial"/>
          <w:lang w:eastAsia="en-AU"/>
        </w:rPr>
        <w:t xml:space="preserve"> </w:t>
      </w:r>
      <w:r w:rsidR="00DC59A8">
        <w:rPr>
          <w:rFonts w:ascii="Arial" w:eastAsia="Times New Roman" w:hAnsi="Arial" w:cs="Arial"/>
          <w:lang w:eastAsia="en-AU"/>
        </w:rPr>
        <w:t xml:space="preserve">this </w:t>
      </w:r>
      <w:r w:rsidR="00032B0F">
        <w:rPr>
          <w:rFonts w:ascii="Arial" w:eastAsia="Times New Roman" w:hAnsi="Arial" w:cs="Arial"/>
          <w:lang w:eastAsia="en-AU"/>
        </w:rPr>
        <w:t>determination</w:t>
      </w:r>
      <w:r w:rsidR="00DC59A8">
        <w:rPr>
          <w:rFonts w:ascii="Arial" w:eastAsia="Times New Roman" w:hAnsi="Arial" w:cs="Arial"/>
          <w:lang w:eastAsia="en-AU"/>
        </w:rPr>
        <w:t xml:space="preserve"> as an alternative to the method in section 161J of the </w:t>
      </w:r>
      <w:r w:rsidR="00DC59A8" w:rsidRPr="004E2E18">
        <w:rPr>
          <w:rFonts w:ascii="Arial" w:eastAsia="Times New Roman" w:hAnsi="Arial" w:cs="Arial"/>
          <w:i/>
          <w:lang w:eastAsia="en-AU"/>
        </w:rPr>
        <w:t>Customs Act 1901</w:t>
      </w:r>
      <w:r w:rsidR="00DC59A8">
        <w:rPr>
          <w:rFonts w:ascii="Arial" w:eastAsia="Times New Roman" w:hAnsi="Arial" w:cs="Arial"/>
          <w:lang w:eastAsia="en-AU"/>
        </w:rPr>
        <w:t>. In working out the customs value of goods, you can convert foreign currency to Australian currency using this formula</w:t>
      </w:r>
      <w:r w:rsidR="00963127">
        <w:rPr>
          <w:rFonts w:ascii="Arial" w:eastAsia="Times New Roman" w:hAnsi="Arial" w:cs="Arial"/>
          <w:lang w:eastAsia="en-AU"/>
        </w:rPr>
        <w:t>:</w:t>
      </w:r>
    </w:p>
    <w:p w14:paraId="0E7FDFCB" w14:textId="77777777" w:rsidR="00F9486B" w:rsidRDefault="00F9486B" w:rsidP="00F9486B"/>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708"/>
        <w:gridCol w:w="3878"/>
      </w:tblGrid>
      <w:tr w:rsidR="00F9486B" w14:paraId="4232FFCD" w14:textId="77777777" w:rsidTr="00882839">
        <w:tc>
          <w:tcPr>
            <w:tcW w:w="3216" w:type="dxa"/>
            <w:vMerge w:val="restart"/>
            <w:vAlign w:val="center"/>
          </w:tcPr>
          <w:p w14:paraId="5AB93A46" w14:textId="6FD73E94" w:rsidR="00F9486B" w:rsidRDefault="007632E8" w:rsidP="00882839">
            <w:pPr>
              <w:spacing w:after="120"/>
              <w:jc w:val="center"/>
              <w:rPr>
                <w:rFonts w:ascii="Arial" w:hAnsi="Arial" w:cs="Arial"/>
                <w:sz w:val="22"/>
                <w:szCs w:val="22"/>
              </w:rPr>
            </w:pPr>
            <w:r>
              <w:rPr>
                <w:rFonts w:ascii="Arial" w:hAnsi="Arial" w:cs="Arial"/>
                <w:sz w:val="22"/>
                <w:szCs w:val="22"/>
              </w:rPr>
              <w:t>a</w:t>
            </w:r>
            <w:r w:rsidRPr="00C82D20">
              <w:rPr>
                <w:rFonts w:ascii="Arial" w:hAnsi="Arial" w:cs="Arial"/>
                <w:sz w:val="22"/>
                <w:szCs w:val="22"/>
              </w:rPr>
              <w:t xml:space="preserve">mount </w:t>
            </w:r>
            <w:r w:rsidR="00F9486B" w:rsidRPr="00C82D20">
              <w:rPr>
                <w:rFonts w:ascii="Arial" w:hAnsi="Arial" w:cs="Arial"/>
                <w:sz w:val="22"/>
                <w:szCs w:val="22"/>
              </w:rPr>
              <w:t>expressed in a foreign currency</w:t>
            </w:r>
          </w:p>
        </w:tc>
        <w:tc>
          <w:tcPr>
            <w:tcW w:w="708" w:type="dxa"/>
            <w:vMerge w:val="restart"/>
            <w:vAlign w:val="center"/>
          </w:tcPr>
          <w:p w14:paraId="0EFD6CDE" w14:textId="77777777" w:rsidR="00F9486B" w:rsidRDefault="00F9486B" w:rsidP="00882839">
            <w:pPr>
              <w:spacing w:after="120"/>
              <w:jc w:val="center"/>
              <w:rPr>
                <w:rFonts w:ascii="Arial" w:hAnsi="Arial" w:cs="Arial"/>
                <w:sz w:val="22"/>
                <w:szCs w:val="22"/>
              </w:rPr>
            </w:pPr>
            <w:r>
              <w:rPr>
                <w:rFonts w:ascii="Arial" w:hAnsi="Arial" w:cs="Arial"/>
                <w:sz w:val="22"/>
                <w:szCs w:val="22"/>
              </w:rPr>
              <w:t>x</w:t>
            </w:r>
          </w:p>
        </w:tc>
        <w:tc>
          <w:tcPr>
            <w:tcW w:w="3878" w:type="dxa"/>
            <w:tcBorders>
              <w:bottom w:val="single" w:sz="4" w:space="0" w:color="auto"/>
            </w:tcBorders>
            <w:vAlign w:val="center"/>
          </w:tcPr>
          <w:p w14:paraId="2B464788" w14:textId="77777777" w:rsidR="00F9486B" w:rsidRDefault="00F9486B" w:rsidP="00882839">
            <w:pPr>
              <w:spacing w:after="120"/>
              <w:jc w:val="center"/>
              <w:rPr>
                <w:rFonts w:ascii="Arial" w:hAnsi="Arial" w:cs="Arial"/>
                <w:sz w:val="22"/>
                <w:szCs w:val="22"/>
              </w:rPr>
            </w:pPr>
            <w:r>
              <w:rPr>
                <w:rFonts w:ascii="Arial" w:hAnsi="Arial" w:cs="Arial"/>
                <w:sz w:val="22"/>
                <w:szCs w:val="22"/>
              </w:rPr>
              <w:t>1</w:t>
            </w:r>
          </w:p>
        </w:tc>
      </w:tr>
      <w:tr w:rsidR="00F9486B" w14:paraId="48D76766" w14:textId="77777777" w:rsidTr="00882839">
        <w:tc>
          <w:tcPr>
            <w:tcW w:w="3216" w:type="dxa"/>
            <w:vMerge/>
            <w:vAlign w:val="center"/>
          </w:tcPr>
          <w:p w14:paraId="398C3BAE" w14:textId="77777777" w:rsidR="00F9486B" w:rsidRDefault="00F9486B" w:rsidP="00882839">
            <w:pPr>
              <w:spacing w:after="120"/>
              <w:jc w:val="center"/>
              <w:rPr>
                <w:rFonts w:ascii="Arial" w:hAnsi="Arial" w:cs="Arial"/>
                <w:sz w:val="22"/>
                <w:szCs w:val="22"/>
              </w:rPr>
            </w:pPr>
          </w:p>
        </w:tc>
        <w:tc>
          <w:tcPr>
            <w:tcW w:w="708" w:type="dxa"/>
            <w:vMerge/>
            <w:vAlign w:val="center"/>
          </w:tcPr>
          <w:p w14:paraId="53DA64BE" w14:textId="77777777" w:rsidR="00F9486B" w:rsidRDefault="00F9486B" w:rsidP="00882839">
            <w:pPr>
              <w:spacing w:after="120"/>
              <w:jc w:val="center"/>
              <w:rPr>
                <w:rFonts w:ascii="Arial" w:hAnsi="Arial" w:cs="Arial"/>
                <w:sz w:val="22"/>
                <w:szCs w:val="22"/>
              </w:rPr>
            </w:pPr>
          </w:p>
        </w:tc>
        <w:tc>
          <w:tcPr>
            <w:tcW w:w="3878" w:type="dxa"/>
            <w:tcBorders>
              <w:top w:val="single" w:sz="4" w:space="0" w:color="auto"/>
            </w:tcBorders>
            <w:vAlign w:val="center"/>
          </w:tcPr>
          <w:p w14:paraId="7C57A164" w14:textId="77777777" w:rsidR="00F9486B" w:rsidRDefault="00F9486B" w:rsidP="00882839">
            <w:pPr>
              <w:spacing w:after="120"/>
              <w:jc w:val="center"/>
              <w:rPr>
                <w:rFonts w:ascii="Arial" w:hAnsi="Arial" w:cs="Arial"/>
                <w:sz w:val="22"/>
                <w:szCs w:val="22"/>
              </w:rPr>
            </w:pPr>
            <w:r w:rsidRPr="00C82D20">
              <w:rPr>
                <w:rFonts w:ascii="Arial" w:hAnsi="Arial" w:cs="Arial"/>
                <w:sz w:val="22"/>
                <w:szCs w:val="22"/>
              </w:rPr>
              <w:t>your particular excha</w:t>
            </w:r>
            <w:r>
              <w:rPr>
                <w:rFonts w:ascii="Arial" w:hAnsi="Arial" w:cs="Arial"/>
                <w:sz w:val="22"/>
                <w:szCs w:val="22"/>
              </w:rPr>
              <w:t>nge rate at the conversion time</w:t>
            </w:r>
          </w:p>
        </w:tc>
      </w:tr>
    </w:tbl>
    <w:p w14:paraId="0F29111C" w14:textId="77777777" w:rsidR="00C54040" w:rsidRDefault="00C54040" w:rsidP="00C54040">
      <w:pPr>
        <w:pStyle w:val="ListParagraph"/>
        <w:keepNext/>
        <w:keepLines/>
        <w:rPr>
          <w:rFonts w:ascii="Arial" w:eastAsia="Times New Roman" w:hAnsi="Arial" w:cs="Arial"/>
          <w:lang w:eastAsia="en-AU"/>
        </w:rPr>
      </w:pPr>
    </w:p>
    <w:p w14:paraId="0F48CE9E" w14:textId="358213FF" w:rsidR="00C54040" w:rsidRPr="00C54040" w:rsidRDefault="00C54040" w:rsidP="00C54040">
      <w:pPr>
        <w:pStyle w:val="ListParagraph"/>
        <w:keepNext/>
        <w:keepLines/>
        <w:numPr>
          <w:ilvl w:val="0"/>
          <w:numId w:val="16"/>
        </w:numPr>
        <w:rPr>
          <w:rFonts w:ascii="Arial" w:eastAsia="Times New Roman" w:hAnsi="Arial" w:cs="Arial"/>
          <w:lang w:eastAsia="en-AU"/>
        </w:rPr>
      </w:pPr>
      <w:r w:rsidRPr="00C54040">
        <w:rPr>
          <w:rFonts w:ascii="Arial" w:eastAsia="Times New Roman" w:hAnsi="Arial" w:cs="Arial"/>
          <w:lang w:eastAsia="en-AU"/>
        </w:rPr>
        <w:t>Compliance Cost Impact: Minor – there will be no or minimal impact for both implementation and ongoing compliance costs. The change is minor or machinery in nature.</w:t>
      </w:r>
    </w:p>
    <w:p w14:paraId="4390E84A" w14:textId="4A2B6FC0" w:rsidR="004E2E18" w:rsidRPr="005E6CCE" w:rsidRDefault="004E2E18" w:rsidP="004E2E18">
      <w:pPr>
        <w:pStyle w:val="Heading2"/>
        <w:rPr>
          <w:sz w:val="24"/>
          <w:szCs w:val="24"/>
        </w:rPr>
      </w:pPr>
      <w:r w:rsidRPr="005E6CCE">
        <w:rPr>
          <w:sz w:val="24"/>
          <w:szCs w:val="24"/>
        </w:rPr>
        <w:t>Background</w:t>
      </w:r>
    </w:p>
    <w:p w14:paraId="292C3175" w14:textId="77777777" w:rsidR="004E2E18" w:rsidRPr="009F31A4" w:rsidRDefault="004E2E18" w:rsidP="004E2E18">
      <w:pPr>
        <w:keepNext/>
        <w:keepLines/>
        <w:rPr>
          <w:rFonts w:ascii="Arial" w:hAnsi="Arial" w:cs="Arial"/>
          <w:b/>
        </w:rPr>
      </w:pPr>
    </w:p>
    <w:p w14:paraId="1F720F6D" w14:textId="26AC80FB" w:rsidR="004E2E18" w:rsidRPr="00355C72" w:rsidRDefault="004E2E18" w:rsidP="00963127">
      <w:pPr>
        <w:pStyle w:val="ListParagraph"/>
        <w:numPr>
          <w:ilvl w:val="0"/>
          <w:numId w:val="16"/>
        </w:numPr>
        <w:rPr>
          <w:rFonts w:ascii="Arial" w:hAnsi="Arial" w:cs="Arial"/>
        </w:rPr>
      </w:pPr>
      <w:r>
        <w:rPr>
          <w:rFonts w:ascii="Arial" w:hAnsi="Arial" w:cs="Arial"/>
        </w:rPr>
        <w:t>O</w:t>
      </w:r>
      <w:r w:rsidRPr="00C51290">
        <w:rPr>
          <w:rFonts w:ascii="Arial" w:hAnsi="Arial" w:cs="Arial"/>
        </w:rPr>
        <w:t xml:space="preserve">ne of the requirements for </w:t>
      </w:r>
      <w:r>
        <w:rPr>
          <w:rFonts w:ascii="Arial" w:hAnsi="Arial" w:cs="Arial"/>
        </w:rPr>
        <w:t xml:space="preserve">a supply </w:t>
      </w:r>
      <w:r w:rsidRPr="00C51290">
        <w:rPr>
          <w:rFonts w:ascii="Arial" w:hAnsi="Arial" w:cs="Arial"/>
        </w:rPr>
        <w:t xml:space="preserve">to be connected with </w:t>
      </w:r>
      <w:r w:rsidR="00F50B8A">
        <w:rPr>
          <w:rFonts w:ascii="Arial" w:hAnsi="Arial" w:cs="Arial"/>
        </w:rPr>
        <w:t>the indirect tax zone</w:t>
      </w:r>
      <w:r w:rsidRPr="003D482A">
        <w:rPr>
          <w:rFonts w:ascii="Arial" w:hAnsi="Arial" w:cs="Arial"/>
        </w:rPr>
        <w:t xml:space="preserve"> </w:t>
      </w:r>
      <w:r w:rsidRPr="00C51290">
        <w:rPr>
          <w:rFonts w:ascii="Arial" w:hAnsi="Arial" w:cs="Arial"/>
        </w:rPr>
        <w:t>under Subdivision 84-C of the GST Act,</w:t>
      </w:r>
      <w:r w:rsidR="00963127">
        <w:rPr>
          <w:rFonts w:ascii="Arial" w:hAnsi="Arial" w:cs="Arial"/>
        </w:rPr>
        <w:t xml:space="preserve"> </w:t>
      </w:r>
      <w:r>
        <w:rPr>
          <w:rFonts w:ascii="Arial" w:hAnsi="Arial" w:cs="Arial"/>
        </w:rPr>
        <w:t xml:space="preserve">is that </w:t>
      </w:r>
      <w:r w:rsidR="009059A1">
        <w:rPr>
          <w:rFonts w:ascii="Arial" w:hAnsi="Arial" w:cs="Arial"/>
        </w:rPr>
        <w:t>there</w:t>
      </w:r>
      <w:r>
        <w:rPr>
          <w:rFonts w:ascii="Arial" w:hAnsi="Arial" w:cs="Arial"/>
        </w:rPr>
        <w:t xml:space="preserve"> is a supply of low value goods</w:t>
      </w:r>
      <w:r w:rsidRPr="00C51290">
        <w:rPr>
          <w:rFonts w:ascii="Arial" w:hAnsi="Arial" w:cs="Arial"/>
        </w:rPr>
        <w:t xml:space="preserve">. </w:t>
      </w:r>
      <w:r>
        <w:rPr>
          <w:rFonts w:ascii="Arial" w:hAnsi="Arial" w:cs="Arial"/>
        </w:rPr>
        <w:t>Under section 84-79</w:t>
      </w:r>
      <w:r w:rsidR="008201B9">
        <w:rPr>
          <w:rFonts w:ascii="Arial" w:hAnsi="Arial" w:cs="Arial"/>
        </w:rPr>
        <w:t xml:space="preserve"> of the GST Act</w:t>
      </w:r>
      <w:r w:rsidR="00963127">
        <w:rPr>
          <w:rFonts w:ascii="Arial" w:hAnsi="Arial" w:cs="Arial"/>
        </w:rPr>
        <w:t>,</w:t>
      </w:r>
      <w:r>
        <w:rPr>
          <w:rFonts w:ascii="Arial" w:hAnsi="Arial" w:cs="Arial"/>
        </w:rPr>
        <w:t xml:space="preserve"> a</w:t>
      </w:r>
      <w:r w:rsidRPr="00C51290">
        <w:rPr>
          <w:rFonts w:ascii="Arial" w:hAnsi="Arial" w:cs="Arial"/>
        </w:rPr>
        <w:t xml:space="preserve"> supply of goods </w:t>
      </w:r>
      <w:r w:rsidR="00963127" w:rsidRPr="00963127">
        <w:rPr>
          <w:rFonts w:ascii="Arial" w:hAnsi="Arial" w:cs="Arial"/>
        </w:rPr>
        <w:t xml:space="preserve">is a supply of low value goods to the extent that the customs value of one or more of the goods making up the supply would have been </w:t>
      </w:r>
      <w:r w:rsidR="00590970">
        <w:rPr>
          <w:rFonts w:ascii="Arial" w:hAnsi="Arial" w:cs="Arial"/>
        </w:rPr>
        <w:t>A</w:t>
      </w:r>
      <w:r w:rsidR="00326E5B">
        <w:rPr>
          <w:rFonts w:ascii="Arial" w:hAnsi="Arial" w:cs="Arial"/>
        </w:rPr>
        <w:t>UD</w:t>
      </w:r>
      <w:r w:rsidR="00963127" w:rsidRPr="00963127">
        <w:rPr>
          <w:rFonts w:ascii="Arial" w:hAnsi="Arial" w:cs="Arial"/>
        </w:rPr>
        <w:t>1</w:t>
      </w:r>
      <w:proofErr w:type="gramStart"/>
      <w:r w:rsidR="00963127" w:rsidRPr="00963127">
        <w:rPr>
          <w:rFonts w:ascii="Arial" w:hAnsi="Arial" w:cs="Arial"/>
        </w:rPr>
        <w:t>,000</w:t>
      </w:r>
      <w:proofErr w:type="gramEnd"/>
      <w:r w:rsidR="00963127" w:rsidRPr="00963127">
        <w:rPr>
          <w:rFonts w:ascii="Arial" w:hAnsi="Arial" w:cs="Arial"/>
        </w:rPr>
        <w:t xml:space="preserve"> or less at the time when the consideration for the supply was first agreed.</w:t>
      </w:r>
      <w:r w:rsidR="00963127">
        <w:rPr>
          <w:rFonts w:ascii="Arial" w:hAnsi="Arial" w:cs="Arial"/>
        </w:rPr>
        <w:t xml:space="preserve"> Alcoholic beverages, tobacco and tobacco products are excluded from the definition</w:t>
      </w:r>
      <w:r w:rsidR="003168AC">
        <w:rPr>
          <w:rFonts w:ascii="Arial" w:hAnsi="Arial" w:cs="Arial"/>
        </w:rPr>
        <w:t xml:space="preserve"> of low value goods</w:t>
      </w:r>
      <w:r w:rsidR="00963127">
        <w:rPr>
          <w:rFonts w:ascii="Arial" w:hAnsi="Arial" w:cs="Arial"/>
        </w:rPr>
        <w:t xml:space="preserve">. </w:t>
      </w:r>
    </w:p>
    <w:p w14:paraId="75C68BBB" w14:textId="21DDE934" w:rsidR="004E2E18" w:rsidRDefault="004E2E18" w:rsidP="004E2E18">
      <w:pPr>
        <w:pStyle w:val="ListParagraph"/>
        <w:numPr>
          <w:ilvl w:val="0"/>
          <w:numId w:val="16"/>
        </w:numPr>
        <w:rPr>
          <w:rFonts w:ascii="Arial" w:hAnsi="Arial" w:cs="Arial"/>
        </w:rPr>
      </w:pPr>
      <w:r>
        <w:rPr>
          <w:rFonts w:ascii="Arial" w:hAnsi="Arial" w:cs="Arial"/>
        </w:rPr>
        <w:t xml:space="preserve">This </w:t>
      </w:r>
      <w:r w:rsidR="00586308">
        <w:rPr>
          <w:rFonts w:ascii="Arial" w:hAnsi="Arial" w:cs="Arial"/>
        </w:rPr>
        <w:t>determination</w:t>
      </w:r>
      <w:r w:rsidRPr="00A04998">
        <w:rPr>
          <w:rFonts w:ascii="Arial" w:hAnsi="Arial" w:cs="Arial"/>
        </w:rPr>
        <w:t xml:space="preserve"> </w:t>
      </w:r>
      <w:r>
        <w:rPr>
          <w:rFonts w:ascii="Arial" w:hAnsi="Arial" w:cs="Arial"/>
        </w:rPr>
        <w:t>provide</w:t>
      </w:r>
      <w:r w:rsidR="007632E8">
        <w:rPr>
          <w:rFonts w:ascii="Arial" w:hAnsi="Arial" w:cs="Arial"/>
        </w:rPr>
        <w:t>s</w:t>
      </w:r>
      <w:r>
        <w:rPr>
          <w:rFonts w:ascii="Arial" w:hAnsi="Arial" w:cs="Arial"/>
        </w:rPr>
        <w:t xml:space="preserve"> additional options for </w:t>
      </w:r>
      <w:r w:rsidRPr="008B0E80">
        <w:rPr>
          <w:rFonts w:ascii="Arial" w:hAnsi="Arial" w:cs="Arial"/>
        </w:rPr>
        <w:t>supplier</w:t>
      </w:r>
      <w:r>
        <w:rPr>
          <w:rFonts w:ascii="Arial" w:hAnsi="Arial" w:cs="Arial"/>
        </w:rPr>
        <w:t xml:space="preserve">s, </w:t>
      </w:r>
      <w:r w:rsidRPr="008B0E80">
        <w:rPr>
          <w:rFonts w:ascii="Arial" w:hAnsi="Arial" w:cs="Arial"/>
        </w:rPr>
        <w:t xml:space="preserve">electronic distribution platform </w:t>
      </w:r>
      <w:r>
        <w:rPr>
          <w:rFonts w:ascii="Arial" w:hAnsi="Arial" w:cs="Arial"/>
        </w:rPr>
        <w:t xml:space="preserve">operators </w:t>
      </w:r>
      <w:r w:rsidR="007632E8">
        <w:rPr>
          <w:rFonts w:ascii="Arial" w:hAnsi="Arial" w:cs="Arial"/>
        </w:rPr>
        <w:t xml:space="preserve">and </w:t>
      </w:r>
      <w:proofErr w:type="spellStart"/>
      <w:r w:rsidRPr="008B0E80">
        <w:rPr>
          <w:rFonts w:ascii="Arial" w:hAnsi="Arial" w:cs="Arial"/>
        </w:rPr>
        <w:t>redeliverer</w:t>
      </w:r>
      <w:r>
        <w:rPr>
          <w:rFonts w:ascii="Arial" w:hAnsi="Arial" w:cs="Arial"/>
        </w:rPr>
        <w:t>s</w:t>
      </w:r>
      <w:proofErr w:type="spellEnd"/>
      <w:r w:rsidRPr="008B0E80">
        <w:rPr>
          <w:rFonts w:ascii="Arial" w:hAnsi="Arial" w:cs="Arial"/>
        </w:rPr>
        <w:t xml:space="preserve"> </w:t>
      </w:r>
      <w:r>
        <w:rPr>
          <w:rFonts w:ascii="Arial" w:hAnsi="Arial" w:cs="Arial"/>
        </w:rPr>
        <w:t>who are required to convert amounts</w:t>
      </w:r>
      <w:r w:rsidR="008A5C90">
        <w:rPr>
          <w:rFonts w:ascii="Arial" w:hAnsi="Arial" w:cs="Arial"/>
        </w:rPr>
        <w:t xml:space="preserve"> expressed in a foreign currency </w:t>
      </w:r>
      <w:r>
        <w:rPr>
          <w:rFonts w:ascii="Arial" w:hAnsi="Arial" w:cs="Arial"/>
        </w:rPr>
        <w:t xml:space="preserve">to Australian currency when working out the customs value of goods under </w:t>
      </w:r>
      <w:r w:rsidR="008C53E1">
        <w:rPr>
          <w:rFonts w:ascii="Arial" w:hAnsi="Arial" w:cs="Arial"/>
        </w:rPr>
        <w:t>section 84-79</w:t>
      </w:r>
      <w:r w:rsidR="008201B9">
        <w:rPr>
          <w:rFonts w:ascii="Arial" w:hAnsi="Arial" w:cs="Arial"/>
        </w:rPr>
        <w:t xml:space="preserve"> of the GST Act</w:t>
      </w:r>
      <w:r>
        <w:rPr>
          <w:rFonts w:ascii="Arial" w:hAnsi="Arial" w:cs="Arial"/>
        </w:rPr>
        <w:t>.</w:t>
      </w:r>
    </w:p>
    <w:p w14:paraId="5A616838" w14:textId="4BC1C94F" w:rsidR="0035692A" w:rsidRPr="00F12C81" w:rsidRDefault="00604AF3" w:rsidP="004E2E18">
      <w:pPr>
        <w:pStyle w:val="ListParagraph"/>
        <w:numPr>
          <w:ilvl w:val="0"/>
          <w:numId w:val="16"/>
        </w:numPr>
        <w:rPr>
          <w:rFonts w:ascii="Arial" w:hAnsi="Arial" w:cs="Arial"/>
        </w:rPr>
      </w:pPr>
      <w:r>
        <w:rPr>
          <w:rFonts w:ascii="Arial" w:hAnsi="Arial" w:cs="Arial"/>
        </w:rPr>
        <w:t xml:space="preserve">The method in </w:t>
      </w:r>
      <w:r w:rsidR="0035692A">
        <w:rPr>
          <w:rFonts w:ascii="Arial" w:hAnsi="Arial" w:cs="Arial"/>
        </w:rPr>
        <w:t xml:space="preserve">this </w:t>
      </w:r>
      <w:r w:rsidR="009059A1">
        <w:rPr>
          <w:rFonts w:ascii="Arial" w:hAnsi="Arial" w:cs="Arial"/>
        </w:rPr>
        <w:t>determination</w:t>
      </w:r>
      <w:r>
        <w:rPr>
          <w:rFonts w:ascii="Arial" w:hAnsi="Arial" w:cs="Arial"/>
        </w:rPr>
        <w:t xml:space="preserve"> allows you to choose </w:t>
      </w:r>
      <w:r w:rsidR="0035692A">
        <w:rPr>
          <w:rFonts w:ascii="Arial" w:hAnsi="Arial" w:cs="Arial"/>
        </w:rPr>
        <w:t xml:space="preserve">your particular </w:t>
      </w:r>
      <w:r w:rsidR="00933002">
        <w:rPr>
          <w:rFonts w:ascii="Arial" w:hAnsi="Arial" w:cs="Arial"/>
        </w:rPr>
        <w:t xml:space="preserve">exchange rate from </w:t>
      </w:r>
      <w:r w:rsidR="0035692A">
        <w:rPr>
          <w:rFonts w:ascii="Arial" w:hAnsi="Arial" w:cs="Arial"/>
        </w:rPr>
        <w:t xml:space="preserve">three </w:t>
      </w:r>
      <w:r w:rsidR="00933002">
        <w:rPr>
          <w:rFonts w:ascii="Arial" w:hAnsi="Arial" w:cs="Arial"/>
        </w:rPr>
        <w:t>options</w:t>
      </w:r>
      <w:r w:rsidR="002E0081">
        <w:rPr>
          <w:rFonts w:ascii="Arial" w:hAnsi="Arial" w:cs="Arial"/>
        </w:rPr>
        <w:t xml:space="preserve"> </w:t>
      </w:r>
      <w:r w:rsidR="00FB35AF">
        <w:rPr>
          <w:rFonts w:ascii="Arial" w:hAnsi="Arial" w:cs="Arial"/>
        </w:rPr>
        <w:t xml:space="preserve">and the </w:t>
      </w:r>
      <w:r w:rsidR="002E0081">
        <w:rPr>
          <w:rFonts w:ascii="Arial" w:hAnsi="Arial" w:cs="Arial"/>
        </w:rPr>
        <w:t xml:space="preserve">rate </w:t>
      </w:r>
      <w:r w:rsidR="00FB35AF">
        <w:rPr>
          <w:rFonts w:ascii="Arial" w:hAnsi="Arial" w:cs="Arial"/>
        </w:rPr>
        <w:t xml:space="preserve">chosen </w:t>
      </w:r>
      <w:r w:rsidR="002E0081">
        <w:rPr>
          <w:rFonts w:ascii="Arial" w:hAnsi="Arial" w:cs="Arial"/>
        </w:rPr>
        <w:t xml:space="preserve">must be used </w:t>
      </w:r>
      <w:r w:rsidR="00D00A01">
        <w:rPr>
          <w:rFonts w:ascii="Arial" w:hAnsi="Arial" w:cs="Arial"/>
        </w:rPr>
        <w:t>consistently</w:t>
      </w:r>
      <w:r w:rsidR="00933002">
        <w:rPr>
          <w:rFonts w:ascii="Arial" w:hAnsi="Arial" w:cs="Arial"/>
        </w:rPr>
        <w:t xml:space="preserve">. </w:t>
      </w:r>
      <w:r w:rsidR="003C297C">
        <w:rPr>
          <w:rFonts w:ascii="Arial" w:hAnsi="Arial" w:cs="Arial"/>
        </w:rPr>
        <w:t>T</w:t>
      </w:r>
      <w:r w:rsidR="0013330B">
        <w:rPr>
          <w:rFonts w:ascii="Arial" w:hAnsi="Arial" w:cs="Arial"/>
        </w:rPr>
        <w:t xml:space="preserve">hese options allow you to select from freely </w:t>
      </w:r>
      <w:r w:rsidR="003C297C">
        <w:rPr>
          <w:rFonts w:ascii="Arial" w:hAnsi="Arial" w:cs="Arial"/>
        </w:rPr>
        <w:t xml:space="preserve">available </w:t>
      </w:r>
      <w:r w:rsidR="0013330B">
        <w:rPr>
          <w:rFonts w:ascii="Arial" w:hAnsi="Arial" w:cs="Arial"/>
        </w:rPr>
        <w:t>publications of exchange rates</w:t>
      </w:r>
      <w:r w:rsidR="003C297C">
        <w:rPr>
          <w:rFonts w:ascii="Arial" w:hAnsi="Arial" w:cs="Arial"/>
        </w:rPr>
        <w:t xml:space="preserve"> </w:t>
      </w:r>
      <w:r w:rsidR="0013330B">
        <w:rPr>
          <w:rFonts w:ascii="Arial" w:hAnsi="Arial" w:cs="Arial"/>
        </w:rPr>
        <w:t>at no cost</w:t>
      </w:r>
      <w:r w:rsidR="00981D25" w:rsidRPr="00981D25">
        <w:rPr>
          <w:rFonts w:ascii="Arial" w:hAnsi="Arial" w:cs="Arial"/>
        </w:rPr>
        <w:t xml:space="preserve"> </w:t>
      </w:r>
      <w:r w:rsidR="00981D25" w:rsidRPr="00C54040">
        <w:rPr>
          <w:rFonts w:ascii="Arial" w:hAnsi="Arial" w:cs="Arial"/>
        </w:rPr>
        <w:t>such as the Reserve Bank of Australia’s website</w:t>
      </w:r>
      <w:r w:rsidR="0013330B">
        <w:rPr>
          <w:rFonts w:ascii="Arial" w:hAnsi="Arial" w:cs="Arial"/>
        </w:rPr>
        <w:t xml:space="preserve">, or alternatively, </w:t>
      </w:r>
      <w:r w:rsidR="00F50B8A">
        <w:rPr>
          <w:rFonts w:ascii="Arial" w:hAnsi="Arial" w:cs="Arial"/>
        </w:rPr>
        <w:t>on</w:t>
      </w:r>
      <w:r w:rsidR="0013330B">
        <w:rPr>
          <w:rFonts w:ascii="Arial" w:hAnsi="Arial" w:cs="Arial"/>
        </w:rPr>
        <w:t xml:space="preserve"> </w:t>
      </w:r>
      <w:r w:rsidR="003C297C">
        <w:rPr>
          <w:rFonts w:ascii="Arial" w:hAnsi="Arial" w:cs="Arial"/>
        </w:rPr>
        <w:t xml:space="preserve">a subscription basis. This flexibility in choice minimises </w:t>
      </w:r>
      <w:r w:rsidR="0013330B">
        <w:rPr>
          <w:rFonts w:ascii="Arial" w:hAnsi="Arial" w:cs="Arial"/>
        </w:rPr>
        <w:t xml:space="preserve">your </w:t>
      </w:r>
      <w:r w:rsidR="003C297C">
        <w:rPr>
          <w:rFonts w:ascii="Arial" w:hAnsi="Arial" w:cs="Arial"/>
        </w:rPr>
        <w:t>compliance</w:t>
      </w:r>
      <w:r w:rsidR="0013330B">
        <w:rPr>
          <w:rFonts w:ascii="Arial" w:hAnsi="Arial" w:cs="Arial"/>
        </w:rPr>
        <w:t xml:space="preserve"> </w:t>
      </w:r>
      <w:r w:rsidR="00FB35AF">
        <w:rPr>
          <w:rFonts w:ascii="Arial" w:hAnsi="Arial" w:cs="Arial"/>
        </w:rPr>
        <w:t xml:space="preserve">costs </w:t>
      </w:r>
      <w:r w:rsidR="0013330B">
        <w:rPr>
          <w:rFonts w:ascii="Arial" w:hAnsi="Arial" w:cs="Arial"/>
        </w:rPr>
        <w:t>by accommodating your business practices</w:t>
      </w:r>
      <w:r w:rsidR="003C297C">
        <w:rPr>
          <w:rFonts w:ascii="Arial" w:hAnsi="Arial" w:cs="Arial"/>
        </w:rPr>
        <w:t xml:space="preserve">. </w:t>
      </w:r>
    </w:p>
    <w:p w14:paraId="59F0996D" w14:textId="4E00500F" w:rsidR="0035692A" w:rsidRDefault="0013330B" w:rsidP="0035692A">
      <w:pPr>
        <w:pStyle w:val="ListParagraph"/>
        <w:numPr>
          <w:ilvl w:val="0"/>
          <w:numId w:val="16"/>
        </w:numPr>
        <w:rPr>
          <w:rFonts w:ascii="Arial" w:hAnsi="Arial" w:cs="Arial"/>
        </w:rPr>
      </w:pPr>
      <w:bookmarkStart w:id="13" w:name="_Ref514223334"/>
      <w:r>
        <w:rPr>
          <w:rFonts w:ascii="Arial" w:hAnsi="Arial" w:cs="Arial"/>
        </w:rPr>
        <w:t>Y</w:t>
      </w:r>
      <w:r w:rsidR="0035692A">
        <w:rPr>
          <w:rFonts w:ascii="Arial" w:hAnsi="Arial" w:cs="Arial"/>
        </w:rPr>
        <w:t>our particular exchange rate is:</w:t>
      </w:r>
      <w:bookmarkEnd w:id="13"/>
    </w:p>
    <w:p w14:paraId="7E3AD657" w14:textId="3B46E9AD" w:rsidR="0035692A" w:rsidRPr="00963127" w:rsidRDefault="007632E8" w:rsidP="00FE7D0D">
      <w:pPr>
        <w:pStyle w:val="ListParagraph"/>
        <w:numPr>
          <w:ilvl w:val="0"/>
          <w:numId w:val="45"/>
        </w:numPr>
        <w:rPr>
          <w:rFonts w:ascii="Arial" w:hAnsi="Arial" w:cs="Arial"/>
        </w:rPr>
      </w:pPr>
      <w:r>
        <w:rPr>
          <w:rFonts w:ascii="Arial" w:hAnsi="Arial" w:cs="Arial"/>
        </w:rPr>
        <w:lastRenderedPageBreak/>
        <w:t>t</w:t>
      </w:r>
      <w:r w:rsidRPr="00963127">
        <w:rPr>
          <w:rFonts w:ascii="Arial" w:hAnsi="Arial" w:cs="Arial"/>
        </w:rPr>
        <w:t>he</w:t>
      </w:r>
      <w:r w:rsidR="0035692A" w:rsidRPr="00963127">
        <w:rPr>
          <w:rFonts w:ascii="Arial" w:hAnsi="Arial" w:cs="Arial"/>
        </w:rPr>
        <w:t xml:space="preserve"> RBA </w:t>
      </w:r>
      <w:r w:rsidR="002A61D9">
        <w:rPr>
          <w:rFonts w:ascii="Arial" w:hAnsi="Arial" w:cs="Arial"/>
        </w:rPr>
        <w:t xml:space="preserve">(Reserve Bank of Australia) </w:t>
      </w:r>
      <w:r w:rsidR="0035692A" w:rsidRPr="00963127">
        <w:rPr>
          <w:rFonts w:ascii="Arial" w:hAnsi="Arial" w:cs="Arial"/>
        </w:rPr>
        <w:t xml:space="preserve">rate, or a reference rate published by another central bank, or </w:t>
      </w:r>
    </w:p>
    <w:p w14:paraId="323DCF74" w14:textId="4AB7E41C" w:rsidR="0035692A" w:rsidRPr="00963127" w:rsidRDefault="0035692A" w:rsidP="00FE7D0D">
      <w:pPr>
        <w:pStyle w:val="ListParagraph"/>
        <w:numPr>
          <w:ilvl w:val="0"/>
          <w:numId w:val="45"/>
        </w:numPr>
        <w:rPr>
          <w:rFonts w:ascii="Arial" w:hAnsi="Arial" w:cs="Arial"/>
        </w:rPr>
      </w:pPr>
      <w:r w:rsidRPr="00963127">
        <w:rPr>
          <w:rFonts w:ascii="Arial" w:hAnsi="Arial" w:cs="Arial"/>
        </w:rPr>
        <w:t xml:space="preserve">an exchange rate that is consistently higher than the RBA rate in terms of units of foreign currency per Australian dollar </w:t>
      </w:r>
      <w:r>
        <w:rPr>
          <w:rFonts w:ascii="Arial" w:hAnsi="Arial" w:cs="Arial"/>
        </w:rPr>
        <w:t>provided by a foreign exchange organisation, or</w:t>
      </w:r>
    </w:p>
    <w:p w14:paraId="084C54C2" w14:textId="77777777" w:rsidR="0035692A" w:rsidRPr="00963127" w:rsidRDefault="0035692A" w:rsidP="00FE7D0D">
      <w:pPr>
        <w:pStyle w:val="ListParagraph"/>
        <w:numPr>
          <w:ilvl w:val="0"/>
          <w:numId w:val="45"/>
        </w:numPr>
        <w:rPr>
          <w:rFonts w:ascii="Arial" w:hAnsi="Arial" w:cs="Arial"/>
        </w:rPr>
      </w:pPr>
      <w:proofErr w:type="gramStart"/>
      <w:r w:rsidRPr="00963127">
        <w:rPr>
          <w:rFonts w:ascii="Arial" w:hAnsi="Arial" w:cs="Arial"/>
        </w:rPr>
        <w:t>a</w:t>
      </w:r>
      <w:proofErr w:type="gramEnd"/>
      <w:r w:rsidRPr="00963127">
        <w:rPr>
          <w:rFonts w:ascii="Arial" w:hAnsi="Arial" w:cs="Arial"/>
        </w:rPr>
        <w:t xml:space="preserve"> mid-</w:t>
      </w:r>
      <w:r>
        <w:rPr>
          <w:rFonts w:ascii="Arial" w:hAnsi="Arial" w:cs="Arial"/>
        </w:rPr>
        <w:t>market</w:t>
      </w:r>
      <w:r w:rsidRPr="00963127">
        <w:rPr>
          <w:rFonts w:ascii="Arial" w:hAnsi="Arial" w:cs="Arial"/>
        </w:rPr>
        <w:t xml:space="preserve"> rate </w:t>
      </w:r>
      <w:r>
        <w:rPr>
          <w:rFonts w:ascii="Arial" w:hAnsi="Arial" w:cs="Arial"/>
        </w:rPr>
        <w:t xml:space="preserve">of </w:t>
      </w:r>
      <w:r w:rsidRPr="00963127">
        <w:rPr>
          <w:rFonts w:ascii="Arial" w:hAnsi="Arial" w:cs="Arial"/>
        </w:rPr>
        <w:t>a foreign exchange organisation</w:t>
      </w:r>
      <w:r>
        <w:rPr>
          <w:rFonts w:ascii="Arial" w:hAnsi="Arial" w:cs="Arial"/>
        </w:rPr>
        <w:t xml:space="preserve"> or a foreign exchange data vendor</w:t>
      </w:r>
      <w:r w:rsidRPr="00963127">
        <w:rPr>
          <w:rFonts w:ascii="Arial" w:hAnsi="Arial" w:cs="Arial"/>
        </w:rPr>
        <w:t xml:space="preserve">. </w:t>
      </w:r>
    </w:p>
    <w:p w14:paraId="0496CC35" w14:textId="33A371D6" w:rsidR="00074366" w:rsidRDefault="00B43E7B" w:rsidP="00B43E7B">
      <w:pPr>
        <w:pStyle w:val="ListParagraph"/>
        <w:numPr>
          <w:ilvl w:val="0"/>
          <w:numId w:val="16"/>
        </w:numPr>
        <w:rPr>
          <w:rFonts w:ascii="Arial" w:hAnsi="Arial" w:cs="Arial"/>
        </w:rPr>
      </w:pPr>
      <w:r w:rsidRPr="00B43E7B">
        <w:rPr>
          <w:rFonts w:ascii="Arial" w:hAnsi="Arial" w:cs="Arial"/>
        </w:rPr>
        <w:t xml:space="preserve">The first option is </w:t>
      </w:r>
      <w:r w:rsidR="00032B0F" w:rsidRPr="00B43E7B">
        <w:rPr>
          <w:rFonts w:ascii="Arial" w:hAnsi="Arial" w:cs="Arial"/>
        </w:rPr>
        <w:t xml:space="preserve">the RBA rate or </w:t>
      </w:r>
      <w:r w:rsidR="0035692A" w:rsidRPr="00B43E7B">
        <w:rPr>
          <w:rFonts w:ascii="Arial" w:hAnsi="Arial" w:cs="Arial"/>
        </w:rPr>
        <w:t xml:space="preserve">a </w:t>
      </w:r>
      <w:r w:rsidR="00032B0F" w:rsidRPr="00B43E7B">
        <w:rPr>
          <w:rFonts w:ascii="Arial" w:hAnsi="Arial" w:cs="Arial"/>
        </w:rPr>
        <w:t>reference rate published by another central bank</w:t>
      </w:r>
      <w:r w:rsidR="00EE0E82" w:rsidRPr="00B43E7B">
        <w:rPr>
          <w:rFonts w:ascii="Arial" w:hAnsi="Arial" w:cs="Arial"/>
        </w:rPr>
        <w:t>.</w:t>
      </w:r>
    </w:p>
    <w:p w14:paraId="75224EAC" w14:textId="0B464B92" w:rsidR="00074366" w:rsidRDefault="00074366" w:rsidP="00074366">
      <w:pPr>
        <w:pStyle w:val="ListParagraph"/>
        <w:numPr>
          <w:ilvl w:val="0"/>
          <w:numId w:val="16"/>
        </w:numPr>
        <w:rPr>
          <w:rFonts w:ascii="Arial" w:hAnsi="Arial" w:cs="Arial"/>
        </w:rPr>
      </w:pPr>
      <w:r>
        <w:rPr>
          <w:rFonts w:ascii="Arial" w:hAnsi="Arial" w:cs="Arial"/>
        </w:rPr>
        <w:t xml:space="preserve">The RBA rate is used by the Department of Home Affairs as the source of the rates prescribed under section 161J of the </w:t>
      </w:r>
      <w:r w:rsidRPr="006976EE">
        <w:rPr>
          <w:rFonts w:ascii="Arial" w:hAnsi="Arial" w:cs="Arial"/>
          <w:i/>
        </w:rPr>
        <w:t>Customs Act 1901</w:t>
      </w:r>
      <w:r w:rsidR="007632E8">
        <w:rPr>
          <w:rFonts w:ascii="Arial" w:hAnsi="Arial" w:cs="Arial"/>
        </w:rPr>
        <w:t xml:space="preserve">. These </w:t>
      </w:r>
      <w:r>
        <w:rPr>
          <w:rFonts w:ascii="Arial" w:hAnsi="Arial" w:cs="Arial"/>
        </w:rPr>
        <w:t xml:space="preserve">are used to determine whether GST applies when goods are imported. </w:t>
      </w:r>
    </w:p>
    <w:p w14:paraId="1718B28A" w14:textId="6454C56C" w:rsidR="00D00A01" w:rsidRPr="00B43E7B" w:rsidRDefault="001E42F3" w:rsidP="00B43E7B">
      <w:pPr>
        <w:pStyle w:val="ListParagraph"/>
        <w:numPr>
          <w:ilvl w:val="0"/>
          <w:numId w:val="16"/>
        </w:numPr>
        <w:rPr>
          <w:rFonts w:ascii="Arial" w:hAnsi="Arial" w:cs="Arial"/>
        </w:rPr>
      </w:pPr>
      <w:r w:rsidRPr="00B43E7B">
        <w:rPr>
          <w:rFonts w:ascii="Arial" w:hAnsi="Arial" w:cs="Arial"/>
        </w:rPr>
        <w:t>The term ‘another central bank’ means</w:t>
      </w:r>
      <w:r w:rsidR="008240B9" w:rsidRPr="00B43E7B">
        <w:rPr>
          <w:rFonts w:ascii="Arial" w:hAnsi="Arial" w:cs="Arial"/>
        </w:rPr>
        <w:t xml:space="preserve"> </w:t>
      </w:r>
      <w:r w:rsidRPr="00B43E7B">
        <w:rPr>
          <w:rFonts w:ascii="Arial" w:hAnsi="Arial" w:cs="Arial"/>
        </w:rPr>
        <w:t>a</w:t>
      </w:r>
      <w:r w:rsidR="008240B9" w:rsidRPr="00B43E7B">
        <w:rPr>
          <w:rFonts w:ascii="Arial" w:hAnsi="Arial" w:cs="Arial"/>
        </w:rPr>
        <w:t xml:space="preserve"> central</w:t>
      </w:r>
      <w:r w:rsidRPr="00B43E7B">
        <w:rPr>
          <w:rFonts w:ascii="Arial" w:hAnsi="Arial" w:cs="Arial"/>
        </w:rPr>
        <w:t xml:space="preserve"> bank or monetary authority </w:t>
      </w:r>
      <w:r w:rsidR="00B43E7B">
        <w:rPr>
          <w:rFonts w:ascii="Arial" w:hAnsi="Arial" w:cs="Arial"/>
        </w:rPr>
        <w:t xml:space="preserve">outside the indirect tax zone (Australia) </w:t>
      </w:r>
      <w:r w:rsidRPr="00B43E7B">
        <w:rPr>
          <w:rFonts w:ascii="Arial" w:hAnsi="Arial" w:cs="Arial"/>
        </w:rPr>
        <w:t xml:space="preserve">that </w:t>
      </w:r>
      <w:r w:rsidR="00B43E7B">
        <w:rPr>
          <w:rFonts w:ascii="Arial" w:hAnsi="Arial" w:cs="Arial"/>
        </w:rPr>
        <w:t>exercises functions that correspond with, or are similar to</w:t>
      </w:r>
      <w:r w:rsidR="00F50B8A">
        <w:rPr>
          <w:rFonts w:ascii="Arial" w:hAnsi="Arial" w:cs="Arial"/>
        </w:rPr>
        <w:t>,</w:t>
      </w:r>
      <w:r w:rsidR="00B43E7B">
        <w:rPr>
          <w:rFonts w:ascii="Arial" w:hAnsi="Arial" w:cs="Arial"/>
        </w:rPr>
        <w:t xml:space="preserve"> the RBA</w:t>
      </w:r>
      <w:r w:rsidRPr="00B43E7B">
        <w:rPr>
          <w:rFonts w:ascii="Arial" w:hAnsi="Arial" w:cs="Arial"/>
        </w:rPr>
        <w:t>. This would include organisations</w:t>
      </w:r>
      <w:r w:rsidR="00D00A01" w:rsidRPr="00B43E7B">
        <w:rPr>
          <w:rFonts w:ascii="Arial" w:hAnsi="Arial" w:cs="Arial"/>
        </w:rPr>
        <w:t xml:space="preserve">, such as the European Central Bank. </w:t>
      </w:r>
    </w:p>
    <w:p w14:paraId="67A4DE50" w14:textId="53D62B9C" w:rsidR="0081749F" w:rsidRPr="0081749F" w:rsidRDefault="001F09AF" w:rsidP="0081749F">
      <w:pPr>
        <w:pStyle w:val="ListParagraph"/>
        <w:numPr>
          <w:ilvl w:val="0"/>
          <w:numId w:val="16"/>
        </w:numPr>
        <w:rPr>
          <w:rFonts w:ascii="Arial" w:hAnsi="Arial" w:cs="Arial"/>
        </w:rPr>
      </w:pPr>
      <w:r>
        <w:rPr>
          <w:rFonts w:ascii="Arial" w:hAnsi="Arial" w:cs="Arial"/>
        </w:rPr>
        <w:t xml:space="preserve">Alternatively, the second option is to </w:t>
      </w:r>
      <w:r w:rsidR="00D00A01">
        <w:rPr>
          <w:rFonts w:ascii="Arial" w:hAnsi="Arial" w:cs="Arial"/>
        </w:rPr>
        <w:t xml:space="preserve">choose </w:t>
      </w:r>
      <w:r w:rsidR="00032B0F">
        <w:rPr>
          <w:rFonts w:ascii="Arial" w:hAnsi="Arial" w:cs="Arial"/>
        </w:rPr>
        <w:t xml:space="preserve">an exchange rate that is consistently higher than the </w:t>
      </w:r>
      <w:r w:rsidR="00920C9E">
        <w:rPr>
          <w:rFonts w:ascii="Arial" w:hAnsi="Arial" w:cs="Arial"/>
        </w:rPr>
        <w:t xml:space="preserve">RBA rate </w:t>
      </w:r>
      <w:r w:rsidR="00920C9E" w:rsidRPr="009108C5">
        <w:rPr>
          <w:rFonts w:ascii="Arial" w:hAnsi="Arial" w:cs="Arial"/>
        </w:rPr>
        <w:t>in terms of units of foreign currency per Australian dollar</w:t>
      </w:r>
      <w:r w:rsidR="00D00A01" w:rsidRPr="009108C5">
        <w:rPr>
          <w:rFonts w:ascii="Arial" w:hAnsi="Arial" w:cs="Arial"/>
        </w:rPr>
        <w:t xml:space="preserve"> </w:t>
      </w:r>
      <w:r w:rsidRPr="009108C5">
        <w:rPr>
          <w:rFonts w:ascii="Arial" w:hAnsi="Arial" w:cs="Arial"/>
        </w:rPr>
        <w:t>(</w:t>
      </w:r>
      <w:r w:rsidR="00920C9E" w:rsidRPr="009108C5">
        <w:rPr>
          <w:rFonts w:ascii="Arial" w:hAnsi="Arial" w:cs="Arial"/>
        </w:rPr>
        <w:t>such as an</w:t>
      </w:r>
      <w:r w:rsidR="007932C9" w:rsidRPr="009108C5">
        <w:rPr>
          <w:rFonts w:ascii="Arial" w:hAnsi="Arial" w:cs="Arial"/>
        </w:rPr>
        <w:t xml:space="preserve"> exchange rate offered to buy Australian dollars</w:t>
      </w:r>
      <w:r w:rsidRPr="009108C5">
        <w:rPr>
          <w:rFonts w:ascii="Arial" w:hAnsi="Arial" w:cs="Arial"/>
        </w:rPr>
        <w:t>)</w:t>
      </w:r>
      <w:r>
        <w:rPr>
          <w:rFonts w:ascii="Arial" w:hAnsi="Arial" w:cs="Arial"/>
        </w:rPr>
        <w:t xml:space="preserve"> provided by a foreign exchange organisation</w:t>
      </w:r>
      <w:r w:rsidR="00920C9E">
        <w:rPr>
          <w:rFonts w:ascii="Arial" w:hAnsi="Arial" w:cs="Arial"/>
        </w:rPr>
        <w:t xml:space="preserve">. </w:t>
      </w:r>
      <w:r w:rsidR="0081749F">
        <w:rPr>
          <w:rFonts w:ascii="Arial" w:hAnsi="Arial" w:cs="Arial"/>
        </w:rPr>
        <w:t>A foreign exchange organisation means an organisation that provides exchange rates publicly.</w:t>
      </w:r>
    </w:p>
    <w:p w14:paraId="252D1E9E" w14:textId="39AA3C86" w:rsidR="000F6A6D" w:rsidRDefault="004F1FB1" w:rsidP="00D00A01">
      <w:pPr>
        <w:pStyle w:val="ListParagraph"/>
        <w:numPr>
          <w:ilvl w:val="0"/>
          <w:numId w:val="16"/>
        </w:numPr>
        <w:rPr>
          <w:rFonts w:ascii="Arial" w:hAnsi="Arial" w:cs="Arial"/>
        </w:rPr>
      </w:pPr>
      <w:r>
        <w:rPr>
          <w:rFonts w:ascii="Arial" w:hAnsi="Arial" w:cs="Arial"/>
        </w:rPr>
        <w:t xml:space="preserve">The final option </w:t>
      </w:r>
      <w:r w:rsidR="00444852">
        <w:rPr>
          <w:rFonts w:ascii="Arial" w:hAnsi="Arial" w:cs="Arial"/>
        </w:rPr>
        <w:t>i</w:t>
      </w:r>
      <w:r w:rsidR="00920C9E">
        <w:rPr>
          <w:rFonts w:ascii="Arial" w:hAnsi="Arial" w:cs="Arial"/>
        </w:rPr>
        <w:t>s a mid-</w:t>
      </w:r>
      <w:r w:rsidR="00F12C81">
        <w:rPr>
          <w:rFonts w:ascii="Arial" w:hAnsi="Arial" w:cs="Arial"/>
        </w:rPr>
        <w:t xml:space="preserve">market </w:t>
      </w:r>
      <w:r w:rsidR="00920C9E">
        <w:rPr>
          <w:rFonts w:ascii="Arial" w:hAnsi="Arial" w:cs="Arial"/>
        </w:rPr>
        <w:t xml:space="preserve">rate </w:t>
      </w:r>
      <w:r w:rsidR="00D00A01">
        <w:rPr>
          <w:rFonts w:ascii="Arial" w:hAnsi="Arial" w:cs="Arial"/>
        </w:rPr>
        <w:t>provided by a foreign exchange organisation</w:t>
      </w:r>
      <w:r w:rsidR="000F6A6D">
        <w:rPr>
          <w:rFonts w:ascii="Arial" w:hAnsi="Arial" w:cs="Arial"/>
        </w:rPr>
        <w:t xml:space="preserve"> or </w:t>
      </w:r>
      <w:r w:rsidR="00DF6CF9">
        <w:rPr>
          <w:rFonts w:ascii="Arial" w:hAnsi="Arial" w:cs="Arial"/>
        </w:rPr>
        <w:t xml:space="preserve">a </w:t>
      </w:r>
      <w:r w:rsidR="000F6A6D">
        <w:rPr>
          <w:rFonts w:ascii="Arial" w:hAnsi="Arial" w:cs="Arial"/>
        </w:rPr>
        <w:t>foreign exchange data vendor</w:t>
      </w:r>
      <w:r w:rsidR="00B424CF">
        <w:rPr>
          <w:rFonts w:ascii="Arial" w:hAnsi="Arial" w:cs="Arial"/>
        </w:rPr>
        <w:t>. A mid-point rate</w:t>
      </w:r>
      <w:r w:rsidR="00D00A01">
        <w:rPr>
          <w:rFonts w:ascii="Arial" w:hAnsi="Arial" w:cs="Arial"/>
        </w:rPr>
        <w:t xml:space="preserve"> is a</w:t>
      </w:r>
      <w:r w:rsidR="00D00A01" w:rsidRPr="00D00A01">
        <w:rPr>
          <w:rFonts w:ascii="Arial" w:hAnsi="Arial" w:cs="Arial"/>
        </w:rPr>
        <w:t xml:space="preserve"> rate based on the mid-point between the </w:t>
      </w:r>
      <w:proofErr w:type="gramStart"/>
      <w:r w:rsidR="00D00A01" w:rsidRPr="00D00A01">
        <w:rPr>
          <w:rFonts w:ascii="Arial" w:hAnsi="Arial" w:cs="Arial"/>
        </w:rPr>
        <w:t>bid</w:t>
      </w:r>
      <w:proofErr w:type="gramEnd"/>
      <w:r w:rsidR="00D00A01" w:rsidRPr="00D00A01">
        <w:rPr>
          <w:rFonts w:ascii="Arial" w:hAnsi="Arial" w:cs="Arial"/>
        </w:rPr>
        <w:t xml:space="preserve"> and ask rates for the Australian dollar. This includes mid-point rates between the Australian dollar and a foreign currency</w:t>
      </w:r>
      <w:r>
        <w:rPr>
          <w:rFonts w:ascii="Arial" w:hAnsi="Arial" w:cs="Arial"/>
        </w:rPr>
        <w:t xml:space="preserve"> that are</w:t>
      </w:r>
      <w:r w:rsidR="00D00A01" w:rsidRPr="00D00A01">
        <w:rPr>
          <w:rFonts w:ascii="Arial" w:hAnsi="Arial" w:cs="Arial"/>
        </w:rPr>
        <w:t xml:space="preserve"> computed by reference to a third currency, such as the United States dollar.</w:t>
      </w:r>
      <w:r w:rsidR="000F6A6D" w:rsidRPr="000F6A6D">
        <w:rPr>
          <w:rFonts w:ascii="Arial" w:hAnsi="Arial" w:cs="Arial"/>
        </w:rPr>
        <w:t xml:space="preserve"> </w:t>
      </w:r>
    </w:p>
    <w:p w14:paraId="0D285C3B" w14:textId="06B781A8" w:rsidR="00D00A01" w:rsidRDefault="000F6A6D" w:rsidP="00D00A01">
      <w:pPr>
        <w:pStyle w:val="ListParagraph"/>
        <w:numPr>
          <w:ilvl w:val="0"/>
          <w:numId w:val="16"/>
        </w:numPr>
        <w:rPr>
          <w:rFonts w:ascii="Arial" w:hAnsi="Arial" w:cs="Arial"/>
        </w:rPr>
      </w:pPr>
      <w:bookmarkStart w:id="14" w:name="_Ref510089969"/>
      <w:r>
        <w:rPr>
          <w:rFonts w:ascii="Arial" w:hAnsi="Arial" w:cs="Arial"/>
        </w:rPr>
        <w:t xml:space="preserve">This </w:t>
      </w:r>
      <w:r w:rsidR="00DF6CF9">
        <w:rPr>
          <w:rFonts w:ascii="Arial" w:hAnsi="Arial" w:cs="Arial"/>
        </w:rPr>
        <w:t xml:space="preserve">final </w:t>
      </w:r>
      <w:r>
        <w:rPr>
          <w:rFonts w:ascii="Arial" w:hAnsi="Arial" w:cs="Arial"/>
        </w:rPr>
        <w:t xml:space="preserve">option was included to accommodate pre-existing business practices in sourcing exchange rates, whether or not this is done on a subscription basis. </w:t>
      </w:r>
      <w:r w:rsidR="007632E8">
        <w:rPr>
          <w:rFonts w:ascii="Arial" w:hAnsi="Arial" w:cs="Arial"/>
        </w:rPr>
        <w:t xml:space="preserve">It is included to </w:t>
      </w:r>
      <w:r w:rsidR="00931599">
        <w:rPr>
          <w:rFonts w:ascii="Arial" w:hAnsi="Arial" w:cs="Arial"/>
        </w:rPr>
        <w:t xml:space="preserve">help </w:t>
      </w:r>
      <w:r w:rsidR="007632E8">
        <w:rPr>
          <w:rFonts w:ascii="Arial" w:hAnsi="Arial" w:cs="Arial"/>
        </w:rPr>
        <w:t>mitigate</w:t>
      </w:r>
      <w:r>
        <w:rPr>
          <w:rFonts w:ascii="Arial" w:hAnsi="Arial" w:cs="Arial"/>
        </w:rPr>
        <w:t xml:space="preserve"> compliance costs that would otherwise occur in updating systems to adopt a different exchange rate source</w:t>
      </w:r>
      <w:r w:rsidR="00931599">
        <w:rPr>
          <w:rFonts w:ascii="Arial" w:hAnsi="Arial" w:cs="Arial"/>
        </w:rPr>
        <w:t>.</w:t>
      </w:r>
      <w:r>
        <w:rPr>
          <w:rFonts w:ascii="Arial" w:hAnsi="Arial" w:cs="Arial"/>
        </w:rPr>
        <w:t xml:space="preserve"> </w:t>
      </w:r>
      <w:bookmarkEnd w:id="14"/>
    </w:p>
    <w:p w14:paraId="5BC56C67" w14:textId="45E7DE24" w:rsidR="00F12C81" w:rsidRPr="00F12C81" w:rsidRDefault="00F12C81" w:rsidP="00F12C81">
      <w:pPr>
        <w:pStyle w:val="ListParagraph"/>
        <w:numPr>
          <w:ilvl w:val="0"/>
          <w:numId w:val="16"/>
        </w:numPr>
        <w:rPr>
          <w:rFonts w:ascii="Arial" w:hAnsi="Arial" w:cs="Arial"/>
        </w:rPr>
      </w:pPr>
      <w:r>
        <w:rPr>
          <w:rFonts w:ascii="Arial" w:hAnsi="Arial" w:cs="Arial"/>
        </w:rPr>
        <w:t xml:space="preserve">The </w:t>
      </w:r>
      <w:r w:rsidRPr="003A0429">
        <w:rPr>
          <w:rFonts w:ascii="Arial" w:hAnsi="Arial" w:cs="Arial"/>
        </w:rPr>
        <w:t xml:space="preserve">conversion </w:t>
      </w:r>
      <w:r>
        <w:rPr>
          <w:rFonts w:ascii="Arial" w:hAnsi="Arial" w:cs="Arial"/>
        </w:rPr>
        <w:t>time</w:t>
      </w:r>
      <w:r w:rsidR="00DC7D31">
        <w:rPr>
          <w:rFonts w:ascii="Arial" w:hAnsi="Arial" w:cs="Arial"/>
        </w:rPr>
        <w:t xml:space="preserve"> </w:t>
      </w:r>
      <w:r w:rsidRPr="003A0429">
        <w:rPr>
          <w:rFonts w:ascii="Arial" w:hAnsi="Arial" w:cs="Arial"/>
        </w:rPr>
        <w:t xml:space="preserve">is the </w:t>
      </w:r>
      <w:r>
        <w:rPr>
          <w:rFonts w:ascii="Arial" w:hAnsi="Arial" w:cs="Arial"/>
        </w:rPr>
        <w:t xml:space="preserve">time when </w:t>
      </w:r>
      <w:r w:rsidRPr="003A0429">
        <w:rPr>
          <w:rFonts w:ascii="Arial" w:hAnsi="Arial" w:cs="Arial"/>
        </w:rPr>
        <w:t xml:space="preserve">the consideration for the supply </w:t>
      </w:r>
      <w:r>
        <w:rPr>
          <w:rFonts w:ascii="Arial" w:hAnsi="Arial" w:cs="Arial"/>
        </w:rPr>
        <w:t>was</w:t>
      </w:r>
      <w:r w:rsidRPr="003A0429">
        <w:rPr>
          <w:rFonts w:ascii="Arial" w:hAnsi="Arial" w:cs="Arial"/>
        </w:rPr>
        <w:t xml:space="preserve"> first agreed.</w:t>
      </w:r>
      <w:r>
        <w:rPr>
          <w:rFonts w:ascii="Arial" w:hAnsi="Arial" w:cs="Arial"/>
        </w:rPr>
        <w:t xml:space="preserve"> This is in accordance with section 84-79 of the GST Act. </w:t>
      </w:r>
    </w:p>
    <w:p w14:paraId="04E174E1" w14:textId="61CE0B4E" w:rsidR="00E91B95" w:rsidRDefault="002E028E" w:rsidP="002E028E">
      <w:pPr>
        <w:pStyle w:val="ListParagraph"/>
        <w:numPr>
          <w:ilvl w:val="0"/>
          <w:numId w:val="16"/>
        </w:numPr>
        <w:rPr>
          <w:rFonts w:ascii="Arial" w:hAnsi="Arial" w:cs="Arial"/>
        </w:rPr>
      </w:pPr>
      <w:r w:rsidRPr="002E028E">
        <w:rPr>
          <w:rFonts w:ascii="Arial" w:hAnsi="Arial" w:cs="Arial"/>
        </w:rPr>
        <w:t xml:space="preserve">Exchange rate means the unit of foreign currency per Australian dollar, which has been published within 7 calendar days of the conversion time. If a rate other than the most recently </w:t>
      </w:r>
      <w:r w:rsidR="00F0433D">
        <w:rPr>
          <w:rFonts w:ascii="Arial" w:hAnsi="Arial" w:cs="Arial"/>
        </w:rPr>
        <w:t xml:space="preserve">published </w:t>
      </w:r>
      <w:r w:rsidRPr="002E028E">
        <w:rPr>
          <w:rFonts w:ascii="Arial" w:hAnsi="Arial" w:cs="Arial"/>
        </w:rPr>
        <w:t>rate is used, the practice for sourcing the rate must be consistent.</w:t>
      </w:r>
      <w:r w:rsidR="00E91B95">
        <w:rPr>
          <w:rFonts w:ascii="Arial" w:hAnsi="Arial" w:cs="Arial"/>
        </w:rPr>
        <w:t xml:space="preserve"> </w:t>
      </w:r>
    </w:p>
    <w:p w14:paraId="3CB98AC4" w14:textId="2326A564" w:rsidR="00D17868" w:rsidRPr="009E0B3F" w:rsidRDefault="00D17868" w:rsidP="009E0B3F">
      <w:pPr>
        <w:pStyle w:val="ListParagraph"/>
        <w:numPr>
          <w:ilvl w:val="0"/>
          <w:numId w:val="16"/>
        </w:numPr>
        <w:rPr>
          <w:rFonts w:ascii="Arial" w:hAnsi="Arial" w:cs="Arial"/>
        </w:rPr>
      </w:pPr>
      <w:r w:rsidRPr="009E0B3F">
        <w:rPr>
          <w:rFonts w:ascii="Arial" w:hAnsi="Arial" w:cs="Arial"/>
        </w:rPr>
        <w:t xml:space="preserve">While the exchange rate selected needs </w:t>
      </w:r>
      <w:r w:rsidR="00FE1AA2" w:rsidRPr="005E24B5">
        <w:rPr>
          <w:rFonts w:ascii="Arial" w:hAnsi="Arial" w:cs="Arial"/>
        </w:rPr>
        <w:t xml:space="preserve">to </w:t>
      </w:r>
      <w:r w:rsidRPr="005E24B5">
        <w:rPr>
          <w:rFonts w:ascii="Arial" w:hAnsi="Arial" w:cs="Arial"/>
        </w:rPr>
        <w:t xml:space="preserve">have been published by the conversion time, </w:t>
      </w:r>
      <w:r w:rsidR="000419F5" w:rsidRPr="009E0B3F">
        <w:rPr>
          <w:rFonts w:ascii="Arial" w:hAnsi="Arial" w:cs="Arial"/>
        </w:rPr>
        <w:t xml:space="preserve">this determination </w:t>
      </w:r>
      <w:r w:rsidR="00F2356D" w:rsidRPr="009E0B3F">
        <w:rPr>
          <w:rFonts w:ascii="Arial" w:hAnsi="Arial" w:cs="Arial"/>
        </w:rPr>
        <w:t xml:space="preserve">allows a practice of </w:t>
      </w:r>
      <w:r w:rsidR="000A0A1F" w:rsidRPr="009E0B3F">
        <w:rPr>
          <w:rFonts w:ascii="Arial" w:hAnsi="Arial" w:cs="Arial"/>
        </w:rPr>
        <w:t xml:space="preserve">updating your business systems </w:t>
      </w:r>
      <w:r w:rsidR="00E502E9" w:rsidRPr="009E0B3F">
        <w:rPr>
          <w:rFonts w:ascii="Arial" w:hAnsi="Arial" w:cs="Arial"/>
        </w:rPr>
        <w:t xml:space="preserve">with your particular rate </w:t>
      </w:r>
      <w:r w:rsidR="00F2356D" w:rsidRPr="009E0B3F">
        <w:rPr>
          <w:rFonts w:ascii="Arial" w:hAnsi="Arial" w:cs="Arial"/>
        </w:rPr>
        <w:t xml:space="preserve">from </w:t>
      </w:r>
      <w:r w:rsidR="000A0A1F" w:rsidRPr="009E0B3F">
        <w:rPr>
          <w:rFonts w:ascii="Arial" w:hAnsi="Arial" w:cs="Arial"/>
        </w:rPr>
        <w:t xml:space="preserve">the published </w:t>
      </w:r>
      <w:r w:rsidR="00F2356D" w:rsidRPr="009E0B3F">
        <w:rPr>
          <w:rFonts w:ascii="Arial" w:hAnsi="Arial" w:cs="Arial"/>
        </w:rPr>
        <w:t>source data</w:t>
      </w:r>
      <w:r w:rsidR="004B5DFA">
        <w:rPr>
          <w:rFonts w:ascii="Arial" w:hAnsi="Arial" w:cs="Arial"/>
        </w:rPr>
        <w:t xml:space="preserve"> </w:t>
      </w:r>
      <w:r w:rsidR="004B5DFA">
        <w:rPr>
          <w:rFonts w:ascii="Arial" w:hAnsi="Arial" w:cs="Arial"/>
        </w:rPr>
        <w:lastRenderedPageBreak/>
        <w:t xml:space="preserve">according to a schedule set by you. This schedule </w:t>
      </w:r>
      <w:r w:rsidR="00931599">
        <w:rPr>
          <w:rFonts w:ascii="Arial" w:hAnsi="Arial" w:cs="Arial"/>
        </w:rPr>
        <w:t xml:space="preserve">must </w:t>
      </w:r>
      <w:r w:rsidR="004B5DFA">
        <w:rPr>
          <w:rFonts w:ascii="Arial" w:hAnsi="Arial" w:cs="Arial"/>
        </w:rPr>
        <w:t>be consistent in terms</w:t>
      </w:r>
      <w:r w:rsidR="00F2356D" w:rsidRPr="009E0B3F">
        <w:rPr>
          <w:rFonts w:ascii="Arial" w:hAnsi="Arial" w:cs="Arial"/>
        </w:rPr>
        <w:t xml:space="preserve"> </w:t>
      </w:r>
      <w:r w:rsidR="004B5DFA">
        <w:rPr>
          <w:rFonts w:ascii="Arial" w:hAnsi="Arial" w:cs="Arial"/>
        </w:rPr>
        <w:t xml:space="preserve">of the frequency and time of setting the rate, and align with your usual business practices. The maximum period permitted under such a schedule is </w:t>
      </w:r>
      <w:r w:rsidR="00D97992">
        <w:rPr>
          <w:rFonts w:ascii="Arial" w:hAnsi="Arial" w:cs="Arial"/>
        </w:rPr>
        <w:t xml:space="preserve">7 calendar </w:t>
      </w:r>
      <w:r w:rsidR="004B5DFA">
        <w:rPr>
          <w:rFonts w:ascii="Arial" w:hAnsi="Arial" w:cs="Arial"/>
        </w:rPr>
        <w:t>days.</w:t>
      </w:r>
      <w:r w:rsidRPr="009E0B3F">
        <w:rPr>
          <w:rFonts w:ascii="Arial" w:hAnsi="Arial" w:cs="Arial"/>
        </w:rPr>
        <w:t xml:space="preserve"> A practice where the supplier tests </w:t>
      </w:r>
      <w:r w:rsidR="00FE1AA2" w:rsidRPr="009E0B3F">
        <w:rPr>
          <w:rFonts w:ascii="Arial" w:hAnsi="Arial" w:cs="Arial"/>
        </w:rPr>
        <w:t xml:space="preserve">and selects a more favourable exchange rate </w:t>
      </w:r>
      <w:r w:rsidRPr="005E24B5">
        <w:rPr>
          <w:rFonts w:ascii="Arial" w:hAnsi="Arial" w:cs="Arial"/>
        </w:rPr>
        <w:t xml:space="preserve">at </w:t>
      </w:r>
      <w:r w:rsidR="00931599">
        <w:rPr>
          <w:rFonts w:ascii="Arial" w:hAnsi="Arial" w:cs="Arial"/>
        </w:rPr>
        <w:t>other times (either randomly or by reference to opportunity)</w:t>
      </w:r>
      <w:r w:rsidR="004B5DFA">
        <w:rPr>
          <w:rFonts w:ascii="Arial" w:hAnsi="Arial" w:cs="Arial"/>
        </w:rPr>
        <w:t>, or makes a de</w:t>
      </w:r>
      <w:r w:rsidR="004E4548">
        <w:rPr>
          <w:rFonts w:ascii="Arial" w:hAnsi="Arial" w:cs="Arial"/>
        </w:rPr>
        <w:t>cision</w:t>
      </w:r>
      <w:r w:rsidR="004B5DFA">
        <w:rPr>
          <w:rFonts w:ascii="Arial" w:hAnsi="Arial" w:cs="Arial"/>
        </w:rPr>
        <w:t xml:space="preserve"> not to accept the published rate at the scheduled time of setting,</w:t>
      </w:r>
      <w:r w:rsidRPr="005E24B5">
        <w:rPr>
          <w:rFonts w:ascii="Arial" w:hAnsi="Arial" w:cs="Arial"/>
        </w:rPr>
        <w:t xml:space="preserve"> is not </w:t>
      </w:r>
      <w:r w:rsidR="007632E8">
        <w:rPr>
          <w:rFonts w:ascii="Arial" w:hAnsi="Arial" w:cs="Arial"/>
        </w:rPr>
        <w:t>valid</w:t>
      </w:r>
      <w:r w:rsidR="007632E8" w:rsidRPr="005E24B5">
        <w:rPr>
          <w:rFonts w:ascii="Arial" w:hAnsi="Arial" w:cs="Arial"/>
        </w:rPr>
        <w:t xml:space="preserve"> </w:t>
      </w:r>
      <w:r w:rsidRPr="005E24B5">
        <w:rPr>
          <w:rFonts w:ascii="Arial" w:hAnsi="Arial" w:cs="Arial"/>
        </w:rPr>
        <w:t>under this determination.</w:t>
      </w:r>
      <w:r w:rsidRPr="005E24B5" w:rsidDel="0081749F">
        <w:rPr>
          <w:rFonts w:ascii="Arial" w:hAnsi="Arial" w:cs="Arial"/>
        </w:rPr>
        <w:t xml:space="preserve"> </w:t>
      </w:r>
    </w:p>
    <w:p w14:paraId="3D7DFD16" w14:textId="7C9324B2" w:rsidR="00B424CF" w:rsidRDefault="00586308" w:rsidP="004E2E18">
      <w:pPr>
        <w:pStyle w:val="ListParagraph"/>
        <w:numPr>
          <w:ilvl w:val="0"/>
          <w:numId w:val="16"/>
        </w:numPr>
        <w:rPr>
          <w:rFonts w:ascii="Arial" w:hAnsi="Arial" w:cs="Arial"/>
        </w:rPr>
      </w:pPr>
      <w:r>
        <w:rPr>
          <w:rFonts w:ascii="Arial" w:hAnsi="Arial" w:cs="Arial"/>
        </w:rPr>
        <w:t xml:space="preserve">The exchange rate chosen by you </w:t>
      </w:r>
      <w:r w:rsidR="00931599">
        <w:rPr>
          <w:rFonts w:ascii="Arial" w:hAnsi="Arial" w:cs="Arial"/>
        </w:rPr>
        <w:t>must</w:t>
      </w:r>
      <w:r>
        <w:rPr>
          <w:rFonts w:ascii="Arial" w:hAnsi="Arial" w:cs="Arial"/>
        </w:rPr>
        <w:t xml:space="preserve"> be used </w:t>
      </w:r>
      <w:r w:rsidR="000F3EA2">
        <w:rPr>
          <w:rFonts w:ascii="Arial" w:hAnsi="Arial" w:cs="Arial"/>
        </w:rPr>
        <w:t xml:space="preserve">consistently. </w:t>
      </w:r>
      <w:r w:rsidR="00B424CF">
        <w:rPr>
          <w:rFonts w:ascii="Arial" w:hAnsi="Arial" w:cs="Arial"/>
        </w:rPr>
        <w:t xml:space="preserve">This includes where you use different exchange rates for </w:t>
      </w:r>
      <w:r w:rsidR="006F4186">
        <w:rPr>
          <w:rFonts w:ascii="Arial" w:hAnsi="Arial" w:cs="Arial"/>
        </w:rPr>
        <w:t>distinct</w:t>
      </w:r>
      <w:r w:rsidR="00B424CF">
        <w:rPr>
          <w:rFonts w:ascii="Arial" w:hAnsi="Arial" w:cs="Arial"/>
        </w:rPr>
        <w:t xml:space="preserve"> parts of your business, as long as the exchange rate you choose is used consistently within each part of your business.</w:t>
      </w:r>
    </w:p>
    <w:p w14:paraId="0F7719FA" w14:textId="00125989" w:rsidR="00586308" w:rsidRDefault="000F3EA2" w:rsidP="004E2E18">
      <w:pPr>
        <w:pStyle w:val="ListParagraph"/>
        <w:numPr>
          <w:ilvl w:val="0"/>
          <w:numId w:val="16"/>
        </w:numPr>
        <w:rPr>
          <w:rFonts w:ascii="Arial" w:hAnsi="Arial" w:cs="Arial"/>
        </w:rPr>
      </w:pPr>
      <w:r>
        <w:rPr>
          <w:rFonts w:ascii="Arial" w:hAnsi="Arial" w:cs="Arial"/>
        </w:rPr>
        <w:t xml:space="preserve">The exchange rate may be changed </w:t>
      </w:r>
      <w:r w:rsidR="006F4186">
        <w:rPr>
          <w:rFonts w:ascii="Arial" w:hAnsi="Arial" w:cs="Arial"/>
        </w:rPr>
        <w:t xml:space="preserve">only </w:t>
      </w:r>
      <w:r>
        <w:rPr>
          <w:rFonts w:ascii="Arial" w:hAnsi="Arial" w:cs="Arial"/>
        </w:rPr>
        <w:t xml:space="preserve">if </w:t>
      </w:r>
      <w:r w:rsidR="00D00A01">
        <w:rPr>
          <w:rFonts w:ascii="Arial" w:hAnsi="Arial" w:cs="Arial"/>
        </w:rPr>
        <w:t xml:space="preserve">you </w:t>
      </w:r>
      <w:r>
        <w:rPr>
          <w:rFonts w:ascii="Arial" w:hAnsi="Arial" w:cs="Arial"/>
        </w:rPr>
        <w:t>ha</w:t>
      </w:r>
      <w:r w:rsidR="00D00A01">
        <w:rPr>
          <w:rFonts w:ascii="Arial" w:hAnsi="Arial" w:cs="Arial"/>
        </w:rPr>
        <w:t>ve</w:t>
      </w:r>
      <w:r>
        <w:rPr>
          <w:rFonts w:ascii="Arial" w:hAnsi="Arial" w:cs="Arial"/>
        </w:rPr>
        <w:t xml:space="preserve"> sound commercial reasons for doing so. </w:t>
      </w:r>
      <w:r w:rsidR="00B424CF">
        <w:rPr>
          <w:rFonts w:ascii="Arial" w:hAnsi="Arial" w:cs="Arial"/>
        </w:rPr>
        <w:t xml:space="preserve">If you </w:t>
      </w:r>
      <w:r w:rsidR="006F4186">
        <w:rPr>
          <w:rFonts w:ascii="Arial" w:hAnsi="Arial" w:cs="Arial"/>
        </w:rPr>
        <w:t>change</w:t>
      </w:r>
      <w:r w:rsidR="00B424CF">
        <w:rPr>
          <w:rFonts w:ascii="Arial" w:hAnsi="Arial" w:cs="Arial"/>
        </w:rPr>
        <w:t xml:space="preserve"> the exchange</w:t>
      </w:r>
      <w:r>
        <w:rPr>
          <w:rFonts w:ascii="Arial" w:hAnsi="Arial" w:cs="Arial"/>
        </w:rPr>
        <w:t xml:space="preserve"> rates </w:t>
      </w:r>
      <w:r w:rsidR="00B424CF">
        <w:rPr>
          <w:rFonts w:ascii="Arial" w:hAnsi="Arial" w:cs="Arial"/>
        </w:rPr>
        <w:t xml:space="preserve">you choose </w:t>
      </w:r>
      <w:r>
        <w:rPr>
          <w:rFonts w:ascii="Arial" w:hAnsi="Arial" w:cs="Arial"/>
        </w:rPr>
        <w:t xml:space="preserve">with a view to affecting whether goods </w:t>
      </w:r>
      <w:r w:rsidR="00976555">
        <w:rPr>
          <w:rFonts w:ascii="Arial" w:hAnsi="Arial" w:cs="Arial"/>
        </w:rPr>
        <w:t>are</w:t>
      </w:r>
      <w:r>
        <w:rPr>
          <w:rFonts w:ascii="Arial" w:hAnsi="Arial" w:cs="Arial"/>
        </w:rPr>
        <w:t xml:space="preserve"> a taxable supply</w:t>
      </w:r>
      <w:r w:rsidR="00B424CF">
        <w:rPr>
          <w:rFonts w:ascii="Arial" w:hAnsi="Arial" w:cs="Arial"/>
        </w:rPr>
        <w:t>, you will not have</w:t>
      </w:r>
      <w:r>
        <w:rPr>
          <w:rFonts w:ascii="Arial" w:hAnsi="Arial" w:cs="Arial"/>
        </w:rPr>
        <w:t xml:space="preserve"> used </w:t>
      </w:r>
      <w:r w:rsidR="00B424CF">
        <w:rPr>
          <w:rFonts w:ascii="Arial" w:hAnsi="Arial" w:cs="Arial"/>
        </w:rPr>
        <w:t xml:space="preserve">the </w:t>
      </w:r>
      <w:r>
        <w:rPr>
          <w:rFonts w:ascii="Arial" w:hAnsi="Arial" w:cs="Arial"/>
        </w:rPr>
        <w:t xml:space="preserve">rates consistently and </w:t>
      </w:r>
      <w:r w:rsidR="00B424CF">
        <w:rPr>
          <w:rFonts w:ascii="Arial" w:hAnsi="Arial" w:cs="Arial"/>
        </w:rPr>
        <w:t xml:space="preserve">will not have </w:t>
      </w:r>
      <w:r>
        <w:rPr>
          <w:rFonts w:ascii="Arial" w:hAnsi="Arial" w:cs="Arial"/>
        </w:rPr>
        <w:t xml:space="preserve">followed the manner </w:t>
      </w:r>
      <w:r w:rsidR="002804F9">
        <w:rPr>
          <w:rFonts w:ascii="Arial" w:hAnsi="Arial" w:cs="Arial"/>
        </w:rPr>
        <w:t>stated</w:t>
      </w:r>
      <w:r w:rsidR="00B424CF">
        <w:rPr>
          <w:rFonts w:ascii="Arial" w:hAnsi="Arial" w:cs="Arial"/>
        </w:rPr>
        <w:t xml:space="preserve"> in this determination</w:t>
      </w:r>
      <w:r w:rsidR="00931599">
        <w:rPr>
          <w:rFonts w:ascii="Arial" w:hAnsi="Arial" w:cs="Arial"/>
        </w:rPr>
        <w:t xml:space="preserve"> and accordingly, your choice is not valid under this determination</w:t>
      </w:r>
      <w:r w:rsidR="00B424CF">
        <w:rPr>
          <w:rFonts w:ascii="Arial" w:hAnsi="Arial" w:cs="Arial"/>
        </w:rPr>
        <w:t>.</w:t>
      </w:r>
    </w:p>
    <w:p w14:paraId="5A4D9849" w14:textId="6DD80414" w:rsidR="001616DA" w:rsidRDefault="001616DA" w:rsidP="001616DA">
      <w:pPr>
        <w:pStyle w:val="Heading2"/>
        <w:rPr>
          <w:sz w:val="24"/>
          <w:szCs w:val="24"/>
        </w:rPr>
      </w:pPr>
      <w:r w:rsidRPr="001616DA">
        <w:rPr>
          <w:sz w:val="24"/>
          <w:szCs w:val="24"/>
        </w:rPr>
        <w:t>Rationale for the rates allowed</w:t>
      </w:r>
    </w:p>
    <w:p w14:paraId="1321721F" w14:textId="77777777" w:rsidR="001616DA" w:rsidRPr="00DB2075" w:rsidRDefault="001616DA" w:rsidP="001616DA">
      <w:pPr>
        <w:rPr>
          <w:rFonts w:ascii="Arial" w:eastAsia="Calibri" w:hAnsi="Arial" w:cs="Arial"/>
          <w:sz w:val="22"/>
          <w:szCs w:val="22"/>
          <w:lang w:eastAsia="en-US"/>
        </w:rPr>
      </w:pPr>
    </w:p>
    <w:p w14:paraId="404C34B3" w14:textId="0AC98320" w:rsidR="001616DA" w:rsidRPr="001616DA" w:rsidRDefault="008C53E1" w:rsidP="001616DA">
      <w:pPr>
        <w:pStyle w:val="ListParagraph"/>
        <w:numPr>
          <w:ilvl w:val="0"/>
          <w:numId w:val="16"/>
        </w:numPr>
        <w:rPr>
          <w:rFonts w:ascii="Arial" w:hAnsi="Arial" w:cs="Arial"/>
        </w:rPr>
      </w:pPr>
      <w:r>
        <w:rPr>
          <w:rFonts w:ascii="Arial" w:hAnsi="Arial" w:cs="Arial"/>
        </w:rPr>
        <w:t>The</w:t>
      </w:r>
      <w:r w:rsidR="00AD2349">
        <w:rPr>
          <w:rFonts w:ascii="Arial" w:hAnsi="Arial" w:cs="Arial"/>
        </w:rPr>
        <w:t xml:space="preserve"> exchange</w:t>
      </w:r>
      <w:r>
        <w:rPr>
          <w:rFonts w:ascii="Arial" w:hAnsi="Arial" w:cs="Arial"/>
        </w:rPr>
        <w:t xml:space="preserve"> </w:t>
      </w:r>
      <w:r w:rsidR="00D00A01">
        <w:rPr>
          <w:rFonts w:ascii="Arial" w:hAnsi="Arial" w:cs="Arial"/>
        </w:rPr>
        <w:t xml:space="preserve">rates </w:t>
      </w:r>
      <w:r w:rsidR="00DB2075" w:rsidRPr="00DB2075">
        <w:rPr>
          <w:rFonts w:ascii="Arial" w:hAnsi="Arial" w:cs="Arial"/>
        </w:rPr>
        <w:t xml:space="preserve">options for your particular exchange rate </w:t>
      </w:r>
      <w:r w:rsidR="00D00A01">
        <w:rPr>
          <w:rFonts w:ascii="Arial" w:hAnsi="Arial" w:cs="Arial"/>
        </w:rPr>
        <w:t xml:space="preserve">under this determination have been chosen in order to </w:t>
      </w:r>
      <w:r w:rsidR="001616DA">
        <w:rPr>
          <w:rFonts w:ascii="Arial" w:hAnsi="Arial" w:cs="Arial"/>
        </w:rPr>
        <w:t xml:space="preserve">prevent a </w:t>
      </w:r>
      <w:r w:rsidR="00D00A01">
        <w:rPr>
          <w:rFonts w:ascii="Arial" w:hAnsi="Arial" w:cs="Arial"/>
        </w:rPr>
        <w:t xml:space="preserve">gap </w:t>
      </w:r>
      <w:r w:rsidR="006F349F">
        <w:rPr>
          <w:rFonts w:ascii="Arial" w:hAnsi="Arial" w:cs="Arial"/>
        </w:rPr>
        <w:t>in GST</w:t>
      </w:r>
      <w:r w:rsidR="00D00A01">
        <w:rPr>
          <w:rFonts w:ascii="Arial" w:hAnsi="Arial" w:cs="Arial"/>
        </w:rPr>
        <w:t xml:space="preserve"> collect</w:t>
      </w:r>
      <w:r w:rsidR="006F349F">
        <w:rPr>
          <w:rFonts w:ascii="Arial" w:hAnsi="Arial" w:cs="Arial"/>
        </w:rPr>
        <w:t xml:space="preserve">ion </w:t>
      </w:r>
      <w:r w:rsidR="00D00A01">
        <w:rPr>
          <w:rFonts w:ascii="Arial" w:hAnsi="Arial" w:cs="Arial"/>
        </w:rPr>
        <w:t xml:space="preserve">due to the </w:t>
      </w:r>
      <w:r w:rsidR="001616DA">
        <w:rPr>
          <w:rFonts w:ascii="Arial" w:hAnsi="Arial" w:cs="Arial"/>
        </w:rPr>
        <w:t>exchange rates that are available. This can occur if goods are not a taxable supply (because their customs value is over A</w:t>
      </w:r>
      <w:r w:rsidR="00326E5B">
        <w:rPr>
          <w:rFonts w:ascii="Arial" w:hAnsi="Arial" w:cs="Arial"/>
        </w:rPr>
        <w:t>UD</w:t>
      </w:r>
      <w:r w:rsidR="001616DA">
        <w:rPr>
          <w:rFonts w:ascii="Arial" w:hAnsi="Arial" w:cs="Arial"/>
        </w:rPr>
        <w:t>1</w:t>
      </w:r>
      <w:proofErr w:type="gramStart"/>
      <w:r w:rsidR="001616DA">
        <w:rPr>
          <w:rFonts w:ascii="Arial" w:hAnsi="Arial" w:cs="Arial"/>
        </w:rPr>
        <w:t>,000</w:t>
      </w:r>
      <w:proofErr w:type="gramEnd"/>
      <w:r w:rsidR="001616DA">
        <w:rPr>
          <w:rFonts w:ascii="Arial" w:hAnsi="Arial" w:cs="Arial"/>
        </w:rPr>
        <w:t xml:space="preserve"> when consideration is first agreed with the recipient), and are also not a taxable importation (because their customs value is A</w:t>
      </w:r>
      <w:r w:rsidR="00326E5B">
        <w:rPr>
          <w:rFonts w:ascii="Arial" w:hAnsi="Arial" w:cs="Arial"/>
        </w:rPr>
        <w:t>UD</w:t>
      </w:r>
      <w:r w:rsidR="001616DA">
        <w:rPr>
          <w:rFonts w:ascii="Arial" w:hAnsi="Arial" w:cs="Arial"/>
        </w:rPr>
        <w:t>1,000 or less on the day of export).</w:t>
      </w:r>
      <w:r w:rsidR="003C6C73">
        <w:rPr>
          <w:rFonts w:ascii="Arial" w:hAnsi="Arial" w:cs="Arial"/>
        </w:rPr>
        <w:t xml:space="preserve"> </w:t>
      </w:r>
    </w:p>
    <w:p w14:paraId="6ED793E1" w14:textId="3D771681" w:rsidR="009E106C" w:rsidRDefault="009E106C" w:rsidP="004E2E18">
      <w:pPr>
        <w:pStyle w:val="ListParagraph"/>
        <w:numPr>
          <w:ilvl w:val="0"/>
          <w:numId w:val="16"/>
        </w:numPr>
        <w:rPr>
          <w:rFonts w:ascii="Arial" w:hAnsi="Arial" w:cs="Arial"/>
        </w:rPr>
      </w:pPr>
      <w:r>
        <w:rPr>
          <w:rFonts w:ascii="Arial" w:hAnsi="Arial" w:cs="Arial"/>
        </w:rPr>
        <w:t xml:space="preserve">For example, if you are selling an </w:t>
      </w:r>
      <w:r w:rsidR="00590970">
        <w:rPr>
          <w:rFonts w:ascii="Arial" w:hAnsi="Arial" w:cs="Arial"/>
        </w:rPr>
        <w:t>item with a customs value of US</w:t>
      </w:r>
      <w:r w:rsidR="00326E5B">
        <w:rPr>
          <w:rFonts w:ascii="Arial" w:hAnsi="Arial" w:cs="Arial"/>
        </w:rPr>
        <w:t>D</w:t>
      </w:r>
      <w:r>
        <w:rPr>
          <w:rFonts w:ascii="Arial" w:hAnsi="Arial" w:cs="Arial"/>
        </w:rPr>
        <w:t xml:space="preserve">750 and the RBA rate for the day that the consideration is first agreed with the buyer is $0.76 USD per AUD, the customs value in Australian dollars using this rate will be </w:t>
      </w:r>
      <w:r w:rsidR="00590970">
        <w:rPr>
          <w:rFonts w:ascii="Arial" w:hAnsi="Arial" w:cs="Arial"/>
        </w:rPr>
        <w:t>A</w:t>
      </w:r>
      <w:r w:rsidR="00326E5B">
        <w:rPr>
          <w:rFonts w:ascii="Arial" w:hAnsi="Arial" w:cs="Arial"/>
        </w:rPr>
        <w:t>UD</w:t>
      </w:r>
      <w:r>
        <w:rPr>
          <w:rFonts w:ascii="Arial" w:hAnsi="Arial" w:cs="Arial"/>
        </w:rPr>
        <w:t>986.84. The supply will be a supply of low value goods under section 84-79</w:t>
      </w:r>
      <w:r w:rsidR="00AA78B3">
        <w:rPr>
          <w:rFonts w:ascii="Arial" w:hAnsi="Arial" w:cs="Arial"/>
        </w:rPr>
        <w:t xml:space="preserve"> of the GST Act</w:t>
      </w:r>
      <w:r>
        <w:rPr>
          <w:rFonts w:ascii="Arial" w:hAnsi="Arial" w:cs="Arial"/>
        </w:rPr>
        <w:t>.</w:t>
      </w:r>
    </w:p>
    <w:p w14:paraId="5F511C17" w14:textId="1CA722F7" w:rsidR="009E106C" w:rsidRDefault="009E106C" w:rsidP="004E2E18">
      <w:pPr>
        <w:pStyle w:val="ListParagraph"/>
        <w:numPr>
          <w:ilvl w:val="0"/>
          <w:numId w:val="16"/>
        </w:numPr>
        <w:rPr>
          <w:rFonts w:ascii="Arial" w:hAnsi="Arial" w:cs="Arial"/>
        </w:rPr>
      </w:pPr>
      <w:r>
        <w:rPr>
          <w:rFonts w:ascii="Arial" w:hAnsi="Arial" w:cs="Arial"/>
        </w:rPr>
        <w:t xml:space="preserve">Alternatively, you could use a rate that is consistently </w:t>
      </w:r>
      <w:r w:rsidR="001616DA">
        <w:rPr>
          <w:rFonts w:ascii="Arial" w:hAnsi="Arial" w:cs="Arial"/>
        </w:rPr>
        <w:t xml:space="preserve">higher </w:t>
      </w:r>
      <w:r w:rsidR="008C53E1">
        <w:rPr>
          <w:rFonts w:ascii="Arial" w:hAnsi="Arial" w:cs="Arial"/>
        </w:rPr>
        <w:t xml:space="preserve">than </w:t>
      </w:r>
      <w:r>
        <w:rPr>
          <w:rFonts w:ascii="Arial" w:hAnsi="Arial" w:cs="Arial"/>
        </w:rPr>
        <w:t>the RBA rate, such as a commercial exchange rate to buy Australian dollars. For example, if you converted the same amount to Australian dollars using a rate to buy AUD for $0.80</w:t>
      </w:r>
      <w:r w:rsidR="007932C9">
        <w:rPr>
          <w:rFonts w:ascii="Arial" w:hAnsi="Arial" w:cs="Arial"/>
        </w:rPr>
        <w:t xml:space="preserve"> USD</w:t>
      </w:r>
      <w:r>
        <w:rPr>
          <w:rFonts w:ascii="Arial" w:hAnsi="Arial" w:cs="Arial"/>
        </w:rPr>
        <w:t xml:space="preserve">, the </w:t>
      </w:r>
      <w:r w:rsidR="00CB4DDA">
        <w:rPr>
          <w:rFonts w:ascii="Arial" w:hAnsi="Arial" w:cs="Arial"/>
        </w:rPr>
        <w:t xml:space="preserve">item </w:t>
      </w:r>
      <w:r>
        <w:rPr>
          <w:rFonts w:ascii="Arial" w:hAnsi="Arial" w:cs="Arial"/>
        </w:rPr>
        <w:t xml:space="preserve">would have a customs value of </w:t>
      </w:r>
      <w:r w:rsidR="00590970">
        <w:rPr>
          <w:rFonts w:ascii="Arial" w:hAnsi="Arial" w:cs="Arial"/>
        </w:rPr>
        <w:t>A</w:t>
      </w:r>
      <w:r w:rsidR="002D12BC">
        <w:rPr>
          <w:rFonts w:ascii="Arial" w:hAnsi="Arial" w:cs="Arial"/>
        </w:rPr>
        <w:t>UD</w:t>
      </w:r>
      <w:r>
        <w:rPr>
          <w:rFonts w:ascii="Arial" w:hAnsi="Arial" w:cs="Arial"/>
        </w:rPr>
        <w:t xml:space="preserve">937.50. </w:t>
      </w:r>
    </w:p>
    <w:p w14:paraId="0523D6AC" w14:textId="3866E7F8" w:rsidR="001616DA" w:rsidRPr="001616DA" w:rsidRDefault="001616DA" w:rsidP="001616DA">
      <w:pPr>
        <w:pStyle w:val="ListParagraph"/>
        <w:numPr>
          <w:ilvl w:val="0"/>
          <w:numId w:val="16"/>
        </w:numPr>
        <w:rPr>
          <w:rFonts w:ascii="Arial" w:hAnsi="Arial" w:cs="Arial"/>
        </w:rPr>
      </w:pPr>
      <w:r>
        <w:rPr>
          <w:rFonts w:ascii="Arial" w:hAnsi="Arial" w:cs="Arial"/>
        </w:rPr>
        <w:t>You also have the option to use a mid-</w:t>
      </w:r>
      <w:r w:rsidR="0034188F">
        <w:rPr>
          <w:rFonts w:ascii="Arial" w:hAnsi="Arial" w:cs="Arial"/>
        </w:rPr>
        <w:t xml:space="preserve">market </w:t>
      </w:r>
      <w:r>
        <w:rPr>
          <w:rFonts w:ascii="Arial" w:hAnsi="Arial" w:cs="Arial"/>
        </w:rPr>
        <w:t>rate provided by a foreign exchange organisation</w:t>
      </w:r>
      <w:r w:rsidR="002E33E8">
        <w:rPr>
          <w:rFonts w:ascii="Arial" w:hAnsi="Arial" w:cs="Arial"/>
        </w:rPr>
        <w:t xml:space="preserve"> or a foreign exchange data</w:t>
      </w:r>
      <w:r w:rsidR="0034188F">
        <w:rPr>
          <w:rFonts w:ascii="Arial" w:hAnsi="Arial" w:cs="Arial"/>
        </w:rPr>
        <w:t xml:space="preserve"> vendor</w:t>
      </w:r>
      <w:r>
        <w:rPr>
          <w:rFonts w:ascii="Arial" w:hAnsi="Arial" w:cs="Arial"/>
        </w:rPr>
        <w:t xml:space="preserve">, or a rate which is similar to the RBA rate in that it is a reference rate published by another central bank. </w:t>
      </w:r>
      <w:r w:rsidRPr="001616DA">
        <w:rPr>
          <w:rFonts w:ascii="Arial" w:hAnsi="Arial" w:cs="Arial"/>
        </w:rPr>
        <w:t xml:space="preserve">These rates will provide similar outcomes to the RBA rate over time. </w:t>
      </w:r>
    </w:p>
    <w:p w14:paraId="45AF9A36" w14:textId="18574C3F" w:rsidR="009E106C" w:rsidRPr="00A36C08" w:rsidRDefault="009E106C" w:rsidP="004E2E18">
      <w:pPr>
        <w:pStyle w:val="ListParagraph"/>
        <w:numPr>
          <w:ilvl w:val="0"/>
          <w:numId w:val="16"/>
        </w:numPr>
        <w:rPr>
          <w:rFonts w:ascii="Arial" w:hAnsi="Arial" w:cs="Arial"/>
        </w:rPr>
      </w:pPr>
      <w:r w:rsidRPr="005C4902">
        <w:rPr>
          <w:rFonts w:ascii="Arial" w:hAnsi="Arial" w:cs="Arial"/>
        </w:rPr>
        <w:t>However,</w:t>
      </w:r>
      <w:r w:rsidR="001616DA">
        <w:rPr>
          <w:rFonts w:ascii="Arial" w:hAnsi="Arial" w:cs="Arial"/>
        </w:rPr>
        <w:t xml:space="preserve"> under this determination,</w:t>
      </w:r>
      <w:r w:rsidRPr="005C4902">
        <w:rPr>
          <w:rFonts w:ascii="Arial" w:hAnsi="Arial" w:cs="Arial"/>
        </w:rPr>
        <w:t xml:space="preserve"> you </w:t>
      </w:r>
      <w:r w:rsidR="00573F8E">
        <w:rPr>
          <w:rFonts w:ascii="Arial" w:hAnsi="Arial" w:cs="Arial"/>
        </w:rPr>
        <w:t>must</w:t>
      </w:r>
      <w:r w:rsidRPr="005C4902">
        <w:rPr>
          <w:rFonts w:ascii="Arial" w:hAnsi="Arial" w:cs="Arial"/>
        </w:rPr>
        <w:t xml:space="preserve"> not use a</w:t>
      </w:r>
      <w:r w:rsidR="0034188F">
        <w:rPr>
          <w:rFonts w:ascii="Arial" w:hAnsi="Arial" w:cs="Arial"/>
        </w:rPr>
        <w:t>n exchange</w:t>
      </w:r>
      <w:r w:rsidRPr="005C4902">
        <w:rPr>
          <w:rFonts w:ascii="Arial" w:hAnsi="Arial" w:cs="Arial"/>
        </w:rPr>
        <w:t xml:space="preserve"> rate to sell Australian dollars, </w:t>
      </w:r>
      <w:r w:rsidR="001616DA">
        <w:rPr>
          <w:rFonts w:ascii="Arial" w:hAnsi="Arial" w:cs="Arial"/>
        </w:rPr>
        <w:t>as this</w:t>
      </w:r>
      <w:r w:rsidRPr="005C4902">
        <w:rPr>
          <w:rFonts w:ascii="Arial" w:hAnsi="Arial" w:cs="Arial"/>
        </w:rPr>
        <w:t xml:space="preserve"> rate would not be consistently </w:t>
      </w:r>
      <w:r w:rsidR="001616DA">
        <w:rPr>
          <w:rFonts w:ascii="Arial" w:hAnsi="Arial" w:cs="Arial"/>
        </w:rPr>
        <w:t>higher</w:t>
      </w:r>
      <w:r w:rsidRPr="005C4902">
        <w:rPr>
          <w:rFonts w:ascii="Arial" w:hAnsi="Arial" w:cs="Arial"/>
        </w:rPr>
        <w:t xml:space="preserve"> </w:t>
      </w:r>
      <w:r w:rsidR="008C53E1">
        <w:rPr>
          <w:rFonts w:ascii="Arial" w:hAnsi="Arial" w:cs="Arial"/>
        </w:rPr>
        <w:t xml:space="preserve">than </w:t>
      </w:r>
      <w:r w:rsidRPr="005C4902">
        <w:rPr>
          <w:rFonts w:ascii="Arial" w:hAnsi="Arial" w:cs="Arial"/>
        </w:rPr>
        <w:t xml:space="preserve">the RBA </w:t>
      </w:r>
      <w:r w:rsidRPr="005C4902">
        <w:rPr>
          <w:rFonts w:ascii="Arial" w:hAnsi="Arial" w:cs="Arial"/>
        </w:rPr>
        <w:lastRenderedPageBreak/>
        <w:t xml:space="preserve">rate. For example, if you converted the same amount to Australian dollars using a rate to sell AUD in exchange for </w:t>
      </w:r>
      <w:r w:rsidR="00590970">
        <w:rPr>
          <w:rFonts w:ascii="Arial" w:hAnsi="Arial" w:cs="Arial"/>
        </w:rPr>
        <w:t>US</w:t>
      </w:r>
      <w:r w:rsidRPr="005C4902">
        <w:rPr>
          <w:rFonts w:ascii="Arial" w:hAnsi="Arial" w:cs="Arial"/>
        </w:rPr>
        <w:t xml:space="preserve">$0.71, the </w:t>
      </w:r>
      <w:r w:rsidR="00CB4DDA">
        <w:rPr>
          <w:rFonts w:ascii="Arial" w:hAnsi="Arial" w:cs="Arial"/>
        </w:rPr>
        <w:t>item</w:t>
      </w:r>
      <w:r w:rsidR="00CB4DDA" w:rsidRPr="005C4902">
        <w:rPr>
          <w:rFonts w:ascii="Arial" w:hAnsi="Arial" w:cs="Arial"/>
        </w:rPr>
        <w:t xml:space="preserve"> </w:t>
      </w:r>
      <w:r w:rsidRPr="005C4902">
        <w:rPr>
          <w:rFonts w:ascii="Arial" w:hAnsi="Arial" w:cs="Arial"/>
        </w:rPr>
        <w:t>would have a custom</w:t>
      </w:r>
      <w:r>
        <w:rPr>
          <w:rFonts w:ascii="Arial" w:hAnsi="Arial" w:cs="Arial"/>
        </w:rPr>
        <w:t xml:space="preserve">s value of </w:t>
      </w:r>
      <w:r w:rsidR="00590970">
        <w:rPr>
          <w:rFonts w:ascii="Arial" w:hAnsi="Arial" w:cs="Arial"/>
        </w:rPr>
        <w:t>A</w:t>
      </w:r>
      <w:r w:rsidR="002D12BC">
        <w:rPr>
          <w:rFonts w:ascii="Arial" w:hAnsi="Arial" w:cs="Arial"/>
        </w:rPr>
        <w:t>UD</w:t>
      </w:r>
      <w:r>
        <w:rPr>
          <w:rFonts w:ascii="Arial" w:hAnsi="Arial" w:cs="Arial"/>
        </w:rPr>
        <w:t>1</w:t>
      </w:r>
      <w:proofErr w:type="gramStart"/>
      <w:r w:rsidR="001616DA">
        <w:rPr>
          <w:rFonts w:ascii="Arial" w:hAnsi="Arial" w:cs="Arial"/>
        </w:rPr>
        <w:t>,</w:t>
      </w:r>
      <w:r>
        <w:rPr>
          <w:rFonts w:ascii="Arial" w:hAnsi="Arial" w:cs="Arial"/>
        </w:rPr>
        <w:t>056.34</w:t>
      </w:r>
      <w:proofErr w:type="gramEnd"/>
      <w:r>
        <w:rPr>
          <w:rFonts w:ascii="Arial" w:hAnsi="Arial" w:cs="Arial"/>
        </w:rPr>
        <w:t>. If this rate was used, the goods would not be subject to GST when they are supplied. As there is a consistent difference between this rate and the rate used for conversion on the day of exportation, the goods may also not be a taxable importation.</w:t>
      </w:r>
    </w:p>
    <w:p w14:paraId="7AAA1D3F" w14:textId="0C9C172C" w:rsidR="00774E7F" w:rsidRPr="009F31A4" w:rsidRDefault="00774E7F" w:rsidP="00486653">
      <w:pPr>
        <w:rPr>
          <w:rFonts w:ascii="Arial" w:hAnsi="Arial" w:cs="Arial"/>
        </w:rPr>
      </w:pPr>
    </w:p>
    <w:p w14:paraId="5CEA2B64" w14:textId="2D360B07" w:rsidR="00DB5BA9" w:rsidRPr="00254480" w:rsidRDefault="00774E7F" w:rsidP="00254480">
      <w:pPr>
        <w:pStyle w:val="Heading2"/>
        <w:rPr>
          <w:sz w:val="24"/>
          <w:szCs w:val="24"/>
        </w:rPr>
      </w:pPr>
      <w:r w:rsidRPr="00774E7F">
        <w:rPr>
          <w:sz w:val="24"/>
          <w:szCs w:val="24"/>
        </w:rPr>
        <w:t xml:space="preserve">Consultation </w:t>
      </w:r>
    </w:p>
    <w:p w14:paraId="23EC0493" w14:textId="1CA3A90C" w:rsidR="00DB5BA9" w:rsidRDefault="00774E7F" w:rsidP="00DB5BA9">
      <w:pPr>
        <w:pStyle w:val="ListParagraph"/>
        <w:numPr>
          <w:ilvl w:val="0"/>
          <w:numId w:val="16"/>
        </w:numPr>
        <w:rPr>
          <w:rFonts w:ascii="Arial" w:hAnsi="Arial" w:cs="Arial"/>
        </w:rPr>
      </w:pPr>
      <w:r w:rsidRPr="00774E7F">
        <w:rPr>
          <w:rFonts w:ascii="Arial" w:hAnsi="Arial" w:cs="Arial"/>
        </w:rPr>
        <w:t xml:space="preserve">Subsection 17(1) of the </w:t>
      </w:r>
      <w:r w:rsidRPr="00774E7F">
        <w:rPr>
          <w:rFonts w:ascii="Arial" w:hAnsi="Arial" w:cs="Arial"/>
          <w:i/>
        </w:rPr>
        <w:t>Legislation Act 2003</w:t>
      </w:r>
      <w:r w:rsidRPr="00774E7F">
        <w:rPr>
          <w:rFonts w:ascii="Arial" w:hAnsi="Arial" w:cs="Arial"/>
        </w:rPr>
        <w:t xml:space="preserve"> requires, before the making of a determination, that the rule-maker is satisfied that appropriate and reasonably practicable consultation has been undertaken. </w:t>
      </w:r>
    </w:p>
    <w:p w14:paraId="13850EA5" w14:textId="4D990248" w:rsidR="00DB5BA9" w:rsidRDefault="0008403C" w:rsidP="00DB5BA9">
      <w:pPr>
        <w:pStyle w:val="ListParagraph"/>
        <w:numPr>
          <w:ilvl w:val="0"/>
          <w:numId w:val="16"/>
        </w:numPr>
        <w:rPr>
          <w:rFonts w:ascii="Arial" w:hAnsi="Arial" w:cs="Arial"/>
        </w:rPr>
      </w:pPr>
      <w:r w:rsidRPr="00DB5BA9">
        <w:rPr>
          <w:rFonts w:ascii="Arial" w:eastAsiaTheme="minorHAnsi" w:hAnsi="Arial" w:cs="Arial"/>
        </w:rPr>
        <w:t xml:space="preserve">Broad consultation has occurred. </w:t>
      </w:r>
      <w:r w:rsidR="00DB5BA9">
        <w:rPr>
          <w:rFonts w:ascii="Arial" w:hAnsi="Arial" w:cs="Arial"/>
        </w:rPr>
        <w:t xml:space="preserve">Consultation was conducted through the ATO’s Let’s Talk site and through targeted consultation with </w:t>
      </w:r>
      <w:r w:rsidR="00254480">
        <w:rPr>
          <w:rFonts w:ascii="Arial" w:hAnsi="Arial" w:cs="Arial"/>
        </w:rPr>
        <w:t>key</w:t>
      </w:r>
      <w:r>
        <w:rPr>
          <w:rFonts w:ascii="Arial" w:hAnsi="Arial" w:cs="Arial"/>
        </w:rPr>
        <w:t xml:space="preserve"> </w:t>
      </w:r>
      <w:r w:rsidR="00DB5BA9">
        <w:rPr>
          <w:rFonts w:ascii="Arial" w:hAnsi="Arial" w:cs="Arial"/>
        </w:rPr>
        <w:t xml:space="preserve">stakeholders. This initial consultation led to </w:t>
      </w:r>
      <w:r>
        <w:rPr>
          <w:rFonts w:ascii="Arial" w:hAnsi="Arial" w:cs="Arial"/>
        </w:rPr>
        <w:t xml:space="preserve">the provision of the three options for exchange rates as outlined in paragraph </w:t>
      </w:r>
      <w:r>
        <w:rPr>
          <w:rFonts w:ascii="Arial" w:hAnsi="Arial" w:cs="Arial"/>
        </w:rPr>
        <w:fldChar w:fldCharType="begin"/>
      </w:r>
      <w:r>
        <w:rPr>
          <w:rFonts w:ascii="Arial" w:hAnsi="Arial" w:cs="Arial"/>
        </w:rPr>
        <w:instrText xml:space="preserve"> REF _Ref514223334 \r \h </w:instrText>
      </w:r>
      <w:r>
        <w:rPr>
          <w:rFonts w:ascii="Arial" w:hAnsi="Arial" w:cs="Arial"/>
        </w:rPr>
      </w:r>
      <w:r>
        <w:rPr>
          <w:rFonts w:ascii="Arial" w:hAnsi="Arial" w:cs="Arial"/>
        </w:rPr>
        <w:fldChar w:fldCharType="separate"/>
      </w:r>
      <w:r w:rsidR="009D16C8">
        <w:rPr>
          <w:rFonts w:ascii="Arial" w:hAnsi="Arial" w:cs="Arial"/>
        </w:rPr>
        <w:t>15</w:t>
      </w:r>
      <w:r>
        <w:rPr>
          <w:rFonts w:ascii="Arial" w:hAnsi="Arial" w:cs="Arial"/>
        </w:rPr>
        <w:fldChar w:fldCharType="end"/>
      </w:r>
      <w:r>
        <w:rPr>
          <w:rFonts w:ascii="Arial" w:hAnsi="Arial" w:cs="Arial"/>
        </w:rPr>
        <w:t xml:space="preserve"> of this Explanatory Statement.</w:t>
      </w:r>
      <w:r w:rsidR="00DB5BA9">
        <w:rPr>
          <w:rFonts w:ascii="Arial" w:hAnsi="Arial" w:cs="Arial"/>
        </w:rPr>
        <w:t xml:space="preserve"> </w:t>
      </w:r>
    </w:p>
    <w:p w14:paraId="73CBE53D" w14:textId="01F96498" w:rsidR="00DB5BA9" w:rsidRDefault="00DB5BA9" w:rsidP="0008403C">
      <w:pPr>
        <w:pStyle w:val="ListParagraph"/>
        <w:numPr>
          <w:ilvl w:val="0"/>
          <w:numId w:val="16"/>
        </w:numPr>
        <w:rPr>
          <w:rFonts w:ascii="Arial" w:eastAsiaTheme="minorHAnsi" w:hAnsi="Arial" w:cs="Arial"/>
        </w:rPr>
      </w:pPr>
      <w:r w:rsidRPr="00DB5BA9">
        <w:rPr>
          <w:rFonts w:ascii="Arial" w:eastAsiaTheme="minorHAnsi" w:hAnsi="Arial" w:cs="Arial"/>
        </w:rPr>
        <w:t>The draft determination and draft explanatory statement were published on the ATO Legal Database</w:t>
      </w:r>
      <w:r w:rsidRPr="00DB5BA9">
        <w:rPr>
          <w:rFonts w:ascii="Arial" w:eastAsiaTheme="minorHAnsi" w:hAnsi="Arial" w:cs="Arial"/>
          <w:color w:val="FF0000"/>
        </w:rPr>
        <w:t xml:space="preserve"> </w:t>
      </w:r>
      <w:r w:rsidRPr="00DB5BA9">
        <w:rPr>
          <w:rFonts w:ascii="Arial" w:eastAsiaTheme="minorHAnsi" w:hAnsi="Arial" w:cs="Arial"/>
        </w:rPr>
        <w:t xml:space="preserve">at </w:t>
      </w:r>
      <w:r w:rsidR="0006175B">
        <w:rPr>
          <w:rFonts w:ascii="Arial" w:eastAsiaTheme="minorHAnsi" w:hAnsi="Arial" w:cs="Arial"/>
        </w:rPr>
        <w:t>www.ato.gov.au</w:t>
      </w:r>
      <w:r w:rsidRPr="00DB5BA9">
        <w:rPr>
          <w:rFonts w:ascii="Arial" w:eastAsiaTheme="minorHAnsi" w:hAnsi="Arial" w:cs="Arial"/>
          <w:color w:val="1F497D"/>
        </w:rPr>
        <w:t xml:space="preserve"> </w:t>
      </w:r>
      <w:r w:rsidRPr="00DB5BA9">
        <w:rPr>
          <w:rFonts w:ascii="Arial" w:eastAsiaTheme="minorHAnsi" w:hAnsi="Arial" w:cs="Arial"/>
        </w:rPr>
        <w:t xml:space="preserve">on 29 June 2016 seeking feedback and comments for a period of </w:t>
      </w:r>
      <w:r w:rsidR="00254480">
        <w:rPr>
          <w:rFonts w:ascii="Arial" w:eastAsiaTheme="minorHAnsi" w:hAnsi="Arial" w:cs="Arial"/>
        </w:rPr>
        <w:t>three</w:t>
      </w:r>
      <w:r w:rsidRPr="00DB5BA9">
        <w:rPr>
          <w:rFonts w:ascii="Arial" w:eastAsiaTheme="minorHAnsi" w:hAnsi="Arial" w:cs="Arial"/>
        </w:rPr>
        <w:t xml:space="preserve"> weeks. The ATO Legal Database sends emails and news feeds to direct subscribers such as tax professionals and other industry stakeholders.</w:t>
      </w:r>
      <w:r w:rsidRPr="00DB5BA9">
        <w:rPr>
          <w:rFonts w:asciiTheme="minorHAnsi" w:eastAsiaTheme="minorHAnsi" w:hAnsiTheme="minorHAnsi" w:cstheme="minorBidi"/>
          <w:sz w:val="16"/>
          <w:szCs w:val="16"/>
        </w:rPr>
        <w:t> </w:t>
      </w:r>
      <w:r w:rsidRPr="00DB5BA9">
        <w:rPr>
          <w:rFonts w:asciiTheme="minorHAnsi" w:eastAsiaTheme="minorHAnsi" w:hAnsiTheme="minorHAnsi" w:cstheme="minorBidi"/>
        </w:rPr>
        <w:t> </w:t>
      </w:r>
      <w:r w:rsidRPr="00DB5BA9">
        <w:rPr>
          <w:rFonts w:ascii="Arial" w:eastAsiaTheme="minorHAnsi" w:hAnsi="Arial" w:cs="Arial"/>
        </w:rPr>
        <w:t xml:space="preserve"> Consultation on the draft determination and draft explanatory statement was also announced on “What we are consulting about” at ato.gov.au. </w:t>
      </w:r>
      <w:r w:rsidR="00254480">
        <w:rPr>
          <w:rFonts w:ascii="Arial" w:eastAsiaTheme="minorHAnsi" w:hAnsi="Arial" w:cs="Arial"/>
        </w:rPr>
        <w:t>In addition the draft determination and draft explanatory statement was sent to key stakeholders. Only one comment was received which was favourable to the products.</w:t>
      </w:r>
    </w:p>
    <w:p w14:paraId="42B58745" w14:textId="2DB3C4EE" w:rsidR="00774E7F" w:rsidRDefault="00774E7F" w:rsidP="00774E7F">
      <w:pPr>
        <w:autoSpaceDE w:val="0"/>
        <w:autoSpaceDN w:val="0"/>
        <w:adjustRightInd w:val="0"/>
        <w:ind w:left="720"/>
        <w:rPr>
          <w:rFonts w:ascii="Arial" w:hAnsi="Arial" w:cs="Arial"/>
          <w:color w:val="000000"/>
          <w:sz w:val="20"/>
        </w:rPr>
      </w:pPr>
    </w:p>
    <w:p w14:paraId="56CC4503" w14:textId="77777777" w:rsidR="00FE1488" w:rsidRDefault="00FE1488" w:rsidP="00774E7F">
      <w:pPr>
        <w:autoSpaceDE w:val="0"/>
        <w:autoSpaceDN w:val="0"/>
        <w:adjustRightInd w:val="0"/>
        <w:ind w:left="720"/>
        <w:rPr>
          <w:rFonts w:ascii="Arial" w:hAnsi="Arial" w:cs="Arial"/>
          <w:color w:val="000000"/>
          <w:sz w:val="20"/>
        </w:rPr>
      </w:pPr>
    </w:p>
    <w:p w14:paraId="57F3BF44" w14:textId="77777777" w:rsidR="00FE1488" w:rsidRDefault="00FE1488" w:rsidP="00FE1488">
      <w:pPr>
        <w:spacing w:after="60"/>
        <w:rPr>
          <w:rFonts w:ascii="Arial" w:hAnsi="Arial" w:cs="Arial"/>
          <w:i/>
          <w:sz w:val="20"/>
        </w:rPr>
      </w:pPr>
      <w:r w:rsidRPr="005F124F">
        <w:rPr>
          <w:rFonts w:ascii="Arial" w:hAnsi="Arial" w:cs="Arial"/>
          <w:i/>
          <w:sz w:val="20"/>
        </w:rPr>
        <w:t>Legislative references:</w:t>
      </w:r>
    </w:p>
    <w:p w14:paraId="3CFD7CD4" w14:textId="77777777" w:rsidR="00FE1488" w:rsidRDefault="00FE1488" w:rsidP="00FE1488">
      <w:pPr>
        <w:spacing w:after="60"/>
        <w:rPr>
          <w:rFonts w:ascii="Arial" w:hAnsi="Arial" w:cs="Arial"/>
          <w:i/>
          <w:sz w:val="20"/>
        </w:rPr>
      </w:pPr>
    </w:p>
    <w:p w14:paraId="63AAA4C9" w14:textId="77777777" w:rsidR="00FE1488" w:rsidRDefault="00FE1488" w:rsidP="00FE1488">
      <w:pPr>
        <w:spacing w:after="60"/>
        <w:rPr>
          <w:rFonts w:ascii="Arial" w:hAnsi="Arial" w:cs="Arial"/>
          <w:i/>
          <w:sz w:val="20"/>
        </w:rPr>
      </w:pPr>
      <w:r>
        <w:rPr>
          <w:rFonts w:ascii="Arial" w:hAnsi="Arial" w:cs="Arial"/>
          <w:i/>
          <w:sz w:val="20"/>
        </w:rPr>
        <w:t>A New Tax System (Goods and Services Tax) Act 1999</w:t>
      </w:r>
    </w:p>
    <w:p w14:paraId="24808FB5" w14:textId="77777777" w:rsidR="00FE1488" w:rsidRDefault="00FE1488" w:rsidP="00FE1488">
      <w:pPr>
        <w:spacing w:after="60"/>
        <w:rPr>
          <w:rFonts w:ascii="Arial" w:hAnsi="Arial" w:cs="Arial"/>
          <w:i/>
          <w:sz w:val="20"/>
        </w:rPr>
      </w:pPr>
      <w:r>
        <w:rPr>
          <w:rFonts w:ascii="Arial" w:hAnsi="Arial" w:cs="Arial"/>
          <w:i/>
          <w:sz w:val="20"/>
        </w:rPr>
        <w:t>Acts Interpretation Act 1901</w:t>
      </w:r>
    </w:p>
    <w:p w14:paraId="7315E0AD" w14:textId="77777777" w:rsidR="00FE1488" w:rsidRDefault="00FE1488" w:rsidP="00FE1488">
      <w:pPr>
        <w:spacing w:after="60"/>
        <w:rPr>
          <w:rFonts w:ascii="Arial" w:hAnsi="Arial" w:cs="Arial"/>
          <w:i/>
          <w:sz w:val="20"/>
        </w:rPr>
      </w:pPr>
      <w:r>
        <w:rPr>
          <w:rFonts w:ascii="Arial" w:hAnsi="Arial" w:cs="Arial"/>
          <w:i/>
          <w:sz w:val="20"/>
        </w:rPr>
        <w:t>Customs Act 1901</w:t>
      </w:r>
    </w:p>
    <w:p w14:paraId="29594975" w14:textId="77777777" w:rsidR="00FE1488" w:rsidRDefault="00FE1488" w:rsidP="00FE1488">
      <w:pPr>
        <w:spacing w:after="60"/>
        <w:rPr>
          <w:rFonts w:ascii="Arial" w:hAnsi="Arial" w:cs="Arial"/>
          <w:i/>
          <w:sz w:val="20"/>
        </w:rPr>
      </w:pPr>
      <w:r>
        <w:rPr>
          <w:rFonts w:ascii="Arial" w:hAnsi="Arial" w:cs="Arial"/>
          <w:i/>
          <w:sz w:val="20"/>
        </w:rPr>
        <w:t>Human Rights (Parliamentary Scrutiny) Act 2011</w:t>
      </w:r>
    </w:p>
    <w:p w14:paraId="6163C3AD" w14:textId="77777777" w:rsidR="00FE1488" w:rsidRDefault="00FE1488" w:rsidP="00FE1488">
      <w:pPr>
        <w:spacing w:after="60"/>
        <w:rPr>
          <w:rFonts w:ascii="Arial" w:hAnsi="Arial" w:cs="Arial"/>
          <w:i/>
          <w:sz w:val="20"/>
        </w:rPr>
      </w:pPr>
      <w:r>
        <w:rPr>
          <w:rFonts w:ascii="Arial" w:hAnsi="Arial" w:cs="Arial"/>
          <w:i/>
          <w:sz w:val="20"/>
        </w:rPr>
        <w:t>Legislation Act 2003</w:t>
      </w:r>
    </w:p>
    <w:p w14:paraId="4B56AA33" w14:textId="77777777" w:rsidR="00FE1488" w:rsidRDefault="00FE1488" w:rsidP="00FE1488">
      <w:pPr>
        <w:spacing w:after="60"/>
        <w:rPr>
          <w:rFonts w:ascii="Arial" w:hAnsi="Arial" w:cs="Arial"/>
          <w:i/>
          <w:sz w:val="20"/>
        </w:rPr>
      </w:pPr>
      <w:r>
        <w:rPr>
          <w:rFonts w:ascii="Arial" w:hAnsi="Arial" w:cs="Arial"/>
          <w:i/>
          <w:sz w:val="20"/>
        </w:rPr>
        <w:t>Reserve Bank Act 1959</w:t>
      </w:r>
    </w:p>
    <w:p w14:paraId="1ABB2BB2" w14:textId="77777777" w:rsidR="00FE1488" w:rsidRDefault="00FE1488" w:rsidP="00774E7F">
      <w:pPr>
        <w:autoSpaceDE w:val="0"/>
        <w:autoSpaceDN w:val="0"/>
        <w:adjustRightInd w:val="0"/>
        <w:ind w:left="720"/>
        <w:rPr>
          <w:rFonts w:ascii="Arial" w:hAnsi="Arial" w:cs="Arial"/>
          <w:color w:val="000000"/>
          <w:sz w:val="20"/>
        </w:rPr>
      </w:pPr>
    </w:p>
    <w:p w14:paraId="19880D4E" w14:textId="1373214F" w:rsidR="00FE1488" w:rsidRDefault="00FE1488">
      <w:pPr>
        <w:rPr>
          <w:rFonts w:ascii="Arial" w:hAnsi="Arial" w:cs="Arial"/>
          <w:color w:val="000000"/>
          <w:sz w:val="20"/>
        </w:rPr>
      </w:pPr>
      <w:r>
        <w:rPr>
          <w:rFonts w:ascii="Arial" w:hAnsi="Arial" w:cs="Arial"/>
          <w:color w:val="000000"/>
          <w:sz w:val="20"/>
        </w:rPr>
        <w:br w:type="page"/>
      </w:r>
    </w:p>
    <w:p w14:paraId="42D1A17A" w14:textId="77777777" w:rsidR="00FE1488" w:rsidRDefault="00FE1488" w:rsidP="00774E7F">
      <w:pPr>
        <w:autoSpaceDE w:val="0"/>
        <w:autoSpaceDN w:val="0"/>
        <w:adjustRightInd w:val="0"/>
        <w:ind w:left="720"/>
        <w:rPr>
          <w:rFonts w:ascii="Arial" w:hAnsi="Arial" w:cs="Arial"/>
          <w:color w:val="000000"/>
          <w:sz w:val="20"/>
        </w:rPr>
      </w:pPr>
    </w:p>
    <w:p w14:paraId="1EE2C76F" w14:textId="456E1007" w:rsidR="00774E7F" w:rsidRPr="00FE1488" w:rsidRDefault="00774E7F" w:rsidP="00FE1488">
      <w:pPr>
        <w:pStyle w:val="Heading2"/>
        <w:jc w:val="center"/>
        <w:rPr>
          <w:szCs w:val="22"/>
        </w:rPr>
      </w:pPr>
      <w:r w:rsidRPr="00FE1488">
        <w:rPr>
          <w:szCs w:val="22"/>
        </w:rPr>
        <w:t>Statement of Compatibility with Human Rights</w:t>
      </w:r>
    </w:p>
    <w:p w14:paraId="7D09BF84" w14:textId="5677BFB6" w:rsidR="00774E7F" w:rsidRPr="00774E7F" w:rsidRDefault="00774E7F" w:rsidP="00774E7F">
      <w:pPr>
        <w:spacing w:before="100" w:beforeAutospacing="1" w:after="100" w:afterAutospacing="1"/>
        <w:rPr>
          <w:rFonts w:ascii="Arial" w:hAnsi="Arial" w:cs="Arial"/>
          <w:color w:val="000000"/>
          <w:sz w:val="22"/>
          <w:szCs w:val="22"/>
        </w:rPr>
      </w:pPr>
      <w:proofErr w:type="gramStart"/>
      <w:r w:rsidRPr="00774E7F">
        <w:rPr>
          <w:rFonts w:ascii="Arial" w:hAnsi="Arial" w:cs="Arial"/>
          <w:color w:val="000000"/>
          <w:sz w:val="22"/>
          <w:szCs w:val="22"/>
        </w:rPr>
        <w:t xml:space="preserve">Prepared in accordance with </w:t>
      </w:r>
      <w:r w:rsidRPr="00774E7F">
        <w:rPr>
          <w:rFonts w:ascii="Arial" w:hAnsi="Arial" w:cs="Arial"/>
          <w:i/>
          <w:iCs/>
          <w:color w:val="000000"/>
          <w:sz w:val="22"/>
          <w:szCs w:val="22"/>
        </w:rPr>
        <w:t>Part 3 of the Human Rights (Parliamentary Scrutiny) Act 2011.</w:t>
      </w:r>
      <w:proofErr w:type="gramEnd"/>
      <w:r w:rsidRPr="00774E7F">
        <w:rPr>
          <w:rFonts w:ascii="Arial" w:hAnsi="Arial" w:cs="Arial"/>
          <w:color w:val="000000"/>
          <w:sz w:val="22"/>
          <w:szCs w:val="22"/>
        </w:rPr>
        <w:t xml:space="preserve"> </w:t>
      </w:r>
    </w:p>
    <w:p w14:paraId="72C92A8B" w14:textId="59D5302B" w:rsidR="00A83657" w:rsidRDefault="00774E7F" w:rsidP="00FE1488">
      <w:pPr>
        <w:spacing w:before="100" w:beforeAutospacing="1" w:after="100" w:afterAutospacing="1"/>
        <w:jc w:val="center"/>
        <w:rPr>
          <w:rFonts w:ascii="Arial" w:hAnsi="Arial" w:cs="Arial"/>
          <w:color w:val="000000"/>
          <w:sz w:val="22"/>
          <w:szCs w:val="22"/>
        </w:rPr>
      </w:pPr>
      <w:r w:rsidRPr="00774E7F">
        <w:rPr>
          <w:rFonts w:ascii="Arial" w:hAnsi="Arial" w:cs="Arial"/>
          <w:b/>
          <w:bCs/>
          <w:color w:val="000000"/>
          <w:sz w:val="22"/>
          <w:szCs w:val="22"/>
        </w:rPr>
        <w:t xml:space="preserve">Goods and Services Tax: </w:t>
      </w:r>
      <w:r w:rsidRPr="005A593A">
        <w:rPr>
          <w:rFonts w:ascii="Arial" w:hAnsi="Arial" w:cs="Arial"/>
          <w:b/>
          <w:bCs/>
          <w:color w:val="000000"/>
          <w:sz w:val="22"/>
          <w:szCs w:val="22"/>
        </w:rPr>
        <w:t xml:space="preserve">Foreign Currency </w:t>
      </w:r>
      <w:r w:rsidR="00A83657" w:rsidRPr="00506DF2">
        <w:rPr>
          <w:rFonts w:ascii="Arial" w:hAnsi="Arial" w:cs="Arial"/>
          <w:b/>
          <w:bCs/>
          <w:color w:val="000000"/>
          <w:sz w:val="22"/>
          <w:szCs w:val="22"/>
        </w:rPr>
        <w:t>(Customs Value of Low Value Goods) Determination</w:t>
      </w:r>
      <w:r w:rsidRPr="005A593A">
        <w:rPr>
          <w:rFonts w:ascii="Arial" w:hAnsi="Arial" w:cs="Arial"/>
          <w:b/>
          <w:bCs/>
          <w:color w:val="000000"/>
          <w:sz w:val="22"/>
          <w:szCs w:val="22"/>
        </w:rPr>
        <w:t xml:space="preserve"> </w:t>
      </w:r>
      <w:r w:rsidR="00A83657">
        <w:rPr>
          <w:rFonts w:ascii="Arial" w:hAnsi="Arial" w:cs="Arial"/>
          <w:b/>
          <w:bCs/>
          <w:color w:val="000000"/>
          <w:sz w:val="22"/>
          <w:szCs w:val="22"/>
        </w:rPr>
        <w:t>2018</w:t>
      </w:r>
    </w:p>
    <w:p w14:paraId="7A05351E" w14:textId="62A5CABE" w:rsidR="00774E7F" w:rsidRPr="00774E7F" w:rsidRDefault="00774E7F" w:rsidP="00774E7F">
      <w:pPr>
        <w:spacing w:before="100" w:beforeAutospacing="1" w:after="100" w:afterAutospacing="1"/>
        <w:rPr>
          <w:rFonts w:ascii="Arial" w:hAnsi="Arial" w:cs="Arial"/>
          <w:color w:val="000000"/>
          <w:sz w:val="22"/>
          <w:szCs w:val="22"/>
        </w:rPr>
      </w:pPr>
      <w:r w:rsidRPr="00774E7F">
        <w:rPr>
          <w:rFonts w:ascii="Arial" w:hAnsi="Arial" w:cs="Arial"/>
          <w:color w:val="000000"/>
          <w:sz w:val="22"/>
          <w:szCs w:val="22"/>
        </w:rPr>
        <w:t xml:space="preserve">This Legislative Instrument is compatible with the human rights and freedoms recognised or declared in the international instruments listed in section 3 of the </w:t>
      </w:r>
      <w:r w:rsidRPr="00774E7F">
        <w:rPr>
          <w:rFonts w:ascii="Arial" w:hAnsi="Arial" w:cs="Arial"/>
          <w:i/>
          <w:iCs/>
          <w:color w:val="000000"/>
          <w:sz w:val="22"/>
          <w:szCs w:val="22"/>
        </w:rPr>
        <w:t>Human Rights (Parliamentary Scrutiny) Act 2011.</w:t>
      </w:r>
      <w:r w:rsidRPr="00774E7F">
        <w:rPr>
          <w:rFonts w:ascii="Arial" w:hAnsi="Arial" w:cs="Arial"/>
          <w:color w:val="000000"/>
          <w:sz w:val="22"/>
          <w:szCs w:val="22"/>
        </w:rPr>
        <w:t xml:space="preserve"> </w:t>
      </w:r>
    </w:p>
    <w:p w14:paraId="275D6D71" w14:textId="59FA734F" w:rsidR="00A83657" w:rsidRPr="00774E7F" w:rsidRDefault="00774E7F" w:rsidP="00774E7F">
      <w:pPr>
        <w:spacing w:before="100" w:beforeAutospacing="1" w:after="100" w:afterAutospacing="1"/>
        <w:rPr>
          <w:rFonts w:ascii="Arial" w:hAnsi="Arial" w:cs="Arial"/>
          <w:color w:val="000000"/>
          <w:sz w:val="22"/>
          <w:szCs w:val="22"/>
        </w:rPr>
      </w:pPr>
      <w:r w:rsidRPr="00774E7F">
        <w:rPr>
          <w:rFonts w:ascii="Arial" w:hAnsi="Arial" w:cs="Arial"/>
          <w:b/>
          <w:bCs/>
          <w:color w:val="000000"/>
          <w:sz w:val="22"/>
          <w:szCs w:val="22"/>
        </w:rPr>
        <w:t>Overview of the Legislative Instrument</w:t>
      </w:r>
      <w:r w:rsidRPr="00774E7F">
        <w:rPr>
          <w:rFonts w:ascii="Arial" w:hAnsi="Arial" w:cs="Arial"/>
          <w:color w:val="000000"/>
          <w:sz w:val="22"/>
          <w:szCs w:val="22"/>
        </w:rPr>
        <w:t xml:space="preserve"> </w:t>
      </w:r>
      <w:r w:rsidRPr="00774E7F">
        <w:rPr>
          <w:rFonts w:ascii="Arial" w:hAnsi="Arial" w:cs="Arial"/>
          <w:color w:val="000000"/>
          <w:sz w:val="22"/>
          <w:szCs w:val="22"/>
        </w:rPr>
        <w:br/>
        <w:t xml:space="preserve">This Legislative Instrument </w:t>
      </w:r>
      <w:r w:rsidR="00A83657">
        <w:rPr>
          <w:rFonts w:ascii="Arial" w:hAnsi="Arial" w:cs="Arial"/>
          <w:color w:val="000000"/>
          <w:sz w:val="22"/>
          <w:szCs w:val="22"/>
        </w:rPr>
        <w:t>provides a method for converting an amount expressed in foreign currency to Australian currency, when working out the customs value of goods under subsection 84-79(4) of the GST Act, to determine if there is a supply of low value goods.</w:t>
      </w:r>
      <w:r w:rsidR="00A83657" w:rsidRPr="00774E7F" w:rsidDel="00A83657">
        <w:rPr>
          <w:rFonts w:ascii="Arial" w:hAnsi="Arial" w:cs="Arial"/>
          <w:color w:val="000000"/>
          <w:sz w:val="22"/>
          <w:szCs w:val="22"/>
        </w:rPr>
        <w:t xml:space="preserve"> </w:t>
      </w:r>
    </w:p>
    <w:p w14:paraId="3A2CFAD0" w14:textId="77777777" w:rsidR="00774E7F" w:rsidRPr="00774E7F" w:rsidRDefault="00774E7F" w:rsidP="00774E7F">
      <w:pPr>
        <w:spacing w:before="100" w:beforeAutospacing="1" w:after="100" w:afterAutospacing="1"/>
        <w:rPr>
          <w:rFonts w:ascii="Arial" w:hAnsi="Arial" w:cs="Arial"/>
          <w:color w:val="000000"/>
          <w:sz w:val="22"/>
          <w:szCs w:val="22"/>
        </w:rPr>
      </w:pPr>
      <w:r w:rsidRPr="00774E7F">
        <w:rPr>
          <w:rFonts w:ascii="Arial" w:hAnsi="Arial" w:cs="Arial"/>
          <w:b/>
          <w:bCs/>
          <w:color w:val="000000"/>
          <w:sz w:val="22"/>
          <w:szCs w:val="22"/>
        </w:rPr>
        <w:t>Human rights implications</w:t>
      </w:r>
      <w:r w:rsidRPr="00774E7F">
        <w:rPr>
          <w:rFonts w:ascii="Arial" w:hAnsi="Arial" w:cs="Arial"/>
          <w:color w:val="000000"/>
          <w:sz w:val="22"/>
          <w:szCs w:val="22"/>
        </w:rPr>
        <w:t xml:space="preserve"> </w:t>
      </w:r>
      <w:r w:rsidRPr="00774E7F">
        <w:rPr>
          <w:rFonts w:ascii="Arial" w:hAnsi="Arial" w:cs="Arial"/>
          <w:color w:val="000000"/>
          <w:sz w:val="22"/>
          <w:szCs w:val="22"/>
        </w:rPr>
        <w:br/>
        <w:t xml:space="preserve">This Legislative Instrument does not engage any of the applicable rights or freedoms as it is considered to be minor or machinery in nature and does not substantially change the law. </w:t>
      </w:r>
    </w:p>
    <w:p w14:paraId="6A9EDE38" w14:textId="77777777" w:rsidR="00774E7F" w:rsidRPr="00774E7F" w:rsidRDefault="00774E7F" w:rsidP="00774E7F">
      <w:pPr>
        <w:spacing w:before="100" w:beforeAutospacing="1" w:after="100" w:afterAutospacing="1"/>
        <w:rPr>
          <w:rFonts w:ascii="Arial" w:hAnsi="Arial" w:cs="Arial"/>
          <w:color w:val="000000"/>
          <w:sz w:val="22"/>
          <w:szCs w:val="22"/>
        </w:rPr>
      </w:pPr>
      <w:r w:rsidRPr="00774E7F">
        <w:rPr>
          <w:rFonts w:ascii="Arial" w:hAnsi="Arial" w:cs="Arial"/>
          <w:b/>
          <w:bCs/>
          <w:color w:val="000000"/>
          <w:sz w:val="22"/>
          <w:szCs w:val="22"/>
        </w:rPr>
        <w:t>Conclusion</w:t>
      </w:r>
      <w:r w:rsidRPr="00774E7F">
        <w:rPr>
          <w:rFonts w:ascii="Arial" w:hAnsi="Arial" w:cs="Arial"/>
          <w:color w:val="000000"/>
          <w:sz w:val="22"/>
          <w:szCs w:val="22"/>
        </w:rPr>
        <w:t xml:space="preserve"> </w:t>
      </w:r>
      <w:r w:rsidRPr="00774E7F">
        <w:rPr>
          <w:rFonts w:ascii="Arial" w:hAnsi="Arial" w:cs="Arial"/>
          <w:color w:val="000000"/>
          <w:sz w:val="22"/>
          <w:szCs w:val="22"/>
        </w:rPr>
        <w:br/>
        <w:t xml:space="preserve">This Legislative Instrument is compatible with human rights as it does not raise any human rights issues. </w:t>
      </w:r>
    </w:p>
    <w:p w14:paraId="2CD04844" w14:textId="6C63E00E" w:rsidR="00D66B99" w:rsidRDefault="00D66B99" w:rsidP="00486653">
      <w:pPr>
        <w:spacing w:after="120"/>
        <w:rPr>
          <w:rFonts w:ascii="Arial" w:hAnsi="Arial" w:cs="Arial"/>
          <w:sz w:val="22"/>
          <w:szCs w:val="22"/>
        </w:rPr>
      </w:pPr>
    </w:p>
    <w:p w14:paraId="0355E64F" w14:textId="77777777" w:rsidR="00486653" w:rsidRPr="001C6956" w:rsidRDefault="00486653" w:rsidP="00486653">
      <w:pPr>
        <w:ind w:left="1700"/>
        <w:rPr>
          <w:rFonts w:ascii="Arial" w:hAnsi="Arial" w:cs="Arial"/>
          <w:sz w:val="20"/>
        </w:rPr>
      </w:pPr>
    </w:p>
    <w:p w14:paraId="0355E658" w14:textId="77777777" w:rsidR="008540EA" w:rsidRPr="001F28A6" w:rsidRDefault="008540EA" w:rsidP="00FE17ED">
      <w:pPr>
        <w:pStyle w:val="Heading2"/>
        <w:rPr>
          <w:rFonts w:cs="Arial"/>
        </w:rPr>
      </w:pPr>
    </w:p>
    <w:sectPr w:rsidR="008540EA" w:rsidRPr="001F28A6"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37E48" w14:textId="77777777" w:rsidR="000F4BD0" w:rsidRDefault="000F4BD0">
      <w:r>
        <w:separator/>
      </w:r>
    </w:p>
  </w:endnote>
  <w:endnote w:type="continuationSeparator" w:id="0">
    <w:p w14:paraId="461A70BA" w14:textId="77777777" w:rsidR="000F4BD0" w:rsidRDefault="000F4BD0">
      <w:r>
        <w:continuationSeparator/>
      </w:r>
    </w:p>
  </w:endnote>
  <w:endnote w:type="continuationNotice" w:id="1">
    <w:p w14:paraId="253CC265" w14:textId="77777777" w:rsidR="000F4BD0" w:rsidRDefault="000F4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9E5F4" w14:textId="77777777" w:rsidR="000F4BD0" w:rsidRDefault="000F4BD0">
      <w:r>
        <w:separator/>
      </w:r>
    </w:p>
  </w:footnote>
  <w:footnote w:type="continuationSeparator" w:id="0">
    <w:p w14:paraId="1914C105" w14:textId="77777777" w:rsidR="000F4BD0" w:rsidRDefault="000F4BD0">
      <w:r>
        <w:continuationSeparator/>
      </w:r>
    </w:p>
  </w:footnote>
  <w:footnote w:type="continuationNotice" w:id="1">
    <w:p w14:paraId="7239CEE1" w14:textId="77777777" w:rsidR="000F4BD0" w:rsidRDefault="000F4B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E65D" w14:textId="7BB4F36C" w:rsidR="00F30818" w:rsidRPr="0067541C" w:rsidRDefault="00F30818">
    <w:pPr>
      <w:pStyle w:val="Header"/>
      <w:rPr>
        <w:rFonts w:ascii="Arial" w:hAnsi="Arial" w:cs="Arial"/>
        <w:sz w:val="52"/>
      </w:rPr>
    </w:pPr>
    <w:r w:rsidRPr="0067541C">
      <w:rPr>
        <w:rFonts w:ascii="Arial" w:hAnsi="Arial" w:cs="Arial"/>
        <w:sz w:val="20"/>
      </w:rPr>
      <w:t>Taxation Determination</w:t>
    </w:r>
  </w:p>
  <w:p w14:paraId="0355E65E" w14:textId="04FC99C8" w:rsidR="00F30818" w:rsidRPr="0067541C" w:rsidRDefault="00F30818">
    <w:pPr>
      <w:pStyle w:val="Header"/>
      <w:rPr>
        <w:rFonts w:ascii="Arial" w:hAnsi="Arial" w:cs="Arial"/>
        <w:sz w:val="52"/>
      </w:rPr>
    </w:pPr>
    <w:r w:rsidRPr="0067541C">
      <w:rPr>
        <w:rFonts w:ascii="Arial" w:hAnsi="Arial" w:cs="Arial"/>
        <w:b/>
        <w:sz w:val="52"/>
      </w:rPr>
      <w:t xml:space="preserve">TD </w:t>
    </w:r>
  </w:p>
  <w:p w14:paraId="0355E65F" w14:textId="77777777" w:rsidR="00F30818" w:rsidRPr="0067541C" w:rsidRDefault="00F30818">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9D16C8">
      <w:rPr>
        <w:rFonts w:ascii="Arial" w:hAnsi="Arial" w:cs="Arial"/>
        <w:noProof/>
        <w:snapToGrid w:val="0"/>
        <w:sz w:val="20"/>
        <w:lang w:eastAsia="en-US"/>
      </w:rPr>
      <w:t>6</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E660" w14:textId="67EB661A" w:rsidR="00F30818" w:rsidRDefault="00F30818"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E661" w14:textId="44F164CD" w:rsidR="00F30818" w:rsidRPr="00333FE9" w:rsidRDefault="00F3081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5"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14:paraId="0355E662" w14:textId="3BE9FDD2" w:rsidR="00F30818" w:rsidRPr="00146ED8" w:rsidRDefault="00F3081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6" w:name="BPrefix"/>
    <w:bookmarkEnd w:id="15"/>
    <w:r>
      <w:rPr>
        <w:rFonts w:ascii="Arial" w:hAnsi="Arial" w:cs="Arial"/>
        <w:b/>
        <w:sz w:val="32"/>
        <w:szCs w:val="32"/>
      </w:rPr>
      <w:t xml:space="preserve">  </w:t>
    </w:r>
    <w:r w:rsidRPr="00146ED8">
      <w:rPr>
        <w:rFonts w:ascii="Arial" w:hAnsi="Arial" w:cs="Arial"/>
        <w:b/>
        <w:sz w:val="28"/>
        <w:szCs w:val="28"/>
      </w:rPr>
      <w:t>Inst</w:t>
    </w:r>
    <w:bookmarkStart w:id="17" w:name="CDocnum"/>
    <w:bookmarkEnd w:id="16"/>
    <w:bookmarkEnd w:id="17"/>
    <w:r w:rsidRPr="00146ED8">
      <w:rPr>
        <w:rFonts w:ascii="Arial" w:hAnsi="Arial" w:cs="Arial"/>
        <w:b/>
        <w:sz w:val="28"/>
        <w:szCs w:val="28"/>
      </w:rPr>
      <w:t xml:space="preserve">rument ID: </w:t>
    </w:r>
    <w:r w:rsidR="00FE1488">
      <w:rPr>
        <w:rFonts w:ascii="Arial" w:hAnsi="Arial" w:cs="Arial"/>
        <w:b/>
        <w:sz w:val="28"/>
        <w:szCs w:val="28"/>
      </w:rPr>
      <w:t>2018/ITX/0010</w:t>
    </w:r>
  </w:p>
  <w:p w14:paraId="0355E663" w14:textId="77777777" w:rsidR="00F30818" w:rsidRDefault="00F30818" w:rsidP="001828A4">
    <w:pPr>
      <w:pStyle w:val="Header"/>
      <w:tabs>
        <w:tab w:val="clear" w:pos="4153"/>
        <w:tab w:val="clear" w:pos="8306"/>
      </w:tabs>
      <w:rPr>
        <w:rFonts w:ascii="Arial" w:hAnsi="Arial" w:cs="Arial"/>
        <w:sz w:val="20"/>
      </w:rPr>
    </w:pPr>
    <w:r>
      <w:rPr>
        <w:noProof/>
      </w:rPr>
      <w:drawing>
        <wp:inline distT="0" distB="0" distL="0" distR="0" wp14:anchorId="0355E665" wp14:editId="0355E666">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0355E664" w14:textId="77777777" w:rsidR="00F30818" w:rsidRPr="001A6644" w:rsidRDefault="00F30818"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D756833"/>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nsid w:val="22C93C1B"/>
    <w:multiLevelType w:val="hybridMultilevel"/>
    <w:tmpl w:val="93F46ED8"/>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5">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9">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1362AC8"/>
    <w:multiLevelType w:val="hybridMultilevel"/>
    <w:tmpl w:val="7574790E"/>
    <w:lvl w:ilvl="0" w:tplc="4E5C93CC">
      <w:start w:val="13"/>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nsid w:val="3225754C"/>
    <w:multiLevelType w:val="hybridMultilevel"/>
    <w:tmpl w:val="4DD42F1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6E10EC9"/>
    <w:multiLevelType w:val="hybridMultilevel"/>
    <w:tmpl w:val="AB54472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5">
    <w:nsid w:val="3EA8740B"/>
    <w:multiLevelType w:val="hybridMultilevel"/>
    <w:tmpl w:val="58D673F4"/>
    <w:lvl w:ilvl="0" w:tplc="0C090001">
      <w:start w:val="1"/>
      <w:numFmt w:val="bullet"/>
      <w:lvlText w:val=""/>
      <w:lvlJc w:val="left"/>
      <w:pPr>
        <w:ind w:left="1509" w:hanging="360"/>
      </w:pPr>
      <w:rPr>
        <w:rFonts w:ascii="Symbol" w:hAnsi="Symbol"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26">
    <w:nsid w:val="3FCC3903"/>
    <w:multiLevelType w:val="hybridMultilevel"/>
    <w:tmpl w:val="3BF0CB3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9">
    <w:nsid w:val="432A6ED2"/>
    <w:multiLevelType w:val="hybridMultilevel"/>
    <w:tmpl w:val="2418121C"/>
    <w:lvl w:ilvl="0" w:tplc="6A083E7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51697470"/>
    <w:multiLevelType w:val="hybridMultilevel"/>
    <w:tmpl w:val="78386940"/>
    <w:lvl w:ilvl="0" w:tplc="C2ACD91E">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5">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1BC404A"/>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657C01BF"/>
    <w:multiLevelType w:val="hybridMultilevel"/>
    <w:tmpl w:val="0DD068DE"/>
    <w:lvl w:ilvl="0" w:tplc="D3FAB31E">
      <w:start w:val="3"/>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C24013F"/>
    <w:multiLevelType w:val="hybridMultilevel"/>
    <w:tmpl w:val="1A5ECF3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AD80FDF"/>
    <w:multiLevelType w:val="multilevel"/>
    <w:tmpl w:val="2848B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27"/>
  </w:num>
  <w:num w:numId="4">
    <w:abstractNumId w:val="45"/>
  </w:num>
  <w:num w:numId="5">
    <w:abstractNumId w:val="5"/>
  </w:num>
  <w:num w:numId="6">
    <w:abstractNumId w:val="12"/>
  </w:num>
  <w:num w:numId="7">
    <w:abstractNumId w:val="38"/>
  </w:num>
  <w:num w:numId="8">
    <w:abstractNumId w:val="37"/>
  </w:num>
  <w:num w:numId="9">
    <w:abstractNumId w:val="30"/>
  </w:num>
  <w:num w:numId="10">
    <w:abstractNumId w:val="21"/>
  </w:num>
  <w:num w:numId="11">
    <w:abstractNumId w:val="47"/>
  </w:num>
  <w:num w:numId="12">
    <w:abstractNumId w:val="39"/>
  </w:num>
  <w:num w:numId="13">
    <w:abstractNumId w:val="43"/>
  </w:num>
  <w:num w:numId="14">
    <w:abstractNumId w:val="42"/>
  </w:num>
  <w:num w:numId="15">
    <w:abstractNumId w:val="20"/>
  </w:num>
  <w:num w:numId="16">
    <w:abstractNumId w:val="26"/>
  </w:num>
  <w:num w:numId="17">
    <w:abstractNumId w:val="10"/>
  </w:num>
  <w:num w:numId="18">
    <w:abstractNumId w:val="16"/>
  </w:num>
  <w:num w:numId="19">
    <w:abstractNumId w:val="3"/>
  </w:num>
  <w:num w:numId="20">
    <w:abstractNumId w:val="1"/>
  </w:num>
  <w:num w:numId="21">
    <w:abstractNumId w:val="11"/>
  </w:num>
  <w:num w:numId="22">
    <w:abstractNumId w:val="34"/>
  </w:num>
  <w:num w:numId="23">
    <w:abstractNumId w:val="9"/>
  </w:num>
  <w:num w:numId="24">
    <w:abstractNumId w:val="19"/>
  </w:num>
  <w:num w:numId="25">
    <w:abstractNumId w:val="32"/>
  </w:num>
  <w:num w:numId="26">
    <w:abstractNumId w:val="31"/>
  </w:num>
  <w:num w:numId="27">
    <w:abstractNumId w:val="8"/>
  </w:num>
  <w:num w:numId="28">
    <w:abstractNumId w:val="35"/>
  </w:num>
  <w:num w:numId="29">
    <w:abstractNumId w:val="18"/>
  </w:num>
  <w:num w:numId="30">
    <w:abstractNumId w:val="14"/>
  </w:num>
  <w:num w:numId="31">
    <w:abstractNumId w:val="6"/>
  </w:num>
  <w:num w:numId="32">
    <w:abstractNumId w:val="0"/>
  </w:num>
  <w:num w:numId="33">
    <w:abstractNumId w:val="7"/>
  </w:num>
  <w:num w:numId="34">
    <w:abstractNumId w:val="28"/>
  </w:num>
  <w:num w:numId="35">
    <w:abstractNumId w:val="40"/>
  </w:num>
  <w:num w:numId="36">
    <w:abstractNumId w:val="17"/>
  </w:num>
  <w:num w:numId="37">
    <w:abstractNumId w:val="41"/>
  </w:num>
  <w:num w:numId="38">
    <w:abstractNumId w:val="36"/>
  </w:num>
  <w:num w:numId="39">
    <w:abstractNumId w:val="2"/>
  </w:num>
  <w:num w:numId="40">
    <w:abstractNumId w:val="25"/>
  </w:num>
  <w:num w:numId="41">
    <w:abstractNumId w:val="23"/>
  </w:num>
  <w:num w:numId="42">
    <w:abstractNumId w:val="24"/>
  </w:num>
  <w:num w:numId="43">
    <w:abstractNumId w:val="29"/>
  </w:num>
  <w:num w:numId="44">
    <w:abstractNumId w:val="44"/>
  </w:num>
  <w:num w:numId="45">
    <w:abstractNumId w:val="33"/>
  </w:num>
  <w:num w:numId="46">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00C28"/>
    <w:rsid w:val="000117B2"/>
    <w:rsid w:val="000138DC"/>
    <w:rsid w:val="0001796D"/>
    <w:rsid w:val="00017A21"/>
    <w:rsid w:val="00017BF0"/>
    <w:rsid w:val="000218FE"/>
    <w:rsid w:val="0002568B"/>
    <w:rsid w:val="000309AD"/>
    <w:rsid w:val="00031D79"/>
    <w:rsid w:val="00032B0F"/>
    <w:rsid w:val="000419F5"/>
    <w:rsid w:val="00042ECB"/>
    <w:rsid w:val="00043FA7"/>
    <w:rsid w:val="000552E8"/>
    <w:rsid w:val="0005545A"/>
    <w:rsid w:val="00056585"/>
    <w:rsid w:val="0005674F"/>
    <w:rsid w:val="00057EAC"/>
    <w:rsid w:val="0006175B"/>
    <w:rsid w:val="00062E4B"/>
    <w:rsid w:val="00065C6E"/>
    <w:rsid w:val="00073F1B"/>
    <w:rsid w:val="00074366"/>
    <w:rsid w:val="00075B58"/>
    <w:rsid w:val="0008403C"/>
    <w:rsid w:val="0009406D"/>
    <w:rsid w:val="00096E33"/>
    <w:rsid w:val="000A0A1F"/>
    <w:rsid w:val="000A540C"/>
    <w:rsid w:val="000A6703"/>
    <w:rsid w:val="000A75BF"/>
    <w:rsid w:val="000B11DD"/>
    <w:rsid w:val="000B700B"/>
    <w:rsid w:val="000C0BF9"/>
    <w:rsid w:val="000C390A"/>
    <w:rsid w:val="000C77DD"/>
    <w:rsid w:val="000D495F"/>
    <w:rsid w:val="000E295B"/>
    <w:rsid w:val="000E2A0E"/>
    <w:rsid w:val="000E45A0"/>
    <w:rsid w:val="000F035E"/>
    <w:rsid w:val="000F3EA2"/>
    <w:rsid w:val="000F4BD0"/>
    <w:rsid w:val="000F6A6D"/>
    <w:rsid w:val="00106975"/>
    <w:rsid w:val="00107460"/>
    <w:rsid w:val="00112415"/>
    <w:rsid w:val="00117935"/>
    <w:rsid w:val="00120B1B"/>
    <w:rsid w:val="001304D7"/>
    <w:rsid w:val="00131050"/>
    <w:rsid w:val="0013330B"/>
    <w:rsid w:val="0013353B"/>
    <w:rsid w:val="00133CFA"/>
    <w:rsid w:val="0013678D"/>
    <w:rsid w:val="00140A34"/>
    <w:rsid w:val="00146ED8"/>
    <w:rsid w:val="0014755D"/>
    <w:rsid w:val="00150CE4"/>
    <w:rsid w:val="001561FB"/>
    <w:rsid w:val="00156A98"/>
    <w:rsid w:val="001616DA"/>
    <w:rsid w:val="001620A9"/>
    <w:rsid w:val="00167202"/>
    <w:rsid w:val="001828A4"/>
    <w:rsid w:val="0018766D"/>
    <w:rsid w:val="001A1B6B"/>
    <w:rsid w:val="001A3BE2"/>
    <w:rsid w:val="001C35E7"/>
    <w:rsid w:val="001C4578"/>
    <w:rsid w:val="001D4D5A"/>
    <w:rsid w:val="001D577B"/>
    <w:rsid w:val="001E42F3"/>
    <w:rsid w:val="001E7803"/>
    <w:rsid w:val="001F09AF"/>
    <w:rsid w:val="001F28A6"/>
    <w:rsid w:val="001F2A16"/>
    <w:rsid w:val="001F4485"/>
    <w:rsid w:val="001F6921"/>
    <w:rsid w:val="001F7C3E"/>
    <w:rsid w:val="00201969"/>
    <w:rsid w:val="002062FA"/>
    <w:rsid w:val="00213FA5"/>
    <w:rsid w:val="00227FCC"/>
    <w:rsid w:val="00234841"/>
    <w:rsid w:val="0023733A"/>
    <w:rsid w:val="0024044F"/>
    <w:rsid w:val="00245D00"/>
    <w:rsid w:val="00254480"/>
    <w:rsid w:val="00257F2D"/>
    <w:rsid w:val="00262F9F"/>
    <w:rsid w:val="00266D2D"/>
    <w:rsid w:val="0027331F"/>
    <w:rsid w:val="002804F9"/>
    <w:rsid w:val="002821D8"/>
    <w:rsid w:val="00285E76"/>
    <w:rsid w:val="00290068"/>
    <w:rsid w:val="002941FF"/>
    <w:rsid w:val="002949C3"/>
    <w:rsid w:val="002A10A4"/>
    <w:rsid w:val="002A26FE"/>
    <w:rsid w:val="002A484C"/>
    <w:rsid w:val="002A61D9"/>
    <w:rsid w:val="002A7CC3"/>
    <w:rsid w:val="002B1423"/>
    <w:rsid w:val="002D12BC"/>
    <w:rsid w:val="002E0081"/>
    <w:rsid w:val="002E028E"/>
    <w:rsid w:val="002E33E8"/>
    <w:rsid w:val="002E567C"/>
    <w:rsid w:val="002F1257"/>
    <w:rsid w:val="00304EF8"/>
    <w:rsid w:val="00310C61"/>
    <w:rsid w:val="003168AC"/>
    <w:rsid w:val="003171B3"/>
    <w:rsid w:val="0032559D"/>
    <w:rsid w:val="00326E5B"/>
    <w:rsid w:val="00332CBA"/>
    <w:rsid w:val="00334623"/>
    <w:rsid w:val="0034188F"/>
    <w:rsid w:val="0034335F"/>
    <w:rsid w:val="00344575"/>
    <w:rsid w:val="0035113C"/>
    <w:rsid w:val="00353EB4"/>
    <w:rsid w:val="00354525"/>
    <w:rsid w:val="00355C72"/>
    <w:rsid w:val="0035692A"/>
    <w:rsid w:val="00366D56"/>
    <w:rsid w:val="00380CC4"/>
    <w:rsid w:val="003A0429"/>
    <w:rsid w:val="003A3F71"/>
    <w:rsid w:val="003C0686"/>
    <w:rsid w:val="003C297C"/>
    <w:rsid w:val="003C6C73"/>
    <w:rsid w:val="003D08CF"/>
    <w:rsid w:val="003D0CBA"/>
    <w:rsid w:val="003D0F6A"/>
    <w:rsid w:val="003D482A"/>
    <w:rsid w:val="003D4BA8"/>
    <w:rsid w:val="003D577E"/>
    <w:rsid w:val="003D5874"/>
    <w:rsid w:val="003E2B4B"/>
    <w:rsid w:val="003E5269"/>
    <w:rsid w:val="00401FDD"/>
    <w:rsid w:val="00405394"/>
    <w:rsid w:val="004066E4"/>
    <w:rsid w:val="0040680B"/>
    <w:rsid w:val="00407361"/>
    <w:rsid w:val="00417C55"/>
    <w:rsid w:val="004200E1"/>
    <w:rsid w:val="004229D2"/>
    <w:rsid w:val="00424A7B"/>
    <w:rsid w:val="0042544D"/>
    <w:rsid w:val="004447C1"/>
    <w:rsid w:val="00444852"/>
    <w:rsid w:val="00445EF0"/>
    <w:rsid w:val="00451985"/>
    <w:rsid w:val="00456ED9"/>
    <w:rsid w:val="0046211F"/>
    <w:rsid w:val="0046787B"/>
    <w:rsid w:val="00472354"/>
    <w:rsid w:val="00486653"/>
    <w:rsid w:val="004A17EA"/>
    <w:rsid w:val="004A5FDA"/>
    <w:rsid w:val="004B5DFA"/>
    <w:rsid w:val="004D098C"/>
    <w:rsid w:val="004D1351"/>
    <w:rsid w:val="004D24A9"/>
    <w:rsid w:val="004D7187"/>
    <w:rsid w:val="004E2E18"/>
    <w:rsid w:val="004E4548"/>
    <w:rsid w:val="004E5357"/>
    <w:rsid w:val="004F1FB1"/>
    <w:rsid w:val="004F4A07"/>
    <w:rsid w:val="004F5EB1"/>
    <w:rsid w:val="004F6887"/>
    <w:rsid w:val="004F7E14"/>
    <w:rsid w:val="005030AD"/>
    <w:rsid w:val="005055D6"/>
    <w:rsid w:val="00506DF2"/>
    <w:rsid w:val="00510F21"/>
    <w:rsid w:val="00511DED"/>
    <w:rsid w:val="0051249C"/>
    <w:rsid w:val="00514326"/>
    <w:rsid w:val="005176E7"/>
    <w:rsid w:val="00520330"/>
    <w:rsid w:val="0052275F"/>
    <w:rsid w:val="00524B6B"/>
    <w:rsid w:val="0053404C"/>
    <w:rsid w:val="005413EE"/>
    <w:rsid w:val="00541DBD"/>
    <w:rsid w:val="0055139E"/>
    <w:rsid w:val="005552BE"/>
    <w:rsid w:val="0056020B"/>
    <w:rsid w:val="00563A89"/>
    <w:rsid w:val="005738B4"/>
    <w:rsid w:val="00573F8E"/>
    <w:rsid w:val="00575EDB"/>
    <w:rsid w:val="00576127"/>
    <w:rsid w:val="00586308"/>
    <w:rsid w:val="00586D91"/>
    <w:rsid w:val="00587443"/>
    <w:rsid w:val="00587C50"/>
    <w:rsid w:val="00590970"/>
    <w:rsid w:val="005917F3"/>
    <w:rsid w:val="00595E72"/>
    <w:rsid w:val="00597748"/>
    <w:rsid w:val="005A17EA"/>
    <w:rsid w:val="005A3A67"/>
    <w:rsid w:val="005A593A"/>
    <w:rsid w:val="005B0ACD"/>
    <w:rsid w:val="005B50A2"/>
    <w:rsid w:val="005C3408"/>
    <w:rsid w:val="005C4902"/>
    <w:rsid w:val="005C4D44"/>
    <w:rsid w:val="005C7E4C"/>
    <w:rsid w:val="005D611B"/>
    <w:rsid w:val="005D7C0E"/>
    <w:rsid w:val="005E24B5"/>
    <w:rsid w:val="005E5AB8"/>
    <w:rsid w:val="005E695B"/>
    <w:rsid w:val="005F1ACE"/>
    <w:rsid w:val="005F256D"/>
    <w:rsid w:val="0060183A"/>
    <w:rsid w:val="00601CA3"/>
    <w:rsid w:val="00603110"/>
    <w:rsid w:val="00604AF3"/>
    <w:rsid w:val="00611C8E"/>
    <w:rsid w:val="00631891"/>
    <w:rsid w:val="00631F30"/>
    <w:rsid w:val="00637A0D"/>
    <w:rsid w:val="006416C3"/>
    <w:rsid w:val="00642420"/>
    <w:rsid w:val="00646158"/>
    <w:rsid w:val="006558CE"/>
    <w:rsid w:val="0066622C"/>
    <w:rsid w:val="00666487"/>
    <w:rsid w:val="00673B37"/>
    <w:rsid w:val="00685B61"/>
    <w:rsid w:val="006945EA"/>
    <w:rsid w:val="006976EE"/>
    <w:rsid w:val="006A7E69"/>
    <w:rsid w:val="006B5470"/>
    <w:rsid w:val="006C0380"/>
    <w:rsid w:val="006C5894"/>
    <w:rsid w:val="006D0138"/>
    <w:rsid w:val="006D6F52"/>
    <w:rsid w:val="006F349F"/>
    <w:rsid w:val="006F4186"/>
    <w:rsid w:val="006F49D8"/>
    <w:rsid w:val="006F6B3D"/>
    <w:rsid w:val="00700186"/>
    <w:rsid w:val="00701718"/>
    <w:rsid w:val="00710359"/>
    <w:rsid w:val="00712FFF"/>
    <w:rsid w:val="00722DBF"/>
    <w:rsid w:val="00735157"/>
    <w:rsid w:val="00736F85"/>
    <w:rsid w:val="00754FDD"/>
    <w:rsid w:val="007632E8"/>
    <w:rsid w:val="00764146"/>
    <w:rsid w:val="00765294"/>
    <w:rsid w:val="00774E7F"/>
    <w:rsid w:val="00775490"/>
    <w:rsid w:val="007825DD"/>
    <w:rsid w:val="00790785"/>
    <w:rsid w:val="007915F1"/>
    <w:rsid w:val="007932C9"/>
    <w:rsid w:val="00795D0C"/>
    <w:rsid w:val="007A55BA"/>
    <w:rsid w:val="007C1B8C"/>
    <w:rsid w:val="007C1FBD"/>
    <w:rsid w:val="007D5638"/>
    <w:rsid w:val="007E22F5"/>
    <w:rsid w:val="007E728C"/>
    <w:rsid w:val="007F25F3"/>
    <w:rsid w:val="007F4901"/>
    <w:rsid w:val="007F60E7"/>
    <w:rsid w:val="0080273D"/>
    <w:rsid w:val="0081749F"/>
    <w:rsid w:val="008201B9"/>
    <w:rsid w:val="008240B9"/>
    <w:rsid w:val="00836B02"/>
    <w:rsid w:val="008467D4"/>
    <w:rsid w:val="00850FB0"/>
    <w:rsid w:val="00851174"/>
    <w:rsid w:val="0085238E"/>
    <w:rsid w:val="008540EA"/>
    <w:rsid w:val="008605AC"/>
    <w:rsid w:val="00866A00"/>
    <w:rsid w:val="008702A6"/>
    <w:rsid w:val="008757CE"/>
    <w:rsid w:val="00880BB1"/>
    <w:rsid w:val="00881589"/>
    <w:rsid w:val="00882839"/>
    <w:rsid w:val="0088392C"/>
    <w:rsid w:val="0088399B"/>
    <w:rsid w:val="00884067"/>
    <w:rsid w:val="008866AE"/>
    <w:rsid w:val="00897C0E"/>
    <w:rsid w:val="00897E31"/>
    <w:rsid w:val="008A046F"/>
    <w:rsid w:val="008A405A"/>
    <w:rsid w:val="008A5C90"/>
    <w:rsid w:val="008A6A6A"/>
    <w:rsid w:val="008B0E80"/>
    <w:rsid w:val="008B650A"/>
    <w:rsid w:val="008B787C"/>
    <w:rsid w:val="008C3898"/>
    <w:rsid w:val="008C53E1"/>
    <w:rsid w:val="008C66CC"/>
    <w:rsid w:val="008D4DD7"/>
    <w:rsid w:val="008D7977"/>
    <w:rsid w:val="008E5143"/>
    <w:rsid w:val="008F2B58"/>
    <w:rsid w:val="008F483C"/>
    <w:rsid w:val="008F7E33"/>
    <w:rsid w:val="009046D4"/>
    <w:rsid w:val="009059A1"/>
    <w:rsid w:val="009108C5"/>
    <w:rsid w:val="00912D61"/>
    <w:rsid w:val="00914FB0"/>
    <w:rsid w:val="00915872"/>
    <w:rsid w:val="00920C9E"/>
    <w:rsid w:val="009239C8"/>
    <w:rsid w:val="00925DC3"/>
    <w:rsid w:val="00931599"/>
    <w:rsid w:val="009322D7"/>
    <w:rsid w:val="00932BDE"/>
    <w:rsid w:val="00933002"/>
    <w:rsid w:val="009357EC"/>
    <w:rsid w:val="00940B07"/>
    <w:rsid w:val="009528C1"/>
    <w:rsid w:val="00963127"/>
    <w:rsid w:val="00967725"/>
    <w:rsid w:val="00975E8B"/>
    <w:rsid w:val="00976555"/>
    <w:rsid w:val="00980338"/>
    <w:rsid w:val="00981D25"/>
    <w:rsid w:val="009902F8"/>
    <w:rsid w:val="00993BB8"/>
    <w:rsid w:val="0099555F"/>
    <w:rsid w:val="00997108"/>
    <w:rsid w:val="009A22A1"/>
    <w:rsid w:val="009A2E03"/>
    <w:rsid w:val="009B25F7"/>
    <w:rsid w:val="009B3A1B"/>
    <w:rsid w:val="009B6332"/>
    <w:rsid w:val="009C0912"/>
    <w:rsid w:val="009C1147"/>
    <w:rsid w:val="009C64DC"/>
    <w:rsid w:val="009D16C8"/>
    <w:rsid w:val="009D6694"/>
    <w:rsid w:val="009E0B3F"/>
    <w:rsid w:val="009E106C"/>
    <w:rsid w:val="009E5633"/>
    <w:rsid w:val="009E75F2"/>
    <w:rsid w:val="009F0300"/>
    <w:rsid w:val="00A11408"/>
    <w:rsid w:val="00A125CF"/>
    <w:rsid w:val="00A14404"/>
    <w:rsid w:val="00A167A8"/>
    <w:rsid w:val="00A21F0A"/>
    <w:rsid w:val="00A26011"/>
    <w:rsid w:val="00A31465"/>
    <w:rsid w:val="00A35E0B"/>
    <w:rsid w:val="00A36C08"/>
    <w:rsid w:val="00A506C2"/>
    <w:rsid w:val="00A57A50"/>
    <w:rsid w:val="00A57FB3"/>
    <w:rsid w:val="00A61CDC"/>
    <w:rsid w:val="00A62886"/>
    <w:rsid w:val="00A6453A"/>
    <w:rsid w:val="00A739C1"/>
    <w:rsid w:val="00A74C38"/>
    <w:rsid w:val="00A77D24"/>
    <w:rsid w:val="00A81AF7"/>
    <w:rsid w:val="00A83657"/>
    <w:rsid w:val="00A8527F"/>
    <w:rsid w:val="00A8572F"/>
    <w:rsid w:val="00A93E07"/>
    <w:rsid w:val="00A979CF"/>
    <w:rsid w:val="00AA4DF8"/>
    <w:rsid w:val="00AA526A"/>
    <w:rsid w:val="00AA60E7"/>
    <w:rsid w:val="00AA775B"/>
    <w:rsid w:val="00AA78B3"/>
    <w:rsid w:val="00AB780C"/>
    <w:rsid w:val="00AD2349"/>
    <w:rsid w:val="00AD53BF"/>
    <w:rsid w:val="00AD5ADE"/>
    <w:rsid w:val="00AD6F94"/>
    <w:rsid w:val="00AD7A09"/>
    <w:rsid w:val="00AE7138"/>
    <w:rsid w:val="00AF0798"/>
    <w:rsid w:val="00AF4CAF"/>
    <w:rsid w:val="00AF671D"/>
    <w:rsid w:val="00B117BA"/>
    <w:rsid w:val="00B20D87"/>
    <w:rsid w:val="00B2587A"/>
    <w:rsid w:val="00B424CF"/>
    <w:rsid w:val="00B43E7B"/>
    <w:rsid w:val="00B578AC"/>
    <w:rsid w:val="00B6433F"/>
    <w:rsid w:val="00B64CF5"/>
    <w:rsid w:val="00B71157"/>
    <w:rsid w:val="00B76C9B"/>
    <w:rsid w:val="00B823A1"/>
    <w:rsid w:val="00B8428B"/>
    <w:rsid w:val="00BA41F5"/>
    <w:rsid w:val="00BB16D7"/>
    <w:rsid w:val="00BB3AF8"/>
    <w:rsid w:val="00BB3C9C"/>
    <w:rsid w:val="00BB5733"/>
    <w:rsid w:val="00BB5DFE"/>
    <w:rsid w:val="00BD21F9"/>
    <w:rsid w:val="00BF069D"/>
    <w:rsid w:val="00BF4822"/>
    <w:rsid w:val="00C01D22"/>
    <w:rsid w:val="00C10297"/>
    <w:rsid w:val="00C104B6"/>
    <w:rsid w:val="00C10F02"/>
    <w:rsid w:val="00C114F4"/>
    <w:rsid w:val="00C11D03"/>
    <w:rsid w:val="00C220C3"/>
    <w:rsid w:val="00C31967"/>
    <w:rsid w:val="00C371DE"/>
    <w:rsid w:val="00C409AE"/>
    <w:rsid w:val="00C40AB8"/>
    <w:rsid w:val="00C42D50"/>
    <w:rsid w:val="00C51290"/>
    <w:rsid w:val="00C53611"/>
    <w:rsid w:val="00C54040"/>
    <w:rsid w:val="00C54DF8"/>
    <w:rsid w:val="00C60B49"/>
    <w:rsid w:val="00C62C23"/>
    <w:rsid w:val="00C64EE9"/>
    <w:rsid w:val="00C7440A"/>
    <w:rsid w:val="00C82AD9"/>
    <w:rsid w:val="00C865ED"/>
    <w:rsid w:val="00C8775A"/>
    <w:rsid w:val="00CA0877"/>
    <w:rsid w:val="00CA6B59"/>
    <w:rsid w:val="00CB3B6C"/>
    <w:rsid w:val="00CB4DDA"/>
    <w:rsid w:val="00CC1833"/>
    <w:rsid w:val="00CC189F"/>
    <w:rsid w:val="00CC2FDD"/>
    <w:rsid w:val="00CC3368"/>
    <w:rsid w:val="00CF19C4"/>
    <w:rsid w:val="00CF4EFC"/>
    <w:rsid w:val="00CF66F6"/>
    <w:rsid w:val="00D00A01"/>
    <w:rsid w:val="00D10174"/>
    <w:rsid w:val="00D13C04"/>
    <w:rsid w:val="00D17868"/>
    <w:rsid w:val="00D20A78"/>
    <w:rsid w:val="00D2225A"/>
    <w:rsid w:val="00D278BA"/>
    <w:rsid w:val="00D40454"/>
    <w:rsid w:val="00D4059C"/>
    <w:rsid w:val="00D53D8F"/>
    <w:rsid w:val="00D61C76"/>
    <w:rsid w:val="00D65677"/>
    <w:rsid w:val="00D66B99"/>
    <w:rsid w:val="00D74598"/>
    <w:rsid w:val="00D77015"/>
    <w:rsid w:val="00D876AB"/>
    <w:rsid w:val="00D92B48"/>
    <w:rsid w:val="00D94062"/>
    <w:rsid w:val="00D97992"/>
    <w:rsid w:val="00DB1693"/>
    <w:rsid w:val="00DB2075"/>
    <w:rsid w:val="00DB5BA9"/>
    <w:rsid w:val="00DC59A8"/>
    <w:rsid w:val="00DC7D31"/>
    <w:rsid w:val="00DD1520"/>
    <w:rsid w:val="00DD5B07"/>
    <w:rsid w:val="00DE55E3"/>
    <w:rsid w:val="00DE62E0"/>
    <w:rsid w:val="00DE6821"/>
    <w:rsid w:val="00DF2022"/>
    <w:rsid w:val="00DF34BE"/>
    <w:rsid w:val="00DF5D59"/>
    <w:rsid w:val="00DF6CF9"/>
    <w:rsid w:val="00E239E4"/>
    <w:rsid w:val="00E31258"/>
    <w:rsid w:val="00E35437"/>
    <w:rsid w:val="00E36A38"/>
    <w:rsid w:val="00E502E9"/>
    <w:rsid w:val="00E53399"/>
    <w:rsid w:val="00E5511F"/>
    <w:rsid w:val="00E55F46"/>
    <w:rsid w:val="00E64E3F"/>
    <w:rsid w:val="00E71695"/>
    <w:rsid w:val="00E77995"/>
    <w:rsid w:val="00E80CC4"/>
    <w:rsid w:val="00E87099"/>
    <w:rsid w:val="00E91B95"/>
    <w:rsid w:val="00E964A5"/>
    <w:rsid w:val="00EA28E6"/>
    <w:rsid w:val="00EA4539"/>
    <w:rsid w:val="00EB2391"/>
    <w:rsid w:val="00EB607B"/>
    <w:rsid w:val="00EB7032"/>
    <w:rsid w:val="00EC55DD"/>
    <w:rsid w:val="00ED4989"/>
    <w:rsid w:val="00EE070A"/>
    <w:rsid w:val="00EE0E82"/>
    <w:rsid w:val="00EE104F"/>
    <w:rsid w:val="00EF78C4"/>
    <w:rsid w:val="00F014EB"/>
    <w:rsid w:val="00F015CD"/>
    <w:rsid w:val="00F0433D"/>
    <w:rsid w:val="00F04CD7"/>
    <w:rsid w:val="00F04DFD"/>
    <w:rsid w:val="00F12C81"/>
    <w:rsid w:val="00F16C55"/>
    <w:rsid w:val="00F2356D"/>
    <w:rsid w:val="00F23E15"/>
    <w:rsid w:val="00F244A2"/>
    <w:rsid w:val="00F27AC4"/>
    <w:rsid w:val="00F30818"/>
    <w:rsid w:val="00F35064"/>
    <w:rsid w:val="00F374D8"/>
    <w:rsid w:val="00F37BC4"/>
    <w:rsid w:val="00F50B8A"/>
    <w:rsid w:val="00F5684D"/>
    <w:rsid w:val="00F57AB6"/>
    <w:rsid w:val="00F6480F"/>
    <w:rsid w:val="00F755F4"/>
    <w:rsid w:val="00F8037A"/>
    <w:rsid w:val="00F835F2"/>
    <w:rsid w:val="00F84608"/>
    <w:rsid w:val="00F86713"/>
    <w:rsid w:val="00F932E0"/>
    <w:rsid w:val="00F9486B"/>
    <w:rsid w:val="00FA2945"/>
    <w:rsid w:val="00FB35AF"/>
    <w:rsid w:val="00FB7701"/>
    <w:rsid w:val="00FC40F0"/>
    <w:rsid w:val="00FC6D3B"/>
    <w:rsid w:val="00FD0129"/>
    <w:rsid w:val="00FE1488"/>
    <w:rsid w:val="00FE17ED"/>
    <w:rsid w:val="00FE1AA2"/>
    <w:rsid w:val="00FE3C78"/>
    <w:rsid w:val="00FE42DF"/>
    <w:rsid w:val="00FE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5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styleId="Revision">
    <w:name w:val="Revision"/>
    <w:hidden/>
    <w:uiPriority w:val="99"/>
    <w:semiHidden/>
    <w:rsid w:val="007932C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paragraph" w:styleId="Revision">
    <w:name w:val="Revision"/>
    <w:hidden/>
    <w:uiPriority w:val="99"/>
    <w:semiHidden/>
    <w:rsid w:val="007932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917">
      <w:bodyDiv w:val="1"/>
      <w:marLeft w:val="0"/>
      <w:marRight w:val="0"/>
      <w:marTop w:val="0"/>
      <w:marBottom w:val="0"/>
      <w:divBdr>
        <w:top w:val="none" w:sz="0" w:space="0" w:color="auto"/>
        <w:left w:val="none" w:sz="0" w:space="0" w:color="auto"/>
        <w:bottom w:val="none" w:sz="0" w:space="0" w:color="auto"/>
        <w:right w:val="none" w:sz="0" w:space="0" w:color="auto"/>
      </w:divBdr>
    </w:div>
    <w:div w:id="431751824">
      <w:bodyDiv w:val="1"/>
      <w:marLeft w:val="0"/>
      <w:marRight w:val="0"/>
      <w:marTop w:val="0"/>
      <w:marBottom w:val="0"/>
      <w:divBdr>
        <w:top w:val="none" w:sz="0" w:space="0" w:color="auto"/>
        <w:left w:val="none" w:sz="0" w:space="0" w:color="auto"/>
        <w:bottom w:val="none" w:sz="0" w:space="0" w:color="auto"/>
        <w:right w:val="none" w:sz="0" w:space="0" w:color="auto"/>
      </w:divBdr>
    </w:div>
    <w:div w:id="621300863">
      <w:bodyDiv w:val="1"/>
      <w:marLeft w:val="75"/>
      <w:marRight w:val="75"/>
      <w:marTop w:val="75"/>
      <w:marBottom w:val="75"/>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699892048">
      <w:bodyDiv w:val="1"/>
      <w:marLeft w:val="0"/>
      <w:marRight w:val="0"/>
      <w:marTop w:val="0"/>
      <w:marBottom w:val="0"/>
      <w:divBdr>
        <w:top w:val="none" w:sz="0" w:space="0" w:color="auto"/>
        <w:left w:val="none" w:sz="0" w:space="0" w:color="auto"/>
        <w:bottom w:val="none" w:sz="0" w:space="0" w:color="auto"/>
        <w:right w:val="none" w:sz="0" w:space="0" w:color="auto"/>
      </w:divBdr>
    </w:div>
    <w:div w:id="1755012592">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80A41F3CFA95F3408F1D4B9CD435EFC7" ma:contentTypeVersion="31" ma:contentTypeDescription="" ma:contentTypeScope="" ma:versionID="44a0b8a1c6262f96183d957effb024ca">
  <xsd:schema xmlns:xsd="http://www.w3.org/2001/XMLSchema" xmlns:xs="http://www.w3.org/2001/XMLSchema" xmlns:p="http://schemas.microsoft.com/office/2006/metadata/properties" xmlns:ns1="http://schemas.microsoft.com/sharepoint/v3" xmlns:ns2="5e039acd-daf0-4ba3-b421-e9b9ae1a3620" xmlns:ns3="d550960a-6f7e-4dcc-a53d-cf174d7e9de3" targetNamespace="http://schemas.microsoft.com/office/2006/metadata/properties" ma:root="true" ma:fieldsID="8810737a1bae189c487faf26f71f0eb5" ns1:_="" ns2:_="" ns3:_="">
    <xsd:import namespace="http://schemas.microsoft.com/sharepoint/v3"/>
    <xsd:import namespace="5e039acd-daf0-4ba3-b421-e9b9ae1a3620"/>
    <xsd:import namespace="d550960a-6f7e-4dcc-a53d-cf174d7e9de3"/>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Folder" minOccurs="0"/>
                <xsd:element ref="ns3:Work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0960a-6f7e-4dcc-a53d-cf174d7e9de3" elementFormDefault="qualified">
    <xsd:import namespace="http://schemas.microsoft.com/office/2006/documentManagement/types"/>
    <xsd:import namespace="http://schemas.microsoft.com/office/infopath/2007/PartnerControls"/>
    <xsd:element name="Folder" ma:index="18" nillable="true" ma:displayName="Folder" ma:default="Administrative systems" ma:format="Dropdown" ma:internalName="Folder">
      <xsd:simpleType>
        <xsd:restriction base="dms:Choice">
          <xsd:enumeration value="Administrative systems"/>
          <xsd:enumeration value="Business"/>
          <xsd:enumeration value="International"/>
          <xsd:enumeration value="Law"/>
          <xsd:enumeration value="OECD"/>
          <xsd:enumeration value="Project"/>
          <xsd:enumeration value="Reporting"/>
          <xsd:enumeration value="Risk and compliance"/>
        </xsd:restriction>
      </xsd:simpleType>
    </xsd:element>
    <xsd:element name="Work_type" ma:index="19" ma:displayName="Work_type" ma:default="Drafting instructions" ma:format="Dropdown" ma:internalName="Work_type">
      <xsd:simpleType>
        <xsd:restriction base="dms:Choice">
          <xsd:enumeration value="Drafting instructions"/>
          <xsd:enumeration value="Legislation"/>
          <xsd:enumeration value="Explanatory Memorandum"/>
          <xsd:enumeration value="Bill"/>
          <xsd:enumeration value="Working Document"/>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2028-05-29T23:46:47+00:00</_dlc_ExpireDate>
    <_dlc_DocId xmlns="5e039acd-daf0-4ba3-b421-e9b9ae1a3620">5YHNKJZSV77T-3245-405</_dlc_DocId>
    <_dlc_DocIdUrl xmlns="5e039acd-daf0-4ba3-b421-e9b9ae1a3620">
      <Url>http://sharepoint/GASites/ITXCommunicationsExchange/_layouts/DocIdRedir.aspx?ID=5YHNKJZSV77T-3245-405</Url>
      <Description>5YHNKJZSV77T-3245-405</Description>
    </_dlc_DocIdUrl>
    <Folder xmlns="d550960a-6f7e-4dcc-a53d-cf174d7e9de3">Administrative systems</Folder>
    <Work_type xmlns="d550960a-6f7e-4dcc-a53d-cf174d7e9de3">Working Document</Work_typ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3.xml><?xml version="1.0" encoding="utf-8"?>
<ds:datastoreItem xmlns:ds="http://schemas.openxmlformats.org/officeDocument/2006/customXml" ds:itemID="{9092B523-521B-4F01-8DAB-0EC284B7888D}">
  <ds:schemaRefs>
    <ds:schemaRef ds:uri="office.server.policy"/>
  </ds:schemaRefs>
</ds:datastoreItem>
</file>

<file path=customXml/itemProps4.xml><?xml version="1.0" encoding="utf-8"?>
<ds:datastoreItem xmlns:ds="http://schemas.openxmlformats.org/officeDocument/2006/customXml" ds:itemID="{4FF6A54F-9BF6-4979-BD1D-381191405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d550960a-6f7e-4dcc-a53d-cf174d7e9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C9F5D-6A54-4B25-932C-33338BCEF8DF}">
  <ds:schemaRefs>
    <ds:schemaRef ds:uri="http://schemas.microsoft.com/sharepoint/events"/>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http://schemas.microsoft.com/sharepoint/v3"/>
    <ds:schemaRef ds:uri="d550960a-6f7e-4dcc-a53d-cf174d7e9de3"/>
  </ds:schemaRefs>
</ds:datastoreItem>
</file>

<file path=customXml/itemProps7.xml><?xml version="1.0" encoding="utf-8"?>
<ds:datastoreItem xmlns:ds="http://schemas.openxmlformats.org/officeDocument/2006/customXml" ds:itemID="{837FB2DF-7737-4B0B-B28F-1DE17127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Final explanatory statement 84-79(5)</vt:lpstr>
    </vt:vector>
  </TitlesOfParts>
  <Company>Australian Taxation Office</Company>
  <LinksUpToDate>false</LinksUpToDate>
  <CharactersWithSpaces>12461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84-79(5)</dc:title>
  <dc:creator>ubafu</dc:creator>
  <cp:lastModifiedBy>Ducat, Stuart</cp:lastModifiedBy>
  <cp:revision>2</cp:revision>
  <cp:lastPrinted>2018-05-25T03:20:00Z</cp:lastPrinted>
  <dcterms:created xsi:type="dcterms:W3CDTF">2018-06-06T06:23:00Z</dcterms:created>
  <dcterms:modified xsi:type="dcterms:W3CDTF">2018-06-06T06:23:00Z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0x010100A64679C44DADA04984EEB770C47918730080A41F3CFA95F3408F1D4B9CD435EFC7</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34c39806-5470-45fd-969e-f01670a1e958</vt:lpwstr>
  </property>
  <property fmtid="{D5CDD505-2E9C-101B-9397-08002B2CF9AE}" pid="6" name="TaxKeyword">
    <vt:lpwstr/>
  </property>
  <property fmtid="{D5CDD505-2E9C-101B-9397-08002B2CF9AE}" pid="7" name="Security Classification">
    <vt:lpwstr>1;#UNCLASSIFIED|1bbb598d-ed8e-4faa-b9b5-c952cc7313f8</vt:lpwstr>
  </property>
</Properties>
</file>