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8C5F1C" w:rsidRDefault="00FA6784" w:rsidP="0031358E">
      <w:pPr>
        <w:pStyle w:val="H3"/>
        <w:spacing w:before="0" w:after="0"/>
        <w:jc w:val="center"/>
        <w:rPr>
          <w:sz w:val="24"/>
          <w:szCs w:val="24"/>
        </w:rPr>
      </w:pPr>
      <w:bookmarkStart w:id="0" w:name="_GoBack"/>
      <w:bookmarkEnd w:id="0"/>
      <w:r w:rsidRPr="008C5F1C">
        <w:rPr>
          <w:sz w:val="24"/>
          <w:szCs w:val="24"/>
        </w:rPr>
        <w:t>EXPLANATORY STATEMENT</w:t>
      </w:r>
    </w:p>
    <w:p w14:paraId="2412D120" w14:textId="77777777" w:rsidR="00FA6784" w:rsidRPr="008C5F1C" w:rsidRDefault="00FA6784" w:rsidP="0031358E">
      <w:pPr>
        <w:jc w:val="center"/>
        <w:rPr>
          <w:sz w:val="22"/>
          <w:szCs w:val="22"/>
        </w:rPr>
      </w:pPr>
    </w:p>
    <w:p w14:paraId="2412D121" w14:textId="77777777" w:rsidR="00FA6784" w:rsidRPr="008C5F1C" w:rsidRDefault="00FA6784" w:rsidP="0031358E">
      <w:pPr>
        <w:jc w:val="center"/>
      </w:pPr>
      <w:r w:rsidRPr="008C5F1C">
        <w:t>Issued by the Authority of the Minister for Health</w:t>
      </w:r>
    </w:p>
    <w:p w14:paraId="2412D122" w14:textId="77777777" w:rsidR="00FA6784" w:rsidRPr="008C5F1C" w:rsidRDefault="00FA6784" w:rsidP="0031358E">
      <w:pPr>
        <w:jc w:val="center"/>
        <w:rPr>
          <w:i/>
          <w:iCs/>
          <w:sz w:val="20"/>
        </w:rPr>
      </w:pPr>
    </w:p>
    <w:p w14:paraId="2412D123" w14:textId="77777777" w:rsidR="00FA6784" w:rsidRPr="008C5F1C" w:rsidRDefault="00FA6784" w:rsidP="0031358E">
      <w:pPr>
        <w:jc w:val="center"/>
        <w:rPr>
          <w:i/>
          <w:iCs/>
        </w:rPr>
      </w:pPr>
      <w:r w:rsidRPr="008C5F1C">
        <w:rPr>
          <w:i/>
          <w:iCs/>
        </w:rPr>
        <w:t>Health Insurance Act 1973</w:t>
      </w:r>
    </w:p>
    <w:p w14:paraId="2412D124" w14:textId="77777777" w:rsidR="00A1739A" w:rsidRPr="007A5FEC" w:rsidRDefault="00A1739A" w:rsidP="0031358E">
      <w:pPr>
        <w:rPr>
          <w:szCs w:val="24"/>
          <w:highlight w:val="yellow"/>
          <w:u w:val="single"/>
        </w:rPr>
      </w:pPr>
    </w:p>
    <w:p w14:paraId="1CCD3BD9" w14:textId="7814F151" w:rsidR="004C4A6E" w:rsidRDefault="00D9018E" w:rsidP="0031358E">
      <w:pPr>
        <w:jc w:val="center"/>
        <w:rPr>
          <w:i/>
          <w:szCs w:val="24"/>
        </w:rPr>
      </w:pPr>
      <w:r w:rsidRPr="00D9018E">
        <w:rPr>
          <w:i/>
          <w:szCs w:val="24"/>
        </w:rPr>
        <w:t>Health Insurance (Section 3C General Medical Services – Mechanical Thrombectomy) Revocation Determination 2018</w:t>
      </w:r>
    </w:p>
    <w:p w14:paraId="567AAEFB" w14:textId="77777777" w:rsidR="00D9018E" w:rsidRPr="00C165AD" w:rsidRDefault="00D9018E" w:rsidP="0031358E">
      <w:pPr>
        <w:rPr>
          <w:szCs w:val="24"/>
        </w:rPr>
      </w:pPr>
    </w:p>
    <w:p w14:paraId="7CEBD637" w14:textId="7E85F356" w:rsidR="00C165AD" w:rsidRPr="00C165AD" w:rsidRDefault="00C165AD" w:rsidP="0031358E">
      <w:pPr>
        <w:rPr>
          <w:b/>
          <w:szCs w:val="24"/>
        </w:rPr>
      </w:pPr>
      <w:r w:rsidRPr="00C165AD">
        <w:rPr>
          <w:b/>
          <w:szCs w:val="24"/>
        </w:rPr>
        <w:t>Authority</w:t>
      </w:r>
    </w:p>
    <w:p w14:paraId="6A0697A1" w14:textId="25293DB2" w:rsidR="004C6AE7" w:rsidRPr="00C84DDE" w:rsidRDefault="004C6AE7" w:rsidP="0031358E">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C5F1C">
        <w:rPr>
          <w:color w:val="000000"/>
          <w:shd w:val="clear" w:color="auto" w:fill="FFFFFF"/>
        </w:rPr>
        <w:t xml:space="preserve">Subsection 3C(1) of the </w:t>
      </w:r>
      <w:r w:rsidRPr="00901180">
        <w:rPr>
          <w:i/>
          <w:color w:val="000000"/>
          <w:shd w:val="clear" w:color="auto" w:fill="FFFFFF"/>
        </w:rPr>
        <w:t>Health Insurance Act 1973</w:t>
      </w:r>
      <w:r w:rsidRPr="008C5F1C">
        <w:rPr>
          <w:color w:val="000000"/>
          <w:shd w:val="clear" w:color="auto" w:fill="FFFFFF"/>
        </w:rPr>
        <w:t xml:space="preserve"> (the Act) provides that the Minister may, by </w:t>
      </w:r>
      <w:r w:rsidR="000A2BF6">
        <w:rPr>
          <w:color w:val="000000"/>
          <w:shd w:val="clear" w:color="auto" w:fill="FFFFFF"/>
        </w:rPr>
        <w:t>legislative instrument</w:t>
      </w:r>
      <w:r w:rsidRPr="008C5F1C">
        <w:rPr>
          <w:color w:val="000000"/>
          <w:shd w:val="clear" w:color="auto" w:fill="FFFFFF"/>
        </w:rPr>
        <w:t xml:space="preserve">, determine that a health service not specified in an item in the general medical services table (the Table) shall, in specified circumstances and for specified statutory provisions, be treated as if it were specified in the Table. </w:t>
      </w:r>
      <w:r w:rsidRPr="00C84DDE">
        <w:t>The Table is set out in the regulations made under subsection 4(1) of the Act</w:t>
      </w:r>
      <w:r w:rsidRPr="00FB59A1">
        <w:t>.</w:t>
      </w:r>
    </w:p>
    <w:p w14:paraId="2412D129" w14:textId="77777777" w:rsidR="008C5F1C" w:rsidRPr="007A5FEC" w:rsidRDefault="008C5F1C" w:rsidP="0031358E">
      <w:pPr>
        <w:autoSpaceDE w:val="0"/>
        <w:autoSpaceDN w:val="0"/>
        <w:adjustRightInd w:val="0"/>
        <w:rPr>
          <w:szCs w:val="24"/>
          <w:highlight w:val="yellow"/>
        </w:rPr>
      </w:pPr>
    </w:p>
    <w:p w14:paraId="0BD67E12" w14:textId="62075DD0" w:rsidR="00092405" w:rsidRPr="00092405" w:rsidRDefault="00092405" w:rsidP="0031358E">
      <w:pPr>
        <w:rPr>
          <w:b/>
          <w:bCs/>
        </w:rPr>
      </w:pPr>
      <w:r w:rsidRPr="00092405">
        <w:rPr>
          <w:b/>
          <w:bCs/>
        </w:rPr>
        <w:t>Purpose</w:t>
      </w:r>
    </w:p>
    <w:p w14:paraId="07849C01" w14:textId="068D8AFB" w:rsidR="00092405" w:rsidRDefault="00092405" w:rsidP="0031358E">
      <w:pPr>
        <w:rPr>
          <w:bCs/>
          <w:i/>
        </w:rPr>
      </w:pPr>
      <w:r>
        <w:rPr>
          <w:bCs/>
        </w:rPr>
        <w:t xml:space="preserve">The purpose of the </w:t>
      </w:r>
      <w:r w:rsidR="00D9018E" w:rsidRPr="00D9018E">
        <w:rPr>
          <w:i/>
          <w:szCs w:val="24"/>
        </w:rPr>
        <w:t>Health Insurance (Section 3C General Medical Services – Mechanical Thrombectomy) Revocation Determination 2018</w:t>
      </w:r>
      <w:r>
        <w:rPr>
          <w:i/>
          <w:szCs w:val="24"/>
        </w:rPr>
        <w:t xml:space="preserve"> </w:t>
      </w:r>
      <w:r>
        <w:rPr>
          <w:szCs w:val="24"/>
        </w:rPr>
        <w:t xml:space="preserve">(the Determination) is to revoke the </w:t>
      </w:r>
      <w:r w:rsidR="00D9018E" w:rsidRPr="00D9018E">
        <w:rPr>
          <w:bCs/>
          <w:i/>
        </w:rPr>
        <w:t>Health Insurance (Section 3C General Medical Services – Mechanical Thrombectomy) Determination 2017</w:t>
      </w:r>
      <w:r>
        <w:rPr>
          <w:bCs/>
          <w:i/>
        </w:rPr>
        <w:t>.</w:t>
      </w:r>
    </w:p>
    <w:p w14:paraId="7F197A4C" w14:textId="77777777" w:rsidR="00D9018E" w:rsidRDefault="00D9018E" w:rsidP="0031358E">
      <w:pPr>
        <w:rPr>
          <w:bCs/>
          <w:i/>
        </w:rPr>
      </w:pPr>
    </w:p>
    <w:p w14:paraId="0F75C1E1" w14:textId="5B18E7BC" w:rsidR="00D9018E" w:rsidRPr="00D9018E" w:rsidRDefault="00424A94" w:rsidP="0031358E">
      <w:pPr>
        <w:rPr>
          <w:bCs/>
        </w:rPr>
      </w:pPr>
      <w:r>
        <w:rPr>
          <w:bCs/>
        </w:rPr>
        <w:t>The service is</w:t>
      </w:r>
      <w:r w:rsidR="00D9018E">
        <w:rPr>
          <w:bCs/>
        </w:rPr>
        <w:t xml:space="preserve"> currently in the </w:t>
      </w:r>
      <w:r w:rsidR="00D9018E" w:rsidRPr="00D9018E">
        <w:rPr>
          <w:bCs/>
          <w:i/>
        </w:rPr>
        <w:t>Health Insurance (Section 3C General Medical Services – Mechanical Thrombectomy) Determination 2017</w:t>
      </w:r>
      <w:r w:rsidR="00D9018E">
        <w:rPr>
          <w:bCs/>
          <w:i/>
        </w:rPr>
        <w:t xml:space="preserve">. </w:t>
      </w:r>
      <w:r w:rsidR="00D9018E">
        <w:rPr>
          <w:bCs/>
        </w:rPr>
        <w:t xml:space="preserve">The </w:t>
      </w:r>
      <w:r w:rsidR="00D9018E" w:rsidRPr="00D9018E">
        <w:rPr>
          <w:bCs/>
        </w:rPr>
        <w:t xml:space="preserve">mechanical thrombectomy </w:t>
      </w:r>
      <w:r w:rsidR="00D9018E">
        <w:rPr>
          <w:bCs/>
        </w:rPr>
        <w:t xml:space="preserve">service aims to </w:t>
      </w:r>
      <w:r w:rsidR="00D9018E" w:rsidRPr="00001CC8">
        <w:rPr>
          <w:szCs w:val="24"/>
          <w:lang w:eastAsia="en-US"/>
        </w:rPr>
        <w:t>restore blood flow to the brain by using a device to remove blood clots</w:t>
      </w:r>
      <w:r w:rsidR="00D9018E">
        <w:rPr>
          <w:szCs w:val="24"/>
          <w:lang w:eastAsia="en-US"/>
        </w:rPr>
        <w:t>.</w:t>
      </w:r>
    </w:p>
    <w:p w14:paraId="74DF9CE8" w14:textId="77777777" w:rsidR="00092405" w:rsidRPr="00092405" w:rsidRDefault="00092405" w:rsidP="0031358E">
      <w:pPr>
        <w:rPr>
          <w:bCs/>
        </w:rPr>
      </w:pPr>
    </w:p>
    <w:p w14:paraId="3168F48C" w14:textId="6289852A" w:rsidR="00421D29" w:rsidRDefault="00CB41CF" w:rsidP="0031358E">
      <w:r>
        <w:rPr>
          <w:szCs w:val="24"/>
        </w:rPr>
        <w:t xml:space="preserve">From 1 July 2018, </w:t>
      </w:r>
      <w:r w:rsidR="00424A94">
        <w:rPr>
          <w:szCs w:val="24"/>
        </w:rPr>
        <w:t>the service</w:t>
      </w:r>
      <w:r>
        <w:rPr>
          <w:szCs w:val="24"/>
        </w:rPr>
        <w:t xml:space="preserve"> will be moved to the </w:t>
      </w:r>
      <w:r w:rsidR="00D9018E" w:rsidRPr="00800271">
        <w:rPr>
          <w:i/>
        </w:rPr>
        <w:t>Health Insurance (General Medical Services Table) Regulations 201</w:t>
      </w:r>
      <w:r w:rsidR="00D9018E">
        <w:rPr>
          <w:i/>
        </w:rPr>
        <w:t>8.</w:t>
      </w:r>
      <w:r>
        <w:rPr>
          <w:i/>
        </w:rPr>
        <w:t xml:space="preserve"> </w:t>
      </w:r>
      <w:r>
        <w:t xml:space="preserve">This change is administrative only, and there will be no change to the </w:t>
      </w:r>
      <w:r w:rsidR="00421D29">
        <w:t xml:space="preserve">item </w:t>
      </w:r>
      <w:r>
        <w:t xml:space="preserve">requirements for patients or providers. </w:t>
      </w:r>
    </w:p>
    <w:p w14:paraId="4E728857" w14:textId="77777777" w:rsidR="00421D29" w:rsidRDefault="00421D29" w:rsidP="0031358E"/>
    <w:p w14:paraId="431BEF9D" w14:textId="46C1CE6E" w:rsidR="00457F24" w:rsidRPr="00457F24" w:rsidRDefault="00CB41CF" w:rsidP="0031358E">
      <w:pPr>
        <w:rPr>
          <w:szCs w:val="24"/>
        </w:rPr>
      </w:pPr>
      <w:r>
        <w:t xml:space="preserve">The </w:t>
      </w:r>
      <w:r w:rsidRPr="00D9018E">
        <w:rPr>
          <w:bCs/>
          <w:i/>
        </w:rPr>
        <w:t>Health Insurance (Section 3C General Medical Services – Mechanical Thrombectomy) Determination 2017</w:t>
      </w:r>
      <w:r>
        <w:rPr>
          <w:bCs/>
        </w:rPr>
        <w:t xml:space="preserve"> will become redundant when the </w:t>
      </w:r>
      <w:r w:rsidRPr="00800271">
        <w:rPr>
          <w:i/>
        </w:rPr>
        <w:t>Health Insurance (General Medical Services Table) Regulations 201</w:t>
      </w:r>
      <w:r>
        <w:rPr>
          <w:i/>
        </w:rPr>
        <w:t xml:space="preserve">8 </w:t>
      </w:r>
      <w:r>
        <w:t>commences</w:t>
      </w:r>
      <w:r w:rsidR="00421D29">
        <w:t xml:space="preserve"> from 1 July 2018</w:t>
      </w:r>
      <w:r>
        <w:t>.</w:t>
      </w:r>
      <w:r w:rsidR="00421D29">
        <w:t xml:space="preserve"> Following this commencement, t</w:t>
      </w:r>
      <w:r w:rsidR="00457F24">
        <w:rPr>
          <w:szCs w:val="24"/>
        </w:rPr>
        <w:t xml:space="preserve">his Determination will </w:t>
      </w:r>
      <w:r w:rsidR="00421D29">
        <w:rPr>
          <w:szCs w:val="24"/>
        </w:rPr>
        <w:t>revoke</w:t>
      </w:r>
      <w:r w:rsidR="00457F24">
        <w:rPr>
          <w:szCs w:val="24"/>
        </w:rPr>
        <w:t xml:space="preserve"> the </w:t>
      </w:r>
      <w:r w:rsidR="00D9018E" w:rsidRPr="00D9018E">
        <w:rPr>
          <w:bCs/>
          <w:i/>
        </w:rPr>
        <w:t>Health Insurance (Section 3C General Medical Services – Mechanical Thrombectomy) Determination 2017</w:t>
      </w:r>
      <w:r w:rsidR="00457F24">
        <w:rPr>
          <w:i/>
          <w:szCs w:val="24"/>
        </w:rPr>
        <w:t>.</w:t>
      </w:r>
    </w:p>
    <w:p w14:paraId="11368D56" w14:textId="77777777" w:rsidR="00097FEB" w:rsidRDefault="00097FEB" w:rsidP="0031358E">
      <w:pPr>
        <w:rPr>
          <w:b/>
        </w:rPr>
      </w:pPr>
    </w:p>
    <w:p w14:paraId="2412D131" w14:textId="0B521E5C" w:rsidR="001865F8" w:rsidRPr="00E92248" w:rsidRDefault="00A1739A" w:rsidP="0031358E">
      <w:pPr>
        <w:rPr>
          <w:b/>
        </w:rPr>
      </w:pPr>
      <w:r w:rsidRPr="00E92248">
        <w:rPr>
          <w:b/>
        </w:rPr>
        <w:t>Consultation</w:t>
      </w:r>
    </w:p>
    <w:p w14:paraId="194FA0E8" w14:textId="5A1FCBBF" w:rsidR="00395455" w:rsidRDefault="00395455" w:rsidP="0031358E">
      <w:pPr>
        <w:rPr>
          <w:szCs w:val="24"/>
        </w:rPr>
      </w:pPr>
      <w:r w:rsidRPr="00395455">
        <w:rPr>
          <w:szCs w:val="24"/>
        </w:rPr>
        <w:t>No consultation was undertaken for this</w:t>
      </w:r>
      <w:r>
        <w:rPr>
          <w:szCs w:val="24"/>
        </w:rPr>
        <w:t xml:space="preserve"> Determination as it is machinery in nature.</w:t>
      </w:r>
    </w:p>
    <w:p w14:paraId="7C455988" w14:textId="77777777" w:rsidR="0031358E" w:rsidRDefault="0031358E" w:rsidP="0031358E">
      <w:pPr>
        <w:tabs>
          <w:tab w:val="left" w:pos="567"/>
        </w:tabs>
        <w:rPr>
          <w:szCs w:val="24"/>
        </w:rPr>
      </w:pPr>
    </w:p>
    <w:p w14:paraId="2B514BA3" w14:textId="68CF859A" w:rsidR="0031358E" w:rsidRPr="0031358E" w:rsidRDefault="0031358E" w:rsidP="0031358E">
      <w:pPr>
        <w:tabs>
          <w:tab w:val="left" w:pos="567"/>
        </w:tabs>
        <w:rPr>
          <w:b/>
          <w:szCs w:val="24"/>
        </w:rPr>
      </w:pPr>
      <w:r w:rsidRPr="0031358E">
        <w:rPr>
          <w:b/>
          <w:szCs w:val="24"/>
        </w:rPr>
        <w:t xml:space="preserve">Commencement </w:t>
      </w:r>
    </w:p>
    <w:p w14:paraId="2412D135" w14:textId="44FDD6A0" w:rsidR="006C138D" w:rsidRPr="00E5798A" w:rsidRDefault="00297AD0" w:rsidP="0031358E">
      <w:pPr>
        <w:tabs>
          <w:tab w:val="left" w:pos="567"/>
        </w:tabs>
        <w:rPr>
          <w:szCs w:val="24"/>
        </w:rPr>
      </w:pPr>
      <w:r w:rsidRPr="00E5798A">
        <w:rPr>
          <w:szCs w:val="24"/>
        </w:rPr>
        <w:t xml:space="preserve">The </w:t>
      </w:r>
      <w:r w:rsidR="00967E51" w:rsidRPr="00E5798A">
        <w:rPr>
          <w:szCs w:val="24"/>
        </w:rPr>
        <w:t>Determination</w:t>
      </w:r>
      <w:r w:rsidRPr="00E5798A">
        <w:rPr>
          <w:szCs w:val="24"/>
        </w:rPr>
        <w:t xml:space="preserve"> </w:t>
      </w:r>
      <w:r w:rsidR="001B7092">
        <w:rPr>
          <w:szCs w:val="24"/>
        </w:rPr>
        <w:t>commences</w:t>
      </w:r>
      <w:r w:rsidR="009F4E1B">
        <w:rPr>
          <w:szCs w:val="24"/>
        </w:rPr>
        <w:t xml:space="preserve"> immediately</w:t>
      </w:r>
      <w:r w:rsidR="006C138D" w:rsidRPr="00E5798A">
        <w:rPr>
          <w:szCs w:val="24"/>
        </w:rPr>
        <w:t xml:space="preserve"> </w:t>
      </w:r>
      <w:r w:rsidR="00CC443C">
        <w:rPr>
          <w:szCs w:val="24"/>
        </w:rPr>
        <w:t xml:space="preserve">after the commencement of the </w:t>
      </w:r>
      <w:r w:rsidR="00D9018E" w:rsidRPr="00800271">
        <w:rPr>
          <w:i/>
        </w:rPr>
        <w:t>Health Insurance (General Medical Services Table) Regulations 201</w:t>
      </w:r>
      <w:r w:rsidR="00D9018E">
        <w:rPr>
          <w:i/>
        </w:rPr>
        <w:t>8</w:t>
      </w:r>
      <w:r w:rsidR="006C138D" w:rsidRPr="00E5798A">
        <w:rPr>
          <w:szCs w:val="24"/>
        </w:rPr>
        <w:t>.</w:t>
      </w:r>
    </w:p>
    <w:p w14:paraId="2412D136" w14:textId="77777777" w:rsidR="00236DF2" w:rsidRPr="00E5798A" w:rsidRDefault="00236DF2" w:rsidP="0031358E">
      <w:pPr>
        <w:rPr>
          <w:szCs w:val="24"/>
        </w:rPr>
      </w:pPr>
    </w:p>
    <w:p w14:paraId="2412D137" w14:textId="55E68785" w:rsidR="00574E71" w:rsidRDefault="00574E71" w:rsidP="0031358E">
      <w:pPr>
        <w:rPr>
          <w:szCs w:val="24"/>
        </w:rPr>
      </w:pPr>
      <w:r w:rsidRPr="00E5798A">
        <w:rPr>
          <w:szCs w:val="24"/>
        </w:rPr>
        <w:t xml:space="preserve">The Determination is </w:t>
      </w:r>
      <w:r w:rsidR="001E3D77">
        <w:rPr>
          <w:szCs w:val="24"/>
        </w:rPr>
        <w:t xml:space="preserve">a </w:t>
      </w:r>
      <w:r w:rsidRPr="00E5798A">
        <w:rPr>
          <w:szCs w:val="24"/>
        </w:rPr>
        <w:t xml:space="preserve">legislative instrument for the purposes of the </w:t>
      </w:r>
      <w:r w:rsidRPr="00E5798A">
        <w:rPr>
          <w:szCs w:val="24"/>
        </w:rPr>
        <w:br/>
      </w:r>
      <w:r w:rsidRPr="00E5798A">
        <w:rPr>
          <w:i/>
        </w:rPr>
        <w:t>Legislation Act 2003</w:t>
      </w:r>
      <w:r w:rsidRPr="00E5798A">
        <w:rPr>
          <w:szCs w:val="24"/>
        </w:rPr>
        <w:t>.</w:t>
      </w:r>
    </w:p>
    <w:p w14:paraId="0B88A887" w14:textId="77777777" w:rsidR="0031358E" w:rsidRDefault="0031358E" w:rsidP="0031358E">
      <w:pPr>
        <w:rPr>
          <w:szCs w:val="24"/>
        </w:rPr>
      </w:pPr>
    </w:p>
    <w:p w14:paraId="25C61CBB" w14:textId="77777777" w:rsidR="009E1364" w:rsidRDefault="009E1364">
      <w:pPr>
        <w:spacing w:after="200" w:line="276" w:lineRule="auto"/>
        <w:rPr>
          <w:b/>
          <w:szCs w:val="24"/>
        </w:rPr>
      </w:pPr>
      <w:r>
        <w:rPr>
          <w:b/>
          <w:szCs w:val="24"/>
        </w:rPr>
        <w:br w:type="page"/>
      </w:r>
    </w:p>
    <w:p w14:paraId="14B5E8BC" w14:textId="141932FF" w:rsidR="0031358E" w:rsidRDefault="0031358E" w:rsidP="0031358E">
      <w:pPr>
        <w:rPr>
          <w:szCs w:val="24"/>
        </w:rPr>
      </w:pPr>
      <w:r w:rsidRPr="0031358E">
        <w:rPr>
          <w:b/>
          <w:szCs w:val="24"/>
        </w:rPr>
        <w:lastRenderedPageBreak/>
        <w:t>Reliance on subsection 33(3) of the</w:t>
      </w:r>
      <w:r>
        <w:rPr>
          <w:szCs w:val="24"/>
        </w:rPr>
        <w:t xml:space="preserve"> </w:t>
      </w:r>
      <w:r w:rsidRPr="0031358E">
        <w:rPr>
          <w:b/>
          <w:i/>
          <w:szCs w:val="24"/>
        </w:rPr>
        <w:t>Acts Interpretation Act 1901</w:t>
      </w:r>
    </w:p>
    <w:p w14:paraId="2412D13C" w14:textId="0B55531A" w:rsidR="00C165AD" w:rsidRPr="00BA575D" w:rsidRDefault="0031358E" w:rsidP="0031358E">
      <w:pPr>
        <w:rPr>
          <w:szCs w:val="24"/>
          <w:highlight w:val="yellow"/>
        </w:rPr>
      </w:pPr>
      <w:r w:rsidRPr="0031358E">
        <w:rPr>
          <w:szCs w:val="24"/>
        </w:rPr>
        <w:t xml:space="preserve">Under subsection 33(3) of the Acts </w:t>
      </w:r>
      <w:r w:rsidRPr="00BA575D">
        <w:rPr>
          <w:i/>
          <w:szCs w:val="24"/>
        </w:rPr>
        <w:t>Interpretation Act 1901</w:t>
      </w:r>
      <w:r w:rsidR="00BA575D">
        <w:rPr>
          <w:i/>
          <w:szCs w:val="24"/>
        </w:rPr>
        <w:t xml:space="preserve"> (the AI Act)</w:t>
      </w:r>
      <w:r>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r w:rsidR="00BA575D">
        <w:rPr>
          <w:szCs w:val="24"/>
        </w:rPr>
        <w:t xml:space="preserve"> The power to revoke the </w:t>
      </w:r>
      <w:r w:rsidR="00BA575D" w:rsidRPr="00D9018E">
        <w:rPr>
          <w:bCs/>
          <w:i/>
        </w:rPr>
        <w:t>Health Insurance (Section 3C General Medical Services – Mechanical Thrombectomy) Determination 2017</w:t>
      </w:r>
      <w:r w:rsidR="00BA575D">
        <w:rPr>
          <w:bCs/>
        </w:rPr>
        <w:t xml:space="preserve"> relies on subsection 33(3) of the AI Act.</w:t>
      </w:r>
    </w:p>
    <w:p w14:paraId="729F092C" w14:textId="77777777" w:rsidR="0031358E" w:rsidRPr="0031358E" w:rsidRDefault="0031358E" w:rsidP="0031358E">
      <w:pPr>
        <w:rPr>
          <w:szCs w:val="24"/>
          <w:highlight w:val="yellow"/>
        </w:rPr>
      </w:pPr>
    </w:p>
    <w:p w14:paraId="4A401FF7" w14:textId="77777777" w:rsidR="0031358E" w:rsidRPr="00E5798A" w:rsidRDefault="0031358E" w:rsidP="0031358E">
      <w:pPr>
        <w:rPr>
          <w:szCs w:val="24"/>
        </w:rPr>
      </w:pPr>
      <w:r w:rsidRPr="00E5798A">
        <w:rPr>
          <w:szCs w:val="24"/>
        </w:rPr>
        <w:t xml:space="preserve">Details of the Determination are set out in the </w:t>
      </w:r>
      <w:r w:rsidRPr="00E5798A">
        <w:rPr>
          <w:szCs w:val="24"/>
          <w:u w:val="single"/>
        </w:rPr>
        <w:t>Attachment</w:t>
      </w:r>
      <w:r w:rsidRPr="00E5798A">
        <w:rPr>
          <w:szCs w:val="24"/>
        </w:rPr>
        <w:t>.</w:t>
      </w:r>
    </w:p>
    <w:p w14:paraId="549BAB05" w14:textId="77777777" w:rsidR="00C165AD" w:rsidRDefault="00C165AD">
      <w:pPr>
        <w:spacing w:after="200" w:line="276" w:lineRule="auto"/>
        <w:rPr>
          <w:szCs w:val="24"/>
          <w:u w:val="single"/>
        </w:rPr>
      </w:pPr>
    </w:p>
    <w:p w14:paraId="72FCB116" w14:textId="632283C3" w:rsidR="00C165AD" w:rsidRDefault="00C165AD">
      <w:pPr>
        <w:spacing w:after="200" w:line="276" w:lineRule="auto"/>
        <w:rPr>
          <w:szCs w:val="24"/>
          <w:u w:val="single"/>
        </w:rPr>
      </w:pPr>
      <w:r>
        <w:rPr>
          <w:szCs w:val="24"/>
          <w:u w:val="single"/>
        </w:rPr>
        <w:br w:type="page"/>
      </w:r>
    </w:p>
    <w:p w14:paraId="2412D13D" w14:textId="77777777" w:rsidR="006D5816" w:rsidRPr="00E5798A" w:rsidRDefault="006D5816" w:rsidP="000337CB">
      <w:pPr>
        <w:pStyle w:val="BodyText"/>
        <w:jc w:val="right"/>
        <w:rPr>
          <w:szCs w:val="24"/>
        </w:rPr>
      </w:pPr>
      <w:r w:rsidRPr="00E5798A">
        <w:rPr>
          <w:szCs w:val="24"/>
        </w:rPr>
        <w:lastRenderedPageBreak/>
        <w:t>ATTACHMENT</w:t>
      </w:r>
    </w:p>
    <w:p w14:paraId="2412D13E" w14:textId="77777777" w:rsidR="006D5816" w:rsidRPr="00E5798A" w:rsidRDefault="006D5816" w:rsidP="000337CB">
      <w:pPr>
        <w:pStyle w:val="BodyText"/>
        <w:rPr>
          <w:szCs w:val="24"/>
          <w:u w:val="single"/>
        </w:rPr>
      </w:pPr>
    </w:p>
    <w:p w14:paraId="156CE9CE" w14:textId="7069236B" w:rsidR="00141323" w:rsidRPr="00141323" w:rsidRDefault="00A41364" w:rsidP="00141323">
      <w:pPr>
        <w:pStyle w:val="BodyText"/>
        <w:rPr>
          <w:i/>
          <w:szCs w:val="24"/>
        </w:rPr>
      </w:pPr>
      <w:r w:rsidRPr="00E5798A">
        <w:rPr>
          <w:szCs w:val="24"/>
        </w:rPr>
        <w:t xml:space="preserve">Details of the </w:t>
      </w:r>
      <w:r w:rsidR="00CE4AE5" w:rsidRPr="00D9018E">
        <w:rPr>
          <w:i/>
          <w:szCs w:val="24"/>
        </w:rPr>
        <w:t>Health Insurance (Section 3C General Medical Services – Mechanical Thrombectomy) Revocation Determination 2018</w:t>
      </w:r>
    </w:p>
    <w:p w14:paraId="4B12A847" w14:textId="6B28C07A" w:rsidR="00E5798A" w:rsidRPr="00E5798A" w:rsidRDefault="00E5798A" w:rsidP="000337CB">
      <w:pPr>
        <w:pStyle w:val="BodyText"/>
        <w:rPr>
          <w:b w:val="0"/>
          <w:i/>
          <w:szCs w:val="24"/>
        </w:rPr>
      </w:pPr>
    </w:p>
    <w:p w14:paraId="2412D141" w14:textId="77777777" w:rsidR="00FE02C2" w:rsidRPr="00E5798A" w:rsidRDefault="001B0111" w:rsidP="000337CB">
      <w:pPr>
        <w:pStyle w:val="BodyText"/>
        <w:rPr>
          <w:b w:val="0"/>
          <w:szCs w:val="24"/>
          <w:u w:val="single"/>
        </w:rPr>
      </w:pPr>
      <w:r w:rsidRPr="00E5798A">
        <w:rPr>
          <w:b w:val="0"/>
          <w:szCs w:val="24"/>
          <w:u w:val="single"/>
        </w:rPr>
        <w:t>Section 1 – Name</w:t>
      </w:r>
      <w:r w:rsidR="00967E51" w:rsidRPr="00E5798A">
        <w:rPr>
          <w:b w:val="0"/>
          <w:szCs w:val="24"/>
          <w:u w:val="single"/>
        </w:rPr>
        <w:t xml:space="preserve"> of Determination</w:t>
      </w:r>
    </w:p>
    <w:p w14:paraId="2412D142" w14:textId="77777777" w:rsidR="00FE02C2" w:rsidRPr="00E5798A" w:rsidRDefault="00FE02C2" w:rsidP="000337CB">
      <w:pPr>
        <w:pStyle w:val="BodyText"/>
        <w:rPr>
          <w:b w:val="0"/>
          <w:szCs w:val="24"/>
          <w:u w:val="single"/>
        </w:rPr>
      </w:pPr>
    </w:p>
    <w:p w14:paraId="2412D143" w14:textId="3E111BCB" w:rsidR="00967E51" w:rsidRPr="00CE4AE5" w:rsidRDefault="00BC7397" w:rsidP="00F83B6F">
      <w:pPr>
        <w:pStyle w:val="Heading1"/>
        <w:jc w:val="left"/>
        <w:rPr>
          <w:b w:val="0"/>
          <w:i/>
          <w:szCs w:val="24"/>
          <w:u w:val="none"/>
        </w:rPr>
      </w:pPr>
      <w:r w:rsidRPr="00E5798A">
        <w:rPr>
          <w:b w:val="0"/>
          <w:szCs w:val="24"/>
          <w:u w:val="none"/>
        </w:rPr>
        <w:t>S</w:t>
      </w:r>
      <w:r w:rsidR="00FE02C2" w:rsidRPr="00E5798A">
        <w:rPr>
          <w:b w:val="0"/>
          <w:szCs w:val="24"/>
          <w:u w:val="none"/>
        </w:rPr>
        <w:t xml:space="preserve">ection </w:t>
      </w:r>
      <w:r w:rsidRPr="00E5798A">
        <w:rPr>
          <w:b w:val="0"/>
          <w:szCs w:val="24"/>
          <w:u w:val="none"/>
        </w:rPr>
        <w:t xml:space="preserve">1 </w:t>
      </w:r>
      <w:r w:rsidR="00FE02C2" w:rsidRPr="00E5798A">
        <w:rPr>
          <w:b w:val="0"/>
          <w:szCs w:val="24"/>
          <w:u w:val="none"/>
        </w:rPr>
        <w:t>provides</w:t>
      </w:r>
      <w:r w:rsidR="008B683E" w:rsidRPr="00E5798A">
        <w:rPr>
          <w:b w:val="0"/>
          <w:szCs w:val="24"/>
          <w:u w:val="none"/>
        </w:rPr>
        <w:t xml:space="preserve"> for the </w:t>
      </w:r>
      <w:r w:rsidR="00967E51" w:rsidRPr="00E5798A">
        <w:rPr>
          <w:b w:val="0"/>
          <w:szCs w:val="24"/>
          <w:u w:val="none"/>
        </w:rPr>
        <w:t>Determination</w:t>
      </w:r>
      <w:r w:rsidR="00FE02C2" w:rsidRPr="00E5798A">
        <w:rPr>
          <w:b w:val="0"/>
          <w:szCs w:val="24"/>
          <w:u w:val="none"/>
        </w:rPr>
        <w:t xml:space="preserve"> to be referred to as </w:t>
      </w:r>
      <w:r w:rsidR="00FE02C2" w:rsidRPr="00CE4AE5">
        <w:rPr>
          <w:b w:val="0"/>
          <w:szCs w:val="24"/>
          <w:u w:val="none"/>
        </w:rPr>
        <w:t xml:space="preserve">the </w:t>
      </w:r>
      <w:r w:rsidR="00CE4AE5" w:rsidRPr="00CE4AE5">
        <w:rPr>
          <w:b w:val="0"/>
          <w:i/>
          <w:szCs w:val="24"/>
          <w:u w:val="none"/>
        </w:rPr>
        <w:t>Health Insurance (Section 3C General Medical Services – Mechanical Thrombectomy) Revocation Determination 2018</w:t>
      </w:r>
      <w:r w:rsidR="00E5798A" w:rsidRPr="00CE4AE5">
        <w:rPr>
          <w:b w:val="0"/>
          <w:i/>
          <w:szCs w:val="24"/>
          <w:u w:val="none"/>
        </w:rPr>
        <w:t>.</w:t>
      </w:r>
    </w:p>
    <w:p w14:paraId="2412D144" w14:textId="77777777" w:rsidR="00F83B6F" w:rsidRPr="00B03218" w:rsidRDefault="00F83B6F" w:rsidP="00F83B6F">
      <w:pPr>
        <w:rPr>
          <w:highlight w:val="yellow"/>
        </w:rPr>
      </w:pPr>
    </w:p>
    <w:p w14:paraId="49D1E050" w14:textId="77777777" w:rsidR="007A4089" w:rsidRDefault="00FE02C2" w:rsidP="000337CB">
      <w:pPr>
        <w:pStyle w:val="BodyText"/>
        <w:rPr>
          <w:b w:val="0"/>
          <w:szCs w:val="24"/>
          <w:u w:val="single"/>
        </w:rPr>
      </w:pPr>
      <w:r w:rsidRPr="00E5798A">
        <w:rPr>
          <w:b w:val="0"/>
          <w:szCs w:val="24"/>
          <w:u w:val="single"/>
        </w:rPr>
        <w:t xml:space="preserve">Section 2 – Commencement </w:t>
      </w:r>
    </w:p>
    <w:p w14:paraId="2DCE2ED0" w14:textId="77777777" w:rsidR="007A4089" w:rsidRDefault="007A4089" w:rsidP="000337CB">
      <w:pPr>
        <w:pStyle w:val="BodyText"/>
        <w:rPr>
          <w:b w:val="0"/>
          <w:szCs w:val="24"/>
          <w:u w:val="single"/>
        </w:rPr>
      </w:pPr>
    </w:p>
    <w:p w14:paraId="2412D147" w14:textId="4015DD57" w:rsidR="00FE02C2" w:rsidRPr="00CE4AE5" w:rsidRDefault="00510A4F" w:rsidP="000337CB">
      <w:pPr>
        <w:pStyle w:val="BodyText"/>
        <w:rPr>
          <w:b w:val="0"/>
          <w:szCs w:val="24"/>
          <w:u w:val="single"/>
        </w:rPr>
      </w:pPr>
      <w:r w:rsidRPr="00E5798A">
        <w:rPr>
          <w:b w:val="0"/>
          <w:szCs w:val="24"/>
        </w:rPr>
        <w:t xml:space="preserve">Section 2 provides that the Determination </w:t>
      </w:r>
      <w:r w:rsidR="00F83B6F" w:rsidRPr="00E5798A">
        <w:rPr>
          <w:b w:val="0"/>
          <w:szCs w:val="24"/>
        </w:rPr>
        <w:t>commences</w:t>
      </w:r>
      <w:r w:rsidRPr="00E5798A">
        <w:rPr>
          <w:b w:val="0"/>
          <w:szCs w:val="24"/>
        </w:rPr>
        <w:t xml:space="preserve"> </w:t>
      </w:r>
      <w:r w:rsidR="00E54650">
        <w:rPr>
          <w:b w:val="0"/>
          <w:szCs w:val="24"/>
        </w:rPr>
        <w:t xml:space="preserve">immediately </w:t>
      </w:r>
      <w:r w:rsidR="00F40104" w:rsidRPr="00F40104">
        <w:rPr>
          <w:b w:val="0"/>
          <w:szCs w:val="24"/>
        </w:rPr>
        <w:t xml:space="preserve">after the commencement of the </w:t>
      </w:r>
      <w:r w:rsidR="00CE4AE5" w:rsidRPr="00CE4AE5">
        <w:rPr>
          <w:b w:val="0"/>
          <w:i/>
        </w:rPr>
        <w:t>Health Insurance (General Medical Services Table) Regulations 2018</w:t>
      </w:r>
      <w:r w:rsidRPr="00CE4AE5">
        <w:rPr>
          <w:b w:val="0"/>
          <w:szCs w:val="24"/>
        </w:rPr>
        <w:t>.</w:t>
      </w:r>
    </w:p>
    <w:p w14:paraId="2412D148" w14:textId="77777777" w:rsidR="00510A4F" w:rsidRPr="00B03218" w:rsidRDefault="00510A4F" w:rsidP="000337CB">
      <w:pPr>
        <w:pStyle w:val="BodyText"/>
        <w:rPr>
          <w:b w:val="0"/>
          <w:szCs w:val="24"/>
          <w:highlight w:val="yellow"/>
        </w:rPr>
      </w:pPr>
    </w:p>
    <w:p w14:paraId="005D5660" w14:textId="77777777" w:rsidR="007A4089" w:rsidRDefault="00FE02C2" w:rsidP="000337CB">
      <w:pPr>
        <w:pStyle w:val="BodyText"/>
        <w:rPr>
          <w:b w:val="0"/>
          <w:szCs w:val="24"/>
          <w:u w:val="single"/>
        </w:rPr>
      </w:pPr>
      <w:r w:rsidRPr="00E5798A">
        <w:rPr>
          <w:b w:val="0"/>
          <w:szCs w:val="24"/>
          <w:u w:val="single"/>
        </w:rPr>
        <w:t xml:space="preserve">Section 3 – </w:t>
      </w:r>
      <w:r w:rsidR="00E5798A" w:rsidRPr="00E5798A">
        <w:rPr>
          <w:b w:val="0"/>
          <w:szCs w:val="24"/>
          <w:u w:val="single"/>
        </w:rPr>
        <w:t>Authority</w:t>
      </w:r>
    </w:p>
    <w:p w14:paraId="53BFA098" w14:textId="77777777" w:rsidR="007A4089" w:rsidRDefault="007A4089" w:rsidP="000337CB">
      <w:pPr>
        <w:pStyle w:val="BodyText"/>
        <w:rPr>
          <w:b w:val="0"/>
          <w:szCs w:val="24"/>
          <w:u w:val="single"/>
        </w:rPr>
      </w:pPr>
    </w:p>
    <w:p w14:paraId="2412D14B" w14:textId="2E51365D" w:rsidR="00FE02C2" w:rsidRPr="007A4089" w:rsidRDefault="00F83B6F" w:rsidP="000337CB">
      <w:pPr>
        <w:pStyle w:val="BodyText"/>
        <w:rPr>
          <w:b w:val="0"/>
          <w:szCs w:val="24"/>
          <w:u w:val="single"/>
        </w:rPr>
      </w:pPr>
      <w:r w:rsidRPr="00E5798A">
        <w:rPr>
          <w:b w:val="0"/>
        </w:rPr>
        <w:t xml:space="preserve">Section 3 provides that the Determination </w:t>
      </w:r>
      <w:r w:rsidR="00E5798A" w:rsidRPr="00E5798A">
        <w:rPr>
          <w:b w:val="0"/>
        </w:rPr>
        <w:t xml:space="preserve">is made under </w:t>
      </w:r>
      <w:r w:rsidR="00367440">
        <w:rPr>
          <w:b w:val="0"/>
        </w:rPr>
        <w:t xml:space="preserve">subsection </w:t>
      </w:r>
      <w:r w:rsidR="00E5798A" w:rsidRPr="00E5798A">
        <w:rPr>
          <w:b w:val="0"/>
        </w:rPr>
        <w:t xml:space="preserve">3C(1) of the </w:t>
      </w:r>
      <w:r w:rsidR="00E5798A" w:rsidRPr="00E5798A">
        <w:rPr>
          <w:b w:val="0"/>
          <w:i/>
        </w:rPr>
        <w:t>Health Insurance Act 1973</w:t>
      </w:r>
      <w:r w:rsidR="00E5798A" w:rsidRPr="00E5798A">
        <w:rPr>
          <w:b w:val="0"/>
        </w:rPr>
        <w:t>.</w:t>
      </w:r>
    </w:p>
    <w:p w14:paraId="58A4E4A6" w14:textId="77777777" w:rsidR="00E5798A" w:rsidRDefault="00E5798A" w:rsidP="00E5798A">
      <w:pPr>
        <w:pStyle w:val="BodyText"/>
        <w:rPr>
          <w:b w:val="0"/>
          <w:szCs w:val="24"/>
          <w:u w:val="single"/>
        </w:rPr>
      </w:pPr>
    </w:p>
    <w:p w14:paraId="24D69F2A" w14:textId="5FD2DE39" w:rsidR="00E5798A" w:rsidRDefault="00E5798A" w:rsidP="00E5798A">
      <w:pPr>
        <w:pStyle w:val="BodyText"/>
        <w:rPr>
          <w:b w:val="0"/>
          <w:szCs w:val="24"/>
          <w:u w:val="single"/>
        </w:rPr>
      </w:pPr>
      <w:r>
        <w:rPr>
          <w:b w:val="0"/>
          <w:szCs w:val="24"/>
          <w:u w:val="single"/>
        </w:rPr>
        <w:t>Section 4</w:t>
      </w:r>
      <w:r w:rsidRPr="00E5798A">
        <w:rPr>
          <w:b w:val="0"/>
          <w:szCs w:val="24"/>
          <w:u w:val="single"/>
        </w:rPr>
        <w:t xml:space="preserve"> – </w:t>
      </w:r>
      <w:r w:rsidR="00F40104">
        <w:rPr>
          <w:b w:val="0"/>
          <w:szCs w:val="24"/>
          <w:u w:val="single"/>
        </w:rPr>
        <w:t>Revocation</w:t>
      </w:r>
    </w:p>
    <w:p w14:paraId="33C47B95" w14:textId="77777777" w:rsidR="00E5798A" w:rsidRDefault="00E5798A" w:rsidP="00E5798A">
      <w:pPr>
        <w:pStyle w:val="BodyText"/>
        <w:rPr>
          <w:b w:val="0"/>
          <w:szCs w:val="24"/>
          <w:u w:val="single"/>
        </w:rPr>
      </w:pPr>
    </w:p>
    <w:p w14:paraId="5C82EA46" w14:textId="3DDC738B" w:rsidR="007A4089" w:rsidRPr="00CE4AE5" w:rsidRDefault="00E5798A" w:rsidP="007A4089">
      <w:pPr>
        <w:pStyle w:val="BodyText"/>
        <w:rPr>
          <w:b w:val="0"/>
        </w:rPr>
      </w:pPr>
      <w:r w:rsidRPr="00E5798A">
        <w:rPr>
          <w:b w:val="0"/>
        </w:rPr>
        <w:t xml:space="preserve">Section 4 </w:t>
      </w:r>
      <w:r w:rsidR="00F40104" w:rsidRPr="00F40104">
        <w:rPr>
          <w:b w:val="0"/>
        </w:rPr>
        <w:t>provides that the Determination revokes the</w:t>
      </w:r>
      <w:r w:rsidR="00F40104">
        <w:rPr>
          <w:b w:val="0"/>
        </w:rPr>
        <w:t xml:space="preserve"> </w:t>
      </w:r>
      <w:r w:rsidR="00CE4AE5" w:rsidRPr="00CE4AE5">
        <w:rPr>
          <w:b w:val="0"/>
          <w:bCs/>
          <w:i/>
        </w:rPr>
        <w:t>Health Insurance (Section 3C General Medical Services – Mechanical Thrombectomy) Determination 2017</w:t>
      </w:r>
      <w:r w:rsidRPr="00CE4AE5">
        <w:rPr>
          <w:b w:val="0"/>
        </w:rPr>
        <w:t>.</w:t>
      </w:r>
    </w:p>
    <w:p w14:paraId="4A0FF1D7" w14:textId="77777777" w:rsidR="007A4089" w:rsidRDefault="007A4089" w:rsidP="007A4089">
      <w:pPr>
        <w:pStyle w:val="BodyText"/>
        <w:rPr>
          <w:b w:val="0"/>
        </w:rPr>
      </w:pPr>
    </w:p>
    <w:p w14:paraId="39015BC9" w14:textId="77777777" w:rsidR="00E5798A" w:rsidRPr="00E5798A" w:rsidRDefault="00E5798A" w:rsidP="000337CB">
      <w:pPr>
        <w:pStyle w:val="BodyText"/>
        <w:rPr>
          <w:b w:val="0"/>
          <w:i/>
        </w:rPr>
      </w:pPr>
    </w:p>
    <w:p w14:paraId="2412D14C" w14:textId="77777777" w:rsidR="00FE02C2" w:rsidRPr="00B03218" w:rsidRDefault="00FE02C2" w:rsidP="000337CB">
      <w:pPr>
        <w:pStyle w:val="Header"/>
        <w:tabs>
          <w:tab w:val="clear" w:pos="4153"/>
          <w:tab w:val="clear" w:pos="8306"/>
          <w:tab w:val="num" w:pos="1080"/>
        </w:tabs>
        <w:rPr>
          <w:szCs w:val="24"/>
          <w:highlight w:val="yellow"/>
        </w:rPr>
      </w:pPr>
    </w:p>
    <w:p w14:paraId="2412D14D" w14:textId="77777777" w:rsidR="00F83B6F" w:rsidRPr="00B03218" w:rsidRDefault="00F83B6F">
      <w:pPr>
        <w:spacing w:after="200" w:line="276" w:lineRule="auto"/>
        <w:rPr>
          <w:b/>
          <w:sz w:val="28"/>
          <w:szCs w:val="28"/>
          <w:highlight w:val="yellow"/>
        </w:rPr>
      </w:pPr>
      <w:r w:rsidRPr="00B03218">
        <w:rPr>
          <w:b/>
          <w:sz w:val="28"/>
          <w:szCs w:val="28"/>
          <w:highlight w:val="yellow"/>
        </w:rPr>
        <w:br w:type="page"/>
      </w:r>
    </w:p>
    <w:p w14:paraId="2412D14E" w14:textId="77777777" w:rsidR="00A17F2C" w:rsidRPr="0079191B" w:rsidRDefault="00A17F2C" w:rsidP="0006653A">
      <w:pPr>
        <w:spacing w:before="360" w:after="120"/>
        <w:ind w:right="-46"/>
        <w:jc w:val="center"/>
        <w:rPr>
          <w:b/>
          <w:sz w:val="28"/>
          <w:szCs w:val="28"/>
        </w:rPr>
      </w:pPr>
      <w:r w:rsidRPr="0079191B">
        <w:rPr>
          <w:b/>
          <w:sz w:val="28"/>
          <w:szCs w:val="28"/>
        </w:rPr>
        <w:lastRenderedPageBreak/>
        <w:t>Statement of Compatibility with Human Rights</w:t>
      </w:r>
    </w:p>
    <w:p w14:paraId="2412D14F" w14:textId="77777777" w:rsidR="00A17F2C" w:rsidRPr="0079191B" w:rsidRDefault="00A17F2C" w:rsidP="0006653A">
      <w:pPr>
        <w:spacing w:before="120" w:after="120"/>
        <w:ind w:right="-46"/>
        <w:jc w:val="center"/>
        <w:rPr>
          <w:szCs w:val="24"/>
        </w:rPr>
      </w:pPr>
      <w:r w:rsidRPr="0079191B">
        <w:rPr>
          <w:i/>
          <w:szCs w:val="24"/>
        </w:rPr>
        <w:t>Prepared in accordance with Part 3 of the Human Rights (Parliamentary Scrutiny) Act 2011</w:t>
      </w:r>
    </w:p>
    <w:p w14:paraId="7FC83695" w14:textId="77777777" w:rsidR="00FE3373" w:rsidRDefault="00FE3373" w:rsidP="0006653A">
      <w:pPr>
        <w:tabs>
          <w:tab w:val="left" w:pos="1418"/>
        </w:tabs>
        <w:ind w:left="851" w:right="-46"/>
        <w:jc w:val="center"/>
        <w:rPr>
          <w:b/>
          <w:i/>
          <w:szCs w:val="24"/>
        </w:rPr>
      </w:pPr>
    </w:p>
    <w:p w14:paraId="1B046D0F" w14:textId="6D4EA392" w:rsidR="00F40104" w:rsidRDefault="00C157ED" w:rsidP="0006653A">
      <w:pPr>
        <w:tabs>
          <w:tab w:val="left" w:pos="1418"/>
        </w:tabs>
        <w:ind w:left="851" w:right="-46"/>
        <w:jc w:val="center"/>
        <w:rPr>
          <w:b/>
          <w:i/>
          <w:szCs w:val="24"/>
        </w:rPr>
      </w:pPr>
      <w:r w:rsidRPr="00C157ED">
        <w:rPr>
          <w:b/>
          <w:i/>
          <w:szCs w:val="24"/>
        </w:rPr>
        <w:t>Health Insurance (Section 3C General Medical Services – Mechanical Thrombectomy) Revocation Determination 2018</w:t>
      </w:r>
    </w:p>
    <w:p w14:paraId="2E17BBBD" w14:textId="77777777" w:rsidR="009E37EE" w:rsidRDefault="009E37EE" w:rsidP="0006653A">
      <w:pPr>
        <w:ind w:right="-46"/>
        <w:jc w:val="center"/>
        <w:rPr>
          <w:b/>
          <w:i/>
          <w:szCs w:val="24"/>
        </w:rPr>
      </w:pPr>
    </w:p>
    <w:p w14:paraId="222C0E85" w14:textId="29DA9B2C" w:rsidR="009E37EE" w:rsidRPr="006D3D81" w:rsidRDefault="009E37EE" w:rsidP="009E37EE">
      <w:pPr>
        <w:jc w:val="center"/>
        <w:rPr>
          <w:szCs w:val="24"/>
        </w:rPr>
      </w:pPr>
      <w:r w:rsidRPr="006D3D81">
        <w:rPr>
          <w:szCs w:val="24"/>
        </w:rPr>
        <w:t xml:space="preserve">This </w:t>
      </w:r>
      <w:r w:rsidR="00ED6555">
        <w:rPr>
          <w:szCs w:val="24"/>
        </w:rPr>
        <w:t>Determination</w:t>
      </w:r>
      <w:r w:rsidRPr="006D3D81">
        <w:rPr>
          <w:szCs w:val="24"/>
        </w:rPr>
        <w:t xml:space="preserve"> is compatible with the human rights and freedoms recognised or declared in the international instruments listed in section 3 of the </w:t>
      </w:r>
      <w:r w:rsidRPr="006D3D81">
        <w:rPr>
          <w:i/>
          <w:szCs w:val="24"/>
        </w:rPr>
        <w:t>Human Rights (Parliamentary Scrutiny) Act 2011</w:t>
      </w:r>
      <w:r w:rsidRPr="006D3D81">
        <w:rPr>
          <w:szCs w:val="24"/>
        </w:rPr>
        <w:t>.</w:t>
      </w:r>
    </w:p>
    <w:p w14:paraId="2412D154" w14:textId="77777777" w:rsidR="00A17F2C" w:rsidRPr="00B03218" w:rsidRDefault="00A17F2C" w:rsidP="0006653A">
      <w:pPr>
        <w:ind w:right="-46"/>
        <w:jc w:val="center"/>
        <w:rPr>
          <w:szCs w:val="24"/>
          <w:highlight w:val="yellow"/>
        </w:rPr>
      </w:pPr>
    </w:p>
    <w:p w14:paraId="359965D2" w14:textId="07BB25D5" w:rsidR="00860119" w:rsidRDefault="00860119" w:rsidP="00C157ED">
      <w:pPr>
        <w:ind w:right="-46"/>
        <w:rPr>
          <w:b/>
          <w:szCs w:val="24"/>
        </w:rPr>
      </w:pPr>
      <w:r w:rsidRPr="00860119">
        <w:rPr>
          <w:b/>
          <w:szCs w:val="24"/>
        </w:rPr>
        <w:t xml:space="preserve">Overview of the </w:t>
      </w:r>
      <w:r w:rsidR="00ED6555">
        <w:rPr>
          <w:b/>
          <w:szCs w:val="24"/>
        </w:rPr>
        <w:t>Determination</w:t>
      </w:r>
    </w:p>
    <w:p w14:paraId="3C218DBB" w14:textId="77777777" w:rsidR="0021471C" w:rsidRDefault="0021471C" w:rsidP="0021471C">
      <w:pPr>
        <w:rPr>
          <w:bCs/>
          <w:i/>
        </w:rPr>
      </w:pPr>
      <w:r>
        <w:rPr>
          <w:bCs/>
        </w:rPr>
        <w:t xml:space="preserve">The purpose of the </w:t>
      </w:r>
      <w:r w:rsidRPr="00D9018E">
        <w:rPr>
          <w:i/>
          <w:szCs w:val="24"/>
        </w:rPr>
        <w:t>Health Insurance (Section 3C General Medical Services – Mechanical Thrombectomy) Revocation Determination 2018</w:t>
      </w:r>
      <w:r>
        <w:rPr>
          <w:i/>
          <w:szCs w:val="24"/>
        </w:rPr>
        <w:t xml:space="preserve"> </w:t>
      </w:r>
      <w:r>
        <w:rPr>
          <w:szCs w:val="24"/>
        </w:rPr>
        <w:t xml:space="preserve">(the Determination) is to revoke the </w:t>
      </w:r>
      <w:r w:rsidRPr="00D9018E">
        <w:rPr>
          <w:bCs/>
          <w:i/>
        </w:rPr>
        <w:t>Health Insurance (Section 3C General Medical Services – Mechanical Thrombectomy) Determination 2017</w:t>
      </w:r>
      <w:r>
        <w:rPr>
          <w:bCs/>
          <w:i/>
        </w:rPr>
        <w:t>.</w:t>
      </w:r>
    </w:p>
    <w:p w14:paraId="6E4703CA" w14:textId="77777777" w:rsidR="0021471C" w:rsidRDefault="0021471C" w:rsidP="0021471C">
      <w:pPr>
        <w:rPr>
          <w:bCs/>
          <w:i/>
        </w:rPr>
      </w:pPr>
    </w:p>
    <w:p w14:paraId="4025583E" w14:textId="7440B5D8" w:rsidR="0021471C" w:rsidRDefault="00424A94" w:rsidP="0021471C">
      <w:r>
        <w:rPr>
          <w:bCs/>
        </w:rPr>
        <w:t>The service</w:t>
      </w:r>
      <w:r w:rsidR="0021471C">
        <w:rPr>
          <w:bCs/>
        </w:rPr>
        <w:t xml:space="preserve"> is currently</w:t>
      </w:r>
      <w:r>
        <w:rPr>
          <w:bCs/>
        </w:rPr>
        <w:t xml:space="preserve"> listed</w:t>
      </w:r>
      <w:r w:rsidR="0021471C">
        <w:rPr>
          <w:bCs/>
        </w:rPr>
        <w:t xml:space="preserve"> in the </w:t>
      </w:r>
      <w:r w:rsidR="0021471C" w:rsidRPr="00D9018E">
        <w:rPr>
          <w:bCs/>
          <w:i/>
        </w:rPr>
        <w:t>Health Insurance (Section 3C General Medical Services – Mechanical Thrombectomy) Determination 2017</w:t>
      </w:r>
      <w:r w:rsidR="0021471C">
        <w:rPr>
          <w:bCs/>
          <w:i/>
        </w:rPr>
        <w:t xml:space="preserve">. </w:t>
      </w:r>
      <w:r w:rsidR="0021471C">
        <w:rPr>
          <w:szCs w:val="24"/>
        </w:rPr>
        <w:t xml:space="preserve">From 1 July 2018, </w:t>
      </w:r>
      <w:r>
        <w:rPr>
          <w:szCs w:val="24"/>
        </w:rPr>
        <w:t>the service</w:t>
      </w:r>
      <w:r w:rsidR="0021471C">
        <w:rPr>
          <w:szCs w:val="24"/>
        </w:rPr>
        <w:t xml:space="preserve"> will be moved to the </w:t>
      </w:r>
      <w:r w:rsidR="0021471C" w:rsidRPr="00800271">
        <w:rPr>
          <w:i/>
        </w:rPr>
        <w:t>Health Insurance (General Medical Services Table) Regulations 201</w:t>
      </w:r>
      <w:r w:rsidR="0021471C">
        <w:rPr>
          <w:i/>
        </w:rPr>
        <w:t xml:space="preserve">8. </w:t>
      </w:r>
      <w:r w:rsidR="0021471C">
        <w:t>This change is administrative only, and there will be no change to th</w:t>
      </w:r>
      <w:r w:rsidR="00421D29">
        <w:t xml:space="preserve">e item </w:t>
      </w:r>
      <w:r w:rsidR="0021471C">
        <w:t>requirements</w:t>
      </w:r>
      <w:r w:rsidR="00AD2A14">
        <w:t xml:space="preserve"> for patients or providers</w:t>
      </w:r>
      <w:r w:rsidR="0021471C">
        <w:t xml:space="preserve">. </w:t>
      </w:r>
    </w:p>
    <w:p w14:paraId="5060C922" w14:textId="77777777" w:rsidR="0021471C" w:rsidRDefault="0021471C" w:rsidP="0021471C"/>
    <w:p w14:paraId="181A1E82" w14:textId="63A708C1" w:rsidR="0021471C" w:rsidRPr="00457F24" w:rsidRDefault="0021471C" w:rsidP="0021471C">
      <w:pPr>
        <w:rPr>
          <w:szCs w:val="24"/>
        </w:rPr>
      </w:pPr>
      <w:r>
        <w:t xml:space="preserve">The </w:t>
      </w:r>
      <w:r w:rsidRPr="00D9018E">
        <w:rPr>
          <w:bCs/>
          <w:i/>
        </w:rPr>
        <w:t>Health Insurance (Section 3C General Medical Services – Mechanical Thrombectomy) Determination 2017</w:t>
      </w:r>
      <w:r>
        <w:rPr>
          <w:bCs/>
        </w:rPr>
        <w:t xml:space="preserve"> will become redundant when the </w:t>
      </w:r>
      <w:r w:rsidRPr="00800271">
        <w:rPr>
          <w:i/>
        </w:rPr>
        <w:t>Health Insurance (General Medical Services Table) Regulations 201</w:t>
      </w:r>
      <w:r>
        <w:rPr>
          <w:i/>
        </w:rPr>
        <w:t xml:space="preserve">8 </w:t>
      </w:r>
      <w:r>
        <w:t>commences</w:t>
      </w:r>
      <w:r w:rsidR="00421D29">
        <w:t xml:space="preserve"> from 1 July 2018</w:t>
      </w:r>
      <w:r>
        <w:t>.</w:t>
      </w:r>
      <w:r w:rsidR="00E7556E">
        <w:t xml:space="preserve"> </w:t>
      </w:r>
      <w:r w:rsidR="00421D29">
        <w:t>Following its commencement, t</w:t>
      </w:r>
      <w:r>
        <w:rPr>
          <w:szCs w:val="24"/>
        </w:rPr>
        <w:t xml:space="preserve">his Determination will </w:t>
      </w:r>
      <w:r w:rsidR="00421D29">
        <w:rPr>
          <w:szCs w:val="24"/>
        </w:rPr>
        <w:t>revoke</w:t>
      </w:r>
      <w:r>
        <w:rPr>
          <w:szCs w:val="24"/>
        </w:rPr>
        <w:t xml:space="preserve"> the </w:t>
      </w:r>
      <w:r w:rsidRPr="00D9018E">
        <w:rPr>
          <w:bCs/>
          <w:i/>
        </w:rPr>
        <w:t>Health Insurance (Section 3C General Medical Services – Mechanical Thrombectomy) Determination 2017</w:t>
      </w:r>
      <w:r>
        <w:rPr>
          <w:i/>
          <w:szCs w:val="24"/>
        </w:rPr>
        <w:t>.</w:t>
      </w:r>
    </w:p>
    <w:p w14:paraId="2412D15C" w14:textId="30092E68" w:rsidR="00A17F2C" w:rsidRPr="0079191B" w:rsidRDefault="00A17F2C" w:rsidP="0006653A">
      <w:pPr>
        <w:spacing w:before="120" w:after="120"/>
        <w:ind w:right="-46"/>
        <w:rPr>
          <w:b/>
          <w:szCs w:val="24"/>
        </w:rPr>
      </w:pPr>
      <w:r w:rsidRPr="0079191B">
        <w:rPr>
          <w:b/>
          <w:szCs w:val="24"/>
        </w:rPr>
        <w:t>Human rights implications</w:t>
      </w:r>
    </w:p>
    <w:p w14:paraId="2412D15D" w14:textId="3A89F005" w:rsidR="00A17F2C" w:rsidRPr="0079191B" w:rsidRDefault="008B683E" w:rsidP="0006653A">
      <w:pPr>
        <w:spacing w:before="120" w:after="120"/>
        <w:ind w:right="-46"/>
        <w:rPr>
          <w:szCs w:val="24"/>
        </w:rPr>
      </w:pPr>
      <w:r w:rsidRPr="0079191B">
        <w:rPr>
          <w:szCs w:val="24"/>
        </w:rPr>
        <w:t>Th</w:t>
      </w:r>
      <w:r w:rsidR="003733AE">
        <w:rPr>
          <w:szCs w:val="24"/>
        </w:rPr>
        <w:t>is</w:t>
      </w:r>
      <w:r w:rsidRPr="0079191B">
        <w:rPr>
          <w:szCs w:val="24"/>
        </w:rPr>
        <w:t xml:space="preserve"> </w:t>
      </w:r>
      <w:r w:rsidR="003845B3">
        <w:rPr>
          <w:szCs w:val="24"/>
        </w:rPr>
        <w:t>Determination</w:t>
      </w:r>
      <w:r w:rsidR="00A17F2C" w:rsidRPr="0079191B">
        <w:rPr>
          <w:szCs w:val="24"/>
        </w:rPr>
        <w:t xml:space="preserve"> engage</w:t>
      </w:r>
      <w:r w:rsidR="003845B3">
        <w:rPr>
          <w:szCs w:val="24"/>
        </w:rPr>
        <w:t>s</w:t>
      </w:r>
      <w:r w:rsidR="00A17F2C" w:rsidRPr="0079191B">
        <w:rPr>
          <w:szCs w:val="24"/>
        </w:rPr>
        <w:t xml:space="preserve"> Articles </w:t>
      </w:r>
      <w:r w:rsidR="002B7177" w:rsidRPr="0079191B">
        <w:rPr>
          <w:szCs w:val="24"/>
        </w:rPr>
        <w:t xml:space="preserve">9 </w:t>
      </w:r>
      <w:r w:rsidR="00A17F2C" w:rsidRPr="0079191B">
        <w:rPr>
          <w:szCs w:val="24"/>
        </w:rPr>
        <w:t xml:space="preserve">and 12 of the International Covenant on Economic Social and Cultural Rights (ICESCR), specifically the rights to health and social security. </w:t>
      </w:r>
    </w:p>
    <w:p w14:paraId="2412D15E" w14:textId="77777777" w:rsidR="00A17F2C" w:rsidRPr="0079191B" w:rsidRDefault="00A17F2C" w:rsidP="0006653A">
      <w:pPr>
        <w:spacing w:before="120" w:after="120"/>
        <w:ind w:right="-46"/>
        <w:rPr>
          <w:i/>
          <w:szCs w:val="24"/>
        </w:rPr>
      </w:pPr>
      <w:r w:rsidRPr="0079191B">
        <w:rPr>
          <w:i/>
          <w:szCs w:val="24"/>
        </w:rPr>
        <w:t>The Right to Health</w:t>
      </w:r>
    </w:p>
    <w:p w14:paraId="2412D15F" w14:textId="77777777" w:rsidR="00A17F2C" w:rsidRPr="0079191B" w:rsidRDefault="00A17F2C" w:rsidP="0006653A">
      <w:pPr>
        <w:spacing w:before="120" w:after="120"/>
        <w:ind w:right="-46"/>
        <w:rPr>
          <w:szCs w:val="24"/>
        </w:rPr>
      </w:pPr>
      <w:r w:rsidRPr="0079191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9191B" w:rsidRDefault="00A17F2C" w:rsidP="0006653A">
      <w:pPr>
        <w:spacing w:before="120" w:after="120"/>
        <w:ind w:right="-46"/>
        <w:rPr>
          <w:szCs w:val="24"/>
        </w:rPr>
      </w:pPr>
      <w:r w:rsidRPr="0079191B">
        <w:rPr>
          <w:szCs w:val="24"/>
        </w:rPr>
        <w:t xml:space="preserve">The Committee reports that the </w:t>
      </w:r>
      <w:r w:rsidRPr="0079191B">
        <w:rPr>
          <w:i/>
          <w:szCs w:val="24"/>
        </w:rPr>
        <w:t>‘highest attainable standard of health’</w:t>
      </w:r>
      <w:r w:rsidRPr="0079191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6269F22A" w:rsidR="00A17F2C" w:rsidRPr="0079191B" w:rsidRDefault="00A17F2C" w:rsidP="0006653A">
      <w:pPr>
        <w:spacing w:before="120" w:after="120"/>
        <w:ind w:right="-46"/>
        <w:rPr>
          <w:i/>
          <w:szCs w:val="24"/>
        </w:rPr>
      </w:pPr>
      <w:r w:rsidRPr="0079191B">
        <w:rPr>
          <w:i/>
          <w:szCs w:val="24"/>
        </w:rPr>
        <w:t xml:space="preserve">The Right to Social Security </w:t>
      </w:r>
    </w:p>
    <w:p w14:paraId="2412D162" w14:textId="77777777" w:rsidR="00A17F2C" w:rsidRPr="0079191B" w:rsidRDefault="00A17F2C" w:rsidP="0006653A">
      <w:pPr>
        <w:spacing w:before="120" w:after="120"/>
        <w:ind w:right="-46"/>
        <w:rPr>
          <w:szCs w:val="24"/>
        </w:rPr>
      </w:pPr>
      <w:r w:rsidRPr="0079191B">
        <w:rPr>
          <w:szCs w:val="24"/>
        </w:rPr>
        <w:t>The right to social security is contained in Article 9 of the ICESCR. It requires that a country must, within its maximum available resources, ensure access to a social security scheme that</w:t>
      </w:r>
      <w:r w:rsidR="00BA69CB" w:rsidRPr="0079191B">
        <w:rPr>
          <w:szCs w:val="24"/>
        </w:rPr>
        <w:t xml:space="preserve"> </w:t>
      </w:r>
      <w:r w:rsidRPr="0079191B">
        <w:rPr>
          <w:szCs w:val="24"/>
        </w:rPr>
        <w:t xml:space="preserve">provides a minimum essential level of benefits to all individuals and families that will enable them to acquire at least essential health care. Countries are obliged to demonstrate that every </w:t>
      </w:r>
      <w:r w:rsidRPr="0079191B">
        <w:rPr>
          <w:szCs w:val="24"/>
        </w:rPr>
        <w:lastRenderedPageBreak/>
        <w:t>effort has been made to use all resources that are at their disposal in an effort to satisfy, as a matter of priority, this minimum obligation.</w:t>
      </w:r>
    </w:p>
    <w:p w14:paraId="2412D163" w14:textId="288E17B8" w:rsidR="00735CCC" w:rsidRPr="0079191B" w:rsidRDefault="00A17F2C" w:rsidP="0006653A">
      <w:pPr>
        <w:spacing w:before="120" w:after="120"/>
        <w:ind w:right="-46"/>
        <w:rPr>
          <w:szCs w:val="24"/>
        </w:rPr>
      </w:pPr>
      <w:r w:rsidRPr="0079191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77777777" w:rsidR="00A17F2C" w:rsidRPr="0079191B" w:rsidRDefault="00A17F2C" w:rsidP="0006653A">
      <w:pPr>
        <w:spacing w:before="120" w:after="120"/>
        <w:ind w:right="-46"/>
        <w:rPr>
          <w:szCs w:val="24"/>
          <w:u w:val="single"/>
        </w:rPr>
      </w:pPr>
      <w:r w:rsidRPr="0079191B">
        <w:rPr>
          <w:szCs w:val="24"/>
          <w:u w:val="single"/>
        </w:rPr>
        <w:t xml:space="preserve">Analysis </w:t>
      </w:r>
    </w:p>
    <w:p w14:paraId="17959218" w14:textId="6B2B4764" w:rsidR="003845B3" w:rsidRDefault="003845B3" w:rsidP="00F4247A">
      <w:pPr>
        <w:tabs>
          <w:tab w:val="left" w:pos="3413"/>
        </w:tabs>
        <w:spacing w:before="120" w:after="120"/>
        <w:ind w:right="-45"/>
        <w:rPr>
          <w:szCs w:val="24"/>
        </w:rPr>
      </w:pPr>
      <w:r w:rsidRPr="003845B3">
        <w:rPr>
          <w:szCs w:val="24"/>
        </w:rPr>
        <w:t xml:space="preserve">This Determination will </w:t>
      </w:r>
      <w:r w:rsidR="00F77DFF">
        <w:rPr>
          <w:szCs w:val="24"/>
        </w:rPr>
        <w:t xml:space="preserve">maintain </w:t>
      </w:r>
      <w:r w:rsidR="007561A7">
        <w:rPr>
          <w:szCs w:val="24"/>
        </w:rPr>
        <w:t xml:space="preserve">existing </w:t>
      </w:r>
      <w:r w:rsidRPr="003845B3">
        <w:rPr>
          <w:szCs w:val="24"/>
        </w:rPr>
        <w:t xml:space="preserve">rights to health and social security </w:t>
      </w:r>
      <w:r w:rsidR="007561A7">
        <w:rPr>
          <w:szCs w:val="24"/>
        </w:rPr>
        <w:t>under the Medicare Benefits Schedule</w:t>
      </w:r>
      <w:r w:rsidRPr="003845B3">
        <w:rPr>
          <w:szCs w:val="24"/>
        </w:rPr>
        <w:t>.</w:t>
      </w:r>
    </w:p>
    <w:p w14:paraId="2412D166" w14:textId="601251C6" w:rsidR="00A17F2C" w:rsidRPr="0079191B" w:rsidRDefault="00A17F2C" w:rsidP="00E21601">
      <w:pPr>
        <w:tabs>
          <w:tab w:val="left" w:pos="3413"/>
        </w:tabs>
        <w:spacing w:before="120" w:after="120" w:line="276" w:lineRule="auto"/>
        <w:ind w:right="-46"/>
        <w:rPr>
          <w:rFonts w:eastAsia="Calibri"/>
          <w:b/>
          <w:szCs w:val="24"/>
          <w:lang w:eastAsia="en-US"/>
        </w:rPr>
      </w:pPr>
      <w:r w:rsidRPr="0079191B">
        <w:rPr>
          <w:rFonts w:eastAsia="Calibri"/>
          <w:b/>
          <w:szCs w:val="24"/>
          <w:lang w:eastAsia="en-US"/>
        </w:rPr>
        <w:t xml:space="preserve">Conclusion </w:t>
      </w:r>
      <w:r w:rsidR="00E21601">
        <w:rPr>
          <w:rFonts w:eastAsia="Calibri"/>
          <w:b/>
          <w:szCs w:val="24"/>
          <w:lang w:eastAsia="en-US"/>
        </w:rPr>
        <w:tab/>
      </w:r>
    </w:p>
    <w:p w14:paraId="2412D168" w14:textId="0B000744" w:rsidR="00F15284" w:rsidRPr="00B03218" w:rsidRDefault="003845B3" w:rsidP="0006653A">
      <w:pPr>
        <w:ind w:right="-46"/>
        <w:rPr>
          <w:rFonts w:eastAsia="Calibri"/>
          <w:szCs w:val="24"/>
          <w:highlight w:val="yellow"/>
          <w:lang w:eastAsia="en-US"/>
        </w:rPr>
      </w:pPr>
      <w:r w:rsidRPr="003845B3">
        <w:rPr>
          <w:szCs w:val="24"/>
        </w:rPr>
        <w:t xml:space="preserve">This </w:t>
      </w:r>
      <w:r w:rsidR="00ED6555">
        <w:rPr>
          <w:szCs w:val="24"/>
        </w:rPr>
        <w:t>Determination</w:t>
      </w:r>
      <w:r w:rsidR="00860119" w:rsidRPr="00860119">
        <w:rPr>
          <w:szCs w:val="24"/>
        </w:rPr>
        <w:t xml:space="preserve"> </w:t>
      </w:r>
      <w:r w:rsidRPr="003845B3">
        <w:rPr>
          <w:szCs w:val="24"/>
        </w:rPr>
        <w:t xml:space="preserve">is compatible with </w:t>
      </w:r>
      <w:r w:rsidR="00BA575D">
        <w:rPr>
          <w:szCs w:val="24"/>
        </w:rPr>
        <w:t xml:space="preserve">human rights, in particular, </w:t>
      </w:r>
      <w:r w:rsidR="00F77DFF" w:rsidRPr="00F77DFF">
        <w:rPr>
          <w:szCs w:val="24"/>
        </w:rPr>
        <w:t>the rights to health and social security.</w:t>
      </w:r>
    </w:p>
    <w:p w14:paraId="6DF957D8" w14:textId="77777777" w:rsidR="00454AA2" w:rsidRDefault="00454AA2" w:rsidP="0006653A">
      <w:pPr>
        <w:ind w:right="-46"/>
        <w:jc w:val="center"/>
        <w:rPr>
          <w:b/>
        </w:rPr>
      </w:pPr>
    </w:p>
    <w:p w14:paraId="7B021A82" w14:textId="4AAD888C" w:rsidR="00D67E0A" w:rsidRPr="00D67E0A" w:rsidRDefault="001106EE" w:rsidP="0006653A">
      <w:pPr>
        <w:ind w:right="-46"/>
        <w:jc w:val="center"/>
        <w:rPr>
          <w:b/>
        </w:rPr>
      </w:pPr>
      <w:r>
        <w:rPr>
          <w:b/>
        </w:rPr>
        <w:t>Natasha</w:t>
      </w:r>
      <w:r w:rsidR="00A33893">
        <w:rPr>
          <w:b/>
        </w:rPr>
        <w:t xml:space="preserve"> Ryan</w:t>
      </w:r>
    </w:p>
    <w:p w14:paraId="2412D16A" w14:textId="7E5C428A" w:rsidR="00C80836" w:rsidRPr="00D67E0A" w:rsidRDefault="00C80836" w:rsidP="0006653A">
      <w:pPr>
        <w:ind w:right="-46"/>
        <w:jc w:val="center"/>
        <w:rPr>
          <w:b/>
        </w:rPr>
      </w:pPr>
      <w:r w:rsidRPr="00D67E0A">
        <w:rPr>
          <w:b/>
        </w:rPr>
        <w:t>Assistant Secretary</w:t>
      </w:r>
    </w:p>
    <w:p w14:paraId="2412D16B" w14:textId="197504BA" w:rsidR="006D3D81" w:rsidRPr="00D67E0A" w:rsidRDefault="006755B4" w:rsidP="0006653A">
      <w:pPr>
        <w:ind w:right="-46"/>
        <w:jc w:val="center"/>
        <w:rPr>
          <w:b/>
        </w:rPr>
      </w:pPr>
      <w:r>
        <w:rPr>
          <w:b/>
        </w:rPr>
        <w:t>MBS Policy and</w:t>
      </w:r>
      <w:r w:rsidR="006D3D81" w:rsidRPr="00D67E0A">
        <w:rPr>
          <w:b/>
        </w:rPr>
        <w:t xml:space="preserve"> Specialist Services Branch</w:t>
      </w:r>
    </w:p>
    <w:p w14:paraId="2412D16C" w14:textId="77777777" w:rsidR="00C80836" w:rsidRPr="00D67E0A" w:rsidRDefault="00C80836" w:rsidP="0006653A">
      <w:pPr>
        <w:ind w:right="-46"/>
        <w:jc w:val="center"/>
        <w:rPr>
          <w:b/>
        </w:rPr>
      </w:pPr>
      <w:r w:rsidRPr="00D67E0A">
        <w:rPr>
          <w:b/>
        </w:rPr>
        <w:t>Medical Benefits Division</w:t>
      </w:r>
    </w:p>
    <w:p w14:paraId="2412D16D" w14:textId="77777777" w:rsidR="00C80836" w:rsidRPr="00C5724B" w:rsidRDefault="00C80836" w:rsidP="0006653A">
      <w:pPr>
        <w:ind w:right="-46"/>
        <w:jc w:val="center"/>
        <w:rPr>
          <w:b/>
        </w:rPr>
      </w:pPr>
      <w:r w:rsidRPr="00D67E0A">
        <w:rPr>
          <w:b/>
        </w:rPr>
        <w:t>Department of Health</w:t>
      </w:r>
    </w:p>
    <w:p w14:paraId="2412D16E" w14:textId="77777777" w:rsidR="00636C51" w:rsidRPr="00840877" w:rsidRDefault="00636C51" w:rsidP="00C80836">
      <w:pPr>
        <w:spacing w:before="120" w:after="120" w:line="276" w:lineRule="auto"/>
        <w:jc w:val="center"/>
        <w:rPr>
          <w:rFonts w:eastAsia="Calibri"/>
          <w:szCs w:val="24"/>
          <w:lang w:eastAsia="en-US"/>
        </w:rPr>
      </w:pPr>
    </w:p>
    <w:sectPr w:rsidR="00636C51" w:rsidRPr="00840877" w:rsidSect="00E23B6B">
      <w:headerReference w:type="even" r:id="rId12"/>
      <w:headerReference w:type="default" r:id="rId13"/>
      <w:headerReference w:type="first" r:id="rId14"/>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4E96E" w14:textId="77777777" w:rsidR="00FB4343" w:rsidRDefault="00FB4343">
      <w:r>
        <w:separator/>
      </w:r>
    </w:p>
  </w:endnote>
  <w:endnote w:type="continuationSeparator" w:id="0">
    <w:p w14:paraId="0D44BA4D" w14:textId="77777777" w:rsidR="00FB4343" w:rsidRDefault="00FB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221A5" w14:textId="77777777" w:rsidR="00FB4343" w:rsidRDefault="00FB4343">
      <w:r>
        <w:separator/>
      </w:r>
    </w:p>
  </w:footnote>
  <w:footnote w:type="continuationSeparator" w:id="0">
    <w:p w14:paraId="7D598712" w14:textId="77777777" w:rsidR="00FB4343" w:rsidRDefault="00FB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2C658B">
          <w:rPr>
            <w:noProof/>
          </w:rPr>
          <w:t>5</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2C658B">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EEF68B3"/>
    <w:multiLevelType w:val="hybridMultilevel"/>
    <w:tmpl w:val="2B0C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2E4CFC"/>
    <w:multiLevelType w:val="hybridMultilevel"/>
    <w:tmpl w:val="28E0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8"/>
  </w:num>
  <w:num w:numId="5">
    <w:abstractNumId w:val="9"/>
  </w:num>
  <w:num w:numId="6">
    <w:abstractNumId w:val="6"/>
  </w:num>
  <w:num w:numId="7">
    <w:abstractNumId w:val="15"/>
  </w:num>
  <w:num w:numId="8">
    <w:abstractNumId w:val="5"/>
  </w:num>
  <w:num w:numId="9">
    <w:abstractNumId w:val="2"/>
  </w:num>
  <w:num w:numId="10">
    <w:abstractNumId w:val="16"/>
  </w:num>
  <w:num w:numId="11">
    <w:abstractNumId w:val="14"/>
  </w:num>
  <w:num w:numId="12">
    <w:abstractNumId w:val="7"/>
  </w:num>
  <w:num w:numId="13">
    <w:abstractNumId w:val="13"/>
  </w:num>
  <w:num w:numId="14">
    <w:abstractNumId w:val="10"/>
  </w:num>
  <w:num w:numId="15">
    <w:abstractNumId w:val="11"/>
  </w:num>
  <w:num w:numId="16">
    <w:abstractNumId w:val="3"/>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3D66"/>
    <w:rsid w:val="00004E17"/>
    <w:rsid w:val="00005906"/>
    <w:rsid w:val="00007B65"/>
    <w:rsid w:val="000109B4"/>
    <w:rsid w:val="00014639"/>
    <w:rsid w:val="000149EE"/>
    <w:rsid w:val="00014B38"/>
    <w:rsid w:val="00016774"/>
    <w:rsid w:val="000203B4"/>
    <w:rsid w:val="00024158"/>
    <w:rsid w:val="00025F64"/>
    <w:rsid w:val="0002704E"/>
    <w:rsid w:val="00027830"/>
    <w:rsid w:val="000319EF"/>
    <w:rsid w:val="00033034"/>
    <w:rsid w:val="000337CB"/>
    <w:rsid w:val="0003591F"/>
    <w:rsid w:val="00041849"/>
    <w:rsid w:val="00044A2A"/>
    <w:rsid w:val="00047FC2"/>
    <w:rsid w:val="000509BA"/>
    <w:rsid w:val="0005224B"/>
    <w:rsid w:val="0005533C"/>
    <w:rsid w:val="00064BA4"/>
    <w:rsid w:val="0006653A"/>
    <w:rsid w:val="00067F59"/>
    <w:rsid w:val="000710DD"/>
    <w:rsid w:val="0007187A"/>
    <w:rsid w:val="000727E0"/>
    <w:rsid w:val="00073983"/>
    <w:rsid w:val="00073BC9"/>
    <w:rsid w:val="00076FE3"/>
    <w:rsid w:val="00080116"/>
    <w:rsid w:val="00081188"/>
    <w:rsid w:val="00081C37"/>
    <w:rsid w:val="00092405"/>
    <w:rsid w:val="0009514A"/>
    <w:rsid w:val="000969EF"/>
    <w:rsid w:val="00097FEB"/>
    <w:rsid w:val="000A199B"/>
    <w:rsid w:val="000A2BF6"/>
    <w:rsid w:val="000A31F2"/>
    <w:rsid w:val="000A45BE"/>
    <w:rsid w:val="000A467F"/>
    <w:rsid w:val="000A6FB3"/>
    <w:rsid w:val="000A7B9B"/>
    <w:rsid w:val="000B3452"/>
    <w:rsid w:val="000B58D0"/>
    <w:rsid w:val="000C1226"/>
    <w:rsid w:val="000C12EE"/>
    <w:rsid w:val="000C3D8A"/>
    <w:rsid w:val="000C46E6"/>
    <w:rsid w:val="000C6797"/>
    <w:rsid w:val="000C6FF8"/>
    <w:rsid w:val="000D1325"/>
    <w:rsid w:val="000D3B79"/>
    <w:rsid w:val="000D7803"/>
    <w:rsid w:val="000E1ACD"/>
    <w:rsid w:val="000E4AFA"/>
    <w:rsid w:val="000E534F"/>
    <w:rsid w:val="000E66FA"/>
    <w:rsid w:val="000E7163"/>
    <w:rsid w:val="000E7DA8"/>
    <w:rsid w:val="000F14A0"/>
    <w:rsid w:val="000F1575"/>
    <w:rsid w:val="000F1714"/>
    <w:rsid w:val="000F249E"/>
    <w:rsid w:val="000F37A0"/>
    <w:rsid w:val="000F5E76"/>
    <w:rsid w:val="00104751"/>
    <w:rsid w:val="00105171"/>
    <w:rsid w:val="00107F36"/>
    <w:rsid w:val="0011066E"/>
    <w:rsid w:val="001106EE"/>
    <w:rsid w:val="00113B2E"/>
    <w:rsid w:val="00121A66"/>
    <w:rsid w:val="00132087"/>
    <w:rsid w:val="00134B27"/>
    <w:rsid w:val="001400C4"/>
    <w:rsid w:val="00141323"/>
    <w:rsid w:val="00141E8C"/>
    <w:rsid w:val="00143943"/>
    <w:rsid w:val="00145918"/>
    <w:rsid w:val="00145D25"/>
    <w:rsid w:val="001519E4"/>
    <w:rsid w:val="00154FC4"/>
    <w:rsid w:val="0015521F"/>
    <w:rsid w:val="001641C0"/>
    <w:rsid w:val="0016646C"/>
    <w:rsid w:val="00167DA1"/>
    <w:rsid w:val="0017187F"/>
    <w:rsid w:val="00172C88"/>
    <w:rsid w:val="001770D9"/>
    <w:rsid w:val="0018012F"/>
    <w:rsid w:val="00180742"/>
    <w:rsid w:val="0018171E"/>
    <w:rsid w:val="00181F74"/>
    <w:rsid w:val="00183C10"/>
    <w:rsid w:val="0018451D"/>
    <w:rsid w:val="001865F8"/>
    <w:rsid w:val="001867EA"/>
    <w:rsid w:val="00187EE5"/>
    <w:rsid w:val="0019289B"/>
    <w:rsid w:val="001940E8"/>
    <w:rsid w:val="001941ED"/>
    <w:rsid w:val="0019464A"/>
    <w:rsid w:val="00195A6A"/>
    <w:rsid w:val="001978CE"/>
    <w:rsid w:val="001A2D67"/>
    <w:rsid w:val="001A4BE2"/>
    <w:rsid w:val="001A7249"/>
    <w:rsid w:val="001A7EF8"/>
    <w:rsid w:val="001B0111"/>
    <w:rsid w:val="001B3714"/>
    <w:rsid w:val="001B66AF"/>
    <w:rsid w:val="001B7092"/>
    <w:rsid w:val="001C1B86"/>
    <w:rsid w:val="001C35BC"/>
    <w:rsid w:val="001C5FC1"/>
    <w:rsid w:val="001C6713"/>
    <w:rsid w:val="001D1C4E"/>
    <w:rsid w:val="001D6B46"/>
    <w:rsid w:val="001D778A"/>
    <w:rsid w:val="001D7D62"/>
    <w:rsid w:val="001E2D6D"/>
    <w:rsid w:val="001E3B02"/>
    <w:rsid w:val="001E3D77"/>
    <w:rsid w:val="001E5787"/>
    <w:rsid w:val="001E57BC"/>
    <w:rsid w:val="001E5DE7"/>
    <w:rsid w:val="001E63F3"/>
    <w:rsid w:val="001E7C25"/>
    <w:rsid w:val="001F0923"/>
    <w:rsid w:val="001F1F27"/>
    <w:rsid w:val="002003F7"/>
    <w:rsid w:val="00203952"/>
    <w:rsid w:val="00203F23"/>
    <w:rsid w:val="00204413"/>
    <w:rsid w:val="00213177"/>
    <w:rsid w:val="0021471C"/>
    <w:rsid w:val="00216C44"/>
    <w:rsid w:val="00217EBF"/>
    <w:rsid w:val="00220AEE"/>
    <w:rsid w:val="00221C4B"/>
    <w:rsid w:val="002227DF"/>
    <w:rsid w:val="0022342C"/>
    <w:rsid w:val="00225B50"/>
    <w:rsid w:val="00236DF2"/>
    <w:rsid w:val="002379BE"/>
    <w:rsid w:val="0024152E"/>
    <w:rsid w:val="00242974"/>
    <w:rsid w:val="00244D84"/>
    <w:rsid w:val="00250061"/>
    <w:rsid w:val="00250642"/>
    <w:rsid w:val="00251E4A"/>
    <w:rsid w:val="00251F50"/>
    <w:rsid w:val="00252177"/>
    <w:rsid w:val="00253E30"/>
    <w:rsid w:val="0025493F"/>
    <w:rsid w:val="00257E4D"/>
    <w:rsid w:val="00262865"/>
    <w:rsid w:val="00263279"/>
    <w:rsid w:val="002643FC"/>
    <w:rsid w:val="00270A05"/>
    <w:rsid w:val="0027545F"/>
    <w:rsid w:val="0027610D"/>
    <w:rsid w:val="00282D26"/>
    <w:rsid w:val="00287AEF"/>
    <w:rsid w:val="00287B08"/>
    <w:rsid w:val="00290B98"/>
    <w:rsid w:val="002944D4"/>
    <w:rsid w:val="0029737E"/>
    <w:rsid w:val="00297AD0"/>
    <w:rsid w:val="002A0CC8"/>
    <w:rsid w:val="002A3243"/>
    <w:rsid w:val="002A68B3"/>
    <w:rsid w:val="002B2E78"/>
    <w:rsid w:val="002B49DE"/>
    <w:rsid w:val="002B4E4D"/>
    <w:rsid w:val="002B53D3"/>
    <w:rsid w:val="002B613A"/>
    <w:rsid w:val="002B7177"/>
    <w:rsid w:val="002C041E"/>
    <w:rsid w:val="002C4F5B"/>
    <w:rsid w:val="002C54A1"/>
    <w:rsid w:val="002C5DCD"/>
    <w:rsid w:val="002C658B"/>
    <w:rsid w:val="002D03AB"/>
    <w:rsid w:val="002D2A4E"/>
    <w:rsid w:val="002D5294"/>
    <w:rsid w:val="002D5DFC"/>
    <w:rsid w:val="002D6269"/>
    <w:rsid w:val="002E12C3"/>
    <w:rsid w:val="002E3493"/>
    <w:rsid w:val="002E35BF"/>
    <w:rsid w:val="002E3A0F"/>
    <w:rsid w:val="002E5F5C"/>
    <w:rsid w:val="002E6FD5"/>
    <w:rsid w:val="002E7D88"/>
    <w:rsid w:val="002F0434"/>
    <w:rsid w:val="002F1707"/>
    <w:rsid w:val="002F2F33"/>
    <w:rsid w:val="002F3A26"/>
    <w:rsid w:val="002F449C"/>
    <w:rsid w:val="002F4CD2"/>
    <w:rsid w:val="002F7549"/>
    <w:rsid w:val="00301D49"/>
    <w:rsid w:val="003025C7"/>
    <w:rsid w:val="00302F5C"/>
    <w:rsid w:val="0031124D"/>
    <w:rsid w:val="00313554"/>
    <w:rsid w:val="0031358E"/>
    <w:rsid w:val="003157CC"/>
    <w:rsid w:val="003239D0"/>
    <w:rsid w:val="00324908"/>
    <w:rsid w:val="0033493D"/>
    <w:rsid w:val="00340BDB"/>
    <w:rsid w:val="00340E39"/>
    <w:rsid w:val="003412CB"/>
    <w:rsid w:val="0035214B"/>
    <w:rsid w:val="00353351"/>
    <w:rsid w:val="00353622"/>
    <w:rsid w:val="00357CD8"/>
    <w:rsid w:val="0036105C"/>
    <w:rsid w:val="00361ADE"/>
    <w:rsid w:val="0036495A"/>
    <w:rsid w:val="00366C2C"/>
    <w:rsid w:val="00367440"/>
    <w:rsid w:val="003717EE"/>
    <w:rsid w:val="00371F67"/>
    <w:rsid w:val="003733AE"/>
    <w:rsid w:val="00375E39"/>
    <w:rsid w:val="003760ED"/>
    <w:rsid w:val="00380CBA"/>
    <w:rsid w:val="0038127E"/>
    <w:rsid w:val="00384080"/>
    <w:rsid w:val="003845B3"/>
    <w:rsid w:val="003876E6"/>
    <w:rsid w:val="00391AFA"/>
    <w:rsid w:val="003937EF"/>
    <w:rsid w:val="00393E9B"/>
    <w:rsid w:val="00395455"/>
    <w:rsid w:val="003A5A70"/>
    <w:rsid w:val="003A6230"/>
    <w:rsid w:val="003A6299"/>
    <w:rsid w:val="003B27BA"/>
    <w:rsid w:val="003B366C"/>
    <w:rsid w:val="003B38C1"/>
    <w:rsid w:val="003B59A9"/>
    <w:rsid w:val="003B6B63"/>
    <w:rsid w:val="003B7C31"/>
    <w:rsid w:val="003C37E3"/>
    <w:rsid w:val="003C4CBD"/>
    <w:rsid w:val="003C546B"/>
    <w:rsid w:val="003C7719"/>
    <w:rsid w:val="003D0FBD"/>
    <w:rsid w:val="003D2A6D"/>
    <w:rsid w:val="003E005B"/>
    <w:rsid w:val="003E04DA"/>
    <w:rsid w:val="003E1249"/>
    <w:rsid w:val="003E24EB"/>
    <w:rsid w:val="003E3544"/>
    <w:rsid w:val="003E35A8"/>
    <w:rsid w:val="003E77CB"/>
    <w:rsid w:val="003F47FD"/>
    <w:rsid w:val="003F4B52"/>
    <w:rsid w:val="003F73BA"/>
    <w:rsid w:val="003F73F0"/>
    <w:rsid w:val="00400820"/>
    <w:rsid w:val="00401423"/>
    <w:rsid w:val="00403105"/>
    <w:rsid w:val="00405890"/>
    <w:rsid w:val="00405EF4"/>
    <w:rsid w:val="00411365"/>
    <w:rsid w:val="0041237F"/>
    <w:rsid w:val="00414613"/>
    <w:rsid w:val="0041767B"/>
    <w:rsid w:val="00421D29"/>
    <w:rsid w:val="00421D5F"/>
    <w:rsid w:val="00422831"/>
    <w:rsid w:val="00424197"/>
    <w:rsid w:val="00424A94"/>
    <w:rsid w:val="00425AEF"/>
    <w:rsid w:val="00425F40"/>
    <w:rsid w:val="00426A8D"/>
    <w:rsid w:val="00430861"/>
    <w:rsid w:val="00432D4D"/>
    <w:rsid w:val="00433DCE"/>
    <w:rsid w:val="00437B1B"/>
    <w:rsid w:val="004405B8"/>
    <w:rsid w:val="00442F9D"/>
    <w:rsid w:val="004456A4"/>
    <w:rsid w:val="00445A6D"/>
    <w:rsid w:val="00446A6B"/>
    <w:rsid w:val="0045189C"/>
    <w:rsid w:val="00454AA2"/>
    <w:rsid w:val="00456289"/>
    <w:rsid w:val="00457F24"/>
    <w:rsid w:val="00460E96"/>
    <w:rsid w:val="004636B4"/>
    <w:rsid w:val="004641DC"/>
    <w:rsid w:val="004669A4"/>
    <w:rsid w:val="00466A5B"/>
    <w:rsid w:val="0046799A"/>
    <w:rsid w:val="0047494B"/>
    <w:rsid w:val="00475A85"/>
    <w:rsid w:val="00476F13"/>
    <w:rsid w:val="00480561"/>
    <w:rsid w:val="004806B3"/>
    <w:rsid w:val="00481E51"/>
    <w:rsid w:val="004828A9"/>
    <w:rsid w:val="004849DE"/>
    <w:rsid w:val="00484A65"/>
    <w:rsid w:val="00484E4F"/>
    <w:rsid w:val="0048568D"/>
    <w:rsid w:val="004876DF"/>
    <w:rsid w:val="00492341"/>
    <w:rsid w:val="00492DBE"/>
    <w:rsid w:val="004962CC"/>
    <w:rsid w:val="00497EC1"/>
    <w:rsid w:val="004A0A89"/>
    <w:rsid w:val="004A0BE6"/>
    <w:rsid w:val="004A2249"/>
    <w:rsid w:val="004A26E0"/>
    <w:rsid w:val="004A3CF5"/>
    <w:rsid w:val="004A524A"/>
    <w:rsid w:val="004A56D3"/>
    <w:rsid w:val="004A6B0F"/>
    <w:rsid w:val="004B1ECE"/>
    <w:rsid w:val="004B38C8"/>
    <w:rsid w:val="004B5C2E"/>
    <w:rsid w:val="004B7CB9"/>
    <w:rsid w:val="004C10BA"/>
    <w:rsid w:val="004C27EB"/>
    <w:rsid w:val="004C357A"/>
    <w:rsid w:val="004C405B"/>
    <w:rsid w:val="004C4A6E"/>
    <w:rsid w:val="004C68D1"/>
    <w:rsid w:val="004C6AE7"/>
    <w:rsid w:val="004C72E8"/>
    <w:rsid w:val="004D04DF"/>
    <w:rsid w:val="004D1BF4"/>
    <w:rsid w:val="004D7821"/>
    <w:rsid w:val="004E10C5"/>
    <w:rsid w:val="004E22A7"/>
    <w:rsid w:val="004E39E6"/>
    <w:rsid w:val="004E71DC"/>
    <w:rsid w:val="004E7F97"/>
    <w:rsid w:val="004F1563"/>
    <w:rsid w:val="004F20B0"/>
    <w:rsid w:val="004F2675"/>
    <w:rsid w:val="005012BC"/>
    <w:rsid w:val="00502156"/>
    <w:rsid w:val="00502277"/>
    <w:rsid w:val="005042B5"/>
    <w:rsid w:val="00505C67"/>
    <w:rsid w:val="00510A4F"/>
    <w:rsid w:val="005119E9"/>
    <w:rsid w:val="00512A65"/>
    <w:rsid w:val="005130BE"/>
    <w:rsid w:val="005140F2"/>
    <w:rsid w:val="0052165A"/>
    <w:rsid w:val="00521802"/>
    <w:rsid w:val="00532CD3"/>
    <w:rsid w:val="005345A9"/>
    <w:rsid w:val="00534D8A"/>
    <w:rsid w:val="0054004F"/>
    <w:rsid w:val="00542913"/>
    <w:rsid w:val="00544A9B"/>
    <w:rsid w:val="005452CD"/>
    <w:rsid w:val="005474A5"/>
    <w:rsid w:val="00547D82"/>
    <w:rsid w:val="00550DAB"/>
    <w:rsid w:val="00552105"/>
    <w:rsid w:val="0055354D"/>
    <w:rsid w:val="00554543"/>
    <w:rsid w:val="005555B8"/>
    <w:rsid w:val="005642D9"/>
    <w:rsid w:val="00564C2B"/>
    <w:rsid w:val="00564C37"/>
    <w:rsid w:val="00564D84"/>
    <w:rsid w:val="0057258C"/>
    <w:rsid w:val="00573651"/>
    <w:rsid w:val="005737E5"/>
    <w:rsid w:val="00574E71"/>
    <w:rsid w:val="00581904"/>
    <w:rsid w:val="00582B3F"/>
    <w:rsid w:val="00585309"/>
    <w:rsid w:val="005857E8"/>
    <w:rsid w:val="00590B04"/>
    <w:rsid w:val="00592F78"/>
    <w:rsid w:val="00594EB6"/>
    <w:rsid w:val="0059798F"/>
    <w:rsid w:val="005A163F"/>
    <w:rsid w:val="005A3D73"/>
    <w:rsid w:val="005A4382"/>
    <w:rsid w:val="005A445D"/>
    <w:rsid w:val="005B0EA3"/>
    <w:rsid w:val="005B1B0A"/>
    <w:rsid w:val="005B4CAA"/>
    <w:rsid w:val="005B5062"/>
    <w:rsid w:val="005B6234"/>
    <w:rsid w:val="005C4A91"/>
    <w:rsid w:val="005C5824"/>
    <w:rsid w:val="005C6118"/>
    <w:rsid w:val="005D3575"/>
    <w:rsid w:val="005D3CED"/>
    <w:rsid w:val="005D538F"/>
    <w:rsid w:val="005D63D9"/>
    <w:rsid w:val="005D68D1"/>
    <w:rsid w:val="005E293A"/>
    <w:rsid w:val="005E56FE"/>
    <w:rsid w:val="005E6A82"/>
    <w:rsid w:val="005E7398"/>
    <w:rsid w:val="005F04DC"/>
    <w:rsid w:val="00601165"/>
    <w:rsid w:val="00607971"/>
    <w:rsid w:val="00611A4E"/>
    <w:rsid w:val="006122C0"/>
    <w:rsid w:val="0061281D"/>
    <w:rsid w:val="00612B60"/>
    <w:rsid w:val="00613C46"/>
    <w:rsid w:val="00616889"/>
    <w:rsid w:val="00617F77"/>
    <w:rsid w:val="00623004"/>
    <w:rsid w:val="00635031"/>
    <w:rsid w:val="006369D4"/>
    <w:rsid w:val="00636C51"/>
    <w:rsid w:val="006407FA"/>
    <w:rsid w:val="006427B2"/>
    <w:rsid w:val="00642BEB"/>
    <w:rsid w:val="00647426"/>
    <w:rsid w:val="00647590"/>
    <w:rsid w:val="006526F5"/>
    <w:rsid w:val="006541E5"/>
    <w:rsid w:val="00656C72"/>
    <w:rsid w:val="00657702"/>
    <w:rsid w:val="006619F5"/>
    <w:rsid w:val="0066562D"/>
    <w:rsid w:val="00670998"/>
    <w:rsid w:val="00672050"/>
    <w:rsid w:val="006755B4"/>
    <w:rsid w:val="00685515"/>
    <w:rsid w:val="0068642A"/>
    <w:rsid w:val="00694C76"/>
    <w:rsid w:val="006A029B"/>
    <w:rsid w:val="006A17A1"/>
    <w:rsid w:val="006A61C5"/>
    <w:rsid w:val="006B0F31"/>
    <w:rsid w:val="006B13BC"/>
    <w:rsid w:val="006B32FE"/>
    <w:rsid w:val="006B3959"/>
    <w:rsid w:val="006B4B58"/>
    <w:rsid w:val="006B6925"/>
    <w:rsid w:val="006C138D"/>
    <w:rsid w:val="006C3807"/>
    <w:rsid w:val="006C7491"/>
    <w:rsid w:val="006C761B"/>
    <w:rsid w:val="006D2B37"/>
    <w:rsid w:val="006D3D81"/>
    <w:rsid w:val="006D4AA4"/>
    <w:rsid w:val="006D54FB"/>
    <w:rsid w:val="006D5816"/>
    <w:rsid w:val="006D627E"/>
    <w:rsid w:val="006D62D4"/>
    <w:rsid w:val="006E1A62"/>
    <w:rsid w:val="006E320C"/>
    <w:rsid w:val="006E3D84"/>
    <w:rsid w:val="006E5C6B"/>
    <w:rsid w:val="006E6377"/>
    <w:rsid w:val="006E6640"/>
    <w:rsid w:val="006F2E4F"/>
    <w:rsid w:val="006F5CDC"/>
    <w:rsid w:val="006F6EC2"/>
    <w:rsid w:val="0070058D"/>
    <w:rsid w:val="00702854"/>
    <w:rsid w:val="00702BE5"/>
    <w:rsid w:val="00703C42"/>
    <w:rsid w:val="00704585"/>
    <w:rsid w:val="00704A1A"/>
    <w:rsid w:val="00705833"/>
    <w:rsid w:val="00705924"/>
    <w:rsid w:val="00707B77"/>
    <w:rsid w:val="0071184F"/>
    <w:rsid w:val="00712189"/>
    <w:rsid w:val="007134A2"/>
    <w:rsid w:val="0071688E"/>
    <w:rsid w:val="00717B45"/>
    <w:rsid w:val="0072331C"/>
    <w:rsid w:val="00726CFA"/>
    <w:rsid w:val="0072758A"/>
    <w:rsid w:val="007304D5"/>
    <w:rsid w:val="00730965"/>
    <w:rsid w:val="00735753"/>
    <w:rsid w:val="00735CCC"/>
    <w:rsid w:val="007368DC"/>
    <w:rsid w:val="00736AC9"/>
    <w:rsid w:val="00740B3B"/>
    <w:rsid w:val="00741A4E"/>
    <w:rsid w:val="00742E97"/>
    <w:rsid w:val="007452E0"/>
    <w:rsid w:val="00745BD4"/>
    <w:rsid w:val="007505FB"/>
    <w:rsid w:val="00752997"/>
    <w:rsid w:val="007533EC"/>
    <w:rsid w:val="007561A7"/>
    <w:rsid w:val="007563D2"/>
    <w:rsid w:val="00757618"/>
    <w:rsid w:val="00762606"/>
    <w:rsid w:val="00762B45"/>
    <w:rsid w:val="00762C04"/>
    <w:rsid w:val="0076544A"/>
    <w:rsid w:val="00767402"/>
    <w:rsid w:val="00773E67"/>
    <w:rsid w:val="00774454"/>
    <w:rsid w:val="00774ABF"/>
    <w:rsid w:val="00776E17"/>
    <w:rsid w:val="00782D07"/>
    <w:rsid w:val="007859F8"/>
    <w:rsid w:val="00787079"/>
    <w:rsid w:val="00791384"/>
    <w:rsid w:val="0079191B"/>
    <w:rsid w:val="00791C27"/>
    <w:rsid w:val="00791C75"/>
    <w:rsid w:val="007934F3"/>
    <w:rsid w:val="00795A80"/>
    <w:rsid w:val="00796F15"/>
    <w:rsid w:val="007A0403"/>
    <w:rsid w:val="007A4089"/>
    <w:rsid w:val="007A5936"/>
    <w:rsid w:val="007A5B55"/>
    <w:rsid w:val="007A5F41"/>
    <w:rsid w:val="007A5FEC"/>
    <w:rsid w:val="007B08D1"/>
    <w:rsid w:val="007B161A"/>
    <w:rsid w:val="007B29C6"/>
    <w:rsid w:val="007B4EAA"/>
    <w:rsid w:val="007B790F"/>
    <w:rsid w:val="007C20FA"/>
    <w:rsid w:val="007C27D3"/>
    <w:rsid w:val="007C2C95"/>
    <w:rsid w:val="007C767F"/>
    <w:rsid w:val="007C79FB"/>
    <w:rsid w:val="007D3891"/>
    <w:rsid w:val="007D4584"/>
    <w:rsid w:val="007D4A14"/>
    <w:rsid w:val="007E0D9D"/>
    <w:rsid w:val="007E4B4C"/>
    <w:rsid w:val="007E7ABF"/>
    <w:rsid w:val="007F0907"/>
    <w:rsid w:val="007F0D24"/>
    <w:rsid w:val="007F0D98"/>
    <w:rsid w:val="007F10B5"/>
    <w:rsid w:val="007F1C81"/>
    <w:rsid w:val="007F37B9"/>
    <w:rsid w:val="007F6ABA"/>
    <w:rsid w:val="00800359"/>
    <w:rsid w:val="0080144C"/>
    <w:rsid w:val="00804A98"/>
    <w:rsid w:val="00805C3A"/>
    <w:rsid w:val="008129B1"/>
    <w:rsid w:val="00817A12"/>
    <w:rsid w:val="0082437E"/>
    <w:rsid w:val="008259FD"/>
    <w:rsid w:val="00826C1C"/>
    <w:rsid w:val="00832E86"/>
    <w:rsid w:val="00833BAB"/>
    <w:rsid w:val="00833FCC"/>
    <w:rsid w:val="008356E6"/>
    <w:rsid w:val="00840877"/>
    <w:rsid w:val="0084180A"/>
    <w:rsid w:val="0084197A"/>
    <w:rsid w:val="00843425"/>
    <w:rsid w:val="00845708"/>
    <w:rsid w:val="00846484"/>
    <w:rsid w:val="008478EE"/>
    <w:rsid w:val="00852FB1"/>
    <w:rsid w:val="0085475F"/>
    <w:rsid w:val="00855C39"/>
    <w:rsid w:val="00860119"/>
    <w:rsid w:val="008604B1"/>
    <w:rsid w:val="008609B1"/>
    <w:rsid w:val="0086289E"/>
    <w:rsid w:val="008645C4"/>
    <w:rsid w:val="00865DA0"/>
    <w:rsid w:val="00867884"/>
    <w:rsid w:val="00874538"/>
    <w:rsid w:val="00875104"/>
    <w:rsid w:val="008774D2"/>
    <w:rsid w:val="00883771"/>
    <w:rsid w:val="00883C9D"/>
    <w:rsid w:val="00883EFE"/>
    <w:rsid w:val="0089513F"/>
    <w:rsid w:val="00895699"/>
    <w:rsid w:val="008A153F"/>
    <w:rsid w:val="008A54A9"/>
    <w:rsid w:val="008A6188"/>
    <w:rsid w:val="008A79C6"/>
    <w:rsid w:val="008B28F2"/>
    <w:rsid w:val="008B444F"/>
    <w:rsid w:val="008B683E"/>
    <w:rsid w:val="008C0EF7"/>
    <w:rsid w:val="008C11A2"/>
    <w:rsid w:val="008C20F7"/>
    <w:rsid w:val="008C5F1C"/>
    <w:rsid w:val="008D1B01"/>
    <w:rsid w:val="008D29D0"/>
    <w:rsid w:val="008D2A83"/>
    <w:rsid w:val="008D2D7B"/>
    <w:rsid w:val="008D2D98"/>
    <w:rsid w:val="008D44EB"/>
    <w:rsid w:val="008E3E1A"/>
    <w:rsid w:val="008E4039"/>
    <w:rsid w:val="008E6D25"/>
    <w:rsid w:val="008F1705"/>
    <w:rsid w:val="008F1AA9"/>
    <w:rsid w:val="008F7C5B"/>
    <w:rsid w:val="009049C0"/>
    <w:rsid w:val="00912380"/>
    <w:rsid w:val="009124F6"/>
    <w:rsid w:val="00912E07"/>
    <w:rsid w:val="00913B67"/>
    <w:rsid w:val="00915B08"/>
    <w:rsid w:val="00920201"/>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47214"/>
    <w:rsid w:val="00951A0B"/>
    <w:rsid w:val="00953383"/>
    <w:rsid w:val="009574A8"/>
    <w:rsid w:val="00965025"/>
    <w:rsid w:val="00967E51"/>
    <w:rsid w:val="00971039"/>
    <w:rsid w:val="00971B7B"/>
    <w:rsid w:val="00971D3B"/>
    <w:rsid w:val="00972D48"/>
    <w:rsid w:val="00973332"/>
    <w:rsid w:val="00975E68"/>
    <w:rsid w:val="00977A95"/>
    <w:rsid w:val="00982585"/>
    <w:rsid w:val="00985FA9"/>
    <w:rsid w:val="009902F7"/>
    <w:rsid w:val="0099448D"/>
    <w:rsid w:val="00995A06"/>
    <w:rsid w:val="009A222A"/>
    <w:rsid w:val="009B1FD2"/>
    <w:rsid w:val="009B3AEB"/>
    <w:rsid w:val="009B7AE2"/>
    <w:rsid w:val="009C3EB5"/>
    <w:rsid w:val="009C444B"/>
    <w:rsid w:val="009D3773"/>
    <w:rsid w:val="009D499D"/>
    <w:rsid w:val="009D72AA"/>
    <w:rsid w:val="009E1364"/>
    <w:rsid w:val="009E2AEA"/>
    <w:rsid w:val="009E3183"/>
    <w:rsid w:val="009E36E1"/>
    <w:rsid w:val="009E3783"/>
    <w:rsid w:val="009E37EE"/>
    <w:rsid w:val="009E3EA3"/>
    <w:rsid w:val="009E3ED4"/>
    <w:rsid w:val="009F45FE"/>
    <w:rsid w:val="009F4E1B"/>
    <w:rsid w:val="00A012BE"/>
    <w:rsid w:val="00A01F6A"/>
    <w:rsid w:val="00A045CA"/>
    <w:rsid w:val="00A04DC3"/>
    <w:rsid w:val="00A0597B"/>
    <w:rsid w:val="00A05DAD"/>
    <w:rsid w:val="00A14878"/>
    <w:rsid w:val="00A1707B"/>
    <w:rsid w:val="00A1739A"/>
    <w:rsid w:val="00A17694"/>
    <w:rsid w:val="00A17F2C"/>
    <w:rsid w:val="00A232B9"/>
    <w:rsid w:val="00A33893"/>
    <w:rsid w:val="00A34C9A"/>
    <w:rsid w:val="00A41364"/>
    <w:rsid w:val="00A41F72"/>
    <w:rsid w:val="00A4637F"/>
    <w:rsid w:val="00A54CA1"/>
    <w:rsid w:val="00A62031"/>
    <w:rsid w:val="00A65D80"/>
    <w:rsid w:val="00A672A7"/>
    <w:rsid w:val="00A714DD"/>
    <w:rsid w:val="00A7379C"/>
    <w:rsid w:val="00A73CF1"/>
    <w:rsid w:val="00A75C9A"/>
    <w:rsid w:val="00A835D4"/>
    <w:rsid w:val="00A9123D"/>
    <w:rsid w:val="00A92290"/>
    <w:rsid w:val="00A92534"/>
    <w:rsid w:val="00A927C4"/>
    <w:rsid w:val="00A92BCA"/>
    <w:rsid w:val="00AA12D8"/>
    <w:rsid w:val="00AA3015"/>
    <w:rsid w:val="00AA4399"/>
    <w:rsid w:val="00AA4D97"/>
    <w:rsid w:val="00AA59AF"/>
    <w:rsid w:val="00AB2611"/>
    <w:rsid w:val="00AB35DC"/>
    <w:rsid w:val="00AB419D"/>
    <w:rsid w:val="00AB52D0"/>
    <w:rsid w:val="00AC046B"/>
    <w:rsid w:val="00AC1E16"/>
    <w:rsid w:val="00AC1EDB"/>
    <w:rsid w:val="00AC3A0C"/>
    <w:rsid w:val="00AC3EEC"/>
    <w:rsid w:val="00AC54F8"/>
    <w:rsid w:val="00AC57A5"/>
    <w:rsid w:val="00AC681D"/>
    <w:rsid w:val="00AC6FF1"/>
    <w:rsid w:val="00AD0F67"/>
    <w:rsid w:val="00AD2A14"/>
    <w:rsid w:val="00AD7E8E"/>
    <w:rsid w:val="00AE0F81"/>
    <w:rsid w:val="00AE330D"/>
    <w:rsid w:val="00AF10BB"/>
    <w:rsid w:val="00AF3563"/>
    <w:rsid w:val="00AF3BCE"/>
    <w:rsid w:val="00AF7622"/>
    <w:rsid w:val="00B00238"/>
    <w:rsid w:val="00B019A9"/>
    <w:rsid w:val="00B03218"/>
    <w:rsid w:val="00B03273"/>
    <w:rsid w:val="00B039EC"/>
    <w:rsid w:val="00B10984"/>
    <w:rsid w:val="00B110B5"/>
    <w:rsid w:val="00B167A2"/>
    <w:rsid w:val="00B174E3"/>
    <w:rsid w:val="00B27A5B"/>
    <w:rsid w:val="00B316E7"/>
    <w:rsid w:val="00B333E6"/>
    <w:rsid w:val="00B3398C"/>
    <w:rsid w:val="00B34BDE"/>
    <w:rsid w:val="00B34EF9"/>
    <w:rsid w:val="00B3578F"/>
    <w:rsid w:val="00B35DAD"/>
    <w:rsid w:val="00B41067"/>
    <w:rsid w:val="00B41AE8"/>
    <w:rsid w:val="00B445D0"/>
    <w:rsid w:val="00B4485D"/>
    <w:rsid w:val="00B45C4D"/>
    <w:rsid w:val="00B54620"/>
    <w:rsid w:val="00B55CDD"/>
    <w:rsid w:val="00B56E4F"/>
    <w:rsid w:val="00B57787"/>
    <w:rsid w:val="00B63A7A"/>
    <w:rsid w:val="00B70D13"/>
    <w:rsid w:val="00B7119B"/>
    <w:rsid w:val="00B71606"/>
    <w:rsid w:val="00B746F1"/>
    <w:rsid w:val="00B748AE"/>
    <w:rsid w:val="00B75DB2"/>
    <w:rsid w:val="00B7681E"/>
    <w:rsid w:val="00B832A3"/>
    <w:rsid w:val="00B83AFF"/>
    <w:rsid w:val="00B84958"/>
    <w:rsid w:val="00B866E0"/>
    <w:rsid w:val="00B8768F"/>
    <w:rsid w:val="00B910E8"/>
    <w:rsid w:val="00B9328C"/>
    <w:rsid w:val="00B94CD8"/>
    <w:rsid w:val="00B96F16"/>
    <w:rsid w:val="00BA04AD"/>
    <w:rsid w:val="00BA3D73"/>
    <w:rsid w:val="00BA575D"/>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304A"/>
    <w:rsid w:val="00BE1022"/>
    <w:rsid w:val="00BE283F"/>
    <w:rsid w:val="00BE2ECA"/>
    <w:rsid w:val="00BE597C"/>
    <w:rsid w:val="00BE6870"/>
    <w:rsid w:val="00BE71FD"/>
    <w:rsid w:val="00BE7B19"/>
    <w:rsid w:val="00BF23A6"/>
    <w:rsid w:val="00BF3B3D"/>
    <w:rsid w:val="00BF5A87"/>
    <w:rsid w:val="00BF6341"/>
    <w:rsid w:val="00C0045E"/>
    <w:rsid w:val="00C00FD8"/>
    <w:rsid w:val="00C05E84"/>
    <w:rsid w:val="00C073E4"/>
    <w:rsid w:val="00C07C34"/>
    <w:rsid w:val="00C13962"/>
    <w:rsid w:val="00C154E6"/>
    <w:rsid w:val="00C157ED"/>
    <w:rsid w:val="00C165AD"/>
    <w:rsid w:val="00C16E23"/>
    <w:rsid w:val="00C2082B"/>
    <w:rsid w:val="00C33771"/>
    <w:rsid w:val="00C3411B"/>
    <w:rsid w:val="00C34230"/>
    <w:rsid w:val="00C3661B"/>
    <w:rsid w:val="00C42112"/>
    <w:rsid w:val="00C4692B"/>
    <w:rsid w:val="00C46A0C"/>
    <w:rsid w:val="00C473F7"/>
    <w:rsid w:val="00C5100A"/>
    <w:rsid w:val="00C51884"/>
    <w:rsid w:val="00C549BC"/>
    <w:rsid w:val="00C56251"/>
    <w:rsid w:val="00C56A65"/>
    <w:rsid w:val="00C6072B"/>
    <w:rsid w:val="00C62FDC"/>
    <w:rsid w:val="00C724F5"/>
    <w:rsid w:val="00C73066"/>
    <w:rsid w:val="00C77A1F"/>
    <w:rsid w:val="00C80647"/>
    <w:rsid w:val="00C80836"/>
    <w:rsid w:val="00C84DDE"/>
    <w:rsid w:val="00C87864"/>
    <w:rsid w:val="00C90EAC"/>
    <w:rsid w:val="00C93D01"/>
    <w:rsid w:val="00C96958"/>
    <w:rsid w:val="00CA62C0"/>
    <w:rsid w:val="00CA73CB"/>
    <w:rsid w:val="00CA79BB"/>
    <w:rsid w:val="00CB4161"/>
    <w:rsid w:val="00CB41CF"/>
    <w:rsid w:val="00CB43A2"/>
    <w:rsid w:val="00CB7730"/>
    <w:rsid w:val="00CC12A0"/>
    <w:rsid w:val="00CC26A8"/>
    <w:rsid w:val="00CC443C"/>
    <w:rsid w:val="00CC6EBB"/>
    <w:rsid w:val="00CE3A6F"/>
    <w:rsid w:val="00CE4AE5"/>
    <w:rsid w:val="00CE63F9"/>
    <w:rsid w:val="00CF0A31"/>
    <w:rsid w:val="00CF1E87"/>
    <w:rsid w:val="00CF240F"/>
    <w:rsid w:val="00CF4B5F"/>
    <w:rsid w:val="00CF4FAD"/>
    <w:rsid w:val="00CF6201"/>
    <w:rsid w:val="00CF6B2F"/>
    <w:rsid w:val="00D05CAA"/>
    <w:rsid w:val="00D06129"/>
    <w:rsid w:val="00D114E6"/>
    <w:rsid w:val="00D12D2E"/>
    <w:rsid w:val="00D162D9"/>
    <w:rsid w:val="00D30F03"/>
    <w:rsid w:val="00D33180"/>
    <w:rsid w:val="00D3441A"/>
    <w:rsid w:val="00D41D2D"/>
    <w:rsid w:val="00D44316"/>
    <w:rsid w:val="00D448E6"/>
    <w:rsid w:val="00D4743F"/>
    <w:rsid w:val="00D5065B"/>
    <w:rsid w:val="00D51CBC"/>
    <w:rsid w:val="00D56338"/>
    <w:rsid w:val="00D565F8"/>
    <w:rsid w:val="00D56712"/>
    <w:rsid w:val="00D56ABB"/>
    <w:rsid w:val="00D571B1"/>
    <w:rsid w:val="00D57944"/>
    <w:rsid w:val="00D602E0"/>
    <w:rsid w:val="00D63EFF"/>
    <w:rsid w:val="00D644BD"/>
    <w:rsid w:val="00D65500"/>
    <w:rsid w:val="00D66520"/>
    <w:rsid w:val="00D67E0A"/>
    <w:rsid w:val="00D7566A"/>
    <w:rsid w:val="00D85008"/>
    <w:rsid w:val="00D8754D"/>
    <w:rsid w:val="00D9018E"/>
    <w:rsid w:val="00D92717"/>
    <w:rsid w:val="00D93E05"/>
    <w:rsid w:val="00D9515D"/>
    <w:rsid w:val="00DA3A08"/>
    <w:rsid w:val="00DA4715"/>
    <w:rsid w:val="00DA62DF"/>
    <w:rsid w:val="00DA7439"/>
    <w:rsid w:val="00DB0DA9"/>
    <w:rsid w:val="00DB108A"/>
    <w:rsid w:val="00DC1776"/>
    <w:rsid w:val="00DC4340"/>
    <w:rsid w:val="00DD3239"/>
    <w:rsid w:val="00DE0877"/>
    <w:rsid w:val="00DE0FF8"/>
    <w:rsid w:val="00DE3EBF"/>
    <w:rsid w:val="00DE6D39"/>
    <w:rsid w:val="00DF51CA"/>
    <w:rsid w:val="00DF7501"/>
    <w:rsid w:val="00DF7936"/>
    <w:rsid w:val="00E04B6F"/>
    <w:rsid w:val="00E13833"/>
    <w:rsid w:val="00E17406"/>
    <w:rsid w:val="00E20AE5"/>
    <w:rsid w:val="00E20F00"/>
    <w:rsid w:val="00E21601"/>
    <w:rsid w:val="00E23A38"/>
    <w:rsid w:val="00E23B6B"/>
    <w:rsid w:val="00E265A0"/>
    <w:rsid w:val="00E266DE"/>
    <w:rsid w:val="00E311F5"/>
    <w:rsid w:val="00E34BF8"/>
    <w:rsid w:val="00E35B1E"/>
    <w:rsid w:val="00E44A7E"/>
    <w:rsid w:val="00E51559"/>
    <w:rsid w:val="00E51D65"/>
    <w:rsid w:val="00E54650"/>
    <w:rsid w:val="00E548DB"/>
    <w:rsid w:val="00E552BD"/>
    <w:rsid w:val="00E55649"/>
    <w:rsid w:val="00E56A50"/>
    <w:rsid w:val="00E5798A"/>
    <w:rsid w:val="00E628D9"/>
    <w:rsid w:val="00E63ADA"/>
    <w:rsid w:val="00E640E0"/>
    <w:rsid w:val="00E64C5F"/>
    <w:rsid w:val="00E664F4"/>
    <w:rsid w:val="00E72855"/>
    <w:rsid w:val="00E74C1D"/>
    <w:rsid w:val="00E7556E"/>
    <w:rsid w:val="00E81B2F"/>
    <w:rsid w:val="00E844ED"/>
    <w:rsid w:val="00E852C4"/>
    <w:rsid w:val="00E85810"/>
    <w:rsid w:val="00E85B0A"/>
    <w:rsid w:val="00E90558"/>
    <w:rsid w:val="00E909CD"/>
    <w:rsid w:val="00E92248"/>
    <w:rsid w:val="00E92BD1"/>
    <w:rsid w:val="00E935A1"/>
    <w:rsid w:val="00E93FB6"/>
    <w:rsid w:val="00EA1715"/>
    <w:rsid w:val="00EA31FD"/>
    <w:rsid w:val="00EA3C2B"/>
    <w:rsid w:val="00EA4349"/>
    <w:rsid w:val="00EA5A32"/>
    <w:rsid w:val="00EB2F51"/>
    <w:rsid w:val="00EB3BF0"/>
    <w:rsid w:val="00EB6C7D"/>
    <w:rsid w:val="00EB6CCD"/>
    <w:rsid w:val="00EC0273"/>
    <w:rsid w:val="00EC25BA"/>
    <w:rsid w:val="00ED0AD5"/>
    <w:rsid w:val="00ED1DE2"/>
    <w:rsid w:val="00ED1F31"/>
    <w:rsid w:val="00ED3630"/>
    <w:rsid w:val="00ED6555"/>
    <w:rsid w:val="00ED7140"/>
    <w:rsid w:val="00EE7B48"/>
    <w:rsid w:val="00EF0AFA"/>
    <w:rsid w:val="00EF38E5"/>
    <w:rsid w:val="00EF5C33"/>
    <w:rsid w:val="00EF6AB8"/>
    <w:rsid w:val="00EF7C6E"/>
    <w:rsid w:val="00F012F4"/>
    <w:rsid w:val="00F0546E"/>
    <w:rsid w:val="00F0672D"/>
    <w:rsid w:val="00F06D82"/>
    <w:rsid w:val="00F072E1"/>
    <w:rsid w:val="00F11185"/>
    <w:rsid w:val="00F11DDA"/>
    <w:rsid w:val="00F11EAE"/>
    <w:rsid w:val="00F12617"/>
    <w:rsid w:val="00F12E98"/>
    <w:rsid w:val="00F14DDA"/>
    <w:rsid w:val="00F15284"/>
    <w:rsid w:val="00F169CB"/>
    <w:rsid w:val="00F207AB"/>
    <w:rsid w:val="00F2161A"/>
    <w:rsid w:val="00F21724"/>
    <w:rsid w:val="00F21A81"/>
    <w:rsid w:val="00F21CC1"/>
    <w:rsid w:val="00F22D61"/>
    <w:rsid w:val="00F2324D"/>
    <w:rsid w:val="00F2428F"/>
    <w:rsid w:val="00F25075"/>
    <w:rsid w:val="00F25CA1"/>
    <w:rsid w:val="00F27444"/>
    <w:rsid w:val="00F317CA"/>
    <w:rsid w:val="00F323E7"/>
    <w:rsid w:val="00F324D2"/>
    <w:rsid w:val="00F32A56"/>
    <w:rsid w:val="00F335E4"/>
    <w:rsid w:val="00F358C3"/>
    <w:rsid w:val="00F40104"/>
    <w:rsid w:val="00F413D8"/>
    <w:rsid w:val="00F42100"/>
    <w:rsid w:val="00F4247A"/>
    <w:rsid w:val="00F42A9B"/>
    <w:rsid w:val="00F45470"/>
    <w:rsid w:val="00F45E6E"/>
    <w:rsid w:val="00F464FE"/>
    <w:rsid w:val="00F47621"/>
    <w:rsid w:val="00F50F72"/>
    <w:rsid w:val="00F570AB"/>
    <w:rsid w:val="00F61C28"/>
    <w:rsid w:val="00F645F1"/>
    <w:rsid w:val="00F6591A"/>
    <w:rsid w:val="00F70D35"/>
    <w:rsid w:val="00F7546C"/>
    <w:rsid w:val="00F77B00"/>
    <w:rsid w:val="00F77DFF"/>
    <w:rsid w:val="00F83B6F"/>
    <w:rsid w:val="00F857BC"/>
    <w:rsid w:val="00F90273"/>
    <w:rsid w:val="00F90BD0"/>
    <w:rsid w:val="00F91EEF"/>
    <w:rsid w:val="00F93ACB"/>
    <w:rsid w:val="00F93C4F"/>
    <w:rsid w:val="00F95994"/>
    <w:rsid w:val="00FA6175"/>
    <w:rsid w:val="00FA6784"/>
    <w:rsid w:val="00FA7E00"/>
    <w:rsid w:val="00FB1780"/>
    <w:rsid w:val="00FB35C6"/>
    <w:rsid w:val="00FB3647"/>
    <w:rsid w:val="00FB4343"/>
    <w:rsid w:val="00FB4C5A"/>
    <w:rsid w:val="00FB59A1"/>
    <w:rsid w:val="00FB5BFA"/>
    <w:rsid w:val="00FB6F79"/>
    <w:rsid w:val="00FC7C25"/>
    <w:rsid w:val="00FD1C2E"/>
    <w:rsid w:val="00FD3574"/>
    <w:rsid w:val="00FD60D2"/>
    <w:rsid w:val="00FD6A7D"/>
    <w:rsid w:val="00FD6FC9"/>
    <w:rsid w:val="00FE02C2"/>
    <w:rsid w:val="00FE2D34"/>
    <w:rsid w:val="00FE3373"/>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860833">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8bd9498f-fa43-4ae2-8bb2-4c55a71680ad"/>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47134-4999-462E-9D69-0E235031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2017-10-13T03:39:00Z</cp:lastPrinted>
  <dcterms:created xsi:type="dcterms:W3CDTF">2018-06-05T03:00:00Z</dcterms:created>
  <dcterms:modified xsi:type="dcterms:W3CDTF">2018-06-05T03:00:00Z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