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3B6C8" w14:textId="71EC0A26" w:rsidR="00A019DA" w:rsidRPr="00045CBE" w:rsidRDefault="007816F0" w:rsidP="00B321B0">
      <w:pPr>
        <w:spacing w:after="240"/>
        <w:jc w:val="center"/>
        <w:rPr>
          <w:rFonts w:ascii="Times New Roman" w:eastAsia="Times New Roman" w:hAnsi="Times New Roman"/>
          <w:b/>
          <w:sz w:val="24"/>
          <w:szCs w:val="24"/>
          <w:lang w:eastAsia="en-AU"/>
        </w:rPr>
      </w:pPr>
      <w:bookmarkStart w:id="0" w:name="_GoBack"/>
      <w:bookmarkEnd w:id="0"/>
      <w:r w:rsidRPr="00045CBE">
        <w:rPr>
          <w:rFonts w:ascii="Times New Roman" w:eastAsia="Times New Roman" w:hAnsi="Times New Roman"/>
          <w:b/>
          <w:sz w:val="24"/>
          <w:szCs w:val="24"/>
          <w:lang w:eastAsia="en-AU"/>
        </w:rPr>
        <w:t xml:space="preserve">Insurance, Life Insurance and </w:t>
      </w:r>
      <w:r w:rsidR="004F51B6" w:rsidRPr="00045CBE">
        <w:rPr>
          <w:rFonts w:ascii="Times New Roman" w:eastAsia="Times New Roman" w:hAnsi="Times New Roman"/>
          <w:b/>
          <w:sz w:val="24"/>
          <w:szCs w:val="24"/>
          <w:lang w:eastAsia="en-AU"/>
        </w:rPr>
        <w:t xml:space="preserve">Health Insurance </w:t>
      </w:r>
      <w:r w:rsidR="00A019DA" w:rsidRPr="00045CBE">
        <w:rPr>
          <w:rFonts w:ascii="Times New Roman" w:eastAsia="Times New Roman" w:hAnsi="Times New Roman"/>
          <w:b/>
          <w:sz w:val="24"/>
          <w:szCs w:val="24"/>
          <w:lang w:eastAsia="en-AU"/>
        </w:rPr>
        <w:t>(prudential standard</w:t>
      </w:r>
      <w:r w:rsidR="007A57EC" w:rsidRPr="00045CBE">
        <w:rPr>
          <w:rFonts w:ascii="Times New Roman" w:eastAsia="Times New Roman" w:hAnsi="Times New Roman"/>
          <w:b/>
          <w:sz w:val="24"/>
          <w:szCs w:val="24"/>
          <w:lang w:eastAsia="en-AU"/>
        </w:rPr>
        <w:t>s</w:t>
      </w:r>
      <w:r w:rsidR="00A019DA" w:rsidRPr="00045CBE">
        <w:rPr>
          <w:rFonts w:ascii="Times New Roman" w:eastAsia="Times New Roman" w:hAnsi="Times New Roman"/>
          <w:b/>
          <w:sz w:val="24"/>
          <w:szCs w:val="24"/>
          <w:lang w:eastAsia="en-AU"/>
        </w:rPr>
        <w:t>) determination No.</w:t>
      </w:r>
      <w:r w:rsidR="00F802E2" w:rsidRPr="00045CBE">
        <w:rPr>
          <w:rFonts w:ascii="Times New Roman" w:eastAsia="Times New Roman" w:hAnsi="Times New Roman"/>
          <w:b/>
          <w:sz w:val="24"/>
          <w:szCs w:val="24"/>
          <w:lang w:eastAsia="en-AU"/>
        </w:rPr>
        <w:t>1</w:t>
      </w:r>
      <w:r w:rsidR="004F51B6" w:rsidRPr="00045CBE">
        <w:rPr>
          <w:rFonts w:ascii="Times New Roman" w:eastAsia="Times New Roman" w:hAnsi="Times New Roman"/>
          <w:b/>
          <w:sz w:val="24"/>
          <w:szCs w:val="24"/>
          <w:lang w:eastAsia="en-AU"/>
        </w:rPr>
        <w:t xml:space="preserve"> of 2018</w:t>
      </w:r>
    </w:p>
    <w:p w14:paraId="5B9741E1" w14:textId="0DC1CDAD" w:rsidR="00F802E2" w:rsidRPr="00045CBE" w:rsidRDefault="00F802E2" w:rsidP="00F802E2">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Insurance (prudential standard) determination</w:t>
      </w:r>
      <w:r w:rsidR="00A8122B" w:rsidRPr="00045CBE">
        <w:rPr>
          <w:rFonts w:ascii="Times New Roman" w:eastAsia="Times New Roman" w:hAnsi="Times New Roman"/>
          <w:b/>
          <w:sz w:val="24"/>
          <w:szCs w:val="24"/>
          <w:lang w:eastAsia="en-AU"/>
        </w:rPr>
        <w:t>s</w:t>
      </w:r>
      <w:r w:rsidRPr="00045CBE">
        <w:rPr>
          <w:rFonts w:ascii="Times New Roman" w:eastAsia="Times New Roman" w:hAnsi="Times New Roman"/>
          <w:b/>
          <w:sz w:val="24"/>
          <w:szCs w:val="24"/>
          <w:lang w:eastAsia="en-AU"/>
        </w:rPr>
        <w:t xml:space="preserve"> No</w:t>
      </w:r>
      <w:r w:rsidR="00A8122B" w:rsidRPr="00045CBE">
        <w:rPr>
          <w:rFonts w:ascii="Times New Roman" w:eastAsia="Times New Roman" w:hAnsi="Times New Roman"/>
          <w:b/>
          <w:sz w:val="24"/>
          <w:szCs w:val="24"/>
          <w:lang w:eastAsia="en-AU"/>
        </w:rPr>
        <w:t>s</w:t>
      </w:r>
      <w:r w:rsidRPr="00045CBE">
        <w:rPr>
          <w:rFonts w:ascii="Times New Roman" w:eastAsia="Times New Roman" w:hAnsi="Times New Roman"/>
          <w:b/>
          <w:sz w:val="24"/>
          <w:szCs w:val="24"/>
          <w:lang w:eastAsia="en-AU"/>
        </w:rPr>
        <w:t>.2 to 3 of 2018</w:t>
      </w:r>
    </w:p>
    <w:p w14:paraId="60837294" w14:textId="3BD60BAA" w:rsidR="00F802E2" w:rsidRPr="00045CBE" w:rsidRDefault="00F802E2" w:rsidP="00F802E2">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Life Insurance (prudential standard) determination No.2 of 2018</w:t>
      </w:r>
    </w:p>
    <w:p w14:paraId="2FC7FA2A" w14:textId="77777777" w:rsidR="00A019DA" w:rsidRPr="00045CBE" w:rsidRDefault="00A019DA" w:rsidP="00B321B0">
      <w:pPr>
        <w:spacing w:after="240"/>
        <w:jc w:val="center"/>
        <w:rPr>
          <w:rFonts w:ascii="Times New Roman" w:eastAsia="Times New Roman" w:hAnsi="Times New Roman"/>
          <w:b/>
          <w:sz w:val="24"/>
          <w:szCs w:val="24"/>
          <w:lang w:eastAsia="en-AU"/>
        </w:rPr>
      </w:pPr>
      <w:bookmarkStart w:id="1" w:name="bkStart"/>
      <w:bookmarkStart w:id="2" w:name="bkInstrumentSubTitle"/>
      <w:bookmarkEnd w:id="1"/>
      <w:bookmarkEnd w:id="2"/>
      <w:r w:rsidRPr="00045CBE">
        <w:rPr>
          <w:rFonts w:ascii="Times New Roman" w:eastAsia="Times New Roman" w:hAnsi="Times New Roman"/>
          <w:b/>
          <w:sz w:val="24"/>
          <w:szCs w:val="24"/>
          <w:u w:val="single"/>
          <w:lang w:eastAsia="en-AU"/>
        </w:rPr>
        <w:t>EXPLANATORY STATEMENT</w:t>
      </w:r>
    </w:p>
    <w:p w14:paraId="25D4D921" w14:textId="77777777" w:rsidR="00A019DA" w:rsidRPr="00045CBE" w:rsidRDefault="00A019DA" w:rsidP="00B321B0">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Prepared by the Australian Prudential Regulation Authority (</w:t>
      </w:r>
      <w:r w:rsidRPr="00045CBE">
        <w:rPr>
          <w:rFonts w:ascii="Times New Roman" w:eastAsia="Times New Roman" w:hAnsi="Times New Roman"/>
          <w:b/>
          <w:iCs/>
          <w:sz w:val="24"/>
          <w:szCs w:val="24"/>
          <w:lang w:eastAsia="en-AU"/>
        </w:rPr>
        <w:t>APRA</w:t>
      </w:r>
      <w:r w:rsidRPr="00045CBE">
        <w:rPr>
          <w:rFonts w:ascii="Times New Roman" w:eastAsia="Times New Roman" w:hAnsi="Times New Roman"/>
          <w:b/>
          <w:sz w:val="24"/>
          <w:szCs w:val="24"/>
          <w:lang w:eastAsia="en-AU"/>
        </w:rPr>
        <w:t>)</w:t>
      </w:r>
    </w:p>
    <w:p w14:paraId="47CE3B19" w14:textId="77777777" w:rsidR="007816F0" w:rsidRPr="00045CBE" w:rsidRDefault="007816F0" w:rsidP="00092E8C">
      <w:pPr>
        <w:shd w:val="clear" w:color="auto" w:fill="FFFFFF" w:themeFill="background1"/>
        <w:spacing w:after="240"/>
        <w:jc w:val="center"/>
        <w:rPr>
          <w:rFonts w:ascii="Times New Roman" w:hAnsi="Times New Roman"/>
          <w:sz w:val="24"/>
          <w:szCs w:val="24"/>
          <w:lang w:val="en-US"/>
        </w:rPr>
      </w:pPr>
      <w:bookmarkStart w:id="3" w:name="bkExplanatory"/>
      <w:bookmarkStart w:id="4" w:name="bkAct"/>
      <w:bookmarkEnd w:id="3"/>
      <w:bookmarkEnd w:id="4"/>
      <w:r w:rsidRPr="00045CBE">
        <w:rPr>
          <w:rFonts w:ascii="Times New Roman" w:hAnsi="Times New Roman"/>
          <w:i/>
          <w:iCs/>
          <w:color w:val="000000"/>
          <w:sz w:val="24"/>
          <w:szCs w:val="24"/>
        </w:rPr>
        <w:t>Insurance Act 1973</w:t>
      </w:r>
      <w:r w:rsidRPr="00045CBE">
        <w:rPr>
          <w:rFonts w:ascii="Times New Roman" w:hAnsi="Times New Roman"/>
          <w:color w:val="000000"/>
          <w:sz w:val="24"/>
          <w:szCs w:val="24"/>
        </w:rPr>
        <w:t>, section 32</w:t>
      </w:r>
    </w:p>
    <w:p w14:paraId="4DBDF75D" w14:textId="77777777" w:rsidR="007816F0" w:rsidRPr="00045CBE" w:rsidRDefault="007816F0" w:rsidP="00092E8C">
      <w:pPr>
        <w:shd w:val="clear" w:color="auto" w:fill="FFFFFF" w:themeFill="background1"/>
        <w:spacing w:after="240"/>
        <w:jc w:val="center"/>
        <w:rPr>
          <w:rFonts w:ascii="Times New Roman" w:hAnsi="Times New Roman"/>
          <w:color w:val="000000"/>
          <w:sz w:val="24"/>
          <w:szCs w:val="24"/>
        </w:rPr>
      </w:pPr>
      <w:r w:rsidRPr="00045CBE">
        <w:rPr>
          <w:rFonts w:ascii="Times New Roman" w:hAnsi="Times New Roman"/>
          <w:i/>
          <w:iCs/>
          <w:color w:val="000000"/>
          <w:sz w:val="24"/>
          <w:szCs w:val="24"/>
        </w:rPr>
        <w:t>Life Insurance Act 1995</w:t>
      </w:r>
      <w:r w:rsidRPr="00045CBE">
        <w:rPr>
          <w:rFonts w:ascii="Times New Roman" w:hAnsi="Times New Roman"/>
          <w:color w:val="000000"/>
          <w:sz w:val="24"/>
          <w:szCs w:val="24"/>
        </w:rPr>
        <w:t>, section 230A</w:t>
      </w:r>
    </w:p>
    <w:p w14:paraId="0BC776FE" w14:textId="77777777" w:rsidR="007816F0" w:rsidRPr="00045CBE" w:rsidRDefault="007816F0" w:rsidP="007816F0">
      <w:pPr>
        <w:shd w:val="clear" w:color="auto" w:fill="FFFFFF" w:themeFill="background1"/>
        <w:jc w:val="center"/>
        <w:rPr>
          <w:rFonts w:ascii="Times New Roman" w:hAnsi="Times New Roman"/>
          <w:sz w:val="24"/>
          <w:szCs w:val="24"/>
          <w:lang w:val="en-US"/>
        </w:rPr>
      </w:pPr>
      <w:r w:rsidRPr="00045CBE">
        <w:rPr>
          <w:rFonts w:ascii="Times New Roman" w:hAnsi="Times New Roman"/>
          <w:i/>
          <w:sz w:val="24"/>
          <w:szCs w:val="24"/>
          <w:shd w:val="clear" w:color="auto" w:fill="FFFFFF" w:themeFill="background1"/>
          <w:lang w:val="en-US"/>
        </w:rPr>
        <w:t>Private Health Insurance (Prudential Supervision) Act 2015</w:t>
      </w:r>
      <w:r w:rsidRPr="00045CBE">
        <w:rPr>
          <w:rFonts w:ascii="Times New Roman" w:hAnsi="Times New Roman"/>
          <w:sz w:val="24"/>
          <w:szCs w:val="24"/>
          <w:shd w:val="clear" w:color="auto" w:fill="FFFFFF" w:themeFill="background1"/>
          <w:lang w:val="en-US"/>
        </w:rPr>
        <w:t>, section 92</w:t>
      </w:r>
    </w:p>
    <w:p w14:paraId="7E2C9755" w14:textId="53E2B16B" w:rsidR="007816F0" w:rsidRPr="00045CBE" w:rsidRDefault="007816F0" w:rsidP="009D7325">
      <w:pPr>
        <w:shd w:val="clear" w:color="auto" w:fill="FFFFFF" w:themeFill="background1"/>
        <w:spacing w:before="100" w:beforeAutospacing="1" w:after="100" w:afterAutospacing="1"/>
        <w:jc w:val="both"/>
        <w:rPr>
          <w:rFonts w:ascii="Times New Roman" w:hAnsi="Times New Roman"/>
          <w:sz w:val="24"/>
          <w:szCs w:val="24"/>
          <w:lang w:val="en-US"/>
        </w:rPr>
      </w:pPr>
      <w:r w:rsidRPr="00045CBE">
        <w:rPr>
          <w:rFonts w:ascii="Times New Roman" w:hAnsi="Times New Roman"/>
          <w:sz w:val="24"/>
          <w:szCs w:val="24"/>
        </w:rPr>
        <w:t xml:space="preserve">APRA may, in writing, determine a prudential standard that applies to an </w:t>
      </w:r>
      <w:r w:rsidR="007A57EC" w:rsidRPr="00045CBE">
        <w:rPr>
          <w:rFonts w:ascii="Times New Roman" w:hAnsi="Times New Roman"/>
          <w:sz w:val="24"/>
          <w:szCs w:val="24"/>
        </w:rPr>
        <w:t xml:space="preserve">APRA-regulated </w:t>
      </w:r>
      <w:r w:rsidRPr="00045CBE">
        <w:rPr>
          <w:rFonts w:ascii="Times New Roman" w:hAnsi="Times New Roman"/>
          <w:sz w:val="24"/>
          <w:szCs w:val="24"/>
        </w:rPr>
        <w:t>institution under:</w:t>
      </w:r>
    </w:p>
    <w:p w14:paraId="684ECDE5" w14:textId="42D9EA01" w:rsidR="007816F0" w:rsidRPr="00045CBE" w:rsidRDefault="007816F0" w:rsidP="009D7325">
      <w:pPr>
        <w:shd w:val="clear" w:color="auto" w:fill="FFFFFF" w:themeFill="background1"/>
        <w:spacing w:before="100" w:beforeAutospacing="1" w:after="100" w:afterAutospacing="1"/>
        <w:ind w:left="567" w:hanging="567"/>
        <w:jc w:val="both"/>
        <w:rPr>
          <w:rFonts w:ascii="Times New Roman" w:hAnsi="Times New Roman"/>
          <w:sz w:val="24"/>
          <w:szCs w:val="24"/>
          <w:lang w:val="en-US"/>
        </w:rPr>
      </w:pPr>
      <w:r w:rsidRPr="00045CBE">
        <w:rPr>
          <w:rFonts w:ascii="Times New Roman" w:hAnsi="Times New Roman"/>
          <w:sz w:val="24"/>
          <w:szCs w:val="24"/>
        </w:rPr>
        <w:t xml:space="preserve"> (1)</w:t>
      </w:r>
      <w:r w:rsidRPr="00045CBE">
        <w:rPr>
          <w:rFonts w:ascii="Times New Roman" w:hAnsi="Times New Roman"/>
          <w:sz w:val="24"/>
          <w:szCs w:val="24"/>
        </w:rPr>
        <w:tab/>
      </w:r>
      <w:proofErr w:type="gramStart"/>
      <w:r w:rsidRPr="00045CBE">
        <w:rPr>
          <w:rFonts w:ascii="Times New Roman" w:hAnsi="Times New Roman"/>
          <w:sz w:val="24"/>
          <w:szCs w:val="24"/>
        </w:rPr>
        <w:t>subsection</w:t>
      </w:r>
      <w:proofErr w:type="gramEnd"/>
      <w:r w:rsidRPr="00045CBE">
        <w:rPr>
          <w:rFonts w:ascii="Times New Roman" w:hAnsi="Times New Roman"/>
          <w:sz w:val="24"/>
          <w:szCs w:val="24"/>
        </w:rPr>
        <w:t xml:space="preserve"> 32(1) of the </w:t>
      </w:r>
      <w:r w:rsidRPr="00045CBE">
        <w:rPr>
          <w:rFonts w:ascii="Times New Roman" w:hAnsi="Times New Roman"/>
          <w:i/>
          <w:iCs/>
          <w:sz w:val="24"/>
          <w:szCs w:val="24"/>
        </w:rPr>
        <w:t>Insurance Act 1973</w:t>
      </w:r>
      <w:r w:rsidRPr="00045CBE">
        <w:rPr>
          <w:rFonts w:ascii="Times New Roman" w:hAnsi="Times New Roman"/>
          <w:sz w:val="24"/>
          <w:szCs w:val="24"/>
        </w:rPr>
        <w:t xml:space="preserve"> (Insurance Act), in relation to general insurers, authorised non-operating holding companies (authorised insurance NOHCs), and subsidiaries of general insurers and authorised insurance NOHCs</w:t>
      </w:r>
      <w:r w:rsidR="00EC5B18" w:rsidRPr="00045CBE">
        <w:rPr>
          <w:rFonts w:ascii="Times New Roman" w:hAnsi="Times New Roman"/>
          <w:sz w:val="24"/>
          <w:szCs w:val="24"/>
        </w:rPr>
        <w:t>. Under subsection 32(4) of the Insurance Act, APRA may, in writing, vary or revoke a prudential standard</w:t>
      </w:r>
      <w:r w:rsidRPr="00045CBE">
        <w:rPr>
          <w:rFonts w:ascii="Times New Roman" w:hAnsi="Times New Roman"/>
          <w:sz w:val="24"/>
          <w:szCs w:val="24"/>
        </w:rPr>
        <w:t xml:space="preserve">; </w:t>
      </w:r>
    </w:p>
    <w:p w14:paraId="323DB80A" w14:textId="4045E4BF" w:rsidR="007816F0" w:rsidRPr="00045CBE" w:rsidRDefault="007816F0" w:rsidP="009D7325">
      <w:pPr>
        <w:shd w:val="clear" w:color="auto" w:fill="FFFFFF" w:themeFill="background1"/>
        <w:spacing w:before="100" w:beforeAutospacing="1" w:after="100" w:afterAutospacing="1"/>
        <w:ind w:left="567" w:hanging="567"/>
        <w:jc w:val="both"/>
        <w:rPr>
          <w:rFonts w:ascii="Times New Roman" w:hAnsi="Times New Roman"/>
          <w:sz w:val="24"/>
          <w:szCs w:val="24"/>
        </w:rPr>
      </w:pPr>
      <w:r w:rsidRPr="00045CBE">
        <w:rPr>
          <w:rFonts w:ascii="Times New Roman" w:hAnsi="Times New Roman"/>
          <w:sz w:val="24"/>
          <w:szCs w:val="24"/>
        </w:rPr>
        <w:t>(2)</w:t>
      </w:r>
      <w:r w:rsidRPr="00045CBE">
        <w:rPr>
          <w:rFonts w:ascii="Times New Roman" w:hAnsi="Times New Roman"/>
          <w:sz w:val="24"/>
          <w:szCs w:val="24"/>
        </w:rPr>
        <w:tab/>
      </w:r>
      <w:proofErr w:type="gramStart"/>
      <w:r w:rsidRPr="00045CBE">
        <w:rPr>
          <w:rFonts w:ascii="Times New Roman" w:hAnsi="Times New Roman"/>
          <w:sz w:val="24"/>
          <w:szCs w:val="24"/>
        </w:rPr>
        <w:t>subsection</w:t>
      </w:r>
      <w:proofErr w:type="gramEnd"/>
      <w:r w:rsidRPr="00045CBE">
        <w:rPr>
          <w:rFonts w:ascii="Times New Roman" w:hAnsi="Times New Roman"/>
          <w:sz w:val="24"/>
          <w:szCs w:val="24"/>
        </w:rPr>
        <w:t xml:space="preserve"> 230A(1) of the </w:t>
      </w:r>
      <w:r w:rsidRPr="00045CBE">
        <w:rPr>
          <w:rFonts w:ascii="Times New Roman" w:hAnsi="Times New Roman"/>
          <w:i/>
          <w:iCs/>
          <w:sz w:val="24"/>
          <w:szCs w:val="24"/>
        </w:rPr>
        <w:t>Life Insurance Act 1995</w:t>
      </w:r>
      <w:r w:rsidRPr="00045CBE">
        <w:rPr>
          <w:rFonts w:ascii="Times New Roman" w:hAnsi="Times New Roman"/>
          <w:sz w:val="24"/>
          <w:szCs w:val="24"/>
        </w:rPr>
        <w:t xml:space="preserve"> (Life Insurance Act), in relation to life companies</w:t>
      </w:r>
      <w:r w:rsidR="00E40A94" w:rsidRPr="00045CBE">
        <w:rPr>
          <w:rFonts w:ascii="Times New Roman" w:hAnsi="Times New Roman"/>
          <w:sz w:val="24"/>
          <w:szCs w:val="24"/>
        </w:rPr>
        <w:t xml:space="preserve"> </w:t>
      </w:r>
      <w:r w:rsidR="00722F0D" w:rsidRPr="00045CBE">
        <w:rPr>
          <w:rFonts w:ascii="Times New Roman" w:hAnsi="Times New Roman"/>
          <w:sz w:val="24"/>
          <w:szCs w:val="24"/>
        </w:rPr>
        <w:t>(including friendly societies),</w:t>
      </w:r>
      <w:r w:rsidRPr="00045CBE">
        <w:rPr>
          <w:rFonts w:ascii="Times New Roman" w:hAnsi="Times New Roman"/>
          <w:sz w:val="24"/>
          <w:szCs w:val="24"/>
        </w:rPr>
        <w:t>registered non-operating holding companies (registered life NOHCs), and subsidiaries of life companies and registered life NOHCs</w:t>
      </w:r>
      <w:r w:rsidR="00E40A94" w:rsidRPr="00045CBE">
        <w:rPr>
          <w:rFonts w:ascii="Times New Roman" w:hAnsi="Times New Roman"/>
          <w:sz w:val="24"/>
          <w:szCs w:val="24"/>
        </w:rPr>
        <w:t xml:space="preserve">. Under subsection </w:t>
      </w:r>
      <w:proofErr w:type="gramStart"/>
      <w:r w:rsidR="003147ED" w:rsidRPr="00045CBE">
        <w:rPr>
          <w:rFonts w:ascii="Times New Roman" w:hAnsi="Times New Roman"/>
          <w:sz w:val="24"/>
          <w:szCs w:val="24"/>
        </w:rPr>
        <w:t>230A(</w:t>
      </w:r>
      <w:proofErr w:type="gramEnd"/>
      <w:r w:rsidR="003147ED" w:rsidRPr="00045CBE">
        <w:rPr>
          <w:rFonts w:ascii="Times New Roman" w:hAnsi="Times New Roman"/>
          <w:sz w:val="24"/>
          <w:szCs w:val="24"/>
        </w:rPr>
        <w:t>5) of the Life Insurance Act, APRA may, in writing, vary or revoke a standard</w:t>
      </w:r>
      <w:r w:rsidRPr="00045CBE">
        <w:rPr>
          <w:rFonts w:ascii="Times New Roman" w:hAnsi="Times New Roman"/>
          <w:sz w:val="24"/>
          <w:szCs w:val="24"/>
        </w:rPr>
        <w:t>; and</w:t>
      </w:r>
    </w:p>
    <w:p w14:paraId="04CA160D" w14:textId="67BEAE6A" w:rsidR="007816F0" w:rsidRPr="00045CBE" w:rsidRDefault="007816F0" w:rsidP="009D7325">
      <w:pPr>
        <w:shd w:val="clear" w:color="auto" w:fill="FFFFFF" w:themeFill="background1"/>
        <w:spacing w:before="100" w:beforeAutospacing="1" w:after="100" w:afterAutospacing="1"/>
        <w:ind w:left="567" w:hanging="567"/>
        <w:jc w:val="both"/>
        <w:rPr>
          <w:rFonts w:ascii="Times New Roman" w:hAnsi="Times New Roman"/>
          <w:sz w:val="24"/>
          <w:szCs w:val="24"/>
          <w:lang w:val="en-US"/>
        </w:rPr>
      </w:pPr>
      <w:r w:rsidRPr="00045CBE">
        <w:rPr>
          <w:rFonts w:ascii="Times New Roman" w:hAnsi="Times New Roman"/>
          <w:sz w:val="24"/>
          <w:szCs w:val="24"/>
          <w:shd w:val="clear" w:color="auto" w:fill="FFFFFF" w:themeFill="background1"/>
        </w:rPr>
        <w:t xml:space="preserve">(3) </w:t>
      </w:r>
      <w:r w:rsidRPr="00045CBE">
        <w:rPr>
          <w:rFonts w:ascii="Times New Roman" w:hAnsi="Times New Roman"/>
          <w:sz w:val="24"/>
          <w:szCs w:val="24"/>
          <w:shd w:val="clear" w:color="auto" w:fill="FFFFFF" w:themeFill="background1"/>
        </w:rPr>
        <w:tab/>
      </w:r>
      <w:proofErr w:type="gramStart"/>
      <w:r w:rsidRPr="00045CBE">
        <w:rPr>
          <w:rFonts w:ascii="Times New Roman" w:hAnsi="Times New Roman"/>
          <w:sz w:val="24"/>
          <w:szCs w:val="24"/>
          <w:shd w:val="clear" w:color="auto" w:fill="FFFFFF" w:themeFill="background1"/>
        </w:rPr>
        <w:t>subsection</w:t>
      </w:r>
      <w:proofErr w:type="gramEnd"/>
      <w:r w:rsidRPr="00045CBE">
        <w:rPr>
          <w:rFonts w:ascii="Times New Roman" w:hAnsi="Times New Roman"/>
          <w:sz w:val="24"/>
          <w:szCs w:val="24"/>
          <w:shd w:val="clear" w:color="auto" w:fill="FFFFFF" w:themeFill="background1"/>
        </w:rPr>
        <w:t xml:space="preserve"> 92(1) of the </w:t>
      </w:r>
      <w:r w:rsidRPr="00045CBE">
        <w:rPr>
          <w:rFonts w:ascii="Times New Roman" w:hAnsi="Times New Roman"/>
          <w:i/>
          <w:iCs/>
          <w:sz w:val="24"/>
          <w:szCs w:val="24"/>
          <w:shd w:val="clear" w:color="auto" w:fill="FFFFFF" w:themeFill="background1"/>
        </w:rPr>
        <w:t>Private Health Insurance (Prudential Supervision) Act 2015</w:t>
      </w:r>
      <w:r w:rsidRPr="00045CBE">
        <w:rPr>
          <w:rFonts w:ascii="Times New Roman" w:hAnsi="Times New Roman"/>
          <w:sz w:val="24"/>
          <w:szCs w:val="24"/>
          <w:shd w:val="clear" w:color="auto" w:fill="FFFFFF" w:themeFill="background1"/>
        </w:rPr>
        <w:t xml:space="preserve"> (PHI Act), in relation to registered private health insurers</w:t>
      </w:r>
      <w:r w:rsidRPr="00045CBE">
        <w:rPr>
          <w:rFonts w:ascii="Times New Roman" w:hAnsi="Times New Roman"/>
          <w:sz w:val="24"/>
          <w:szCs w:val="24"/>
        </w:rPr>
        <w:t xml:space="preserve">. </w:t>
      </w:r>
      <w:r w:rsidR="0037376A" w:rsidRPr="00045CBE">
        <w:rPr>
          <w:rFonts w:ascii="Times New Roman" w:hAnsi="Times New Roman"/>
          <w:sz w:val="24"/>
          <w:szCs w:val="24"/>
        </w:rPr>
        <w:t xml:space="preserve">Under subsection 92(5) of the PHI Act, APRA may, in writing, vary or revoke a prudential standard. </w:t>
      </w:r>
    </w:p>
    <w:p w14:paraId="57BCAFF6" w14:textId="14DE39BD" w:rsidR="007816F0" w:rsidRPr="00045CBE" w:rsidRDefault="007816F0" w:rsidP="009D7325">
      <w:pPr>
        <w:shd w:val="clear" w:color="auto" w:fill="FFFFFF" w:themeFill="background1"/>
        <w:spacing w:before="100" w:beforeAutospacing="1" w:after="100" w:afterAutospacing="1"/>
        <w:jc w:val="both"/>
        <w:rPr>
          <w:rFonts w:ascii="Times New Roman" w:hAnsi="Times New Roman"/>
          <w:sz w:val="24"/>
          <w:szCs w:val="24"/>
          <w:lang w:val="en-US"/>
        </w:rPr>
      </w:pPr>
      <w:r w:rsidRPr="00045CBE">
        <w:rPr>
          <w:rFonts w:ascii="Times New Roman" w:hAnsi="Times New Roman"/>
          <w:sz w:val="24"/>
          <w:szCs w:val="24"/>
        </w:rPr>
        <w:t xml:space="preserve">On </w:t>
      </w:r>
      <w:r w:rsidR="00E7297F">
        <w:rPr>
          <w:rFonts w:ascii="Times New Roman" w:hAnsi="Times New Roman"/>
          <w:sz w:val="24"/>
          <w:szCs w:val="24"/>
        </w:rPr>
        <w:t>31 May</w:t>
      </w:r>
      <w:r w:rsidRPr="008D3E84">
        <w:rPr>
          <w:rFonts w:ascii="Times New Roman" w:hAnsi="Times New Roman"/>
          <w:sz w:val="24"/>
          <w:szCs w:val="24"/>
        </w:rPr>
        <w:t xml:space="preserve"> 2018</w:t>
      </w:r>
      <w:r w:rsidRPr="00045CBE">
        <w:rPr>
          <w:rFonts w:ascii="Times New Roman" w:hAnsi="Times New Roman"/>
          <w:sz w:val="24"/>
          <w:szCs w:val="24"/>
        </w:rPr>
        <w:t>, APRA made the following</w:t>
      </w:r>
      <w:r w:rsidRPr="00045CBE">
        <w:rPr>
          <w:rFonts w:ascii="Times New Roman" w:hAnsi="Times New Roman"/>
          <w:sz w:val="24"/>
          <w:szCs w:val="24"/>
          <w:shd w:val="clear" w:color="auto" w:fill="FFFFFF" w:themeFill="background1"/>
        </w:rPr>
        <w:t xml:space="preserve"> determination</w:t>
      </w:r>
      <w:r w:rsidR="00CC0ED5" w:rsidRPr="00045CBE">
        <w:rPr>
          <w:rFonts w:ascii="Times New Roman" w:hAnsi="Times New Roman"/>
          <w:sz w:val="24"/>
          <w:szCs w:val="24"/>
          <w:shd w:val="clear" w:color="auto" w:fill="FFFFFF" w:themeFill="background1"/>
        </w:rPr>
        <w:t>s</w:t>
      </w:r>
      <w:r w:rsidRPr="00045CBE">
        <w:rPr>
          <w:rFonts w:ascii="Times New Roman" w:hAnsi="Times New Roman"/>
          <w:sz w:val="24"/>
          <w:szCs w:val="24"/>
        </w:rPr>
        <w:t xml:space="preserve"> (the instrument</w:t>
      </w:r>
      <w:r w:rsidR="00CC0ED5" w:rsidRPr="00045CBE">
        <w:rPr>
          <w:rFonts w:ascii="Times New Roman" w:hAnsi="Times New Roman"/>
          <w:sz w:val="24"/>
          <w:szCs w:val="24"/>
        </w:rPr>
        <w:t>s</w:t>
      </w:r>
      <w:r w:rsidRPr="00045CBE">
        <w:rPr>
          <w:rFonts w:ascii="Times New Roman" w:hAnsi="Times New Roman"/>
          <w:sz w:val="24"/>
          <w:szCs w:val="24"/>
        </w:rPr>
        <w:t>):</w:t>
      </w:r>
    </w:p>
    <w:p w14:paraId="0A62317E" w14:textId="1C4347B0" w:rsidR="00CC0ED5" w:rsidRPr="00045CBE" w:rsidRDefault="007816F0" w:rsidP="009D7325">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lastRenderedPageBreak/>
        <w:t xml:space="preserve">Insurance, Life Insurance and Health Insurance (prudential standards) determination No. </w:t>
      </w:r>
      <w:r w:rsidR="00333FD4" w:rsidRPr="00045CBE">
        <w:rPr>
          <w:rFonts w:ascii="Times New Roman" w:hAnsi="Times New Roman"/>
          <w:sz w:val="24"/>
          <w:szCs w:val="24"/>
          <w:lang w:val="en-US"/>
        </w:rPr>
        <w:t>1</w:t>
      </w:r>
      <w:r w:rsidRPr="00045CBE">
        <w:rPr>
          <w:rFonts w:ascii="Times New Roman" w:hAnsi="Times New Roman"/>
          <w:sz w:val="24"/>
          <w:szCs w:val="24"/>
          <w:lang w:val="en-US"/>
        </w:rPr>
        <w:t xml:space="preserve"> of 201</w:t>
      </w:r>
      <w:r w:rsidR="009D6BEB" w:rsidRPr="00045CBE">
        <w:rPr>
          <w:rFonts w:ascii="Times New Roman" w:hAnsi="Times New Roman"/>
          <w:sz w:val="24"/>
          <w:szCs w:val="24"/>
          <w:lang w:val="en-US"/>
        </w:rPr>
        <w:t>8</w:t>
      </w:r>
      <w:r w:rsidRPr="00045CBE">
        <w:rPr>
          <w:rFonts w:ascii="Times New Roman" w:hAnsi="Times New Roman"/>
          <w:sz w:val="24"/>
          <w:szCs w:val="24"/>
          <w:lang w:val="en-US"/>
        </w:rPr>
        <w:t xml:space="preserve">,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009D6BEB" w:rsidRPr="00045CBE">
        <w:rPr>
          <w:rFonts w:ascii="Times New Roman" w:hAnsi="Times New Roman"/>
          <w:i/>
          <w:iCs/>
          <w:sz w:val="24"/>
          <w:szCs w:val="24"/>
          <w:lang w:val="en-US"/>
        </w:rPr>
        <w:t>GPS 320 Actuarial and Related Matters</w:t>
      </w:r>
      <w:r w:rsidRPr="00045CBE">
        <w:rPr>
          <w:rFonts w:ascii="Times New Roman" w:hAnsi="Times New Roman"/>
          <w:i/>
          <w:iCs/>
          <w:sz w:val="24"/>
          <w:szCs w:val="24"/>
          <w:lang w:val="en-US"/>
        </w:rPr>
        <w:t xml:space="preserve"> </w:t>
      </w:r>
      <w:r w:rsidR="009D6BEB" w:rsidRPr="00045CBE">
        <w:rPr>
          <w:rFonts w:ascii="Times New Roman" w:hAnsi="Times New Roman"/>
          <w:sz w:val="24"/>
          <w:szCs w:val="24"/>
          <w:lang w:val="en-US"/>
        </w:rPr>
        <w:t>(GPS 3</w:t>
      </w:r>
      <w:r w:rsidRPr="00045CBE">
        <w:rPr>
          <w:rFonts w:ascii="Times New Roman" w:hAnsi="Times New Roman"/>
          <w:sz w:val="24"/>
          <w:szCs w:val="24"/>
          <w:lang w:val="en-US"/>
        </w:rPr>
        <w:t xml:space="preserve">20) </w:t>
      </w:r>
      <w:r w:rsidRPr="00045CBE">
        <w:rPr>
          <w:rFonts w:ascii="Times New Roman" w:hAnsi="Times New Roman"/>
          <w:sz w:val="24"/>
          <w:szCs w:val="24"/>
        </w:rPr>
        <w:t xml:space="preserve">made under Insurance determination No. </w:t>
      </w:r>
      <w:r w:rsidR="00333FD4" w:rsidRPr="00045CBE">
        <w:rPr>
          <w:rFonts w:ascii="Times New Roman" w:hAnsi="Times New Roman"/>
          <w:sz w:val="24"/>
          <w:szCs w:val="24"/>
        </w:rPr>
        <w:t>1</w:t>
      </w:r>
      <w:r w:rsidRPr="00045CBE">
        <w:rPr>
          <w:rFonts w:ascii="Times New Roman" w:hAnsi="Times New Roman"/>
          <w:sz w:val="24"/>
          <w:szCs w:val="24"/>
        </w:rPr>
        <w:t xml:space="preserve"> of 201</w:t>
      </w:r>
      <w:r w:rsidR="00333FD4" w:rsidRPr="00045CBE">
        <w:rPr>
          <w:rFonts w:ascii="Times New Roman" w:hAnsi="Times New Roman"/>
          <w:sz w:val="24"/>
          <w:szCs w:val="24"/>
        </w:rPr>
        <w:t>5</w:t>
      </w:r>
      <w:r w:rsidR="009D6BEB" w:rsidRPr="00045CBE">
        <w:rPr>
          <w:rFonts w:ascii="Times New Roman" w:hAnsi="Times New Roman"/>
          <w:sz w:val="24"/>
          <w:szCs w:val="24"/>
        </w:rPr>
        <w:t xml:space="preserve">; </w:t>
      </w:r>
      <w:r w:rsidR="009D6BEB" w:rsidRPr="00045CBE">
        <w:rPr>
          <w:rFonts w:ascii="Times New Roman" w:hAnsi="Times New Roman"/>
          <w:i/>
          <w:iCs/>
          <w:sz w:val="24"/>
          <w:szCs w:val="24"/>
        </w:rPr>
        <w:t>Prudential Standard</w:t>
      </w:r>
      <w:r w:rsidR="009D6BEB" w:rsidRPr="00045CBE">
        <w:rPr>
          <w:rFonts w:ascii="Times New Roman" w:hAnsi="Times New Roman"/>
          <w:sz w:val="24"/>
          <w:szCs w:val="24"/>
        </w:rPr>
        <w:t xml:space="preserve"> </w:t>
      </w:r>
      <w:r w:rsidR="009D6BEB" w:rsidRPr="00045CBE">
        <w:rPr>
          <w:rFonts w:ascii="Times New Roman" w:hAnsi="Times New Roman"/>
          <w:i/>
          <w:iCs/>
          <w:sz w:val="24"/>
          <w:szCs w:val="24"/>
          <w:lang w:val="en-US"/>
        </w:rPr>
        <w:t xml:space="preserve">LPS 320 Actuarial and Related Matters </w:t>
      </w:r>
      <w:r w:rsidR="009D6BEB" w:rsidRPr="00045CBE">
        <w:rPr>
          <w:rFonts w:ascii="Times New Roman" w:hAnsi="Times New Roman"/>
          <w:sz w:val="24"/>
          <w:szCs w:val="24"/>
          <w:lang w:val="en-US"/>
        </w:rPr>
        <w:t xml:space="preserve">(LPS 320) </w:t>
      </w:r>
      <w:r w:rsidR="009D6BEB" w:rsidRPr="00045CBE">
        <w:rPr>
          <w:rFonts w:ascii="Times New Roman" w:hAnsi="Times New Roman"/>
          <w:sz w:val="24"/>
          <w:szCs w:val="24"/>
        </w:rPr>
        <w:t xml:space="preserve">made under Life Insurance determination </w:t>
      </w:r>
      <w:r w:rsidR="00333FD4" w:rsidRPr="00045CBE">
        <w:rPr>
          <w:rFonts w:ascii="Times New Roman" w:hAnsi="Times New Roman"/>
          <w:sz w:val="24"/>
          <w:szCs w:val="24"/>
        </w:rPr>
        <w:t>No. 2 of 2014</w:t>
      </w:r>
      <w:r w:rsidRPr="00045CBE">
        <w:rPr>
          <w:rFonts w:ascii="Times New Roman" w:hAnsi="Times New Roman"/>
          <w:sz w:val="24"/>
          <w:szCs w:val="24"/>
        </w:rPr>
        <w:t xml:space="preserve"> and </w:t>
      </w:r>
      <w:r w:rsidR="009D6BEB" w:rsidRPr="00045CBE">
        <w:rPr>
          <w:rFonts w:ascii="Times New Roman" w:hAnsi="Times New Roman"/>
          <w:i/>
          <w:iCs/>
          <w:sz w:val="24"/>
          <w:szCs w:val="24"/>
        </w:rPr>
        <w:t>Prudential Standard</w:t>
      </w:r>
      <w:r w:rsidR="009D6BEB" w:rsidRPr="00045CBE">
        <w:rPr>
          <w:rFonts w:ascii="Times New Roman" w:hAnsi="Times New Roman"/>
          <w:sz w:val="24"/>
          <w:szCs w:val="24"/>
        </w:rPr>
        <w:t xml:space="preserve"> </w:t>
      </w:r>
      <w:r w:rsidR="009D6BEB" w:rsidRPr="00045CBE">
        <w:rPr>
          <w:rFonts w:ascii="Times New Roman" w:hAnsi="Times New Roman"/>
          <w:i/>
          <w:iCs/>
          <w:sz w:val="24"/>
          <w:szCs w:val="24"/>
          <w:lang w:val="en-US"/>
        </w:rPr>
        <w:t xml:space="preserve">HPS 320 Actuarial and Related Matters </w:t>
      </w:r>
      <w:r w:rsidR="009D6BEB" w:rsidRPr="00045CBE">
        <w:rPr>
          <w:rFonts w:ascii="Times New Roman" w:hAnsi="Times New Roman"/>
          <w:sz w:val="24"/>
          <w:szCs w:val="24"/>
          <w:lang w:val="en-US"/>
        </w:rPr>
        <w:t xml:space="preserve">(HPS 320) </w:t>
      </w:r>
      <w:r w:rsidR="009D6BEB" w:rsidRPr="00045CBE">
        <w:rPr>
          <w:rFonts w:ascii="Times New Roman" w:hAnsi="Times New Roman"/>
          <w:sz w:val="24"/>
          <w:szCs w:val="24"/>
        </w:rPr>
        <w:t xml:space="preserve">made under Health Insurance determination No. </w:t>
      </w:r>
      <w:r w:rsidR="00333FD4" w:rsidRPr="00045CBE">
        <w:rPr>
          <w:rFonts w:ascii="Times New Roman" w:hAnsi="Times New Roman"/>
          <w:sz w:val="24"/>
          <w:szCs w:val="24"/>
        </w:rPr>
        <w:t>5 of 2015</w:t>
      </w:r>
      <w:r w:rsidR="006636F2" w:rsidRPr="00045CBE">
        <w:rPr>
          <w:rFonts w:ascii="Times New Roman" w:hAnsi="Times New Roman"/>
          <w:sz w:val="24"/>
          <w:szCs w:val="24"/>
        </w:rPr>
        <w:t>,</w:t>
      </w:r>
      <w:r w:rsidR="009D6BEB" w:rsidRPr="00045CBE">
        <w:rPr>
          <w:rFonts w:ascii="Times New Roman" w:hAnsi="Times New Roman"/>
          <w:sz w:val="24"/>
          <w:szCs w:val="24"/>
        </w:rPr>
        <w:t xml:space="preserve"> and </w:t>
      </w:r>
      <w:r w:rsidRPr="00045CBE">
        <w:rPr>
          <w:rFonts w:ascii="Times New Roman" w:hAnsi="Times New Roman"/>
          <w:sz w:val="24"/>
          <w:szCs w:val="24"/>
        </w:rPr>
        <w:t xml:space="preserve">determines a </w:t>
      </w:r>
      <w:r w:rsidRPr="00045CBE">
        <w:rPr>
          <w:rFonts w:ascii="Times New Roman" w:hAnsi="Times New Roman"/>
          <w:sz w:val="24"/>
          <w:szCs w:val="24"/>
          <w:shd w:val="clear" w:color="auto" w:fill="FFFFFF" w:themeFill="background1"/>
        </w:rPr>
        <w:t>new</w:t>
      </w:r>
      <w:r w:rsidR="009D6BEB" w:rsidRPr="00045CBE">
        <w:rPr>
          <w:rFonts w:ascii="Times New Roman" w:hAnsi="Times New Roman"/>
          <w:i/>
          <w:iCs/>
          <w:sz w:val="24"/>
          <w:szCs w:val="24"/>
        </w:rPr>
        <w:t xml:space="preserve"> Prudential Standard CPS 320 Actuarial and Related Matters</w:t>
      </w:r>
      <w:r w:rsidRPr="00045CBE">
        <w:rPr>
          <w:rFonts w:ascii="Times New Roman" w:hAnsi="Times New Roman"/>
          <w:i/>
          <w:iCs/>
          <w:sz w:val="24"/>
          <w:szCs w:val="24"/>
        </w:rPr>
        <w:t xml:space="preserve"> </w:t>
      </w:r>
      <w:r w:rsidRPr="00045CBE">
        <w:rPr>
          <w:rFonts w:ascii="Times New Roman" w:hAnsi="Times New Roman"/>
          <w:iCs/>
          <w:sz w:val="24"/>
          <w:szCs w:val="24"/>
        </w:rPr>
        <w:t>(</w:t>
      </w:r>
      <w:r w:rsidR="009D6BEB" w:rsidRPr="00045CBE">
        <w:rPr>
          <w:rFonts w:ascii="Times New Roman" w:hAnsi="Times New Roman"/>
          <w:sz w:val="24"/>
          <w:szCs w:val="24"/>
        </w:rPr>
        <w:t>CPS 3</w:t>
      </w:r>
      <w:r w:rsidRPr="00045CBE">
        <w:rPr>
          <w:rFonts w:ascii="Times New Roman" w:hAnsi="Times New Roman"/>
          <w:sz w:val="24"/>
          <w:szCs w:val="24"/>
        </w:rPr>
        <w:t>20</w:t>
      </w:r>
      <w:r w:rsidRPr="00045CBE">
        <w:rPr>
          <w:rFonts w:ascii="Times New Roman" w:hAnsi="Times New Roman"/>
          <w:iCs/>
          <w:sz w:val="24"/>
          <w:szCs w:val="24"/>
        </w:rPr>
        <w:t>)</w:t>
      </w:r>
      <w:r w:rsidR="00CC0ED5" w:rsidRPr="00045CBE">
        <w:rPr>
          <w:rFonts w:ascii="Times New Roman" w:hAnsi="Times New Roman"/>
          <w:sz w:val="24"/>
          <w:szCs w:val="24"/>
        </w:rPr>
        <w:t>;</w:t>
      </w:r>
    </w:p>
    <w:p w14:paraId="4EEA562D" w14:textId="1E62B7AA" w:rsidR="00193258" w:rsidRPr="00045CBE" w:rsidRDefault="00193258" w:rsidP="009D7325">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standards) determination No. 2 of 2018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001 Definitions </w:t>
      </w:r>
      <w:r w:rsidRPr="00045CBE">
        <w:rPr>
          <w:rFonts w:ascii="Times New Roman" w:hAnsi="Times New Roman"/>
          <w:sz w:val="24"/>
          <w:szCs w:val="24"/>
          <w:lang w:val="en-US"/>
        </w:rPr>
        <w:t xml:space="preserve">(GPS 001) </w:t>
      </w:r>
      <w:r w:rsidRPr="00045CBE">
        <w:rPr>
          <w:rFonts w:ascii="Times New Roman" w:hAnsi="Times New Roman"/>
          <w:sz w:val="24"/>
          <w:szCs w:val="24"/>
        </w:rPr>
        <w:t xml:space="preserve">made under Insurance determination No. 2 of 2014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001 Definitions </w:t>
      </w:r>
      <w:r w:rsidRPr="00045CBE">
        <w:rPr>
          <w:rFonts w:ascii="Times New Roman" w:hAnsi="Times New Roman"/>
          <w:iCs/>
          <w:sz w:val="24"/>
          <w:szCs w:val="24"/>
        </w:rPr>
        <w:t>(</w:t>
      </w:r>
      <w:r w:rsidRPr="00045CBE">
        <w:rPr>
          <w:rFonts w:ascii="Times New Roman" w:hAnsi="Times New Roman"/>
          <w:sz w:val="24"/>
          <w:szCs w:val="24"/>
        </w:rPr>
        <w:t>GPS 001)</w:t>
      </w:r>
      <w:r w:rsidRPr="00045CBE">
        <w:rPr>
          <w:rFonts w:ascii="Times New Roman" w:hAnsi="Times New Roman"/>
          <w:sz w:val="24"/>
          <w:szCs w:val="24"/>
          <w:lang w:val="en-US"/>
        </w:rPr>
        <w:t>;</w:t>
      </w:r>
    </w:p>
    <w:p w14:paraId="5E7CFC89" w14:textId="128E4ED8" w:rsidR="0099534C" w:rsidRPr="00045CBE" w:rsidRDefault="0099534C" w:rsidP="009D7325">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standards) determination No. 3 of 2018 which </w:t>
      </w:r>
      <w:r w:rsidRPr="00045CBE">
        <w:rPr>
          <w:rFonts w:ascii="Times New Roman" w:hAnsi="Times New Roman"/>
          <w:sz w:val="24"/>
          <w:szCs w:val="24"/>
        </w:rPr>
        <w:t xml:space="preserve">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340 Insurance Liability Valuation </w:t>
      </w:r>
      <w:r w:rsidRPr="00045CBE">
        <w:rPr>
          <w:rFonts w:ascii="Times New Roman" w:hAnsi="Times New Roman"/>
          <w:iCs/>
          <w:sz w:val="24"/>
          <w:szCs w:val="24"/>
        </w:rPr>
        <w:t>(</w:t>
      </w:r>
      <w:r w:rsidRPr="00045CBE">
        <w:rPr>
          <w:rFonts w:ascii="Times New Roman" w:hAnsi="Times New Roman"/>
          <w:sz w:val="24"/>
          <w:szCs w:val="24"/>
        </w:rPr>
        <w:t>GPS 340)</w:t>
      </w:r>
      <w:r w:rsidRPr="00045CBE">
        <w:rPr>
          <w:rFonts w:ascii="Times New Roman" w:hAnsi="Times New Roman"/>
          <w:sz w:val="24"/>
          <w:szCs w:val="24"/>
          <w:lang w:val="en-US"/>
        </w:rPr>
        <w:t>;</w:t>
      </w:r>
    </w:p>
    <w:p w14:paraId="7BF0EB48" w14:textId="10D3ED7F" w:rsidR="0099534C" w:rsidRPr="00045CBE" w:rsidRDefault="0099534C" w:rsidP="009D7325">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Life Insurance (prudential standards) determination No. 2 of 2018 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LPS 001 Definitions </w:t>
      </w:r>
      <w:r w:rsidRPr="00045CBE">
        <w:rPr>
          <w:rFonts w:ascii="Times New Roman" w:hAnsi="Times New Roman"/>
          <w:sz w:val="24"/>
          <w:szCs w:val="24"/>
          <w:lang w:val="en-US"/>
        </w:rPr>
        <w:t xml:space="preserve">(LPS 001) </w:t>
      </w:r>
      <w:r w:rsidRPr="00045CBE">
        <w:rPr>
          <w:rFonts w:ascii="Times New Roman" w:hAnsi="Times New Roman"/>
          <w:sz w:val="24"/>
          <w:szCs w:val="24"/>
        </w:rPr>
        <w:t xml:space="preserve">made under Insurance determination No. 1 of 2014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LPS 001 Definitions </w:t>
      </w:r>
      <w:r w:rsidRPr="00045CBE">
        <w:rPr>
          <w:rFonts w:ascii="Times New Roman" w:hAnsi="Times New Roman"/>
          <w:iCs/>
          <w:sz w:val="24"/>
          <w:szCs w:val="24"/>
        </w:rPr>
        <w:t>(</w:t>
      </w:r>
      <w:r w:rsidRPr="00045CBE">
        <w:rPr>
          <w:rFonts w:ascii="Times New Roman" w:hAnsi="Times New Roman"/>
          <w:sz w:val="24"/>
          <w:szCs w:val="24"/>
        </w:rPr>
        <w:t>LPS 001)</w:t>
      </w:r>
      <w:r w:rsidRPr="00045CBE">
        <w:rPr>
          <w:rFonts w:ascii="Times New Roman" w:hAnsi="Times New Roman"/>
          <w:sz w:val="24"/>
          <w:szCs w:val="24"/>
          <w:lang w:val="en-US"/>
        </w:rPr>
        <w:t>;</w:t>
      </w:r>
    </w:p>
    <w:p w14:paraId="200BCDE0" w14:textId="26A76431" w:rsidR="006F7458" w:rsidRPr="00045CBE" w:rsidRDefault="007816F0" w:rsidP="00092E8C">
      <w:pPr>
        <w:shd w:val="clear" w:color="auto" w:fill="FFFFFF" w:themeFill="background1"/>
        <w:spacing w:before="100" w:beforeAutospacing="1" w:after="100" w:afterAutospacing="1"/>
        <w:jc w:val="both"/>
        <w:rPr>
          <w:rFonts w:ascii="Times New Roman" w:hAnsi="Times New Roman"/>
          <w:sz w:val="24"/>
          <w:szCs w:val="24"/>
          <w:lang w:val="en-US"/>
        </w:rPr>
      </w:pPr>
      <w:r w:rsidRPr="00045CBE">
        <w:rPr>
          <w:rFonts w:ascii="Times New Roman" w:hAnsi="Times New Roman"/>
          <w:sz w:val="24"/>
          <w:szCs w:val="24"/>
        </w:rPr>
        <w:t>The instrument</w:t>
      </w:r>
      <w:r w:rsidR="0099534C" w:rsidRPr="00045CBE">
        <w:rPr>
          <w:rFonts w:ascii="Times New Roman" w:hAnsi="Times New Roman"/>
          <w:sz w:val="24"/>
          <w:szCs w:val="24"/>
        </w:rPr>
        <w:t>s</w:t>
      </w:r>
      <w:r w:rsidRPr="00045CBE">
        <w:rPr>
          <w:rFonts w:ascii="Times New Roman" w:hAnsi="Times New Roman"/>
          <w:sz w:val="24"/>
          <w:szCs w:val="24"/>
        </w:rPr>
        <w:t xml:space="preserve"> commence on 1 </w:t>
      </w:r>
      <w:r w:rsidR="009D6BEB" w:rsidRPr="00045CBE">
        <w:rPr>
          <w:rFonts w:ascii="Times New Roman" w:hAnsi="Times New Roman"/>
          <w:sz w:val="24"/>
          <w:szCs w:val="24"/>
        </w:rPr>
        <w:t>July</w:t>
      </w:r>
      <w:r w:rsidRPr="00045CBE">
        <w:rPr>
          <w:rFonts w:ascii="Times New Roman" w:hAnsi="Times New Roman"/>
          <w:sz w:val="24"/>
          <w:szCs w:val="24"/>
        </w:rPr>
        <w:t xml:space="preserve"> 201</w:t>
      </w:r>
      <w:r w:rsidR="009D6BEB" w:rsidRPr="00045CBE">
        <w:rPr>
          <w:rFonts w:ascii="Times New Roman" w:hAnsi="Times New Roman"/>
          <w:sz w:val="24"/>
          <w:szCs w:val="24"/>
        </w:rPr>
        <w:t>9</w:t>
      </w:r>
      <w:r w:rsidRPr="00045CBE">
        <w:rPr>
          <w:rFonts w:ascii="Times New Roman" w:hAnsi="Times New Roman"/>
          <w:sz w:val="24"/>
          <w:szCs w:val="24"/>
        </w:rPr>
        <w:t xml:space="preserve">.   </w:t>
      </w:r>
    </w:p>
    <w:p w14:paraId="65408C1B" w14:textId="77777777" w:rsidR="00A019DA" w:rsidRPr="00045CBE" w:rsidRDefault="00A019DA" w:rsidP="009D7325">
      <w:pPr>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Background</w:t>
      </w:r>
    </w:p>
    <w:p w14:paraId="4F9F6437" w14:textId="77777777" w:rsidR="009D6BEB" w:rsidRPr="00045CBE" w:rsidRDefault="009D6BEB" w:rsidP="009D7325">
      <w:pPr>
        <w:widowControl w:val="0"/>
        <w:jc w:val="both"/>
        <w:rPr>
          <w:rFonts w:ascii="Times New Roman" w:hAnsi="Times New Roman"/>
          <w:sz w:val="24"/>
          <w:szCs w:val="24"/>
        </w:rPr>
      </w:pPr>
      <w:r w:rsidRPr="00045CBE">
        <w:rPr>
          <w:rFonts w:ascii="Times New Roman" w:hAnsi="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5BF59993" w14:textId="77777777" w:rsidR="009D6BEB" w:rsidRPr="00045CBE" w:rsidRDefault="009D6BEB" w:rsidP="009D7325">
      <w:pPr>
        <w:jc w:val="both"/>
        <w:rPr>
          <w:rFonts w:ascii="Times New Roman" w:hAnsi="Times New Roman"/>
          <w:sz w:val="24"/>
          <w:szCs w:val="24"/>
        </w:rPr>
      </w:pPr>
    </w:p>
    <w:p w14:paraId="30D46706" w14:textId="77777777" w:rsidR="009D6BEB" w:rsidRPr="00045CBE" w:rsidRDefault="009D6BEB" w:rsidP="009D7325">
      <w:pPr>
        <w:jc w:val="both"/>
        <w:rPr>
          <w:rFonts w:ascii="Times New Roman" w:hAnsi="Times New Roman"/>
          <w:sz w:val="24"/>
          <w:szCs w:val="24"/>
        </w:rPr>
      </w:pPr>
      <w:r w:rsidRPr="00045CBE">
        <w:rPr>
          <w:rFonts w:ascii="Times New Roman" w:hAnsi="Times New Roman"/>
          <w:sz w:val="24"/>
          <w:szCs w:val="24"/>
        </w:rPr>
        <w:t>APRA carries out this mandate through a multi-layered prudential framework that encompasses licensing and supervision of institutions. APRA is empowered under the Banking Act, the Insurance Act, the Life Insurance Act and the PHI Act to issue legally binding prudential standards that set out specific prudential requirements with which APRA-regulated institutions in each industry must comply. These standards are supported by prudential practice guides which clarify APRA’s expectations with regard to prudential requirements.</w:t>
      </w:r>
    </w:p>
    <w:p w14:paraId="78118A78" w14:textId="77777777" w:rsidR="009D6BEB" w:rsidRPr="00045CBE" w:rsidRDefault="009D6BEB" w:rsidP="009D7325">
      <w:pPr>
        <w:jc w:val="both"/>
        <w:rPr>
          <w:rFonts w:ascii="Times New Roman" w:hAnsi="Times New Roman"/>
          <w:sz w:val="24"/>
          <w:szCs w:val="24"/>
        </w:rPr>
      </w:pPr>
    </w:p>
    <w:p w14:paraId="5F81313C" w14:textId="77777777" w:rsidR="009D6BEB" w:rsidRPr="00045CBE" w:rsidRDefault="009D6BEB" w:rsidP="00CA2857">
      <w:pPr>
        <w:spacing w:after="240"/>
        <w:jc w:val="both"/>
        <w:rPr>
          <w:rFonts w:ascii="Times New Roman" w:hAnsi="Times New Roman"/>
          <w:sz w:val="24"/>
          <w:szCs w:val="24"/>
        </w:rPr>
      </w:pPr>
      <w:r w:rsidRPr="00045CBE">
        <w:rPr>
          <w:rFonts w:ascii="Times New Roman" w:hAnsi="Times New Roman"/>
          <w:sz w:val="24"/>
          <w:szCs w:val="24"/>
        </w:rPr>
        <w:t>APRA regularly reviews its regulatory regime and amends its prudential requirements as a result of a number of factors including:</w:t>
      </w:r>
    </w:p>
    <w:p w14:paraId="7A4AC5C0" w14:textId="77777777" w:rsidR="009D6BEB" w:rsidRPr="00045CBE" w:rsidRDefault="009D6BEB" w:rsidP="00CA2857">
      <w:pPr>
        <w:numPr>
          <w:ilvl w:val="0"/>
          <w:numId w:val="6"/>
        </w:numPr>
        <w:spacing w:after="240"/>
        <w:ind w:left="284" w:hanging="284"/>
        <w:jc w:val="both"/>
        <w:rPr>
          <w:rFonts w:ascii="Times New Roman" w:hAnsi="Times New Roman"/>
          <w:sz w:val="24"/>
          <w:szCs w:val="24"/>
        </w:rPr>
      </w:pPr>
      <w:r w:rsidRPr="00045CBE">
        <w:rPr>
          <w:rFonts w:ascii="Times New Roman" w:hAnsi="Times New Roman"/>
          <w:sz w:val="24"/>
          <w:szCs w:val="24"/>
        </w:rPr>
        <w:lastRenderedPageBreak/>
        <w:t>international developments;</w:t>
      </w:r>
    </w:p>
    <w:p w14:paraId="219159BA" w14:textId="77777777" w:rsidR="009D6BEB" w:rsidRPr="00045CBE" w:rsidRDefault="009D6BEB" w:rsidP="00CA2857">
      <w:pPr>
        <w:numPr>
          <w:ilvl w:val="0"/>
          <w:numId w:val="6"/>
        </w:numPr>
        <w:spacing w:after="240"/>
        <w:ind w:left="284" w:hanging="284"/>
        <w:jc w:val="both"/>
        <w:rPr>
          <w:rFonts w:ascii="Times New Roman" w:hAnsi="Times New Roman"/>
          <w:sz w:val="24"/>
          <w:szCs w:val="24"/>
        </w:rPr>
      </w:pPr>
      <w:r w:rsidRPr="00045CBE">
        <w:rPr>
          <w:rFonts w:ascii="Times New Roman" w:hAnsi="Times New Roman"/>
          <w:sz w:val="24"/>
          <w:szCs w:val="24"/>
        </w:rPr>
        <w:t>changes in financial market conditions;</w:t>
      </w:r>
    </w:p>
    <w:p w14:paraId="602BFB87" w14:textId="77777777" w:rsidR="009D6BEB" w:rsidRPr="00045CBE" w:rsidRDefault="009D6BEB" w:rsidP="00CA2857">
      <w:pPr>
        <w:numPr>
          <w:ilvl w:val="0"/>
          <w:numId w:val="6"/>
        </w:numPr>
        <w:spacing w:after="240"/>
        <w:ind w:left="284" w:hanging="284"/>
        <w:jc w:val="both"/>
        <w:rPr>
          <w:rFonts w:ascii="Times New Roman" w:hAnsi="Times New Roman"/>
          <w:sz w:val="24"/>
          <w:szCs w:val="24"/>
        </w:rPr>
      </w:pPr>
      <w:r w:rsidRPr="00045CBE">
        <w:rPr>
          <w:rFonts w:ascii="Times New Roman" w:hAnsi="Times New Roman"/>
          <w:sz w:val="24"/>
          <w:szCs w:val="24"/>
        </w:rPr>
        <w:t>changes in risk management practices, in response to identified weaknesses in the prudential framework; and</w:t>
      </w:r>
    </w:p>
    <w:p w14:paraId="0E0183EE" w14:textId="2001E1A8" w:rsidR="009D6BEB" w:rsidRPr="00045CBE" w:rsidRDefault="009D6BEB" w:rsidP="00CA2857">
      <w:pPr>
        <w:numPr>
          <w:ilvl w:val="0"/>
          <w:numId w:val="6"/>
        </w:numPr>
        <w:spacing w:after="240"/>
        <w:ind w:left="284" w:hanging="284"/>
        <w:jc w:val="both"/>
        <w:rPr>
          <w:rFonts w:ascii="Times New Roman" w:hAnsi="Times New Roman"/>
          <w:sz w:val="24"/>
          <w:szCs w:val="24"/>
        </w:rPr>
      </w:pPr>
      <w:proofErr w:type="gramStart"/>
      <w:r w:rsidRPr="00045CBE">
        <w:rPr>
          <w:rFonts w:ascii="Times New Roman" w:hAnsi="Times New Roman"/>
          <w:sz w:val="24"/>
          <w:szCs w:val="24"/>
        </w:rPr>
        <w:t>to</w:t>
      </w:r>
      <w:proofErr w:type="gramEnd"/>
      <w:r w:rsidRPr="00045CBE">
        <w:rPr>
          <w:rFonts w:ascii="Times New Roman" w:hAnsi="Times New Roman"/>
          <w:sz w:val="24"/>
          <w:szCs w:val="24"/>
        </w:rPr>
        <w:t xml:space="preserve"> reduce potential negative impacts of emerging industry issues.</w:t>
      </w:r>
    </w:p>
    <w:p w14:paraId="430C3F97" w14:textId="6A4BB6F4" w:rsidR="00D47A85" w:rsidRPr="00045CBE" w:rsidRDefault="00D47A85" w:rsidP="009D7325">
      <w:pPr>
        <w:spacing w:after="240"/>
        <w:contextualSpacing/>
        <w:jc w:val="both"/>
        <w:rPr>
          <w:rFonts w:ascii="Times New Roman" w:hAnsi="Times New Roman"/>
          <w:color w:val="000000"/>
          <w:sz w:val="24"/>
          <w:szCs w:val="24"/>
        </w:rPr>
      </w:pPr>
      <w:r w:rsidRPr="00045CBE">
        <w:rPr>
          <w:rFonts w:ascii="Times New Roman" w:hAnsi="Times New Roman"/>
          <w:sz w:val="24"/>
          <w:szCs w:val="24"/>
        </w:rPr>
        <w:t xml:space="preserve">Since 2016, APRA has consulted with the general insurance, life insurance and </w:t>
      </w:r>
      <w:r w:rsidR="009D6BEB" w:rsidRPr="00045CBE">
        <w:rPr>
          <w:rFonts w:ascii="Times New Roman" w:hAnsi="Times New Roman"/>
          <w:sz w:val="24"/>
          <w:szCs w:val="24"/>
        </w:rPr>
        <w:t>p</w:t>
      </w:r>
      <w:r w:rsidRPr="00045CBE">
        <w:rPr>
          <w:rFonts w:ascii="Times New Roman" w:hAnsi="Times New Roman"/>
          <w:sz w:val="24"/>
          <w:szCs w:val="24"/>
        </w:rPr>
        <w:t xml:space="preserve">rivate health insurance industries to review and reform the prudential requirements relating to the role of the Appointed Actuary. </w:t>
      </w:r>
      <w:r w:rsidR="00A462DF" w:rsidRPr="00045CBE">
        <w:rPr>
          <w:rStyle w:val="APRANORMALChar"/>
          <w:rFonts w:ascii="Times New Roman" w:hAnsi="Times New Roman"/>
          <w:i/>
          <w:sz w:val="24"/>
          <w:szCs w:val="24"/>
          <w:shd w:val="clear" w:color="auto" w:fill="FFFFFF"/>
        </w:rPr>
        <w:t>P</w:t>
      </w:r>
      <w:r w:rsidRPr="00045CBE">
        <w:rPr>
          <w:rStyle w:val="APRANORMALChar"/>
          <w:rFonts w:ascii="Times New Roman" w:hAnsi="Times New Roman"/>
          <w:i/>
          <w:sz w:val="24"/>
          <w:szCs w:val="24"/>
          <w:shd w:val="clear" w:color="auto" w:fill="FFFFFF"/>
        </w:rPr>
        <w:t>rudential Standard CPS 320 Actuarial</w:t>
      </w:r>
      <w:r w:rsidR="00A462DF" w:rsidRPr="00045CBE">
        <w:rPr>
          <w:rStyle w:val="APRANORMALChar"/>
          <w:rFonts w:ascii="Times New Roman" w:hAnsi="Times New Roman"/>
          <w:i/>
          <w:sz w:val="24"/>
          <w:szCs w:val="24"/>
          <w:shd w:val="clear" w:color="auto" w:fill="FFFFFF"/>
        </w:rPr>
        <w:t xml:space="preserve"> and Related Matters</w:t>
      </w:r>
      <w:r w:rsidRPr="00045CBE">
        <w:rPr>
          <w:rStyle w:val="APRANORMALChar"/>
          <w:rFonts w:ascii="Times New Roman" w:hAnsi="Times New Roman"/>
          <w:sz w:val="24"/>
          <w:szCs w:val="24"/>
          <w:shd w:val="clear" w:color="auto" w:fill="FFFFFF"/>
        </w:rPr>
        <w:t xml:space="preserve"> (CPS 32</w:t>
      </w:r>
      <w:r w:rsidR="00D10079" w:rsidRPr="00045CBE">
        <w:rPr>
          <w:rStyle w:val="APRANORMALChar"/>
          <w:rFonts w:ascii="Times New Roman" w:hAnsi="Times New Roman"/>
          <w:sz w:val="24"/>
          <w:szCs w:val="24"/>
          <w:shd w:val="clear" w:color="auto" w:fill="FFFFFF"/>
        </w:rPr>
        <w:t xml:space="preserve">0) establishes </w:t>
      </w:r>
      <w:r w:rsidR="00D10079" w:rsidRPr="00045CBE">
        <w:rPr>
          <w:rFonts w:ascii="Times New Roman" w:hAnsi="Times New Roman"/>
          <w:color w:val="000000"/>
          <w:sz w:val="24"/>
          <w:szCs w:val="24"/>
        </w:rPr>
        <w:t xml:space="preserve">a new prudential standard for </w:t>
      </w:r>
      <w:r w:rsidRPr="00045CBE">
        <w:rPr>
          <w:rFonts w:ascii="Times New Roman" w:hAnsi="Times New Roman"/>
          <w:color w:val="000000"/>
          <w:sz w:val="24"/>
          <w:szCs w:val="24"/>
        </w:rPr>
        <w:t xml:space="preserve">general insurers, life insurers and </w:t>
      </w:r>
      <w:r w:rsidR="00D10079" w:rsidRPr="00045CBE">
        <w:rPr>
          <w:rFonts w:ascii="Times New Roman" w:hAnsi="Times New Roman"/>
          <w:color w:val="000000"/>
          <w:sz w:val="24"/>
          <w:szCs w:val="24"/>
        </w:rPr>
        <w:t>private health insurers</w:t>
      </w:r>
      <w:r w:rsidRPr="00045CBE">
        <w:rPr>
          <w:rFonts w:ascii="Times New Roman" w:hAnsi="Times New Roman"/>
          <w:color w:val="000000"/>
          <w:sz w:val="24"/>
          <w:szCs w:val="24"/>
        </w:rPr>
        <w:t xml:space="preserve"> to establish appropriate frameworks to allow the </w:t>
      </w:r>
      <w:r w:rsidR="009D378C" w:rsidRPr="00045CBE">
        <w:rPr>
          <w:rFonts w:ascii="Times New Roman" w:hAnsi="Times New Roman"/>
          <w:color w:val="000000"/>
          <w:sz w:val="24"/>
          <w:szCs w:val="24"/>
        </w:rPr>
        <w:t xml:space="preserve">Appointed Actuary </w:t>
      </w:r>
      <w:r w:rsidRPr="00045CBE">
        <w:rPr>
          <w:rFonts w:ascii="Times New Roman" w:hAnsi="Times New Roman"/>
          <w:color w:val="000000"/>
          <w:sz w:val="24"/>
          <w:szCs w:val="24"/>
        </w:rPr>
        <w:t xml:space="preserve">to focus on the matters most material to the sound and prudent operation of </w:t>
      </w:r>
      <w:r w:rsidR="009D378C" w:rsidRPr="00045CBE">
        <w:rPr>
          <w:rFonts w:ascii="Times New Roman" w:hAnsi="Times New Roman"/>
          <w:color w:val="000000"/>
          <w:sz w:val="24"/>
          <w:szCs w:val="24"/>
        </w:rPr>
        <w:t xml:space="preserve">the insurer’s </w:t>
      </w:r>
      <w:r w:rsidRPr="00045CBE">
        <w:rPr>
          <w:rFonts w:ascii="Times New Roman" w:hAnsi="Times New Roman"/>
          <w:color w:val="000000"/>
          <w:sz w:val="24"/>
          <w:szCs w:val="24"/>
        </w:rPr>
        <w:t>business</w:t>
      </w:r>
      <w:r w:rsidR="00D10079" w:rsidRPr="00045CBE">
        <w:rPr>
          <w:rFonts w:ascii="Times New Roman" w:hAnsi="Times New Roman"/>
          <w:color w:val="000000"/>
          <w:sz w:val="24"/>
          <w:szCs w:val="24"/>
        </w:rPr>
        <w:t xml:space="preserve">. </w:t>
      </w:r>
      <w:r w:rsidR="00AF664C" w:rsidRPr="00045CBE">
        <w:rPr>
          <w:rStyle w:val="APRANORMALChar"/>
          <w:rFonts w:ascii="Times New Roman" w:hAnsi="Times New Roman"/>
          <w:i/>
          <w:sz w:val="24"/>
          <w:szCs w:val="24"/>
          <w:shd w:val="clear" w:color="auto" w:fill="FFFFFF"/>
        </w:rPr>
        <w:t>Prudential Standard GPS 340</w:t>
      </w:r>
      <w:r w:rsidR="004812D5" w:rsidRPr="00045CBE">
        <w:rPr>
          <w:rStyle w:val="APRANORMALChar"/>
          <w:rFonts w:ascii="Times New Roman" w:hAnsi="Times New Roman"/>
          <w:i/>
          <w:sz w:val="24"/>
          <w:szCs w:val="24"/>
          <w:shd w:val="clear" w:color="auto" w:fill="FFFFFF"/>
        </w:rPr>
        <w:t xml:space="preserve"> </w:t>
      </w:r>
      <w:r w:rsidR="004812D5" w:rsidRPr="00045CBE">
        <w:rPr>
          <w:rStyle w:val="APRANORMALChar"/>
          <w:rFonts w:ascii="Times New Roman" w:hAnsi="Times New Roman"/>
          <w:sz w:val="24"/>
          <w:szCs w:val="24"/>
          <w:shd w:val="clear" w:color="auto" w:fill="FFFFFF"/>
        </w:rPr>
        <w:t>outlines requirements for liability valuation for general insurers that were previously outlined in GPS 320.</w:t>
      </w:r>
    </w:p>
    <w:p w14:paraId="34C9DBCC" w14:textId="77777777" w:rsidR="00CA2857" w:rsidRPr="00045CBE" w:rsidRDefault="00CA2857" w:rsidP="009D7325">
      <w:pPr>
        <w:spacing w:after="240"/>
        <w:contextualSpacing/>
        <w:jc w:val="both"/>
        <w:rPr>
          <w:rFonts w:ascii="Times New Roman" w:eastAsia="Times New Roman" w:hAnsi="Times New Roman"/>
          <w:b/>
          <w:sz w:val="24"/>
          <w:szCs w:val="24"/>
          <w:lang w:eastAsia="en-AU"/>
        </w:rPr>
      </w:pPr>
    </w:p>
    <w:p w14:paraId="2835F98F" w14:textId="5EA48F3D" w:rsidR="00812CFD" w:rsidRPr="00045CBE" w:rsidRDefault="00A019DA" w:rsidP="009D7325">
      <w:pPr>
        <w:spacing w:after="240"/>
        <w:contextualSpacing/>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Purpose of the instrument</w:t>
      </w:r>
      <w:r w:rsidR="0055440B" w:rsidRPr="00045CBE">
        <w:rPr>
          <w:rFonts w:ascii="Times New Roman" w:eastAsia="Times New Roman" w:hAnsi="Times New Roman"/>
          <w:b/>
          <w:sz w:val="24"/>
          <w:szCs w:val="24"/>
          <w:lang w:eastAsia="en-AU"/>
        </w:rPr>
        <w:t>s</w:t>
      </w:r>
    </w:p>
    <w:p w14:paraId="0915FFA3" w14:textId="77777777" w:rsidR="00D47A85" w:rsidRPr="00045CBE" w:rsidRDefault="00D47A85" w:rsidP="009D7325">
      <w:pPr>
        <w:spacing w:after="240"/>
        <w:contextualSpacing/>
        <w:jc w:val="both"/>
        <w:rPr>
          <w:rFonts w:ascii="Times New Roman" w:eastAsia="Times New Roman" w:hAnsi="Times New Roman"/>
          <w:b/>
          <w:sz w:val="24"/>
          <w:szCs w:val="24"/>
          <w:lang w:eastAsia="en-AU"/>
        </w:rPr>
      </w:pPr>
    </w:p>
    <w:p w14:paraId="39B3ABDB" w14:textId="59F04F01" w:rsidR="00A019DA" w:rsidRPr="00045CBE" w:rsidRDefault="00A019DA" w:rsidP="009D7325">
      <w:pPr>
        <w:spacing w:after="240"/>
        <w:jc w:val="both"/>
        <w:rPr>
          <w:rFonts w:ascii="Times New Roman" w:eastAsia="Times New Roman" w:hAnsi="Times New Roman"/>
          <w:b/>
          <w:sz w:val="24"/>
          <w:szCs w:val="24"/>
          <w:lang w:eastAsia="en-AU"/>
        </w:rPr>
      </w:pPr>
      <w:r w:rsidRPr="00045CBE">
        <w:rPr>
          <w:rFonts w:ascii="Times New Roman" w:eastAsia="Times New Roman" w:hAnsi="Times New Roman"/>
          <w:sz w:val="24"/>
          <w:szCs w:val="24"/>
          <w:lang w:eastAsia="en-AU"/>
        </w:rPr>
        <w:t xml:space="preserve">The purpose of </w:t>
      </w:r>
      <w:r w:rsidR="00D039F0" w:rsidRPr="00045CBE">
        <w:rPr>
          <w:rFonts w:ascii="Times New Roman" w:hAnsi="Times New Roman"/>
          <w:sz w:val="24"/>
          <w:szCs w:val="24"/>
          <w:lang w:val="en-US"/>
        </w:rPr>
        <w:t xml:space="preserve">Insurance, Life Insurance and Health Insurance (prudential standards) determination No. 1 of 2018 </w:t>
      </w:r>
      <w:r w:rsidRPr="00045CBE">
        <w:rPr>
          <w:rFonts w:ascii="Times New Roman" w:eastAsia="Times New Roman" w:hAnsi="Times New Roman"/>
          <w:sz w:val="24"/>
          <w:szCs w:val="24"/>
          <w:lang w:eastAsia="en-AU"/>
        </w:rPr>
        <w:t>is to</w:t>
      </w:r>
      <w:r w:rsidR="0055440B" w:rsidRPr="00045CBE">
        <w:rPr>
          <w:rFonts w:ascii="Times New Roman" w:eastAsia="Times New Roman" w:hAnsi="Times New Roman"/>
          <w:sz w:val="24"/>
          <w:szCs w:val="24"/>
          <w:lang w:eastAsia="en-AU"/>
        </w:rPr>
        <w:t xml:space="preserve"> set</w:t>
      </w:r>
      <w:r w:rsidRPr="00045CBE">
        <w:rPr>
          <w:rFonts w:ascii="Times New Roman" w:eastAsia="Times New Roman" w:hAnsi="Times New Roman"/>
          <w:sz w:val="24"/>
          <w:szCs w:val="24"/>
          <w:lang w:eastAsia="en-AU"/>
        </w:rPr>
        <w:t xml:space="preserve"> ou</w:t>
      </w:r>
      <w:r w:rsidR="001000B5" w:rsidRPr="00045CBE">
        <w:rPr>
          <w:rFonts w:ascii="Times New Roman" w:eastAsia="Times New Roman" w:hAnsi="Times New Roman"/>
          <w:sz w:val="24"/>
          <w:szCs w:val="24"/>
          <w:lang w:eastAsia="en-AU"/>
        </w:rPr>
        <w:t>t prudential requirements for</w:t>
      </w:r>
      <w:r w:rsidRPr="00045CBE">
        <w:rPr>
          <w:rFonts w:ascii="Times New Roman" w:eastAsia="Times New Roman" w:hAnsi="Times New Roman"/>
          <w:sz w:val="24"/>
          <w:szCs w:val="24"/>
          <w:lang w:eastAsia="en-AU"/>
        </w:rPr>
        <w:t xml:space="preserve"> </w:t>
      </w:r>
      <w:r w:rsidR="004A4890" w:rsidRPr="00045CBE">
        <w:rPr>
          <w:rFonts w:ascii="Times New Roman" w:eastAsia="Times New Roman" w:hAnsi="Times New Roman"/>
          <w:sz w:val="24"/>
          <w:szCs w:val="24"/>
          <w:lang w:eastAsia="en-AU"/>
        </w:rPr>
        <w:t xml:space="preserve">general insurers, life insurers and </w:t>
      </w:r>
      <w:r w:rsidR="008B1B78" w:rsidRPr="00045CBE">
        <w:rPr>
          <w:rFonts w:ascii="Times New Roman" w:eastAsia="Times New Roman" w:hAnsi="Times New Roman"/>
          <w:sz w:val="24"/>
          <w:szCs w:val="24"/>
          <w:lang w:eastAsia="en-AU"/>
        </w:rPr>
        <w:t>p</w:t>
      </w:r>
      <w:r w:rsidR="006D7CB9" w:rsidRPr="00045CBE">
        <w:rPr>
          <w:rFonts w:ascii="Times New Roman" w:eastAsia="Times New Roman" w:hAnsi="Times New Roman"/>
          <w:sz w:val="24"/>
          <w:szCs w:val="24"/>
          <w:lang w:eastAsia="en-AU"/>
        </w:rPr>
        <w:t>rivate health insurer</w:t>
      </w:r>
      <w:r w:rsidR="008B1B78" w:rsidRPr="00045CBE">
        <w:rPr>
          <w:rFonts w:ascii="Times New Roman" w:eastAsia="Times New Roman" w:hAnsi="Times New Roman"/>
          <w:sz w:val="24"/>
          <w:szCs w:val="24"/>
          <w:lang w:eastAsia="en-AU"/>
        </w:rPr>
        <w:t xml:space="preserve">s </w:t>
      </w:r>
      <w:r w:rsidRPr="00045CBE">
        <w:rPr>
          <w:rFonts w:ascii="Times New Roman" w:eastAsia="Times New Roman" w:hAnsi="Times New Roman"/>
          <w:sz w:val="24"/>
          <w:szCs w:val="24"/>
          <w:lang w:eastAsia="en-AU"/>
        </w:rPr>
        <w:t xml:space="preserve">to maintain </w:t>
      </w:r>
      <w:r w:rsidR="004A4890" w:rsidRPr="00045CBE">
        <w:rPr>
          <w:rFonts w:ascii="Times New Roman" w:hAnsi="Times New Roman"/>
          <w:sz w:val="24"/>
          <w:szCs w:val="24"/>
        </w:rPr>
        <w:t>appropriate actuarial advice</w:t>
      </w:r>
      <w:r w:rsidR="007E5EB7" w:rsidRPr="00045CBE">
        <w:rPr>
          <w:rFonts w:ascii="Times New Roman" w:hAnsi="Times New Roman"/>
          <w:sz w:val="24"/>
          <w:szCs w:val="24"/>
        </w:rPr>
        <w:t xml:space="preserve">. This </w:t>
      </w:r>
      <w:proofErr w:type="gramStart"/>
      <w:r w:rsidR="007E5EB7" w:rsidRPr="00045CBE">
        <w:rPr>
          <w:rFonts w:ascii="Times New Roman" w:hAnsi="Times New Roman"/>
          <w:sz w:val="24"/>
          <w:szCs w:val="24"/>
        </w:rPr>
        <w:t>ad</w:t>
      </w:r>
      <w:r w:rsidR="0084435E" w:rsidRPr="00045CBE">
        <w:rPr>
          <w:rFonts w:ascii="Times New Roman" w:hAnsi="Times New Roman"/>
          <w:sz w:val="24"/>
          <w:szCs w:val="24"/>
        </w:rPr>
        <w:t>vice</w:t>
      </w:r>
      <w:proofErr w:type="gramEnd"/>
      <w:r w:rsidR="0084435E" w:rsidRPr="00045CBE">
        <w:rPr>
          <w:rFonts w:ascii="Times New Roman" w:hAnsi="Times New Roman"/>
          <w:sz w:val="24"/>
          <w:szCs w:val="24"/>
        </w:rPr>
        <w:t xml:space="preserve"> is designed to assist the b</w:t>
      </w:r>
      <w:r w:rsidR="007E5EB7" w:rsidRPr="00045CBE">
        <w:rPr>
          <w:rFonts w:ascii="Times New Roman" w:hAnsi="Times New Roman"/>
          <w:sz w:val="24"/>
          <w:szCs w:val="24"/>
        </w:rPr>
        <w:t xml:space="preserve">oard and senior management in carrying out their responsibilities for the sound and prudent management of the </w:t>
      </w:r>
      <w:r w:rsidR="004A4890" w:rsidRPr="00045CBE">
        <w:rPr>
          <w:rFonts w:ascii="Times New Roman" w:hAnsi="Times New Roman"/>
          <w:sz w:val="24"/>
          <w:szCs w:val="24"/>
        </w:rPr>
        <w:t>insurer</w:t>
      </w:r>
      <w:r w:rsidR="007E5EB7" w:rsidRPr="00045CBE">
        <w:rPr>
          <w:rFonts w:ascii="Times New Roman" w:hAnsi="Times New Roman"/>
          <w:sz w:val="24"/>
          <w:szCs w:val="24"/>
        </w:rPr>
        <w:t>.</w:t>
      </w:r>
      <w:r w:rsidRPr="00045CBE">
        <w:rPr>
          <w:rFonts w:ascii="Times New Roman" w:eastAsia="Times New Roman" w:hAnsi="Times New Roman"/>
          <w:sz w:val="24"/>
          <w:szCs w:val="24"/>
          <w:lang w:eastAsia="en-AU"/>
        </w:rPr>
        <w:t xml:space="preserve"> </w:t>
      </w:r>
      <w:r w:rsidR="006E31AB" w:rsidRPr="00045CBE">
        <w:rPr>
          <w:rFonts w:ascii="Times New Roman" w:hAnsi="Times New Roman"/>
          <w:sz w:val="24"/>
          <w:szCs w:val="24"/>
          <w:lang w:val="en-US"/>
        </w:rPr>
        <w:t xml:space="preserve">The purpose of Insurance (prudential standards) determination No. 3 of 2018 is to set out the requirements for liability valuation for general insurers that were in GPS 320 in a new prudential standard, GPS 340. </w:t>
      </w:r>
      <w:r w:rsidR="000C0282" w:rsidRPr="00045CBE">
        <w:rPr>
          <w:rFonts w:ascii="Times New Roman" w:eastAsia="Times New Roman" w:hAnsi="Times New Roman"/>
          <w:sz w:val="24"/>
          <w:szCs w:val="24"/>
          <w:lang w:eastAsia="en-AU"/>
        </w:rPr>
        <w:t xml:space="preserve">The purpose of </w:t>
      </w:r>
      <w:r w:rsidR="00D039F0" w:rsidRPr="00045CBE">
        <w:rPr>
          <w:rFonts w:ascii="Times New Roman" w:hAnsi="Times New Roman"/>
          <w:sz w:val="24"/>
          <w:szCs w:val="24"/>
          <w:lang w:val="en-US"/>
        </w:rPr>
        <w:t xml:space="preserve">Insurance (prudential standards) determination No. 2 of 2018 and Life Insurance (prudential standards) determination No. 2 of 2018 </w:t>
      </w:r>
      <w:r w:rsidR="000C0282" w:rsidRPr="00045CBE">
        <w:rPr>
          <w:rFonts w:ascii="Times New Roman" w:eastAsia="Times New Roman" w:hAnsi="Times New Roman"/>
          <w:sz w:val="24"/>
          <w:szCs w:val="24"/>
          <w:lang w:eastAsia="en-AU"/>
        </w:rPr>
        <w:t xml:space="preserve">is to </w:t>
      </w:r>
      <w:r w:rsidR="00D039F0" w:rsidRPr="00045CBE">
        <w:rPr>
          <w:rFonts w:ascii="Times New Roman" w:eastAsia="Times New Roman" w:hAnsi="Times New Roman"/>
          <w:sz w:val="24"/>
          <w:szCs w:val="24"/>
          <w:lang w:eastAsia="en-AU"/>
        </w:rPr>
        <w:t xml:space="preserve">revoke and replace GPS 001 and LPS 001 respectively with new versions of those standards. </w:t>
      </w:r>
    </w:p>
    <w:p w14:paraId="3CD4C048" w14:textId="6117ADDD" w:rsidR="00812CFD" w:rsidRPr="00045CBE" w:rsidRDefault="00812CFD" w:rsidP="009D7325">
      <w:pPr>
        <w:keepNext/>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Operation of the instrument</w:t>
      </w:r>
      <w:r w:rsidR="0055440B" w:rsidRPr="00045CBE">
        <w:rPr>
          <w:rFonts w:ascii="Times New Roman" w:eastAsia="Times New Roman" w:hAnsi="Times New Roman"/>
          <w:b/>
          <w:sz w:val="24"/>
          <w:szCs w:val="24"/>
          <w:lang w:eastAsia="en-AU"/>
        </w:rPr>
        <w:t>s</w:t>
      </w:r>
    </w:p>
    <w:p w14:paraId="231DBD80" w14:textId="77777777" w:rsidR="00A6661A" w:rsidRPr="00045CBE" w:rsidRDefault="004A4890" w:rsidP="009D7325">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The key requirements of C</w:t>
      </w:r>
      <w:r w:rsidR="00427B85" w:rsidRPr="00045CBE">
        <w:rPr>
          <w:rFonts w:ascii="Times New Roman" w:eastAsia="Times New Roman" w:hAnsi="Times New Roman"/>
          <w:sz w:val="24"/>
          <w:szCs w:val="24"/>
          <w:lang w:eastAsia="en-AU"/>
        </w:rPr>
        <w:t>PS 32</w:t>
      </w:r>
      <w:r w:rsidR="007E5EB7" w:rsidRPr="00045CBE">
        <w:rPr>
          <w:rFonts w:ascii="Times New Roman" w:eastAsia="Times New Roman" w:hAnsi="Times New Roman"/>
          <w:sz w:val="24"/>
          <w:szCs w:val="24"/>
          <w:lang w:eastAsia="en-AU"/>
        </w:rPr>
        <w:t>0</w:t>
      </w:r>
      <w:r w:rsidR="00A019DA" w:rsidRPr="00045CBE">
        <w:rPr>
          <w:rFonts w:ascii="Times New Roman" w:eastAsia="Times New Roman" w:hAnsi="Times New Roman"/>
          <w:sz w:val="24"/>
          <w:szCs w:val="24"/>
          <w:lang w:eastAsia="en-AU"/>
        </w:rPr>
        <w:t xml:space="preserve"> are</w:t>
      </w:r>
      <w:r w:rsidR="00A6661A" w:rsidRPr="00045CBE">
        <w:rPr>
          <w:rFonts w:ascii="Times New Roman" w:eastAsia="Times New Roman" w:hAnsi="Times New Roman"/>
          <w:sz w:val="24"/>
          <w:szCs w:val="24"/>
          <w:lang w:eastAsia="en-AU"/>
        </w:rPr>
        <w:t>:</w:t>
      </w:r>
    </w:p>
    <w:p w14:paraId="0B4CEDB9" w14:textId="4D471EA4" w:rsidR="008B1B78" w:rsidRPr="00045CBE" w:rsidRDefault="00A6661A" w:rsidP="009D7325">
      <w:pPr>
        <w:pStyle w:val="ListParagraph"/>
        <w:numPr>
          <w:ilvl w:val="0"/>
          <w:numId w:val="1"/>
        </w:num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an insurer must</w:t>
      </w:r>
      <w:r w:rsidR="00A019DA" w:rsidRPr="00045CBE">
        <w:rPr>
          <w:rFonts w:ascii="Times New Roman" w:eastAsia="Times New Roman" w:hAnsi="Times New Roman"/>
          <w:sz w:val="24"/>
          <w:szCs w:val="24"/>
          <w:lang w:eastAsia="en-AU"/>
        </w:rPr>
        <w:t xml:space="preserve"> </w:t>
      </w:r>
      <w:r w:rsidRPr="00045CBE">
        <w:rPr>
          <w:rFonts w:ascii="Times New Roman" w:hAnsi="Times New Roman"/>
          <w:sz w:val="24"/>
          <w:szCs w:val="24"/>
        </w:rPr>
        <w:t>establish an actuarial advice framework;</w:t>
      </w:r>
    </w:p>
    <w:p w14:paraId="00335428" w14:textId="14AC6F62" w:rsidR="00A6661A" w:rsidRPr="00045CBE" w:rsidRDefault="00A6661A" w:rsidP="009D7325">
      <w:pPr>
        <w:pStyle w:val="ListParagraph"/>
        <w:numPr>
          <w:ilvl w:val="0"/>
          <w:numId w:val="1"/>
        </w:numPr>
        <w:spacing w:after="240"/>
        <w:jc w:val="both"/>
        <w:rPr>
          <w:rFonts w:ascii="Times New Roman" w:eastAsia="Times New Roman" w:hAnsi="Times New Roman"/>
          <w:sz w:val="24"/>
          <w:szCs w:val="24"/>
          <w:lang w:eastAsia="en-AU"/>
        </w:rPr>
      </w:pPr>
      <w:r w:rsidRPr="00045CBE">
        <w:rPr>
          <w:rFonts w:ascii="Times New Roman" w:hAnsi="Times New Roman"/>
          <w:sz w:val="24"/>
          <w:szCs w:val="24"/>
        </w:rPr>
        <w:lastRenderedPageBreak/>
        <w:t xml:space="preserve">an insurer must provide the Appointed Actuary with sufficient information, and access to the board and senior management, to allow the Appointed Actuary to fulfil specified roles and functions; </w:t>
      </w:r>
    </w:p>
    <w:p w14:paraId="759080DF" w14:textId="501A1BCF" w:rsidR="00A6661A" w:rsidRPr="00045CBE" w:rsidRDefault="00A6661A" w:rsidP="009D7325">
      <w:pPr>
        <w:pStyle w:val="Default"/>
        <w:numPr>
          <w:ilvl w:val="0"/>
          <w:numId w:val="1"/>
        </w:numPr>
        <w:spacing w:after="240"/>
        <w:jc w:val="both"/>
      </w:pPr>
      <w:r w:rsidRPr="00045CBE">
        <w:t>the Appointed Actuary must provide advice to the insurer on the valuation of the insurance liabilities, the insurer’s financial condition, and matters specified under the insurer’s actuarial advice framework, consistent with the insurer’s materiality policy;</w:t>
      </w:r>
    </w:p>
    <w:p w14:paraId="221F5B57" w14:textId="5E3F8F7F" w:rsidR="00A6661A" w:rsidRPr="00045CBE" w:rsidRDefault="00A6661A" w:rsidP="009D7325">
      <w:pPr>
        <w:pStyle w:val="Default"/>
        <w:numPr>
          <w:ilvl w:val="0"/>
          <w:numId w:val="1"/>
        </w:numPr>
        <w:spacing w:after="240"/>
        <w:jc w:val="both"/>
      </w:pPr>
      <w:r w:rsidRPr="00045CBE">
        <w:t>the Appointed Actuary must assess the insurer’s financial condition and prepare a Financial Condition Report;</w:t>
      </w:r>
    </w:p>
    <w:p w14:paraId="1E82587B" w14:textId="0C95C053" w:rsidR="00A6661A" w:rsidRPr="00045CBE" w:rsidRDefault="00A6661A" w:rsidP="009D7325">
      <w:pPr>
        <w:pStyle w:val="Default"/>
        <w:numPr>
          <w:ilvl w:val="0"/>
          <w:numId w:val="1"/>
        </w:numPr>
        <w:spacing w:after="240"/>
        <w:jc w:val="both"/>
      </w:pPr>
      <w:r w:rsidRPr="00045CBE">
        <w:t>an insurer must submit a copy of the Financial Condition Report to APRA;</w:t>
      </w:r>
    </w:p>
    <w:p w14:paraId="25C1119F" w14:textId="6D8AFBD6" w:rsidR="00A6661A" w:rsidRPr="00045CBE" w:rsidRDefault="00A6661A" w:rsidP="009D7325">
      <w:pPr>
        <w:pStyle w:val="Default"/>
        <w:numPr>
          <w:ilvl w:val="0"/>
          <w:numId w:val="1"/>
        </w:numPr>
        <w:spacing w:after="240"/>
        <w:jc w:val="both"/>
      </w:pPr>
      <w:r w:rsidRPr="00045CBE">
        <w:t>the Appointed Actuary must provide advice on the valuation of insurance liabilities, and Appointed Actuaries of general insurers and life companies must prepare an Actuarial Valuation Report; and</w:t>
      </w:r>
    </w:p>
    <w:p w14:paraId="00E1C5DE" w14:textId="23C431FA" w:rsidR="00A6661A" w:rsidRPr="00045CBE" w:rsidRDefault="00A6661A" w:rsidP="009D7325">
      <w:pPr>
        <w:pStyle w:val="Default"/>
        <w:numPr>
          <w:ilvl w:val="0"/>
          <w:numId w:val="1"/>
        </w:numPr>
        <w:spacing w:after="240"/>
        <w:jc w:val="both"/>
      </w:pPr>
      <w:proofErr w:type="gramStart"/>
      <w:r w:rsidRPr="00045CBE">
        <w:t>a</w:t>
      </w:r>
      <w:proofErr w:type="gramEnd"/>
      <w:r w:rsidRPr="00045CBE">
        <w:t xml:space="preserve"> general insurer or life company must submit a copy of the Actuarial Valuation Report to APRA.</w:t>
      </w:r>
    </w:p>
    <w:p w14:paraId="2928DA7C" w14:textId="430024AB" w:rsidR="00AF2D37" w:rsidRPr="00045CBE" w:rsidRDefault="00AF2D37" w:rsidP="009D7325">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The key requirements of GPS 340 are:</w:t>
      </w:r>
    </w:p>
    <w:p w14:paraId="1F528F21" w14:textId="628A2488" w:rsidR="00AF2D37" w:rsidRPr="00045CBE" w:rsidRDefault="00AF2D37" w:rsidP="009D7325">
      <w:pPr>
        <w:pStyle w:val="ListParagraph"/>
        <w:numPr>
          <w:ilvl w:val="0"/>
          <w:numId w:val="9"/>
        </w:numPr>
        <w:spacing w:after="240"/>
        <w:ind w:left="284" w:hanging="357"/>
        <w:jc w:val="both"/>
        <w:rPr>
          <w:rFonts w:ascii="Times New Roman" w:hAnsi="Times New Roman"/>
          <w:color w:val="000000"/>
          <w:sz w:val="24"/>
          <w:szCs w:val="24"/>
        </w:rPr>
      </w:pPr>
      <w:r w:rsidRPr="00045CBE">
        <w:rPr>
          <w:rFonts w:ascii="Times New Roman" w:hAnsi="Times New Roman"/>
          <w:sz w:val="24"/>
          <w:szCs w:val="24"/>
        </w:rPr>
        <w:t>the ultimate responsibility for the valuation of insurance</w:t>
      </w:r>
      <w:r w:rsidR="009D7325" w:rsidRPr="00045CBE">
        <w:rPr>
          <w:rFonts w:ascii="Times New Roman" w:hAnsi="Times New Roman"/>
          <w:sz w:val="24"/>
          <w:szCs w:val="24"/>
        </w:rPr>
        <w:t xml:space="preserve"> liabilities rests with the b</w:t>
      </w:r>
      <w:r w:rsidRPr="00045CBE">
        <w:rPr>
          <w:rFonts w:ascii="Times New Roman" w:hAnsi="Times New Roman"/>
          <w:sz w:val="24"/>
          <w:szCs w:val="24"/>
        </w:rPr>
        <w:t xml:space="preserve">oard of the general insurer </w:t>
      </w:r>
      <w:r w:rsidRPr="00045CBE">
        <w:rPr>
          <w:rFonts w:ascii="Times New Roman" w:hAnsi="Times New Roman"/>
          <w:color w:val="000000"/>
          <w:sz w:val="24"/>
          <w:szCs w:val="24"/>
        </w:rPr>
        <w:t>or Level 2 insurance group;</w:t>
      </w:r>
    </w:p>
    <w:p w14:paraId="4FA96E04" w14:textId="3A07D582" w:rsidR="00AF2D37" w:rsidRPr="00045CBE" w:rsidRDefault="00AF2D37" w:rsidP="009D7325">
      <w:pPr>
        <w:pStyle w:val="ListParagraph"/>
        <w:numPr>
          <w:ilvl w:val="0"/>
          <w:numId w:val="9"/>
        </w:numPr>
        <w:spacing w:after="240"/>
        <w:ind w:left="284" w:hanging="357"/>
        <w:jc w:val="both"/>
        <w:rPr>
          <w:rFonts w:ascii="Times New Roman" w:hAnsi="Times New Roman"/>
          <w:color w:val="000000"/>
          <w:sz w:val="24"/>
          <w:szCs w:val="24"/>
        </w:rPr>
      </w:pPr>
      <w:proofErr w:type="gramStart"/>
      <w:r w:rsidRPr="00045CBE">
        <w:rPr>
          <w:rFonts w:ascii="Times New Roman" w:hAnsi="Times New Roman"/>
          <w:color w:val="000000"/>
          <w:sz w:val="24"/>
          <w:szCs w:val="24"/>
        </w:rPr>
        <w:t>a</w:t>
      </w:r>
      <w:proofErr w:type="gramEnd"/>
      <w:r w:rsidRPr="00045CBE">
        <w:rPr>
          <w:rFonts w:ascii="Times New Roman" w:hAnsi="Times New Roman"/>
          <w:color w:val="000000"/>
          <w:sz w:val="24"/>
          <w:szCs w:val="24"/>
        </w:rPr>
        <w:t xml:space="preserve"> general insurer or Level 2 insurance group must value its insurance liabilities in accordance with the principles and methodology set out </w:t>
      </w:r>
      <w:r w:rsidR="004812D5" w:rsidRPr="00045CBE">
        <w:rPr>
          <w:rFonts w:ascii="Times New Roman" w:hAnsi="Times New Roman"/>
          <w:color w:val="000000"/>
          <w:sz w:val="24"/>
          <w:szCs w:val="24"/>
        </w:rPr>
        <w:t>in GPS 340.</w:t>
      </w:r>
    </w:p>
    <w:tbl>
      <w:tblPr>
        <w:tblW w:w="8472" w:type="dxa"/>
        <w:tblInd w:w="-108" w:type="dxa"/>
        <w:tblBorders>
          <w:top w:val="nil"/>
          <w:left w:val="nil"/>
          <w:bottom w:val="nil"/>
          <w:right w:val="nil"/>
        </w:tblBorders>
        <w:tblLayout w:type="fixed"/>
        <w:tblLook w:val="0000" w:firstRow="0" w:lastRow="0" w:firstColumn="0" w:lastColumn="0" w:noHBand="0" w:noVBand="0"/>
      </w:tblPr>
      <w:tblGrid>
        <w:gridCol w:w="8472"/>
      </w:tblGrid>
      <w:tr w:rsidR="00A6661A" w:rsidRPr="00045CBE" w14:paraId="660DA61E" w14:textId="77777777" w:rsidTr="00045CBE">
        <w:trPr>
          <w:trHeight w:val="141"/>
        </w:trPr>
        <w:tc>
          <w:tcPr>
            <w:tcW w:w="8472" w:type="dxa"/>
          </w:tcPr>
          <w:p w14:paraId="765723DA" w14:textId="2CB9F92D" w:rsidR="00AF2D37" w:rsidRPr="00045CBE" w:rsidRDefault="00AF2D37" w:rsidP="009D7325">
            <w:pPr>
              <w:pStyle w:val="Default"/>
              <w:jc w:val="both"/>
            </w:pPr>
            <w:r w:rsidRPr="00045CBE">
              <w:t xml:space="preserve">GPS 001 </w:t>
            </w:r>
            <w:r w:rsidR="00953CD2" w:rsidRPr="00045CBE">
              <w:t>defines key terms referred to in other prudential standards applicable to general insurers and Level 2 insurance groups</w:t>
            </w:r>
          </w:p>
          <w:p w14:paraId="1D4B60E8" w14:textId="77777777" w:rsidR="00AF2D37" w:rsidRPr="00045CBE" w:rsidRDefault="00AF2D37" w:rsidP="009D7325">
            <w:pPr>
              <w:pStyle w:val="Default"/>
              <w:jc w:val="both"/>
            </w:pPr>
          </w:p>
          <w:p w14:paraId="54EBB282" w14:textId="77777777" w:rsidR="00AF2D37" w:rsidRPr="00045CBE" w:rsidRDefault="00AF2D37" w:rsidP="009D7325">
            <w:pPr>
              <w:pStyle w:val="Default"/>
              <w:jc w:val="both"/>
            </w:pPr>
            <w:r w:rsidRPr="00045CBE">
              <w:t xml:space="preserve">LPS 001 defines key terms referred to in other prudential standards applicable to life companies. </w:t>
            </w:r>
          </w:p>
          <w:p w14:paraId="0D762CA8" w14:textId="6AA7FDD8" w:rsidR="00713105" w:rsidRPr="00045CBE" w:rsidRDefault="00713105" w:rsidP="009D7325">
            <w:pPr>
              <w:pStyle w:val="Default"/>
              <w:jc w:val="both"/>
            </w:pPr>
          </w:p>
          <w:p w14:paraId="5A222310" w14:textId="372C37B1" w:rsidR="00713105" w:rsidRPr="00045CBE" w:rsidRDefault="00713105" w:rsidP="009D7325">
            <w:pPr>
              <w:pStyle w:val="Default"/>
              <w:jc w:val="both"/>
            </w:pPr>
            <w:r w:rsidRPr="00045CBE">
              <w:t xml:space="preserve">Where CPS 320, GPS 340, GPS 001 and LPS 001 refer to an Act, Regulation or prudential standard, this is a reference to the document as it exists from time to time, and which is available on the Federal Register of Legislation at </w:t>
            </w:r>
            <w:hyperlink r:id="rId14" w:history="1">
              <w:r w:rsidRPr="00045CBE">
                <w:rPr>
                  <w:rStyle w:val="Hyperlink"/>
                  <w:rFonts w:ascii="Times New Roman" w:hAnsi="Times New Roman"/>
                  <w:sz w:val="24"/>
                </w:rPr>
                <w:t>www.legislation.gov.au</w:t>
              </w:r>
            </w:hyperlink>
            <w:r w:rsidRPr="00045CBE">
              <w:t>.</w:t>
            </w:r>
          </w:p>
          <w:p w14:paraId="1F3241A9" w14:textId="712C117F" w:rsidR="000565C4" w:rsidRPr="00045CBE" w:rsidRDefault="000565C4" w:rsidP="009D7325">
            <w:pPr>
              <w:pStyle w:val="Default"/>
              <w:jc w:val="both"/>
            </w:pPr>
          </w:p>
        </w:tc>
      </w:tr>
    </w:tbl>
    <w:p w14:paraId="081A576F" w14:textId="77777777" w:rsidR="00A019DA" w:rsidRPr="00045CBE" w:rsidRDefault="00A019DA" w:rsidP="009D7325">
      <w:pPr>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lastRenderedPageBreak/>
        <w:t>Consultation</w:t>
      </w:r>
    </w:p>
    <w:p w14:paraId="42199C3E" w14:textId="611C12FD" w:rsidR="000B4066" w:rsidRPr="00045CBE" w:rsidRDefault="000B4066" w:rsidP="009D7325">
      <w:pPr>
        <w:spacing w:after="240"/>
        <w:jc w:val="both"/>
        <w:rPr>
          <w:rFonts w:ascii="Times New Roman" w:eastAsia="Times New Roman" w:hAnsi="Times New Roman"/>
          <w:sz w:val="24"/>
          <w:szCs w:val="24"/>
          <w:lang w:eastAsia="en-AU"/>
        </w:rPr>
      </w:pPr>
      <w:bookmarkStart w:id="5" w:name="bkConsultation"/>
      <w:bookmarkEnd w:id="5"/>
      <w:r w:rsidRPr="00045CBE">
        <w:rPr>
          <w:rFonts w:ascii="Times New Roman" w:hAnsi="Times New Roman"/>
          <w:sz w:val="24"/>
          <w:szCs w:val="24"/>
        </w:rPr>
        <w:t xml:space="preserve">APRA undertook consultations on its </w:t>
      </w:r>
      <w:r w:rsidR="003277AD" w:rsidRPr="00045CBE">
        <w:rPr>
          <w:rFonts w:ascii="Times New Roman" w:hAnsi="Times New Roman"/>
          <w:sz w:val="24"/>
          <w:szCs w:val="24"/>
        </w:rPr>
        <w:t>review of the role of the Appointed Actuary</w:t>
      </w:r>
      <w:r w:rsidRPr="00045CBE">
        <w:rPr>
          <w:rFonts w:ascii="Times New Roman" w:hAnsi="Times New Roman"/>
          <w:sz w:val="24"/>
          <w:szCs w:val="24"/>
        </w:rPr>
        <w:t xml:space="preserve"> between </w:t>
      </w:r>
      <w:r w:rsidR="003277AD" w:rsidRPr="00045CBE">
        <w:rPr>
          <w:rFonts w:ascii="Times New Roman" w:hAnsi="Times New Roman"/>
          <w:sz w:val="24"/>
          <w:szCs w:val="24"/>
        </w:rPr>
        <w:t>June 2016</w:t>
      </w:r>
      <w:r w:rsidR="007B22D9" w:rsidRPr="00045CBE">
        <w:rPr>
          <w:rFonts w:ascii="Times New Roman" w:hAnsi="Times New Roman"/>
          <w:sz w:val="24"/>
          <w:szCs w:val="24"/>
        </w:rPr>
        <w:t xml:space="preserve"> and</w:t>
      </w:r>
      <w:r w:rsidR="003277AD" w:rsidRPr="00045CBE">
        <w:rPr>
          <w:rFonts w:ascii="Times New Roman" w:hAnsi="Times New Roman"/>
          <w:sz w:val="24"/>
          <w:szCs w:val="24"/>
        </w:rPr>
        <w:t xml:space="preserve"> December 2017</w:t>
      </w:r>
      <w:r w:rsidRPr="00045CBE">
        <w:rPr>
          <w:rFonts w:ascii="Times New Roman" w:hAnsi="Times New Roman"/>
          <w:sz w:val="24"/>
          <w:szCs w:val="24"/>
        </w:rPr>
        <w:t>. Submissions were received from, and discussions held with, numerous insurers, industry bodies, and</w:t>
      </w:r>
      <w:r w:rsidR="00092E8C" w:rsidRPr="00045CBE">
        <w:rPr>
          <w:rFonts w:ascii="Times New Roman" w:hAnsi="Times New Roman"/>
          <w:sz w:val="24"/>
          <w:szCs w:val="24"/>
        </w:rPr>
        <w:t xml:space="preserve"> the profession</w:t>
      </w:r>
      <w:r w:rsidR="003277AD" w:rsidRPr="00045CBE">
        <w:rPr>
          <w:rFonts w:ascii="Times New Roman" w:hAnsi="Times New Roman"/>
          <w:sz w:val="24"/>
          <w:szCs w:val="24"/>
        </w:rPr>
        <w:t>al body</w:t>
      </w:r>
      <w:r w:rsidRPr="00045CBE">
        <w:rPr>
          <w:rFonts w:ascii="Times New Roman" w:hAnsi="Times New Roman"/>
          <w:sz w:val="24"/>
          <w:szCs w:val="24"/>
        </w:rPr>
        <w:t>.</w:t>
      </w:r>
    </w:p>
    <w:p w14:paraId="16330E86" w14:textId="587950D0" w:rsidR="00A6661A" w:rsidRPr="00045CBE" w:rsidRDefault="00A019DA" w:rsidP="009D7325">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 xml:space="preserve">In </w:t>
      </w:r>
      <w:r w:rsidR="00A6661A" w:rsidRPr="00045CBE">
        <w:rPr>
          <w:rFonts w:ascii="Times New Roman" w:eastAsia="Times New Roman" w:hAnsi="Times New Roman"/>
          <w:sz w:val="24"/>
          <w:szCs w:val="24"/>
          <w:lang w:eastAsia="en-AU"/>
        </w:rPr>
        <w:t>June 2016</w:t>
      </w:r>
      <w:r w:rsidRPr="00045CBE">
        <w:rPr>
          <w:rFonts w:ascii="Times New Roman" w:eastAsia="Times New Roman" w:hAnsi="Times New Roman"/>
          <w:sz w:val="24"/>
          <w:szCs w:val="24"/>
          <w:lang w:eastAsia="en-AU"/>
        </w:rPr>
        <w:t xml:space="preserve">, APRA released for public consultation a discussion paper, </w:t>
      </w:r>
      <w:proofErr w:type="gramStart"/>
      <w:r w:rsidR="00A6661A" w:rsidRPr="00045CBE">
        <w:rPr>
          <w:rFonts w:ascii="Times New Roman" w:eastAsia="Times New Roman" w:hAnsi="Times New Roman"/>
          <w:i/>
          <w:sz w:val="24"/>
          <w:szCs w:val="24"/>
          <w:lang w:eastAsia="en-AU"/>
        </w:rPr>
        <w:t>The</w:t>
      </w:r>
      <w:proofErr w:type="gramEnd"/>
      <w:r w:rsidR="00A6661A" w:rsidRPr="00045CBE">
        <w:rPr>
          <w:rFonts w:ascii="Times New Roman" w:eastAsia="Times New Roman" w:hAnsi="Times New Roman"/>
          <w:i/>
          <w:sz w:val="24"/>
          <w:szCs w:val="24"/>
          <w:lang w:eastAsia="en-AU"/>
        </w:rPr>
        <w:t xml:space="preserve"> role of the Appointed Actuary and actuarial advice within insurers.</w:t>
      </w:r>
      <w:r w:rsidR="003F43BA" w:rsidRPr="00045CBE">
        <w:rPr>
          <w:rFonts w:ascii="Times New Roman" w:eastAsia="Times New Roman" w:hAnsi="Times New Roman"/>
          <w:sz w:val="24"/>
          <w:szCs w:val="24"/>
          <w:lang w:eastAsia="en-AU"/>
        </w:rPr>
        <w:t xml:space="preserve"> </w:t>
      </w:r>
      <w:r w:rsidR="00A6661A" w:rsidRPr="00045CBE">
        <w:rPr>
          <w:rFonts w:ascii="Times New Roman" w:eastAsia="Times New Roman" w:hAnsi="Times New Roman"/>
          <w:sz w:val="24"/>
          <w:szCs w:val="24"/>
          <w:lang w:eastAsia="en-AU"/>
        </w:rPr>
        <w:t xml:space="preserve">APRA received 26 written submissions in response to the discussion paper and presented the proposed reforms via a wide range of industry forums. </w:t>
      </w:r>
    </w:p>
    <w:p w14:paraId="655C510F" w14:textId="691E2B4B" w:rsidR="00A019DA" w:rsidRPr="00045CBE" w:rsidRDefault="00A6661A" w:rsidP="009D7325">
      <w:pPr>
        <w:spacing w:after="240"/>
        <w:jc w:val="both"/>
        <w:rPr>
          <w:rFonts w:ascii="Times New Roman" w:hAnsi="Times New Roman"/>
          <w:sz w:val="24"/>
          <w:szCs w:val="24"/>
        </w:rPr>
      </w:pPr>
      <w:r w:rsidRPr="00045CBE">
        <w:rPr>
          <w:rFonts w:ascii="Times New Roman" w:eastAsia="Times New Roman" w:hAnsi="Times New Roman"/>
          <w:sz w:val="24"/>
          <w:szCs w:val="24"/>
          <w:lang w:eastAsia="en-AU"/>
        </w:rPr>
        <w:t xml:space="preserve">In September 2017, APRA released for public consultation a response to submissions paper </w:t>
      </w:r>
      <w:r w:rsidR="00B71298" w:rsidRPr="00045CBE">
        <w:rPr>
          <w:rFonts w:ascii="Times New Roman" w:eastAsia="Times New Roman" w:hAnsi="Times New Roman"/>
          <w:iCs/>
          <w:sz w:val="24"/>
          <w:szCs w:val="24"/>
          <w:lang w:eastAsia="en-AU"/>
        </w:rPr>
        <w:t>w</w:t>
      </w:r>
      <w:r w:rsidR="00A019DA" w:rsidRPr="00045CBE">
        <w:rPr>
          <w:rFonts w:ascii="Times New Roman" w:eastAsia="Times New Roman" w:hAnsi="Times New Roman"/>
          <w:iCs/>
          <w:sz w:val="24"/>
          <w:szCs w:val="24"/>
          <w:lang w:eastAsia="en-AU"/>
        </w:rPr>
        <w:t xml:space="preserve">hich </w:t>
      </w:r>
      <w:r w:rsidR="00045EB8" w:rsidRPr="00045CBE">
        <w:rPr>
          <w:rFonts w:ascii="Times New Roman" w:eastAsia="Times New Roman" w:hAnsi="Times New Roman"/>
          <w:iCs/>
          <w:sz w:val="24"/>
          <w:szCs w:val="24"/>
          <w:lang w:eastAsia="en-AU"/>
        </w:rPr>
        <w:t xml:space="preserve">included </w:t>
      </w:r>
      <w:r w:rsidR="00045EB8" w:rsidRPr="00045CBE">
        <w:rPr>
          <w:rFonts w:ascii="Times New Roman" w:hAnsi="Times New Roman"/>
          <w:sz w:val="24"/>
          <w:szCs w:val="24"/>
        </w:rPr>
        <w:t>two</w:t>
      </w:r>
      <w:r w:rsidR="00661A1C" w:rsidRPr="00045CBE">
        <w:rPr>
          <w:rFonts w:ascii="Times New Roman" w:hAnsi="Times New Roman"/>
          <w:sz w:val="24"/>
          <w:szCs w:val="24"/>
        </w:rPr>
        <w:t xml:space="preserve"> new </w:t>
      </w:r>
      <w:r w:rsidRPr="00045CBE">
        <w:rPr>
          <w:rFonts w:ascii="Times New Roman" w:hAnsi="Times New Roman"/>
          <w:sz w:val="24"/>
          <w:szCs w:val="24"/>
        </w:rPr>
        <w:t xml:space="preserve">draft </w:t>
      </w:r>
      <w:r w:rsidR="00661A1C" w:rsidRPr="00045CBE">
        <w:rPr>
          <w:rFonts w:ascii="Times New Roman" w:hAnsi="Times New Roman"/>
          <w:sz w:val="24"/>
          <w:szCs w:val="24"/>
        </w:rPr>
        <w:t>prudential s</w:t>
      </w:r>
      <w:r w:rsidR="00B71298" w:rsidRPr="00045CBE">
        <w:rPr>
          <w:rFonts w:ascii="Times New Roman" w:hAnsi="Times New Roman"/>
          <w:sz w:val="24"/>
          <w:szCs w:val="24"/>
        </w:rPr>
        <w:t>tandard</w:t>
      </w:r>
      <w:r w:rsidR="00045EB8" w:rsidRPr="00045CBE">
        <w:rPr>
          <w:rFonts w:ascii="Times New Roman" w:hAnsi="Times New Roman"/>
          <w:sz w:val="24"/>
          <w:szCs w:val="24"/>
        </w:rPr>
        <w:t xml:space="preserve">s </w:t>
      </w:r>
      <w:r w:rsidRPr="00045CBE">
        <w:rPr>
          <w:rFonts w:ascii="Times New Roman" w:hAnsi="Times New Roman"/>
          <w:sz w:val="24"/>
          <w:szCs w:val="24"/>
        </w:rPr>
        <w:t>and a draft prudential practice guide.</w:t>
      </w:r>
      <w:r w:rsidR="000565C4" w:rsidRPr="00045CBE">
        <w:rPr>
          <w:rFonts w:ascii="Times New Roman" w:hAnsi="Times New Roman"/>
          <w:sz w:val="24"/>
          <w:szCs w:val="24"/>
        </w:rPr>
        <w:t xml:space="preserve"> </w:t>
      </w:r>
      <w:r w:rsidR="00A019DA" w:rsidRPr="00045CBE">
        <w:rPr>
          <w:rFonts w:ascii="Times New Roman" w:eastAsia="Times New Roman" w:hAnsi="Times New Roman"/>
          <w:sz w:val="24"/>
          <w:szCs w:val="24"/>
          <w:lang w:eastAsia="en-AU"/>
        </w:rPr>
        <w:t xml:space="preserve">In the response, APRA outlined the significant issues raised in the submissions </w:t>
      </w:r>
      <w:r w:rsidRPr="00045CBE">
        <w:rPr>
          <w:rFonts w:ascii="Times New Roman" w:eastAsia="Times New Roman" w:hAnsi="Times New Roman"/>
          <w:sz w:val="24"/>
          <w:szCs w:val="24"/>
          <w:lang w:eastAsia="en-AU"/>
        </w:rPr>
        <w:t>and APRA’s</w:t>
      </w:r>
      <w:r w:rsidR="00A019DA" w:rsidRPr="00045CBE">
        <w:rPr>
          <w:rFonts w:ascii="Times New Roman" w:eastAsia="Times New Roman" w:hAnsi="Times New Roman"/>
          <w:sz w:val="24"/>
          <w:szCs w:val="24"/>
          <w:lang w:eastAsia="en-AU"/>
        </w:rPr>
        <w:t xml:space="preserve"> response to them. </w:t>
      </w:r>
      <w:r w:rsidR="000C2EEB" w:rsidRPr="00045CBE">
        <w:rPr>
          <w:rFonts w:ascii="Times New Roman" w:eastAsia="Times New Roman" w:hAnsi="Times New Roman"/>
          <w:sz w:val="24"/>
          <w:szCs w:val="24"/>
          <w:lang w:eastAsia="en-AU"/>
        </w:rPr>
        <w:t xml:space="preserve">APRA </w:t>
      </w:r>
      <w:r w:rsidR="0084435E" w:rsidRPr="00045CBE">
        <w:rPr>
          <w:rFonts w:ascii="Times New Roman" w:eastAsia="Times New Roman" w:hAnsi="Times New Roman"/>
          <w:sz w:val="24"/>
          <w:szCs w:val="24"/>
          <w:lang w:eastAsia="en-AU"/>
        </w:rPr>
        <w:t>received</w:t>
      </w:r>
      <w:r w:rsidR="000C2EEB" w:rsidRPr="00045CBE">
        <w:rPr>
          <w:rFonts w:ascii="Times New Roman" w:eastAsia="Times New Roman" w:hAnsi="Times New Roman"/>
          <w:sz w:val="24"/>
          <w:szCs w:val="24"/>
          <w:lang w:eastAsia="en-AU"/>
        </w:rPr>
        <w:t xml:space="preserve"> 10 submissions in relation to the response paper</w:t>
      </w:r>
      <w:r w:rsidR="0084435E" w:rsidRPr="00045CBE">
        <w:rPr>
          <w:rFonts w:ascii="Times New Roman" w:eastAsia="Times New Roman" w:hAnsi="Times New Roman"/>
          <w:sz w:val="24"/>
          <w:szCs w:val="24"/>
          <w:lang w:eastAsia="en-AU"/>
        </w:rPr>
        <w:t>.</w:t>
      </w:r>
    </w:p>
    <w:p w14:paraId="219E87B7" w14:textId="7BC4B22F" w:rsidR="00C33347" w:rsidRPr="00045CBE" w:rsidRDefault="00A6661A" w:rsidP="009D7325">
      <w:pPr>
        <w:pStyle w:val="apranormal"/>
        <w:shd w:val="clear" w:color="auto" w:fill="FFFFFF"/>
        <w:jc w:val="both"/>
        <w:rPr>
          <w:lang w:val="en-US"/>
        </w:rPr>
      </w:pPr>
      <w:r w:rsidRPr="00045CBE">
        <w:t xml:space="preserve">All submissions </w:t>
      </w:r>
      <w:r w:rsidR="000C2EEB" w:rsidRPr="00045CBE">
        <w:t xml:space="preserve">to the response paper </w:t>
      </w:r>
      <w:r w:rsidRPr="00045CBE">
        <w:t>were generally supportive of the proposed changes and mainly sought minor clarification</w:t>
      </w:r>
      <w:r w:rsidR="000565C4" w:rsidRPr="00045CBE">
        <w:t>s to the draft CPS 320. The key</w:t>
      </w:r>
      <w:r w:rsidRPr="00045CBE">
        <w:t xml:space="preserve"> issue of concern related to the date of implementation with some stakeholders noting that given other concurrent regulatory changes, a later implementation date would be preferred.</w:t>
      </w:r>
    </w:p>
    <w:p w14:paraId="16E07AE7" w14:textId="77777777" w:rsidR="00A019DA" w:rsidRPr="00045CBE" w:rsidRDefault="00A019DA" w:rsidP="009D7325">
      <w:pPr>
        <w:pStyle w:val="ListParagraph"/>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Regulation Impact Statement</w:t>
      </w:r>
    </w:p>
    <w:p w14:paraId="3CD79EE6" w14:textId="683EED8F" w:rsidR="00A019DA" w:rsidRPr="00045CBE" w:rsidRDefault="00C33347" w:rsidP="009D7325">
      <w:pPr>
        <w:spacing w:before="100" w:beforeAutospacing="1" w:after="100" w:afterAutospacing="1"/>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 xml:space="preserve">The Office of Best Practice Regulation </w:t>
      </w:r>
      <w:r w:rsidR="00056DF9" w:rsidRPr="00045CBE">
        <w:rPr>
          <w:rFonts w:ascii="Times New Roman" w:eastAsia="Times New Roman" w:hAnsi="Times New Roman"/>
          <w:sz w:val="24"/>
          <w:szCs w:val="24"/>
          <w:lang w:eastAsia="en-AU"/>
        </w:rPr>
        <w:t xml:space="preserve">has </w:t>
      </w:r>
      <w:r w:rsidRPr="00045CBE">
        <w:rPr>
          <w:rFonts w:ascii="Times New Roman" w:eastAsia="Times New Roman" w:hAnsi="Times New Roman"/>
          <w:sz w:val="24"/>
          <w:szCs w:val="24"/>
          <w:lang w:eastAsia="en-AU"/>
        </w:rPr>
        <w:t xml:space="preserve">advised that a Regulation Impact Statement </w:t>
      </w:r>
      <w:r w:rsidR="00056DF9" w:rsidRPr="00045CBE">
        <w:rPr>
          <w:rFonts w:ascii="Times New Roman" w:eastAsia="Times New Roman" w:hAnsi="Times New Roman"/>
          <w:sz w:val="24"/>
          <w:szCs w:val="24"/>
          <w:lang w:eastAsia="en-AU"/>
        </w:rPr>
        <w:t xml:space="preserve">is </w:t>
      </w:r>
      <w:r w:rsidRPr="00045CBE">
        <w:rPr>
          <w:rFonts w:ascii="Times New Roman" w:eastAsia="Times New Roman" w:hAnsi="Times New Roman"/>
          <w:sz w:val="24"/>
          <w:szCs w:val="24"/>
          <w:lang w:eastAsia="en-AU"/>
        </w:rPr>
        <w:t xml:space="preserve">not required for </w:t>
      </w:r>
      <w:r w:rsidR="00BC650B" w:rsidRPr="00045CBE">
        <w:rPr>
          <w:rFonts w:ascii="Times New Roman" w:eastAsia="Times New Roman" w:hAnsi="Times New Roman"/>
          <w:sz w:val="24"/>
          <w:szCs w:val="24"/>
          <w:lang w:eastAsia="en-AU"/>
        </w:rPr>
        <w:t xml:space="preserve">these </w:t>
      </w:r>
      <w:r w:rsidR="00056DF9" w:rsidRPr="00045CBE">
        <w:rPr>
          <w:rFonts w:ascii="Times New Roman" w:eastAsia="Times New Roman" w:hAnsi="Times New Roman"/>
          <w:sz w:val="24"/>
          <w:szCs w:val="24"/>
          <w:lang w:eastAsia="en-AU"/>
        </w:rPr>
        <w:t xml:space="preserve">legislative </w:t>
      </w:r>
      <w:r w:rsidR="00FE04DC" w:rsidRPr="00045CBE">
        <w:rPr>
          <w:rFonts w:ascii="Times New Roman" w:eastAsia="Times New Roman" w:hAnsi="Times New Roman"/>
          <w:sz w:val="24"/>
          <w:szCs w:val="24"/>
          <w:lang w:eastAsia="en-AU"/>
        </w:rPr>
        <w:t>instruments</w:t>
      </w:r>
      <w:r w:rsidRPr="00045CBE">
        <w:rPr>
          <w:rFonts w:ascii="Times New Roman" w:eastAsia="Times New Roman" w:hAnsi="Times New Roman"/>
          <w:sz w:val="24"/>
          <w:szCs w:val="24"/>
          <w:lang w:eastAsia="en-AU"/>
        </w:rPr>
        <w:t xml:space="preserve">. </w:t>
      </w:r>
    </w:p>
    <w:p w14:paraId="36F7B320" w14:textId="77777777" w:rsidR="00A92F79" w:rsidRPr="00045CBE" w:rsidRDefault="00A92F79" w:rsidP="009D7325">
      <w:pPr>
        <w:pStyle w:val="Heading"/>
        <w:numPr>
          <w:ilvl w:val="0"/>
          <w:numId w:val="2"/>
        </w:numPr>
        <w:spacing w:before="0" w:after="240"/>
        <w:jc w:val="both"/>
        <w:rPr>
          <w:rFonts w:cs="Times New Roman"/>
          <w:i/>
          <w:sz w:val="24"/>
          <w:szCs w:val="24"/>
        </w:rPr>
      </w:pPr>
      <w:r w:rsidRPr="00045CBE">
        <w:rPr>
          <w:rFonts w:cs="Times New Roman"/>
          <w:sz w:val="24"/>
          <w:szCs w:val="24"/>
        </w:rPr>
        <w:t xml:space="preserve">Statement of compatibility prepared in accordance with Part 3 of the </w:t>
      </w:r>
      <w:r w:rsidRPr="00045CBE">
        <w:rPr>
          <w:rFonts w:cs="Times New Roman"/>
          <w:i/>
          <w:sz w:val="24"/>
          <w:szCs w:val="24"/>
        </w:rPr>
        <w:t>Human Rights (Parliamentary Scrutiny) Act 2011</w:t>
      </w:r>
    </w:p>
    <w:p w14:paraId="579F96BC" w14:textId="77777777" w:rsidR="00A92F79" w:rsidRPr="00045CBE" w:rsidRDefault="00A92F79" w:rsidP="009D7325">
      <w:pPr>
        <w:pStyle w:val="Heading"/>
        <w:spacing w:before="0" w:after="240"/>
        <w:jc w:val="both"/>
        <w:rPr>
          <w:rFonts w:cs="Times New Roman"/>
          <w:b w:val="0"/>
          <w:kern w:val="0"/>
          <w:sz w:val="24"/>
          <w:szCs w:val="24"/>
          <w:lang w:val="en-GB"/>
        </w:rPr>
      </w:pPr>
      <w:r w:rsidRPr="00045CBE">
        <w:rPr>
          <w:rFonts w:cs="Times New Roman"/>
          <w:b w:val="0"/>
          <w:kern w:val="0"/>
          <w:sz w:val="24"/>
          <w:szCs w:val="24"/>
          <w:lang w:val="en-GB"/>
        </w:rPr>
        <w:t xml:space="preserve">A Statement of compatibility prepared in accordance with Part 3 of the </w:t>
      </w:r>
      <w:r w:rsidRPr="00045CBE">
        <w:rPr>
          <w:rFonts w:cs="Times New Roman"/>
          <w:b w:val="0"/>
          <w:i/>
          <w:sz w:val="24"/>
          <w:szCs w:val="24"/>
          <w:lang w:val="en-GB"/>
        </w:rPr>
        <w:t>Human Rights (Parliamentary Scrutiny) Act 2011</w:t>
      </w:r>
      <w:r w:rsidRPr="00045CBE">
        <w:rPr>
          <w:rFonts w:cs="Times New Roman"/>
          <w:b w:val="0"/>
          <w:kern w:val="0"/>
          <w:sz w:val="24"/>
          <w:szCs w:val="24"/>
          <w:lang w:val="en-GB"/>
        </w:rPr>
        <w:t xml:space="preserve"> is provided at Attachment A to this Explanatory Statement.</w:t>
      </w:r>
    </w:p>
    <w:p w14:paraId="20668869" w14:textId="77777777" w:rsidR="00C7033B" w:rsidRPr="00045CBE" w:rsidRDefault="00C7033B" w:rsidP="00740ABA">
      <w:pPr>
        <w:pStyle w:val="Heading"/>
        <w:spacing w:before="0" w:after="240"/>
        <w:jc w:val="both"/>
        <w:rPr>
          <w:rFonts w:cs="Times New Roman"/>
          <w:b w:val="0"/>
          <w:kern w:val="0"/>
          <w:sz w:val="24"/>
          <w:szCs w:val="24"/>
          <w:lang w:val="en-GB"/>
        </w:rPr>
      </w:pPr>
    </w:p>
    <w:p w14:paraId="188BDD05" w14:textId="77777777" w:rsidR="00C67094" w:rsidRPr="00045CBE" w:rsidRDefault="008B2660" w:rsidP="00B321B0">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br w:type="page"/>
      </w:r>
    </w:p>
    <w:p w14:paraId="48AAB71F" w14:textId="77777777" w:rsidR="00A92F79" w:rsidRPr="00045CBE" w:rsidRDefault="00A92F79" w:rsidP="00041B8A">
      <w:pPr>
        <w:pStyle w:val="Heading"/>
        <w:keepNext w:val="0"/>
        <w:spacing w:before="0" w:after="240"/>
        <w:jc w:val="center"/>
        <w:rPr>
          <w:rFonts w:cs="Times New Roman"/>
          <w:sz w:val="24"/>
          <w:szCs w:val="24"/>
        </w:rPr>
      </w:pPr>
      <w:r w:rsidRPr="00045CBE">
        <w:rPr>
          <w:rFonts w:cs="Times New Roman"/>
          <w:sz w:val="24"/>
          <w:szCs w:val="24"/>
          <w:lang w:val="en-GB"/>
        </w:rPr>
        <w:lastRenderedPageBreak/>
        <w:t>ATTACHMENT A</w:t>
      </w:r>
    </w:p>
    <w:p w14:paraId="584003D7" w14:textId="77777777" w:rsidR="00A92F79" w:rsidRPr="00045CBE" w:rsidRDefault="00A92F79" w:rsidP="00B321B0">
      <w:pPr>
        <w:pStyle w:val="Heading"/>
        <w:keepNext w:val="0"/>
        <w:spacing w:before="0" w:after="240"/>
        <w:jc w:val="center"/>
        <w:rPr>
          <w:rFonts w:cs="Times New Roman"/>
          <w:sz w:val="24"/>
          <w:szCs w:val="24"/>
        </w:rPr>
      </w:pPr>
      <w:r w:rsidRPr="00045CBE">
        <w:rPr>
          <w:rFonts w:cs="Times New Roman"/>
          <w:sz w:val="24"/>
          <w:szCs w:val="24"/>
        </w:rPr>
        <w:t>Statement of Compatibility with Human Rights</w:t>
      </w:r>
    </w:p>
    <w:p w14:paraId="2AE0384E" w14:textId="77777777" w:rsidR="00A92F79" w:rsidRPr="00045CBE" w:rsidRDefault="00A92F79" w:rsidP="00740ABA">
      <w:pPr>
        <w:pStyle w:val="Heading1"/>
        <w:spacing w:after="240"/>
        <w:jc w:val="center"/>
        <w:rPr>
          <w:rFonts w:ascii="Times New Roman" w:hAnsi="Times New Roman"/>
          <w:b w:val="0"/>
          <w:i/>
          <w:sz w:val="24"/>
          <w:szCs w:val="24"/>
        </w:rPr>
      </w:pPr>
      <w:r w:rsidRPr="00045CBE">
        <w:rPr>
          <w:rFonts w:ascii="Times New Roman" w:hAnsi="Times New Roman"/>
          <w:b w:val="0"/>
          <w:sz w:val="24"/>
          <w:szCs w:val="24"/>
        </w:rPr>
        <w:t xml:space="preserve">Prepared in accordance with Part 3 of the </w:t>
      </w:r>
      <w:r w:rsidRPr="00045CBE">
        <w:rPr>
          <w:rFonts w:ascii="Times New Roman" w:hAnsi="Times New Roman"/>
          <w:b w:val="0"/>
          <w:i/>
          <w:sz w:val="24"/>
          <w:szCs w:val="24"/>
        </w:rPr>
        <w:t>Human Rights (Parliamentary Scrutiny) Act 2011</w:t>
      </w:r>
    </w:p>
    <w:p w14:paraId="76DCE312" w14:textId="2D38367C" w:rsidR="00C33347" w:rsidRPr="00045CBE" w:rsidRDefault="0084435E" w:rsidP="00041B8A">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Insurance, Life Insurance and Health</w:t>
      </w:r>
      <w:r w:rsidR="00C33347" w:rsidRPr="00045CBE">
        <w:rPr>
          <w:rFonts w:ascii="Times New Roman" w:eastAsia="Times New Roman" w:hAnsi="Times New Roman"/>
          <w:b/>
          <w:sz w:val="24"/>
          <w:szCs w:val="24"/>
          <w:lang w:eastAsia="en-AU"/>
        </w:rPr>
        <w:t xml:space="preserve"> Insurance (prudential standard) determination </w:t>
      </w:r>
      <w:r w:rsidR="000565C4" w:rsidRPr="00045CBE">
        <w:rPr>
          <w:rFonts w:ascii="Times New Roman" w:eastAsia="Times New Roman" w:hAnsi="Times New Roman"/>
          <w:b/>
          <w:sz w:val="24"/>
          <w:szCs w:val="24"/>
          <w:lang w:eastAsia="en-AU"/>
        </w:rPr>
        <w:t>No.1</w:t>
      </w:r>
      <w:r w:rsidR="00C33347" w:rsidRPr="00045CBE">
        <w:rPr>
          <w:rFonts w:ascii="Times New Roman" w:eastAsia="Times New Roman" w:hAnsi="Times New Roman"/>
          <w:b/>
          <w:sz w:val="24"/>
          <w:szCs w:val="24"/>
          <w:lang w:eastAsia="en-AU"/>
        </w:rPr>
        <w:t xml:space="preserve"> of 2</w:t>
      </w:r>
      <w:r w:rsidR="00C7033B" w:rsidRPr="00045CBE">
        <w:rPr>
          <w:rFonts w:ascii="Times New Roman" w:eastAsia="Times New Roman" w:hAnsi="Times New Roman"/>
          <w:b/>
          <w:sz w:val="24"/>
          <w:szCs w:val="24"/>
          <w:lang w:eastAsia="en-AU"/>
        </w:rPr>
        <w:t>018</w:t>
      </w:r>
    </w:p>
    <w:p w14:paraId="2A842B7B" w14:textId="2E86326B" w:rsidR="000565C4" w:rsidRPr="00045CBE" w:rsidRDefault="000565C4" w:rsidP="000565C4">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Insurance (prudential standard) determination</w:t>
      </w:r>
      <w:r w:rsidR="00BC650B" w:rsidRPr="00045CBE">
        <w:rPr>
          <w:rFonts w:ascii="Times New Roman" w:eastAsia="Times New Roman" w:hAnsi="Times New Roman"/>
          <w:b/>
          <w:sz w:val="24"/>
          <w:szCs w:val="24"/>
          <w:lang w:eastAsia="en-AU"/>
        </w:rPr>
        <w:t>s</w:t>
      </w:r>
      <w:r w:rsidRPr="00045CBE">
        <w:rPr>
          <w:rFonts w:ascii="Times New Roman" w:eastAsia="Times New Roman" w:hAnsi="Times New Roman"/>
          <w:b/>
          <w:sz w:val="24"/>
          <w:szCs w:val="24"/>
          <w:lang w:eastAsia="en-AU"/>
        </w:rPr>
        <w:t xml:space="preserve"> No</w:t>
      </w:r>
      <w:r w:rsidR="00BC650B" w:rsidRPr="00045CBE">
        <w:rPr>
          <w:rFonts w:ascii="Times New Roman" w:eastAsia="Times New Roman" w:hAnsi="Times New Roman"/>
          <w:b/>
          <w:sz w:val="24"/>
          <w:szCs w:val="24"/>
          <w:lang w:eastAsia="en-AU"/>
        </w:rPr>
        <w:t>s</w:t>
      </w:r>
      <w:r w:rsidRPr="00045CBE">
        <w:rPr>
          <w:rFonts w:ascii="Times New Roman" w:eastAsia="Times New Roman" w:hAnsi="Times New Roman"/>
          <w:b/>
          <w:sz w:val="24"/>
          <w:szCs w:val="24"/>
          <w:lang w:eastAsia="en-AU"/>
        </w:rPr>
        <w:t>.2 to 3 of 2018</w:t>
      </w:r>
    </w:p>
    <w:p w14:paraId="2B84E739" w14:textId="77777777" w:rsidR="000565C4" w:rsidRPr="00045CBE" w:rsidRDefault="000565C4" w:rsidP="000565C4">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Life Insurance (prudential standard) determination No.2 of 2018</w:t>
      </w:r>
    </w:p>
    <w:p w14:paraId="13002878" w14:textId="51E8920A" w:rsidR="00A92F79" w:rsidRPr="00045CBE" w:rsidRDefault="000565C4" w:rsidP="00740ABA">
      <w:pPr>
        <w:spacing w:after="240"/>
        <w:jc w:val="both"/>
        <w:rPr>
          <w:rFonts w:ascii="Times New Roman" w:hAnsi="Times New Roman"/>
          <w:sz w:val="24"/>
          <w:szCs w:val="24"/>
        </w:rPr>
      </w:pPr>
      <w:r w:rsidRPr="00045CBE">
        <w:rPr>
          <w:rFonts w:ascii="Times New Roman" w:hAnsi="Times New Roman"/>
          <w:sz w:val="24"/>
          <w:szCs w:val="24"/>
        </w:rPr>
        <w:t>These</w:t>
      </w:r>
      <w:r w:rsidR="00A92F79" w:rsidRPr="00045CBE">
        <w:rPr>
          <w:rFonts w:ascii="Times New Roman" w:hAnsi="Times New Roman"/>
          <w:sz w:val="24"/>
          <w:szCs w:val="24"/>
        </w:rPr>
        <w:t xml:space="preserve"> Legislative Instrument</w:t>
      </w:r>
      <w:r w:rsidRPr="00045CBE">
        <w:rPr>
          <w:rFonts w:ascii="Times New Roman" w:hAnsi="Times New Roman"/>
          <w:sz w:val="24"/>
          <w:szCs w:val="24"/>
        </w:rPr>
        <w:t>s are</w:t>
      </w:r>
      <w:r w:rsidR="00A92F79" w:rsidRPr="00045CBE">
        <w:rPr>
          <w:rFonts w:ascii="Times New Roman" w:hAnsi="Times New Roman"/>
          <w:sz w:val="24"/>
          <w:szCs w:val="24"/>
        </w:rPr>
        <w:t xml:space="preserve"> compatible with the human rights and freedoms recognised or declared in the international instrument listed in section 3 of the </w:t>
      </w:r>
      <w:r w:rsidR="00A92F79" w:rsidRPr="00045CBE">
        <w:rPr>
          <w:rFonts w:ascii="Times New Roman" w:hAnsi="Times New Roman"/>
          <w:i/>
          <w:sz w:val="24"/>
          <w:szCs w:val="24"/>
        </w:rPr>
        <w:t>Human Rights (Parliamentary Scrutiny) Act 2011</w:t>
      </w:r>
      <w:r w:rsidR="00A92F79" w:rsidRPr="00045CBE">
        <w:rPr>
          <w:rFonts w:ascii="Times New Roman" w:hAnsi="Times New Roman"/>
          <w:sz w:val="24"/>
          <w:szCs w:val="24"/>
        </w:rPr>
        <w:t xml:space="preserve"> (HRPS Act)</w:t>
      </w:r>
      <w:r w:rsidR="00B60C5A" w:rsidRPr="00045CBE">
        <w:rPr>
          <w:rFonts w:ascii="Times New Roman" w:hAnsi="Times New Roman"/>
          <w:sz w:val="24"/>
          <w:szCs w:val="24"/>
        </w:rPr>
        <w:t>.</w:t>
      </w:r>
    </w:p>
    <w:p w14:paraId="081D520C" w14:textId="6AE198B4"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Overview of the Legislative Instrument</w:t>
      </w:r>
      <w:r w:rsidR="00FE04DC" w:rsidRPr="00045CBE">
        <w:rPr>
          <w:rFonts w:ascii="Times New Roman" w:hAnsi="Times New Roman"/>
          <w:b/>
          <w:sz w:val="24"/>
          <w:szCs w:val="24"/>
        </w:rPr>
        <w:t>s</w:t>
      </w:r>
    </w:p>
    <w:p w14:paraId="5B160DCF" w14:textId="2F56AFD1" w:rsidR="000565C4" w:rsidRPr="00045CBE" w:rsidRDefault="000565C4" w:rsidP="000565C4">
      <w:pPr>
        <w:spacing w:after="240"/>
        <w:jc w:val="both"/>
        <w:rPr>
          <w:rFonts w:ascii="Times New Roman" w:hAnsi="Times New Roman"/>
          <w:sz w:val="24"/>
          <w:szCs w:val="24"/>
        </w:rPr>
      </w:pPr>
      <w:r w:rsidRPr="00045CBE">
        <w:rPr>
          <w:rFonts w:ascii="Times New Roman" w:eastAsia="Times New Roman" w:hAnsi="Times New Roman"/>
          <w:sz w:val="24"/>
          <w:szCs w:val="24"/>
          <w:lang w:eastAsia="en-AU"/>
        </w:rPr>
        <w:t xml:space="preserve">The purpose of these instruments is to set out prudential requirements for general insurers, life insurers and private health insurers to maintain </w:t>
      </w:r>
      <w:r w:rsidRPr="00045CBE">
        <w:rPr>
          <w:rFonts w:ascii="Times New Roman" w:hAnsi="Times New Roman"/>
          <w:sz w:val="24"/>
          <w:szCs w:val="24"/>
        </w:rPr>
        <w:t>appropriate actuarial advice. This advice is designed to assist the board and senior management in carrying out their responsibilities for the sound and prudent management of the insurer.</w:t>
      </w:r>
      <w:r w:rsidR="007A697A" w:rsidRPr="00045CBE">
        <w:rPr>
          <w:rFonts w:ascii="Times New Roman" w:hAnsi="Times New Roman"/>
          <w:sz w:val="24"/>
          <w:szCs w:val="24"/>
        </w:rPr>
        <w:t xml:space="preserve"> It is also to </w:t>
      </w:r>
      <w:r w:rsidR="007A697A" w:rsidRPr="00045CBE">
        <w:rPr>
          <w:rFonts w:ascii="Times New Roman" w:hAnsi="Times New Roman"/>
          <w:sz w:val="24"/>
          <w:szCs w:val="24"/>
          <w:lang w:val="en-US"/>
        </w:rPr>
        <w:t xml:space="preserve">set out the requirements for liability valuation for general insurers and to make consequential amendments to definitions contained in </w:t>
      </w:r>
      <w:r w:rsidR="007A697A" w:rsidRPr="00045CBE">
        <w:rPr>
          <w:rFonts w:ascii="Times New Roman" w:eastAsia="Times New Roman" w:hAnsi="Times New Roman"/>
          <w:sz w:val="24"/>
          <w:szCs w:val="24"/>
          <w:lang w:eastAsia="en-AU"/>
        </w:rPr>
        <w:t>GPS 001 and LPS 001.</w:t>
      </w:r>
      <w:r w:rsidRPr="00045CBE">
        <w:rPr>
          <w:rFonts w:ascii="Times New Roman" w:eastAsia="Times New Roman" w:hAnsi="Times New Roman"/>
          <w:sz w:val="24"/>
          <w:szCs w:val="24"/>
          <w:lang w:eastAsia="en-AU"/>
        </w:rPr>
        <w:t xml:space="preserve"> </w:t>
      </w:r>
    </w:p>
    <w:p w14:paraId="49DFFCA5" w14:textId="322FEC6B" w:rsidR="00265061" w:rsidRPr="00045CBE" w:rsidRDefault="000565C4" w:rsidP="00265061">
      <w:pPr>
        <w:spacing w:after="240"/>
        <w:jc w:val="both"/>
        <w:rPr>
          <w:rFonts w:ascii="Times New Roman" w:hAnsi="Times New Roman"/>
          <w:sz w:val="24"/>
          <w:szCs w:val="24"/>
        </w:rPr>
      </w:pPr>
      <w:r w:rsidRPr="00045CBE">
        <w:rPr>
          <w:rFonts w:ascii="Times New Roman" w:hAnsi="Times New Roman"/>
          <w:sz w:val="24"/>
          <w:szCs w:val="24"/>
        </w:rPr>
        <w:t>CPS 320 and GPS 340</w:t>
      </w:r>
      <w:r w:rsidR="00A92F79" w:rsidRPr="00045CBE">
        <w:rPr>
          <w:rFonts w:ascii="Times New Roman" w:hAnsi="Times New Roman"/>
          <w:sz w:val="24"/>
          <w:szCs w:val="24"/>
        </w:rPr>
        <w:t xml:space="preserve"> a</w:t>
      </w:r>
      <w:r w:rsidRPr="00045CBE">
        <w:rPr>
          <w:rFonts w:ascii="Times New Roman" w:hAnsi="Times New Roman"/>
          <w:sz w:val="24"/>
          <w:szCs w:val="24"/>
        </w:rPr>
        <w:t>re</w:t>
      </w:r>
      <w:r w:rsidR="00A92F79" w:rsidRPr="00045CBE">
        <w:rPr>
          <w:rFonts w:ascii="Times New Roman" w:hAnsi="Times New Roman"/>
          <w:sz w:val="24"/>
          <w:szCs w:val="24"/>
        </w:rPr>
        <w:t xml:space="preserve"> new prudential standard</w:t>
      </w:r>
      <w:r w:rsidRPr="00045CBE">
        <w:rPr>
          <w:rFonts w:ascii="Times New Roman" w:hAnsi="Times New Roman"/>
          <w:sz w:val="24"/>
          <w:szCs w:val="24"/>
        </w:rPr>
        <w:t>s</w:t>
      </w:r>
      <w:r w:rsidR="00A92F79" w:rsidRPr="00045CBE">
        <w:rPr>
          <w:rFonts w:ascii="Times New Roman" w:hAnsi="Times New Roman"/>
          <w:sz w:val="24"/>
          <w:szCs w:val="24"/>
        </w:rPr>
        <w:t xml:space="preserve"> which </w:t>
      </w:r>
      <w:r w:rsidRPr="00045CBE">
        <w:rPr>
          <w:rFonts w:ascii="Times New Roman" w:hAnsi="Times New Roman"/>
          <w:sz w:val="24"/>
          <w:szCs w:val="24"/>
        </w:rPr>
        <w:t>are</w:t>
      </w:r>
      <w:r w:rsidR="00265061" w:rsidRPr="00045CBE">
        <w:rPr>
          <w:rFonts w:ascii="Times New Roman" w:hAnsi="Times New Roman"/>
          <w:sz w:val="24"/>
          <w:szCs w:val="24"/>
        </w:rPr>
        <w:t xml:space="preserve"> designed to ensure tha</w:t>
      </w:r>
      <w:r w:rsidR="00F31D48" w:rsidRPr="00045CBE">
        <w:rPr>
          <w:rFonts w:ascii="Times New Roman" w:hAnsi="Times New Roman"/>
          <w:sz w:val="24"/>
          <w:szCs w:val="24"/>
        </w:rPr>
        <w:t xml:space="preserve">t the prudential framework for </w:t>
      </w:r>
      <w:proofErr w:type="gramStart"/>
      <w:r w:rsidR="00F31D48" w:rsidRPr="00045CBE">
        <w:rPr>
          <w:rFonts w:ascii="Times New Roman" w:hAnsi="Times New Roman"/>
          <w:sz w:val="24"/>
          <w:szCs w:val="24"/>
        </w:rPr>
        <w:t>i</w:t>
      </w:r>
      <w:r w:rsidR="000A5431" w:rsidRPr="00045CBE">
        <w:rPr>
          <w:rFonts w:ascii="Times New Roman" w:hAnsi="Times New Roman"/>
          <w:sz w:val="24"/>
          <w:szCs w:val="24"/>
        </w:rPr>
        <w:t>nsurers</w:t>
      </w:r>
      <w:proofErr w:type="gramEnd"/>
      <w:r w:rsidR="000A5431" w:rsidRPr="00045CBE">
        <w:rPr>
          <w:rFonts w:ascii="Times New Roman" w:hAnsi="Times New Roman"/>
          <w:sz w:val="24"/>
          <w:szCs w:val="24"/>
        </w:rPr>
        <w:t xml:space="preserve"> remains fit for purpose. In particular, to protect </w:t>
      </w:r>
      <w:r w:rsidR="00265061" w:rsidRPr="00045CBE">
        <w:rPr>
          <w:rFonts w:ascii="Times New Roman" w:hAnsi="Times New Roman"/>
          <w:sz w:val="24"/>
          <w:szCs w:val="24"/>
        </w:rPr>
        <w:t xml:space="preserve">policyholder interests and ensure sound prudential outcomes </w:t>
      </w:r>
      <w:r w:rsidR="00280BE5" w:rsidRPr="00045CBE">
        <w:rPr>
          <w:rFonts w:ascii="Times New Roman" w:hAnsi="Times New Roman"/>
          <w:sz w:val="24"/>
          <w:szCs w:val="24"/>
        </w:rPr>
        <w:t>by improving the functioning of the Appointed Actuary role.</w:t>
      </w:r>
      <w:r w:rsidR="00265061" w:rsidRPr="00045CBE">
        <w:rPr>
          <w:rFonts w:ascii="Times New Roman" w:hAnsi="Times New Roman"/>
          <w:sz w:val="24"/>
          <w:szCs w:val="24"/>
        </w:rPr>
        <w:t xml:space="preserve"> </w:t>
      </w:r>
    </w:p>
    <w:p w14:paraId="30EC27F3" w14:textId="77777777"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Human rights implications</w:t>
      </w:r>
    </w:p>
    <w:p w14:paraId="6EC55F3B" w14:textId="3C61D39D" w:rsidR="00A92F79" w:rsidRPr="00045CBE" w:rsidRDefault="00A92F79" w:rsidP="00217CED">
      <w:pPr>
        <w:spacing w:after="240"/>
        <w:jc w:val="both"/>
        <w:rPr>
          <w:rFonts w:ascii="Times New Roman" w:eastAsia="Times New Roman" w:hAnsi="Times New Roman"/>
          <w:i/>
          <w:iCs/>
          <w:sz w:val="24"/>
          <w:szCs w:val="24"/>
          <w:lang w:eastAsia="en-AU"/>
        </w:rPr>
      </w:pPr>
      <w:r w:rsidRPr="00045CBE">
        <w:rPr>
          <w:rFonts w:ascii="Times New Roman" w:hAnsi="Times New Roman"/>
          <w:sz w:val="24"/>
          <w:szCs w:val="24"/>
        </w:rPr>
        <w:t>APRA has assessed the instrument</w:t>
      </w:r>
      <w:r w:rsidR="00FE04DC" w:rsidRPr="00045CBE">
        <w:rPr>
          <w:rFonts w:ascii="Times New Roman" w:hAnsi="Times New Roman"/>
          <w:sz w:val="24"/>
          <w:szCs w:val="24"/>
        </w:rPr>
        <w:t>s</w:t>
      </w:r>
      <w:r w:rsidRPr="00045CBE">
        <w:rPr>
          <w:rFonts w:ascii="Times New Roman" w:hAnsi="Times New Roman"/>
          <w:sz w:val="24"/>
          <w:szCs w:val="24"/>
        </w:rPr>
        <w:t xml:space="preserve"> against the international instruments listed in section 3 of the HRPS Act and </w:t>
      </w:r>
      <w:r w:rsidR="00FE04DC" w:rsidRPr="00045CBE">
        <w:rPr>
          <w:rFonts w:ascii="Times New Roman" w:hAnsi="Times New Roman"/>
          <w:sz w:val="24"/>
          <w:szCs w:val="24"/>
        </w:rPr>
        <w:t xml:space="preserve">has </w:t>
      </w:r>
      <w:r w:rsidRPr="00045CBE">
        <w:rPr>
          <w:rFonts w:ascii="Times New Roman" w:hAnsi="Times New Roman"/>
          <w:sz w:val="24"/>
          <w:szCs w:val="24"/>
        </w:rPr>
        <w:t xml:space="preserve">determined that </w:t>
      </w:r>
      <w:r w:rsidR="00FE04DC" w:rsidRPr="00045CBE">
        <w:rPr>
          <w:rFonts w:ascii="Times New Roman" w:hAnsi="Times New Roman"/>
          <w:sz w:val="24"/>
          <w:szCs w:val="24"/>
        </w:rPr>
        <w:t>the instruments do</w:t>
      </w:r>
      <w:r w:rsidR="002249BD" w:rsidRPr="00045CBE">
        <w:rPr>
          <w:rFonts w:ascii="Times New Roman" w:hAnsi="Times New Roman"/>
          <w:sz w:val="24"/>
          <w:szCs w:val="24"/>
        </w:rPr>
        <w:t xml:space="preserve"> not engage </w:t>
      </w:r>
      <w:r w:rsidR="002249BD" w:rsidRPr="00045CBE">
        <w:rPr>
          <w:rFonts w:ascii="Times New Roman" w:eastAsia="Times New Roman" w:hAnsi="Times New Roman"/>
          <w:sz w:val="24"/>
          <w:szCs w:val="24"/>
          <w:lang w:eastAsia="en-AU"/>
        </w:rPr>
        <w:t>any of the applicable rights or freedoms</w:t>
      </w:r>
      <w:r w:rsidR="00B60C5A" w:rsidRPr="00045CBE">
        <w:rPr>
          <w:rFonts w:ascii="Times New Roman" w:eastAsia="Times New Roman" w:hAnsi="Times New Roman"/>
          <w:sz w:val="24"/>
          <w:szCs w:val="24"/>
          <w:lang w:eastAsia="en-AU"/>
        </w:rPr>
        <w:t>.</w:t>
      </w:r>
    </w:p>
    <w:p w14:paraId="24E33EFD" w14:textId="77777777" w:rsidR="00A92F79" w:rsidRPr="00045CBE" w:rsidRDefault="00A92F79" w:rsidP="00F83148">
      <w:pPr>
        <w:spacing w:after="240"/>
        <w:jc w:val="both"/>
        <w:rPr>
          <w:rFonts w:ascii="Times New Roman" w:hAnsi="Times New Roman"/>
          <w:b/>
          <w:sz w:val="24"/>
          <w:szCs w:val="24"/>
        </w:rPr>
      </w:pPr>
      <w:r w:rsidRPr="00045CBE">
        <w:rPr>
          <w:rFonts w:ascii="Times New Roman" w:hAnsi="Times New Roman"/>
          <w:b/>
          <w:sz w:val="24"/>
          <w:szCs w:val="24"/>
        </w:rPr>
        <w:t>Conclusion</w:t>
      </w:r>
    </w:p>
    <w:p w14:paraId="3CF440C2" w14:textId="0500B834" w:rsidR="00A92F79" w:rsidRPr="00045CBE" w:rsidRDefault="00FE04DC" w:rsidP="00451286">
      <w:pPr>
        <w:spacing w:after="240"/>
        <w:jc w:val="both"/>
        <w:rPr>
          <w:rFonts w:ascii="Times New Roman" w:hAnsi="Times New Roman"/>
          <w:sz w:val="24"/>
          <w:szCs w:val="24"/>
        </w:rPr>
      </w:pPr>
      <w:r w:rsidRPr="00045CBE">
        <w:rPr>
          <w:rFonts w:ascii="Times New Roman" w:hAnsi="Times New Roman"/>
          <w:sz w:val="24"/>
          <w:szCs w:val="24"/>
        </w:rPr>
        <w:lastRenderedPageBreak/>
        <w:t xml:space="preserve">These </w:t>
      </w:r>
      <w:r w:rsidR="00B60C5A" w:rsidRPr="00045CBE">
        <w:rPr>
          <w:rFonts w:ascii="Times New Roman" w:hAnsi="Times New Roman"/>
          <w:sz w:val="24"/>
          <w:szCs w:val="24"/>
        </w:rPr>
        <w:t>Legislative Instrument</w:t>
      </w:r>
      <w:r w:rsidRPr="00045CBE">
        <w:rPr>
          <w:rFonts w:ascii="Times New Roman" w:hAnsi="Times New Roman"/>
          <w:sz w:val="24"/>
          <w:szCs w:val="24"/>
        </w:rPr>
        <w:t>s</w:t>
      </w:r>
      <w:r w:rsidR="00A92F79" w:rsidRPr="00045CBE">
        <w:rPr>
          <w:rFonts w:ascii="Times New Roman" w:hAnsi="Times New Roman"/>
          <w:sz w:val="24"/>
          <w:szCs w:val="24"/>
        </w:rPr>
        <w:t xml:space="preserve"> </w:t>
      </w:r>
      <w:r w:rsidRPr="00045CBE">
        <w:rPr>
          <w:rFonts w:ascii="Times New Roman" w:hAnsi="Times New Roman"/>
          <w:sz w:val="24"/>
          <w:szCs w:val="24"/>
        </w:rPr>
        <w:t xml:space="preserve">are </w:t>
      </w:r>
      <w:r w:rsidR="00A92F79" w:rsidRPr="00045CBE">
        <w:rPr>
          <w:rFonts w:ascii="Times New Roman" w:hAnsi="Times New Roman"/>
          <w:sz w:val="24"/>
          <w:szCs w:val="24"/>
        </w:rPr>
        <w:t xml:space="preserve">compatible with human rights </w:t>
      </w:r>
      <w:r w:rsidR="00B60C5A" w:rsidRPr="00045CBE">
        <w:rPr>
          <w:rFonts w:ascii="Times New Roman" w:hAnsi="Times New Roman"/>
          <w:sz w:val="24"/>
          <w:szCs w:val="24"/>
        </w:rPr>
        <w:t>as</w:t>
      </w:r>
      <w:r w:rsidR="00A92F79" w:rsidRPr="00045CBE">
        <w:rPr>
          <w:rFonts w:ascii="Times New Roman" w:hAnsi="Times New Roman"/>
          <w:sz w:val="24"/>
          <w:szCs w:val="24"/>
        </w:rPr>
        <w:t xml:space="preserve"> </w:t>
      </w:r>
      <w:r w:rsidRPr="00045CBE">
        <w:rPr>
          <w:rFonts w:ascii="Times New Roman" w:hAnsi="Times New Roman"/>
          <w:sz w:val="24"/>
          <w:szCs w:val="24"/>
        </w:rPr>
        <w:t xml:space="preserve">they </w:t>
      </w:r>
      <w:r w:rsidR="00E454F2" w:rsidRPr="00045CBE">
        <w:rPr>
          <w:rFonts w:ascii="Times New Roman" w:hAnsi="Times New Roman"/>
          <w:sz w:val="24"/>
          <w:szCs w:val="24"/>
        </w:rPr>
        <w:t xml:space="preserve">do not </w:t>
      </w:r>
      <w:r w:rsidR="00B60C5A" w:rsidRPr="00045CBE">
        <w:rPr>
          <w:rFonts w:ascii="Times New Roman" w:hAnsi="Times New Roman"/>
          <w:sz w:val="24"/>
          <w:szCs w:val="24"/>
        </w:rPr>
        <w:t>raise any</w:t>
      </w:r>
      <w:r w:rsidR="00A92F79" w:rsidRPr="00045CBE">
        <w:rPr>
          <w:rFonts w:ascii="Times New Roman" w:hAnsi="Times New Roman"/>
          <w:sz w:val="24"/>
          <w:szCs w:val="24"/>
        </w:rPr>
        <w:t xml:space="preserve"> human rights</w:t>
      </w:r>
      <w:r w:rsidR="00E454F2" w:rsidRPr="00045CBE">
        <w:rPr>
          <w:rFonts w:ascii="Times New Roman" w:hAnsi="Times New Roman"/>
          <w:sz w:val="24"/>
          <w:szCs w:val="24"/>
        </w:rPr>
        <w:t xml:space="preserve"> </w:t>
      </w:r>
      <w:r w:rsidR="00B60C5A" w:rsidRPr="00045CBE">
        <w:rPr>
          <w:rFonts w:ascii="Times New Roman" w:hAnsi="Times New Roman"/>
          <w:sz w:val="24"/>
          <w:szCs w:val="24"/>
        </w:rPr>
        <w:t>issues</w:t>
      </w:r>
      <w:r w:rsidR="00E454F2" w:rsidRPr="00045CBE">
        <w:rPr>
          <w:rFonts w:ascii="Times New Roman" w:hAnsi="Times New Roman"/>
          <w:sz w:val="24"/>
          <w:szCs w:val="24"/>
        </w:rPr>
        <w:t>.</w:t>
      </w:r>
    </w:p>
    <w:p w14:paraId="01652BF2" w14:textId="77777777" w:rsidR="00A019DA" w:rsidRPr="00045CBE" w:rsidRDefault="00A019DA" w:rsidP="00B321B0">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 </w:t>
      </w:r>
    </w:p>
    <w:p w14:paraId="215391BF" w14:textId="77777777" w:rsidR="00A019DA" w:rsidRPr="00045CBE" w:rsidRDefault="00A019DA" w:rsidP="00B321B0">
      <w:pPr>
        <w:spacing w:after="240"/>
        <w:jc w:val="both"/>
        <w:rPr>
          <w:rFonts w:ascii="Times New Roman" w:hAnsi="Times New Roman"/>
          <w:sz w:val="24"/>
          <w:szCs w:val="24"/>
        </w:rPr>
      </w:pPr>
    </w:p>
    <w:p w14:paraId="1E0B1406" w14:textId="77777777" w:rsidR="00B04B20" w:rsidRPr="00045CBE" w:rsidRDefault="00B04B20" w:rsidP="00B321B0">
      <w:pPr>
        <w:spacing w:after="240"/>
        <w:rPr>
          <w:rFonts w:ascii="Times New Roman" w:hAnsi="Times New Roman"/>
          <w:sz w:val="24"/>
          <w:szCs w:val="24"/>
        </w:rPr>
      </w:pPr>
    </w:p>
    <w:sectPr w:rsidR="00B04B20" w:rsidRPr="00045CBE" w:rsidSect="003D5032">
      <w:footerReference w:type="default" r:id="rId15"/>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954F1" w14:textId="77777777" w:rsidR="003147ED" w:rsidRDefault="003147ED" w:rsidP="00A019DA">
      <w:r>
        <w:separator/>
      </w:r>
    </w:p>
  </w:endnote>
  <w:endnote w:type="continuationSeparator" w:id="0">
    <w:p w14:paraId="659DCEBB" w14:textId="77777777" w:rsidR="003147ED" w:rsidRDefault="003147ED" w:rsidP="00A019DA">
      <w:r>
        <w:continuationSeparator/>
      </w:r>
    </w:p>
  </w:endnote>
  <w:endnote w:type="continuationNotice" w:id="1">
    <w:p w14:paraId="4AC3B0FC" w14:textId="77777777" w:rsidR="008A162E" w:rsidRDefault="008A1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IN OT Medium">
    <w:panose1 w:val="020B06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2D5A" w14:textId="77777777" w:rsidR="003147ED" w:rsidRPr="00B321B0" w:rsidRDefault="003147ED">
    <w:pPr>
      <w:pStyle w:val="Footer"/>
      <w:jc w:val="center"/>
      <w:rPr>
        <w:rFonts w:ascii="Times New Roman" w:hAnsi="Times New Roman"/>
        <w:sz w:val="24"/>
        <w:szCs w:val="24"/>
      </w:rPr>
    </w:pPr>
    <w:r w:rsidRPr="00B321B0">
      <w:rPr>
        <w:rFonts w:ascii="Times New Roman" w:hAnsi="Times New Roman"/>
        <w:sz w:val="24"/>
        <w:szCs w:val="24"/>
      </w:rPr>
      <w:fldChar w:fldCharType="begin"/>
    </w:r>
    <w:r w:rsidRPr="00B321B0">
      <w:rPr>
        <w:rFonts w:ascii="Times New Roman" w:hAnsi="Times New Roman"/>
        <w:sz w:val="24"/>
        <w:szCs w:val="24"/>
      </w:rPr>
      <w:instrText xml:space="preserve"> PAGE   \* MERGEFORMAT </w:instrText>
    </w:r>
    <w:r w:rsidRPr="00B321B0">
      <w:rPr>
        <w:rFonts w:ascii="Times New Roman" w:hAnsi="Times New Roman"/>
        <w:sz w:val="24"/>
        <w:szCs w:val="24"/>
      </w:rPr>
      <w:fldChar w:fldCharType="separate"/>
    </w:r>
    <w:r w:rsidR="00C8696F">
      <w:rPr>
        <w:rFonts w:ascii="Times New Roman" w:hAnsi="Times New Roman"/>
        <w:noProof/>
        <w:sz w:val="24"/>
        <w:szCs w:val="24"/>
      </w:rPr>
      <w:t>5</w:t>
    </w:r>
    <w:r w:rsidRPr="00B321B0">
      <w:rPr>
        <w:rFonts w:ascii="Times New Roman" w:hAnsi="Times New Roman"/>
        <w:sz w:val="24"/>
        <w:szCs w:val="24"/>
      </w:rPr>
      <w:fldChar w:fldCharType="end"/>
    </w:r>
  </w:p>
  <w:p w14:paraId="0BF6DD05" w14:textId="77777777" w:rsidR="003147ED" w:rsidRDefault="00314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1AD05" w14:textId="77777777" w:rsidR="003147ED" w:rsidRDefault="003147ED" w:rsidP="00A019DA">
      <w:r>
        <w:separator/>
      </w:r>
    </w:p>
  </w:footnote>
  <w:footnote w:type="continuationSeparator" w:id="0">
    <w:p w14:paraId="73E02854" w14:textId="77777777" w:rsidR="003147ED" w:rsidRDefault="003147ED" w:rsidP="00A019DA">
      <w:r>
        <w:continuationSeparator/>
      </w:r>
    </w:p>
  </w:footnote>
  <w:footnote w:type="continuationNotice" w:id="1">
    <w:p w14:paraId="7D378CE6" w14:textId="77777777" w:rsidR="008A162E" w:rsidRDefault="008A16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FF26E2"/>
    <w:multiLevelType w:val="hybridMultilevel"/>
    <w:tmpl w:val="0A6E95DE"/>
    <w:lvl w:ilvl="0" w:tplc="640477D0">
      <w:start w:val="1"/>
      <w:numFmt w:val="bullet"/>
      <w:lvlText w:val=""/>
      <w:lvlJc w:val="left"/>
      <w:pPr>
        <w:tabs>
          <w:tab w:val="num" w:pos="567"/>
        </w:tabs>
        <w:ind w:left="567" w:hanging="567"/>
      </w:pPr>
      <w:rPr>
        <w:rFonts w:ascii="Symbol" w:hAnsi="Symbol" w:hint="default"/>
      </w:rPr>
    </w:lvl>
    <w:lvl w:ilvl="1" w:tplc="DA1AAF7A">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EE5DBB"/>
    <w:multiLevelType w:val="hybridMultilevel"/>
    <w:tmpl w:val="1BBC3D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4417795C"/>
    <w:multiLevelType w:val="hybridMultilevel"/>
    <w:tmpl w:val="398AEA52"/>
    <w:lvl w:ilvl="0" w:tplc="F3165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BC58C9"/>
    <w:multiLevelType w:val="hybridMultilevel"/>
    <w:tmpl w:val="B608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F4124F"/>
    <w:multiLevelType w:val="hybridMultilevel"/>
    <w:tmpl w:val="5F6C250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1F5EA5"/>
    <w:multiLevelType w:val="hybridMultilevel"/>
    <w:tmpl w:val="6C9C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E5624C"/>
    <w:multiLevelType w:val="hybridMultilevel"/>
    <w:tmpl w:val="089E07A2"/>
    <w:lvl w:ilvl="0" w:tplc="3E8878E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DA"/>
    <w:rsid w:val="00001B24"/>
    <w:rsid w:val="00017600"/>
    <w:rsid w:val="00041B8A"/>
    <w:rsid w:val="00045CBE"/>
    <w:rsid w:val="00045EB8"/>
    <w:rsid w:val="00050CDC"/>
    <w:rsid w:val="000565C4"/>
    <w:rsid w:val="00056DF9"/>
    <w:rsid w:val="00092E8C"/>
    <w:rsid w:val="000A5431"/>
    <w:rsid w:val="000B4066"/>
    <w:rsid w:val="000C0282"/>
    <w:rsid w:val="000C2EEB"/>
    <w:rsid w:val="000E2AEC"/>
    <w:rsid w:val="000F47C6"/>
    <w:rsid w:val="001000B5"/>
    <w:rsid w:val="001360AC"/>
    <w:rsid w:val="00147B11"/>
    <w:rsid w:val="0017163B"/>
    <w:rsid w:val="00182FA1"/>
    <w:rsid w:val="00193258"/>
    <w:rsid w:val="001974EA"/>
    <w:rsid w:val="001B794D"/>
    <w:rsid w:val="001D7B63"/>
    <w:rsid w:val="001E2B48"/>
    <w:rsid w:val="0020616E"/>
    <w:rsid w:val="00210A20"/>
    <w:rsid w:val="00217CED"/>
    <w:rsid w:val="002249BD"/>
    <w:rsid w:val="002307C7"/>
    <w:rsid w:val="00252A14"/>
    <w:rsid w:val="00263BBC"/>
    <w:rsid w:val="00265061"/>
    <w:rsid w:val="00274606"/>
    <w:rsid w:val="00276B9C"/>
    <w:rsid w:val="00280BE5"/>
    <w:rsid w:val="00291AB4"/>
    <w:rsid w:val="002D6F8D"/>
    <w:rsid w:val="0030211C"/>
    <w:rsid w:val="00302BA3"/>
    <w:rsid w:val="003147ED"/>
    <w:rsid w:val="00316109"/>
    <w:rsid w:val="003277AD"/>
    <w:rsid w:val="00333FD4"/>
    <w:rsid w:val="0037376A"/>
    <w:rsid w:val="003A1FDF"/>
    <w:rsid w:val="003A399A"/>
    <w:rsid w:val="003C007E"/>
    <w:rsid w:val="003C0448"/>
    <w:rsid w:val="003D5032"/>
    <w:rsid w:val="003F43BA"/>
    <w:rsid w:val="00403FF5"/>
    <w:rsid w:val="00425E95"/>
    <w:rsid w:val="004265BD"/>
    <w:rsid w:val="00427B85"/>
    <w:rsid w:val="0045030A"/>
    <w:rsid w:val="00451286"/>
    <w:rsid w:val="00455E40"/>
    <w:rsid w:val="00472E3B"/>
    <w:rsid w:val="004812D5"/>
    <w:rsid w:val="004A4890"/>
    <w:rsid w:val="004C3D07"/>
    <w:rsid w:val="004D043F"/>
    <w:rsid w:val="004D4955"/>
    <w:rsid w:val="004F51B6"/>
    <w:rsid w:val="00502C3C"/>
    <w:rsid w:val="00511B96"/>
    <w:rsid w:val="0052378D"/>
    <w:rsid w:val="00523CAD"/>
    <w:rsid w:val="00536927"/>
    <w:rsid w:val="0055440B"/>
    <w:rsid w:val="00557C34"/>
    <w:rsid w:val="0059125E"/>
    <w:rsid w:val="005D0589"/>
    <w:rsid w:val="005E5910"/>
    <w:rsid w:val="006142DC"/>
    <w:rsid w:val="00622480"/>
    <w:rsid w:val="00630FE1"/>
    <w:rsid w:val="00647D58"/>
    <w:rsid w:val="00661A1C"/>
    <w:rsid w:val="006636F2"/>
    <w:rsid w:val="006815AD"/>
    <w:rsid w:val="00684F73"/>
    <w:rsid w:val="006940D4"/>
    <w:rsid w:val="006A4437"/>
    <w:rsid w:val="006B7C3E"/>
    <w:rsid w:val="006C7F37"/>
    <w:rsid w:val="006D1E34"/>
    <w:rsid w:val="006D7CB9"/>
    <w:rsid w:val="006E10B7"/>
    <w:rsid w:val="006E16D2"/>
    <w:rsid w:val="006E31AB"/>
    <w:rsid w:val="006F7458"/>
    <w:rsid w:val="007031F4"/>
    <w:rsid w:val="00713105"/>
    <w:rsid w:val="00716488"/>
    <w:rsid w:val="00722F0D"/>
    <w:rsid w:val="00731313"/>
    <w:rsid w:val="00733BF6"/>
    <w:rsid w:val="00733F50"/>
    <w:rsid w:val="00736F45"/>
    <w:rsid w:val="00740ABA"/>
    <w:rsid w:val="00763FA9"/>
    <w:rsid w:val="007816F0"/>
    <w:rsid w:val="00795E43"/>
    <w:rsid w:val="007A57EC"/>
    <w:rsid w:val="007A697A"/>
    <w:rsid w:val="007B0912"/>
    <w:rsid w:val="007B22D9"/>
    <w:rsid w:val="007C2031"/>
    <w:rsid w:val="007E5EB7"/>
    <w:rsid w:val="007F7E05"/>
    <w:rsid w:val="00810EAA"/>
    <w:rsid w:val="00812CFD"/>
    <w:rsid w:val="00833AFB"/>
    <w:rsid w:val="00842C9B"/>
    <w:rsid w:val="0084435E"/>
    <w:rsid w:val="00862198"/>
    <w:rsid w:val="00862553"/>
    <w:rsid w:val="0088577B"/>
    <w:rsid w:val="008A162E"/>
    <w:rsid w:val="008B1B78"/>
    <w:rsid w:val="008B2660"/>
    <w:rsid w:val="008D3E84"/>
    <w:rsid w:val="008E0B46"/>
    <w:rsid w:val="008E2F6B"/>
    <w:rsid w:val="008E3F6A"/>
    <w:rsid w:val="00900FCC"/>
    <w:rsid w:val="0090635F"/>
    <w:rsid w:val="009159B4"/>
    <w:rsid w:val="00953CD2"/>
    <w:rsid w:val="00995165"/>
    <w:rsid w:val="0099534C"/>
    <w:rsid w:val="0099555C"/>
    <w:rsid w:val="009C5368"/>
    <w:rsid w:val="009D378C"/>
    <w:rsid w:val="009D6BEB"/>
    <w:rsid w:val="009D7325"/>
    <w:rsid w:val="00A019DA"/>
    <w:rsid w:val="00A035E0"/>
    <w:rsid w:val="00A13FCA"/>
    <w:rsid w:val="00A462DF"/>
    <w:rsid w:val="00A62DB5"/>
    <w:rsid w:val="00A63A2B"/>
    <w:rsid w:val="00A6661A"/>
    <w:rsid w:val="00A8122B"/>
    <w:rsid w:val="00A92F79"/>
    <w:rsid w:val="00AA1DBC"/>
    <w:rsid w:val="00AC2517"/>
    <w:rsid w:val="00AF2D37"/>
    <w:rsid w:val="00AF35D4"/>
    <w:rsid w:val="00AF664C"/>
    <w:rsid w:val="00B04B20"/>
    <w:rsid w:val="00B067E1"/>
    <w:rsid w:val="00B16F16"/>
    <w:rsid w:val="00B23B70"/>
    <w:rsid w:val="00B321B0"/>
    <w:rsid w:val="00B5019C"/>
    <w:rsid w:val="00B60C5A"/>
    <w:rsid w:val="00B71298"/>
    <w:rsid w:val="00B80137"/>
    <w:rsid w:val="00B96868"/>
    <w:rsid w:val="00BA1754"/>
    <w:rsid w:val="00BC4AE7"/>
    <w:rsid w:val="00BC650B"/>
    <w:rsid w:val="00C03CC3"/>
    <w:rsid w:val="00C22A3C"/>
    <w:rsid w:val="00C302FA"/>
    <w:rsid w:val="00C33347"/>
    <w:rsid w:val="00C635C9"/>
    <w:rsid w:val="00C67094"/>
    <w:rsid w:val="00C7033B"/>
    <w:rsid w:val="00C84A47"/>
    <w:rsid w:val="00C8696F"/>
    <w:rsid w:val="00C8718D"/>
    <w:rsid w:val="00C979B8"/>
    <w:rsid w:val="00CA2857"/>
    <w:rsid w:val="00CA6CB3"/>
    <w:rsid w:val="00CC0ED5"/>
    <w:rsid w:val="00CD5BBD"/>
    <w:rsid w:val="00D032FC"/>
    <w:rsid w:val="00D039F0"/>
    <w:rsid w:val="00D10079"/>
    <w:rsid w:val="00D14FE8"/>
    <w:rsid w:val="00D266E5"/>
    <w:rsid w:val="00D33934"/>
    <w:rsid w:val="00D400CE"/>
    <w:rsid w:val="00D47A85"/>
    <w:rsid w:val="00D57D2D"/>
    <w:rsid w:val="00D604C3"/>
    <w:rsid w:val="00D64906"/>
    <w:rsid w:val="00D74FAC"/>
    <w:rsid w:val="00D81D32"/>
    <w:rsid w:val="00DA0571"/>
    <w:rsid w:val="00DA1A5F"/>
    <w:rsid w:val="00DB142D"/>
    <w:rsid w:val="00DC028C"/>
    <w:rsid w:val="00DD014B"/>
    <w:rsid w:val="00DD7206"/>
    <w:rsid w:val="00DE565D"/>
    <w:rsid w:val="00DF11D9"/>
    <w:rsid w:val="00E015B7"/>
    <w:rsid w:val="00E01DFC"/>
    <w:rsid w:val="00E15497"/>
    <w:rsid w:val="00E201A8"/>
    <w:rsid w:val="00E204A3"/>
    <w:rsid w:val="00E2673A"/>
    <w:rsid w:val="00E40A94"/>
    <w:rsid w:val="00E454F2"/>
    <w:rsid w:val="00E637B6"/>
    <w:rsid w:val="00E676B0"/>
    <w:rsid w:val="00E7297F"/>
    <w:rsid w:val="00E90C89"/>
    <w:rsid w:val="00E93986"/>
    <w:rsid w:val="00EB3653"/>
    <w:rsid w:val="00EC5653"/>
    <w:rsid w:val="00EC5B18"/>
    <w:rsid w:val="00ED1CEF"/>
    <w:rsid w:val="00EE3A52"/>
    <w:rsid w:val="00F1311D"/>
    <w:rsid w:val="00F16720"/>
    <w:rsid w:val="00F17B54"/>
    <w:rsid w:val="00F259BE"/>
    <w:rsid w:val="00F31D48"/>
    <w:rsid w:val="00F704D8"/>
    <w:rsid w:val="00F716B8"/>
    <w:rsid w:val="00F7706D"/>
    <w:rsid w:val="00F802E2"/>
    <w:rsid w:val="00F83148"/>
    <w:rsid w:val="00FA5345"/>
    <w:rsid w:val="00FB7B30"/>
    <w:rsid w:val="00FE04DC"/>
    <w:rsid w:val="00FE24F8"/>
    <w:rsid w:val="00FF4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0F10601"/>
  <w15:chartTrackingRefBased/>
  <w15:docId w15:val="{86B8BDF4-C89F-4797-9B31-EF85B7C9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9DA"/>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character" w:styleId="FootnoteReference">
    <w:name w:val="footnote reference"/>
    <w:basedOn w:val="DefaultParagraphFont"/>
    <w:uiPriority w:val="99"/>
    <w:semiHidden/>
    <w:unhideWhenUsed/>
    <w:rsid w:val="00A019DA"/>
  </w:style>
  <w:style w:type="paragraph" w:styleId="FootnoteText">
    <w:name w:val="footnote text"/>
    <w:basedOn w:val="Normal"/>
    <w:link w:val="FootnoteTextChar"/>
    <w:uiPriority w:val="99"/>
    <w:semiHidden/>
    <w:unhideWhenUsed/>
    <w:rsid w:val="00A019DA"/>
    <w:pPr>
      <w:spacing w:before="100" w:beforeAutospacing="1" w:after="100" w:afterAutospacing="1"/>
    </w:pPr>
    <w:rPr>
      <w:rFonts w:ascii="Times New Roman" w:eastAsia="Times New Roman" w:hAnsi="Times New Roman"/>
      <w:sz w:val="24"/>
      <w:szCs w:val="24"/>
      <w:lang w:eastAsia="en-AU"/>
    </w:rPr>
  </w:style>
  <w:style w:type="character" w:customStyle="1" w:styleId="FootnoteTextChar">
    <w:name w:val="Footnote Text Char"/>
    <w:link w:val="FootnoteText"/>
    <w:uiPriority w:val="99"/>
    <w:semiHidden/>
    <w:rsid w:val="00A019DA"/>
    <w:rPr>
      <w:rFonts w:ascii="Times New Roman" w:eastAsia="Times New Roman" w:hAnsi="Times New Roman" w:cs="Times New Roman"/>
      <w:sz w:val="24"/>
      <w:szCs w:val="24"/>
      <w:lang w:eastAsia="en-AU"/>
    </w:rPr>
  </w:style>
  <w:style w:type="paragraph" w:styleId="ListParagraph">
    <w:name w:val="List Paragraph"/>
    <w:basedOn w:val="Normal"/>
    <w:uiPriority w:val="34"/>
    <w:rsid w:val="00A019DA"/>
    <w:pPr>
      <w:ind w:left="720"/>
    </w:pPr>
  </w:style>
  <w:style w:type="paragraph" w:styleId="Footer">
    <w:name w:val="footer"/>
    <w:basedOn w:val="Normal"/>
    <w:link w:val="FooterChar"/>
    <w:uiPriority w:val="99"/>
    <w:unhideWhenUsed/>
    <w:rsid w:val="00A019DA"/>
    <w:pPr>
      <w:tabs>
        <w:tab w:val="center" w:pos="4513"/>
        <w:tab w:val="right" w:pos="9026"/>
      </w:tabs>
    </w:pPr>
  </w:style>
  <w:style w:type="character" w:customStyle="1" w:styleId="FooterChar">
    <w:name w:val="Footer Char"/>
    <w:link w:val="Footer"/>
    <w:uiPriority w:val="99"/>
    <w:rsid w:val="00A019DA"/>
    <w:rPr>
      <w:rFonts w:ascii="Trebuchet MS" w:eastAsia="Calibri" w:hAnsi="Trebuchet MS" w:cs="Times New Roman"/>
    </w:rPr>
  </w:style>
  <w:style w:type="paragraph" w:customStyle="1" w:styleId="Heading">
    <w:name w:val="Heading"/>
    <w:basedOn w:val="Normal"/>
    <w:rsid w:val="00A92F79"/>
    <w:pPr>
      <w:keepNext/>
      <w:spacing w:before="240" w:after="60"/>
      <w:outlineLvl w:val="0"/>
    </w:pPr>
    <w:rPr>
      <w:rFonts w:ascii="Times New Roman" w:eastAsia="Times New Roman" w:hAnsi="Times New Roman" w:cs="Arial"/>
      <w:b/>
      <w:kern w:val="32"/>
      <w:sz w:val="26"/>
      <w:szCs w:val="32"/>
    </w:rPr>
  </w:style>
  <w:style w:type="character" w:styleId="CommentReference">
    <w:name w:val="annotation reference"/>
    <w:uiPriority w:val="99"/>
    <w:semiHidden/>
    <w:unhideWhenUsed/>
    <w:rsid w:val="00B60C5A"/>
    <w:rPr>
      <w:sz w:val="16"/>
      <w:szCs w:val="16"/>
    </w:rPr>
  </w:style>
  <w:style w:type="paragraph" w:styleId="CommentText">
    <w:name w:val="annotation text"/>
    <w:basedOn w:val="Normal"/>
    <w:link w:val="CommentTextChar"/>
    <w:uiPriority w:val="99"/>
    <w:unhideWhenUsed/>
    <w:rsid w:val="00B60C5A"/>
    <w:rPr>
      <w:sz w:val="20"/>
      <w:szCs w:val="20"/>
    </w:rPr>
  </w:style>
  <w:style w:type="character" w:customStyle="1" w:styleId="CommentTextChar">
    <w:name w:val="Comment Text Char"/>
    <w:link w:val="CommentText"/>
    <w:uiPriority w:val="99"/>
    <w:rsid w:val="00B60C5A"/>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B60C5A"/>
    <w:rPr>
      <w:b/>
      <w:bCs/>
    </w:rPr>
  </w:style>
  <w:style w:type="character" w:customStyle="1" w:styleId="CommentSubjectChar">
    <w:name w:val="Comment Subject Char"/>
    <w:link w:val="CommentSubject"/>
    <w:uiPriority w:val="99"/>
    <w:semiHidden/>
    <w:rsid w:val="00B60C5A"/>
    <w:rPr>
      <w:rFonts w:ascii="Trebuchet MS" w:hAnsi="Trebuchet MS"/>
      <w:b/>
      <w:bCs/>
      <w:lang w:eastAsia="en-US"/>
    </w:rPr>
  </w:style>
  <w:style w:type="paragraph" w:styleId="Header">
    <w:name w:val="header"/>
    <w:basedOn w:val="Normal"/>
    <w:link w:val="HeaderChar"/>
    <w:uiPriority w:val="99"/>
    <w:unhideWhenUsed/>
    <w:rsid w:val="00740ABA"/>
    <w:pPr>
      <w:tabs>
        <w:tab w:val="center" w:pos="4513"/>
        <w:tab w:val="right" w:pos="9026"/>
      </w:tabs>
    </w:pPr>
  </w:style>
  <w:style w:type="character" w:customStyle="1" w:styleId="HeaderChar">
    <w:name w:val="Header Char"/>
    <w:link w:val="Header"/>
    <w:uiPriority w:val="99"/>
    <w:rsid w:val="00740ABA"/>
    <w:rPr>
      <w:rFonts w:ascii="Trebuchet MS" w:hAnsi="Trebuchet MS"/>
      <w:sz w:val="22"/>
      <w:szCs w:val="22"/>
      <w:lang w:eastAsia="en-US"/>
    </w:rPr>
  </w:style>
  <w:style w:type="paragraph" w:customStyle="1" w:styleId="apranormal">
    <w:name w:val="apranormal"/>
    <w:basedOn w:val="Normal"/>
    <w:rsid w:val="00C33347"/>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E676B0"/>
    <w:rPr>
      <w:sz w:val="20"/>
      <w:szCs w:val="20"/>
    </w:rPr>
  </w:style>
  <w:style w:type="character" w:customStyle="1" w:styleId="EndnoteTextChar">
    <w:name w:val="Endnote Text Char"/>
    <w:link w:val="EndnoteText"/>
    <w:uiPriority w:val="99"/>
    <w:semiHidden/>
    <w:rsid w:val="00E676B0"/>
    <w:rPr>
      <w:rFonts w:ascii="Trebuchet MS" w:hAnsi="Trebuchet MS"/>
      <w:lang w:eastAsia="en-US"/>
    </w:rPr>
  </w:style>
  <w:style w:type="character" w:styleId="EndnoteReference">
    <w:name w:val="endnote reference"/>
    <w:uiPriority w:val="99"/>
    <w:semiHidden/>
    <w:unhideWhenUsed/>
    <w:rsid w:val="00E676B0"/>
    <w:rPr>
      <w:vertAlign w:val="superscript"/>
    </w:rPr>
  </w:style>
  <w:style w:type="character" w:styleId="Hyperlink">
    <w:name w:val="Hyperlink"/>
    <w:uiPriority w:val="99"/>
    <w:rsid w:val="00E676B0"/>
    <w:rPr>
      <w:rFonts w:ascii="DIN OT Medium" w:hAnsi="DIN OT Medium"/>
      <w:color w:val="00B0F0"/>
      <w:sz w:val="22"/>
      <w:u w:val="single"/>
    </w:rPr>
  </w:style>
  <w:style w:type="paragraph" w:customStyle="1" w:styleId="APRANORMAL0">
    <w:name w:val="APRA NORMAL"/>
    <w:basedOn w:val="Normal"/>
    <w:link w:val="APRANORMALChar"/>
    <w:qFormat/>
    <w:rsid w:val="00A462DF"/>
    <w:pPr>
      <w:spacing w:after="240"/>
    </w:pPr>
    <w:rPr>
      <w:rFonts w:ascii="DIN OT Light" w:eastAsia="Trebuchet MS" w:hAnsi="DIN OT Light"/>
      <w:lang w:val="en-GB"/>
    </w:rPr>
  </w:style>
  <w:style w:type="character" w:customStyle="1" w:styleId="APRANORMALChar">
    <w:name w:val="APRA NORMAL Char"/>
    <w:link w:val="APRANORMAL0"/>
    <w:rsid w:val="00A462DF"/>
    <w:rPr>
      <w:rFonts w:ascii="DIN OT Light" w:eastAsia="Trebuchet MS" w:hAnsi="DIN OT Light"/>
      <w:sz w:val="22"/>
      <w:szCs w:val="22"/>
      <w:lang w:val="en-GB" w:eastAsia="en-US"/>
    </w:rPr>
  </w:style>
  <w:style w:type="paragraph" w:customStyle="1" w:styleId="Default">
    <w:name w:val="Default"/>
    <w:rsid w:val="00A6661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745661">
      <w:bodyDiv w:val="1"/>
      <w:marLeft w:val="0"/>
      <w:marRight w:val="0"/>
      <w:marTop w:val="0"/>
      <w:marBottom w:val="0"/>
      <w:divBdr>
        <w:top w:val="none" w:sz="0" w:space="0" w:color="auto"/>
        <w:left w:val="none" w:sz="0" w:space="0" w:color="auto"/>
        <w:bottom w:val="none" w:sz="0" w:space="0" w:color="auto"/>
        <w:right w:val="none" w:sz="0" w:space="0" w:color="auto"/>
      </w:divBdr>
      <w:divsChild>
        <w:div w:id="1086145326">
          <w:marLeft w:val="0"/>
          <w:marRight w:val="0"/>
          <w:marTop w:val="0"/>
          <w:marBottom w:val="0"/>
          <w:divBdr>
            <w:top w:val="none" w:sz="0" w:space="0" w:color="auto"/>
            <w:left w:val="none" w:sz="0" w:space="0" w:color="auto"/>
            <w:bottom w:val="none" w:sz="0" w:space="0" w:color="auto"/>
            <w:right w:val="none" w:sz="0" w:space="0" w:color="auto"/>
          </w:divBdr>
          <w:divsChild>
            <w:div w:id="1565801331">
              <w:marLeft w:val="0"/>
              <w:marRight w:val="0"/>
              <w:marTop w:val="0"/>
              <w:marBottom w:val="0"/>
              <w:divBdr>
                <w:top w:val="none" w:sz="0" w:space="0" w:color="auto"/>
                <w:left w:val="none" w:sz="0" w:space="0" w:color="auto"/>
                <w:bottom w:val="none" w:sz="0" w:space="0" w:color="auto"/>
                <w:right w:val="none" w:sz="0" w:space="0" w:color="auto"/>
              </w:divBdr>
              <w:divsChild>
                <w:div w:id="1584952691">
                  <w:marLeft w:val="0"/>
                  <w:marRight w:val="0"/>
                  <w:marTop w:val="0"/>
                  <w:marBottom w:val="0"/>
                  <w:divBdr>
                    <w:top w:val="none" w:sz="0" w:space="0" w:color="auto"/>
                    <w:left w:val="none" w:sz="0" w:space="0" w:color="auto"/>
                    <w:bottom w:val="none" w:sz="0" w:space="0" w:color="auto"/>
                    <w:right w:val="none" w:sz="0" w:space="0" w:color="auto"/>
                  </w:divBdr>
                  <w:divsChild>
                    <w:div w:id="386956856">
                      <w:marLeft w:val="0"/>
                      <w:marRight w:val="0"/>
                      <w:marTop w:val="0"/>
                      <w:marBottom w:val="0"/>
                      <w:divBdr>
                        <w:top w:val="none" w:sz="0" w:space="0" w:color="auto"/>
                        <w:left w:val="none" w:sz="0" w:space="0" w:color="auto"/>
                        <w:bottom w:val="none" w:sz="0" w:space="0" w:color="auto"/>
                        <w:right w:val="none" w:sz="0" w:space="0" w:color="auto"/>
                      </w:divBdr>
                      <w:divsChild>
                        <w:div w:id="151531814">
                          <w:marLeft w:val="0"/>
                          <w:marRight w:val="0"/>
                          <w:marTop w:val="0"/>
                          <w:marBottom w:val="0"/>
                          <w:divBdr>
                            <w:top w:val="none" w:sz="0" w:space="0" w:color="auto"/>
                            <w:left w:val="none" w:sz="0" w:space="0" w:color="auto"/>
                            <w:bottom w:val="none" w:sz="0" w:space="0" w:color="auto"/>
                            <w:right w:val="none" w:sz="0" w:space="0" w:color="auto"/>
                          </w:divBdr>
                          <w:divsChild>
                            <w:div w:id="161892554">
                              <w:marLeft w:val="0"/>
                              <w:marRight w:val="0"/>
                              <w:marTop w:val="0"/>
                              <w:marBottom w:val="0"/>
                              <w:divBdr>
                                <w:top w:val="none" w:sz="0" w:space="0" w:color="auto"/>
                                <w:left w:val="none" w:sz="0" w:space="0" w:color="auto"/>
                                <w:bottom w:val="none" w:sz="0" w:space="0" w:color="auto"/>
                                <w:right w:val="none" w:sz="0" w:space="0" w:color="auto"/>
                              </w:divBdr>
                              <w:divsChild>
                                <w:div w:id="2123304708">
                                  <w:marLeft w:val="0"/>
                                  <w:marRight w:val="0"/>
                                  <w:marTop w:val="0"/>
                                  <w:marBottom w:val="0"/>
                                  <w:divBdr>
                                    <w:top w:val="none" w:sz="0" w:space="0" w:color="auto"/>
                                    <w:left w:val="none" w:sz="0" w:space="0" w:color="auto"/>
                                    <w:bottom w:val="none" w:sz="0" w:space="0" w:color="auto"/>
                                    <w:right w:val="none" w:sz="0" w:space="0" w:color="auto"/>
                                  </w:divBdr>
                                  <w:divsChild>
                                    <w:div w:id="669525742">
                                      <w:marLeft w:val="0"/>
                                      <w:marRight w:val="0"/>
                                      <w:marTop w:val="0"/>
                                      <w:marBottom w:val="0"/>
                                      <w:divBdr>
                                        <w:top w:val="none" w:sz="0" w:space="0" w:color="auto"/>
                                        <w:left w:val="none" w:sz="0" w:space="0" w:color="auto"/>
                                        <w:bottom w:val="none" w:sz="0" w:space="0" w:color="auto"/>
                                        <w:right w:val="none" w:sz="0" w:space="0" w:color="auto"/>
                                      </w:divBdr>
                                      <w:divsChild>
                                        <w:div w:id="1964654597">
                                          <w:marLeft w:val="0"/>
                                          <w:marRight w:val="0"/>
                                          <w:marTop w:val="0"/>
                                          <w:marBottom w:val="0"/>
                                          <w:divBdr>
                                            <w:top w:val="none" w:sz="0" w:space="0" w:color="auto"/>
                                            <w:left w:val="none" w:sz="0" w:space="0" w:color="auto"/>
                                            <w:bottom w:val="none" w:sz="0" w:space="0" w:color="auto"/>
                                            <w:right w:val="none" w:sz="0" w:space="0" w:color="auto"/>
                                          </w:divBdr>
                                          <w:divsChild>
                                            <w:div w:id="896356134">
                                              <w:marLeft w:val="0"/>
                                              <w:marRight w:val="0"/>
                                              <w:marTop w:val="0"/>
                                              <w:marBottom w:val="0"/>
                                              <w:divBdr>
                                                <w:top w:val="none" w:sz="0" w:space="0" w:color="auto"/>
                                                <w:left w:val="none" w:sz="0" w:space="0" w:color="auto"/>
                                                <w:bottom w:val="none" w:sz="0" w:space="0" w:color="auto"/>
                                                <w:right w:val="none" w:sz="0" w:space="0" w:color="auto"/>
                                              </w:divBdr>
                                              <w:divsChild>
                                                <w:div w:id="1154222462">
                                                  <w:marLeft w:val="0"/>
                                                  <w:marRight w:val="0"/>
                                                  <w:marTop w:val="0"/>
                                                  <w:marBottom w:val="0"/>
                                                  <w:divBdr>
                                                    <w:top w:val="none" w:sz="0" w:space="0" w:color="auto"/>
                                                    <w:left w:val="none" w:sz="0" w:space="0" w:color="auto"/>
                                                    <w:bottom w:val="none" w:sz="0" w:space="0" w:color="auto"/>
                                                    <w:right w:val="none" w:sz="0" w:space="0" w:color="auto"/>
                                                  </w:divBdr>
                                                  <w:divsChild>
                                                    <w:div w:id="892040555">
                                                      <w:marLeft w:val="0"/>
                                                      <w:marRight w:val="0"/>
                                                      <w:marTop w:val="0"/>
                                                      <w:marBottom w:val="0"/>
                                                      <w:divBdr>
                                                        <w:top w:val="none" w:sz="0" w:space="0" w:color="auto"/>
                                                        <w:left w:val="none" w:sz="0" w:space="0" w:color="auto"/>
                                                        <w:bottom w:val="none" w:sz="0" w:space="0" w:color="auto"/>
                                                        <w:right w:val="none" w:sz="0" w:space="0" w:color="auto"/>
                                                      </w:divBdr>
                                                      <w:divsChild>
                                                        <w:div w:id="8738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0479">
      <w:bodyDiv w:val="1"/>
      <w:marLeft w:val="0"/>
      <w:marRight w:val="0"/>
      <w:marTop w:val="0"/>
      <w:marBottom w:val="0"/>
      <w:divBdr>
        <w:top w:val="none" w:sz="0" w:space="0" w:color="auto"/>
        <w:left w:val="none" w:sz="0" w:space="0" w:color="auto"/>
        <w:bottom w:val="none" w:sz="0" w:space="0" w:color="auto"/>
        <w:right w:val="none" w:sz="0" w:space="0" w:color="auto"/>
      </w:divBdr>
      <w:divsChild>
        <w:div w:id="92938712">
          <w:marLeft w:val="0"/>
          <w:marRight w:val="0"/>
          <w:marTop w:val="0"/>
          <w:marBottom w:val="0"/>
          <w:divBdr>
            <w:top w:val="none" w:sz="0" w:space="0" w:color="auto"/>
            <w:left w:val="none" w:sz="0" w:space="0" w:color="auto"/>
            <w:bottom w:val="none" w:sz="0" w:space="0" w:color="auto"/>
            <w:right w:val="none" w:sz="0" w:space="0" w:color="auto"/>
          </w:divBdr>
          <w:divsChild>
            <w:div w:id="518811109">
              <w:marLeft w:val="0"/>
              <w:marRight w:val="0"/>
              <w:marTop w:val="0"/>
              <w:marBottom w:val="0"/>
              <w:divBdr>
                <w:top w:val="none" w:sz="0" w:space="0" w:color="auto"/>
                <w:left w:val="none" w:sz="0" w:space="0" w:color="auto"/>
                <w:bottom w:val="none" w:sz="0" w:space="0" w:color="auto"/>
                <w:right w:val="none" w:sz="0" w:space="0" w:color="auto"/>
              </w:divBdr>
              <w:divsChild>
                <w:div w:id="620042045">
                  <w:marLeft w:val="0"/>
                  <w:marRight w:val="0"/>
                  <w:marTop w:val="0"/>
                  <w:marBottom w:val="0"/>
                  <w:divBdr>
                    <w:top w:val="none" w:sz="0" w:space="0" w:color="auto"/>
                    <w:left w:val="none" w:sz="0" w:space="0" w:color="auto"/>
                    <w:bottom w:val="none" w:sz="0" w:space="0" w:color="auto"/>
                    <w:right w:val="none" w:sz="0" w:space="0" w:color="auto"/>
                  </w:divBdr>
                  <w:divsChild>
                    <w:div w:id="318537424">
                      <w:marLeft w:val="0"/>
                      <w:marRight w:val="0"/>
                      <w:marTop w:val="0"/>
                      <w:marBottom w:val="0"/>
                      <w:divBdr>
                        <w:top w:val="none" w:sz="0" w:space="0" w:color="auto"/>
                        <w:left w:val="none" w:sz="0" w:space="0" w:color="auto"/>
                        <w:bottom w:val="none" w:sz="0" w:space="0" w:color="auto"/>
                        <w:right w:val="none" w:sz="0" w:space="0" w:color="auto"/>
                      </w:divBdr>
                      <w:divsChild>
                        <w:div w:id="176234929">
                          <w:marLeft w:val="0"/>
                          <w:marRight w:val="0"/>
                          <w:marTop w:val="0"/>
                          <w:marBottom w:val="0"/>
                          <w:divBdr>
                            <w:top w:val="none" w:sz="0" w:space="0" w:color="auto"/>
                            <w:left w:val="none" w:sz="0" w:space="0" w:color="auto"/>
                            <w:bottom w:val="none" w:sz="0" w:space="0" w:color="auto"/>
                            <w:right w:val="none" w:sz="0" w:space="0" w:color="auto"/>
                          </w:divBdr>
                          <w:divsChild>
                            <w:div w:id="1134446851">
                              <w:marLeft w:val="0"/>
                              <w:marRight w:val="0"/>
                              <w:marTop w:val="0"/>
                              <w:marBottom w:val="0"/>
                              <w:divBdr>
                                <w:top w:val="none" w:sz="0" w:space="0" w:color="auto"/>
                                <w:left w:val="none" w:sz="0" w:space="0" w:color="auto"/>
                                <w:bottom w:val="none" w:sz="0" w:space="0" w:color="auto"/>
                                <w:right w:val="none" w:sz="0" w:space="0" w:color="auto"/>
                              </w:divBdr>
                              <w:divsChild>
                                <w:div w:id="303707608">
                                  <w:marLeft w:val="0"/>
                                  <w:marRight w:val="0"/>
                                  <w:marTop w:val="0"/>
                                  <w:marBottom w:val="0"/>
                                  <w:divBdr>
                                    <w:top w:val="none" w:sz="0" w:space="0" w:color="auto"/>
                                    <w:left w:val="none" w:sz="0" w:space="0" w:color="auto"/>
                                    <w:bottom w:val="none" w:sz="0" w:space="0" w:color="auto"/>
                                    <w:right w:val="none" w:sz="0" w:space="0" w:color="auto"/>
                                  </w:divBdr>
                                  <w:divsChild>
                                    <w:div w:id="1152409934">
                                      <w:marLeft w:val="0"/>
                                      <w:marRight w:val="0"/>
                                      <w:marTop w:val="0"/>
                                      <w:marBottom w:val="0"/>
                                      <w:divBdr>
                                        <w:top w:val="none" w:sz="0" w:space="0" w:color="auto"/>
                                        <w:left w:val="none" w:sz="0" w:space="0" w:color="auto"/>
                                        <w:bottom w:val="none" w:sz="0" w:space="0" w:color="auto"/>
                                        <w:right w:val="none" w:sz="0" w:space="0" w:color="auto"/>
                                      </w:divBdr>
                                      <w:divsChild>
                                        <w:div w:id="229000912">
                                          <w:marLeft w:val="0"/>
                                          <w:marRight w:val="0"/>
                                          <w:marTop w:val="0"/>
                                          <w:marBottom w:val="0"/>
                                          <w:divBdr>
                                            <w:top w:val="none" w:sz="0" w:space="0" w:color="auto"/>
                                            <w:left w:val="none" w:sz="0" w:space="0" w:color="auto"/>
                                            <w:bottom w:val="none" w:sz="0" w:space="0" w:color="auto"/>
                                            <w:right w:val="none" w:sz="0" w:space="0" w:color="auto"/>
                                          </w:divBdr>
                                          <w:divsChild>
                                            <w:div w:id="678504888">
                                              <w:marLeft w:val="0"/>
                                              <w:marRight w:val="0"/>
                                              <w:marTop w:val="0"/>
                                              <w:marBottom w:val="0"/>
                                              <w:divBdr>
                                                <w:top w:val="none" w:sz="0" w:space="0" w:color="auto"/>
                                                <w:left w:val="none" w:sz="0" w:space="0" w:color="auto"/>
                                                <w:bottom w:val="none" w:sz="0" w:space="0" w:color="auto"/>
                                                <w:right w:val="none" w:sz="0" w:space="0" w:color="auto"/>
                                              </w:divBdr>
                                              <w:divsChild>
                                                <w:div w:id="520900177">
                                                  <w:marLeft w:val="0"/>
                                                  <w:marRight w:val="0"/>
                                                  <w:marTop w:val="0"/>
                                                  <w:marBottom w:val="0"/>
                                                  <w:divBdr>
                                                    <w:top w:val="none" w:sz="0" w:space="0" w:color="auto"/>
                                                    <w:left w:val="none" w:sz="0" w:space="0" w:color="auto"/>
                                                    <w:bottom w:val="none" w:sz="0" w:space="0" w:color="auto"/>
                                                    <w:right w:val="none" w:sz="0" w:space="0" w:color="auto"/>
                                                  </w:divBdr>
                                                  <w:divsChild>
                                                    <w:div w:id="1131897006">
                                                      <w:marLeft w:val="0"/>
                                                      <w:marRight w:val="0"/>
                                                      <w:marTop w:val="0"/>
                                                      <w:marBottom w:val="0"/>
                                                      <w:divBdr>
                                                        <w:top w:val="none" w:sz="0" w:space="0" w:color="auto"/>
                                                        <w:left w:val="none" w:sz="0" w:space="0" w:color="auto"/>
                                                        <w:bottom w:val="none" w:sz="0" w:space="0" w:color="auto"/>
                                                        <w:right w:val="none" w:sz="0" w:space="0" w:color="auto"/>
                                                      </w:divBdr>
                                                      <w:divsChild>
                                                        <w:div w:id="186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8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actuary</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2018-05-30T14:00:00+00:00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Insurance, Life Insurance and Health Insurance (prudential standard) determination No. 1 of 2018, Insurance, (prudential standard) determination No. 2 of 2018, Insurance, (prudential standard) determination No. 3 of 2018 and Life Insurance, (prudential standard) determination No. 2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5JENXJJSCC7A-445999044-8576</_dlc_DocId>
    <_dlc_DocIdUrl xmlns="814d62cb-2db6-4c25-ab62-b9075facbc11">
      <Url>https://im/teams/LEGAL/_layouts/15/DocIdRedir.aspx?ID=5JENXJJSCC7A-445999044-8576</Url>
      <Description>5JENXJJSCC7A-445999044-8576</Description>
    </_dlc_DocIdUrl>
  </documentManagement>
</p:properties>
</file>

<file path=customXml/item2.xml><?xml version="1.0" encoding="utf-8"?>
<LongProperties xmlns="http://schemas.microsoft.com/office/2006/metadata/longProperties">
  <LongProp xmlns="" name="TaxCatchAll"><![CDATA[33;#Explanatory statement|b22f2e2f-3f73-411b-9a7c-34264d26fa25;#185;#Analysis on specific operational risks|616caadd-4803-499f-ae93-4950ad67a3ce;#14;#PHI|10657f9d-7e9a-e511-8d41-005056b54f10;#15;#Private Health Insurance (Prudential Supervision) Act 2015|01905406-79f0-428d-bcfd-886429f0c7a1;#1;#Draft|0e1556d2-3fe8-443a-ada7-3620563b46b3;#186;#Operational risk management framework|7c91d256-6852-4256-8552-4352700b7990;#154;#Prudential standard implementation|88b001fd-622d-45b4-9784-bf6a334327eb]]></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7CF3-C486-462A-8E0D-DE01D4C6F8E0}">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99396A-3C22-4D97-95FC-AA1D765040F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FA7527B-5CB4-4728-BBDB-1B4162A6F85F}">
  <ds:schemaRefs>
    <ds:schemaRef ds:uri="http://schemas.microsoft.com/sharepoint/v3/contenttype/forms"/>
  </ds:schemaRefs>
</ds:datastoreItem>
</file>

<file path=customXml/itemProps4.xml><?xml version="1.0" encoding="utf-8"?>
<ds:datastoreItem xmlns:ds="http://schemas.openxmlformats.org/officeDocument/2006/customXml" ds:itemID="{EAF91FA4-D6AD-4B9E-B8F4-88B0A3488462}">
  <ds:schemaRefs>
    <ds:schemaRef ds:uri="Microsoft.SharePoint.Taxonomy.ContentTypeSync"/>
  </ds:schemaRefs>
</ds:datastoreItem>
</file>

<file path=customXml/itemProps5.xml><?xml version="1.0" encoding="utf-8"?>
<ds:datastoreItem xmlns:ds="http://schemas.openxmlformats.org/officeDocument/2006/customXml" ds:itemID="{4B1855CA-C831-479C-8C2E-0E69B07FEEF4}">
  <ds:schemaRefs>
    <ds:schemaRef ds:uri="http://schemas.microsoft.com/sharepoint/events"/>
  </ds:schemaRefs>
</ds:datastoreItem>
</file>

<file path=customXml/itemProps6.xml><?xml version="1.0" encoding="utf-8"?>
<ds:datastoreItem xmlns:ds="http://schemas.openxmlformats.org/officeDocument/2006/customXml" ds:itemID="{39C952FA-46C6-4D2E-BBEA-EE2B8986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88B584-D83C-43DD-AAD1-44369943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9362</Characters>
  <Application>Microsoft Office Word</Application>
  <DocSecurity>0</DocSecurity>
  <Lines>179</Lines>
  <Paragraphs>67</Paragraphs>
  <ScaleCrop>false</ScaleCrop>
  <HeadingPairs>
    <vt:vector size="2" baseType="variant">
      <vt:variant>
        <vt:lpstr>Title</vt:lpstr>
      </vt:variant>
      <vt:variant>
        <vt:i4>1</vt:i4>
      </vt:variant>
    </vt:vector>
  </HeadingPairs>
  <TitlesOfParts>
    <vt:vector size="1" baseType="lpstr">
      <vt:lpstr>Role of the Appointed Actuary Explanatory Statement</vt:lpstr>
    </vt:vector>
  </TitlesOfParts>
  <Company>APRA</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Package July 2019</dc:title>
  <dc:subject/>
  <dc:creator>Fiona.Bowden</dc:creator>
  <cp:keywords> [SEC=UNCLASSIFIED]</cp:keywords>
  <dc:description/>
  <cp:lastModifiedBy>Toni Michalis</cp:lastModifiedBy>
  <cp:revision>3</cp:revision>
  <cp:lastPrinted>2018-06-06T23:12:00Z</cp:lastPrinted>
  <dcterms:created xsi:type="dcterms:W3CDTF">2018-06-06T23:11:00Z</dcterms:created>
  <dcterms:modified xsi:type="dcterms:W3CDTF">2018-06-06T23:12:00Z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A1D55FE21516A40B041E98377D2D0DCD58D5850A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9E1A17B7E55B6957D643C12873742635454699B0</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3BBB0966FF6849128F98E09B77575632</vt:lpwstr>
  </property>
  <property fmtid="{D5CDD505-2E9C-101B-9397-08002B2CF9AE}" pid="16" name="PM_OriginationTimeStamp">
    <vt:lpwstr>2018-01-30T05:52:56Z</vt:lpwstr>
  </property>
  <property fmtid="{D5CDD505-2E9C-101B-9397-08002B2CF9AE}" pid="17" name="PM_Hash_Version">
    <vt:lpwstr>2016.1</vt:lpwstr>
  </property>
  <property fmtid="{D5CDD505-2E9C-101B-9397-08002B2CF9AE}" pid="18" name="PM_Hash_Salt_Prev">
    <vt:lpwstr>C3D8A8B1A056BD72ED84127365D6B622</vt:lpwstr>
  </property>
  <property fmtid="{D5CDD505-2E9C-101B-9397-08002B2CF9AE}" pid="19" name="PM_Hash_Salt">
    <vt:lpwstr>AB83057A577673858FB2B08FC26689CA</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_dlc_DocId">
    <vt:lpwstr>WP5AJ56JFQTV-44125397-565</vt:lpwstr>
  </property>
  <property fmtid="{D5CDD505-2E9C-101B-9397-08002B2CF9AE}" pid="23" name="_dlc_DocIdItemGuid">
    <vt:lpwstr>025cea4a-e3e6-4403-8d3a-a5c0f8e65a07</vt:lpwstr>
  </property>
  <property fmtid="{D5CDD505-2E9C-101B-9397-08002B2CF9AE}" pid="24" name="_dlc_DocIdUrl">
    <vt:lpwstr>https://im/teams/POLICYINS/_layouts/15/DocIdRedir.aspx?ID=WP5AJ56JFQTV-44125397-565, WP5AJ56JFQTV-44125397-565</vt:lpwstr>
  </property>
  <property fmtid="{D5CDD505-2E9C-101B-9397-08002B2CF9AE}" pid="25" name="IsLocked">
    <vt:lpwstr>False</vt:lpwstr>
  </property>
  <property fmtid="{D5CDD505-2E9C-101B-9397-08002B2CF9AE}" pid="26" name="APRAExternalOrganisation">
    <vt:lpwstr/>
  </property>
  <property fmtid="{D5CDD505-2E9C-101B-9397-08002B2CF9AE}" pid="27" name="APRAIRTR">
    <vt:lpwstr/>
  </property>
  <property fmtid="{D5CDD505-2E9C-101B-9397-08002B2CF9AE}" pid="28" name="APRACategory">
    <vt:lpwstr/>
  </property>
  <property fmtid="{D5CDD505-2E9C-101B-9397-08002B2CF9AE}" pid="29" name="display_urn:schemas-microsoft-com:office:office#APRAOwner">
    <vt:lpwstr>Bowden, Fiona</vt:lpwstr>
  </property>
  <property fmtid="{D5CDD505-2E9C-101B-9397-08002B2CF9AE}" pid="30" name="APRAPeriod">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Year">
    <vt:lpwstr>171;#2018|337d548e-be9a-4363-bbb3-ec2b7c3daa90</vt:lpwstr>
  </property>
  <property fmtid="{D5CDD505-2E9C-101B-9397-08002B2CF9AE}" pid="38" name="APRAIndustry">
    <vt:lpwstr/>
  </property>
  <property fmtid="{D5CDD505-2E9C-101B-9397-08002B2CF9AE}" pid="39" name="APRALegislation">
    <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{025cea4a-e3e6-4403-8d3a-a5c0f8e65a07}</vt:lpwstr>
  </property>
  <property fmtid="{D5CDD505-2E9C-101B-9397-08002B2CF9AE}" pid="44" name="RecordPoint_ActiveItemWebId">
    <vt:lpwstr>{75a71c27-8d66-4282-ae60-1bfc22a83be1}</vt:lpwstr>
  </property>
  <property fmtid="{D5CDD505-2E9C-101B-9397-08002B2CF9AE}" pid="45" name="RecordPoint_RecordNumberSubmitted">
    <vt:lpwstr/>
  </property>
  <property fmtid="{D5CDD505-2E9C-101B-9397-08002B2CF9AE}" pid="46" name="IT system type">
    <vt:lpwstr/>
  </property>
  <property fmtid="{D5CDD505-2E9C-101B-9397-08002B2CF9AE}" pid="47" name="ContentTypeId">
    <vt:lpwstr>0x0101008CA7A4F8331B45C7B0D3158B4994D0CA0200577EC0F5A1FBFC498F9A8436B963F8A6</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RecordPoint_SubmissionCompleted">
    <vt:lpwstr/>
  </property>
</Properties>
</file>