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E09E" w14:textId="0CCD00A8" w:rsidR="00CA7C72" w:rsidRPr="00CA7C72" w:rsidRDefault="007264B9" w:rsidP="00CA7C72">
      <w:pPr>
        <w:spacing w:before="360" w:after="0" w:line="260" w:lineRule="atLeast"/>
        <w:jc w:val="center"/>
        <w:outlineLvl w:val="0"/>
        <w:rPr>
          <w:rFonts w:ascii="Times New Roman" w:eastAsia="Calibri" w:hAnsi="Times New Roman" w:cs="Times New Roman"/>
          <w:b/>
          <w:sz w:val="28"/>
          <w:szCs w:val="20"/>
        </w:rPr>
      </w:pPr>
      <w:bookmarkStart w:id="0" w:name="_GoBack"/>
      <w:bookmarkEnd w:id="0"/>
      <w:r w:rsidRPr="007264B9">
        <w:rPr>
          <w:rFonts w:ascii="Times New Roman" w:eastAsia="Calibri" w:hAnsi="Times New Roman" w:cs="Times New Roman"/>
          <w:b/>
          <w:sz w:val="28"/>
          <w:szCs w:val="20"/>
        </w:rPr>
        <w:t xml:space="preserve">Legislation (Exemptions and Other Matters) Amendment </w:t>
      </w:r>
      <w:r w:rsidR="00ED6A20">
        <w:rPr>
          <w:rFonts w:ascii="Times New Roman" w:eastAsia="Calibri" w:hAnsi="Times New Roman" w:cs="Times New Roman"/>
          <w:b/>
          <w:sz w:val="28"/>
          <w:szCs w:val="20"/>
        </w:rPr>
        <w:br/>
      </w:r>
      <w:r w:rsidRPr="007264B9">
        <w:rPr>
          <w:rFonts w:ascii="Times New Roman" w:eastAsia="Calibri" w:hAnsi="Times New Roman" w:cs="Times New Roman"/>
          <w:b/>
          <w:sz w:val="28"/>
          <w:szCs w:val="20"/>
        </w:rPr>
        <w:t>(2018 Measures No. 1) Regulations 2018</w:t>
      </w:r>
    </w:p>
    <w:p w14:paraId="23E2DA34" w14:textId="77777777" w:rsidR="00CA7C72" w:rsidRPr="00CA7C72" w:rsidRDefault="00CA7C72" w:rsidP="00CA7C72">
      <w:pPr>
        <w:spacing w:before="360" w:after="0" w:line="260" w:lineRule="atLeast"/>
        <w:jc w:val="center"/>
        <w:outlineLvl w:val="0"/>
        <w:rPr>
          <w:rFonts w:ascii="Times New Roman" w:eastAsia="Calibri" w:hAnsi="Times New Roman" w:cs="Times New Roman"/>
          <w:b/>
          <w:sz w:val="28"/>
          <w:szCs w:val="20"/>
        </w:rPr>
      </w:pPr>
      <w:r w:rsidRPr="00CA7C72">
        <w:rPr>
          <w:rFonts w:ascii="Times New Roman" w:eastAsia="Calibri" w:hAnsi="Times New Roman" w:cs="Times New Roman"/>
          <w:b/>
          <w:sz w:val="28"/>
          <w:szCs w:val="20"/>
        </w:rPr>
        <w:t>EXPLANATORY STATEMENT</w:t>
      </w:r>
    </w:p>
    <w:p w14:paraId="50D9B756" w14:textId="77777777" w:rsidR="00CA7C72" w:rsidRPr="00CA7C72" w:rsidRDefault="00CA7C72" w:rsidP="00CA7C72">
      <w:pPr>
        <w:spacing w:before="180" w:after="0" w:line="240" w:lineRule="auto"/>
        <w:jc w:val="center"/>
        <w:rPr>
          <w:rFonts w:ascii="Times New Roman" w:eastAsia="Calibri" w:hAnsi="Times New Roman" w:cs="Times New Roman"/>
          <w:i/>
          <w:szCs w:val="20"/>
        </w:rPr>
      </w:pPr>
      <w:r w:rsidRPr="00CA7C72">
        <w:rPr>
          <w:rFonts w:ascii="Times New Roman" w:eastAsia="Calibri" w:hAnsi="Times New Roman" w:cs="Times New Roman"/>
          <w:szCs w:val="20"/>
        </w:rPr>
        <w:t>Issued under the Authority of the Attorney</w:t>
      </w:r>
      <w:r w:rsidRPr="00CA7C72">
        <w:rPr>
          <w:rFonts w:ascii="Times New Roman" w:eastAsia="Calibri" w:hAnsi="Times New Roman" w:cs="Times New Roman"/>
          <w:szCs w:val="20"/>
        </w:rPr>
        <w:noBreakHyphen/>
        <w:t>General</w:t>
      </w:r>
    </w:p>
    <w:p w14:paraId="4B5B2BCB" w14:textId="77777777" w:rsidR="00CA7C72" w:rsidRPr="00CA7C72" w:rsidRDefault="00CA7C72" w:rsidP="00CA7C72">
      <w:pPr>
        <w:pBdr>
          <w:bottom w:val="single" w:sz="4" w:space="1" w:color="auto"/>
        </w:pBdr>
        <w:spacing w:after="240" w:line="260" w:lineRule="atLeast"/>
        <w:jc w:val="center"/>
        <w:rPr>
          <w:rFonts w:ascii="Times New Roman" w:eastAsia="Calibri" w:hAnsi="Times New Roman" w:cs="Times New Roman"/>
          <w:szCs w:val="20"/>
        </w:rPr>
      </w:pPr>
    </w:p>
    <w:p w14:paraId="03ABE484" w14:textId="77777777" w:rsidR="00CA7C72" w:rsidRPr="00CA7C72" w:rsidRDefault="00CA7C72" w:rsidP="00CA7C72">
      <w:pPr>
        <w:numPr>
          <w:ilvl w:val="12"/>
          <w:numId w:val="0"/>
        </w:numPr>
        <w:spacing w:before="240" w:after="0" w:line="240" w:lineRule="auto"/>
        <w:rPr>
          <w:rFonts w:ascii="Times New Roman" w:eastAsia="Calibri" w:hAnsi="Times New Roman" w:cs="Times New Roman"/>
          <w:b/>
          <w:sz w:val="24"/>
          <w:szCs w:val="24"/>
          <w:lang w:eastAsia="en-AU"/>
        </w:rPr>
      </w:pPr>
      <w:r w:rsidRPr="00CA7C72">
        <w:rPr>
          <w:rFonts w:ascii="Times New Roman" w:eastAsia="Calibri" w:hAnsi="Times New Roman" w:cs="Times New Roman"/>
          <w:b/>
          <w:sz w:val="24"/>
          <w:szCs w:val="24"/>
          <w:lang w:eastAsia="en-AU"/>
        </w:rPr>
        <w:t>OUTLINE</w:t>
      </w:r>
    </w:p>
    <w:p w14:paraId="746A404A" w14:textId="77777777" w:rsidR="00CA7C72" w:rsidRPr="00CA7C72" w:rsidRDefault="00CA7C72" w:rsidP="00CA7C72">
      <w:pPr>
        <w:spacing w:before="240" w:after="0" w:line="240" w:lineRule="auto"/>
        <w:ind w:right="91"/>
        <w:rPr>
          <w:rFonts w:ascii="Times New Roman" w:eastAsia="Times New Roman" w:hAnsi="Times New Roman" w:cs="Times New Roman"/>
          <w:color w:val="000000"/>
          <w:sz w:val="24"/>
          <w:szCs w:val="24"/>
          <w:lang w:eastAsia="en-AU"/>
        </w:rPr>
      </w:pPr>
      <w:r w:rsidRPr="00CA7C72">
        <w:rPr>
          <w:rFonts w:ascii="Times New Roman" w:eastAsia="Times New Roman" w:hAnsi="Times New Roman" w:cs="Times New Roman"/>
          <w:color w:val="000000"/>
          <w:sz w:val="24"/>
          <w:szCs w:val="24"/>
          <w:lang w:eastAsia="en-AU"/>
        </w:rPr>
        <w:t>The </w:t>
      </w:r>
      <w:r w:rsidRPr="00CA7C72">
        <w:rPr>
          <w:rFonts w:ascii="Times New Roman" w:eastAsia="Times New Roman" w:hAnsi="Times New Roman" w:cs="Times New Roman"/>
          <w:i/>
          <w:iCs/>
          <w:color w:val="000000"/>
          <w:sz w:val="24"/>
          <w:szCs w:val="24"/>
          <w:lang w:eastAsia="en-AU"/>
        </w:rPr>
        <w:t>Legislation Act 2003</w:t>
      </w:r>
      <w:r w:rsidRPr="00CA7C72">
        <w:rPr>
          <w:rFonts w:ascii="Times New Roman" w:eastAsia="Times New Roman" w:hAnsi="Times New Roman" w:cs="Times New Roman"/>
          <w:color w:val="000000"/>
          <w:sz w:val="24"/>
          <w:szCs w:val="24"/>
          <w:lang w:eastAsia="en-AU"/>
        </w:rPr>
        <w:t xml:space="preserve"> establishes a comprehensive regime for the publication of Commonwealth Acts and instruments. It also provides for the registration, tabling, parliamentary scrutiny and </w:t>
      </w:r>
      <w:proofErr w:type="spellStart"/>
      <w:r w:rsidRPr="00CA7C72">
        <w:rPr>
          <w:rFonts w:ascii="Times New Roman" w:eastAsia="Times New Roman" w:hAnsi="Times New Roman" w:cs="Times New Roman"/>
          <w:color w:val="000000"/>
          <w:sz w:val="24"/>
          <w:szCs w:val="24"/>
          <w:lang w:eastAsia="en-AU"/>
        </w:rPr>
        <w:t>sunsetting</w:t>
      </w:r>
      <w:proofErr w:type="spellEnd"/>
      <w:r w:rsidRPr="00CA7C72">
        <w:rPr>
          <w:rFonts w:ascii="Times New Roman" w:eastAsia="Times New Roman" w:hAnsi="Times New Roman" w:cs="Times New Roman"/>
          <w:color w:val="000000"/>
          <w:sz w:val="24"/>
          <w:szCs w:val="24"/>
          <w:lang w:eastAsia="en-AU"/>
        </w:rPr>
        <w:t xml:space="preserve"> (automatic repeal) of Commonwealth legislative instruments, and establishes an authoritative, complete and accessible register of those instruments, including compilations and explanatory statements.</w:t>
      </w:r>
    </w:p>
    <w:p w14:paraId="2B315AC2" w14:textId="77777777" w:rsidR="00CA7C72" w:rsidRPr="00CA7C72" w:rsidRDefault="00CA7C72" w:rsidP="00CA7C72">
      <w:pPr>
        <w:spacing w:before="240" w:after="0" w:line="240" w:lineRule="auto"/>
        <w:ind w:right="91"/>
        <w:rPr>
          <w:rFonts w:ascii="Times New Roman" w:eastAsia="Times New Roman" w:hAnsi="Times New Roman" w:cs="Times New Roman"/>
          <w:color w:val="000000"/>
          <w:sz w:val="24"/>
          <w:szCs w:val="24"/>
          <w:lang w:eastAsia="en-AU"/>
        </w:rPr>
      </w:pPr>
      <w:r w:rsidRPr="00CA7C72">
        <w:rPr>
          <w:rFonts w:ascii="Times New Roman" w:eastAsia="Times New Roman" w:hAnsi="Times New Roman" w:cs="Times New Roman"/>
          <w:color w:val="000000"/>
          <w:sz w:val="24"/>
          <w:szCs w:val="24"/>
          <w:lang w:eastAsia="en-AU"/>
        </w:rPr>
        <w:t>Section 62 of the Legislation Act</w:t>
      </w:r>
      <w:r w:rsidRPr="00CA7C72">
        <w:rPr>
          <w:rFonts w:ascii="Times New Roman" w:eastAsia="Times New Roman" w:hAnsi="Times New Roman" w:cs="Times New Roman"/>
          <w:i/>
          <w:iCs/>
          <w:color w:val="000000"/>
          <w:sz w:val="24"/>
          <w:szCs w:val="24"/>
          <w:lang w:eastAsia="en-AU"/>
        </w:rPr>
        <w:t> </w:t>
      </w:r>
      <w:r w:rsidRPr="00CA7C72">
        <w:rPr>
          <w:rFonts w:ascii="Times New Roman" w:eastAsia="Times New Roman" w:hAnsi="Times New Roman" w:cs="Times New Roman"/>
          <w:color w:val="000000"/>
          <w:sz w:val="24"/>
          <w:szCs w:val="24"/>
          <w:lang w:eastAsia="en-AU"/>
        </w:rPr>
        <w:t>provides the Governor-General with the power to make regulations prescribing matters required or permitted by that Act to be prescribed, or necessary or convenient to be prescribed, for carrying out or giving effect to that Act.</w:t>
      </w:r>
    </w:p>
    <w:p w14:paraId="1F739254" w14:textId="77777777" w:rsidR="00CA7C72" w:rsidRPr="00CA7C72" w:rsidRDefault="00CA7C72" w:rsidP="00CA7C72">
      <w:pPr>
        <w:numPr>
          <w:ilvl w:val="12"/>
          <w:numId w:val="0"/>
        </w:numPr>
        <w:spacing w:before="240" w:after="0" w:line="240" w:lineRule="auto"/>
        <w:rPr>
          <w:rFonts w:ascii="Times New Roman" w:eastAsia="Calibri" w:hAnsi="Times New Roman" w:cs="Times New Roman"/>
          <w:sz w:val="24"/>
          <w:szCs w:val="24"/>
          <w:lang w:eastAsia="en-AU"/>
        </w:rPr>
      </w:pPr>
      <w:r w:rsidRPr="00CA7C72">
        <w:rPr>
          <w:rFonts w:ascii="Times New Roman" w:eastAsia="Calibri" w:hAnsi="Times New Roman" w:cs="Times New Roman"/>
          <w:sz w:val="24"/>
          <w:szCs w:val="24"/>
          <w:lang w:eastAsia="en-AU"/>
        </w:rPr>
        <w:t>Subsections 44(2) and 54(2) of the Legislation Act provide that instruments prescribed by regulation for the purposes of paragraphs 44(2</w:t>
      </w:r>
      <w:proofErr w:type="gramStart"/>
      <w:r w:rsidRPr="00CA7C72">
        <w:rPr>
          <w:rFonts w:ascii="Times New Roman" w:eastAsia="Calibri" w:hAnsi="Times New Roman" w:cs="Times New Roman"/>
          <w:sz w:val="24"/>
          <w:szCs w:val="24"/>
          <w:lang w:eastAsia="en-AU"/>
        </w:rPr>
        <w:t>)(</w:t>
      </w:r>
      <w:proofErr w:type="gramEnd"/>
      <w:r w:rsidRPr="00CA7C72">
        <w:rPr>
          <w:rFonts w:ascii="Times New Roman" w:eastAsia="Calibri" w:hAnsi="Times New Roman" w:cs="Times New Roman"/>
          <w:sz w:val="24"/>
          <w:szCs w:val="24"/>
          <w:lang w:eastAsia="en-AU"/>
        </w:rPr>
        <w:t xml:space="preserve">b) and 54(2)(b) are not subject to disallowance and </w:t>
      </w:r>
      <w:proofErr w:type="spellStart"/>
      <w:r w:rsidRPr="00CA7C72">
        <w:rPr>
          <w:rFonts w:ascii="Times New Roman" w:eastAsia="Calibri" w:hAnsi="Times New Roman" w:cs="Times New Roman"/>
          <w:sz w:val="24"/>
          <w:szCs w:val="24"/>
          <w:lang w:eastAsia="en-AU"/>
        </w:rPr>
        <w:t>sunsetting</w:t>
      </w:r>
      <w:proofErr w:type="spellEnd"/>
      <w:r w:rsidRPr="00CA7C72">
        <w:rPr>
          <w:rFonts w:ascii="Times New Roman" w:eastAsia="Calibri" w:hAnsi="Times New Roman" w:cs="Times New Roman"/>
          <w:sz w:val="24"/>
          <w:szCs w:val="24"/>
          <w:lang w:eastAsia="en-AU"/>
        </w:rPr>
        <w:t xml:space="preserve"> respectively. Paragraph 8(6</w:t>
      </w:r>
      <w:proofErr w:type="gramStart"/>
      <w:r w:rsidRPr="00CA7C72">
        <w:rPr>
          <w:rFonts w:ascii="Times New Roman" w:eastAsia="Calibri" w:hAnsi="Times New Roman" w:cs="Times New Roman"/>
          <w:sz w:val="24"/>
          <w:szCs w:val="24"/>
          <w:lang w:eastAsia="en-AU"/>
        </w:rPr>
        <w:t>)(</w:t>
      </w:r>
      <w:proofErr w:type="gramEnd"/>
      <w:r w:rsidRPr="00CA7C72">
        <w:rPr>
          <w:rFonts w:ascii="Times New Roman" w:eastAsia="Calibri" w:hAnsi="Times New Roman" w:cs="Times New Roman"/>
          <w:sz w:val="24"/>
          <w:szCs w:val="24"/>
          <w:lang w:eastAsia="en-AU"/>
        </w:rPr>
        <w:t xml:space="preserve">b) of the Legislation Act provides that instruments prescribed by regulation for the purposes of that paragraph are not legislative instruments. </w:t>
      </w:r>
    </w:p>
    <w:p w14:paraId="158B5096" w14:textId="3AB50744" w:rsidR="007E7D66" w:rsidRPr="00CA7C72" w:rsidRDefault="00CA7C72" w:rsidP="000D0AB5">
      <w:pPr>
        <w:spacing w:before="240" w:after="0" w:line="240" w:lineRule="auto"/>
        <w:ind w:right="91"/>
        <w:rPr>
          <w:rFonts w:ascii="Times New Roman" w:eastAsia="Times New Roman" w:hAnsi="Times New Roman" w:cs="Times New Roman"/>
          <w:color w:val="000000"/>
          <w:sz w:val="24"/>
          <w:szCs w:val="24"/>
          <w:lang w:eastAsia="en-AU"/>
        </w:rPr>
      </w:pPr>
      <w:r w:rsidRPr="00CA7C72">
        <w:rPr>
          <w:rFonts w:ascii="Times New Roman" w:eastAsia="Calibri" w:hAnsi="Times New Roman" w:cs="Times New Roman"/>
          <w:color w:val="000000"/>
          <w:sz w:val="24"/>
          <w:szCs w:val="24"/>
        </w:rPr>
        <w:t>The </w:t>
      </w:r>
      <w:r w:rsidRPr="00CA7C72">
        <w:rPr>
          <w:rFonts w:ascii="Times New Roman" w:eastAsia="Calibri" w:hAnsi="Times New Roman" w:cs="Times New Roman"/>
          <w:i/>
          <w:iCs/>
          <w:color w:val="000000"/>
          <w:sz w:val="24"/>
          <w:szCs w:val="24"/>
        </w:rPr>
        <w:t>Legislation (Exemptions and Other Matters) Regulation 2015</w:t>
      </w:r>
      <w:r w:rsidRPr="00CA7C72">
        <w:rPr>
          <w:rFonts w:ascii="Times New Roman" w:eastAsia="Calibri" w:hAnsi="Times New Roman" w:cs="Times New Roman"/>
          <w:iCs/>
          <w:color w:val="000000"/>
          <w:sz w:val="24"/>
          <w:szCs w:val="24"/>
        </w:rPr>
        <w:t xml:space="preserve"> (the Principal Regulation), made under section 62 of the Legislation Act, </w:t>
      </w:r>
      <w:r w:rsidRPr="00CA7C72">
        <w:rPr>
          <w:rFonts w:ascii="Times New Roman" w:eastAsia="Calibri" w:hAnsi="Times New Roman" w:cs="Times New Roman"/>
          <w:color w:val="000000"/>
          <w:sz w:val="24"/>
          <w:szCs w:val="24"/>
        </w:rPr>
        <w:t xml:space="preserve">sets out exemptions from legislative instrument status, disallowance by the Parliament and </w:t>
      </w:r>
      <w:proofErr w:type="spellStart"/>
      <w:r w:rsidRPr="00CA7C72">
        <w:rPr>
          <w:rFonts w:ascii="Times New Roman" w:eastAsia="Calibri" w:hAnsi="Times New Roman" w:cs="Times New Roman"/>
          <w:color w:val="000000"/>
          <w:sz w:val="24"/>
          <w:szCs w:val="24"/>
        </w:rPr>
        <w:t>sunsetting</w:t>
      </w:r>
      <w:proofErr w:type="spellEnd"/>
      <w:r w:rsidRPr="00CA7C72">
        <w:rPr>
          <w:rFonts w:ascii="Times New Roman" w:eastAsia="Calibri" w:hAnsi="Times New Roman" w:cs="Times New Roman"/>
          <w:color w:val="000000"/>
          <w:sz w:val="24"/>
          <w:szCs w:val="24"/>
        </w:rPr>
        <w:t xml:space="preserve"> for instrument classes and particular instruments.</w:t>
      </w:r>
      <w:r w:rsidRPr="00CA7C72">
        <w:rPr>
          <w:rFonts w:ascii="Times New Roman" w:eastAsia="Times New Roman" w:hAnsi="Times New Roman" w:cs="Times New Roman"/>
          <w:color w:val="000000"/>
          <w:sz w:val="24"/>
          <w:szCs w:val="24"/>
          <w:lang w:eastAsia="en-AU"/>
        </w:rPr>
        <w:t xml:space="preserve"> </w:t>
      </w:r>
    </w:p>
    <w:p w14:paraId="2AEA78F8" w14:textId="7F72FBF2" w:rsidR="00CA7C72" w:rsidRPr="00CA7C72" w:rsidRDefault="00CA7C72" w:rsidP="00CA7C72">
      <w:pPr>
        <w:spacing w:before="240" w:after="0" w:line="240" w:lineRule="auto"/>
        <w:ind w:right="91"/>
        <w:rPr>
          <w:rFonts w:ascii="Times New Roman" w:eastAsia="Calibri" w:hAnsi="Times New Roman" w:cs="Times New Roman"/>
          <w:sz w:val="24"/>
          <w:szCs w:val="24"/>
          <w:highlight w:val="yellow"/>
        </w:rPr>
      </w:pPr>
      <w:r w:rsidRPr="00CA7C72">
        <w:rPr>
          <w:rFonts w:ascii="Times New Roman" w:eastAsia="Times New Roman" w:hAnsi="Times New Roman" w:cs="Times New Roman"/>
          <w:color w:val="000000"/>
          <w:sz w:val="24"/>
          <w:szCs w:val="24"/>
          <w:lang w:eastAsia="en-AU"/>
        </w:rPr>
        <w:t xml:space="preserve">Schedule 1 </w:t>
      </w:r>
      <w:r w:rsidR="00B8427D">
        <w:rPr>
          <w:rFonts w:ascii="Times New Roman" w:eastAsia="Times New Roman" w:hAnsi="Times New Roman" w:cs="Times New Roman"/>
          <w:color w:val="000000"/>
          <w:sz w:val="24"/>
          <w:szCs w:val="24"/>
          <w:lang w:eastAsia="en-AU"/>
        </w:rPr>
        <w:t>to</w:t>
      </w:r>
      <w:r w:rsidR="00B8427D" w:rsidRPr="00CA7C72">
        <w:rPr>
          <w:rFonts w:ascii="Times New Roman" w:eastAsia="Times New Roman" w:hAnsi="Times New Roman" w:cs="Times New Roman"/>
          <w:color w:val="000000"/>
          <w:sz w:val="24"/>
          <w:szCs w:val="24"/>
          <w:lang w:eastAsia="en-AU"/>
        </w:rPr>
        <w:t xml:space="preserve"> </w:t>
      </w:r>
      <w:r w:rsidR="00003FAA">
        <w:rPr>
          <w:rFonts w:ascii="Times New Roman" w:eastAsia="Times New Roman" w:hAnsi="Times New Roman" w:cs="Times New Roman"/>
          <w:color w:val="000000"/>
          <w:sz w:val="24"/>
          <w:szCs w:val="24"/>
          <w:lang w:eastAsia="en-AU"/>
        </w:rPr>
        <w:t>these</w:t>
      </w:r>
      <w:r w:rsidRPr="00CA7C72">
        <w:rPr>
          <w:rFonts w:ascii="Times New Roman" w:eastAsia="Times New Roman" w:hAnsi="Times New Roman" w:cs="Times New Roman"/>
          <w:color w:val="000000"/>
          <w:sz w:val="24"/>
          <w:szCs w:val="24"/>
          <w:lang w:eastAsia="en-AU"/>
        </w:rPr>
        <w:t xml:space="preserve"> Regulation</w:t>
      </w:r>
      <w:r w:rsidR="00003FAA">
        <w:rPr>
          <w:rFonts w:ascii="Times New Roman" w:eastAsia="Times New Roman" w:hAnsi="Times New Roman" w:cs="Times New Roman"/>
          <w:color w:val="000000"/>
          <w:sz w:val="24"/>
          <w:szCs w:val="24"/>
          <w:lang w:eastAsia="en-AU"/>
        </w:rPr>
        <w:t>s</w:t>
      </w:r>
      <w:r w:rsidRPr="00CA7C72">
        <w:rPr>
          <w:rFonts w:ascii="Times New Roman" w:eastAsia="Times New Roman" w:hAnsi="Times New Roman" w:cs="Times New Roman"/>
          <w:color w:val="000000"/>
          <w:sz w:val="24"/>
          <w:szCs w:val="24"/>
          <w:lang w:eastAsia="en-AU"/>
        </w:rPr>
        <w:t xml:space="preserve"> amends the Principal Regulation to </w:t>
      </w:r>
      <w:r w:rsidRPr="00CA7C72">
        <w:rPr>
          <w:rFonts w:ascii="Times New Roman" w:eastAsia="Calibri" w:hAnsi="Times New Roman" w:cs="Times New Roman"/>
          <w:sz w:val="24"/>
          <w:szCs w:val="24"/>
        </w:rPr>
        <w:t xml:space="preserve">provide for </w:t>
      </w:r>
      <w:r w:rsidR="00E54CA7">
        <w:rPr>
          <w:rFonts w:ascii="Times New Roman" w:eastAsia="Calibri" w:hAnsi="Times New Roman" w:cs="Times New Roman"/>
          <w:sz w:val="24"/>
          <w:szCs w:val="24"/>
        </w:rPr>
        <w:t>an exemption</w:t>
      </w:r>
      <w:r w:rsidRPr="00CA7C72">
        <w:rPr>
          <w:rFonts w:ascii="Times New Roman" w:eastAsia="Calibri" w:hAnsi="Times New Roman" w:cs="Times New Roman"/>
          <w:sz w:val="24"/>
          <w:szCs w:val="24"/>
        </w:rPr>
        <w:t xml:space="preserve"> from </w:t>
      </w:r>
      <w:proofErr w:type="spellStart"/>
      <w:r w:rsidRPr="00CA7C72">
        <w:rPr>
          <w:rFonts w:ascii="Times New Roman" w:eastAsia="Calibri" w:hAnsi="Times New Roman" w:cs="Times New Roman"/>
          <w:sz w:val="24"/>
          <w:szCs w:val="24"/>
        </w:rPr>
        <w:t>sunse</w:t>
      </w:r>
      <w:r w:rsidR="00E54CA7">
        <w:rPr>
          <w:rFonts w:ascii="Times New Roman" w:eastAsia="Calibri" w:hAnsi="Times New Roman" w:cs="Times New Roman"/>
          <w:sz w:val="24"/>
          <w:szCs w:val="24"/>
        </w:rPr>
        <w:t>tting</w:t>
      </w:r>
      <w:proofErr w:type="spellEnd"/>
      <w:r w:rsidR="00E54CA7">
        <w:rPr>
          <w:rFonts w:ascii="Times New Roman" w:eastAsia="Calibri" w:hAnsi="Times New Roman" w:cs="Times New Roman"/>
          <w:sz w:val="24"/>
          <w:szCs w:val="24"/>
        </w:rPr>
        <w:t xml:space="preserve"> for</w:t>
      </w:r>
      <w:r w:rsidR="00BF54FD">
        <w:rPr>
          <w:rFonts w:ascii="Times New Roman" w:eastAsia="Calibri" w:hAnsi="Times New Roman" w:cs="Times New Roman"/>
          <w:sz w:val="24"/>
          <w:szCs w:val="24"/>
        </w:rPr>
        <w:t xml:space="preserve"> the</w:t>
      </w:r>
      <w:r w:rsidR="00E54CA7">
        <w:rPr>
          <w:rFonts w:ascii="Times New Roman" w:eastAsia="Calibri" w:hAnsi="Times New Roman" w:cs="Times New Roman"/>
          <w:sz w:val="24"/>
          <w:szCs w:val="24"/>
        </w:rPr>
        <w:t xml:space="preserve"> </w:t>
      </w:r>
      <w:r w:rsidR="00BF54FD" w:rsidRPr="00BF54FD">
        <w:rPr>
          <w:rFonts w:ascii="Times New Roman" w:eastAsia="Calibri" w:hAnsi="Times New Roman" w:cs="Times New Roman"/>
          <w:i/>
          <w:sz w:val="24"/>
          <w:szCs w:val="24"/>
        </w:rPr>
        <w:t>Financial Framework (Supplementary Powers) Regulations</w:t>
      </w:r>
      <w:r w:rsidR="00BF54FD">
        <w:rPr>
          <w:rFonts w:ascii="Times New Roman" w:eastAsia="Calibri" w:hAnsi="Times New Roman" w:cs="Times New Roman"/>
          <w:i/>
          <w:sz w:val="24"/>
          <w:szCs w:val="24"/>
        </w:rPr>
        <w:t xml:space="preserve"> 1997</w:t>
      </w:r>
      <w:r w:rsidR="001114EB">
        <w:rPr>
          <w:rFonts w:ascii="Times New Roman" w:eastAsia="Calibri" w:hAnsi="Times New Roman" w:cs="Times New Roman"/>
          <w:sz w:val="24"/>
          <w:szCs w:val="24"/>
        </w:rPr>
        <w:t xml:space="preserve"> (FF</w:t>
      </w:r>
      <w:r w:rsidR="00941E50">
        <w:rPr>
          <w:rFonts w:ascii="Times New Roman" w:eastAsia="Calibri" w:hAnsi="Times New Roman" w:cs="Times New Roman"/>
          <w:sz w:val="24"/>
          <w:szCs w:val="24"/>
        </w:rPr>
        <w:t>(</w:t>
      </w:r>
      <w:r w:rsidR="001114EB">
        <w:rPr>
          <w:rFonts w:ascii="Times New Roman" w:eastAsia="Calibri" w:hAnsi="Times New Roman" w:cs="Times New Roman"/>
          <w:sz w:val="24"/>
          <w:szCs w:val="24"/>
        </w:rPr>
        <w:t>SP</w:t>
      </w:r>
      <w:r w:rsidR="00941E50">
        <w:rPr>
          <w:rFonts w:ascii="Times New Roman" w:eastAsia="Calibri" w:hAnsi="Times New Roman" w:cs="Times New Roman"/>
          <w:sz w:val="24"/>
          <w:szCs w:val="24"/>
        </w:rPr>
        <w:t>)</w:t>
      </w:r>
      <w:r w:rsidR="001114EB">
        <w:rPr>
          <w:rFonts w:ascii="Times New Roman" w:eastAsia="Calibri" w:hAnsi="Times New Roman" w:cs="Times New Roman"/>
          <w:sz w:val="24"/>
          <w:szCs w:val="24"/>
        </w:rPr>
        <w:t xml:space="preserve"> Regulations)</w:t>
      </w:r>
      <w:r w:rsidR="00BF54FD">
        <w:rPr>
          <w:rFonts w:ascii="Times New Roman" w:eastAsia="Calibri" w:hAnsi="Times New Roman" w:cs="Times New Roman"/>
          <w:i/>
          <w:sz w:val="24"/>
          <w:szCs w:val="24"/>
        </w:rPr>
        <w:t>.</w:t>
      </w:r>
    </w:p>
    <w:p w14:paraId="002F7ABE" w14:textId="213FAC1F" w:rsidR="00CA7C72" w:rsidRPr="00CA7C72" w:rsidRDefault="00CA7C72" w:rsidP="00CA7C72">
      <w:pPr>
        <w:spacing w:before="240" w:after="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The Legislation Act does not specify any conditions that must be fulfilled before the power to make </w:t>
      </w:r>
      <w:r w:rsidR="00FE5BEC">
        <w:rPr>
          <w:rFonts w:ascii="Times New Roman" w:eastAsia="Calibri" w:hAnsi="Times New Roman" w:cs="Times New Roman"/>
          <w:sz w:val="24"/>
          <w:szCs w:val="24"/>
        </w:rPr>
        <w:t>these Regulations</w:t>
      </w:r>
      <w:r w:rsidRPr="00CA7C72">
        <w:rPr>
          <w:rFonts w:ascii="Times New Roman" w:eastAsia="Calibri" w:hAnsi="Times New Roman" w:cs="Times New Roman"/>
          <w:sz w:val="24"/>
          <w:szCs w:val="24"/>
        </w:rPr>
        <w:t xml:space="preserve"> may be exercised.</w:t>
      </w:r>
    </w:p>
    <w:p w14:paraId="38848ACA" w14:textId="77777777" w:rsidR="00CA7C72" w:rsidRPr="00CA7C72" w:rsidRDefault="00CA7C72" w:rsidP="009B6D6A">
      <w:pPr>
        <w:spacing w:before="240" w:after="12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However,</w:t>
      </w:r>
      <w:r w:rsidR="0040329F">
        <w:rPr>
          <w:rFonts w:ascii="Times New Roman" w:eastAsia="Calibri" w:hAnsi="Times New Roman" w:cs="Times New Roman"/>
          <w:sz w:val="24"/>
          <w:szCs w:val="24"/>
        </w:rPr>
        <w:t xml:space="preserve"> it is well-established practice that an assessment of whether it is appropriate to exemp</w:t>
      </w:r>
      <w:r w:rsidR="00A03CC6">
        <w:rPr>
          <w:rFonts w:ascii="Times New Roman" w:eastAsia="Calibri" w:hAnsi="Times New Roman" w:cs="Times New Roman"/>
          <w:sz w:val="24"/>
          <w:szCs w:val="24"/>
        </w:rPr>
        <w:t xml:space="preserve">t an instrument from </w:t>
      </w:r>
      <w:proofErr w:type="spellStart"/>
      <w:r w:rsidR="00A03CC6">
        <w:rPr>
          <w:rFonts w:ascii="Times New Roman" w:eastAsia="Calibri" w:hAnsi="Times New Roman" w:cs="Times New Roman"/>
          <w:sz w:val="24"/>
          <w:szCs w:val="24"/>
        </w:rPr>
        <w:t>sunsetting</w:t>
      </w:r>
      <w:proofErr w:type="spellEnd"/>
      <w:r w:rsidR="00A03CC6">
        <w:rPr>
          <w:rFonts w:ascii="Times New Roman" w:eastAsia="Calibri" w:hAnsi="Times New Roman" w:cs="Times New Roman"/>
          <w:sz w:val="24"/>
          <w:szCs w:val="24"/>
        </w:rPr>
        <w:t xml:space="preserve"> is conducted on the basis of the following</w:t>
      </w:r>
      <w:r w:rsidR="0001417B">
        <w:rPr>
          <w:rFonts w:ascii="Times New Roman" w:eastAsia="Calibri" w:hAnsi="Times New Roman" w:cs="Times New Roman"/>
          <w:sz w:val="24"/>
          <w:szCs w:val="24"/>
        </w:rPr>
        <w:t xml:space="preserve"> </w:t>
      </w:r>
      <w:r w:rsidRPr="00CA7C72">
        <w:rPr>
          <w:rFonts w:ascii="Times New Roman" w:eastAsia="Calibri" w:hAnsi="Times New Roman" w:cs="Times New Roman"/>
          <w:sz w:val="24"/>
          <w:szCs w:val="24"/>
        </w:rPr>
        <w:t>five criteria:</w:t>
      </w:r>
    </w:p>
    <w:p w14:paraId="4FCD30F7" w14:textId="77777777" w:rsidR="00CA7C72" w:rsidRPr="00CA7C72" w:rsidRDefault="00CA7C72" w:rsidP="00CA7C72">
      <w:pPr>
        <w:numPr>
          <w:ilvl w:val="0"/>
          <w:numId w:val="1"/>
        </w:numPr>
        <w:spacing w:before="240" w:after="0" w:line="240" w:lineRule="auto"/>
        <w:contextualSpacing/>
        <w:rPr>
          <w:rFonts w:ascii="Times New Roman" w:eastAsia="Calibri" w:hAnsi="Times New Roman" w:cs="Times New Roman"/>
          <w:sz w:val="24"/>
          <w:szCs w:val="24"/>
        </w:rPr>
      </w:pPr>
      <w:r w:rsidRPr="00CA7C72">
        <w:rPr>
          <w:rFonts w:ascii="Times New Roman" w:eastAsia="Calibri" w:hAnsi="Times New Roman" w:cs="Times New Roman"/>
          <w:sz w:val="24"/>
          <w:szCs w:val="24"/>
        </w:rPr>
        <w:t>the rule-maker has been given a statutory role independent of the Government, or is operating in competition with the private sector;</w:t>
      </w:r>
    </w:p>
    <w:p w14:paraId="0DDC43D5" w14:textId="77777777" w:rsidR="00CA7C72" w:rsidRPr="00CA7C72" w:rsidRDefault="00CA7C72" w:rsidP="00CA7C72">
      <w:pPr>
        <w:numPr>
          <w:ilvl w:val="0"/>
          <w:numId w:val="1"/>
        </w:numPr>
        <w:spacing w:before="240" w:after="0" w:line="240" w:lineRule="auto"/>
        <w:contextualSpacing/>
        <w:rPr>
          <w:rFonts w:ascii="Times New Roman" w:eastAsia="Calibri" w:hAnsi="Times New Roman" w:cs="Times New Roman"/>
          <w:sz w:val="24"/>
          <w:szCs w:val="24"/>
        </w:rPr>
      </w:pPr>
      <w:r w:rsidRPr="00CA7C72">
        <w:rPr>
          <w:rFonts w:ascii="Times New Roman" w:eastAsia="Calibri" w:hAnsi="Times New Roman" w:cs="Times New Roman"/>
          <w:sz w:val="24"/>
          <w:szCs w:val="24"/>
        </w:rPr>
        <w:t>the instrument is designed to be enduring and not subject to regular review;</w:t>
      </w:r>
    </w:p>
    <w:p w14:paraId="5622FC86" w14:textId="77777777" w:rsidR="00CA7C72" w:rsidRPr="00CA7C72" w:rsidRDefault="00CA7C72" w:rsidP="00CA7C72">
      <w:pPr>
        <w:numPr>
          <w:ilvl w:val="0"/>
          <w:numId w:val="1"/>
        </w:numPr>
        <w:spacing w:before="240" w:after="0" w:line="240" w:lineRule="auto"/>
        <w:contextualSpacing/>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commercial certainty would be undermined by </w:t>
      </w:r>
      <w:proofErr w:type="spellStart"/>
      <w:r w:rsidRPr="00CA7C72">
        <w:rPr>
          <w:rFonts w:ascii="Times New Roman" w:eastAsia="Calibri" w:hAnsi="Times New Roman" w:cs="Times New Roman"/>
          <w:sz w:val="24"/>
          <w:szCs w:val="24"/>
        </w:rPr>
        <w:t>sunsetting</w:t>
      </w:r>
      <w:proofErr w:type="spellEnd"/>
      <w:r w:rsidRPr="00CA7C72">
        <w:rPr>
          <w:rFonts w:ascii="Times New Roman" w:eastAsia="Calibri" w:hAnsi="Times New Roman" w:cs="Times New Roman"/>
          <w:sz w:val="24"/>
          <w:szCs w:val="24"/>
        </w:rPr>
        <w:t>;</w:t>
      </w:r>
    </w:p>
    <w:p w14:paraId="173E78B9" w14:textId="77777777" w:rsidR="00CA7C72" w:rsidRPr="00CA7C72" w:rsidRDefault="00CA7C72" w:rsidP="00CA7C72">
      <w:pPr>
        <w:numPr>
          <w:ilvl w:val="0"/>
          <w:numId w:val="1"/>
        </w:numPr>
        <w:spacing w:before="240" w:after="0" w:line="240" w:lineRule="auto"/>
        <w:contextualSpacing/>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the instrument is part of an intergovernmental scheme; </w:t>
      </w:r>
      <w:r w:rsidR="00F81619">
        <w:rPr>
          <w:rFonts w:ascii="Times New Roman" w:eastAsia="Calibri" w:hAnsi="Times New Roman" w:cs="Times New Roman"/>
          <w:sz w:val="24"/>
          <w:szCs w:val="24"/>
        </w:rPr>
        <w:t>or</w:t>
      </w:r>
    </w:p>
    <w:p w14:paraId="52AA1517" w14:textId="77777777" w:rsidR="000825FA" w:rsidRDefault="00CA7C72" w:rsidP="000825FA">
      <w:pPr>
        <w:numPr>
          <w:ilvl w:val="0"/>
          <w:numId w:val="1"/>
        </w:numPr>
        <w:spacing w:before="240" w:after="0" w:line="240" w:lineRule="auto"/>
        <w:contextualSpacing/>
        <w:rPr>
          <w:rFonts w:ascii="Times New Roman" w:eastAsia="Calibri" w:hAnsi="Times New Roman" w:cs="Times New Roman"/>
          <w:sz w:val="24"/>
          <w:szCs w:val="24"/>
        </w:rPr>
      </w:pPr>
      <w:proofErr w:type="gramStart"/>
      <w:r w:rsidRPr="00CA7C72">
        <w:rPr>
          <w:rFonts w:ascii="Times New Roman" w:eastAsia="Calibri" w:hAnsi="Times New Roman" w:cs="Times New Roman"/>
          <w:sz w:val="24"/>
          <w:szCs w:val="24"/>
        </w:rPr>
        <w:t>the</w:t>
      </w:r>
      <w:proofErr w:type="gramEnd"/>
      <w:r w:rsidRPr="00CA7C72">
        <w:rPr>
          <w:rFonts w:ascii="Times New Roman" w:eastAsia="Calibri" w:hAnsi="Times New Roman" w:cs="Times New Roman"/>
          <w:sz w:val="24"/>
          <w:szCs w:val="24"/>
        </w:rPr>
        <w:t xml:space="preserve"> instrument is subject to a more rigorous statutory review process</w:t>
      </w:r>
      <w:r w:rsidR="00F81619">
        <w:rPr>
          <w:rFonts w:ascii="Times New Roman" w:eastAsia="Calibri" w:hAnsi="Times New Roman" w:cs="Times New Roman"/>
          <w:sz w:val="24"/>
          <w:szCs w:val="24"/>
        </w:rPr>
        <w:t>.</w:t>
      </w:r>
    </w:p>
    <w:p w14:paraId="61F802EC" w14:textId="78930387" w:rsidR="003B5823" w:rsidRPr="003B5823" w:rsidRDefault="003B5823" w:rsidP="003B5823">
      <w:pPr>
        <w:spacing w:before="240" w:after="0" w:line="240" w:lineRule="auto"/>
        <w:rPr>
          <w:rFonts w:ascii="Times New Roman" w:eastAsia="Calibri" w:hAnsi="Times New Roman" w:cs="Times New Roman"/>
          <w:sz w:val="24"/>
          <w:szCs w:val="24"/>
        </w:rPr>
      </w:pPr>
      <w:r w:rsidRPr="003B5823">
        <w:rPr>
          <w:rFonts w:ascii="Times New Roman" w:eastAsia="Calibri" w:hAnsi="Times New Roman" w:cs="Times New Roman"/>
          <w:sz w:val="24"/>
          <w:szCs w:val="24"/>
        </w:rPr>
        <w:t xml:space="preserve">The </w:t>
      </w:r>
      <w:proofErr w:type="gramStart"/>
      <w:r w:rsidR="00AA6B25">
        <w:rPr>
          <w:rFonts w:ascii="Times New Roman" w:eastAsia="Calibri" w:hAnsi="Times New Roman" w:cs="Times New Roman"/>
          <w:sz w:val="24"/>
          <w:szCs w:val="24"/>
        </w:rPr>
        <w:t>FF</w:t>
      </w:r>
      <w:r w:rsidR="00941E50">
        <w:rPr>
          <w:rFonts w:ascii="Times New Roman" w:eastAsia="Calibri" w:hAnsi="Times New Roman" w:cs="Times New Roman"/>
          <w:sz w:val="24"/>
          <w:szCs w:val="24"/>
        </w:rPr>
        <w:t>(</w:t>
      </w:r>
      <w:proofErr w:type="gramEnd"/>
      <w:r w:rsidR="00AA6B25">
        <w:rPr>
          <w:rFonts w:ascii="Times New Roman" w:eastAsia="Calibri" w:hAnsi="Times New Roman" w:cs="Times New Roman"/>
          <w:sz w:val="24"/>
          <w:szCs w:val="24"/>
        </w:rPr>
        <w:t>SP</w:t>
      </w:r>
      <w:r w:rsidR="00941E50">
        <w:rPr>
          <w:rFonts w:ascii="Times New Roman" w:eastAsia="Calibri" w:hAnsi="Times New Roman" w:cs="Times New Roman"/>
          <w:sz w:val="24"/>
          <w:szCs w:val="24"/>
        </w:rPr>
        <w:t>)</w:t>
      </w:r>
      <w:r w:rsidR="00AA6B25">
        <w:rPr>
          <w:rFonts w:ascii="Times New Roman" w:eastAsia="Calibri" w:hAnsi="Times New Roman" w:cs="Times New Roman"/>
          <w:sz w:val="24"/>
          <w:szCs w:val="24"/>
        </w:rPr>
        <w:t xml:space="preserve"> Regulations were </w:t>
      </w:r>
      <w:r w:rsidRPr="003B5823">
        <w:rPr>
          <w:rFonts w:ascii="Times New Roman" w:eastAsia="Calibri" w:hAnsi="Times New Roman" w:cs="Times New Roman"/>
          <w:sz w:val="24"/>
          <w:szCs w:val="24"/>
        </w:rPr>
        <w:t>analysed against the above criteria</w:t>
      </w:r>
      <w:r w:rsidR="008D3C2D">
        <w:rPr>
          <w:rFonts w:ascii="Times New Roman" w:eastAsia="Calibri" w:hAnsi="Times New Roman" w:cs="Times New Roman"/>
          <w:sz w:val="24"/>
          <w:szCs w:val="24"/>
        </w:rPr>
        <w:t>.</w:t>
      </w:r>
      <w:r w:rsidR="004C236C">
        <w:rPr>
          <w:rFonts w:ascii="Times New Roman" w:eastAsia="Calibri" w:hAnsi="Times New Roman" w:cs="Times New Roman"/>
          <w:sz w:val="24"/>
          <w:szCs w:val="24"/>
        </w:rPr>
        <w:t xml:space="preserve"> </w:t>
      </w:r>
      <w:r w:rsidR="008D3C2D">
        <w:rPr>
          <w:rFonts w:ascii="Times New Roman" w:eastAsia="Calibri" w:hAnsi="Times New Roman" w:cs="Times New Roman"/>
          <w:sz w:val="24"/>
          <w:szCs w:val="24"/>
        </w:rPr>
        <w:t>I</w:t>
      </w:r>
      <w:r w:rsidR="004C236C">
        <w:rPr>
          <w:rFonts w:ascii="Times New Roman" w:eastAsia="Calibri" w:hAnsi="Times New Roman" w:cs="Times New Roman"/>
          <w:sz w:val="24"/>
          <w:szCs w:val="24"/>
        </w:rPr>
        <w:t xml:space="preserve">t was determined that </w:t>
      </w:r>
      <w:r w:rsidR="0030585F">
        <w:rPr>
          <w:rFonts w:ascii="Times New Roman" w:eastAsia="Calibri" w:hAnsi="Times New Roman" w:cs="Times New Roman"/>
          <w:sz w:val="24"/>
          <w:szCs w:val="24"/>
        </w:rPr>
        <w:t xml:space="preserve">an </w:t>
      </w:r>
      <w:r w:rsidR="009B6D6A">
        <w:rPr>
          <w:rFonts w:ascii="Times New Roman" w:eastAsia="Calibri" w:hAnsi="Times New Roman" w:cs="Times New Roman"/>
          <w:sz w:val="24"/>
          <w:szCs w:val="24"/>
        </w:rPr>
        <w:t xml:space="preserve">exemption would be appropriate </w:t>
      </w:r>
      <w:r w:rsidR="0030585F">
        <w:rPr>
          <w:rFonts w:ascii="Times New Roman" w:eastAsia="Calibri" w:hAnsi="Times New Roman" w:cs="Times New Roman"/>
          <w:sz w:val="24"/>
          <w:szCs w:val="24"/>
        </w:rPr>
        <w:t xml:space="preserve">because </w:t>
      </w:r>
      <w:r w:rsidR="004C236C">
        <w:rPr>
          <w:rFonts w:ascii="Times New Roman" w:eastAsia="Calibri" w:hAnsi="Times New Roman" w:cs="Times New Roman"/>
          <w:sz w:val="24"/>
          <w:szCs w:val="24"/>
        </w:rPr>
        <w:t xml:space="preserve">subjecting the </w:t>
      </w:r>
      <w:proofErr w:type="gramStart"/>
      <w:r w:rsidR="004C236C">
        <w:rPr>
          <w:rFonts w:ascii="Times New Roman" w:eastAsia="Calibri" w:hAnsi="Times New Roman" w:cs="Times New Roman"/>
          <w:sz w:val="24"/>
          <w:szCs w:val="24"/>
        </w:rPr>
        <w:t>FF</w:t>
      </w:r>
      <w:r w:rsidR="00941E50">
        <w:rPr>
          <w:rFonts w:ascii="Times New Roman" w:eastAsia="Calibri" w:hAnsi="Times New Roman" w:cs="Times New Roman"/>
          <w:sz w:val="24"/>
          <w:szCs w:val="24"/>
        </w:rPr>
        <w:t>(</w:t>
      </w:r>
      <w:proofErr w:type="gramEnd"/>
      <w:r w:rsidR="004C236C">
        <w:rPr>
          <w:rFonts w:ascii="Times New Roman" w:eastAsia="Calibri" w:hAnsi="Times New Roman" w:cs="Times New Roman"/>
          <w:sz w:val="24"/>
          <w:szCs w:val="24"/>
        </w:rPr>
        <w:t>SP</w:t>
      </w:r>
      <w:r w:rsidR="00941E50">
        <w:rPr>
          <w:rFonts w:ascii="Times New Roman" w:eastAsia="Calibri" w:hAnsi="Times New Roman" w:cs="Times New Roman"/>
          <w:sz w:val="24"/>
          <w:szCs w:val="24"/>
        </w:rPr>
        <w:t>)</w:t>
      </w:r>
      <w:r w:rsidR="004C236C">
        <w:rPr>
          <w:rFonts w:ascii="Times New Roman" w:eastAsia="Calibri" w:hAnsi="Times New Roman" w:cs="Times New Roman"/>
          <w:sz w:val="24"/>
          <w:szCs w:val="24"/>
        </w:rPr>
        <w:t xml:space="preserve"> Regulations to </w:t>
      </w:r>
      <w:proofErr w:type="spellStart"/>
      <w:r w:rsidR="004C236C">
        <w:rPr>
          <w:rFonts w:ascii="Times New Roman" w:eastAsia="Calibri" w:hAnsi="Times New Roman" w:cs="Times New Roman"/>
          <w:sz w:val="24"/>
          <w:szCs w:val="24"/>
        </w:rPr>
        <w:t>sunsetting</w:t>
      </w:r>
      <w:proofErr w:type="spellEnd"/>
      <w:r w:rsidR="004C236C">
        <w:rPr>
          <w:rFonts w:ascii="Times New Roman" w:eastAsia="Calibri" w:hAnsi="Times New Roman" w:cs="Times New Roman"/>
          <w:sz w:val="24"/>
          <w:szCs w:val="24"/>
        </w:rPr>
        <w:t xml:space="preserve"> </w:t>
      </w:r>
      <w:r w:rsidR="004C236C">
        <w:rPr>
          <w:rFonts w:ascii="Times New Roman" w:eastAsia="Calibri" w:hAnsi="Times New Roman" w:cs="Times New Roman"/>
          <w:sz w:val="24"/>
          <w:szCs w:val="24"/>
        </w:rPr>
        <w:lastRenderedPageBreak/>
        <w:t>would undermine commercial certainty</w:t>
      </w:r>
      <w:r w:rsidR="007424B9">
        <w:rPr>
          <w:rFonts w:ascii="Times New Roman" w:eastAsia="Calibri" w:hAnsi="Times New Roman" w:cs="Times New Roman"/>
          <w:sz w:val="24"/>
          <w:szCs w:val="24"/>
        </w:rPr>
        <w:t>,</w:t>
      </w:r>
      <w:r w:rsidR="004C236C">
        <w:rPr>
          <w:rFonts w:ascii="Times New Roman" w:eastAsia="Calibri" w:hAnsi="Times New Roman" w:cs="Times New Roman"/>
          <w:sz w:val="24"/>
          <w:szCs w:val="24"/>
        </w:rPr>
        <w:t xml:space="preserve"> and</w:t>
      </w:r>
      <w:r w:rsidR="006E1586">
        <w:rPr>
          <w:rFonts w:ascii="Times New Roman" w:eastAsia="Calibri" w:hAnsi="Times New Roman" w:cs="Times New Roman"/>
          <w:sz w:val="24"/>
          <w:szCs w:val="24"/>
        </w:rPr>
        <w:t xml:space="preserve"> because</w:t>
      </w:r>
      <w:r w:rsidR="004C236C">
        <w:rPr>
          <w:rFonts w:ascii="Times New Roman" w:eastAsia="Calibri" w:hAnsi="Times New Roman" w:cs="Times New Roman"/>
          <w:sz w:val="24"/>
          <w:szCs w:val="24"/>
        </w:rPr>
        <w:t xml:space="preserve"> the FF</w:t>
      </w:r>
      <w:r w:rsidR="00941E50">
        <w:rPr>
          <w:rFonts w:ascii="Times New Roman" w:eastAsia="Calibri" w:hAnsi="Times New Roman" w:cs="Times New Roman"/>
          <w:sz w:val="24"/>
          <w:szCs w:val="24"/>
        </w:rPr>
        <w:t>(</w:t>
      </w:r>
      <w:r w:rsidR="004C236C">
        <w:rPr>
          <w:rFonts w:ascii="Times New Roman" w:eastAsia="Calibri" w:hAnsi="Times New Roman" w:cs="Times New Roman"/>
          <w:sz w:val="24"/>
          <w:szCs w:val="24"/>
        </w:rPr>
        <w:t>SP</w:t>
      </w:r>
      <w:r w:rsidR="00941E50">
        <w:rPr>
          <w:rFonts w:ascii="Times New Roman" w:eastAsia="Calibri" w:hAnsi="Times New Roman" w:cs="Times New Roman"/>
          <w:sz w:val="24"/>
          <w:szCs w:val="24"/>
        </w:rPr>
        <w:t>)</w:t>
      </w:r>
      <w:r w:rsidR="004C236C">
        <w:rPr>
          <w:rFonts w:ascii="Times New Roman" w:eastAsia="Calibri" w:hAnsi="Times New Roman" w:cs="Times New Roman"/>
          <w:sz w:val="24"/>
          <w:szCs w:val="24"/>
        </w:rPr>
        <w:t xml:space="preserve"> Regulations are part of several intergovernmental schemes.</w:t>
      </w:r>
    </w:p>
    <w:p w14:paraId="02950356" w14:textId="77777777" w:rsidR="000825FA" w:rsidRDefault="000825FA" w:rsidP="000825FA">
      <w:pPr>
        <w:spacing w:before="240" w:after="0" w:line="240" w:lineRule="auto"/>
        <w:ind w:left="360"/>
        <w:contextualSpacing/>
        <w:rPr>
          <w:rFonts w:ascii="Times New Roman" w:eastAsia="Calibri" w:hAnsi="Times New Roman" w:cs="Times New Roman"/>
          <w:sz w:val="24"/>
          <w:szCs w:val="24"/>
        </w:rPr>
      </w:pPr>
    </w:p>
    <w:p w14:paraId="29ADA76D" w14:textId="4380BCC7" w:rsidR="00373092" w:rsidRDefault="00350F77" w:rsidP="006B4473">
      <w:pPr>
        <w:spacing w:before="24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w:t>
      </w:r>
      <w:r w:rsidR="006970E6">
        <w:rPr>
          <w:rFonts w:ascii="Times New Roman" w:eastAsia="Calibri" w:hAnsi="Times New Roman" w:cs="Times New Roman"/>
          <w:sz w:val="24"/>
          <w:szCs w:val="24"/>
        </w:rPr>
        <w:t>he exemption was also assessed to be appropriate</w:t>
      </w:r>
      <w:r w:rsidR="00000AF0">
        <w:rPr>
          <w:rFonts w:ascii="Times New Roman" w:eastAsia="Calibri" w:hAnsi="Times New Roman" w:cs="Times New Roman"/>
          <w:sz w:val="24"/>
          <w:szCs w:val="24"/>
        </w:rPr>
        <w:t xml:space="preserve"> because </w:t>
      </w:r>
      <w:r w:rsidR="006970E6">
        <w:rPr>
          <w:rFonts w:ascii="Times New Roman" w:eastAsia="Calibri" w:hAnsi="Times New Roman" w:cs="Times New Roman"/>
          <w:sz w:val="24"/>
          <w:szCs w:val="24"/>
        </w:rPr>
        <w:t xml:space="preserve">the </w:t>
      </w:r>
      <w:proofErr w:type="gramStart"/>
      <w:r w:rsidR="006970E6">
        <w:rPr>
          <w:rFonts w:ascii="Times New Roman" w:eastAsia="Calibri" w:hAnsi="Times New Roman" w:cs="Times New Roman"/>
          <w:sz w:val="24"/>
          <w:szCs w:val="24"/>
        </w:rPr>
        <w:t>FF</w:t>
      </w:r>
      <w:r w:rsidR="00941E50">
        <w:rPr>
          <w:rFonts w:ascii="Times New Roman" w:eastAsia="Calibri" w:hAnsi="Times New Roman" w:cs="Times New Roman"/>
          <w:sz w:val="24"/>
          <w:szCs w:val="24"/>
        </w:rPr>
        <w:t>(</w:t>
      </w:r>
      <w:proofErr w:type="gramEnd"/>
      <w:r w:rsidR="006970E6">
        <w:rPr>
          <w:rFonts w:ascii="Times New Roman" w:eastAsia="Calibri" w:hAnsi="Times New Roman" w:cs="Times New Roman"/>
          <w:sz w:val="24"/>
          <w:szCs w:val="24"/>
        </w:rPr>
        <w:t>SP</w:t>
      </w:r>
      <w:r w:rsidR="00941E50">
        <w:rPr>
          <w:rFonts w:ascii="Times New Roman" w:eastAsia="Calibri" w:hAnsi="Times New Roman" w:cs="Times New Roman"/>
          <w:sz w:val="24"/>
          <w:szCs w:val="24"/>
        </w:rPr>
        <w:t>)</w:t>
      </w:r>
      <w:r w:rsidR="006970E6">
        <w:rPr>
          <w:rFonts w:ascii="Times New Roman" w:eastAsia="Calibri" w:hAnsi="Times New Roman" w:cs="Times New Roman"/>
          <w:sz w:val="24"/>
          <w:szCs w:val="24"/>
        </w:rPr>
        <w:t xml:space="preserve"> Regulations </w:t>
      </w:r>
      <w:r w:rsidR="00000AF0">
        <w:rPr>
          <w:rFonts w:ascii="Times New Roman" w:eastAsia="Calibri" w:hAnsi="Times New Roman" w:cs="Times New Roman"/>
          <w:sz w:val="24"/>
          <w:szCs w:val="24"/>
        </w:rPr>
        <w:t xml:space="preserve">are </w:t>
      </w:r>
      <w:r w:rsidR="006E7A81" w:rsidRPr="000825FA">
        <w:rPr>
          <w:rFonts w:ascii="Times New Roman" w:eastAsia="Calibri" w:hAnsi="Times New Roman" w:cs="Times New Roman"/>
          <w:sz w:val="24"/>
          <w:szCs w:val="24"/>
        </w:rPr>
        <w:t xml:space="preserve">subject to regular review and amendment, and the administrative burden associated with remaking the </w:t>
      </w:r>
      <w:r w:rsidR="00A32489">
        <w:rPr>
          <w:rFonts w:ascii="Times New Roman" w:eastAsia="Calibri" w:hAnsi="Times New Roman" w:cs="Times New Roman"/>
          <w:sz w:val="24"/>
          <w:szCs w:val="24"/>
        </w:rPr>
        <w:t>FF</w:t>
      </w:r>
      <w:r w:rsidR="00941E50">
        <w:rPr>
          <w:rFonts w:ascii="Times New Roman" w:eastAsia="Calibri" w:hAnsi="Times New Roman" w:cs="Times New Roman"/>
          <w:sz w:val="24"/>
          <w:szCs w:val="24"/>
        </w:rPr>
        <w:t>(</w:t>
      </w:r>
      <w:r w:rsidR="00A32489">
        <w:rPr>
          <w:rFonts w:ascii="Times New Roman" w:eastAsia="Calibri" w:hAnsi="Times New Roman" w:cs="Times New Roman"/>
          <w:sz w:val="24"/>
          <w:szCs w:val="24"/>
        </w:rPr>
        <w:t>SP</w:t>
      </w:r>
      <w:r w:rsidR="00941E50">
        <w:rPr>
          <w:rFonts w:ascii="Times New Roman" w:eastAsia="Calibri" w:hAnsi="Times New Roman" w:cs="Times New Roman"/>
          <w:sz w:val="24"/>
          <w:szCs w:val="24"/>
        </w:rPr>
        <w:t>)</w:t>
      </w:r>
      <w:r w:rsidR="00A32489">
        <w:rPr>
          <w:rFonts w:ascii="Times New Roman" w:eastAsia="Calibri" w:hAnsi="Times New Roman" w:cs="Times New Roman"/>
          <w:sz w:val="24"/>
          <w:szCs w:val="24"/>
        </w:rPr>
        <w:t xml:space="preserve"> Regulations</w:t>
      </w:r>
      <w:r w:rsidR="006E7A81" w:rsidRPr="000825FA">
        <w:rPr>
          <w:rFonts w:ascii="Times New Roman" w:eastAsia="Calibri" w:hAnsi="Times New Roman" w:cs="Times New Roman"/>
          <w:sz w:val="24"/>
          <w:szCs w:val="24"/>
        </w:rPr>
        <w:t xml:space="preserve"> would outweigh any regulatory benefit</w:t>
      </w:r>
      <w:r w:rsidR="00CA7C72" w:rsidRPr="000825FA">
        <w:rPr>
          <w:rFonts w:ascii="Times New Roman" w:eastAsia="Calibri" w:hAnsi="Times New Roman" w:cs="Times New Roman"/>
          <w:sz w:val="24"/>
          <w:szCs w:val="24"/>
        </w:rPr>
        <w:t>.</w:t>
      </w:r>
      <w:r w:rsidR="003730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Assessment against </w:t>
      </w:r>
      <w:r w:rsidR="00455671">
        <w:rPr>
          <w:rFonts w:ascii="Times New Roman" w:eastAsia="Calibri" w:hAnsi="Times New Roman" w:cs="Times New Roman"/>
          <w:sz w:val="24"/>
          <w:szCs w:val="24"/>
        </w:rPr>
        <w:t>this criterion</w:t>
      </w:r>
      <w:r>
        <w:rPr>
          <w:rFonts w:ascii="Times New Roman" w:eastAsia="Calibri" w:hAnsi="Times New Roman" w:cs="Times New Roman"/>
          <w:sz w:val="24"/>
          <w:szCs w:val="24"/>
        </w:rPr>
        <w:t xml:space="preserve"> is consistent with recommendation 30 of the </w:t>
      </w:r>
      <w:r w:rsidRPr="004F61A1">
        <w:rPr>
          <w:rFonts w:ascii="Times New Roman" w:eastAsia="Calibri" w:hAnsi="Times New Roman" w:cs="Times New Roman"/>
          <w:i/>
          <w:sz w:val="24"/>
          <w:szCs w:val="24"/>
        </w:rPr>
        <w:t xml:space="preserve">Report on the Operation of the </w:t>
      </w:r>
      <w:proofErr w:type="spellStart"/>
      <w:r w:rsidRPr="004F61A1">
        <w:rPr>
          <w:rFonts w:ascii="Times New Roman" w:eastAsia="Calibri" w:hAnsi="Times New Roman" w:cs="Times New Roman"/>
          <w:i/>
          <w:sz w:val="24"/>
          <w:szCs w:val="24"/>
        </w:rPr>
        <w:t>Sunsetting</w:t>
      </w:r>
      <w:proofErr w:type="spellEnd"/>
      <w:r w:rsidRPr="004F61A1">
        <w:rPr>
          <w:rFonts w:ascii="Times New Roman" w:eastAsia="Calibri" w:hAnsi="Times New Roman" w:cs="Times New Roman"/>
          <w:i/>
          <w:sz w:val="24"/>
          <w:szCs w:val="24"/>
        </w:rPr>
        <w:t xml:space="preserve"> Provisions in the Legislation Act 2003</w:t>
      </w:r>
      <w:r>
        <w:rPr>
          <w:rFonts w:ascii="Times New Roman" w:eastAsia="Calibri" w:hAnsi="Times New Roman" w:cs="Times New Roman"/>
          <w:sz w:val="24"/>
          <w:szCs w:val="24"/>
        </w:rPr>
        <w:t>.</w:t>
      </w:r>
    </w:p>
    <w:p w14:paraId="05FCC863" w14:textId="77777777" w:rsidR="00643F65" w:rsidRDefault="00643F65" w:rsidP="006B4473">
      <w:pPr>
        <w:spacing w:before="240" w:after="0" w:line="240" w:lineRule="auto"/>
        <w:contextualSpacing/>
        <w:rPr>
          <w:rFonts w:ascii="Times New Roman" w:eastAsia="Calibri" w:hAnsi="Times New Roman" w:cs="Times New Roman"/>
          <w:sz w:val="24"/>
          <w:szCs w:val="24"/>
        </w:rPr>
      </w:pPr>
    </w:p>
    <w:p w14:paraId="4DA02288" w14:textId="77777777" w:rsidR="00643F65" w:rsidRPr="009436C7" w:rsidRDefault="00643F65" w:rsidP="006B4473">
      <w:pPr>
        <w:spacing w:before="24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information </w:t>
      </w:r>
      <w:r w:rsidR="009436C7">
        <w:rPr>
          <w:rFonts w:ascii="Times New Roman" w:eastAsia="Calibri" w:hAnsi="Times New Roman" w:cs="Times New Roman"/>
          <w:sz w:val="24"/>
          <w:szCs w:val="24"/>
        </w:rPr>
        <w:t xml:space="preserve">is provided at </w:t>
      </w:r>
      <w:r w:rsidR="009436C7">
        <w:rPr>
          <w:rFonts w:ascii="Times New Roman" w:eastAsia="Calibri" w:hAnsi="Times New Roman" w:cs="Times New Roman"/>
          <w:sz w:val="24"/>
          <w:szCs w:val="24"/>
          <w:u w:val="single"/>
        </w:rPr>
        <w:t>Attachment A</w:t>
      </w:r>
      <w:r w:rsidR="009436C7">
        <w:rPr>
          <w:rFonts w:ascii="Times New Roman" w:eastAsia="Calibri" w:hAnsi="Times New Roman" w:cs="Times New Roman"/>
          <w:sz w:val="24"/>
          <w:szCs w:val="24"/>
        </w:rPr>
        <w:t>.</w:t>
      </w:r>
    </w:p>
    <w:p w14:paraId="13598776" w14:textId="77777777" w:rsidR="00CA7C72" w:rsidRPr="00CA7C72" w:rsidRDefault="00CA7C72" w:rsidP="00CA7C72">
      <w:pPr>
        <w:spacing w:before="240" w:after="0" w:line="240" w:lineRule="auto"/>
        <w:ind w:left="1452" w:hanging="1452"/>
        <w:outlineLvl w:val="1"/>
        <w:rPr>
          <w:rFonts w:ascii="Times" w:eastAsia="Calibri" w:hAnsi="Times" w:cs="Times New Roman"/>
          <w:b/>
          <w:sz w:val="24"/>
          <w:szCs w:val="24"/>
        </w:rPr>
      </w:pPr>
      <w:r w:rsidRPr="00CA7C72">
        <w:rPr>
          <w:rFonts w:ascii="Times" w:eastAsia="Calibri" w:hAnsi="Times" w:cs="Times New Roman"/>
          <w:b/>
          <w:sz w:val="24"/>
          <w:szCs w:val="24"/>
        </w:rPr>
        <w:t xml:space="preserve">PROCESSES FOR REVIEW OF THIS REGULATION </w:t>
      </w:r>
    </w:p>
    <w:p w14:paraId="6CAE7B5A" w14:textId="47E719AF" w:rsidR="00CA7C72" w:rsidRPr="00CA7C72" w:rsidRDefault="00FE5BEC" w:rsidP="00CA7C72">
      <w:pPr>
        <w:spacing w:before="24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Regulations are</w:t>
      </w:r>
      <w:r w:rsidR="00CA7C72" w:rsidRPr="00CA7C72">
        <w:rPr>
          <w:rFonts w:ascii="Times New Roman" w:eastAsia="Calibri" w:hAnsi="Times New Roman" w:cs="Times New Roman"/>
          <w:sz w:val="24"/>
          <w:szCs w:val="24"/>
        </w:rPr>
        <w:t xml:space="preserve"> subject to tabling and disallowance under Part 2 of Chapter 3 of the Legislation Act, and will cease as if repealed on the day after the last of its provisions commence. </w:t>
      </w:r>
    </w:p>
    <w:p w14:paraId="7CBF2274" w14:textId="77777777" w:rsidR="00CA7C72" w:rsidRPr="00CA7C72" w:rsidRDefault="00CA7C72" w:rsidP="00CA7C72">
      <w:pPr>
        <w:keepNext/>
        <w:spacing w:before="240" w:after="0" w:line="240" w:lineRule="auto"/>
        <w:ind w:left="1452" w:hanging="1452"/>
        <w:outlineLvl w:val="2"/>
        <w:rPr>
          <w:rFonts w:ascii="Times" w:eastAsia="Calibri" w:hAnsi="Times" w:cs="Times New Roman"/>
          <w:b/>
          <w:sz w:val="24"/>
          <w:szCs w:val="24"/>
        </w:rPr>
      </w:pPr>
      <w:r w:rsidRPr="00CA7C72">
        <w:rPr>
          <w:rFonts w:ascii="Times" w:eastAsia="Calibri" w:hAnsi="Times" w:cs="Times New Roman"/>
          <w:b/>
          <w:sz w:val="24"/>
          <w:szCs w:val="24"/>
        </w:rPr>
        <w:t>Regulatory impact analysis</w:t>
      </w:r>
    </w:p>
    <w:p w14:paraId="4B99B899" w14:textId="77777777" w:rsidR="00CA7C72" w:rsidRPr="00CA7C72" w:rsidRDefault="00CA7C72" w:rsidP="00CA7C72">
      <w:pPr>
        <w:spacing w:before="240" w:after="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Before the Principal Regulation was made, its expected impact was assessed using the Preliminary Assessment tool approved by the Office of Best Practice Regulation (OBPR).  That assessment indicated that it will have no or low impact on business, individuals and the economy. This assessment has been confirmed by the OBPR and granted a standing exemption from Regulatory impact analysis requirements (OBPR reference 17635). </w:t>
      </w:r>
    </w:p>
    <w:p w14:paraId="634B942E" w14:textId="77777777" w:rsidR="00CA7C72" w:rsidRPr="00CA7C72" w:rsidRDefault="00CA7C72" w:rsidP="00CA7C72">
      <w:pPr>
        <w:keepNext/>
        <w:spacing w:before="240" w:after="0" w:line="240" w:lineRule="auto"/>
        <w:ind w:left="1452" w:hanging="1452"/>
        <w:outlineLvl w:val="2"/>
        <w:rPr>
          <w:rFonts w:ascii="Times" w:eastAsia="Calibri" w:hAnsi="Times" w:cs="Times New Roman"/>
          <w:b/>
          <w:sz w:val="24"/>
          <w:szCs w:val="24"/>
        </w:rPr>
      </w:pPr>
      <w:r w:rsidRPr="00CA7C72">
        <w:rPr>
          <w:rFonts w:ascii="Times" w:eastAsia="Calibri" w:hAnsi="Times" w:cs="Times New Roman"/>
          <w:b/>
          <w:sz w:val="24"/>
          <w:szCs w:val="24"/>
        </w:rPr>
        <w:t xml:space="preserve">Statement of compatibility with human rights obligations </w:t>
      </w:r>
    </w:p>
    <w:p w14:paraId="6580974E" w14:textId="7BE41281" w:rsidR="00CA7C72" w:rsidRPr="00CA7C72" w:rsidRDefault="00CA7C72" w:rsidP="00CA7C72">
      <w:pPr>
        <w:spacing w:before="240" w:after="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Before </w:t>
      </w:r>
      <w:r w:rsidR="00FE5BEC">
        <w:rPr>
          <w:rFonts w:ascii="Times New Roman" w:eastAsia="Calibri" w:hAnsi="Times New Roman" w:cs="Times New Roman"/>
          <w:sz w:val="24"/>
          <w:szCs w:val="24"/>
        </w:rPr>
        <w:t>these Regulations</w:t>
      </w:r>
      <w:r w:rsidRPr="00CA7C72">
        <w:rPr>
          <w:rFonts w:ascii="Times New Roman" w:eastAsia="Calibri" w:hAnsi="Times New Roman" w:cs="Times New Roman"/>
          <w:sz w:val="24"/>
          <w:szCs w:val="24"/>
        </w:rPr>
        <w:t xml:space="preserve"> </w:t>
      </w:r>
      <w:r w:rsidR="00FE5BEC">
        <w:rPr>
          <w:rFonts w:ascii="Times New Roman" w:eastAsia="Calibri" w:hAnsi="Times New Roman" w:cs="Times New Roman"/>
          <w:sz w:val="24"/>
          <w:szCs w:val="24"/>
        </w:rPr>
        <w:t xml:space="preserve">were </w:t>
      </w:r>
      <w:r w:rsidRPr="00CA7C72">
        <w:rPr>
          <w:rFonts w:ascii="Times New Roman" w:eastAsia="Calibri" w:hAnsi="Times New Roman" w:cs="Times New Roman"/>
          <w:sz w:val="24"/>
          <w:szCs w:val="24"/>
        </w:rPr>
        <w:t xml:space="preserve">made, </w:t>
      </w:r>
      <w:r w:rsidR="00FE5BEC">
        <w:rPr>
          <w:rFonts w:ascii="Times New Roman" w:eastAsia="Calibri" w:hAnsi="Times New Roman" w:cs="Times New Roman"/>
          <w:sz w:val="24"/>
          <w:szCs w:val="24"/>
        </w:rPr>
        <w:t>their</w:t>
      </w:r>
      <w:r w:rsidRPr="00CA7C72">
        <w:rPr>
          <w:rFonts w:ascii="Times New Roman" w:eastAsia="Calibri" w:hAnsi="Times New Roman" w:cs="Times New Roman"/>
          <w:sz w:val="24"/>
          <w:szCs w:val="24"/>
        </w:rPr>
        <w:t xml:space="preserve"> impact on human rights was assessed using tools and guidance published by the Attorney</w:t>
      </w:r>
      <w:r w:rsidRPr="00CA7C72">
        <w:rPr>
          <w:rFonts w:ascii="Times New Roman" w:eastAsia="Calibri" w:hAnsi="Times New Roman" w:cs="Times New Roman"/>
          <w:sz w:val="24"/>
          <w:szCs w:val="24"/>
        </w:rPr>
        <w:noBreakHyphen/>
        <w:t xml:space="preserve">General’s Department. </w:t>
      </w:r>
      <w:r w:rsidR="00FE5BEC">
        <w:rPr>
          <w:rFonts w:ascii="Times New Roman" w:eastAsia="Calibri" w:hAnsi="Times New Roman" w:cs="Times New Roman"/>
          <w:sz w:val="24"/>
          <w:szCs w:val="24"/>
        </w:rPr>
        <w:t>These Regulations</w:t>
      </w:r>
      <w:r w:rsidRPr="00CA7C72">
        <w:rPr>
          <w:rFonts w:ascii="Times New Roman" w:eastAsia="Calibri" w:hAnsi="Times New Roman" w:cs="Times New Roman"/>
          <w:sz w:val="24"/>
          <w:szCs w:val="24"/>
        </w:rPr>
        <w:t xml:space="preserve"> will make technical amendments to the Principal Regulation which will have no impact on the human rights and freedoms recognised or declared in the international instruments listed in section 3 of the </w:t>
      </w:r>
      <w:r w:rsidRPr="00CA7C72">
        <w:rPr>
          <w:rFonts w:ascii="Times New Roman" w:eastAsia="Calibri" w:hAnsi="Times New Roman" w:cs="Times New Roman"/>
          <w:i/>
          <w:sz w:val="24"/>
          <w:szCs w:val="24"/>
        </w:rPr>
        <w:t>Human Rights (Parliamentary Scrutiny) Act 2011</w:t>
      </w:r>
      <w:r w:rsidRPr="00CA7C72">
        <w:rPr>
          <w:rFonts w:ascii="Times New Roman" w:eastAsia="Calibri" w:hAnsi="Times New Roman" w:cs="Times New Roman"/>
          <w:sz w:val="24"/>
          <w:szCs w:val="24"/>
        </w:rPr>
        <w:t xml:space="preserve">. </w:t>
      </w:r>
      <w:r w:rsidR="00FE5BEC">
        <w:rPr>
          <w:rFonts w:ascii="Times New Roman" w:eastAsia="Calibri" w:hAnsi="Times New Roman" w:cs="Times New Roman"/>
          <w:sz w:val="24"/>
          <w:szCs w:val="24"/>
        </w:rPr>
        <w:t xml:space="preserve">These Regulations are </w:t>
      </w:r>
      <w:r w:rsidRPr="00CA7C72">
        <w:rPr>
          <w:rFonts w:ascii="Times New Roman" w:eastAsia="Calibri" w:hAnsi="Times New Roman" w:cs="Times New Roman"/>
          <w:sz w:val="24"/>
          <w:szCs w:val="24"/>
        </w:rPr>
        <w:t>compatible with human rights as it does not raise any human rights issues.</w:t>
      </w:r>
    </w:p>
    <w:p w14:paraId="11396913" w14:textId="77777777" w:rsidR="00CA7C72" w:rsidRPr="00CA7C72" w:rsidRDefault="00CA7C72" w:rsidP="00CA7C72">
      <w:pPr>
        <w:keepNext/>
        <w:spacing w:before="240" w:after="0" w:line="260" w:lineRule="atLeast"/>
        <w:ind w:left="1452" w:hanging="1452"/>
        <w:outlineLvl w:val="2"/>
        <w:rPr>
          <w:rFonts w:ascii="Times New Roman" w:eastAsia="Calibri" w:hAnsi="Times New Roman" w:cs="Times New Roman"/>
          <w:b/>
          <w:color w:val="000000"/>
          <w:sz w:val="24"/>
          <w:szCs w:val="24"/>
        </w:rPr>
      </w:pPr>
      <w:r w:rsidRPr="00CA7C72">
        <w:rPr>
          <w:rFonts w:ascii="Times New Roman" w:eastAsia="Calibri" w:hAnsi="Times New Roman" w:cs="Times New Roman"/>
          <w:b/>
          <w:color w:val="000000"/>
          <w:sz w:val="24"/>
          <w:szCs w:val="24"/>
        </w:rPr>
        <w:t>Consultation before making</w:t>
      </w:r>
    </w:p>
    <w:p w14:paraId="6280BA4B" w14:textId="75929E45" w:rsidR="004B2ABA" w:rsidRDefault="00CA7C72" w:rsidP="00CA7C72">
      <w:pPr>
        <w:spacing w:before="240" w:after="0" w:line="260" w:lineRule="atLeast"/>
        <w:rPr>
          <w:rFonts w:ascii="Times New Roman" w:eastAsia="Calibri" w:hAnsi="Times New Roman" w:cs="Times New Roman"/>
          <w:color w:val="000000"/>
          <w:sz w:val="24"/>
          <w:szCs w:val="24"/>
        </w:rPr>
      </w:pPr>
      <w:r w:rsidRPr="00CA7C72">
        <w:rPr>
          <w:rFonts w:ascii="Times New Roman" w:eastAsia="Calibri" w:hAnsi="Times New Roman" w:cs="Times New Roman"/>
          <w:color w:val="000000"/>
          <w:sz w:val="24"/>
          <w:szCs w:val="24"/>
        </w:rPr>
        <w:t xml:space="preserve">Before </w:t>
      </w:r>
      <w:r w:rsidR="0091333B">
        <w:rPr>
          <w:rFonts w:ascii="Times New Roman" w:eastAsia="Calibri" w:hAnsi="Times New Roman" w:cs="Times New Roman"/>
          <w:color w:val="000000"/>
          <w:sz w:val="24"/>
          <w:szCs w:val="24"/>
        </w:rPr>
        <w:t xml:space="preserve">these Regulations were </w:t>
      </w:r>
      <w:r w:rsidRPr="00CA7C72">
        <w:rPr>
          <w:rFonts w:ascii="Times New Roman" w:eastAsia="Calibri" w:hAnsi="Times New Roman" w:cs="Times New Roman"/>
          <w:color w:val="000000"/>
          <w:sz w:val="24"/>
          <w:szCs w:val="24"/>
        </w:rPr>
        <w:t>made, the Attorney-General considered the general obligation to consult imposed by section 17 of the Legislation Act. The Attorney-General was satisfied that consultation was appropriate and reasonably practicable to be undertaken</w:t>
      </w:r>
      <w:r w:rsidRPr="00CA7C72">
        <w:rPr>
          <w:rFonts w:ascii="Times New Roman" w:eastAsia="Calibri" w:hAnsi="Times New Roman" w:cs="Times New Roman"/>
          <w:i/>
          <w:iCs/>
          <w:color w:val="000000"/>
          <w:sz w:val="24"/>
          <w:szCs w:val="24"/>
        </w:rPr>
        <w:t>.</w:t>
      </w:r>
      <w:r w:rsidRPr="00CA7C72">
        <w:rPr>
          <w:rFonts w:ascii="Times New Roman" w:eastAsia="Calibri" w:hAnsi="Times New Roman" w:cs="Times New Roman"/>
          <w:color w:val="000000"/>
          <w:sz w:val="24"/>
          <w:szCs w:val="24"/>
        </w:rPr>
        <w:t xml:space="preserve"> </w:t>
      </w:r>
      <w:r w:rsidR="00350F77">
        <w:rPr>
          <w:rFonts w:ascii="Times New Roman" w:eastAsia="Calibri" w:hAnsi="Times New Roman" w:cs="Times New Roman"/>
          <w:color w:val="000000"/>
          <w:sz w:val="24"/>
          <w:szCs w:val="24"/>
        </w:rPr>
        <w:t>Th</w:t>
      </w:r>
      <w:r w:rsidR="00455671">
        <w:rPr>
          <w:rFonts w:ascii="Times New Roman" w:eastAsia="Calibri" w:hAnsi="Times New Roman" w:cs="Times New Roman"/>
          <w:color w:val="000000"/>
          <w:sz w:val="24"/>
          <w:szCs w:val="24"/>
        </w:rPr>
        <w:t>e</w:t>
      </w:r>
      <w:r w:rsidR="00350F77">
        <w:rPr>
          <w:rFonts w:ascii="Times New Roman" w:eastAsia="Calibri" w:hAnsi="Times New Roman" w:cs="Times New Roman"/>
          <w:color w:val="000000"/>
          <w:sz w:val="24"/>
          <w:szCs w:val="24"/>
        </w:rPr>
        <w:t xml:space="preserve"> exemption was </w:t>
      </w:r>
      <w:r w:rsidR="0049022A">
        <w:rPr>
          <w:rFonts w:ascii="Times New Roman" w:eastAsia="Calibri" w:hAnsi="Times New Roman" w:cs="Times New Roman"/>
          <w:color w:val="000000"/>
          <w:sz w:val="24"/>
          <w:szCs w:val="24"/>
        </w:rPr>
        <w:t xml:space="preserve">requested by </w:t>
      </w:r>
      <w:r w:rsidR="00CF6648">
        <w:rPr>
          <w:rFonts w:ascii="Times New Roman" w:eastAsia="Calibri" w:hAnsi="Times New Roman" w:cs="Times New Roman"/>
          <w:color w:val="000000"/>
          <w:sz w:val="24"/>
          <w:szCs w:val="24"/>
        </w:rPr>
        <w:t>the</w:t>
      </w:r>
      <w:r w:rsidR="0049022A">
        <w:rPr>
          <w:rFonts w:ascii="Times New Roman" w:eastAsia="Calibri" w:hAnsi="Times New Roman" w:cs="Times New Roman"/>
          <w:color w:val="000000"/>
          <w:sz w:val="24"/>
          <w:szCs w:val="24"/>
        </w:rPr>
        <w:t xml:space="preserve"> Minister for Finance, who provided information to</w:t>
      </w:r>
      <w:r w:rsidR="00455671">
        <w:rPr>
          <w:rFonts w:ascii="Times New Roman" w:eastAsia="Calibri" w:hAnsi="Times New Roman" w:cs="Times New Roman"/>
          <w:color w:val="000000"/>
          <w:sz w:val="24"/>
          <w:szCs w:val="24"/>
        </w:rPr>
        <w:t xml:space="preserve"> the Attorney-General to</w:t>
      </w:r>
      <w:r w:rsidR="0049022A">
        <w:rPr>
          <w:rFonts w:ascii="Times New Roman" w:eastAsia="Calibri" w:hAnsi="Times New Roman" w:cs="Times New Roman"/>
          <w:color w:val="000000"/>
          <w:sz w:val="24"/>
          <w:szCs w:val="24"/>
        </w:rPr>
        <w:t xml:space="preserve"> enable analysis of the request. </w:t>
      </w:r>
      <w:r w:rsidRPr="00CA7C72">
        <w:rPr>
          <w:rFonts w:ascii="Times New Roman" w:eastAsia="Calibri" w:hAnsi="Times New Roman" w:cs="Times New Roman"/>
          <w:color w:val="000000"/>
          <w:sz w:val="24"/>
          <w:szCs w:val="24"/>
        </w:rPr>
        <w:t xml:space="preserve">Government departments and agencies likely to be affected by </w:t>
      </w:r>
      <w:r w:rsidR="0091333B">
        <w:rPr>
          <w:rFonts w:ascii="Times New Roman" w:eastAsia="Calibri" w:hAnsi="Times New Roman" w:cs="Times New Roman"/>
          <w:color w:val="000000"/>
          <w:sz w:val="24"/>
          <w:szCs w:val="24"/>
        </w:rPr>
        <w:t>these Regulations</w:t>
      </w:r>
      <w:r w:rsidR="00A8652F" w:rsidRPr="00CA7C72">
        <w:rPr>
          <w:rFonts w:ascii="Times New Roman" w:eastAsia="Calibri" w:hAnsi="Times New Roman" w:cs="Times New Roman"/>
          <w:color w:val="000000"/>
          <w:sz w:val="24"/>
          <w:szCs w:val="24"/>
        </w:rPr>
        <w:t xml:space="preserve"> </w:t>
      </w:r>
      <w:r w:rsidRPr="00CA7C72">
        <w:rPr>
          <w:rFonts w:ascii="Times New Roman" w:eastAsia="Calibri" w:hAnsi="Times New Roman" w:cs="Times New Roman"/>
          <w:color w:val="000000"/>
          <w:sz w:val="24"/>
          <w:szCs w:val="24"/>
        </w:rPr>
        <w:t xml:space="preserve">and affected areas within the Attorney-General’s Department were given an adequate opportunity to comment on its proposed content. </w:t>
      </w:r>
    </w:p>
    <w:p w14:paraId="7F77B884" w14:textId="72FC53B5" w:rsidR="00CA7C72" w:rsidRPr="00C2784F" w:rsidRDefault="00CA7C72" w:rsidP="00CA7C72">
      <w:pPr>
        <w:spacing w:before="240" w:after="0" w:line="260" w:lineRule="atLeast"/>
        <w:rPr>
          <w:rFonts w:ascii="Times New Roman" w:eastAsia="Calibri" w:hAnsi="Times New Roman" w:cs="Times New Roman"/>
          <w:color w:val="000000"/>
          <w:sz w:val="24"/>
          <w:szCs w:val="24"/>
        </w:rPr>
      </w:pPr>
      <w:r w:rsidRPr="00CA7C72">
        <w:rPr>
          <w:rFonts w:ascii="Times New Roman" w:eastAsia="Calibri" w:hAnsi="Times New Roman" w:cs="Times New Roman"/>
          <w:color w:val="000000"/>
          <w:sz w:val="24"/>
          <w:szCs w:val="24"/>
        </w:rPr>
        <w:t xml:space="preserve">The following agencies were consulted: </w:t>
      </w:r>
      <w:r w:rsidRPr="00C2784F">
        <w:rPr>
          <w:rFonts w:ascii="Times New Roman" w:eastAsia="Calibri" w:hAnsi="Times New Roman" w:cs="Times New Roman"/>
          <w:color w:val="000000"/>
          <w:sz w:val="24"/>
          <w:szCs w:val="24"/>
        </w:rPr>
        <w:t xml:space="preserve">the </w:t>
      </w:r>
      <w:r w:rsidR="00035BB8" w:rsidRPr="00C2784F">
        <w:rPr>
          <w:rFonts w:ascii="Times New Roman" w:eastAsia="Calibri" w:hAnsi="Times New Roman" w:cs="Times New Roman"/>
          <w:color w:val="000000"/>
          <w:sz w:val="24"/>
          <w:szCs w:val="24"/>
        </w:rPr>
        <w:t>Department of Industry, Innovation and Science</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Health</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w:t>
      </w:r>
      <w:r w:rsidR="00357654">
        <w:rPr>
          <w:rFonts w:ascii="Times New Roman" w:eastAsia="Calibri" w:hAnsi="Times New Roman" w:cs="Times New Roman"/>
          <w:color w:val="000000"/>
          <w:sz w:val="24"/>
          <w:szCs w:val="24"/>
        </w:rPr>
        <w:t xml:space="preserve">the </w:t>
      </w:r>
      <w:r w:rsidR="00035BB8" w:rsidRPr="00C2784F">
        <w:rPr>
          <w:rFonts w:ascii="Times New Roman" w:eastAsia="Calibri" w:hAnsi="Times New Roman" w:cs="Times New Roman"/>
          <w:color w:val="000000"/>
          <w:sz w:val="24"/>
          <w:szCs w:val="24"/>
        </w:rPr>
        <w:t>Environment and Energy</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w:t>
      </w:r>
      <w:r w:rsidR="004D2911">
        <w:rPr>
          <w:rFonts w:ascii="Times New Roman" w:eastAsia="Calibri" w:hAnsi="Times New Roman" w:cs="Times New Roman"/>
          <w:color w:val="000000"/>
          <w:sz w:val="24"/>
          <w:szCs w:val="24"/>
        </w:rPr>
        <w:t xml:space="preserve">the </w:t>
      </w:r>
      <w:r w:rsidR="00F1605D">
        <w:rPr>
          <w:rFonts w:ascii="Times New Roman" w:eastAsia="Calibri" w:hAnsi="Times New Roman" w:cs="Times New Roman"/>
          <w:color w:val="000000"/>
          <w:sz w:val="24"/>
          <w:szCs w:val="24"/>
        </w:rPr>
        <w:t xml:space="preserve">Department of the </w:t>
      </w:r>
      <w:r w:rsidR="00035BB8" w:rsidRPr="00C2784F">
        <w:rPr>
          <w:rFonts w:ascii="Times New Roman" w:eastAsia="Calibri" w:hAnsi="Times New Roman" w:cs="Times New Roman"/>
          <w:color w:val="000000"/>
          <w:sz w:val="24"/>
          <w:szCs w:val="24"/>
        </w:rPr>
        <w:t>Treasury</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w:t>
      </w:r>
      <w:r w:rsidR="002106C2">
        <w:rPr>
          <w:rFonts w:ascii="Times New Roman" w:eastAsia="Calibri" w:hAnsi="Times New Roman" w:cs="Times New Roman"/>
          <w:color w:val="000000"/>
          <w:sz w:val="24"/>
          <w:szCs w:val="24"/>
        </w:rPr>
        <w:t xml:space="preserve">the </w:t>
      </w:r>
      <w:r w:rsidR="00035BB8" w:rsidRPr="00C2784F">
        <w:rPr>
          <w:rFonts w:ascii="Times New Roman" w:eastAsia="Calibri" w:hAnsi="Times New Roman" w:cs="Times New Roman"/>
          <w:color w:val="000000"/>
          <w:sz w:val="24"/>
          <w:szCs w:val="24"/>
        </w:rPr>
        <w:t>Prime Minister and Cabinet</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Infrastructure, Regional Development and Cities</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Veterans’ Affairs</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Home Affairs</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Human Services</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Foreign Affairs and Trade</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Finance</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Defence</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Communications and the Arts</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Social Services</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w:t>
      </w:r>
      <w:r w:rsidR="00035BB8" w:rsidRPr="00C2784F">
        <w:rPr>
          <w:rFonts w:ascii="Times New Roman" w:eastAsia="Calibri" w:hAnsi="Times New Roman" w:cs="Times New Roman"/>
          <w:color w:val="000000"/>
          <w:sz w:val="24"/>
          <w:szCs w:val="24"/>
        </w:rPr>
        <w:lastRenderedPageBreak/>
        <w:t>Agriculture and Water Resources</w:t>
      </w:r>
      <w:r w:rsidR="004D2911">
        <w:rPr>
          <w:rFonts w:ascii="Times New Roman" w:eastAsia="Calibri" w:hAnsi="Times New Roman" w:cs="Times New Roman"/>
          <w:color w:val="000000"/>
          <w:sz w:val="24"/>
          <w:szCs w:val="24"/>
        </w:rPr>
        <w:t>;</w:t>
      </w:r>
      <w:r w:rsidR="00035BB8" w:rsidRPr="00C2784F">
        <w:rPr>
          <w:rFonts w:ascii="Times New Roman" w:eastAsia="Calibri" w:hAnsi="Times New Roman" w:cs="Times New Roman"/>
          <w:color w:val="000000"/>
          <w:sz w:val="24"/>
          <w:szCs w:val="24"/>
        </w:rPr>
        <w:t xml:space="preserve"> the Department of Jobs and Small Business</w:t>
      </w:r>
      <w:r w:rsidR="00E2202F">
        <w:rPr>
          <w:rFonts w:ascii="Times New Roman" w:eastAsia="Calibri" w:hAnsi="Times New Roman" w:cs="Times New Roman"/>
          <w:color w:val="000000"/>
          <w:sz w:val="24"/>
          <w:szCs w:val="24"/>
        </w:rPr>
        <w:t>; and the Department of Education</w:t>
      </w:r>
      <w:r w:rsidR="00A450C2">
        <w:rPr>
          <w:rFonts w:ascii="Times New Roman" w:eastAsia="Calibri" w:hAnsi="Times New Roman" w:cs="Times New Roman"/>
          <w:color w:val="000000"/>
          <w:sz w:val="24"/>
          <w:szCs w:val="24"/>
        </w:rPr>
        <w:t xml:space="preserve"> and Training</w:t>
      </w:r>
      <w:r w:rsidRPr="00C2784F">
        <w:rPr>
          <w:rFonts w:ascii="Times New Roman" w:eastAsia="Calibri" w:hAnsi="Times New Roman" w:cs="Times New Roman"/>
          <w:color w:val="000000"/>
          <w:sz w:val="24"/>
          <w:szCs w:val="24"/>
        </w:rPr>
        <w:t>.</w:t>
      </w:r>
    </w:p>
    <w:p w14:paraId="2EEEA806" w14:textId="77777777" w:rsidR="00CA7C72" w:rsidRPr="00CA7C72" w:rsidRDefault="00CA7C72" w:rsidP="00CA7C72">
      <w:pPr>
        <w:spacing w:before="240" w:after="0" w:line="240" w:lineRule="auto"/>
        <w:ind w:left="1452" w:hanging="1452"/>
        <w:outlineLvl w:val="1"/>
        <w:rPr>
          <w:rFonts w:ascii="Times" w:eastAsia="Calibri" w:hAnsi="Times" w:cs="Times New Roman"/>
          <w:b/>
          <w:sz w:val="24"/>
          <w:szCs w:val="24"/>
        </w:rPr>
      </w:pPr>
      <w:r w:rsidRPr="00CA7C72">
        <w:rPr>
          <w:rFonts w:ascii="Times" w:eastAsia="Calibri" w:hAnsi="Times" w:cs="Times New Roman"/>
          <w:b/>
          <w:sz w:val="24"/>
          <w:szCs w:val="24"/>
        </w:rPr>
        <w:t xml:space="preserve">OTHER ISSUES </w:t>
      </w:r>
    </w:p>
    <w:p w14:paraId="14B0C2A0" w14:textId="77777777" w:rsidR="00CA7C72" w:rsidRPr="00CA7C72" w:rsidRDefault="00CA7C72" w:rsidP="00CA7C72">
      <w:pPr>
        <w:keepNext/>
        <w:spacing w:before="240" w:after="0" w:line="240" w:lineRule="auto"/>
        <w:ind w:left="1452" w:hanging="1452"/>
        <w:outlineLvl w:val="2"/>
        <w:rPr>
          <w:rFonts w:ascii="Times" w:eastAsia="Calibri" w:hAnsi="Times" w:cs="Times New Roman"/>
          <w:b/>
          <w:sz w:val="24"/>
          <w:szCs w:val="24"/>
        </w:rPr>
      </w:pPr>
      <w:r w:rsidRPr="00CA7C72">
        <w:rPr>
          <w:rFonts w:ascii="Times" w:eastAsia="Calibri" w:hAnsi="Times" w:cs="Times New Roman"/>
          <w:b/>
          <w:sz w:val="24"/>
          <w:szCs w:val="24"/>
        </w:rPr>
        <w:t>Matter incorporated by reference</w:t>
      </w:r>
    </w:p>
    <w:p w14:paraId="5C2742CC" w14:textId="367579A0" w:rsidR="00CA7C72" w:rsidRPr="00CA7C72" w:rsidRDefault="0091333B" w:rsidP="00CA7C72">
      <w:pPr>
        <w:spacing w:before="24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These Regulations do </w:t>
      </w:r>
      <w:r w:rsidR="00CA7C72" w:rsidRPr="00CA7C72">
        <w:rPr>
          <w:rFonts w:ascii="Times New Roman" w:eastAsia="Calibri" w:hAnsi="Times New Roman" w:cs="Times New Roman"/>
          <w:sz w:val="24"/>
          <w:szCs w:val="24"/>
        </w:rPr>
        <w:t xml:space="preserve">not apply, adopt or incorporate other matters by reference. </w:t>
      </w:r>
    </w:p>
    <w:p w14:paraId="693A81AB" w14:textId="77777777" w:rsidR="00CA7C72" w:rsidRPr="00CA7C72" w:rsidRDefault="00CA7C72" w:rsidP="00CA7C72">
      <w:pPr>
        <w:keepNext/>
        <w:spacing w:before="240" w:after="0" w:line="240" w:lineRule="auto"/>
        <w:ind w:left="1452" w:hanging="1452"/>
        <w:outlineLvl w:val="2"/>
        <w:rPr>
          <w:rFonts w:ascii="Times" w:eastAsia="Calibri" w:hAnsi="Times" w:cs="Times New Roman"/>
          <w:b/>
          <w:sz w:val="24"/>
          <w:szCs w:val="24"/>
        </w:rPr>
      </w:pPr>
      <w:r w:rsidRPr="00CA7C72">
        <w:rPr>
          <w:rFonts w:ascii="Times" w:eastAsia="Calibri" w:hAnsi="Times" w:cs="Times New Roman"/>
          <w:b/>
          <w:sz w:val="24"/>
          <w:szCs w:val="24"/>
        </w:rPr>
        <w:t xml:space="preserve">More information </w:t>
      </w:r>
    </w:p>
    <w:p w14:paraId="048D7D1A" w14:textId="31F17BE9" w:rsidR="00CA7C72" w:rsidRPr="00CA7C72" w:rsidRDefault="00CA7C72" w:rsidP="00CA7C72">
      <w:pPr>
        <w:spacing w:before="240" w:after="0" w:line="240" w:lineRule="auto"/>
        <w:rPr>
          <w:rFonts w:ascii="Times New Roman" w:eastAsia="Calibri" w:hAnsi="Times New Roman" w:cs="Times New Roman"/>
          <w:b/>
          <w:sz w:val="28"/>
          <w:szCs w:val="20"/>
        </w:rPr>
      </w:pPr>
      <w:r w:rsidRPr="00CA7C72">
        <w:rPr>
          <w:rFonts w:ascii="Times New Roman" w:eastAsia="Calibri" w:hAnsi="Times New Roman" w:cs="Times New Roman"/>
          <w:sz w:val="24"/>
          <w:szCs w:val="24"/>
        </w:rPr>
        <w:t xml:space="preserve">An explanation of the provisions </w:t>
      </w:r>
      <w:r w:rsidR="00590A9B">
        <w:rPr>
          <w:rFonts w:ascii="Times New Roman" w:eastAsia="Calibri" w:hAnsi="Times New Roman" w:cs="Times New Roman"/>
          <w:sz w:val="24"/>
          <w:szCs w:val="24"/>
        </w:rPr>
        <w:t xml:space="preserve">of </w:t>
      </w:r>
      <w:r w:rsidRPr="00CA7C72">
        <w:rPr>
          <w:rFonts w:ascii="Times New Roman" w:eastAsia="Calibri" w:hAnsi="Times New Roman" w:cs="Times New Roman"/>
          <w:sz w:val="24"/>
          <w:szCs w:val="24"/>
        </w:rPr>
        <w:t xml:space="preserve">and the Schedule to </w:t>
      </w:r>
      <w:r w:rsidR="00CD52EA">
        <w:rPr>
          <w:rFonts w:ascii="Times New Roman" w:eastAsia="Calibri" w:hAnsi="Times New Roman" w:cs="Times New Roman"/>
          <w:sz w:val="24"/>
          <w:szCs w:val="24"/>
        </w:rPr>
        <w:t>these Regulations</w:t>
      </w:r>
      <w:r w:rsidRPr="00CA7C72">
        <w:rPr>
          <w:rFonts w:ascii="Times New Roman" w:eastAsia="Calibri" w:hAnsi="Times New Roman" w:cs="Times New Roman"/>
          <w:sz w:val="24"/>
          <w:szCs w:val="24"/>
        </w:rPr>
        <w:t xml:space="preserve"> is provided in </w:t>
      </w:r>
      <w:r w:rsidRPr="00CA7C72">
        <w:rPr>
          <w:rFonts w:ascii="Times New Roman" w:eastAsia="Calibri" w:hAnsi="Times New Roman" w:cs="Times New Roman"/>
          <w:sz w:val="24"/>
          <w:szCs w:val="24"/>
          <w:u w:val="single"/>
        </w:rPr>
        <w:t>Attachment A</w:t>
      </w:r>
      <w:r w:rsidRPr="00CA7C72">
        <w:rPr>
          <w:rFonts w:ascii="Times New Roman" w:eastAsia="Calibri" w:hAnsi="Times New Roman" w:cs="Times New Roman"/>
          <w:sz w:val="24"/>
          <w:szCs w:val="24"/>
        </w:rPr>
        <w:t>.</w:t>
      </w:r>
      <w:r w:rsidRPr="00CA7C72">
        <w:rPr>
          <w:rFonts w:ascii="Times New Roman" w:eastAsia="Calibri" w:hAnsi="Times New Roman" w:cs="Times New Roman"/>
          <w:b/>
          <w:sz w:val="28"/>
          <w:szCs w:val="20"/>
        </w:rPr>
        <w:br w:type="page"/>
      </w:r>
    </w:p>
    <w:p w14:paraId="43050B36" w14:textId="77777777" w:rsidR="00CA7C72" w:rsidRPr="00CA7C72" w:rsidRDefault="00CA7C72" w:rsidP="00CA7C72">
      <w:pPr>
        <w:spacing w:before="240" w:after="0" w:line="240" w:lineRule="auto"/>
        <w:ind w:left="7932" w:hanging="1452"/>
        <w:outlineLvl w:val="1"/>
        <w:rPr>
          <w:rFonts w:ascii="Times New Roman" w:eastAsia="Calibri" w:hAnsi="Times New Roman" w:cs="Times New Roman"/>
          <w:b/>
          <w:sz w:val="24"/>
          <w:szCs w:val="24"/>
        </w:rPr>
      </w:pPr>
      <w:r w:rsidRPr="00CA7C72">
        <w:rPr>
          <w:rFonts w:ascii="Times New Roman" w:eastAsia="Calibri" w:hAnsi="Times New Roman" w:cs="Times New Roman"/>
          <w:b/>
          <w:sz w:val="24"/>
          <w:szCs w:val="24"/>
          <w:u w:val="single"/>
        </w:rPr>
        <w:lastRenderedPageBreak/>
        <w:t>ATTACHMENT A</w:t>
      </w:r>
    </w:p>
    <w:p w14:paraId="338BFC5F" w14:textId="77777777" w:rsidR="00CA7C72" w:rsidRPr="00CA7C72" w:rsidRDefault="00CA7C72" w:rsidP="00CA7C72">
      <w:pPr>
        <w:spacing w:before="240" w:after="0" w:line="240" w:lineRule="auto"/>
        <w:ind w:left="1452" w:hanging="1452"/>
        <w:outlineLvl w:val="1"/>
        <w:rPr>
          <w:rFonts w:ascii="Times New Roman" w:eastAsia="Calibri" w:hAnsi="Times New Roman" w:cs="Times New Roman"/>
          <w:b/>
          <w:sz w:val="24"/>
          <w:szCs w:val="24"/>
        </w:rPr>
      </w:pPr>
      <w:r w:rsidRPr="00CA7C72">
        <w:rPr>
          <w:rFonts w:ascii="Times New Roman" w:eastAsia="Calibri" w:hAnsi="Times New Roman" w:cs="Times New Roman"/>
          <w:b/>
          <w:sz w:val="24"/>
          <w:szCs w:val="24"/>
        </w:rPr>
        <w:t>NOTES ON PROVISIONS AND SCHEDULES</w:t>
      </w:r>
    </w:p>
    <w:p w14:paraId="1C5D959E" w14:textId="77777777" w:rsidR="00CA7C72" w:rsidRPr="00CA7C72" w:rsidRDefault="00CA7C72" w:rsidP="00CA7C72">
      <w:pPr>
        <w:spacing w:before="240" w:after="0" w:line="240" w:lineRule="auto"/>
        <w:rPr>
          <w:rFonts w:ascii="Times New Roman" w:eastAsia="Calibri" w:hAnsi="Times New Roman" w:cs="Times New Roman"/>
          <w:b/>
          <w:sz w:val="24"/>
          <w:szCs w:val="24"/>
        </w:rPr>
      </w:pPr>
      <w:r w:rsidRPr="00CA7C72">
        <w:rPr>
          <w:rFonts w:ascii="Times New Roman" w:eastAsia="Calibri" w:hAnsi="Times New Roman" w:cs="Times New Roman"/>
          <w:b/>
          <w:sz w:val="24"/>
          <w:szCs w:val="24"/>
        </w:rPr>
        <w:t>Section 1</w:t>
      </w:r>
      <w:r w:rsidRPr="00CA7C72">
        <w:rPr>
          <w:rFonts w:ascii="Times New Roman" w:eastAsia="Calibri" w:hAnsi="Times New Roman" w:cs="Times New Roman"/>
          <w:b/>
          <w:sz w:val="24"/>
          <w:szCs w:val="24"/>
        </w:rPr>
        <w:tab/>
        <w:t xml:space="preserve">Name </w:t>
      </w:r>
    </w:p>
    <w:p w14:paraId="4D417E5A" w14:textId="39A3105C" w:rsidR="00CA7C72" w:rsidRPr="001E580E" w:rsidRDefault="00CA7C72" w:rsidP="00CA7C72">
      <w:pPr>
        <w:spacing w:before="240" w:after="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This section provides that the title of </w:t>
      </w:r>
      <w:r w:rsidR="006C32D5">
        <w:rPr>
          <w:rFonts w:ascii="Times New Roman" w:eastAsia="Calibri" w:hAnsi="Times New Roman" w:cs="Times New Roman"/>
          <w:sz w:val="24"/>
          <w:szCs w:val="24"/>
        </w:rPr>
        <w:t>these Regulations</w:t>
      </w:r>
      <w:r w:rsidRPr="00CA7C72">
        <w:rPr>
          <w:rFonts w:ascii="Times New Roman" w:eastAsia="Calibri" w:hAnsi="Times New Roman" w:cs="Times New Roman"/>
          <w:sz w:val="24"/>
          <w:szCs w:val="24"/>
        </w:rPr>
        <w:t xml:space="preserve"> is the </w:t>
      </w:r>
      <w:r w:rsidR="006C32D5" w:rsidRPr="006C32D5">
        <w:rPr>
          <w:rFonts w:ascii="Times New Roman" w:eastAsia="Calibri" w:hAnsi="Times New Roman" w:cs="Times New Roman"/>
          <w:i/>
          <w:sz w:val="24"/>
          <w:szCs w:val="24"/>
        </w:rPr>
        <w:t>Legislation (Exemptions and Other Matters) Amendment (2018 Measures No. 1) Regulations 2018</w:t>
      </w:r>
      <w:r w:rsidR="001E580E">
        <w:rPr>
          <w:rFonts w:ascii="Times New Roman" w:eastAsia="Calibri" w:hAnsi="Times New Roman" w:cs="Times New Roman"/>
          <w:sz w:val="24"/>
          <w:szCs w:val="24"/>
        </w:rPr>
        <w:t>.</w:t>
      </w:r>
    </w:p>
    <w:p w14:paraId="64992620" w14:textId="77777777" w:rsidR="00CA7C72" w:rsidRPr="00CA7C72" w:rsidRDefault="00CA7C72" w:rsidP="00CA7C72">
      <w:pPr>
        <w:spacing w:before="240" w:after="0" w:line="240" w:lineRule="auto"/>
        <w:rPr>
          <w:rFonts w:ascii="Times New Roman" w:eastAsia="Calibri" w:hAnsi="Times New Roman" w:cs="Times New Roman"/>
          <w:b/>
          <w:sz w:val="24"/>
          <w:szCs w:val="24"/>
        </w:rPr>
      </w:pPr>
      <w:r w:rsidRPr="00CA7C72">
        <w:rPr>
          <w:rFonts w:ascii="Times New Roman" w:eastAsia="Calibri" w:hAnsi="Times New Roman" w:cs="Times New Roman"/>
          <w:b/>
          <w:sz w:val="24"/>
          <w:szCs w:val="24"/>
        </w:rPr>
        <w:t xml:space="preserve">Section 2 </w:t>
      </w:r>
      <w:r w:rsidRPr="00CA7C72">
        <w:rPr>
          <w:rFonts w:ascii="Times New Roman" w:eastAsia="Calibri" w:hAnsi="Times New Roman" w:cs="Times New Roman"/>
          <w:b/>
          <w:sz w:val="24"/>
          <w:szCs w:val="24"/>
        </w:rPr>
        <w:tab/>
        <w:t>Commencement</w:t>
      </w:r>
    </w:p>
    <w:p w14:paraId="625874E3" w14:textId="696AB00F" w:rsidR="00CA7C72" w:rsidRPr="00CA7C72" w:rsidRDefault="00CA7C72" w:rsidP="00CA7C72">
      <w:pPr>
        <w:spacing w:before="240" w:after="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This section provides for the whole of the Regulation</w:t>
      </w:r>
      <w:r w:rsidR="00A70045">
        <w:rPr>
          <w:rFonts w:ascii="Times New Roman" w:eastAsia="Calibri" w:hAnsi="Times New Roman" w:cs="Times New Roman"/>
          <w:sz w:val="24"/>
          <w:szCs w:val="24"/>
        </w:rPr>
        <w:t>s</w:t>
      </w:r>
      <w:r w:rsidRPr="00CA7C72">
        <w:rPr>
          <w:rFonts w:ascii="Times New Roman" w:eastAsia="Calibri" w:hAnsi="Times New Roman" w:cs="Times New Roman"/>
          <w:sz w:val="24"/>
          <w:szCs w:val="24"/>
        </w:rPr>
        <w:t xml:space="preserve"> to commence on the day after it is registered on the Federal Register of Legislation. </w:t>
      </w:r>
    </w:p>
    <w:p w14:paraId="76890B71" w14:textId="77777777" w:rsidR="00CA7C72" w:rsidRPr="00CA7C72" w:rsidRDefault="00CA7C72" w:rsidP="00CA7C72">
      <w:pPr>
        <w:spacing w:before="240" w:after="0" w:line="240" w:lineRule="auto"/>
        <w:ind w:left="720" w:hanging="720"/>
        <w:rPr>
          <w:rFonts w:ascii="Times New Roman" w:eastAsia="Calibri" w:hAnsi="Times New Roman" w:cs="Times New Roman"/>
          <w:b/>
          <w:sz w:val="24"/>
          <w:szCs w:val="24"/>
        </w:rPr>
      </w:pPr>
      <w:r w:rsidRPr="00CA7C72">
        <w:rPr>
          <w:rFonts w:ascii="Times New Roman" w:eastAsia="Calibri" w:hAnsi="Times New Roman" w:cs="Times New Roman"/>
          <w:b/>
          <w:sz w:val="24"/>
          <w:szCs w:val="24"/>
        </w:rPr>
        <w:t>Section 3</w:t>
      </w:r>
      <w:r w:rsidRPr="00CA7C72">
        <w:rPr>
          <w:rFonts w:ascii="Times New Roman" w:eastAsia="Calibri" w:hAnsi="Times New Roman" w:cs="Times New Roman"/>
          <w:b/>
          <w:sz w:val="24"/>
          <w:szCs w:val="24"/>
        </w:rPr>
        <w:tab/>
        <w:t>Authority</w:t>
      </w:r>
    </w:p>
    <w:p w14:paraId="0288EC3C" w14:textId="15ACCBC1" w:rsidR="00CA7C72" w:rsidRPr="00CA7C72" w:rsidRDefault="00CA7C72" w:rsidP="00CA7C72">
      <w:pPr>
        <w:spacing w:before="240" w:after="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This section provides that the </w:t>
      </w:r>
      <w:r w:rsidR="00A70045">
        <w:rPr>
          <w:rFonts w:ascii="Times New Roman" w:eastAsia="Calibri" w:hAnsi="Times New Roman" w:cs="Times New Roman"/>
          <w:sz w:val="24"/>
          <w:szCs w:val="24"/>
        </w:rPr>
        <w:t>Regulations</w:t>
      </w:r>
      <w:r w:rsidRPr="00CA7C72">
        <w:rPr>
          <w:rFonts w:ascii="Times New Roman" w:eastAsia="Calibri" w:hAnsi="Times New Roman" w:cs="Times New Roman"/>
          <w:sz w:val="24"/>
          <w:szCs w:val="24"/>
        </w:rPr>
        <w:t xml:space="preserve"> </w:t>
      </w:r>
      <w:r w:rsidR="00A70045">
        <w:rPr>
          <w:rFonts w:ascii="Times New Roman" w:eastAsia="Calibri" w:hAnsi="Times New Roman" w:cs="Times New Roman"/>
          <w:sz w:val="24"/>
          <w:szCs w:val="24"/>
        </w:rPr>
        <w:t>are</w:t>
      </w:r>
      <w:r w:rsidRPr="00CA7C72">
        <w:rPr>
          <w:rFonts w:ascii="Times New Roman" w:eastAsia="Calibri" w:hAnsi="Times New Roman" w:cs="Times New Roman"/>
          <w:sz w:val="24"/>
          <w:szCs w:val="24"/>
        </w:rPr>
        <w:t xml:space="preserve"> made under the </w:t>
      </w:r>
      <w:r w:rsidRPr="00CA7C72">
        <w:rPr>
          <w:rFonts w:ascii="Times New Roman" w:eastAsia="Calibri" w:hAnsi="Times New Roman" w:cs="Times New Roman"/>
          <w:i/>
          <w:sz w:val="24"/>
          <w:szCs w:val="24"/>
        </w:rPr>
        <w:t>Legislation</w:t>
      </w:r>
      <w:r w:rsidRPr="00CA7C72">
        <w:rPr>
          <w:rFonts w:ascii="Times New Roman" w:eastAsia="Calibri" w:hAnsi="Times New Roman" w:cs="Times New Roman"/>
          <w:sz w:val="24"/>
          <w:szCs w:val="24"/>
        </w:rPr>
        <w:t> </w:t>
      </w:r>
      <w:r w:rsidRPr="00CA7C72">
        <w:rPr>
          <w:rFonts w:ascii="Times New Roman" w:eastAsia="Calibri" w:hAnsi="Times New Roman" w:cs="Times New Roman"/>
          <w:i/>
          <w:sz w:val="24"/>
          <w:szCs w:val="24"/>
        </w:rPr>
        <w:t>Act 2003</w:t>
      </w:r>
      <w:r w:rsidRPr="00CA7C72">
        <w:rPr>
          <w:rFonts w:ascii="Times New Roman" w:eastAsia="Calibri" w:hAnsi="Times New Roman" w:cs="Times New Roman"/>
          <w:sz w:val="24"/>
          <w:szCs w:val="24"/>
        </w:rPr>
        <w:t xml:space="preserve">.  </w:t>
      </w:r>
    </w:p>
    <w:p w14:paraId="59DB68C7" w14:textId="77777777" w:rsidR="00CA7C72" w:rsidRPr="00CA7C72" w:rsidRDefault="00CA7C72" w:rsidP="00CA7C72">
      <w:pPr>
        <w:spacing w:before="240" w:after="0" w:line="240" w:lineRule="auto"/>
        <w:rPr>
          <w:rFonts w:ascii="Times New Roman" w:eastAsia="Calibri" w:hAnsi="Times New Roman" w:cs="Times New Roman"/>
          <w:b/>
          <w:sz w:val="24"/>
          <w:szCs w:val="24"/>
        </w:rPr>
      </w:pPr>
      <w:r w:rsidRPr="00CA7C72">
        <w:rPr>
          <w:rFonts w:ascii="Times New Roman" w:eastAsia="Calibri" w:hAnsi="Times New Roman" w:cs="Times New Roman"/>
          <w:b/>
          <w:sz w:val="24"/>
          <w:szCs w:val="24"/>
        </w:rPr>
        <w:t>Section 4</w:t>
      </w:r>
      <w:r w:rsidRPr="00CA7C72">
        <w:rPr>
          <w:rFonts w:ascii="Times New Roman" w:eastAsia="Calibri" w:hAnsi="Times New Roman" w:cs="Times New Roman"/>
          <w:b/>
          <w:sz w:val="24"/>
          <w:szCs w:val="24"/>
        </w:rPr>
        <w:tab/>
        <w:t>Schedules</w:t>
      </w:r>
    </w:p>
    <w:p w14:paraId="514F6FDD" w14:textId="0D538EB4" w:rsidR="00CA7C72" w:rsidRPr="00CA7C72" w:rsidRDefault="00CA7C72" w:rsidP="00CA7C72">
      <w:pPr>
        <w:spacing w:before="240" w:after="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This section provides that each instrument that is specified in a Schedule to the </w:t>
      </w:r>
      <w:r w:rsidR="00A70045">
        <w:rPr>
          <w:rFonts w:ascii="Times New Roman" w:eastAsia="Calibri" w:hAnsi="Times New Roman" w:cs="Times New Roman"/>
          <w:sz w:val="24"/>
          <w:szCs w:val="24"/>
        </w:rPr>
        <w:t>Regulations</w:t>
      </w:r>
      <w:r w:rsidRPr="00CA7C72">
        <w:rPr>
          <w:rFonts w:ascii="Times New Roman" w:eastAsia="Calibri" w:hAnsi="Times New Roman" w:cs="Times New Roman"/>
          <w:sz w:val="24"/>
          <w:szCs w:val="24"/>
        </w:rPr>
        <w:t xml:space="preserve"> is amended or repealed as set out in the applicable items in the Schedule concerned, and any other item in a Schedule to the </w:t>
      </w:r>
      <w:r w:rsidR="00A70045">
        <w:rPr>
          <w:rFonts w:ascii="Times New Roman" w:eastAsia="Calibri" w:hAnsi="Times New Roman" w:cs="Times New Roman"/>
          <w:sz w:val="24"/>
          <w:szCs w:val="24"/>
        </w:rPr>
        <w:t>Regulations</w:t>
      </w:r>
      <w:r w:rsidRPr="00CA7C72">
        <w:rPr>
          <w:rFonts w:ascii="Times New Roman" w:eastAsia="Calibri" w:hAnsi="Times New Roman" w:cs="Times New Roman"/>
          <w:sz w:val="24"/>
          <w:szCs w:val="24"/>
        </w:rPr>
        <w:t xml:space="preserve"> has effect according to its terms. </w:t>
      </w:r>
    </w:p>
    <w:p w14:paraId="6F834C65" w14:textId="77777777" w:rsidR="00CA7C72" w:rsidRPr="00CA7C72" w:rsidRDefault="00CA7C72" w:rsidP="00CA7C72">
      <w:pPr>
        <w:spacing w:before="240" w:after="0" w:line="240" w:lineRule="auto"/>
        <w:rPr>
          <w:rFonts w:ascii="Times New Roman" w:eastAsia="Calibri" w:hAnsi="Times New Roman" w:cs="Times New Roman"/>
          <w:b/>
          <w:sz w:val="24"/>
          <w:szCs w:val="24"/>
        </w:rPr>
      </w:pPr>
      <w:r w:rsidRPr="00CA7C72">
        <w:rPr>
          <w:rFonts w:ascii="Times New Roman" w:eastAsia="Calibri" w:hAnsi="Times New Roman" w:cs="Times New Roman"/>
          <w:b/>
          <w:sz w:val="24"/>
          <w:szCs w:val="24"/>
        </w:rPr>
        <w:t>Schedule 1</w:t>
      </w:r>
      <w:r w:rsidRPr="00CA7C72">
        <w:rPr>
          <w:rFonts w:ascii="Times New Roman" w:eastAsia="Calibri" w:hAnsi="Times New Roman" w:cs="Times New Roman"/>
          <w:b/>
          <w:sz w:val="24"/>
          <w:szCs w:val="24"/>
        </w:rPr>
        <w:tab/>
        <w:t xml:space="preserve">Amendments </w:t>
      </w:r>
    </w:p>
    <w:p w14:paraId="1B16BA1A" w14:textId="72AD260B" w:rsidR="00CA7C72" w:rsidRPr="00CA7C72" w:rsidRDefault="00CA7C72" w:rsidP="00CA7C72">
      <w:pPr>
        <w:spacing w:before="240" w:after="0" w:line="240" w:lineRule="auto"/>
        <w:rPr>
          <w:rFonts w:ascii="Times New Roman" w:eastAsia="Calibri" w:hAnsi="Times New Roman" w:cs="Times New Roman"/>
          <w:sz w:val="24"/>
          <w:szCs w:val="24"/>
        </w:rPr>
      </w:pPr>
      <w:r w:rsidRPr="00CA7C72">
        <w:rPr>
          <w:rFonts w:ascii="Times New Roman" w:eastAsia="Calibri" w:hAnsi="Times New Roman" w:cs="Times New Roman"/>
          <w:sz w:val="24"/>
          <w:szCs w:val="24"/>
        </w:rPr>
        <w:t xml:space="preserve">Schedule 1 </w:t>
      </w:r>
      <w:r w:rsidR="00B8427D">
        <w:rPr>
          <w:rFonts w:ascii="Times New Roman" w:eastAsia="Calibri" w:hAnsi="Times New Roman" w:cs="Times New Roman"/>
          <w:sz w:val="24"/>
          <w:szCs w:val="24"/>
        </w:rPr>
        <w:t>to</w:t>
      </w:r>
      <w:r w:rsidR="00B8427D" w:rsidRPr="00CA7C72">
        <w:rPr>
          <w:rFonts w:ascii="Times New Roman" w:eastAsia="Calibri" w:hAnsi="Times New Roman" w:cs="Times New Roman"/>
          <w:sz w:val="24"/>
          <w:szCs w:val="24"/>
        </w:rPr>
        <w:t xml:space="preserve"> </w:t>
      </w:r>
      <w:r w:rsidRPr="00CA7C72">
        <w:rPr>
          <w:rFonts w:ascii="Times New Roman" w:eastAsia="Calibri" w:hAnsi="Times New Roman" w:cs="Times New Roman"/>
          <w:sz w:val="24"/>
          <w:szCs w:val="24"/>
        </w:rPr>
        <w:t xml:space="preserve">the </w:t>
      </w:r>
      <w:r w:rsidR="00A70045">
        <w:rPr>
          <w:rFonts w:ascii="Times New Roman" w:eastAsia="Calibri" w:hAnsi="Times New Roman" w:cs="Times New Roman"/>
          <w:sz w:val="24"/>
          <w:szCs w:val="24"/>
        </w:rPr>
        <w:t>Regulations</w:t>
      </w:r>
      <w:r w:rsidRPr="00CA7C72">
        <w:rPr>
          <w:rFonts w:ascii="Times New Roman" w:eastAsia="Calibri" w:hAnsi="Times New Roman" w:cs="Times New Roman"/>
          <w:sz w:val="24"/>
          <w:szCs w:val="24"/>
        </w:rPr>
        <w:t xml:space="preserve"> amends section 12 of the </w:t>
      </w:r>
      <w:r w:rsidR="008C63DA" w:rsidRPr="008C63DA">
        <w:rPr>
          <w:rFonts w:ascii="Times New Roman" w:eastAsia="Calibri" w:hAnsi="Times New Roman" w:cs="Times New Roman"/>
          <w:i/>
          <w:iCs/>
          <w:sz w:val="24"/>
          <w:szCs w:val="24"/>
        </w:rPr>
        <w:t>Legislation (Exemptions and Other Matters) Regulation 2015</w:t>
      </w:r>
      <w:r w:rsidR="008C63DA" w:rsidRPr="008C63DA">
        <w:rPr>
          <w:rFonts w:ascii="Times New Roman" w:eastAsia="Calibri" w:hAnsi="Times New Roman" w:cs="Times New Roman"/>
          <w:iCs/>
          <w:sz w:val="24"/>
          <w:szCs w:val="24"/>
        </w:rPr>
        <w:t xml:space="preserve"> (the </w:t>
      </w:r>
      <w:r w:rsidR="008C63DA" w:rsidRPr="008C63DA">
        <w:rPr>
          <w:rFonts w:ascii="Times New Roman" w:eastAsia="Calibri" w:hAnsi="Times New Roman" w:cs="Times New Roman"/>
          <w:sz w:val="24"/>
          <w:szCs w:val="24"/>
        </w:rPr>
        <w:t>Principal Regulation)</w:t>
      </w:r>
      <w:r w:rsidR="008C63DA">
        <w:rPr>
          <w:rFonts w:ascii="Times New Roman" w:eastAsia="Calibri" w:hAnsi="Times New Roman" w:cs="Times New Roman"/>
          <w:sz w:val="24"/>
          <w:szCs w:val="24"/>
        </w:rPr>
        <w:t xml:space="preserve"> </w:t>
      </w:r>
      <w:r w:rsidRPr="00CA7C72">
        <w:rPr>
          <w:rFonts w:ascii="Times New Roman" w:eastAsia="Calibri" w:hAnsi="Times New Roman" w:cs="Times New Roman"/>
          <w:sz w:val="24"/>
          <w:szCs w:val="24"/>
        </w:rPr>
        <w:t xml:space="preserve">to insert </w:t>
      </w:r>
      <w:r w:rsidR="001F5C75">
        <w:rPr>
          <w:rFonts w:ascii="Times New Roman" w:eastAsia="Calibri" w:hAnsi="Times New Roman" w:cs="Times New Roman"/>
          <w:sz w:val="24"/>
          <w:szCs w:val="24"/>
        </w:rPr>
        <w:t>a new exemption</w:t>
      </w:r>
      <w:r w:rsidRPr="00CA7C72">
        <w:rPr>
          <w:rFonts w:ascii="Times New Roman" w:eastAsia="Calibri" w:hAnsi="Times New Roman" w:cs="Times New Roman"/>
          <w:sz w:val="24"/>
          <w:szCs w:val="24"/>
        </w:rPr>
        <w:t xml:space="preserve">. Section 12 provides for particular instruments that are not subject to </w:t>
      </w:r>
      <w:proofErr w:type="spellStart"/>
      <w:r w:rsidRPr="00CA7C72">
        <w:rPr>
          <w:rFonts w:ascii="Times New Roman" w:eastAsia="Calibri" w:hAnsi="Times New Roman" w:cs="Times New Roman"/>
          <w:sz w:val="24"/>
          <w:szCs w:val="24"/>
        </w:rPr>
        <w:t>sunsetting</w:t>
      </w:r>
      <w:proofErr w:type="spellEnd"/>
      <w:r w:rsidRPr="00CA7C72">
        <w:rPr>
          <w:rFonts w:ascii="Times New Roman" w:eastAsia="Calibri" w:hAnsi="Times New Roman" w:cs="Times New Roman"/>
          <w:sz w:val="24"/>
          <w:szCs w:val="24"/>
        </w:rPr>
        <w:t xml:space="preserve">. </w:t>
      </w:r>
    </w:p>
    <w:p w14:paraId="51EE3137" w14:textId="6D33DE2F" w:rsidR="001470B3" w:rsidRDefault="001470B3" w:rsidP="001470B3">
      <w:pPr>
        <w:pStyle w:val="Paragraph"/>
        <w:numPr>
          <w:ilvl w:val="0"/>
          <w:numId w:val="0"/>
        </w:numPr>
        <w:tabs>
          <w:tab w:val="left" w:pos="567"/>
        </w:tabs>
      </w:pPr>
      <w:r w:rsidRPr="001470B3">
        <w:rPr>
          <w:b/>
        </w:rPr>
        <w:t>Item 1</w:t>
      </w:r>
      <w:r>
        <w:t xml:space="preserve"> inserts new </w:t>
      </w:r>
      <w:r w:rsidR="00A70045">
        <w:t>item 28A</w:t>
      </w:r>
      <w:r>
        <w:t xml:space="preserve"> into the table under section 12 of the</w:t>
      </w:r>
      <w:r w:rsidR="008C63DA">
        <w:t xml:space="preserve"> Principal Regulation</w:t>
      </w:r>
      <w:r>
        <w:t xml:space="preserve">. New </w:t>
      </w:r>
      <w:r w:rsidR="00762EFF">
        <w:t>item 28A</w:t>
      </w:r>
      <w:r>
        <w:t xml:space="preserve"> provides an exemption from </w:t>
      </w:r>
      <w:proofErr w:type="spellStart"/>
      <w:r>
        <w:t>sunsetting</w:t>
      </w:r>
      <w:proofErr w:type="spellEnd"/>
      <w:r>
        <w:t xml:space="preserve"> for the </w:t>
      </w:r>
      <w:r w:rsidRPr="001F5C75">
        <w:rPr>
          <w:i/>
        </w:rPr>
        <w:t xml:space="preserve">Financial Framework (Supplementary Powers) </w:t>
      </w:r>
      <w:r>
        <w:rPr>
          <w:i/>
        </w:rPr>
        <w:t>Regulations</w:t>
      </w:r>
      <w:r w:rsidRPr="001F5C75">
        <w:rPr>
          <w:i/>
        </w:rPr>
        <w:t xml:space="preserve"> 1997</w:t>
      </w:r>
      <w:r w:rsidR="00217FC3">
        <w:rPr>
          <w:i/>
        </w:rPr>
        <w:t xml:space="preserve"> </w:t>
      </w:r>
      <w:r w:rsidR="00217FC3">
        <w:t xml:space="preserve">(the </w:t>
      </w:r>
      <w:proofErr w:type="gramStart"/>
      <w:r w:rsidR="00217FC3">
        <w:t>FF</w:t>
      </w:r>
      <w:r w:rsidR="006153C0">
        <w:t>(</w:t>
      </w:r>
      <w:proofErr w:type="gramEnd"/>
      <w:r w:rsidR="00217FC3">
        <w:t>SP</w:t>
      </w:r>
      <w:r w:rsidR="006153C0">
        <w:t>)</w:t>
      </w:r>
      <w:r w:rsidR="00217FC3">
        <w:t xml:space="preserve"> Regulations).</w:t>
      </w:r>
    </w:p>
    <w:p w14:paraId="39E2E68B" w14:textId="4645A481" w:rsidR="005875B9" w:rsidRDefault="00217FC3" w:rsidP="001470B3">
      <w:pPr>
        <w:pStyle w:val="Paragraph"/>
        <w:numPr>
          <w:ilvl w:val="0"/>
          <w:numId w:val="0"/>
        </w:numPr>
        <w:tabs>
          <w:tab w:val="left" w:pos="567"/>
        </w:tabs>
      </w:pPr>
      <w:r>
        <w:t xml:space="preserve">The </w:t>
      </w:r>
      <w:proofErr w:type="gramStart"/>
      <w:r>
        <w:t>FF</w:t>
      </w:r>
      <w:r w:rsidR="006153C0">
        <w:t>(</w:t>
      </w:r>
      <w:proofErr w:type="gramEnd"/>
      <w:r>
        <w:t>SP</w:t>
      </w:r>
      <w:r w:rsidR="006153C0">
        <w:t>)</w:t>
      </w:r>
      <w:r w:rsidR="001470B3">
        <w:t xml:space="preserve"> Regulations, made under section 65 of the </w:t>
      </w:r>
      <w:r w:rsidR="001470B3" w:rsidRPr="006F127C">
        <w:rPr>
          <w:i/>
        </w:rPr>
        <w:t>Financial Framework (Supplementary Powers) Act 1997</w:t>
      </w:r>
      <w:r w:rsidR="00BC64D6">
        <w:t>,</w:t>
      </w:r>
      <w:r w:rsidR="001470B3">
        <w:t xml:space="preserve"> provide legislative authority for Commonwealth expenditure on multiple government activities across all portfolios. As at </w:t>
      </w:r>
      <w:r w:rsidR="006153C0">
        <w:t>May</w:t>
      </w:r>
      <w:r w:rsidR="006153C0" w:rsidRPr="008B1B91">
        <w:t xml:space="preserve"> </w:t>
      </w:r>
      <w:r w:rsidR="001470B3" w:rsidRPr="008B1B91">
        <w:t xml:space="preserve">2018, the Schedules to the </w:t>
      </w:r>
      <w:proofErr w:type="gramStart"/>
      <w:r w:rsidR="001470B3" w:rsidRPr="008B1B91">
        <w:t>F</w:t>
      </w:r>
      <w:r>
        <w:t>F</w:t>
      </w:r>
      <w:r w:rsidR="006153C0">
        <w:t>(</w:t>
      </w:r>
      <w:proofErr w:type="gramEnd"/>
      <w:r>
        <w:t>SP</w:t>
      </w:r>
      <w:r w:rsidR="006153C0">
        <w:t>)</w:t>
      </w:r>
      <w:r w:rsidR="001470B3" w:rsidRPr="008B1B91">
        <w:t xml:space="preserve"> Regulations provi</w:t>
      </w:r>
      <w:r w:rsidR="001470B3">
        <w:t xml:space="preserve">ded authority for over </w:t>
      </w:r>
      <w:r w:rsidR="001470B3" w:rsidRPr="008B1B91">
        <w:t>800 arrangements, grants and programs, and for</w:t>
      </w:r>
      <w:r w:rsidR="00B3329E">
        <w:t xml:space="preserve"> the</w:t>
      </w:r>
      <w:r w:rsidR="001470B3" w:rsidRPr="008B1B91">
        <w:t xml:space="preserve"> Commonwealth</w:t>
      </w:r>
      <w:r w:rsidR="00B3329E">
        <w:t xml:space="preserve"> to form, or otherwise be involved in,</w:t>
      </w:r>
      <w:r w:rsidR="001470B3" w:rsidRPr="008B1B91">
        <w:t xml:space="preserve"> approximately 20 companies. </w:t>
      </w:r>
    </w:p>
    <w:p w14:paraId="50B33AFC" w14:textId="52E3B148" w:rsidR="001470B3" w:rsidRDefault="008F62C2" w:rsidP="001470B3">
      <w:pPr>
        <w:pStyle w:val="Paragraph"/>
        <w:numPr>
          <w:ilvl w:val="0"/>
          <w:numId w:val="0"/>
        </w:numPr>
        <w:tabs>
          <w:tab w:val="left" w:pos="567"/>
        </w:tabs>
      </w:pPr>
      <w:r w:rsidRPr="008F62C2">
        <w:t>If the FF</w:t>
      </w:r>
      <w:r w:rsidR="00C94ED8">
        <w:t>(</w:t>
      </w:r>
      <w:r w:rsidRPr="008F62C2">
        <w:t>SP</w:t>
      </w:r>
      <w:r w:rsidR="00C94ED8">
        <w:t>)</w:t>
      </w:r>
      <w:r w:rsidRPr="008F62C2">
        <w:t xml:space="preserve"> Regulations were </w:t>
      </w:r>
      <w:r w:rsidR="0049022A">
        <w:t xml:space="preserve">subject to </w:t>
      </w:r>
      <w:proofErr w:type="spellStart"/>
      <w:r w:rsidR="0049022A">
        <w:t>sunsetting</w:t>
      </w:r>
      <w:proofErr w:type="spellEnd"/>
      <w:r w:rsidRPr="008F62C2">
        <w:t xml:space="preserve">, this would </w:t>
      </w:r>
      <w:r w:rsidR="0049022A">
        <w:t>generate uncertainty about</w:t>
      </w:r>
      <w:r w:rsidRPr="008F62C2">
        <w:t xml:space="preserve"> the </w:t>
      </w:r>
      <w:r w:rsidR="0049022A">
        <w:t xml:space="preserve">continuing operation </w:t>
      </w:r>
      <w:r w:rsidRPr="008F62C2">
        <w:t>of existing contracts and funding agreements</w:t>
      </w:r>
      <w:r w:rsidR="005021A0">
        <w:t xml:space="preserve"> between the Commonwealth and third parties</w:t>
      </w:r>
      <w:r w:rsidRPr="008F62C2">
        <w:t xml:space="preserve">, as well as the Commonwealth’s legislative authority to continue making, varying or administering arrangements, grants and programs. </w:t>
      </w:r>
    </w:p>
    <w:p w14:paraId="06EAC33F" w14:textId="4F37EB56" w:rsidR="002D2FA5" w:rsidRDefault="007671F6" w:rsidP="001470B3">
      <w:pPr>
        <w:pStyle w:val="Paragraph"/>
        <w:numPr>
          <w:ilvl w:val="0"/>
          <w:numId w:val="0"/>
        </w:numPr>
        <w:tabs>
          <w:tab w:val="left" w:pos="567"/>
        </w:tabs>
      </w:pPr>
      <w:r>
        <w:t xml:space="preserve">The operation of the </w:t>
      </w:r>
      <w:proofErr w:type="spellStart"/>
      <w:r>
        <w:t>sunsetting</w:t>
      </w:r>
      <w:proofErr w:type="spellEnd"/>
      <w:r>
        <w:t xml:space="preserve"> framework would require</w:t>
      </w:r>
      <w:r w:rsidR="00CE15BF" w:rsidRPr="009E1FC4">
        <w:t xml:space="preserve"> </w:t>
      </w:r>
      <w:r w:rsidR="009E1FC4" w:rsidRPr="009E1FC4">
        <w:t xml:space="preserve">the </w:t>
      </w:r>
      <w:proofErr w:type="gramStart"/>
      <w:r w:rsidR="009E1FC4">
        <w:t>FF</w:t>
      </w:r>
      <w:r w:rsidR="005021A0">
        <w:t>(</w:t>
      </w:r>
      <w:proofErr w:type="gramEnd"/>
      <w:r w:rsidR="009E1FC4">
        <w:t>SP</w:t>
      </w:r>
      <w:r w:rsidR="005021A0">
        <w:t>)</w:t>
      </w:r>
      <w:r w:rsidR="009E1FC4">
        <w:t xml:space="preserve"> R</w:t>
      </w:r>
      <w:r w:rsidR="009E1FC4" w:rsidRPr="009E1FC4">
        <w:t xml:space="preserve">egulations to </w:t>
      </w:r>
      <w:r w:rsidR="00CE15BF">
        <w:t xml:space="preserve">be reviewed and remade </w:t>
      </w:r>
      <w:r w:rsidR="001470B3">
        <w:t>every 10 years</w:t>
      </w:r>
      <w:r w:rsidR="00894B78">
        <w:t xml:space="preserve"> from 1 April 2019</w:t>
      </w:r>
      <w:r w:rsidR="002D0577">
        <w:t>.</w:t>
      </w:r>
      <w:r w:rsidR="00706B77">
        <w:t xml:space="preserve"> This</w:t>
      </w:r>
      <w:r w:rsidR="001470B3">
        <w:t xml:space="preserve"> </w:t>
      </w:r>
      <w:r w:rsidR="00706B77">
        <w:t>c</w:t>
      </w:r>
      <w:r w:rsidR="001470B3">
        <w:t>ould create significant commercial uncertainty for third parties affected by Commonwealth funding and investment in ongoing programs and projects</w:t>
      </w:r>
      <w:r w:rsidR="00217FC3">
        <w:t xml:space="preserve"> </w:t>
      </w:r>
      <w:r w:rsidR="004E13A8">
        <w:t xml:space="preserve">authorised by the </w:t>
      </w:r>
      <w:proofErr w:type="gramStart"/>
      <w:r w:rsidR="004E13A8">
        <w:t>FF</w:t>
      </w:r>
      <w:r w:rsidR="00EB399B">
        <w:t>(</w:t>
      </w:r>
      <w:proofErr w:type="gramEnd"/>
      <w:r w:rsidR="004E13A8">
        <w:t>SP</w:t>
      </w:r>
      <w:r w:rsidR="00EB399B">
        <w:t>)</w:t>
      </w:r>
      <w:r w:rsidR="004E13A8">
        <w:t xml:space="preserve"> Regulations, particularly those extending beyond 10 years</w:t>
      </w:r>
      <w:r w:rsidR="001470B3">
        <w:t>.</w:t>
      </w:r>
      <w:r w:rsidR="001470B3" w:rsidRPr="00BF54FD">
        <w:t xml:space="preserve"> </w:t>
      </w:r>
      <w:r w:rsidR="002D2FA5">
        <w:t>The following are some examples of these programs and projects.</w:t>
      </w:r>
    </w:p>
    <w:p w14:paraId="7750F85D" w14:textId="72595035" w:rsidR="002D2FA5" w:rsidRDefault="004D5090" w:rsidP="00805B3C">
      <w:pPr>
        <w:pStyle w:val="Paragraph"/>
        <w:numPr>
          <w:ilvl w:val="0"/>
          <w:numId w:val="1"/>
        </w:numPr>
        <w:tabs>
          <w:tab w:val="left" w:pos="709"/>
        </w:tabs>
      </w:pPr>
      <w:r>
        <w:lastRenderedPageBreak/>
        <w:t xml:space="preserve">Item 86 in Part 4 of Schedule 1AB </w:t>
      </w:r>
      <w:r w:rsidR="00805B3C">
        <w:t xml:space="preserve">to </w:t>
      </w:r>
      <w:r w:rsidR="00805B3C" w:rsidRPr="00805B3C">
        <w:t xml:space="preserve">the </w:t>
      </w:r>
      <w:proofErr w:type="gramStart"/>
      <w:r w:rsidR="00805B3C" w:rsidRPr="00805B3C">
        <w:t>FF</w:t>
      </w:r>
      <w:r w:rsidR="007912E3">
        <w:t>(</w:t>
      </w:r>
      <w:proofErr w:type="gramEnd"/>
      <w:r w:rsidR="00805B3C" w:rsidRPr="00805B3C">
        <w:t>SP</w:t>
      </w:r>
      <w:r w:rsidR="007912E3">
        <w:t>)</w:t>
      </w:r>
      <w:r w:rsidR="00805B3C" w:rsidRPr="00805B3C">
        <w:t xml:space="preserve"> Regulations </w:t>
      </w:r>
      <w:r w:rsidR="00741281">
        <w:t xml:space="preserve">provides legislative authority for loans to infrastructure projects. This includes a $2 billion concessional loan for the construction of the </w:t>
      </w:r>
      <w:proofErr w:type="spellStart"/>
      <w:r w:rsidR="00741281">
        <w:t>WestConnex</w:t>
      </w:r>
      <w:proofErr w:type="spellEnd"/>
      <w:r w:rsidR="00741281">
        <w:t xml:space="preserve"> M5 project in Sydney, for which </w:t>
      </w:r>
      <w:r w:rsidR="00886EE0">
        <w:t xml:space="preserve">the Commonwealth is </w:t>
      </w:r>
      <w:r w:rsidR="00F22AB0">
        <w:t xml:space="preserve">a </w:t>
      </w:r>
      <w:r w:rsidR="0021237F">
        <w:t xml:space="preserve">major </w:t>
      </w:r>
      <w:r w:rsidR="00886EE0">
        <w:t xml:space="preserve">financier and the repayment of which is scheduled for late 2029. The </w:t>
      </w:r>
      <w:proofErr w:type="spellStart"/>
      <w:r w:rsidR="00886EE0">
        <w:t>sunsetting</w:t>
      </w:r>
      <w:proofErr w:type="spellEnd"/>
      <w:r w:rsidR="00886EE0">
        <w:t xml:space="preserve"> process would introduce uncertainty about the Commonwealth’s ability to contribute its share of financing and jeopardise contributions from other financiers who expect to receive repayment from future project revenue, which would result in the cessation of the project and flow-on effects to companies contracted to construct and operate the project.</w:t>
      </w:r>
    </w:p>
    <w:p w14:paraId="7854F5A0" w14:textId="09F63A94" w:rsidR="00805B3C" w:rsidRDefault="00805B3C" w:rsidP="00805B3C">
      <w:pPr>
        <w:pStyle w:val="Celltext"/>
        <w:numPr>
          <w:ilvl w:val="0"/>
          <w:numId w:val="1"/>
        </w:numPr>
        <w:spacing w:after="120"/>
      </w:pPr>
      <w:r>
        <w:t xml:space="preserve">Item 191 in Part 4 of Schedule 1AB </w:t>
      </w:r>
      <w:r w:rsidRPr="00805B3C">
        <w:t xml:space="preserve">to the </w:t>
      </w:r>
      <w:proofErr w:type="gramStart"/>
      <w:r w:rsidRPr="00805B3C">
        <w:t>FF</w:t>
      </w:r>
      <w:r w:rsidR="007912E3">
        <w:t>(</w:t>
      </w:r>
      <w:proofErr w:type="gramEnd"/>
      <w:r w:rsidRPr="00805B3C">
        <w:t>SP</w:t>
      </w:r>
      <w:r w:rsidR="007912E3">
        <w:t>)</w:t>
      </w:r>
      <w:r w:rsidRPr="00805B3C">
        <w:t xml:space="preserve"> Regulations </w:t>
      </w:r>
      <w:r>
        <w:t xml:space="preserve">provides legislative authority for the </w:t>
      </w:r>
      <w:r w:rsidRPr="0068740C">
        <w:t>Building Better Regions Fund</w:t>
      </w:r>
      <w:r>
        <w:t xml:space="preserve"> through which 257 projects have been approved, totalling $226.4 million in Commonwealth funding. </w:t>
      </w:r>
      <w:r w:rsidRPr="00110F6D">
        <w:t>Funding for approved projects is provided via a contract between the Commonwealth and successful proponents.</w:t>
      </w:r>
      <w:r>
        <w:t xml:space="preserve"> </w:t>
      </w:r>
      <w:r w:rsidRPr="00772A75">
        <w:t xml:space="preserve">As payments are made in arrears in the majority of instances, </w:t>
      </w:r>
      <w:r>
        <w:t xml:space="preserve">subjecting the </w:t>
      </w:r>
      <w:proofErr w:type="gramStart"/>
      <w:r>
        <w:t>FF</w:t>
      </w:r>
      <w:r w:rsidR="007912E3">
        <w:t>(</w:t>
      </w:r>
      <w:proofErr w:type="gramEnd"/>
      <w:r>
        <w:t>SP</w:t>
      </w:r>
      <w:r w:rsidR="007912E3">
        <w:t>)</w:t>
      </w:r>
      <w:r>
        <w:t xml:space="preserve"> Regulations to </w:t>
      </w:r>
      <w:proofErr w:type="spellStart"/>
      <w:r>
        <w:t>sunsetting</w:t>
      </w:r>
      <w:proofErr w:type="spellEnd"/>
      <w:r>
        <w:t xml:space="preserve"> could cause significant uncertainty regarding </w:t>
      </w:r>
      <w:r w:rsidRPr="00772A75">
        <w:t>payments to be made in respect of milestones reached or projects completed.</w:t>
      </w:r>
      <w:r>
        <w:t xml:space="preserve"> If the </w:t>
      </w:r>
      <w:proofErr w:type="gramStart"/>
      <w:r>
        <w:t>FF</w:t>
      </w:r>
      <w:r w:rsidR="007912E3">
        <w:t>(</w:t>
      </w:r>
      <w:proofErr w:type="gramEnd"/>
      <w:r>
        <w:t>SP</w:t>
      </w:r>
      <w:r w:rsidR="007912E3">
        <w:t>)</w:t>
      </w:r>
      <w:r>
        <w:t xml:space="preserve"> Regulations were to sunset, or remade and disallowed,</w:t>
      </w:r>
      <w:r w:rsidRPr="00772A75">
        <w:t xml:space="preserve"> </w:t>
      </w:r>
      <w:r>
        <w:t>t</w:t>
      </w:r>
      <w:r w:rsidRPr="00772A75">
        <w:t>his could result in regional and remote proponents and suppliers being left in significant debt.</w:t>
      </w:r>
    </w:p>
    <w:p w14:paraId="6E60066A" w14:textId="15BEF92C" w:rsidR="00805B3C" w:rsidRDefault="00805B3C" w:rsidP="00FF5FF6">
      <w:pPr>
        <w:pStyle w:val="Celltext"/>
        <w:numPr>
          <w:ilvl w:val="0"/>
          <w:numId w:val="1"/>
        </w:numPr>
        <w:spacing w:after="120"/>
      </w:pPr>
      <w:r>
        <w:t xml:space="preserve">Item 210 in Part 4 of Schedule 1AB </w:t>
      </w:r>
      <w:r w:rsidR="00FF5FF6" w:rsidRPr="00FF5FF6">
        <w:t xml:space="preserve">to the </w:t>
      </w:r>
      <w:proofErr w:type="gramStart"/>
      <w:r w:rsidR="00FF5FF6" w:rsidRPr="00FF5FF6">
        <w:t>FF</w:t>
      </w:r>
      <w:r w:rsidR="007912E3">
        <w:t>(</w:t>
      </w:r>
      <w:proofErr w:type="gramEnd"/>
      <w:r w:rsidR="00FF5FF6" w:rsidRPr="00FF5FF6">
        <w:t>SP</w:t>
      </w:r>
      <w:r w:rsidR="007912E3">
        <w:t>)</w:t>
      </w:r>
      <w:r w:rsidR="00FF5FF6" w:rsidRPr="00FF5FF6">
        <w:t xml:space="preserve"> Regulations </w:t>
      </w:r>
      <w:r>
        <w:t>provides</w:t>
      </w:r>
      <w:r w:rsidR="00FF5FF6">
        <w:t xml:space="preserve"> legislative</w:t>
      </w:r>
      <w:r>
        <w:t xml:space="preserve"> authority for a </w:t>
      </w:r>
      <w:r w:rsidR="00740166">
        <w:t xml:space="preserve">Commonwealth loan of up to </w:t>
      </w:r>
      <w:r>
        <w:t xml:space="preserve">$19.5 billion to NBN Co Limited. The loan is provided on commercial terms and is required to be repaid with interest by </w:t>
      </w:r>
      <w:r w:rsidRPr="0073357D">
        <w:t>30 June 2021</w:t>
      </w:r>
      <w:r>
        <w:t xml:space="preserve">. </w:t>
      </w:r>
      <w:r w:rsidRPr="00C14B17">
        <w:t xml:space="preserve">The </w:t>
      </w:r>
      <w:proofErr w:type="spellStart"/>
      <w:r w:rsidRPr="00C14B17">
        <w:t>sunsetting</w:t>
      </w:r>
      <w:proofErr w:type="spellEnd"/>
      <w:r w:rsidRPr="00C14B17">
        <w:t xml:space="preserve"> process </w:t>
      </w:r>
      <w:r>
        <w:t>would introduce uncertainty about the future commercial activities of NBN Co Limited and could compromise the rollout of the national broadband network within expected timeframes</w:t>
      </w:r>
      <w:r w:rsidR="00740166">
        <w:t>, which could undermine the Commonwealth’s existing $29.5 billion equity investment in the project</w:t>
      </w:r>
      <w:r>
        <w:t xml:space="preserve">. </w:t>
      </w:r>
    </w:p>
    <w:p w14:paraId="74E3041F" w14:textId="0BAAC343" w:rsidR="003B25E9" w:rsidRDefault="000B635B" w:rsidP="001470B3">
      <w:pPr>
        <w:pStyle w:val="Paragraph"/>
        <w:numPr>
          <w:ilvl w:val="0"/>
          <w:numId w:val="0"/>
        </w:numPr>
        <w:tabs>
          <w:tab w:val="left" w:pos="567"/>
        </w:tabs>
      </w:pPr>
      <w:r>
        <w:t>Additionally, t</w:t>
      </w:r>
      <w:r w:rsidR="001470B3">
        <w:t xml:space="preserve">he </w:t>
      </w:r>
      <w:proofErr w:type="gramStart"/>
      <w:r w:rsidR="008A4D1B">
        <w:t>FF</w:t>
      </w:r>
      <w:r w:rsidR="007912E3">
        <w:t>(</w:t>
      </w:r>
      <w:proofErr w:type="gramEnd"/>
      <w:r w:rsidR="008A4D1B">
        <w:t>SP</w:t>
      </w:r>
      <w:r w:rsidR="007912E3">
        <w:t>)</w:t>
      </w:r>
      <w:r w:rsidR="001470B3">
        <w:t xml:space="preserve"> Regulations </w:t>
      </w:r>
      <w:r w:rsidR="006E6143">
        <w:t>authorise</w:t>
      </w:r>
      <w:r w:rsidR="00CB2C56">
        <w:t xml:space="preserve"> a </w:t>
      </w:r>
      <w:r w:rsidR="001470B3">
        <w:t>number of activities that form pa</w:t>
      </w:r>
      <w:r w:rsidR="008A4D1B">
        <w:t>rt of intergovernmental schemes</w:t>
      </w:r>
      <w:r w:rsidR="000E242C">
        <w:t xml:space="preserve">. </w:t>
      </w:r>
      <w:r w:rsidR="000E242C" w:rsidRPr="000E242C">
        <w:t xml:space="preserve">It would </w:t>
      </w:r>
      <w:r w:rsidR="00497683">
        <w:t xml:space="preserve">not </w:t>
      </w:r>
      <w:r w:rsidR="000E242C" w:rsidRPr="000E242C">
        <w:t>be appropriate for the Commonwealth to unilaterally sunset an instrument that provides authority for Commonwealth funding for activities that are underpinned by an intergovernmental arrangement.</w:t>
      </w:r>
      <w:r w:rsidR="00745569">
        <w:t xml:space="preserve"> </w:t>
      </w:r>
      <w:r w:rsidR="008651D8">
        <w:t xml:space="preserve">Examples of these </w:t>
      </w:r>
      <w:r w:rsidR="003B25E9">
        <w:t xml:space="preserve">activities </w:t>
      </w:r>
      <w:r w:rsidR="009850FC">
        <w:t xml:space="preserve">are </w:t>
      </w:r>
      <w:r w:rsidR="003072C9">
        <w:t>set out</w:t>
      </w:r>
      <w:r w:rsidR="003B25E9">
        <w:t xml:space="preserve"> below.</w:t>
      </w:r>
    </w:p>
    <w:p w14:paraId="670A6C16" w14:textId="3E780E07" w:rsidR="00A1407D" w:rsidRDefault="00A1407D" w:rsidP="00F05652">
      <w:pPr>
        <w:pStyle w:val="Celltext"/>
        <w:numPr>
          <w:ilvl w:val="0"/>
          <w:numId w:val="1"/>
        </w:numPr>
        <w:spacing w:after="120"/>
      </w:pPr>
      <w:r>
        <w:t xml:space="preserve">Item 402.023 in Part 4 of Schedule 1AA </w:t>
      </w:r>
      <w:r w:rsidR="00F05652" w:rsidRPr="00F05652">
        <w:t>to the FF</w:t>
      </w:r>
      <w:r w:rsidR="00C861CF">
        <w:t>(</w:t>
      </w:r>
      <w:r w:rsidR="00F05652" w:rsidRPr="00F05652">
        <w:t>SP</w:t>
      </w:r>
      <w:r w:rsidR="00C861CF">
        <w:t>)</w:t>
      </w:r>
      <w:r w:rsidR="00F05652" w:rsidRPr="00F05652">
        <w:t xml:space="preserve"> Regulations </w:t>
      </w:r>
      <w:r>
        <w:t>provides</w:t>
      </w:r>
      <w:r w:rsidR="00F05652">
        <w:t xml:space="preserve"> legislative</w:t>
      </w:r>
      <w:r>
        <w:t xml:space="preserve"> authority for the Commonwealth to partially fund the </w:t>
      </w:r>
      <w:r w:rsidRPr="00AA3E4C">
        <w:t xml:space="preserve">National Aerial Firefighting Centre Ltd, which </w:t>
      </w:r>
      <w:r w:rsidRPr="00D413C6">
        <w:t xml:space="preserve">is a joint company </w:t>
      </w:r>
      <w:r w:rsidRPr="00BB46C4">
        <w:t xml:space="preserve">for combating bushfires </w:t>
      </w:r>
      <w:r w:rsidRPr="00D413C6">
        <w:t xml:space="preserve">formed by the States and Territories in association with the Australasian Fire and Emergency </w:t>
      </w:r>
      <w:r>
        <w:t>Service Authorities Council Inc</w:t>
      </w:r>
      <w:r w:rsidRPr="00D413C6">
        <w:t>.</w:t>
      </w:r>
      <w:r>
        <w:t xml:space="preserve"> </w:t>
      </w:r>
    </w:p>
    <w:p w14:paraId="15E166DB" w14:textId="02E52BBD" w:rsidR="003B25E9" w:rsidRDefault="00A1407D" w:rsidP="00F05652">
      <w:pPr>
        <w:pStyle w:val="Celltext"/>
        <w:numPr>
          <w:ilvl w:val="0"/>
          <w:numId w:val="1"/>
        </w:numPr>
        <w:spacing w:after="120"/>
      </w:pPr>
      <w:r>
        <w:t xml:space="preserve">Item </w:t>
      </w:r>
      <w:r w:rsidR="001C0690">
        <w:t>171</w:t>
      </w:r>
      <w:r>
        <w:t xml:space="preserve"> in Part 4 of Schedule 1A</w:t>
      </w:r>
      <w:r w:rsidR="001C0690">
        <w:t>B</w:t>
      </w:r>
      <w:r>
        <w:t xml:space="preserve"> </w:t>
      </w:r>
      <w:r w:rsidR="00F05652" w:rsidRPr="00F05652">
        <w:t>to the FF</w:t>
      </w:r>
      <w:r w:rsidR="001C0690">
        <w:t>(</w:t>
      </w:r>
      <w:r w:rsidR="00F05652" w:rsidRPr="00F05652">
        <w:t>SP</w:t>
      </w:r>
      <w:r w:rsidR="001C0690">
        <w:t>)</w:t>
      </w:r>
      <w:r w:rsidR="00F05652" w:rsidRPr="00F05652">
        <w:t xml:space="preserve"> Regulations </w:t>
      </w:r>
      <w:r>
        <w:t>provides</w:t>
      </w:r>
      <w:r w:rsidR="00F05652">
        <w:t xml:space="preserve"> legislative</w:t>
      </w:r>
      <w:r>
        <w:t xml:space="preserve"> authority for the Sustainable Rural Water Use and Infrastructure Program,</w:t>
      </w:r>
      <w:r w:rsidR="00F11B1C">
        <w:t xml:space="preserve"> a national program that</w:t>
      </w:r>
      <w:r>
        <w:t xml:space="preserve"> </w:t>
      </w:r>
      <w:r w:rsidRPr="00001B38">
        <w:t>funds investment in rural water use</w:t>
      </w:r>
      <w:r w:rsidR="00F11B1C">
        <w:t>,</w:t>
      </w:r>
      <w:r w:rsidRPr="00001B38">
        <w:t xml:space="preserve"> management and efficiency</w:t>
      </w:r>
      <w:r w:rsidR="00EC60F9">
        <w:t>, including improved water knowledge and water purchase for the environment</w:t>
      </w:r>
      <w:r>
        <w:t>. Under the Program, the Commonwealth provides funding</w:t>
      </w:r>
      <w:r w:rsidR="00F11B1C">
        <w:t xml:space="preserve"> for a range of projects including</w:t>
      </w:r>
      <w:r>
        <w:t xml:space="preserve"> </w:t>
      </w:r>
      <w:r w:rsidRPr="008215D0">
        <w:t xml:space="preserve">State Priority Projects </w:t>
      </w:r>
      <w:r w:rsidR="00F11B1C">
        <w:t xml:space="preserve">provided for </w:t>
      </w:r>
      <w:r w:rsidRPr="008215D0">
        <w:t xml:space="preserve">under the </w:t>
      </w:r>
      <w:r w:rsidRPr="004A3B1E">
        <w:rPr>
          <w:i/>
        </w:rPr>
        <w:t>Intergovernmental Agreement on Murray-Darling Basin Reform 2008</w:t>
      </w:r>
      <w:r w:rsidR="00F11B1C">
        <w:t xml:space="preserve"> and</w:t>
      </w:r>
      <w:r>
        <w:t xml:space="preserve"> supply measures </w:t>
      </w:r>
      <w:r w:rsidRPr="00D32C08">
        <w:t xml:space="preserve">delivered through the </w:t>
      </w:r>
      <w:r w:rsidRPr="00742B65">
        <w:rPr>
          <w:i/>
        </w:rPr>
        <w:t>Intergovernmental Agreement on Implementing Water Reform in the Murray Darling Basin 2013</w:t>
      </w:r>
      <w:r>
        <w:t xml:space="preserve">. </w:t>
      </w:r>
    </w:p>
    <w:p w14:paraId="03339164" w14:textId="27D6A505" w:rsidR="0034349F" w:rsidRDefault="00B93ACF" w:rsidP="000A215E">
      <w:pPr>
        <w:pStyle w:val="Paragraph"/>
        <w:numPr>
          <w:ilvl w:val="0"/>
          <w:numId w:val="0"/>
        </w:numPr>
        <w:tabs>
          <w:tab w:val="left" w:pos="567"/>
        </w:tabs>
      </w:pPr>
      <w:r>
        <w:t>Furthermore, t</w:t>
      </w:r>
      <w:r w:rsidR="001470B3">
        <w:t xml:space="preserve">he </w:t>
      </w:r>
      <w:proofErr w:type="gramStart"/>
      <w:r w:rsidR="00217FC3">
        <w:t>FF</w:t>
      </w:r>
      <w:r w:rsidR="00501B7E">
        <w:t>(</w:t>
      </w:r>
      <w:proofErr w:type="gramEnd"/>
      <w:r w:rsidR="00217FC3">
        <w:t>SP</w:t>
      </w:r>
      <w:r w:rsidR="00501B7E">
        <w:t>)</w:t>
      </w:r>
      <w:r w:rsidR="001470B3">
        <w:t xml:space="preserve"> Regulations are regularly reviewed and amended to ensure </w:t>
      </w:r>
      <w:r w:rsidR="00266E00">
        <w:t xml:space="preserve">that </w:t>
      </w:r>
      <w:r w:rsidR="001470B3">
        <w:t xml:space="preserve">they </w:t>
      </w:r>
      <w:r w:rsidR="00266E00">
        <w:t xml:space="preserve">continue to </w:t>
      </w:r>
      <w:r w:rsidR="001470B3">
        <w:t>reflect govern</w:t>
      </w:r>
      <w:r w:rsidR="000B635B">
        <w:t>ment priorities</w:t>
      </w:r>
      <w:r w:rsidR="007B70F9">
        <w:t xml:space="preserve"> and remain up to date</w:t>
      </w:r>
      <w:r w:rsidR="000B635B">
        <w:t>.</w:t>
      </w:r>
      <w:r w:rsidR="00D4290F">
        <w:t xml:space="preserve"> In 2017, Schedule 1AB was </w:t>
      </w:r>
      <w:r w:rsidR="00D4290F">
        <w:lastRenderedPageBreak/>
        <w:t xml:space="preserve">amended </w:t>
      </w:r>
      <w:r w:rsidR="001E4A7B">
        <w:t>over 40 times</w:t>
      </w:r>
      <w:r w:rsidR="008751AC">
        <w:t>.</w:t>
      </w:r>
      <w:r w:rsidR="00211EF3">
        <w:t xml:space="preserve"> </w:t>
      </w:r>
      <w:r w:rsidR="008B6C6C">
        <w:t>A</w:t>
      </w:r>
      <w:r w:rsidR="00A26431">
        <w:t xml:space="preserve"> recent </w:t>
      </w:r>
      <w:r w:rsidR="0071246A">
        <w:t xml:space="preserve">substantive </w:t>
      </w:r>
      <w:r w:rsidR="00F056DB">
        <w:t xml:space="preserve">review of the </w:t>
      </w:r>
      <w:proofErr w:type="gramStart"/>
      <w:r w:rsidR="00F056DB">
        <w:t>FF</w:t>
      </w:r>
      <w:r w:rsidR="00DC513E">
        <w:t>(</w:t>
      </w:r>
      <w:proofErr w:type="gramEnd"/>
      <w:r w:rsidR="00F056DB">
        <w:t>SP</w:t>
      </w:r>
      <w:r w:rsidR="00DC513E">
        <w:t>)</w:t>
      </w:r>
      <w:r w:rsidR="00F056DB">
        <w:t xml:space="preserve"> Regulations </w:t>
      </w:r>
      <w:r w:rsidR="0071246A">
        <w:t xml:space="preserve">identified </w:t>
      </w:r>
      <w:r w:rsidR="00FE4F4B">
        <w:t xml:space="preserve">over </w:t>
      </w:r>
      <w:r w:rsidR="00D81865">
        <w:t>16</w:t>
      </w:r>
      <w:r w:rsidR="00FE4F4B">
        <w:t>0</w:t>
      </w:r>
      <w:r w:rsidR="00D81865">
        <w:t xml:space="preserve"> items as redundant or no longer required. Those items were subsequently repealed by the</w:t>
      </w:r>
      <w:r w:rsidR="0099383A">
        <w:t xml:space="preserve"> </w:t>
      </w:r>
      <w:r w:rsidR="00D51640" w:rsidRPr="00D51640">
        <w:rPr>
          <w:i/>
          <w:iCs/>
        </w:rPr>
        <w:t>Financial Framework (Supplementary Powers) Amendment (2018 Measures No. 1) Regulations 2018</w:t>
      </w:r>
      <w:r w:rsidR="0099383A">
        <w:t xml:space="preserve"> </w:t>
      </w:r>
      <w:r w:rsidR="00FE4F4B">
        <w:t xml:space="preserve">which were registered </w:t>
      </w:r>
      <w:r w:rsidR="00D81865">
        <w:t>on 3 April 2018</w:t>
      </w:r>
      <w:r w:rsidR="00FE4F4B">
        <w:t xml:space="preserve"> and will commence on 1 January 2019</w:t>
      </w:r>
      <w:r w:rsidR="00A11B6E">
        <w:t>.</w:t>
      </w:r>
      <w:r w:rsidR="00211EF3">
        <w:t xml:space="preserve"> </w:t>
      </w:r>
    </w:p>
    <w:p w14:paraId="6C5D54C9" w14:textId="2EB6447D" w:rsidR="00FF5427" w:rsidRDefault="007C34D5" w:rsidP="000A215E">
      <w:pPr>
        <w:pStyle w:val="Paragraph"/>
        <w:numPr>
          <w:ilvl w:val="0"/>
          <w:numId w:val="0"/>
        </w:numPr>
        <w:tabs>
          <w:tab w:val="left" w:pos="567"/>
        </w:tabs>
      </w:pPr>
      <w:r>
        <w:t xml:space="preserve">The </w:t>
      </w:r>
      <w:proofErr w:type="gramStart"/>
      <w:r>
        <w:t>FF</w:t>
      </w:r>
      <w:r w:rsidR="007B21CA">
        <w:t>(</w:t>
      </w:r>
      <w:proofErr w:type="gramEnd"/>
      <w:r>
        <w:t>SP</w:t>
      </w:r>
      <w:r w:rsidR="007B21CA">
        <w:t>)</w:t>
      </w:r>
      <w:r>
        <w:t xml:space="preserve"> Regulations are </w:t>
      </w:r>
      <w:r w:rsidR="00825D4A">
        <w:t xml:space="preserve">a </w:t>
      </w:r>
      <w:r>
        <w:t>large and highly complex</w:t>
      </w:r>
      <w:r w:rsidR="00825D4A">
        <w:t xml:space="preserve"> instrument</w:t>
      </w:r>
      <w:r w:rsidR="00CE7E6A">
        <w:t xml:space="preserve"> and</w:t>
      </w:r>
      <w:r w:rsidR="00CB1C6D">
        <w:t xml:space="preserve"> support a significant amount of government spending across multiple activities and portfolios</w:t>
      </w:r>
      <w:r>
        <w:t xml:space="preserve">. </w:t>
      </w:r>
      <w:r w:rsidR="00681198">
        <w:t>Because the</w:t>
      </w:r>
      <w:r w:rsidR="00BC713E">
        <w:t xml:space="preserve"> expenditure authorised by the</w:t>
      </w:r>
      <w:r w:rsidR="00681198">
        <w:t xml:space="preserve"> </w:t>
      </w:r>
      <w:proofErr w:type="gramStart"/>
      <w:r w:rsidR="00681198">
        <w:t>FF</w:t>
      </w:r>
      <w:r w:rsidR="007B21CA">
        <w:t>(</w:t>
      </w:r>
      <w:proofErr w:type="gramEnd"/>
      <w:r w:rsidR="00681198">
        <w:t>SP</w:t>
      </w:r>
      <w:r w:rsidR="007B21CA">
        <w:t>)</w:t>
      </w:r>
      <w:r w:rsidR="00681198">
        <w:t xml:space="preserve"> Regulations affect</w:t>
      </w:r>
      <w:r w:rsidR="00BC713E">
        <w:t>s</w:t>
      </w:r>
      <w:r w:rsidR="00681198">
        <w:t xml:space="preserve"> every Commonwealth portfolio</w:t>
      </w:r>
      <w:r w:rsidR="00F7024C">
        <w:t>,</w:t>
      </w:r>
      <w:r w:rsidR="00BC713E">
        <w:t xml:space="preserve"> </w:t>
      </w:r>
      <w:r w:rsidR="00EF62D2">
        <w:t xml:space="preserve">all of the </w:t>
      </w:r>
      <w:r w:rsidR="00BC713E">
        <w:t xml:space="preserve">States and Territories and </w:t>
      </w:r>
      <w:r w:rsidR="00F40E5C">
        <w:t xml:space="preserve">a </w:t>
      </w:r>
      <w:r w:rsidR="0029511B">
        <w:t>substantial</w:t>
      </w:r>
      <w:r w:rsidR="00BC713E">
        <w:t xml:space="preserve"> </w:t>
      </w:r>
      <w:r w:rsidR="0003646C">
        <w:t>number of</w:t>
      </w:r>
      <w:r w:rsidR="00CC0D78">
        <w:t xml:space="preserve"> </w:t>
      </w:r>
      <w:r w:rsidR="006D48D2">
        <w:t>commercial</w:t>
      </w:r>
      <w:r w:rsidR="00F40E5C">
        <w:t xml:space="preserve"> and non-profit bodies</w:t>
      </w:r>
      <w:r w:rsidR="00CC0D78">
        <w:t>,</w:t>
      </w:r>
      <w:r w:rsidR="00681198">
        <w:t xml:space="preserve"> </w:t>
      </w:r>
      <w:r w:rsidR="00F7024C">
        <w:t>t</w:t>
      </w:r>
      <w:r>
        <w:t xml:space="preserve">he </w:t>
      </w:r>
      <w:r w:rsidR="00211EF3">
        <w:t>administrative burden associated with remaking</w:t>
      </w:r>
      <w:r w:rsidR="004E51D0">
        <w:t xml:space="preserve"> the </w:t>
      </w:r>
      <w:r w:rsidR="00923A04" w:rsidRPr="00923A04">
        <w:t>FF</w:t>
      </w:r>
      <w:r w:rsidR="007B21CA">
        <w:t>(</w:t>
      </w:r>
      <w:r w:rsidR="00923A04" w:rsidRPr="00923A04">
        <w:t>SP</w:t>
      </w:r>
      <w:r w:rsidR="007B21CA">
        <w:t>)</w:t>
      </w:r>
      <w:r w:rsidR="00923A04" w:rsidRPr="00923A04">
        <w:t xml:space="preserve"> Regulations</w:t>
      </w:r>
      <w:r w:rsidR="00923A04" w:rsidRPr="00923A04" w:rsidDel="00923A04">
        <w:t xml:space="preserve"> </w:t>
      </w:r>
      <w:r w:rsidR="00211EF3">
        <w:t>would be</w:t>
      </w:r>
      <w:r w:rsidR="00923A04">
        <w:t xml:space="preserve"> so</w:t>
      </w:r>
      <w:r w:rsidR="00211EF3">
        <w:t xml:space="preserve"> significant</w:t>
      </w:r>
      <w:r w:rsidR="00923A04">
        <w:t xml:space="preserve"> that it </w:t>
      </w:r>
      <w:r w:rsidR="00211EF3">
        <w:t xml:space="preserve">would outweigh any regulatory benefit. </w:t>
      </w:r>
    </w:p>
    <w:p w14:paraId="538A8A59" w14:textId="09E2A983" w:rsidR="000A215E" w:rsidRDefault="00211EF3" w:rsidP="000A215E">
      <w:pPr>
        <w:pStyle w:val="Paragraph"/>
        <w:numPr>
          <w:ilvl w:val="0"/>
          <w:numId w:val="0"/>
        </w:numPr>
        <w:tabs>
          <w:tab w:val="left" w:pos="567"/>
        </w:tabs>
      </w:pPr>
      <w:r>
        <w:t xml:space="preserve">The process </w:t>
      </w:r>
      <w:r w:rsidR="00FA60F8">
        <w:t xml:space="preserve">of remaking the </w:t>
      </w:r>
      <w:proofErr w:type="gramStart"/>
      <w:r w:rsidR="00FA60F8">
        <w:t>FF</w:t>
      </w:r>
      <w:r w:rsidR="007B21CA">
        <w:t>(</w:t>
      </w:r>
      <w:proofErr w:type="gramEnd"/>
      <w:r w:rsidR="00FA60F8">
        <w:t>SP</w:t>
      </w:r>
      <w:r w:rsidR="007B21CA">
        <w:t>)</w:t>
      </w:r>
      <w:r w:rsidR="00FA60F8">
        <w:t xml:space="preserve"> Regulations </w:t>
      </w:r>
      <w:r>
        <w:t xml:space="preserve">would impose a considerable demand </w:t>
      </w:r>
      <w:r w:rsidR="000A215E" w:rsidRPr="001470B3">
        <w:t>on the resources of the Department of Finance, the Office of Parliamentary Counsel, the Office of Constitutional Law, the Australian Government Solicitor and all departments and agencies which administer spending authorised by the F</w:t>
      </w:r>
      <w:r w:rsidR="000A215E">
        <w:t>F</w:t>
      </w:r>
      <w:r w:rsidR="007B21CA">
        <w:t>(</w:t>
      </w:r>
      <w:r w:rsidR="000A215E">
        <w:t>SP</w:t>
      </w:r>
      <w:r w:rsidR="007B21CA">
        <w:t>)</w:t>
      </w:r>
      <w:r w:rsidR="000A215E">
        <w:t xml:space="preserve"> </w:t>
      </w:r>
      <w:r w:rsidR="000A215E" w:rsidRPr="001470B3">
        <w:t>Regulations.</w:t>
      </w:r>
    </w:p>
    <w:p w14:paraId="04EA5552" w14:textId="72F7120B" w:rsidR="00323504" w:rsidRPr="004E51D0" w:rsidRDefault="001470B3" w:rsidP="004E51D0">
      <w:pPr>
        <w:pStyle w:val="Paragraph"/>
        <w:numPr>
          <w:ilvl w:val="0"/>
          <w:numId w:val="0"/>
        </w:numPr>
        <w:tabs>
          <w:tab w:val="left" w:pos="567"/>
        </w:tabs>
      </w:pPr>
      <w:r w:rsidRPr="006F127C">
        <w:t>Accordingly, it is appropriate to exempt the</w:t>
      </w:r>
      <w:r>
        <w:t xml:space="preserve"> </w:t>
      </w:r>
      <w:proofErr w:type="gramStart"/>
      <w:r w:rsidR="004B6370">
        <w:t>FF</w:t>
      </w:r>
      <w:r w:rsidR="007B21CA">
        <w:t>(</w:t>
      </w:r>
      <w:proofErr w:type="gramEnd"/>
      <w:r w:rsidR="004B6370">
        <w:t>SP</w:t>
      </w:r>
      <w:r w:rsidR="007B21CA">
        <w:t>)</w:t>
      </w:r>
      <w:r w:rsidR="004E51D0">
        <w:t xml:space="preserve"> Regulations from </w:t>
      </w:r>
      <w:proofErr w:type="spellStart"/>
      <w:r w:rsidR="004E51D0">
        <w:t>sunsetting</w:t>
      </w:r>
      <w:proofErr w:type="spellEnd"/>
      <w:r w:rsidR="004E51D0">
        <w:t>.</w:t>
      </w:r>
    </w:p>
    <w:sectPr w:rsidR="00323504" w:rsidRPr="004E51D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7EE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BBC"/>
    <w:multiLevelType w:val="hybridMultilevel"/>
    <w:tmpl w:val="48E26B90"/>
    <w:lvl w:ilvl="0" w:tplc="95AA1F46">
      <w:numFmt w:val="bullet"/>
      <w:lvlText w:val=""/>
      <w:lvlJc w:val="left"/>
      <w:pPr>
        <w:ind w:left="720" w:hanging="360"/>
      </w:pPr>
      <w:rPr>
        <w:rFonts w:ascii="Symbol" w:eastAsia="Times New Roman" w:hAnsi="Symbol" w:cs="Times New Roman" w:hint="default"/>
      </w:rPr>
    </w:lvl>
    <w:lvl w:ilvl="1" w:tplc="2F1240C2" w:tentative="1">
      <w:start w:val="1"/>
      <w:numFmt w:val="bullet"/>
      <w:lvlText w:val="o"/>
      <w:lvlJc w:val="left"/>
      <w:pPr>
        <w:ind w:left="1440" w:hanging="360"/>
      </w:pPr>
      <w:rPr>
        <w:rFonts w:ascii="Courier New" w:hAnsi="Courier New" w:cs="Courier New" w:hint="default"/>
      </w:rPr>
    </w:lvl>
    <w:lvl w:ilvl="2" w:tplc="B13A7C80" w:tentative="1">
      <w:start w:val="1"/>
      <w:numFmt w:val="bullet"/>
      <w:lvlText w:val=""/>
      <w:lvlJc w:val="left"/>
      <w:pPr>
        <w:ind w:left="2160" w:hanging="360"/>
      </w:pPr>
      <w:rPr>
        <w:rFonts w:ascii="Wingdings" w:hAnsi="Wingdings" w:hint="default"/>
      </w:rPr>
    </w:lvl>
    <w:lvl w:ilvl="3" w:tplc="B4444D4C" w:tentative="1">
      <w:start w:val="1"/>
      <w:numFmt w:val="bullet"/>
      <w:lvlText w:val=""/>
      <w:lvlJc w:val="left"/>
      <w:pPr>
        <w:ind w:left="2880" w:hanging="360"/>
      </w:pPr>
      <w:rPr>
        <w:rFonts w:ascii="Symbol" w:hAnsi="Symbol" w:hint="default"/>
      </w:rPr>
    </w:lvl>
    <w:lvl w:ilvl="4" w:tplc="D286080C" w:tentative="1">
      <w:start w:val="1"/>
      <w:numFmt w:val="bullet"/>
      <w:lvlText w:val="o"/>
      <w:lvlJc w:val="left"/>
      <w:pPr>
        <w:ind w:left="3600" w:hanging="360"/>
      </w:pPr>
      <w:rPr>
        <w:rFonts w:ascii="Courier New" w:hAnsi="Courier New" w:cs="Courier New" w:hint="default"/>
      </w:rPr>
    </w:lvl>
    <w:lvl w:ilvl="5" w:tplc="2AEA98AE" w:tentative="1">
      <w:start w:val="1"/>
      <w:numFmt w:val="bullet"/>
      <w:lvlText w:val=""/>
      <w:lvlJc w:val="left"/>
      <w:pPr>
        <w:ind w:left="4320" w:hanging="360"/>
      </w:pPr>
      <w:rPr>
        <w:rFonts w:ascii="Wingdings" w:hAnsi="Wingdings" w:hint="default"/>
      </w:rPr>
    </w:lvl>
    <w:lvl w:ilvl="6" w:tplc="E520AC3A" w:tentative="1">
      <w:start w:val="1"/>
      <w:numFmt w:val="bullet"/>
      <w:lvlText w:val=""/>
      <w:lvlJc w:val="left"/>
      <w:pPr>
        <w:ind w:left="5040" w:hanging="360"/>
      </w:pPr>
      <w:rPr>
        <w:rFonts w:ascii="Symbol" w:hAnsi="Symbol" w:hint="default"/>
      </w:rPr>
    </w:lvl>
    <w:lvl w:ilvl="7" w:tplc="A192FFEA" w:tentative="1">
      <w:start w:val="1"/>
      <w:numFmt w:val="bullet"/>
      <w:lvlText w:val="o"/>
      <w:lvlJc w:val="left"/>
      <w:pPr>
        <w:ind w:left="5760" w:hanging="360"/>
      </w:pPr>
      <w:rPr>
        <w:rFonts w:ascii="Courier New" w:hAnsi="Courier New" w:cs="Courier New" w:hint="default"/>
      </w:rPr>
    </w:lvl>
    <w:lvl w:ilvl="8" w:tplc="69BE34E2" w:tentative="1">
      <w:start w:val="1"/>
      <w:numFmt w:val="bullet"/>
      <w:lvlText w:val=""/>
      <w:lvlJc w:val="left"/>
      <w:pPr>
        <w:ind w:left="6480" w:hanging="360"/>
      </w:pPr>
      <w:rPr>
        <w:rFonts w:ascii="Wingdings" w:hAnsi="Wingdings" w:hint="default"/>
      </w:rPr>
    </w:lvl>
  </w:abstractNum>
  <w:abstractNum w:abstractNumId="1">
    <w:nsid w:val="1B24793D"/>
    <w:multiLevelType w:val="hybridMultilevel"/>
    <w:tmpl w:val="D73C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D0316E"/>
    <w:multiLevelType w:val="hybridMultilevel"/>
    <w:tmpl w:val="F3ACB470"/>
    <w:lvl w:ilvl="0" w:tplc="16180626">
      <w:start w:val="1"/>
      <w:numFmt w:val="decimal"/>
      <w:lvlText w:val="%1."/>
      <w:lvlJc w:val="left"/>
      <w:pPr>
        <w:ind w:left="720" w:hanging="360"/>
      </w:pPr>
      <w:rPr>
        <w:rFonts w:hint="default"/>
        <w:b w:val="0"/>
      </w:rPr>
    </w:lvl>
    <w:lvl w:ilvl="1" w:tplc="0C090001">
      <w:start w:val="1"/>
      <w:numFmt w:val="bullet"/>
      <w:lvlText w:val=""/>
      <w:lvlJc w:val="left"/>
      <w:pPr>
        <w:ind w:left="36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236E66"/>
    <w:multiLevelType w:val="hybridMultilevel"/>
    <w:tmpl w:val="17C89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0C3C4C"/>
    <w:multiLevelType w:val="hybridMultilevel"/>
    <w:tmpl w:val="C17E7DE4"/>
    <w:lvl w:ilvl="0" w:tplc="16180626">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 Marina">
    <w15:presenceInfo w15:providerId="AD" w15:userId="S-1-5-21-3116327230-3747694248-558935996-51267"/>
  </w15:person>
  <w15:person w15:author="Suur, Lembit">
    <w15:presenceInfo w15:providerId="AD" w15:userId="S-1-5-21-3116327230-3747694248-558935996-24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72"/>
    <w:rsid w:val="00000AF0"/>
    <w:rsid w:val="00003FAA"/>
    <w:rsid w:val="00013CB3"/>
    <w:rsid w:val="0001417B"/>
    <w:rsid w:val="00035BB8"/>
    <w:rsid w:val="0003646C"/>
    <w:rsid w:val="000448A9"/>
    <w:rsid w:val="000570B7"/>
    <w:rsid w:val="00061969"/>
    <w:rsid w:val="000825FA"/>
    <w:rsid w:val="00082DFB"/>
    <w:rsid w:val="000A0D77"/>
    <w:rsid w:val="000A215E"/>
    <w:rsid w:val="000A7F61"/>
    <w:rsid w:val="000B635B"/>
    <w:rsid w:val="000D0AB5"/>
    <w:rsid w:val="000E242C"/>
    <w:rsid w:val="001114EB"/>
    <w:rsid w:val="001470B3"/>
    <w:rsid w:val="00157661"/>
    <w:rsid w:val="00174678"/>
    <w:rsid w:val="001C0690"/>
    <w:rsid w:val="001D61DF"/>
    <w:rsid w:val="001E4A7B"/>
    <w:rsid w:val="001E580E"/>
    <w:rsid w:val="001F16D5"/>
    <w:rsid w:val="001F2315"/>
    <w:rsid w:val="001F5C75"/>
    <w:rsid w:val="002106C2"/>
    <w:rsid w:val="00211EF3"/>
    <w:rsid w:val="0021237F"/>
    <w:rsid w:val="002178ED"/>
    <w:rsid w:val="00217FC3"/>
    <w:rsid w:val="00233946"/>
    <w:rsid w:val="00266E00"/>
    <w:rsid w:val="00290E2B"/>
    <w:rsid w:val="0029511B"/>
    <w:rsid w:val="002A0F36"/>
    <w:rsid w:val="002C5F84"/>
    <w:rsid w:val="002D0577"/>
    <w:rsid w:val="002D2FA5"/>
    <w:rsid w:val="002D55B3"/>
    <w:rsid w:val="002E0E9F"/>
    <w:rsid w:val="002E7609"/>
    <w:rsid w:val="002F1FAF"/>
    <w:rsid w:val="002F6371"/>
    <w:rsid w:val="00300A4C"/>
    <w:rsid w:val="0030585F"/>
    <w:rsid w:val="003072C9"/>
    <w:rsid w:val="00323504"/>
    <w:rsid w:val="00334871"/>
    <w:rsid w:val="003432A6"/>
    <w:rsid w:val="0034349F"/>
    <w:rsid w:val="00350F77"/>
    <w:rsid w:val="00355D35"/>
    <w:rsid w:val="00357654"/>
    <w:rsid w:val="003670B5"/>
    <w:rsid w:val="00373092"/>
    <w:rsid w:val="00380E46"/>
    <w:rsid w:val="00381DDE"/>
    <w:rsid w:val="003864FB"/>
    <w:rsid w:val="003B0E7B"/>
    <w:rsid w:val="003B25E9"/>
    <w:rsid w:val="003B5823"/>
    <w:rsid w:val="003D118D"/>
    <w:rsid w:val="003D7FBE"/>
    <w:rsid w:val="003F7D95"/>
    <w:rsid w:val="004026BB"/>
    <w:rsid w:val="0040329F"/>
    <w:rsid w:val="004132CD"/>
    <w:rsid w:val="00414136"/>
    <w:rsid w:val="00417F4E"/>
    <w:rsid w:val="00426E55"/>
    <w:rsid w:val="00430AC0"/>
    <w:rsid w:val="00455671"/>
    <w:rsid w:val="00465136"/>
    <w:rsid w:val="0049022A"/>
    <w:rsid w:val="00494AF8"/>
    <w:rsid w:val="00497683"/>
    <w:rsid w:val="004B15B6"/>
    <w:rsid w:val="004B2ABA"/>
    <w:rsid w:val="004B4552"/>
    <w:rsid w:val="004B6370"/>
    <w:rsid w:val="004C236C"/>
    <w:rsid w:val="004C59EB"/>
    <w:rsid w:val="004D2911"/>
    <w:rsid w:val="004D5090"/>
    <w:rsid w:val="004D68E1"/>
    <w:rsid w:val="004E13A8"/>
    <w:rsid w:val="004E51D0"/>
    <w:rsid w:val="004F61A1"/>
    <w:rsid w:val="00501B7E"/>
    <w:rsid w:val="005021A0"/>
    <w:rsid w:val="00504E7F"/>
    <w:rsid w:val="00525DE7"/>
    <w:rsid w:val="005469E8"/>
    <w:rsid w:val="0056460A"/>
    <w:rsid w:val="005875B9"/>
    <w:rsid w:val="00590A9B"/>
    <w:rsid w:val="00592550"/>
    <w:rsid w:val="005F3D57"/>
    <w:rsid w:val="006153C0"/>
    <w:rsid w:val="00622201"/>
    <w:rsid w:val="00622420"/>
    <w:rsid w:val="00643F65"/>
    <w:rsid w:val="00680F11"/>
    <w:rsid w:val="00681198"/>
    <w:rsid w:val="006970E6"/>
    <w:rsid w:val="006B4473"/>
    <w:rsid w:val="006C32D5"/>
    <w:rsid w:val="006D0C86"/>
    <w:rsid w:val="006D48D2"/>
    <w:rsid w:val="006D6BD0"/>
    <w:rsid w:val="006E0FAC"/>
    <w:rsid w:val="006E1586"/>
    <w:rsid w:val="006E6143"/>
    <w:rsid w:val="006E7A81"/>
    <w:rsid w:val="006F127C"/>
    <w:rsid w:val="006F5B5E"/>
    <w:rsid w:val="00706B77"/>
    <w:rsid w:val="0071246A"/>
    <w:rsid w:val="00712D55"/>
    <w:rsid w:val="00725B26"/>
    <w:rsid w:val="007264B9"/>
    <w:rsid w:val="007364EF"/>
    <w:rsid w:val="00740166"/>
    <w:rsid w:val="0074057C"/>
    <w:rsid w:val="00741281"/>
    <w:rsid w:val="007424B9"/>
    <w:rsid w:val="00745569"/>
    <w:rsid w:val="00747245"/>
    <w:rsid w:val="00762EFF"/>
    <w:rsid w:val="007671F6"/>
    <w:rsid w:val="0078027B"/>
    <w:rsid w:val="007810C6"/>
    <w:rsid w:val="007912E3"/>
    <w:rsid w:val="007B21CA"/>
    <w:rsid w:val="007B70F9"/>
    <w:rsid w:val="007C34D5"/>
    <w:rsid w:val="007E7D66"/>
    <w:rsid w:val="00805B3C"/>
    <w:rsid w:val="00825D4A"/>
    <w:rsid w:val="008651D8"/>
    <w:rsid w:val="008751AC"/>
    <w:rsid w:val="00886EE0"/>
    <w:rsid w:val="00894B78"/>
    <w:rsid w:val="008A4D1B"/>
    <w:rsid w:val="008B1B91"/>
    <w:rsid w:val="008B6C6C"/>
    <w:rsid w:val="008C63DA"/>
    <w:rsid w:val="008D3C2D"/>
    <w:rsid w:val="008E2860"/>
    <w:rsid w:val="008F43DA"/>
    <w:rsid w:val="008F62C2"/>
    <w:rsid w:val="0091333B"/>
    <w:rsid w:val="00916777"/>
    <w:rsid w:val="00921900"/>
    <w:rsid w:val="00923A04"/>
    <w:rsid w:val="00935552"/>
    <w:rsid w:val="00941E50"/>
    <w:rsid w:val="009436C7"/>
    <w:rsid w:val="00952EE1"/>
    <w:rsid w:val="009850FC"/>
    <w:rsid w:val="00993089"/>
    <w:rsid w:val="0099383A"/>
    <w:rsid w:val="009A1815"/>
    <w:rsid w:val="009A6E36"/>
    <w:rsid w:val="009B0863"/>
    <w:rsid w:val="009B6D6A"/>
    <w:rsid w:val="009C3C90"/>
    <w:rsid w:val="009E1FC4"/>
    <w:rsid w:val="009F5248"/>
    <w:rsid w:val="00A00902"/>
    <w:rsid w:val="00A03CC6"/>
    <w:rsid w:val="00A11B6E"/>
    <w:rsid w:val="00A1407D"/>
    <w:rsid w:val="00A26431"/>
    <w:rsid w:val="00A32489"/>
    <w:rsid w:val="00A37E0A"/>
    <w:rsid w:val="00A43209"/>
    <w:rsid w:val="00A44E02"/>
    <w:rsid w:val="00A450C2"/>
    <w:rsid w:val="00A70045"/>
    <w:rsid w:val="00A8652F"/>
    <w:rsid w:val="00A90ACD"/>
    <w:rsid w:val="00AA3020"/>
    <w:rsid w:val="00AA3BBA"/>
    <w:rsid w:val="00AA3ED4"/>
    <w:rsid w:val="00AA6B25"/>
    <w:rsid w:val="00B16DCC"/>
    <w:rsid w:val="00B26551"/>
    <w:rsid w:val="00B3329E"/>
    <w:rsid w:val="00B43062"/>
    <w:rsid w:val="00B470BF"/>
    <w:rsid w:val="00B4786F"/>
    <w:rsid w:val="00B5421A"/>
    <w:rsid w:val="00B54BCD"/>
    <w:rsid w:val="00B72560"/>
    <w:rsid w:val="00B778CF"/>
    <w:rsid w:val="00B8427D"/>
    <w:rsid w:val="00B93ACF"/>
    <w:rsid w:val="00B96467"/>
    <w:rsid w:val="00BC54AE"/>
    <w:rsid w:val="00BC64D6"/>
    <w:rsid w:val="00BC713E"/>
    <w:rsid w:val="00BD5FA3"/>
    <w:rsid w:val="00BF40DE"/>
    <w:rsid w:val="00BF54FD"/>
    <w:rsid w:val="00C1372A"/>
    <w:rsid w:val="00C2784F"/>
    <w:rsid w:val="00C56799"/>
    <w:rsid w:val="00C62F64"/>
    <w:rsid w:val="00C6635D"/>
    <w:rsid w:val="00C7677F"/>
    <w:rsid w:val="00C84664"/>
    <w:rsid w:val="00C861CF"/>
    <w:rsid w:val="00C94A5C"/>
    <w:rsid w:val="00C94ED8"/>
    <w:rsid w:val="00CA7C72"/>
    <w:rsid w:val="00CB1C6D"/>
    <w:rsid w:val="00CB2C56"/>
    <w:rsid w:val="00CC0D78"/>
    <w:rsid w:val="00CD52EA"/>
    <w:rsid w:val="00CE15BF"/>
    <w:rsid w:val="00CE58C8"/>
    <w:rsid w:val="00CE7E6A"/>
    <w:rsid w:val="00CF6648"/>
    <w:rsid w:val="00D41B3E"/>
    <w:rsid w:val="00D4290F"/>
    <w:rsid w:val="00D51640"/>
    <w:rsid w:val="00D54C2C"/>
    <w:rsid w:val="00D72A1C"/>
    <w:rsid w:val="00D73AC7"/>
    <w:rsid w:val="00D81865"/>
    <w:rsid w:val="00DA1AA0"/>
    <w:rsid w:val="00DB79E5"/>
    <w:rsid w:val="00DC1D10"/>
    <w:rsid w:val="00DC513E"/>
    <w:rsid w:val="00DF0ABB"/>
    <w:rsid w:val="00DF50F5"/>
    <w:rsid w:val="00E2202F"/>
    <w:rsid w:val="00E259E1"/>
    <w:rsid w:val="00E54CA7"/>
    <w:rsid w:val="00E93982"/>
    <w:rsid w:val="00EA40AE"/>
    <w:rsid w:val="00EB399B"/>
    <w:rsid w:val="00EB5E6F"/>
    <w:rsid w:val="00EC01ED"/>
    <w:rsid w:val="00EC60F9"/>
    <w:rsid w:val="00ED6A20"/>
    <w:rsid w:val="00EE67AA"/>
    <w:rsid w:val="00EE691B"/>
    <w:rsid w:val="00EF62D2"/>
    <w:rsid w:val="00F01039"/>
    <w:rsid w:val="00F02808"/>
    <w:rsid w:val="00F05652"/>
    <w:rsid w:val="00F056DB"/>
    <w:rsid w:val="00F11B1C"/>
    <w:rsid w:val="00F1605D"/>
    <w:rsid w:val="00F22AB0"/>
    <w:rsid w:val="00F24D6D"/>
    <w:rsid w:val="00F40E5C"/>
    <w:rsid w:val="00F627C4"/>
    <w:rsid w:val="00F63050"/>
    <w:rsid w:val="00F7024C"/>
    <w:rsid w:val="00F81619"/>
    <w:rsid w:val="00F9616A"/>
    <w:rsid w:val="00FA60F8"/>
    <w:rsid w:val="00FB0841"/>
    <w:rsid w:val="00FD7A15"/>
    <w:rsid w:val="00FE16B5"/>
    <w:rsid w:val="00FE1CFD"/>
    <w:rsid w:val="00FE4F4B"/>
    <w:rsid w:val="00FE5BEC"/>
    <w:rsid w:val="00FF2922"/>
    <w:rsid w:val="00FF5427"/>
    <w:rsid w:val="00FF5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C72"/>
    <w:rPr>
      <w:sz w:val="16"/>
      <w:szCs w:val="16"/>
    </w:rPr>
  </w:style>
  <w:style w:type="paragraph" w:styleId="CommentText">
    <w:name w:val="annotation text"/>
    <w:basedOn w:val="Normal"/>
    <w:link w:val="CommentTextChar"/>
    <w:uiPriority w:val="99"/>
    <w:unhideWhenUsed/>
    <w:rsid w:val="00CA7C72"/>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7C7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CA7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72"/>
    <w:rPr>
      <w:rFonts w:ascii="Tahoma" w:hAnsi="Tahoma" w:cs="Tahoma"/>
      <w:sz w:val="16"/>
      <w:szCs w:val="16"/>
    </w:rPr>
  </w:style>
  <w:style w:type="paragraph" w:customStyle="1" w:styleId="Paragraph">
    <w:name w:val="Paragraph"/>
    <w:basedOn w:val="Normal"/>
    <w:rsid w:val="001F5C75"/>
    <w:pPr>
      <w:numPr>
        <w:ilvl w:val="12"/>
      </w:numPr>
      <w:spacing w:before="240" w:after="0" w:line="240" w:lineRule="auto"/>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0A0D7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D77"/>
    <w:rPr>
      <w:rFonts w:ascii="Times New Roman" w:eastAsia="Calibri" w:hAnsi="Times New Roman" w:cs="Times New Roman"/>
      <w:b/>
      <w:bCs/>
      <w:sz w:val="20"/>
      <w:szCs w:val="20"/>
    </w:rPr>
  </w:style>
  <w:style w:type="paragraph" w:styleId="ListParagraph">
    <w:name w:val="List Paragraph"/>
    <w:basedOn w:val="Normal"/>
    <w:uiPriority w:val="34"/>
    <w:qFormat/>
    <w:rsid w:val="003B5823"/>
    <w:pPr>
      <w:ind w:left="720"/>
      <w:contextualSpacing/>
    </w:pPr>
  </w:style>
  <w:style w:type="paragraph" w:customStyle="1" w:styleId="Celltext">
    <w:name w:val="Cell text"/>
    <w:basedOn w:val="Normal"/>
    <w:rsid w:val="00805B3C"/>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3B25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C72"/>
    <w:rPr>
      <w:sz w:val="16"/>
      <w:szCs w:val="16"/>
    </w:rPr>
  </w:style>
  <w:style w:type="paragraph" w:styleId="CommentText">
    <w:name w:val="annotation text"/>
    <w:basedOn w:val="Normal"/>
    <w:link w:val="CommentTextChar"/>
    <w:uiPriority w:val="99"/>
    <w:unhideWhenUsed/>
    <w:rsid w:val="00CA7C72"/>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7C7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CA7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72"/>
    <w:rPr>
      <w:rFonts w:ascii="Tahoma" w:hAnsi="Tahoma" w:cs="Tahoma"/>
      <w:sz w:val="16"/>
      <w:szCs w:val="16"/>
    </w:rPr>
  </w:style>
  <w:style w:type="paragraph" w:customStyle="1" w:styleId="Paragraph">
    <w:name w:val="Paragraph"/>
    <w:basedOn w:val="Normal"/>
    <w:rsid w:val="001F5C75"/>
    <w:pPr>
      <w:numPr>
        <w:ilvl w:val="12"/>
      </w:numPr>
      <w:spacing w:before="240" w:after="0" w:line="240" w:lineRule="auto"/>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0A0D7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D77"/>
    <w:rPr>
      <w:rFonts w:ascii="Times New Roman" w:eastAsia="Calibri" w:hAnsi="Times New Roman" w:cs="Times New Roman"/>
      <w:b/>
      <w:bCs/>
      <w:sz w:val="20"/>
      <w:szCs w:val="20"/>
    </w:rPr>
  </w:style>
  <w:style w:type="paragraph" w:styleId="ListParagraph">
    <w:name w:val="List Paragraph"/>
    <w:basedOn w:val="Normal"/>
    <w:uiPriority w:val="34"/>
    <w:qFormat/>
    <w:rsid w:val="003B5823"/>
    <w:pPr>
      <w:ind w:left="720"/>
      <w:contextualSpacing/>
    </w:pPr>
  </w:style>
  <w:style w:type="paragraph" w:customStyle="1" w:styleId="Celltext">
    <w:name w:val="Cell text"/>
    <w:basedOn w:val="Normal"/>
    <w:rsid w:val="00805B3C"/>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3B2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CB2F9-D326-41B1-89FF-928C7D933308}">
  <ds:schemaRefs>
    <ds:schemaRef ds:uri="http://schemas.openxmlformats.org/package/2006/metadata/core-properties"/>
    <ds:schemaRef ds:uri="http://purl.org/dc/dcmitype/"/>
    <ds:schemaRef ds:uri="http://schemas.microsoft.com/office/2006/documentManagement/types"/>
    <ds:schemaRef ds:uri="04225F8A-385D-4D87-957B-3A8238FC7E01"/>
    <ds:schemaRef ds:uri="http://www.w3.org/XML/1998/namespace"/>
    <ds:schemaRef ds:uri="http://purl.org/dc/term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7221B-F6EC-438C-ABCC-8DA21BA61FFE}">
  <ds:schemaRefs>
    <ds:schemaRef ds:uri="http://schemas.microsoft.com/sharepoint/v3/contenttype/forms"/>
  </ds:schemaRefs>
</ds:datastoreItem>
</file>

<file path=customXml/itemProps3.xml><?xml version="1.0" encoding="utf-8"?>
<ds:datastoreItem xmlns:ds="http://schemas.openxmlformats.org/officeDocument/2006/customXml" ds:itemID="{942164F1-EB77-4B3E-A2DE-359BE59FB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11399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stewas</dc:creator>
  <cp:lastModifiedBy>stewas</cp:lastModifiedBy>
  <cp:revision>2</cp:revision>
  <dcterms:created xsi:type="dcterms:W3CDTF">2018-06-07T23:58:00Z</dcterms:created>
  <dcterms:modified xsi:type="dcterms:W3CDTF">2018-06-07T23:58:00Z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