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A24AC" w14:textId="3960213E" w:rsidR="00FE3F5B" w:rsidRDefault="00FE3F5B" w:rsidP="00FE3F5B">
      <w:pPr>
        <w:pStyle w:val="Title"/>
        <w:spacing w:after="240"/>
        <w:rPr>
          <w:szCs w:val="24"/>
          <w:lang w:val="en-GB"/>
        </w:rPr>
      </w:pPr>
      <w:bookmarkStart w:id="0" w:name="_GoBack"/>
      <w:bookmarkEnd w:id="0"/>
      <w:r w:rsidRPr="009C742D">
        <w:rPr>
          <w:szCs w:val="24"/>
          <w:lang w:val="en-GB"/>
        </w:rPr>
        <w:t xml:space="preserve">Australian Prudential Regulation Authority </w:t>
      </w:r>
      <w:r w:rsidR="00CC06F8">
        <w:rPr>
          <w:szCs w:val="24"/>
          <w:lang w:val="en-GB"/>
        </w:rPr>
        <w:t xml:space="preserve">Instrument </w:t>
      </w:r>
      <w:r w:rsidRPr="009C742D">
        <w:rPr>
          <w:szCs w:val="24"/>
          <w:lang w:val="en-GB"/>
        </w:rPr>
        <w:t xml:space="preserve">fixing </w:t>
      </w:r>
      <w:r w:rsidRPr="00C418FB">
        <w:rPr>
          <w:szCs w:val="24"/>
          <w:lang w:val="en-GB"/>
        </w:rPr>
        <w:t>charges</w:t>
      </w:r>
    </w:p>
    <w:p w14:paraId="2E6DC243" w14:textId="523A5B40" w:rsidR="00B0360B" w:rsidRPr="00155511" w:rsidRDefault="00EB6999" w:rsidP="00FE3F5B">
      <w:pPr>
        <w:pStyle w:val="Title"/>
        <w:spacing w:after="240"/>
        <w:rPr>
          <w:rFonts w:ascii="Trebuchet MS" w:hAnsi="Trebuchet MS"/>
          <w:szCs w:val="24"/>
        </w:rPr>
      </w:pPr>
      <w:r>
        <w:rPr>
          <w:szCs w:val="24"/>
          <w:lang w:val="en-GB"/>
        </w:rPr>
        <w:t>No. 4</w:t>
      </w:r>
      <w:r w:rsidR="00760C65">
        <w:rPr>
          <w:szCs w:val="24"/>
          <w:lang w:val="en-GB"/>
        </w:rPr>
        <w:t xml:space="preserve"> of 2018</w:t>
      </w:r>
    </w:p>
    <w:p w14:paraId="43C24DC5" w14:textId="77777777" w:rsidR="00F7119D" w:rsidRPr="00B0459D" w:rsidRDefault="00FB6E89" w:rsidP="00B0459D">
      <w:pPr>
        <w:pStyle w:val="Title"/>
        <w:rPr>
          <w:szCs w:val="24"/>
          <w:u w:val="single"/>
        </w:rPr>
      </w:pPr>
      <w:r w:rsidRPr="00B0459D">
        <w:rPr>
          <w:szCs w:val="24"/>
        </w:rPr>
        <w:t xml:space="preserve">Charges </w:t>
      </w:r>
      <w:r w:rsidR="00FE3F5B">
        <w:rPr>
          <w:szCs w:val="24"/>
        </w:rPr>
        <w:t>to be paid by</w:t>
      </w:r>
      <w:r w:rsidR="00FE3F5B" w:rsidRPr="00B0459D">
        <w:rPr>
          <w:szCs w:val="24"/>
        </w:rPr>
        <w:t xml:space="preserve"> </w:t>
      </w:r>
      <w:r w:rsidRPr="00B0459D">
        <w:rPr>
          <w:szCs w:val="24"/>
        </w:rPr>
        <w:t>representative offices of foreign banks in Australia</w:t>
      </w:r>
    </w:p>
    <w:p w14:paraId="102E58B5" w14:textId="77777777" w:rsidR="00F7119D" w:rsidRPr="00B0459D" w:rsidRDefault="00F7119D">
      <w:pPr>
        <w:pStyle w:val="Title"/>
        <w:rPr>
          <w:szCs w:val="24"/>
          <w:u w:val="single"/>
        </w:rPr>
      </w:pPr>
    </w:p>
    <w:p w14:paraId="5D0DDEEF" w14:textId="77777777" w:rsidR="0057233B" w:rsidRPr="00B0459D" w:rsidRDefault="0057233B">
      <w:pPr>
        <w:pStyle w:val="Title"/>
        <w:rPr>
          <w:szCs w:val="24"/>
          <w:u w:val="single"/>
        </w:rPr>
      </w:pPr>
      <w:r w:rsidRPr="00B0459D">
        <w:rPr>
          <w:szCs w:val="24"/>
          <w:u w:val="single"/>
        </w:rPr>
        <w:t>EXPLANATORY STATEMENT</w:t>
      </w:r>
    </w:p>
    <w:p w14:paraId="782E6617" w14:textId="77777777" w:rsidR="0057233B" w:rsidRPr="00B0459D" w:rsidRDefault="0057233B">
      <w:pPr>
        <w:pStyle w:val="Title"/>
        <w:rPr>
          <w:szCs w:val="24"/>
        </w:rPr>
      </w:pPr>
    </w:p>
    <w:p w14:paraId="270F7672" w14:textId="77777777" w:rsidR="007A0A7B" w:rsidRPr="00B0459D" w:rsidRDefault="001D678C" w:rsidP="00EF4454">
      <w:pPr>
        <w:ind w:firstLine="284"/>
        <w:jc w:val="center"/>
        <w:rPr>
          <w:b/>
          <w:sz w:val="24"/>
          <w:szCs w:val="24"/>
        </w:rPr>
      </w:pPr>
      <w:r w:rsidRPr="00B0459D">
        <w:rPr>
          <w:b/>
          <w:sz w:val="24"/>
          <w:szCs w:val="24"/>
        </w:rPr>
        <w:t xml:space="preserve">Prepared </w:t>
      </w:r>
      <w:r w:rsidR="007A0A7B" w:rsidRPr="00B0459D">
        <w:rPr>
          <w:b/>
          <w:sz w:val="24"/>
          <w:szCs w:val="24"/>
        </w:rPr>
        <w:t>by the Australian Prudential Regulation Authority (APRA)</w:t>
      </w:r>
    </w:p>
    <w:p w14:paraId="173FB115" w14:textId="77777777" w:rsidR="007A0A7B" w:rsidRPr="00B0459D" w:rsidRDefault="007A0A7B" w:rsidP="00EF4454">
      <w:pPr>
        <w:pStyle w:val="Title"/>
        <w:ind w:firstLine="284"/>
        <w:rPr>
          <w:b w:val="0"/>
          <w:i/>
          <w:szCs w:val="24"/>
        </w:rPr>
      </w:pPr>
    </w:p>
    <w:p w14:paraId="017938EA" w14:textId="6A703457" w:rsidR="00724066" w:rsidRPr="004F3FD9" w:rsidRDefault="0057233B" w:rsidP="002306BA">
      <w:pPr>
        <w:ind w:firstLine="142"/>
        <w:jc w:val="center"/>
        <w:rPr>
          <w:i/>
          <w:sz w:val="24"/>
          <w:szCs w:val="24"/>
        </w:rPr>
      </w:pPr>
      <w:r w:rsidRPr="00B0459D">
        <w:rPr>
          <w:i/>
          <w:sz w:val="24"/>
          <w:szCs w:val="24"/>
        </w:rPr>
        <w:t xml:space="preserve">Australian Prudential Regulation Authority Act </w:t>
      </w:r>
      <w:r w:rsidRPr="000115A3">
        <w:rPr>
          <w:i/>
          <w:sz w:val="24"/>
          <w:szCs w:val="24"/>
        </w:rPr>
        <w:t>1998</w:t>
      </w:r>
      <w:r w:rsidRPr="004F3FD9">
        <w:rPr>
          <w:i/>
          <w:sz w:val="24"/>
          <w:szCs w:val="24"/>
        </w:rPr>
        <w:t xml:space="preserve">, </w:t>
      </w:r>
      <w:r w:rsidR="008E2E0D">
        <w:rPr>
          <w:i/>
          <w:sz w:val="24"/>
          <w:szCs w:val="24"/>
        </w:rPr>
        <w:t>Paragraph</w:t>
      </w:r>
      <w:r w:rsidR="000115A3" w:rsidRPr="004F3FD9">
        <w:rPr>
          <w:i/>
          <w:sz w:val="24"/>
          <w:szCs w:val="24"/>
        </w:rPr>
        <w:t xml:space="preserve"> </w:t>
      </w:r>
      <w:r w:rsidR="002306BA">
        <w:rPr>
          <w:i/>
          <w:sz w:val="24"/>
          <w:szCs w:val="24"/>
        </w:rPr>
        <w:t>51</w:t>
      </w:r>
      <w:r w:rsidR="008E2E0D">
        <w:rPr>
          <w:i/>
          <w:sz w:val="24"/>
          <w:szCs w:val="24"/>
        </w:rPr>
        <w:t>(1)</w:t>
      </w:r>
      <w:r w:rsidR="008853D7">
        <w:rPr>
          <w:i/>
          <w:sz w:val="24"/>
          <w:szCs w:val="24"/>
        </w:rPr>
        <w:t>(a)</w:t>
      </w:r>
      <w:r w:rsidR="008E2E0D">
        <w:rPr>
          <w:i/>
          <w:sz w:val="24"/>
          <w:szCs w:val="24"/>
        </w:rPr>
        <w:t>(b)</w:t>
      </w:r>
      <w:r w:rsidR="00B35D17" w:rsidRPr="004F3FD9">
        <w:rPr>
          <w:i/>
          <w:sz w:val="24"/>
          <w:szCs w:val="24"/>
        </w:rPr>
        <w:t xml:space="preserve"> </w:t>
      </w:r>
    </w:p>
    <w:p w14:paraId="22892B06" w14:textId="77777777" w:rsidR="00355137" w:rsidRPr="00B0459D" w:rsidRDefault="00355137" w:rsidP="00313DAE">
      <w:pPr>
        <w:ind w:firstLine="142"/>
        <w:jc w:val="both"/>
        <w:rPr>
          <w:sz w:val="24"/>
          <w:szCs w:val="24"/>
        </w:rPr>
      </w:pPr>
    </w:p>
    <w:p w14:paraId="034439A2" w14:textId="77777777" w:rsidR="0057233B" w:rsidRPr="004F3FD9" w:rsidRDefault="00B35D17" w:rsidP="00236386">
      <w:pPr>
        <w:jc w:val="center"/>
        <w:rPr>
          <w:i/>
          <w:sz w:val="24"/>
          <w:szCs w:val="24"/>
        </w:rPr>
      </w:pPr>
      <w:r w:rsidRPr="00B0459D">
        <w:rPr>
          <w:i/>
          <w:sz w:val="24"/>
          <w:szCs w:val="24"/>
        </w:rPr>
        <w:t xml:space="preserve">Acts Interpretation Act </w:t>
      </w:r>
      <w:r w:rsidRPr="000115A3">
        <w:rPr>
          <w:i/>
          <w:sz w:val="24"/>
          <w:szCs w:val="24"/>
        </w:rPr>
        <w:t>1901</w:t>
      </w:r>
      <w:r w:rsidRPr="004F3FD9">
        <w:rPr>
          <w:i/>
          <w:sz w:val="24"/>
          <w:szCs w:val="24"/>
        </w:rPr>
        <w:t xml:space="preserve">, </w:t>
      </w:r>
      <w:r w:rsidR="00456D1C" w:rsidRPr="004F3FD9">
        <w:rPr>
          <w:i/>
          <w:sz w:val="24"/>
          <w:szCs w:val="24"/>
        </w:rPr>
        <w:t>S</w:t>
      </w:r>
      <w:r w:rsidR="000115A3" w:rsidRPr="004F3FD9">
        <w:rPr>
          <w:i/>
          <w:sz w:val="24"/>
          <w:szCs w:val="24"/>
        </w:rPr>
        <w:t>ub</w:t>
      </w:r>
      <w:r w:rsidR="004F3FD9">
        <w:rPr>
          <w:i/>
          <w:sz w:val="24"/>
          <w:szCs w:val="24"/>
        </w:rPr>
        <w:t>s</w:t>
      </w:r>
      <w:r w:rsidR="00456D1C" w:rsidRPr="004F3FD9">
        <w:rPr>
          <w:i/>
          <w:sz w:val="24"/>
          <w:szCs w:val="24"/>
        </w:rPr>
        <w:t>ection</w:t>
      </w:r>
      <w:r w:rsidRPr="004F3FD9">
        <w:rPr>
          <w:i/>
          <w:sz w:val="24"/>
          <w:szCs w:val="24"/>
        </w:rPr>
        <w:t xml:space="preserve"> 33(3)</w:t>
      </w:r>
    </w:p>
    <w:p w14:paraId="6B63C085" w14:textId="77777777" w:rsidR="0057233B" w:rsidRPr="00B0459D" w:rsidRDefault="0057233B" w:rsidP="007A0A7B">
      <w:pPr>
        <w:pStyle w:val="Title"/>
        <w:ind w:firstLine="284"/>
        <w:jc w:val="left"/>
        <w:rPr>
          <w:szCs w:val="24"/>
        </w:rPr>
      </w:pPr>
    </w:p>
    <w:p w14:paraId="6CDDAD82" w14:textId="5CB13CD9" w:rsidR="00832EF1" w:rsidRPr="00B0459D" w:rsidRDefault="00CC06F8" w:rsidP="006B5A68">
      <w:pPr>
        <w:widowControl w:val="0"/>
        <w:autoSpaceDE w:val="0"/>
        <w:autoSpaceDN w:val="0"/>
        <w:adjustRightInd w:val="0"/>
        <w:spacing w:line="264" w:lineRule="exact"/>
        <w:jc w:val="both"/>
        <w:rPr>
          <w:b/>
          <w:sz w:val="24"/>
          <w:szCs w:val="24"/>
        </w:rPr>
      </w:pPr>
      <w:r>
        <w:rPr>
          <w:b/>
          <w:sz w:val="24"/>
          <w:szCs w:val="24"/>
        </w:rPr>
        <w:t xml:space="preserve">Instrument </w:t>
      </w:r>
      <w:r w:rsidR="00832EF1" w:rsidRPr="00B0459D">
        <w:rPr>
          <w:b/>
          <w:sz w:val="24"/>
          <w:szCs w:val="24"/>
        </w:rPr>
        <w:t>to which this explanatory statement relates</w:t>
      </w:r>
    </w:p>
    <w:p w14:paraId="0F563EDA" w14:textId="77777777" w:rsidR="00832EF1" w:rsidRPr="00B0459D" w:rsidRDefault="00832EF1" w:rsidP="006B5A68">
      <w:pPr>
        <w:jc w:val="both"/>
        <w:rPr>
          <w:sz w:val="24"/>
          <w:szCs w:val="24"/>
        </w:rPr>
      </w:pPr>
    </w:p>
    <w:p w14:paraId="7AB5F6F3" w14:textId="2ED497D0" w:rsidR="00785685" w:rsidRPr="00B0459D" w:rsidRDefault="00785685" w:rsidP="00F67DF3">
      <w:pPr>
        <w:rPr>
          <w:sz w:val="24"/>
          <w:szCs w:val="24"/>
        </w:rPr>
      </w:pPr>
      <w:r w:rsidRPr="00B0459D">
        <w:rPr>
          <w:sz w:val="24"/>
          <w:szCs w:val="24"/>
        </w:rPr>
        <w:t xml:space="preserve">This explanatory statement relates to </w:t>
      </w:r>
      <w:r w:rsidR="00832EF1" w:rsidRPr="00B0459D">
        <w:rPr>
          <w:i/>
          <w:sz w:val="24"/>
          <w:szCs w:val="24"/>
        </w:rPr>
        <w:t xml:space="preserve">Australian Prudential Regulation Authority </w:t>
      </w:r>
      <w:r w:rsidR="00CC06F8">
        <w:rPr>
          <w:i/>
          <w:sz w:val="24"/>
          <w:szCs w:val="24"/>
        </w:rPr>
        <w:t xml:space="preserve">Instrument </w:t>
      </w:r>
      <w:r w:rsidRPr="004F3FD9">
        <w:rPr>
          <w:i/>
          <w:sz w:val="24"/>
          <w:szCs w:val="24"/>
        </w:rPr>
        <w:t xml:space="preserve">fixing charges </w:t>
      </w:r>
      <w:r w:rsidR="00CB4DCC" w:rsidRPr="004F3FD9">
        <w:rPr>
          <w:i/>
          <w:sz w:val="24"/>
          <w:szCs w:val="24"/>
        </w:rPr>
        <w:t xml:space="preserve">No. </w:t>
      </w:r>
      <w:r w:rsidR="00EB6999">
        <w:rPr>
          <w:i/>
          <w:sz w:val="24"/>
          <w:szCs w:val="24"/>
        </w:rPr>
        <w:t>4</w:t>
      </w:r>
      <w:r w:rsidR="00FD36D4" w:rsidRPr="004F3FD9">
        <w:rPr>
          <w:i/>
          <w:sz w:val="24"/>
          <w:szCs w:val="24"/>
        </w:rPr>
        <w:t xml:space="preserve"> </w:t>
      </w:r>
      <w:r w:rsidR="00CB4DCC" w:rsidRPr="004F3FD9">
        <w:rPr>
          <w:i/>
          <w:sz w:val="24"/>
          <w:szCs w:val="24"/>
        </w:rPr>
        <w:t>of 20</w:t>
      </w:r>
      <w:r w:rsidR="006D12AD" w:rsidRPr="004F3FD9">
        <w:rPr>
          <w:i/>
          <w:sz w:val="24"/>
          <w:szCs w:val="24"/>
        </w:rPr>
        <w:t>1</w:t>
      </w:r>
      <w:r w:rsidR="00760C65">
        <w:rPr>
          <w:i/>
          <w:sz w:val="24"/>
          <w:szCs w:val="24"/>
        </w:rPr>
        <w:t>8</w:t>
      </w:r>
      <w:r w:rsidR="00CB4DCC" w:rsidRPr="004F3FD9">
        <w:rPr>
          <w:i/>
          <w:sz w:val="24"/>
          <w:szCs w:val="24"/>
        </w:rPr>
        <w:t xml:space="preserve"> </w:t>
      </w:r>
      <w:r w:rsidRPr="00FE3F5B">
        <w:rPr>
          <w:sz w:val="24"/>
          <w:szCs w:val="24"/>
        </w:rPr>
        <w:t xml:space="preserve">which </w:t>
      </w:r>
      <w:r w:rsidRPr="00B0459D">
        <w:rPr>
          <w:sz w:val="24"/>
          <w:szCs w:val="24"/>
        </w:rPr>
        <w:t xml:space="preserve">is made under </w:t>
      </w:r>
      <w:r w:rsidR="008E2E0D">
        <w:rPr>
          <w:sz w:val="24"/>
          <w:szCs w:val="24"/>
        </w:rPr>
        <w:t>paragraph</w:t>
      </w:r>
      <w:r w:rsidR="004C55EE">
        <w:rPr>
          <w:sz w:val="24"/>
          <w:szCs w:val="24"/>
        </w:rPr>
        <w:t xml:space="preserve"> </w:t>
      </w:r>
      <w:r w:rsidR="00DB1928">
        <w:rPr>
          <w:sz w:val="24"/>
          <w:szCs w:val="24"/>
        </w:rPr>
        <w:t>51</w:t>
      </w:r>
      <w:r w:rsidR="008E2E0D">
        <w:rPr>
          <w:sz w:val="24"/>
          <w:szCs w:val="24"/>
        </w:rPr>
        <w:t>(1)</w:t>
      </w:r>
      <w:r w:rsidR="008853D7">
        <w:rPr>
          <w:sz w:val="24"/>
          <w:szCs w:val="24"/>
        </w:rPr>
        <w:t>(a)</w:t>
      </w:r>
      <w:r w:rsidR="008E2E0D">
        <w:rPr>
          <w:sz w:val="24"/>
          <w:szCs w:val="24"/>
        </w:rPr>
        <w:t>(b)</w:t>
      </w:r>
      <w:r w:rsidRPr="00B0459D">
        <w:rPr>
          <w:sz w:val="24"/>
          <w:szCs w:val="24"/>
        </w:rPr>
        <w:t xml:space="preserve"> of the </w:t>
      </w:r>
      <w:r w:rsidRPr="00B0459D">
        <w:rPr>
          <w:i/>
          <w:sz w:val="24"/>
          <w:szCs w:val="24"/>
        </w:rPr>
        <w:t xml:space="preserve">Australian Prudential Regulation Authority Act 1998 </w:t>
      </w:r>
      <w:r w:rsidRPr="00B0459D">
        <w:rPr>
          <w:sz w:val="24"/>
          <w:szCs w:val="24"/>
        </w:rPr>
        <w:t xml:space="preserve">(the </w:t>
      </w:r>
      <w:r w:rsidRPr="004F3FD9">
        <w:rPr>
          <w:b/>
          <w:sz w:val="24"/>
          <w:szCs w:val="24"/>
        </w:rPr>
        <w:t>APRA Act</w:t>
      </w:r>
      <w:r w:rsidRPr="00B0459D">
        <w:rPr>
          <w:sz w:val="24"/>
          <w:szCs w:val="24"/>
        </w:rPr>
        <w:t xml:space="preserve">) and </w:t>
      </w:r>
      <w:r w:rsidR="00F903A4">
        <w:rPr>
          <w:sz w:val="24"/>
          <w:szCs w:val="24"/>
        </w:rPr>
        <w:t>subs</w:t>
      </w:r>
      <w:r w:rsidR="00456D1C">
        <w:rPr>
          <w:sz w:val="24"/>
          <w:szCs w:val="24"/>
        </w:rPr>
        <w:t>ection</w:t>
      </w:r>
      <w:r w:rsidR="00952D62" w:rsidRPr="00B0459D">
        <w:rPr>
          <w:sz w:val="24"/>
          <w:szCs w:val="24"/>
        </w:rPr>
        <w:t xml:space="preserve"> 33(3) of the </w:t>
      </w:r>
      <w:r w:rsidR="00952D62" w:rsidRPr="00B0459D">
        <w:rPr>
          <w:i/>
          <w:sz w:val="24"/>
          <w:szCs w:val="24"/>
        </w:rPr>
        <w:t>Acts Interpretation Act 1901</w:t>
      </w:r>
      <w:r w:rsidR="00952D62" w:rsidRPr="00B0459D">
        <w:rPr>
          <w:sz w:val="24"/>
          <w:szCs w:val="24"/>
        </w:rPr>
        <w:t xml:space="preserve">, </w:t>
      </w:r>
      <w:r w:rsidR="00FB6E89" w:rsidRPr="00B0459D">
        <w:rPr>
          <w:sz w:val="24"/>
          <w:szCs w:val="24"/>
        </w:rPr>
        <w:t xml:space="preserve">and </w:t>
      </w:r>
      <w:r w:rsidRPr="00B0459D">
        <w:rPr>
          <w:sz w:val="24"/>
          <w:szCs w:val="24"/>
        </w:rPr>
        <w:t xml:space="preserve">dated </w:t>
      </w:r>
      <w:r w:rsidR="00B216AB">
        <w:rPr>
          <w:sz w:val="24"/>
          <w:szCs w:val="24"/>
        </w:rPr>
        <w:t>7</w:t>
      </w:r>
      <w:r w:rsidR="008150F0" w:rsidRPr="00491A1B">
        <w:rPr>
          <w:sz w:val="24"/>
          <w:szCs w:val="24"/>
        </w:rPr>
        <w:t xml:space="preserve"> </w:t>
      </w:r>
      <w:r w:rsidR="00AD5A2B">
        <w:rPr>
          <w:sz w:val="24"/>
          <w:szCs w:val="24"/>
        </w:rPr>
        <w:t>June</w:t>
      </w:r>
      <w:r w:rsidR="00220C30" w:rsidRPr="00B0459D">
        <w:rPr>
          <w:sz w:val="24"/>
          <w:szCs w:val="24"/>
        </w:rPr>
        <w:t xml:space="preserve"> </w:t>
      </w:r>
      <w:r w:rsidR="00FD36D4" w:rsidRPr="00B0459D">
        <w:rPr>
          <w:sz w:val="24"/>
          <w:szCs w:val="24"/>
        </w:rPr>
        <w:t>201</w:t>
      </w:r>
      <w:r w:rsidR="00760C65">
        <w:rPr>
          <w:sz w:val="24"/>
          <w:szCs w:val="24"/>
        </w:rPr>
        <w:t>8</w:t>
      </w:r>
      <w:r w:rsidRPr="00B0459D">
        <w:rPr>
          <w:sz w:val="24"/>
          <w:szCs w:val="24"/>
        </w:rPr>
        <w:t xml:space="preserve"> (</w:t>
      </w:r>
      <w:r w:rsidRPr="004F3FD9">
        <w:rPr>
          <w:b/>
          <w:sz w:val="24"/>
          <w:szCs w:val="24"/>
        </w:rPr>
        <w:t>the</w:t>
      </w:r>
      <w:r w:rsidR="00310775" w:rsidRPr="004F3FD9">
        <w:rPr>
          <w:b/>
          <w:sz w:val="24"/>
          <w:szCs w:val="24"/>
        </w:rPr>
        <w:t xml:space="preserve"> </w:t>
      </w:r>
      <w:r w:rsidR="000115A3">
        <w:rPr>
          <w:b/>
          <w:sz w:val="24"/>
          <w:szCs w:val="24"/>
        </w:rPr>
        <w:t>Instrument</w:t>
      </w:r>
      <w:r w:rsidRPr="00B0459D">
        <w:rPr>
          <w:sz w:val="24"/>
          <w:szCs w:val="24"/>
        </w:rPr>
        <w:t>).</w:t>
      </w:r>
      <w:r w:rsidR="00D0169C" w:rsidRPr="00B0459D">
        <w:rPr>
          <w:sz w:val="24"/>
          <w:szCs w:val="24"/>
        </w:rPr>
        <w:t xml:space="preserve"> </w:t>
      </w:r>
    </w:p>
    <w:p w14:paraId="31CFCC9A" w14:textId="77777777" w:rsidR="00F83127" w:rsidRPr="00B0459D" w:rsidRDefault="00F83127" w:rsidP="00F67DF3">
      <w:pPr>
        <w:rPr>
          <w:b/>
          <w:sz w:val="24"/>
          <w:szCs w:val="24"/>
        </w:rPr>
      </w:pPr>
    </w:p>
    <w:p w14:paraId="0BE90165" w14:textId="1F9E83F5" w:rsidR="00A91B11" w:rsidRPr="00B0459D" w:rsidRDefault="00F83127" w:rsidP="00F67DF3">
      <w:pPr>
        <w:rPr>
          <w:sz w:val="24"/>
          <w:szCs w:val="24"/>
        </w:rPr>
      </w:pPr>
      <w:r w:rsidRPr="00B0459D">
        <w:rPr>
          <w:sz w:val="24"/>
          <w:szCs w:val="24"/>
        </w:rPr>
        <w:t xml:space="preserve">The </w:t>
      </w:r>
      <w:r w:rsidR="00F47248">
        <w:rPr>
          <w:sz w:val="24"/>
          <w:szCs w:val="24"/>
        </w:rPr>
        <w:t>I</w:t>
      </w:r>
      <w:r w:rsidR="00CC06F8">
        <w:rPr>
          <w:sz w:val="24"/>
          <w:szCs w:val="24"/>
        </w:rPr>
        <w:t xml:space="preserve">nstrument </w:t>
      </w:r>
      <w:r w:rsidRPr="00B0459D">
        <w:rPr>
          <w:sz w:val="24"/>
          <w:szCs w:val="24"/>
        </w:rPr>
        <w:t>re</w:t>
      </w:r>
      <w:r w:rsidR="002E1336" w:rsidRPr="00B0459D">
        <w:rPr>
          <w:sz w:val="24"/>
          <w:szCs w:val="24"/>
        </w:rPr>
        <w:t>vokes</w:t>
      </w:r>
      <w:r w:rsidRPr="00B0459D">
        <w:rPr>
          <w:b/>
          <w:sz w:val="24"/>
          <w:szCs w:val="24"/>
        </w:rPr>
        <w:t xml:space="preserve"> </w:t>
      </w:r>
      <w:r w:rsidR="00CC06F8">
        <w:rPr>
          <w:i/>
          <w:sz w:val="24"/>
          <w:szCs w:val="24"/>
        </w:rPr>
        <w:t xml:space="preserve">instrument </w:t>
      </w:r>
      <w:r w:rsidR="00CC06F8" w:rsidRPr="00B0459D">
        <w:rPr>
          <w:i/>
          <w:sz w:val="24"/>
          <w:szCs w:val="24"/>
        </w:rPr>
        <w:t>fixing</w:t>
      </w:r>
      <w:r w:rsidRPr="00B0459D">
        <w:rPr>
          <w:i/>
          <w:sz w:val="24"/>
          <w:szCs w:val="24"/>
        </w:rPr>
        <w:t xml:space="preserve"> </w:t>
      </w:r>
      <w:r w:rsidR="00AA15DB">
        <w:rPr>
          <w:i/>
          <w:sz w:val="24"/>
          <w:szCs w:val="24"/>
        </w:rPr>
        <w:t>c</w:t>
      </w:r>
      <w:r w:rsidRPr="00B0459D">
        <w:rPr>
          <w:i/>
          <w:sz w:val="24"/>
          <w:szCs w:val="24"/>
        </w:rPr>
        <w:t xml:space="preserve">harges No </w:t>
      </w:r>
      <w:r w:rsidR="00967CC7" w:rsidRPr="00B0459D">
        <w:rPr>
          <w:i/>
          <w:sz w:val="24"/>
          <w:szCs w:val="24"/>
        </w:rPr>
        <w:t>2</w:t>
      </w:r>
      <w:r w:rsidRPr="00B0459D">
        <w:rPr>
          <w:i/>
          <w:sz w:val="24"/>
          <w:szCs w:val="24"/>
        </w:rPr>
        <w:t xml:space="preserve"> of 2</w:t>
      </w:r>
      <w:r w:rsidR="00967CC7" w:rsidRPr="00B0459D">
        <w:rPr>
          <w:i/>
          <w:sz w:val="24"/>
          <w:szCs w:val="24"/>
        </w:rPr>
        <w:t>013</w:t>
      </w:r>
      <w:r w:rsidRPr="00B0459D">
        <w:rPr>
          <w:i/>
          <w:sz w:val="24"/>
          <w:szCs w:val="24"/>
        </w:rPr>
        <w:t xml:space="preserve"> </w:t>
      </w:r>
      <w:r w:rsidR="00967CC7" w:rsidRPr="00B0459D">
        <w:rPr>
          <w:i/>
          <w:sz w:val="24"/>
          <w:szCs w:val="24"/>
        </w:rPr>
        <w:t>dated 8 March 2013</w:t>
      </w:r>
      <w:r w:rsidR="00F30D73" w:rsidRPr="00B0459D">
        <w:rPr>
          <w:i/>
          <w:sz w:val="24"/>
          <w:szCs w:val="24"/>
        </w:rPr>
        <w:t xml:space="preserve"> </w:t>
      </w:r>
      <w:r w:rsidR="00A91B11" w:rsidRPr="00B0459D">
        <w:rPr>
          <w:sz w:val="24"/>
          <w:szCs w:val="24"/>
        </w:rPr>
        <w:t>(</w:t>
      </w:r>
      <w:r w:rsidR="00A91B11" w:rsidRPr="004F3FD9">
        <w:rPr>
          <w:b/>
          <w:sz w:val="24"/>
          <w:szCs w:val="24"/>
        </w:rPr>
        <w:t>the re</w:t>
      </w:r>
      <w:r w:rsidR="002E1336" w:rsidRPr="004F3FD9">
        <w:rPr>
          <w:b/>
          <w:sz w:val="24"/>
          <w:szCs w:val="24"/>
        </w:rPr>
        <w:t>voked</w:t>
      </w:r>
      <w:r w:rsidR="00A91B11" w:rsidRPr="004F3FD9">
        <w:rPr>
          <w:b/>
          <w:sz w:val="24"/>
          <w:szCs w:val="24"/>
        </w:rPr>
        <w:t xml:space="preserve"> </w:t>
      </w:r>
      <w:r w:rsidR="000115A3">
        <w:rPr>
          <w:b/>
          <w:sz w:val="24"/>
          <w:szCs w:val="24"/>
        </w:rPr>
        <w:t>Instrument</w:t>
      </w:r>
      <w:r w:rsidR="00F903A4">
        <w:rPr>
          <w:rStyle w:val="FootnoteReference"/>
          <w:b/>
          <w:sz w:val="24"/>
          <w:szCs w:val="24"/>
        </w:rPr>
        <w:footnoteReference w:id="1"/>
      </w:r>
      <w:r w:rsidR="00A91B11" w:rsidRPr="00B0459D">
        <w:rPr>
          <w:sz w:val="24"/>
          <w:szCs w:val="24"/>
        </w:rPr>
        <w:t xml:space="preserve">) </w:t>
      </w:r>
      <w:r w:rsidRPr="00B0459D">
        <w:rPr>
          <w:sz w:val="24"/>
          <w:szCs w:val="24"/>
        </w:rPr>
        <w:t xml:space="preserve">and fixes the charges set out in the Schedule </w:t>
      </w:r>
      <w:r w:rsidR="00B30181" w:rsidRPr="00B0459D">
        <w:rPr>
          <w:sz w:val="24"/>
          <w:szCs w:val="24"/>
        </w:rPr>
        <w:t>of charges</w:t>
      </w:r>
      <w:r w:rsidRPr="00B0459D">
        <w:rPr>
          <w:sz w:val="24"/>
          <w:szCs w:val="24"/>
        </w:rPr>
        <w:t xml:space="preserve">, in respect of applications by foreign banks to APRA for consent to </w:t>
      </w:r>
      <w:r w:rsidR="00E90EBF">
        <w:rPr>
          <w:sz w:val="24"/>
          <w:szCs w:val="24"/>
        </w:rPr>
        <w:t xml:space="preserve">establish or </w:t>
      </w:r>
      <w:r w:rsidRPr="00B0459D">
        <w:rPr>
          <w:sz w:val="24"/>
          <w:szCs w:val="24"/>
        </w:rPr>
        <w:t xml:space="preserve">maintain a representative office in Australia under </w:t>
      </w:r>
      <w:r w:rsidR="002A1A42">
        <w:rPr>
          <w:sz w:val="24"/>
          <w:szCs w:val="24"/>
        </w:rPr>
        <w:t>s</w:t>
      </w:r>
      <w:r w:rsidR="00456D1C">
        <w:rPr>
          <w:sz w:val="24"/>
          <w:szCs w:val="24"/>
        </w:rPr>
        <w:t>ection</w:t>
      </w:r>
      <w:r w:rsidRPr="00B0459D">
        <w:rPr>
          <w:sz w:val="24"/>
          <w:szCs w:val="24"/>
        </w:rPr>
        <w:t xml:space="preserve"> 67 of the </w:t>
      </w:r>
      <w:r w:rsidRPr="00B0459D">
        <w:rPr>
          <w:i/>
          <w:sz w:val="24"/>
          <w:szCs w:val="24"/>
        </w:rPr>
        <w:t>Banking Act 1959</w:t>
      </w:r>
      <w:r w:rsidR="00A91B11" w:rsidRPr="00B0459D">
        <w:rPr>
          <w:i/>
          <w:sz w:val="24"/>
          <w:szCs w:val="24"/>
        </w:rPr>
        <w:t>,</w:t>
      </w:r>
      <w:r w:rsidRPr="00B0459D">
        <w:rPr>
          <w:sz w:val="24"/>
          <w:szCs w:val="24"/>
        </w:rPr>
        <w:t xml:space="preserve"> and for services provided by APRA in monitoring </w:t>
      </w:r>
      <w:r w:rsidR="00443253">
        <w:rPr>
          <w:sz w:val="24"/>
          <w:szCs w:val="24"/>
        </w:rPr>
        <w:t xml:space="preserve">the activities </w:t>
      </w:r>
      <w:r w:rsidRPr="00B0459D">
        <w:rPr>
          <w:sz w:val="24"/>
          <w:szCs w:val="24"/>
        </w:rPr>
        <w:t>of such representative offices in Australia</w:t>
      </w:r>
      <w:r w:rsidR="00E90EBF">
        <w:rPr>
          <w:sz w:val="24"/>
          <w:szCs w:val="24"/>
        </w:rPr>
        <w:t xml:space="preserve"> and compliance with conditions imposed by APRA on the consent</w:t>
      </w:r>
      <w:r w:rsidRPr="00B0459D">
        <w:rPr>
          <w:sz w:val="24"/>
          <w:szCs w:val="24"/>
        </w:rPr>
        <w:t>.</w:t>
      </w:r>
      <w:r w:rsidR="00A91B11" w:rsidRPr="00B0459D">
        <w:rPr>
          <w:sz w:val="24"/>
          <w:szCs w:val="24"/>
        </w:rPr>
        <w:t xml:space="preserve"> </w:t>
      </w:r>
    </w:p>
    <w:p w14:paraId="04E7442E" w14:textId="77777777" w:rsidR="006A4606" w:rsidRPr="00B0459D" w:rsidRDefault="006A4606" w:rsidP="00677C93">
      <w:pPr>
        <w:rPr>
          <w:b/>
          <w:sz w:val="24"/>
          <w:szCs w:val="24"/>
        </w:rPr>
      </w:pPr>
    </w:p>
    <w:p w14:paraId="372F4CF0" w14:textId="77777777" w:rsidR="00542C93" w:rsidRPr="00B0459D" w:rsidRDefault="00E8556C" w:rsidP="00677C93">
      <w:pPr>
        <w:pStyle w:val="ListParagraph"/>
        <w:numPr>
          <w:ilvl w:val="0"/>
          <w:numId w:val="16"/>
        </w:numPr>
        <w:ind w:left="426"/>
        <w:rPr>
          <w:b/>
          <w:sz w:val="24"/>
          <w:szCs w:val="24"/>
        </w:rPr>
      </w:pPr>
      <w:r w:rsidRPr="00B0459D">
        <w:rPr>
          <w:b/>
          <w:sz w:val="24"/>
          <w:szCs w:val="24"/>
        </w:rPr>
        <w:t>Background</w:t>
      </w:r>
    </w:p>
    <w:p w14:paraId="2CA75DD1" w14:textId="77777777" w:rsidR="00F653A7" w:rsidRPr="00B0459D" w:rsidRDefault="00F653A7" w:rsidP="00677C93">
      <w:pPr>
        <w:rPr>
          <w:b/>
          <w:sz w:val="24"/>
          <w:szCs w:val="24"/>
        </w:rPr>
      </w:pPr>
    </w:p>
    <w:p w14:paraId="2BC6F178" w14:textId="77777777" w:rsidR="000C7C61" w:rsidRPr="004F3FD9" w:rsidRDefault="000C7C61" w:rsidP="00F67DF3">
      <w:pPr>
        <w:rPr>
          <w:i/>
          <w:sz w:val="24"/>
          <w:szCs w:val="24"/>
        </w:rPr>
      </w:pPr>
      <w:r w:rsidRPr="004F3FD9">
        <w:rPr>
          <w:i/>
          <w:sz w:val="24"/>
          <w:szCs w:val="24"/>
        </w:rPr>
        <w:t>Legislative Framework</w:t>
      </w:r>
    </w:p>
    <w:p w14:paraId="15E13B94" w14:textId="671FFED8" w:rsidR="00A63DB8" w:rsidRDefault="00A63DB8" w:rsidP="00F67DF3">
      <w:pPr>
        <w:rPr>
          <w:sz w:val="24"/>
          <w:szCs w:val="24"/>
        </w:rPr>
      </w:pPr>
      <w:r w:rsidRPr="00E17D13">
        <w:rPr>
          <w:sz w:val="24"/>
          <w:szCs w:val="24"/>
        </w:rPr>
        <w:t>The APRA Act is administered by APRA. APRA has statutory responsibility for the prudential regulation of most of the superannuation industry, the general, life</w:t>
      </w:r>
      <w:r w:rsidR="006D6730">
        <w:rPr>
          <w:sz w:val="24"/>
          <w:szCs w:val="24"/>
        </w:rPr>
        <w:t xml:space="preserve"> (including friendly s</w:t>
      </w:r>
      <w:r>
        <w:rPr>
          <w:sz w:val="24"/>
          <w:szCs w:val="24"/>
        </w:rPr>
        <w:t>ocieties)</w:t>
      </w:r>
      <w:r w:rsidRPr="00E17D13">
        <w:rPr>
          <w:sz w:val="24"/>
          <w:szCs w:val="24"/>
        </w:rPr>
        <w:t xml:space="preserve"> and private health insurance industries</w:t>
      </w:r>
      <w:r w:rsidR="007C75C2">
        <w:rPr>
          <w:sz w:val="24"/>
          <w:szCs w:val="24"/>
        </w:rPr>
        <w:t>,</w:t>
      </w:r>
      <w:r w:rsidRPr="00E17D13">
        <w:rPr>
          <w:sz w:val="24"/>
          <w:szCs w:val="24"/>
        </w:rPr>
        <w:t xml:space="preserve"> and authorised de</w:t>
      </w:r>
      <w:r>
        <w:rPr>
          <w:sz w:val="24"/>
          <w:szCs w:val="24"/>
        </w:rPr>
        <w:t>posit taking institutions</w:t>
      </w:r>
      <w:r w:rsidRPr="00E17D13">
        <w:rPr>
          <w:sz w:val="24"/>
          <w:szCs w:val="24"/>
        </w:rPr>
        <w:t>, which include</w:t>
      </w:r>
      <w:r w:rsidR="007C75C2">
        <w:rPr>
          <w:sz w:val="24"/>
          <w:szCs w:val="24"/>
        </w:rPr>
        <w:t>s</w:t>
      </w:r>
      <w:r w:rsidRPr="00E17D13">
        <w:rPr>
          <w:sz w:val="24"/>
          <w:szCs w:val="24"/>
        </w:rPr>
        <w:t xml:space="preserve"> banks, building </w:t>
      </w:r>
      <w:r>
        <w:rPr>
          <w:sz w:val="24"/>
          <w:szCs w:val="24"/>
        </w:rPr>
        <w:t>societies and</w:t>
      </w:r>
      <w:r w:rsidRPr="00E17D13">
        <w:rPr>
          <w:sz w:val="24"/>
          <w:szCs w:val="24"/>
        </w:rPr>
        <w:t xml:space="preserve"> credit unions</w:t>
      </w:r>
      <w:r>
        <w:rPr>
          <w:sz w:val="24"/>
          <w:szCs w:val="24"/>
        </w:rPr>
        <w:t>.</w:t>
      </w:r>
    </w:p>
    <w:p w14:paraId="54B8FF17" w14:textId="77777777" w:rsidR="00F47248" w:rsidRPr="00E17D13" w:rsidRDefault="00F47248" w:rsidP="00F67DF3">
      <w:pPr>
        <w:rPr>
          <w:sz w:val="24"/>
          <w:szCs w:val="24"/>
        </w:rPr>
      </w:pPr>
    </w:p>
    <w:p w14:paraId="7CB75A81" w14:textId="6D132284" w:rsidR="000C7C61" w:rsidRPr="00B0459D" w:rsidRDefault="00F16ABC" w:rsidP="00F67DF3">
      <w:pPr>
        <w:pStyle w:val="BodyText2"/>
        <w:spacing w:after="0"/>
        <w:rPr>
          <w:sz w:val="24"/>
          <w:szCs w:val="24"/>
        </w:rPr>
      </w:pPr>
      <w:r>
        <w:rPr>
          <w:sz w:val="24"/>
          <w:szCs w:val="24"/>
        </w:rPr>
        <w:t>Subs</w:t>
      </w:r>
      <w:r w:rsidR="00456D1C">
        <w:rPr>
          <w:sz w:val="24"/>
          <w:szCs w:val="24"/>
        </w:rPr>
        <w:t>ection</w:t>
      </w:r>
      <w:r w:rsidR="000C7C61" w:rsidRPr="00B0459D">
        <w:rPr>
          <w:sz w:val="24"/>
          <w:szCs w:val="24"/>
        </w:rPr>
        <w:t xml:space="preserve"> 51(1) of the APRA </w:t>
      </w:r>
      <w:r w:rsidR="009D7AB8">
        <w:rPr>
          <w:sz w:val="24"/>
          <w:szCs w:val="24"/>
        </w:rPr>
        <w:t>Act provides that APRA may, by L</w:t>
      </w:r>
      <w:r w:rsidR="000C7C61" w:rsidRPr="00B0459D">
        <w:rPr>
          <w:sz w:val="24"/>
          <w:szCs w:val="24"/>
        </w:rPr>
        <w:t xml:space="preserve">egislative </w:t>
      </w:r>
      <w:r w:rsidR="000115A3">
        <w:rPr>
          <w:sz w:val="24"/>
          <w:szCs w:val="24"/>
        </w:rPr>
        <w:t>Instrument</w:t>
      </w:r>
      <w:r w:rsidR="000C7C61" w:rsidRPr="00B0459D">
        <w:rPr>
          <w:sz w:val="24"/>
          <w:szCs w:val="24"/>
        </w:rPr>
        <w:t>, fix charges to be paid to it by persons in respect of:</w:t>
      </w:r>
    </w:p>
    <w:p w14:paraId="2117FA7B" w14:textId="77777777" w:rsidR="000C7C61" w:rsidRPr="00B0459D" w:rsidRDefault="000C7C61" w:rsidP="00F67DF3">
      <w:pPr>
        <w:pStyle w:val="BodyText2"/>
        <w:tabs>
          <w:tab w:val="left" w:pos="426"/>
        </w:tabs>
        <w:spacing w:after="0"/>
        <w:rPr>
          <w:sz w:val="24"/>
          <w:szCs w:val="24"/>
        </w:rPr>
      </w:pPr>
      <w:r w:rsidRPr="00B0459D">
        <w:rPr>
          <w:sz w:val="24"/>
          <w:szCs w:val="24"/>
        </w:rPr>
        <w:t>(a)</w:t>
      </w:r>
      <w:r w:rsidRPr="00B0459D">
        <w:rPr>
          <w:sz w:val="24"/>
          <w:szCs w:val="24"/>
        </w:rPr>
        <w:tab/>
        <w:t>services and facilities which APRA provides to such persons; and</w:t>
      </w:r>
    </w:p>
    <w:p w14:paraId="2FF0FEA7" w14:textId="77777777" w:rsidR="000C7C61" w:rsidRDefault="000C7C61" w:rsidP="00F67DF3">
      <w:pPr>
        <w:pStyle w:val="BodyText2"/>
        <w:tabs>
          <w:tab w:val="left" w:pos="426"/>
        </w:tabs>
        <w:spacing w:after="0"/>
        <w:rPr>
          <w:sz w:val="24"/>
          <w:szCs w:val="24"/>
        </w:rPr>
      </w:pPr>
      <w:r w:rsidRPr="00B0459D">
        <w:rPr>
          <w:sz w:val="24"/>
          <w:szCs w:val="24"/>
        </w:rPr>
        <w:t>(b)</w:t>
      </w:r>
      <w:r w:rsidRPr="00B0459D">
        <w:rPr>
          <w:sz w:val="24"/>
          <w:szCs w:val="24"/>
        </w:rPr>
        <w:tab/>
        <w:t>applications or requests made to APRA under laws of the Commonwealth.</w:t>
      </w:r>
    </w:p>
    <w:p w14:paraId="01F2CD40" w14:textId="77777777" w:rsidR="00F47248" w:rsidRPr="00B0459D" w:rsidRDefault="00F47248" w:rsidP="00F67DF3">
      <w:pPr>
        <w:pStyle w:val="BodyText2"/>
        <w:tabs>
          <w:tab w:val="left" w:pos="426"/>
        </w:tabs>
        <w:spacing w:after="0"/>
        <w:rPr>
          <w:sz w:val="24"/>
          <w:szCs w:val="24"/>
        </w:rPr>
      </w:pPr>
    </w:p>
    <w:p w14:paraId="4B660876" w14:textId="5231897D" w:rsidR="000C7C61" w:rsidRDefault="00F16ABC" w:rsidP="00F67DF3">
      <w:pPr>
        <w:pStyle w:val="BodyText2"/>
        <w:tabs>
          <w:tab w:val="left" w:pos="0"/>
        </w:tabs>
        <w:spacing w:after="0"/>
        <w:rPr>
          <w:sz w:val="24"/>
          <w:szCs w:val="24"/>
        </w:rPr>
      </w:pPr>
      <w:r>
        <w:rPr>
          <w:sz w:val="24"/>
          <w:szCs w:val="24"/>
        </w:rPr>
        <w:t>Subs</w:t>
      </w:r>
      <w:r w:rsidR="00456D1C">
        <w:rPr>
          <w:sz w:val="24"/>
          <w:szCs w:val="24"/>
        </w:rPr>
        <w:t>ection</w:t>
      </w:r>
      <w:r w:rsidR="000C7C61" w:rsidRPr="00B0459D">
        <w:rPr>
          <w:sz w:val="24"/>
          <w:szCs w:val="24"/>
        </w:rPr>
        <w:t xml:space="preserve"> 51(1) also specifies that an </w:t>
      </w:r>
      <w:r w:rsidR="00B42089">
        <w:rPr>
          <w:sz w:val="24"/>
          <w:szCs w:val="24"/>
        </w:rPr>
        <w:t>i</w:t>
      </w:r>
      <w:r w:rsidR="00CC06F8">
        <w:rPr>
          <w:sz w:val="24"/>
          <w:szCs w:val="24"/>
        </w:rPr>
        <w:t xml:space="preserve">nstrument </w:t>
      </w:r>
      <w:r w:rsidR="000C7C61" w:rsidRPr="00B0459D">
        <w:rPr>
          <w:sz w:val="24"/>
          <w:szCs w:val="24"/>
        </w:rPr>
        <w:t xml:space="preserve">fixing charges may provide for the waiver or refund of the charges.  </w:t>
      </w:r>
    </w:p>
    <w:p w14:paraId="5A5F666A" w14:textId="77777777" w:rsidR="00F47248" w:rsidRPr="00B0459D" w:rsidRDefault="00F47248" w:rsidP="00F67DF3">
      <w:pPr>
        <w:pStyle w:val="BodyText2"/>
        <w:tabs>
          <w:tab w:val="left" w:pos="0"/>
        </w:tabs>
        <w:spacing w:after="0"/>
        <w:rPr>
          <w:sz w:val="24"/>
          <w:szCs w:val="24"/>
        </w:rPr>
      </w:pPr>
    </w:p>
    <w:p w14:paraId="245F6EC3" w14:textId="77777777" w:rsidR="000C7C61" w:rsidRPr="00B0459D" w:rsidRDefault="00F16ABC" w:rsidP="00F67DF3">
      <w:pPr>
        <w:pStyle w:val="BodyText2"/>
        <w:tabs>
          <w:tab w:val="left" w:pos="0"/>
        </w:tabs>
        <w:spacing w:after="0"/>
        <w:rPr>
          <w:sz w:val="24"/>
          <w:szCs w:val="24"/>
        </w:rPr>
      </w:pPr>
      <w:r>
        <w:rPr>
          <w:sz w:val="24"/>
          <w:szCs w:val="24"/>
        </w:rPr>
        <w:t>Subs</w:t>
      </w:r>
      <w:r w:rsidR="00456D1C">
        <w:rPr>
          <w:sz w:val="24"/>
          <w:szCs w:val="24"/>
        </w:rPr>
        <w:t>ection</w:t>
      </w:r>
      <w:r w:rsidR="000C7C61" w:rsidRPr="00B0459D">
        <w:rPr>
          <w:sz w:val="24"/>
          <w:szCs w:val="24"/>
        </w:rPr>
        <w:t xml:space="preserve"> 51(2) of the APRA Act provides that a charge fixed under subsection 51(1) must be reasonably related to the costs and expenses incurred or to be incurred in relation to the matters to which the charge relates, and must not be such as to amount to taxation.</w:t>
      </w:r>
    </w:p>
    <w:p w14:paraId="1EBE17A7" w14:textId="77777777" w:rsidR="003962F1" w:rsidRDefault="003962F1" w:rsidP="00677C93">
      <w:pPr>
        <w:pStyle w:val="BodyText2"/>
        <w:tabs>
          <w:tab w:val="left" w:pos="0"/>
        </w:tabs>
        <w:spacing w:before="120" w:after="120"/>
        <w:rPr>
          <w:sz w:val="24"/>
          <w:szCs w:val="24"/>
        </w:rPr>
      </w:pPr>
    </w:p>
    <w:p w14:paraId="7D9E2B05" w14:textId="77777777" w:rsidR="003962F1" w:rsidRDefault="003962F1" w:rsidP="00677C93">
      <w:pPr>
        <w:pStyle w:val="BodyText2"/>
        <w:tabs>
          <w:tab w:val="left" w:pos="0"/>
        </w:tabs>
        <w:spacing w:before="120" w:after="120"/>
        <w:rPr>
          <w:sz w:val="24"/>
          <w:szCs w:val="24"/>
        </w:rPr>
      </w:pPr>
    </w:p>
    <w:p w14:paraId="2786B1F1" w14:textId="56B58C52" w:rsidR="000C7C61" w:rsidRPr="00B0459D" w:rsidRDefault="00F16ABC" w:rsidP="00F67DF3">
      <w:pPr>
        <w:pStyle w:val="BodyText2"/>
        <w:tabs>
          <w:tab w:val="left" w:pos="0"/>
        </w:tabs>
        <w:spacing w:after="0"/>
        <w:rPr>
          <w:sz w:val="24"/>
          <w:szCs w:val="24"/>
        </w:rPr>
      </w:pPr>
      <w:r>
        <w:rPr>
          <w:sz w:val="24"/>
          <w:szCs w:val="24"/>
        </w:rPr>
        <w:t>Subs</w:t>
      </w:r>
      <w:r w:rsidR="00456D1C">
        <w:rPr>
          <w:sz w:val="24"/>
          <w:szCs w:val="24"/>
        </w:rPr>
        <w:t>ection</w:t>
      </w:r>
      <w:r w:rsidR="000C7C61" w:rsidRPr="00B0459D">
        <w:rPr>
          <w:sz w:val="24"/>
          <w:szCs w:val="24"/>
        </w:rPr>
        <w:t xml:space="preserve"> 33(3) of the </w:t>
      </w:r>
      <w:r w:rsidR="000C7C61" w:rsidRPr="00B0459D">
        <w:rPr>
          <w:i/>
          <w:sz w:val="24"/>
          <w:szCs w:val="24"/>
        </w:rPr>
        <w:t>Acts Interpretation Act 1901</w:t>
      </w:r>
      <w:r w:rsidR="000C7C61" w:rsidRPr="00B0459D">
        <w:rPr>
          <w:sz w:val="24"/>
          <w:szCs w:val="24"/>
        </w:rPr>
        <w:t xml:space="preserve"> provides that where an Act confers a power to make, grant or issue any </w:t>
      </w:r>
      <w:r w:rsidR="00B42089">
        <w:rPr>
          <w:sz w:val="24"/>
          <w:szCs w:val="24"/>
        </w:rPr>
        <w:t>i</w:t>
      </w:r>
      <w:r w:rsidR="00CC06F8">
        <w:rPr>
          <w:sz w:val="24"/>
          <w:szCs w:val="24"/>
        </w:rPr>
        <w:t xml:space="preserve">nstrument </w:t>
      </w:r>
      <w:r w:rsidR="000C7C61" w:rsidRPr="00B0459D">
        <w:rPr>
          <w:sz w:val="24"/>
          <w:szCs w:val="24"/>
        </w:rPr>
        <w:t>(including rules, regulations or by</w:t>
      </w:r>
      <w:r w:rsidR="000C7C61" w:rsidRPr="00B0459D">
        <w:rPr>
          <w:sz w:val="24"/>
          <w:szCs w:val="24"/>
        </w:rPr>
        <w:noBreakHyphen/>
        <w:t>laws) the</w:t>
      </w:r>
      <w:r w:rsidR="004F3FD9">
        <w:rPr>
          <w:sz w:val="24"/>
          <w:szCs w:val="24"/>
        </w:rPr>
        <w:t xml:space="preserve"> </w:t>
      </w:r>
      <w:r w:rsidR="000C7C61" w:rsidRPr="00B0459D">
        <w:rPr>
          <w:sz w:val="24"/>
          <w:szCs w:val="24"/>
        </w:rPr>
        <w:t>power shall, unless the contrary intention appears, be</w:t>
      </w:r>
      <w:r w:rsidR="00456D1C">
        <w:rPr>
          <w:sz w:val="24"/>
          <w:szCs w:val="24"/>
        </w:rPr>
        <w:t xml:space="preserve"> construed as including a power exe</w:t>
      </w:r>
      <w:r w:rsidR="000C7C61" w:rsidRPr="00B0459D">
        <w:rPr>
          <w:sz w:val="24"/>
          <w:szCs w:val="24"/>
        </w:rPr>
        <w:t xml:space="preserve">rcisable in the like manner and subject to the like conditions (if any) to repeal, rescind, revoke, amend, or vary any such </w:t>
      </w:r>
      <w:r w:rsidR="004C1B76">
        <w:rPr>
          <w:sz w:val="24"/>
          <w:szCs w:val="24"/>
        </w:rPr>
        <w:t>i</w:t>
      </w:r>
      <w:r w:rsidR="000115A3">
        <w:rPr>
          <w:sz w:val="24"/>
          <w:szCs w:val="24"/>
        </w:rPr>
        <w:t>nstrument</w:t>
      </w:r>
      <w:r w:rsidR="000C7C61" w:rsidRPr="00B0459D">
        <w:rPr>
          <w:sz w:val="24"/>
          <w:szCs w:val="24"/>
        </w:rPr>
        <w:t>.</w:t>
      </w:r>
    </w:p>
    <w:p w14:paraId="756525BE" w14:textId="77777777" w:rsidR="00CA5F73" w:rsidRPr="00B0459D" w:rsidRDefault="00B40F9B" w:rsidP="00F67DF3">
      <w:pPr>
        <w:tabs>
          <w:tab w:val="left" w:pos="2580"/>
        </w:tabs>
        <w:rPr>
          <w:i/>
          <w:sz w:val="24"/>
          <w:szCs w:val="24"/>
        </w:rPr>
      </w:pPr>
      <w:r>
        <w:rPr>
          <w:i/>
          <w:sz w:val="24"/>
          <w:szCs w:val="24"/>
        </w:rPr>
        <w:tab/>
      </w:r>
    </w:p>
    <w:p w14:paraId="4465D6E5" w14:textId="4A12CE53" w:rsidR="00542C93" w:rsidRPr="004C1B76" w:rsidRDefault="00E8556C" w:rsidP="004C1B76">
      <w:pPr>
        <w:pStyle w:val="ListParagraph"/>
        <w:numPr>
          <w:ilvl w:val="0"/>
          <w:numId w:val="16"/>
        </w:numPr>
        <w:ind w:left="284"/>
        <w:jc w:val="both"/>
        <w:rPr>
          <w:b/>
          <w:sz w:val="24"/>
          <w:szCs w:val="24"/>
        </w:rPr>
      </w:pPr>
      <w:r w:rsidRPr="004C1B76">
        <w:rPr>
          <w:b/>
          <w:sz w:val="24"/>
          <w:szCs w:val="24"/>
        </w:rPr>
        <w:t xml:space="preserve">Purpose </w:t>
      </w:r>
      <w:r w:rsidR="00D16A78" w:rsidRPr="004C1B76">
        <w:rPr>
          <w:b/>
          <w:sz w:val="24"/>
          <w:szCs w:val="24"/>
        </w:rPr>
        <w:t xml:space="preserve">and operation </w:t>
      </w:r>
      <w:r w:rsidRPr="004C1B76">
        <w:rPr>
          <w:b/>
          <w:sz w:val="24"/>
          <w:szCs w:val="24"/>
        </w:rPr>
        <w:t xml:space="preserve">of the </w:t>
      </w:r>
      <w:r w:rsidR="000115A3" w:rsidRPr="004C1B76">
        <w:rPr>
          <w:b/>
          <w:sz w:val="24"/>
          <w:szCs w:val="24"/>
        </w:rPr>
        <w:t>Instrument</w:t>
      </w:r>
    </w:p>
    <w:p w14:paraId="11F1E630" w14:textId="77777777" w:rsidR="00CA0E4F" w:rsidRPr="00B0459D" w:rsidRDefault="00CA0E4F" w:rsidP="006B5A68">
      <w:pPr>
        <w:jc w:val="both"/>
        <w:rPr>
          <w:b/>
          <w:sz w:val="24"/>
          <w:szCs w:val="24"/>
        </w:rPr>
      </w:pPr>
    </w:p>
    <w:p w14:paraId="08186E7F" w14:textId="67D3C933" w:rsidR="000115A3" w:rsidRDefault="006425BF" w:rsidP="00F67DF3">
      <w:pPr>
        <w:pStyle w:val="ListParagraph"/>
        <w:widowControl w:val="0"/>
        <w:tabs>
          <w:tab w:val="left" w:pos="0"/>
        </w:tabs>
        <w:autoSpaceDE w:val="0"/>
        <w:autoSpaceDN w:val="0"/>
        <w:adjustRightInd w:val="0"/>
        <w:spacing w:line="264" w:lineRule="exact"/>
        <w:ind w:left="0"/>
        <w:rPr>
          <w:sz w:val="24"/>
          <w:szCs w:val="24"/>
        </w:rPr>
      </w:pPr>
      <w:r w:rsidRPr="00B0459D">
        <w:rPr>
          <w:sz w:val="24"/>
          <w:szCs w:val="24"/>
        </w:rPr>
        <w:t xml:space="preserve">The </w:t>
      </w:r>
      <w:r w:rsidR="00F47248">
        <w:rPr>
          <w:sz w:val="24"/>
          <w:szCs w:val="24"/>
        </w:rPr>
        <w:t>I</w:t>
      </w:r>
      <w:r w:rsidR="00CC06F8">
        <w:rPr>
          <w:sz w:val="24"/>
          <w:szCs w:val="24"/>
        </w:rPr>
        <w:t xml:space="preserve">nstrument </w:t>
      </w:r>
      <w:r w:rsidR="006B5A68">
        <w:rPr>
          <w:sz w:val="24"/>
          <w:szCs w:val="24"/>
        </w:rPr>
        <w:t>sets out</w:t>
      </w:r>
      <w:r w:rsidR="00F47248">
        <w:rPr>
          <w:sz w:val="24"/>
          <w:szCs w:val="24"/>
        </w:rPr>
        <w:t xml:space="preserve"> the</w:t>
      </w:r>
      <w:r w:rsidRPr="00B0459D">
        <w:rPr>
          <w:sz w:val="24"/>
          <w:szCs w:val="24"/>
        </w:rPr>
        <w:t xml:space="preserve"> c</w:t>
      </w:r>
      <w:r w:rsidR="0050696B" w:rsidRPr="00B0459D">
        <w:rPr>
          <w:sz w:val="24"/>
          <w:szCs w:val="24"/>
        </w:rPr>
        <w:t xml:space="preserve">harges </w:t>
      </w:r>
      <w:r w:rsidR="00B94FBC">
        <w:rPr>
          <w:sz w:val="24"/>
          <w:szCs w:val="24"/>
        </w:rPr>
        <w:t>in respect of applications for</w:t>
      </w:r>
      <w:r w:rsidR="00456D1C">
        <w:rPr>
          <w:sz w:val="24"/>
          <w:szCs w:val="24"/>
        </w:rPr>
        <w:t xml:space="preserve"> consent under </w:t>
      </w:r>
      <w:r w:rsidR="002A1A42">
        <w:rPr>
          <w:sz w:val="24"/>
          <w:szCs w:val="24"/>
        </w:rPr>
        <w:t>s</w:t>
      </w:r>
      <w:r w:rsidR="00456D1C">
        <w:rPr>
          <w:sz w:val="24"/>
          <w:szCs w:val="24"/>
        </w:rPr>
        <w:t xml:space="preserve">ection </w:t>
      </w:r>
      <w:r w:rsidRPr="00B0459D">
        <w:rPr>
          <w:sz w:val="24"/>
          <w:szCs w:val="24"/>
        </w:rPr>
        <w:t>67 of the Banking Act to establish or maintain representative offices</w:t>
      </w:r>
      <w:r w:rsidR="0050696B" w:rsidRPr="00B0459D">
        <w:rPr>
          <w:sz w:val="24"/>
          <w:szCs w:val="24"/>
        </w:rPr>
        <w:t xml:space="preserve"> of overseas banks in Australia</w:t>
      </w:r>
      <w:r w:rsidRPr="00B0459D">
        <w:rPr>
          <w:sz w:val="24"/>
          <w:szCs w:val="24"/>
        </w:rPr>
        <w:t xml:space="preserve"> and for the costs or expenses incurred or to be incurred by APRA in monitoring </w:t>
      </w:r>
      <w:r w:rsidR="00E80F8B">
        <w:rPr>
          <w:sz w:val="24"/>
          <w:szCs w:val="24"/>
        </w:rPr>
        <w:t xml:space="preserve">the activities </w:t>
      </w:r>
      <w:r w:rsidRPr="00B0459D">
        <w:rPr>
          <w:sz w:val="24"/>
          <w:szCs w:val="24"/>
        </w:rPr>
        <w:t>of such representative offices in Australia and the overseas banks’ compliance with the conditions imposed upon APRA’s consent under section 67.</w:t>
      </w:r>
    </w:p>
    <w:p w14:paraId="04B5CE36" w14:textId="77777777" w:rsidR="006425BF" w:rsidRPr="00B0459D" w:rsidRDefault="006425BF" w:rsidP="00F67DF3">
      <w:pPr>
        <w:widowControl w:val="0"/>
        <w:autoSpaceDE w:val="0"/>
        <w:autoSpaceDN w:val="0"/>
        <w:adjustRightInd w:val="0"/>
        <w:rPr>
          <w:sz w:val="24"/>
          <w:szCs w:val="24"/>
        </w:rPr>
      </w:pPr>
    </w:p>
    <w:p w14:paraId="4DB4A2F7" w14:textId="10D8D48A" w:rsidR="006425BF" w:rsidRPr="00B0459D" w:rsidRDefault="006425BF" w:rsidP="00F67DF3">
      <w:pPr>
        <w:widowControl w:val="0"/>
        <w:autoSpaceDE w:val="0"/>
        <w:autoSpaceDN w:val="0"/>
        <w:adjustRightInd w:val="0"/>
        <w:rPr>
          <w:sz w:val="24"/>
          <w:szCs w:val="24"/>
        </w:rPr>
      </w:pPr>
      <w:r w:rsidRPr="00B0459D">
        <w:rPr>
          <w:sz w:val="24"/>
          <w:szCs w:val="24"/>
        </w:rPr>
        <w:t xml:space="preserve">The </w:t>
      </w:r>
      <w:r w:rsidR="00F47248">
        <w:rPr>
          <w:sz w:val="24"/>
          <w:szCs w:val="24"/>
        </w:rPr>
        <w:t>I</w:t>
      </w:r>
      <w:r w:rsidR="00CC06F8">
        <w:rPr>
          <w:sz w:val="24"/>
          <w:szCs w:val="24"/>
        </w:rPr>
        <w:t xml:space="preserve">nstrument </w:t>
      </w:r>
      <w:r w:rsidRPr="00B0459D">
        <w:rPr>
          <w:sz w:val="24"/>
          <w:szCs w:val="24"/>
        </w:rPr>
        <w:t xml:space="preserve">also provides that the charges </w:t>
      </w:r>
      <w:r w:rsidR="00FF421D">
        <w:rPr>
          <w:sz w:val="24"/>
          <w:szCs w:val="24"/>
        </w:rPr>
        <w:t>fixed</w:t>
      </w:r>
      <w:r w:rsidRPr="00B0459D">
        <w:rPr>
          <w:sz w:val="24"/>
          <w:szCs w:val="24"/>
        </w:rPr>
        <w:t xml:space="preserve"> are p</w:t>
      </w:r>
      <w:r w:rsidRPr="00B0459D">
        <w:rPr>
          <w:spacing w:val="-1"/>
          <w:sz w:val="24"/>
          <w:szCs w:val="24"/>
        </w:rPr>
        <w:t>a</w:t>
      </w:r>
      <w:r w:rsidRPr="00B0459D">
        <w:rPr>
          <w:spacing w:val="1"/>
          <w:sz w:val="24"/>
          <w:szCs w:val="24"/>
        </w:rPr>
        <w:t>y</w:t>
      </w:r>
      <w:r w:rsidRPr="00B0459D">
        <w:rPr>
          <w:sz w:val="24"/>
          <w:szCs w:val="24"/>
        </w:rPr>
        <w:t xml:space="preserve">able </w:t>
      </w:r>
      <w:r w:rsidRPr="00B0459D">
        <w:rPr>
          <w:spacing w:val="-1"/>
          <w:sz w:val="24"/>
          <w:szCs w:val="24"/>
        </w:rPr>
        <w:t>b</w:t>
      </w:r>
      <w:r w:rsidRPr="00B0459D">
        <w:rPr>
          <w:sz w:val="24"/>
          <w:szCs w:val="24"/>
        </w:rPr>
        <w:t>y</w:t>
      </w:r>
      <w:r w:rsidRPr="00B0459D">
        <w:rPr>
          <w:spacing w:val="1"/>
          <w:sz w:val="24"/>
          <w:szCs w:val="24"/>
        </w:rPr>
        <w:t xml:space="preserve"> </w:t>
      </w:r>
      <w:r w:rsidRPr="00B0459D">
        <w:rPr>
          <w:sz w:val="24"/>
          <w:szCs w:val="24"/>
        </w:rPr>
        <w:t>the</w:t>
      </w:r>
      <w:r w:rsidRPr="00B0459D">
        <w:rPr>
          <w:spacing w:val="-1"/>
          <w:sz w:val="24"/>
          <w:szCs w:val="24"/>
        </w:rPr>
        <w:t xml:space="preserve"> </w:t>
      </w:r>
      <w:r w:rsidRPr="00B0459D">
        <w:rPr>
          <w:sz w:val="24"/>
          <w:szCs w:val="24"/>
        </w:rPr>
        <w:t xml:space="preserve">applicant when the application is lodged, are not refundable if the application is unsuccessful or if APRA, in the course of processing the application, informs the applicant that the application will be unsuccessful and </w:t>
      </w:r>
      <w:r w:rsidRPr="00B0459D">
        <w:rPr>
          <w:spacing w:val="-2"/>
          <w:sz w:val="24"/>
          <w:szCs w:val="24"/>
        </w:rPr>
        <w:t>m</w:t>
      </w:r>
      <w:r w:rsidRPr="00B0459D">
        <w:rPr>
          <w:sz w:val="24"/>
          <w:szCs w:val="24"/>
        </w:rPr>
        <w:t>ay</w:t>
      </w:r>
      <w:r w:rsidRPr="00B0459D">
        <w:rPr>
          <w:spacing w:val="1"/>
          <w:sz w:val="24"/>
          <w:szCs w:val="24"/>
        </w:rPr>
        <w:t xml:space="preserve"> </w:t>
      </w:r>
      <w:r w:rsidRPr="00B0459D">
        <w:rPr>
          <w:sz w:val="24"/>
          <w:szCs w:val="24"/>
        </w:rPr>
        <w:t>be w</w:t>
      </w:r>
      <w:r w:rsidRPr="00B0459D">
        <w:rPr>
          <w:spacing w:val="-1"/>
          <w:sz w:val="24"/>
          <w:szCs w:val="24"/>
        </w:rPr>
        <w:t>a</w:t>
      </w:r>
      <w:r w:rsidRPr="00B0459D">
        <w:rPr>
          <w:sz w:val="24"/>
          <w:szCs w:val="24"/>
        </w:rPr>
        <w:t xml:space="preserve">ived or refunded </w:t>
      </w:r>
      <w:r w:rsidRPr="00B0459D">
        <w:rPr>
          <w:spacing w:val="-1"/>
          <w:sz w:val="24"/>
          <w:szCs w:val="24"/>
        </w:rPr>
        <w:t>b</w:t>
      </w:r>
      <w:r w:rsidRPr="00B0459D">
        <w:rPr>
          <w:sz w:val="24"/>
          <w:szCs w:val="24"/>
        </w:rPr>
        <w:t>y AP</w:t>
      </w:r>
      <w:r w:rsidRPr="00B0459D">
        <w:rPr>
          <w:spacing w:val="-1"/>
          <w:sz w:val="24"/>
          <w:szCs w:val="24"/>
        </w:rPr>
        <w:t>R</w:t>
      </w:r>
      <w:r w:rsidRPr="00B0459D">
        <w:rPr>
          <w:sz w:val="24"/>
          <w:szCs w:val="24"/>
        </w:rPr>
        <w:t>A in sp</w:t>
      </w:r>
      <w:r w:rsidRPr="00B0459D">
        <w:rPr>
          <w:spacing w:val="-1"/>
          <w:sz w:val="24"/>
          <w:szCs w:val="24"/>
        </w:rPr>
        <w:t>e</w:t>
      </w:r>
      <w:r w:rsidRPr="00B0459D">
        <w:rPr>
          <w:sz w:val="24"/>
          <w:szCs w:val="24"/>
        </w:rPr>
        <w:t>ci</w:t>
      </w:r>
      <w:r w:rsidR="000115A3">
        <w:rPr>
          <w:sz w:val="24"/>
          <w:szCs w:val="24"/>
        </w:rPr>
        <w:t>al</w:t>
      </w:r>
      <w:r w:rsidRPr="00B0459D">
        <w:rPr>
          <w:sz w:val="24"/>
          <w:szCs w:val="24"/>
        </w:rPr>
        <w:t xml:space="preserve"> circumstances, as permitted under </w:t>
      </w:r>
      <w:r w:rsidR="00FF421D">
        <w:rPr>
          <w:sz w:val="24"/>
          <w:szCs w:val="24"/>
        </w:rPr>
        <w:t>subs</w:t>
      </w:r>
      <w:r w:rsidR="00456D1C">
        <w:rPr>
          <w:sz w:val="24"/>
          <w:szCs w:val="24"/>
        </w:rPr>
        <w:t xml:space="preserve">ection </w:t>
      </w:r>
      <w:r w:rsidRPr="00B0459D">
        <w:rPr>
          <w:sz w:val="24"/>
          <w:szCs w:val="24"/>
        </w:rPr>
        <w:t xml:space="preserve">51(1) of the APRA Act. </w:t>
      </w:r>
    </w:p>
    <w:p w14:paraId="25DCC429" w14:textId="77777777" w:rsidR="006425BF" w:rsidRPr="00B0459D" w:rsidRDefault="006425BF" w:rsidP="00F67DF3">
      <w:pPr>
        <w:widowControl w:val="0"/>
        <w:autoSpaceDE w:val="0"/>
        <w:autoSpaceDN w:val="0"/>
        <w:adjustRightInd w:val="0"/>
        <w:rPr>
          <w:sz w:val="24"/>
          <w:szCs w:val="24"/>
        </w:rPr>
      </w:pPr>
    </w:p>
    <w:p w14:paraId="215E17FD" w14:textId="77777777" w:rsidR="006425BF" w:rsidRPr="00B0459D" w:rsidRDefault="006425BF" w:rsidP="00F67DF3">
      <w:pPr>
        <w:widowControl w:val="0"/>
        <w:autoSpaceDE w:val="0"/>
        <w:autoSpaceDN w:val="0"/>
        <w:adjustRightInd w:val="0"/>
        <w:rPr>
          <w:sz w:val="24"/>
          <w:szCs w:val="24"/>
        </w:rPr>
      </w:pPr>
      <w:r w:rsidRPr="00B0459D">
        <w:rPr>
          <w:sz w:val="24"/>
          <w:szCs w:val="24"/>
        </w:rPr>
        <w:t>For the avoidance of doubt, it sh</w:t>
      </w:r>
      <w:r w:rsidRPr="00B0459D">
        <w:rPr>
          <w:spacing w:val="-1"/>
          <w:sz w:val="24"/>
          <w:szCs w:val="24"/>
        </w:rPr>
        <w:t>o</w:t>
      </w:r>
      <w:r w:rsidRPr="00B0459D">
        <w:rPr>
          <w:sz w:val="24"/>
          <w:szCs w:val="24"/>
        </w:rPr>
        <w:t>uld be noted</w:t>
      </w:r>
      <w:r w:rsidRPr="00B0459D">
        <w:rPr>
          <w:spacing w:val="-1"/>
          <w:sz w:val="24"/>
          <w:szCs w:val="24"/>
        </w:rPr>
        <w:t xml:space="preserve"> </w:t>
      </w:r>
      <w:r w:rsidRPr="00B0459D">
        <w:rPr>
          <w:sz w:val="24"/>
          <w:szCs w:val="24"/>
        </w:rPr>
        <w:t>that the F</w:t>
      </w:r>
      <w:r w:rsidR="0025328D">
        <w:rPr>
          <w:sz w:val="24"/>
          <w:szCs w:val="24"/>
        </w:rPr>
        <w:t xml:space="preserve">oreign </w:t>
      </w:r>
      <w:r w:rsidRPr="00B0459D">
        <w:rPr>
          <w:sz w:val="24"/>
          <w:szCs w:val="24"/>
        </w:rPr>
        <w:t>B</w:t>
      </w:r>
      <w:r w:rsidR="0025328D">
        <w:rPr>
          <w:sz w:val="24"/>
          <w:szCs w:val="24"/>
        </w:rPr>
        <w:t xml:space="preserve">ank </w:t>
      </w:r>
      <w:r w:rsidRPr="00B0459D">
        <w:rPr>
          <w:sz w:val="24"/>
          <w:szCs w:val="24"/>
        </w:rPr>
        <w:t>R</w:t>
      </w:r>
      <w:r w:rsidR="0025328D">
        <w:rPr>
          <w:sz w:val="24"/>
          <w:szCs w:val="24"/>
        </w:rPr>
        <w:t xml:space="preserve">epresentative </w:t>
      </w:r>
      <w:r w:rsidRPr="00B0459D">
        <w:rPr>
          <w:sz w:val="24"/>
          <w:szCs w:val="24"/>
        </w:rPr>
        <w:t>O</w:t>
      </w:r>
      <w:r w:rsidR="0025328D">
        <w:rPr>
          <w:sz w:val="24"/>
          <w:szCs w:val="24"/>
        </w:rPr>
        <w:t>ffice</w:t>
      </w:r>
      <w:r w:rsidRPr="00B0459D">
        <w:rPr>
          <w:sz w:val="24"/>
          <w:szCs w:val="24"/>
        </w:rPr>
        <w:t xml:space="preserve"> authorisation application charge is p</w:t>
      </w:r>
      <w:r w:rsidRPr="00B0459D">
        <w:rPr>
          <w:spacing w:val="-2"/>
          <w:sz w:val="24"/>
          <w:szCs w:val="24"/>
        </w:rPr>
        <w:t>a</w:t>
      </w:r>
      <w:r w:rsidRPr="00B0459D">
        <w:rPr>
          <w:sz w:val="24"/>
          <w:szCs w:val="24"/>
        </w:rPr>
        <w:t>yable in respect of e</w:t>
      </w:r>
      <w:r w:rsidRPr="00B0459D">
        <w:rPr>
          <w:spacing w:val="-1"/>
          <w:sz w:val="24"/>
          <w:szCs w:val="24"/>
        </w:rPr>
        <w:t>v</w:t>
      </w:r>
      <w:r w:rsidRPr="00B0459D">
        <w:rPr>
          <w:sz w:val="24"/>
          <w:szCs w:val="24"/>
        </w:rPr>
        <w:t>ery new app</w:t>
      </w:r>
      <w:r w:rsidRPr="00B0459D">
        <w:rPr>
          <w:spacing w:val="-2"/>
          <w:sz w:val="24"/>
          <w:szCs w:val="24"/>
        </w:rPr>
        <w:t>l</w:t>
      </w:r>
      <w:r w:rsidRPr="00B0459D">
        <w:rPr>
          <w:sz w:val="24"/>
          <w:szCs w:val="24"/>
        </w:rPr>
        <w:t xml:space="preserve">ication, even one that is </w:t>
      </w:r>
      <w:r w:rsidRPr="00B0459D">
        <w:rPr>
          <w:spacing w:val="-2"/>
          <w:sz w:val="24"/>
          <w:szCs w:val="24"/>
        </w:rPr>
        <w:t>m</w:t>
      </w:r>
      <w:r w:rsidRPr="00B0459D">
        <w:rPr>
          <w:sz w:val="24"/>
          <w:szCs w:val="24"/>
        </w:rPr>
        <w:t>ade after t</w:t>
      </w:r>
      <w:r w:rsidRPr="00B0459D">
        <w:rPr>
          <w:spacing w:val="1"/>
          <w:sz w:val="24"/>
          <w:szCs w:val="24"/>
        </w:rPr>
        <w:t>h</w:t>
      </w:r>
      <w:r w:rsidRPr="00B0459D">
        <w:rPr>
          <w:sz w:val="24"/>
          <w:szCs w:val="24"/>
        </w:rPr>
        <w:t>e refusal or</w:t>
      </w:r>
      <w:r w:rsidRPr="00B0459D">
        <w:rPr>
          <w:spacing w:val="-1"/>
          <w:sz w:val="24"/>
          <w:szCs w:val="24"/>
        </w:rPr>
        <w:t xml:space="preserve"> </w:t>
      </w:r>
      <w:r w:rsidRPr="00B0459D">
        <w:rPr>
          <w:sz w:val="24"/>
          <w:szCs w:val="24"/>
        </w:rPr>
        <w:t>withdrawal of an earlier application for which the</w:t>
      </w:r>
      <w:r w:rsidRPr="00B0459D">
        <w:rPr>
          <w:spacing w:val="-1"/>
          <w:sz w:val="24"/>
          <w:szCs w:val="24"/>
        </w:rPr>
        <w:t xml:space="preserve"> </w:t>
      </w:r>
      <w:r w:rsidRPr="00B0459D">
        <w:rPr>
          <w:sz w:val="24"/>
          <w:szCs w:val="24"/>
        </w:rPr>
        <w:t>applicant also paid an authorisation application charge.</w:t>
      </w:r>
    </w:p>
    <w:p w14:paraId="31CAF624" w14:textId="77777777" w:rsidR="006425BF" w:rsidRPr="00B0459D" w:rsidRDefault="006425BF" w:rsidP="006B5A68">
      <w:pPr>
        <w:pStyle w:val="ListParagraph"/>
        <w:widowControl w:val="0"/>
        <w:tabs>
          <w:tab w:val="left" w:pos="0"/>
        </w:tabs>
        <w:autoSpaceDE w:val="0"/>
        <w:autoSpaceDN w:val="0"/>
        <w:adjustRightInd w:val="0"/>
        <w:spacing w:line="264" w:lineRule="exact"/>
        <w:ind w:left="0"/>
        <w:jc w:val="both"/>
        <w:rPr>
          <w:sz w:val="24"/>
          <w:szCs w:val="24"/>
        </w:rPr>
      </w:pPr>
    </w:p>
    <w:p w14:paraId="52518384" w14:textId="77777777" w:rsidR="0050696B" w:rsidRPr="00B0459D" w:rsidRDefault="0050696B" w:rsidP="006B5A68">
      <w:pPr>
        <w:pStyle w:val="ListParagraph"/>
        <w:widowControl w:val="0"/>
        <w:tabs>
          <w:tab w:val="left" w:pos="0"/>
        </w:tabs>
        <w:autoSpaceDE w:val="0"/>
        <w:autoSpaceDN w:val="0"/>
        <w:adjustRightInd w:val="0"/>
        <w:spacing w:line="264" w:lineRule="exact"/>
        <w:ind w:left="0"/>
        <w:jc w:val="both"/>
        <w:rPr>
          <w:sz w:val="24"/>
          <w:szCs w:val="24"/>
        </w:rPr>
      </w:pPr>
      <w:r w:rsidRPr="00B0459D">
        <w:rPr>
          <w:sz w:val="24"/>
          <w:szCs w:val="24"/>
        </w:rPr>
        <w:t>Schedule of charges</w:t>
      </w:r>
    </w:p>
    <w:p w14:paraId="1C2F40E3" w14:textId="77777777" w:rsidR="0050696B" w:rsidRPr="00B0459D" w:rsidRDefault="0050696B" w:rsidP="00677C93">
      <w:pPr>
        <w:pStyle w:val="ListParagraph"/>
        <w:widowControl w:val="0"/>
        <w:tabs>
          <w:tab w:val="left" w:pos="0"/>
        </w:tabs>
        <w:autoSpaceDE w:val="0"/>
        <w:autoSpaceDN w:val="0"/>
        <w:adjustRightInd w:val="0"/>
        <w:spacing w:line="264" w:lineRule="exact"/>
        <w:ind w:left="0" w:right="-6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351"/>
      </w:tblGrid>
      <w:tr w:rsidR="00B25992" w:rsidRPr="00B0459D" w14:paraId="7EFAC576" w14:textId="77777777" w:rsidTr="0050696B">
        <w:trPr>
          <w:trHeight w:val="409"/>
        </w:trPr>
        <w:tc>
          <w:tcPr>
            <w:tcW w:w="3142" w:type="pct"/>
            <w:vAlign w:val="center"/>
          </w:tcPr>
          <w:p w14:paraId="5BD90773" w14:textId="77777777" w:rsidR="00B25992" w:rsidRPr="00B0459D" w:rsidRDefault="00B25992" w:rsidP="00677C93">
            <w:pPr>
              <w:autoSpaceDE w:val="0"/>
              <w:autoSpaceDN w:val="0"/>
              <w:adjustRightInd w:val="0"/>
              <w:spacing w:before="120" w:after="120"/>
              <w:rPr>
                <w:b/>
                <w:sz w:val="24"/>
                <w:szCs w:val="24"/>
              </w:rPr>
            </w:pPr>
            <w:r w:rsidRPr="00B0459D">
              <w:rPr>
                <w:b/>
                <w:sz w:val="24"/>
                <w:szCs w:val="24"/>
              </w:rPr>
              <w:t>Type of charge</w:t>
            </w:r>
          </w:p>
        </w:tc>
        <w:tc>
          <w:tcPr>
            <w:tcW w:w="1858" w:type="pct"/>
            <w:vAlign w:val="center"/>
          </w:tcPr>
          <w:p w14:paraId="2FFFAF74" w14:textId="77777777" w:rsidR="00B25992" w:rsidRPr="00B0459D" w:rsidRDefault="0050696B" w:rsidP="00677C93">
            <w:pPr>
              <w:autoSpaceDE w:val="0"/>
              <w:autoSpaceDN w:val="0"/>
              <w:adjustRightInd w:val="0"/>
              <w:spacing w:before="120" w:after="120"/>
              <w:rPr>
                <w:b/>
                <w:sz w:val="24"/>
                <w:szCs w:val="24"/>
              </w:rPr>
            </w:pPr>
            <w:r w:rsidRPr="00B0459D">
              <w:rPr>
                <w:b/>
                <w:sz w:val="24"/>
                <w:szCs w:val="24"/>
              </w:rPr>
              <w:t>Amount of charge</w:t>
            </w:r>
          </w:p>
        </w:tc>
      </w:tr>
      <w:tr w:rsidR="00B25992" w:rsidRPr="00B0459D" w14:paraId="7CCF74B2" w14:textId="77777777" w:rsidTr="0050696B">
        <w:trPr>
          <w:trHeight w:val="407"/>
        </w:trPr>
        <w:tc>
          <w:tcPr>
            <w:tcW w:w="3142" w:type="pct"/>
            <w:vAlign w:val="center"/>
          </w:tcPr>
          <w:p w14:paraId="75763547" w14:textId="19409D07" w:rsidR="00B25992" w:rsidRPr="00B0459D" w:rsidRDefault="00AA318D" w:rsidP="00677C93">
            <w:pPr>
              <w:autoSpaceDE w:val="0"/>
              <w:autoSpaceDN w:val="0"/>
              <w:adjustRightInd w:val="0"/>
              <w:rPr>
                <w:i/>
                <w:sz w:val="24"/>
                <w:szCs w:val="24"/>
              </w:rPr>
            </w:pPr>
            <w:r w:rsidRPr="00B0459D">
              <w:rPr>
                <w:color w:val="000000"/>
                <w:sz w:val="24"/>
                <w:szCs w:val="24"/>
              </w:rPr>
              <w:t xml:space="preserve">Application for </w:t>
            </w:r>
            <w:r w:rsidR="0025328D">
              <w:rPr>
                <w:color w:val="000000"/>
                <w:sz w:val="24"/>
                <w:szCs w:val="24"/>
              </w:rPr>
              <w:t xml:space="preserve">consent to </w:t>
            </w:r>
            <w:r w:rsidR="00E90EBF">
              <w:rPr>
                <w:color w:val="000000"/>
                <w:sz w:val="24"/>
                <w:szCs w:val="24"/>
              </w:rPr>
              <w:t xml:space="preserve">establish or </w:t>
            </w:r>
            <w:r w:rsidR="0025328D">
              <w:rPr>
                <w:color w:val="000000"/>
                <w:sz w:val="24"/>
                <w:szCs w:val="24"/>
              </w:rPr>
              <w:t xml:space="preserve">maintain a representative office </w:t>
            </w:r>
            <w:r w:rsidRPr="00B0459D">
              <w:rPr>
                <w:color w:val="000000"/>
                <w:sz w:val="24"/>
                <w:szCs w:val="24"/>
              </w:rPr>
              <w:t>of a foreign bank</w:t>
            </w:r>
            <w:r w:rsidR="00E90EBF">
              <w:rPr>
                <w:color w:val="000000"/>
                <w:sz w:val="24"/>
                <w:szCs w:val="24"/>
              </w:rPr>
              <w:t xml:space="preserve"> in Australia</w:t>
            </w:r>
            <w:r w:rsidRPr="00B0459D">
              <w:rPr>
                <w:color w:val="000000"/>
                <w:sz w:val="24"/>
                <w:szCs w:val="24"/>
              </w:rPr>
              <w:t>.</w:t>
            </w:r>
          </w:p>
        </w:tc>
        <w:tc>
          <w:tcPr>
            <w:tcW w:w="1858" w:type="pct"/>
            <w:vAlign w:val="center"/>
          </w:tcPr>
          <w:p w14:paraId="52E6D6E8" w14:textId="77777777" w:rsidR="00B25992" w:rsidRPr="00B0459D" w:rsidRDefault="00967CC7" w:rsidP="00677C93">
            <w:pPr>
              <w:autoSpaceDE w:val="0"/>
              <w:autoSpaceDN w:val="0"/>
              <w:adjustRightInd w:val="0"/>
              <w:rPr>
                <w:sz w:val="24"/>
                <w:szCs w:val="24"/>
              </w:rPr>
            </w:pPr>
            <w:r w:rsidRPr="00B0459D">
              <w:rPr>
                <w:sz w:val="24"/>
                <w:szCs w:val="24"/>
              </w:rPr>
              <w:t>$10,0</w:t>
            </w:r>
            <w:r w:rsidR="00B25992" w:rsidRPr="00B0459D">
              <w:rPr>
                <w:sz w:val="24"/>
                <w:szCs w:val="24"/>
              </w:rPr>
              <w:t>00</w:t>
            </w:r>
          </w:p>
        </w:tc>
      </w:tr>
      <w:tr w:rsidR="00B25992" w:rsidRPr="00B0459D" w14:paraId="618BC274" w14:textId="77777777" w:rsidTr="0050696B">
        <w:trPr>
          <w:trHeight w:val="411"/>
        </w:trPr>
        <w:tc>
          <w:tcPr>
            <w:tcW w:w="3142" w:type="pct"/>
            <w:vAlign w:val="center"/>
          </w:tcPr>
          <w:p w14:paraId="3DBCB884" w14:textId="3D2D9883" w:rsidR="00B25992" w:rsidRPr="00B0459D" w:rsidRDefault="00AA318D" w:rsidP="00677C93">
            <w:pPr>
              <w:autoSpaceDE w:val="0"/>
              <w:autoSpaceDN w:val="0"/>
              <w:adjustRightInd w:val="0"/>
              <w:spacing w:before="120" w:after="120"/>
              <w:rPr>
                <w:color w:val="000000"/>
                <w:sz w:val="24"/>
                <w:szCs w:val="24"/>
              </w:rPr>
            </w:pPr>
            <w:r w:rsidRPr="00B0459D">
              <w:rPr>
                <w:color w:val="000000"/>
                <w:sz w:val="24"/>
                <w:szCs w:val="24"/>
              </w:rPr>
              <w:t xml:space="preserve">Annual monitoring by APRA of the operations of the foreign bank </w:t>
            </w:r>
            <w:r w:rsidR="006F082E">
              <w:rPr>
                <w:color w:val="000000"/>
                <w:sz w:val="24"/>
                <w:szCs w:val="24"/>
              </w:rPr>
              <w:t xml:space="preserve">representative </w:t>
            </w:r>
            <w:r w:rsidRPr="00B0459D">
              <w:rPr>
                <w:color w:val="000000"/>
                <w:sz w:val="24"/>
                <w:szCs w:val="24"/>
              </w:rPr>
              <w:t xml:space="preserve">office and the foreign bank’s compliance with the conditions imposed </w:t>
            </w:r>
            <w:r w:rsidR="006F082E">
              <w:rPr>
                <w:color w:val="000000"/>
                <w:sz w:val="24"/>
                <w:szCs w:val="24"/>
              </w:rPr>
              <w:t>on the consent under subs</w:t>
            </w:r>
            <w:r w:rsidR="00456D1C">
              <w:rPr>
                <w:color w:val="000000"/>
                <w:sz w:val="24"/>
                <w:szCs w:val="24"/>
              </w:rPr>
              <w:t>ection</w:t>
            </w:r>
            <w:r w:rsidRPr="00B0459D">
              <w:rPr>
                <w:color w:val="000000"/>
                <w:sz w:val="24"/>
                <w:szCs w:val="24"/>
              </w:rPr>
              <w:t xml:space="preserve"> 67(2) of the Banking Act.</w:t>
            </w:r>
          </w:p>
        </w:tc>
        <w:tc>
          <w:tcPr>
            <w:tcW w:w="1858" w:type="pct"/>
            <w:vAlign w:val="center"/>
          </w:tcPr>
          <w:p w14:paraId="0BFF7081" w14:textId="77777777" w:rsidR="00B25992" w:rsidRPr="00B0459D" w:rsidRDefault="00967CC7" w:rsidP="00677C93">
            <w:pPr>
              <w:autoSpaceDE w:val="0"/>
              <w:autoSpaceDN w:val="0"/>
              <w:adjustRightInd w:val="0"/>
              <w:rPr>
                <w:sz w:val="24"/>
                <w:szCs w:val="24"/>
              </w:rPr>
            </w:pPr>
            <w:r w:rsidRPr="00B0459D">
              <w:rPr>
                <w:sz w:val="24"/>
                <w:szCs w:val="24"/>
              </w:rPr>
              <w:t>$3</w:t>
            </w:r>
            <w:r w:rsidR="00B25992" w:rsidRPr="00B0459D">
              <w:rPr>
                <w:sz w:val="24"/>
                <w:szCs w:val="24"/>
              </w:rPr>
              <w:t>,000</w:t>
            </w:r>
          </w:p>
        </w:tc>
      </w:tr>
    </w:tbl>
    <w:p w14:paraId="49AFC1D1" w14:textId="77777777" w:rsidR="00B25992" w:rsidRPr="00B0459D" w:rsidRDefault="00B25992" w:rsidP="00677C93">
      <w:pPr>
        <w:rPr>
          <w:sz w:val="24"/>
          <w:szCs w:val="24"/>
        </w:rPr>
      </w:pPr>
    </w:p>
    <w:p w14:paraId="76AB5B6B" w14:textId="77777777" w:rsidR="00EB6C53" w:rsidRPr="00B0459D" w:rsidRDefault="0050696B" w:rsidP="00F67DF3">
      <w:pPr>
        <w:rPr>
          <w:i/>
          <w:sz w:val="24"/>
          <w:szCs w:val="24"/>
          <w:lang w:val="en-AU"/>
        </w:rPr>
      </w:pPr>
      <w:r w:rsidRPr="00B0459D">
        <w:rPr>
          <w:sz w:val="24"/>
          <w:szCs w:val="24"/>
        </w:rPr>
        <w:t xml:space="preserve">Each of these </w:t>
      </w:r>
      <w:r w:rsidR="00EB6C53" w:rsidRPr="00B0459D">
        <w:rPr>
          <w:sz w:val="24"/>
          <w:szCs w:val="24"/>
        </w:rPr>
        <w:t xml:space="preserve">charges are </w:t>
      </w:r>
      <w:r w:rsidR="001C06B1" w:rsidRPr="00B0459D">
        <w:rPr>
          <w:sz w:val="24"/>
          <w:szCs w:val="24"/>
        </w:rPr>
        <w:t xml:space="preserve">GST </w:t>
      </w:r>
      <w:r w:rsidRPr="00B0459D">
        <w:rPr>
          <w:sz w:val="24"/>
          <w:szCs w:val="24"/>
        </w:rPr>
        <w:t xml:space="preserve">exempt </w:t>
      </w:r>
      <w:r w:rsidR="001C06B1" w:rsidRPr="00B0459D">
        <w:rPr>
          <w:sz w:val="24"/>
          <w:szCs w:val="24"/>
        </w:rPr>
        <w:t xml:space="preserve">as per Division </w:t>
      </w:r>
      <w:r w:rsidR="00EB6C53" w:rsidRPr="00B0459D">
        <w:rPr>
          <w:sz w:val="24"/>
          <w:szCs w:val="24"/>
        </w:rPr>
        <w:t xml:space="preserve">81 of </w:t>
      </w:r>
      <w:r w:rsidR="00EB6C53" w:rsidRPr="00B0459D">
        <w:rPr>
          <w:i/>
          <w:sz w:val="24"/>
          <w:szCs w:val="24"/>
        </w:rPr>
        <w:t>A New Tax System (Goods and Services Tax) Act 1999.</w:t>
      </w:r>
    </w:p>
    <w:p w14:paraId="26DF18AD" w14:textId="77777777" w:rsidR="009B44C0" w:rsidRPr="00B0459D" w:rsidRDefault="009B44C0" w:rsidP="006B5A68">
      <w:pPr>
        <w:jc w:val="both"/>
        <w:rPr>
          <w:i/>
          <w:sz w:val="24"/>
          <w:szCs w:val="24"/>
        </w:rPr>
      </w:pPr>
    </w:p>
    <w:p w14:paraId="57C2619D" w14:textId="77777777" w:rsidR="009B44C0" w:rsidRPr="00B0459D" w:rsidRDefault="009B44C0" w:rsidP="006B5A68">
      <w:pPr>
        <w:widowControl w:val="0"/>
        <w:tabs>
          <w:tab w:val="left" w:pos="6780"/>
        </w:tabs>
        <w:autoSpaceDE w:val="0"/>
        <w:autoSpaceDN w:val="0"/>
        <w:adjustRightInd w:val="0"/>
        <w:jc w:val="both"/>
        <w:rPr>
          <w:b/>
          <w:sz w:val="24"/>
          <w:szCs w:val="24"/>
        </w:rPr>
      </w:pPr>
      <w:r w:rsidRPr="00B0459D">
        <w:rPr>
          <w:b/>
          <w:sz w:val="24"/>
          <w:szCs w:val="24"/>
        </w:rPr>
        <w:t xml:space="preserve">Operation and commencement of the </w:t>
      </w:r>
      <w:r w:rsidR="000115A3">
        <w:rPr>
          <w:b/>
          <w:sz w:val="24"/>
          <w:szCs w:val="24"/>
        </w:rPr>
        <w:t>Instrument</w:t>
      </w:r>
    </w:p>
    <w:p w14:paraId="5727A9C9" w14:textId="77777777" w:rsidR="009B44C0" w:rsidRPr="00B0459D" w:rsidRDefault="009B44C0" w:rsidP="006B5A68">
      <w:pPr>
        <w:widowControl w:val="0"/>
        <w:tabs>
          <w:tab w:val="left" w:pos="6780"/>
        </w:tabs>
        <w:autoSpaceDE w:val="0"/>
        <w:autoSpaceDN w:val="0"/>
        <w:adjustRightInd w:val="0"/>
        <w:jc w:val="both"/>
        <w:rPr>
          <w:sz w:val="24"/>
          <w:szCs w:val="24"/>
        </w:rPr>
      </w:pPr>
    </w:p>
    <w:p w14:paraId="27A9777C" w14:textId="200C483A" w:rsidR="00645111" w:rsidRPr="00B0459D" w:rsidRDefault="00CC3FD5" w:rsidP="00F67DF3">
      <w:pPr>
        <w:widowControl w:val="0"/>
        <w:autoSpaceDE w:val="0"/>
        <w:autoSpaceDN w:val="0"/>
        <w:adjustRightInd w:val="0"/>
        <w:rPr>
          <w:sz w:val="24"/>
          <w:szCs w:val="24"/>
        </w:rPr>
      </w:pPr>
      <w:r w:rsidRPr="0039417C">
        <w:rPr>
          <w:sz w:val="24"/>
          <w:szCs w:val="24"/>
        </w:rPr>
        <w:t>The</w:t>
      </w:r>
      <w:r w:rsidR="00F47248">
        <w:rPr>
          <w:sz w:val="24"/>
          <w:szCs w:val="24"/>
        </w:rPr>
        <w:t xml:space="preserve"> I</w:t>
      </w:r>
      <w:r w:rsidR="00CC06F8">
        <w:rPr>
          <w:sz w:val="24"/>
          <w:szCs w:val="24"/>
        </w:rPr>
        <w:t xml:space="preserve">nstrument </w:t>
      </w:r>
      <w:r w:rsidRPr="0039417C">
        <w:rPr>
          <w:sz w:val="24"/>
          <w:szCs w:val="24"/>
        </w:rPr>
        <w:t xml:space="preserve">operates to repeal the revoked </w:t>
      </w:r>
      <w:r w:rsidR="00CC06F8">
        <w:rPr>
          <w:sz w:val="24"/>
          <w:szCs w:val="24"/>
        </w:rPr>
        <w:t xml:space="preserve">Instrument </w:t>
      </w:r>
      <w:r w:rsidRPr="0039417C">
        <w:rPr>
          <w:sz w:val="24"/>
          <w:szCs w:val="24"/>
        </w:rPr>
        <w:t>and fix the charges set out in the Schedule of charges.</w:t>
      </w:r>
      <w:r w:rsidR="00CC06F8">
        <w:rPr>
          <w:sz w:val="24"/>
          <w:szCs w:val="24"/>
        </w:rPr>
        <w:t xml:space="preserve"> </w:t>
      </w:r>
      <w:r w:rsidR="009B44C0" w:rsidRPr="00B0459D">
        <w:rPr>
          <w:sz w:val="24"/>
          <w:szCs w:val="24"/>
        </w:rPr>
        <w:t>The</w:t>
      </w:r>
      <w:r w:rsidR="00F47248">
        <w:rPr>
          <w:sz w:val="24"/>
          <w:szCs w:val="24"/>
        </w:rPr>
        <w:t xml:space="preserve"> I</w:t>
      </w:r>
      <w:r w:rsidR="00CC06F8">
        <w:rPr>
          <w:sz w:val="24"/>
          <w:szCs w:val="24"/>
        </w:rPr>
        <w:t xml:space="preserve">nstrument </w:t>
      </w:r>
      <w:r w:rsidR="009B44C0" w:rsidRPr="00B0459D">
        <w:rPr>
          <w:sz w:val="24"/>
          <w:szCs w:val="24"/>
        </w:rPr>
        <w:t xml:space="preserve">commences on the date of registration on the Federal Register of Legislative </w:t>
      </w:r>
      <w:r w:rsidR="000115A3">
        <w:rPr>
          <w:sz w:val="24"/>
          <w:szCs w:val="24"/>
        </w:rPr>
        <w:t>Instrument</w:t>
      </w:r>
      <w:r w:rsidR="009B44C0" w:rsidRPr="00B0459D">
        <w:rPr>
          <w:sz w:val="24"/>
          <w:szCs w:val="24"/>
        </w:rPr>
        <w:t>s.</w:t>
      </w:r>
    </w:p>
    <w:p w14:paraId="4FC44AF4" w14:textId="77777777" w:rsidR="003333F5" w:rsidRDefault="003333F5" w:rsidP="006B5A68">
      <w:pPr>
        <w:jc w:val="both"/>
        <w:rPr>
          <w:b/>
          <w:sz w:val="24"/>
          <w:szCs w:val="24"/>
        </w:rPr>
      </w:pPr>
    </w:p>
    <w:p w14:paraId="563ACBAE" w14:textId="77777777" w:rsidR="002B2E63" w:rsidRPr="00B0459D" w:rsidRDefault="002B2E63" w:rsidP="006B5A68">
      <w:pPr>
        <w:jc w:val="both"/>
        <w:rPr>
          <w:i/>
          <w:sz w:val="24"/>
          <w:szCs w:val="24"/>
        </w:rPr>
      </w:pPr>
      <w:r w:rsidRPr="00B0459D">
        <w:rPr>
          <w:b/>
          <w:sz w:val="24"/>
          <w:szCs w:val="24"/>
        </w:rPr>
        <w:t>Charges must be reasonably related to the costs and expenses incurred</w:t>
      </w:r>
    </w:p>
    <w:p w14:paraId="28A4BE8F" w14:textId="77777777" w:rsidR="00475A27" w:rsidRPr="00B0459D" w:rsidRDefault="00475A27" w:rsidP="00677C93">
      <w:pPr>
        <w:rPr>
          <w:sz w:val="24"/>
          <w:szCs w:val="24"/>
        </w:rPr>
      </w:pPr>
    </w:p>
    <w:p w14:paraId="07CC8568" w14:textId="77777777" w:rsidR="005C3D1E" w:rsidRDefault="005C3D1E" w:rsidP="00677C93">
      <w:pPr>
        <w:widowControl w:val="0"/>
        <w:autoSpaceDE w:val="0"/>
        <w:autoSpaceDN w:val="0"/>
        <w:adjustRightInd w:val="0"/>
        <w:ind w:right="-29"/>
        <w:rPr>
          <w:sz w:val="24"/>
          <w:szCs w:val="24"/>
        </w:rPr>
      </w:pPr>
    </w:p>
    <w:p w14:paraId="3F89EE80" w14:textId="77777777" w:rsidR="00B94FBC" w:rsidRDefault="00B94FBC" w:rsidP="006B5A68">
      <w:pPr>
        <w:widowControl w:val="0"/>
        <w:autoSpaceDE w:val="0"/>
        <w:autoSpaceDN w:val="0"/>
        <w:adjustRightInd w:val="0"/>
        <w:jc w:val="both"/>
        <w:rPr>
          <w:sz w:val="24"/>
          <w:szCs w:val="24"/>
        </w:rPr>
      </w:pPr>
    </w:p>
    <w:p w14:paraId="532F4073" w14:textId="3170E848" w:rsidR="00A71FE6" w:rsidRPr="00B0459D" w:rsidRDefault="00A71FE6" w:rsidP="00F67DF3">
      <w:pPr>
        <w:widowControl w:val="0"/>
        <w:autoSpaceDE w:val="0"/>
        <w:autoSpaceDN w:val="0"/>
        <w:adjustRightInd w:val="0"/>
        <w:rPr>
          <w:sz w:val="24"/>
          <w:szCs w:val="24"/>
        </w:rPr>
      </w:pPr>
      <w:r w:rsidRPr="00B0459D">
        <w:rPr>
          <w:sz w:val="24"/>
          <w:szCs w:val="24"/>
        </w:rPr>
        <w:t xml:space="preserve">The charges </w:t>
      </w:r>
      <w:r w:rsidR="00C95CA0">
        <w:rPr>
          <w:sz w:val="24"/>
          <w:szCs w:val="24"/>
        </w:rPr>
        <w:t>set</w:t>
      </w:r>
      <w:r w:rsidR="00167147">
        <w:rPr>
          <w:sz w:val="24"/>
          <w:szCs w:val="24"/>
        </w:rPr>
        <w:t xml:space="preserve"> </w:t>
      </w:r>
      <w:r w:rsidRPr="00B0459D">
        <w:rPr>
          <w:sz w:val="24"/>
          <w:szCs w:val="24"/>
        </w:rPr>
        <w:t>by th</w:t>
      </w:r>
      <w:r w:rsidR="00C95CA0">
        <w:rPr>
          <w:sz w:val="24"/>
          <w:szCs w:val="24"/>
        </w:rPr>
        <w:t>is</w:t>
      </w:r>
      <w:r w:rsidRPr="00B0459D">
        <w:rPr>
          <w:sz w:val="24"/>
          <w:szCs w:val="24"/>
        </w:rPr>
        <w:t xml:space="preserve"> </w:t>
      </w:r>
      <w:r w:rsidR="00B94FBC">
        <w:rPr>
          <w:sz w:val="24"/>
          <w:szCs w:val="24"/>
        </w:rPr>
        <w:t>I</w:t>
      </w:r>
      <w:r w:rsidR="00CC06F8">
        <w:rPr>
          <w:sz w:val="24"/>
          <w:szCs w:val="24"/>
        </w:rPr>
        <w:t xml:space="preserve">nstrument </w:t>
      </w:r>
      <w:r w:rsidRPr="00B0459D">
        <w:rPr>
          <w:sz w:val="24"/>
          <w:szCs w:val="24"/>
        </w:rPr>
        <w:t xml:space="preserve">are fixed on a cost recovery basis and in line with the </w:t>
      </w:r>
      <w:r w:rsidRPr="004F3FD9">
        <w:rPr>
          <w:i/>
          <w:sz w:val="24"/>
          <w:szCs w:val="24"/>
        </w:rPr>
        <w:t>Australian Government Cost Recovery Guidelines July 20</w:t>
      </w:r>
      <w:r w:rsidR="00713048" w:rsidRPr="004F3FD9">
        <w:rPr>
          <w:i/>
          <w:sz w:val="24"/>
          <w:szCs w:val="24"/>
        </w:rPr>
        <w:t>14</w:t>
      </w:r>
      <w:r w:rsidR="00AE17D4">
        <w:rPr>
          <w:sz w:val="24"/>
          <w:szCs w:val="24"/>
        </w:rPr>
        <w:t xml:space="preserve">. </w:t>
      </w:r>
      <w:r w:rsidRPr="00B0459D">
        <w:rPr>
          <w:sz w:val="24"/>
          <w:szCs w:val="24"/>
        </w:rPr>
        <w:t xml:space="preserve">A Cost Recovery </w:t>
      </w:r>
      <w:r w:rsidR="002B2D35" w:rsidRPr="00B0459D">
        <w:rPr>
          <w:sz w:val="24"/>
          <w:szCs w:val="24"/>
        </w:rPr>
        <w:t xml:space="preserve">Implementation </w:t>
      </w:r>
      <w:r w:rsidRPr="00B0459D">
        <w:rPr>
          <w:sz w:val="24"/>
          <w:szCs w:val="24"/>
        </w:rPr>
        <w:t xml:space="preserve">Statement (CRIS) has been </w:t>
      </w:r>
      <w:r w:rsidR="007C75C2">
        <w:rPr>
          <w:sz w:val="24"/>
          <w:szCs w:val="24"/>
        </w:rPr>
        <w:t>prepared</w:t>
      </w:r>
      <w:r w:rsidR="007C75C2" w:rsidRPr="00B0459D">
        <w:rPr>
          <w:sz w:val="24"/>
          <w:szCs w:val="24"/>
        </w:rPr>
        <w:t xml:space="preserve"> </w:t>
      </w:r>
      <w:r w:rsidRPr="00B0459D">
        <w:rPr>
          <w:sz w:val="24"/>
          <w:szCs w:val="24"/>
        </w:rPr>
        <w:t>in support of this Explanatory Statement.</w:t>
      </w:r>
    </w:p>
    <w:p w14:paraId="56C86713" w14:textId="77777777" w:rsidR="007104E9" w:rsidRDefault="007104E9" w:rsidP="006B5A68">
      <w:pPr>
        <w:widowControl w:val="0"/>
        <w:tabs>
          <w:tab w:val="left" w:pos="6780"/>
        </w:tabs>
        <w:autoSpaceDE w:val="0"/>
        <w:autoSpaceDN w:val="0"/>
        <w:adjustRightInd w:val="0"/>
        <w:jc w:val="both"/>
        <w:rPr>
          <w:b/>
          <w:sz w:val="24"/>
          <w:szCs w:val="24"/>
        </w:rPr>
      </w:pPr>
    </w:p>
    <w:p w14:paraId="612721F0" w14:textId="77777777" w:rsidR="00CA71A0" w:rsidRDefault="00AB6020" w:rsidP="006B5A68">
      <w:pPr>
        <w:widowControl w:val="0"/>
        <w:tabs>
          <w:tab w:val="left" w:pos="6780"/>
        </w:tabs>
        <w:autoSpaceDE w:val="0"/>
        <w:autoSpaceDN w:val="0"/>
        <w:adjustRightInd w:val="0"/>
        <w:jc w:val="both"/>
        <w:rPr>
          <w:b/>
          <w:sz w:val="24"/>
          <w:szCs w:val="24"/>
        </w:rPr>
      </w:pPr>
      <w:r w:rsidRPr="00B0459D">
        <w:rPr>
          <w:b/>
          <w:sz w:val="24"/>
          <w:szCs w:val="24"/>
        </w:rPr>
        <w:t>How the charges have been calculated</w:t>
      </w:r>
    </w:p>
    <w:p w14:paraId="6CED6358" w14:textId="77777777" w:rsidR="00B94FBC" w:rsidRPr="00B0459D" w:rsidRDefault="00B94FBC" w:rsidP="00F67DF3">
      <w:pPr>
        <w:widowControl w:val="0"/>
        <w:tabs>
          <w:tab w:val="left" w:pos="6780"/>
        </w:tabs>
        <w:autoSpaceDE w:val="0"/>
        <w:autoSpaceDN w:val="0"/>
        <w:adjustRightInd w:val="0"/>
        <w:rPr>
          <w:b/>
          <w:sz w:val="24"/>
          <w:szCs w:val="24"/>
        </w:rPr>
      </w:pPr>
    </w:p>
    <w:p w14:paraId="354DCC74" w14:textId="538BD3F1" w:rsidR="000115A3" w:rsidRDefault="0005265A" w:rsidP="00F67DF3">
      <w:pPr>
        <w:rPr>
          <w:sz w:val="24"/>
          <w:szCs w:val="24"/>
        </w:rPr>
      </w:pPr>
      <w:r w:rsidRPr="00B0459D">
        <w:rPr>
          <w:sz w:val="24"/>
          <w:szCs w:val="24"/>
        </w:rPr>
        <w:t xml:space="preserve">The </w:t>
      </w:r>
      <w:r w:rsidR="00167147">
        <w:rPr>
          <w:sz w:val="24"/>
          <w:szCs w:val="24"/>
        </w:rPr>
        <w:t xml:space="preserve">charges payable to APRA in respect of the </w:t>
      </w:r>
      <w:r w:rsidRPr="00B0459D">
        <w:rPr>
          <w:sz w:val="24"/>
          <w:szCs w:val="24"/>
        </w:rPr>
        <w:t>representative offices of foreign banks in Australia were reviewed</w:t>
      </w:r>
      <w:r w:rsidR="003762B9">
        <w:rPr>
          <w:sz w:val="24"/>
          <w:szCs w:val="24"/>
        </w:rPr>
        <w:t xml:space="preserve"> </w:t>
      </w:r>
      <w:r w:rsidRPr="00B0459D">
        <w:rPr>
          <w:sz w:val="24"/>
          <w:szCs w:val="24"/>
        </w:rPr>
        <w:t xml:space="preserve">(along with other entity type </w:t>
      </w:r>
      <w:r w:rsidR="00CA0E4F" w:rsidRPr="00B0459D">
        <w:rPr>
          <w:sz w:val="24"/>
          <w:szCs w:val="24"/>
        </w:rPr>
        <w:t>charges</w:t>
      </w:r>
      <w:r w:rsidR="00FF40CA" w:rsidRPr="00B0459D">
        <w:rPr>
          <w:sz w:val="24"/>
          <w:szCs w:val="24"/>
        </w:rPr>
        <w:t>) during the 2016-17</w:t>
      </w:r>
      <w:r w:rsidRPr="00B0459D">
        <w:rPr>
          <w:sz w:val="24"/>
          <w:szCs w:val="24"/>
        </w:rPr>
        <w:t xml:space="preserve"> financial year to ascertain </w:t>
      </w:r>
      <w:r w:rsidR="00167147">
        <w:rPr>
          <w:sz w:val="24"/>
          <w:szCs w:val="24"/>
        </w:rPr>
        <w:t>whether</w:t>
      </w:r>
      <w:r w:rsidRPr="00B0459D">
        <w:rPr>
          <w:sz w:val="24"/>
          <w:szCs w:val="24"/>
        </w:rPr>
        <w:t xml:space="preserve"> all existing </w:t>
      </w:r>
      <w:r w:rsidR="00CA0E4F" w:rsidRPr="00B0459D">
        <w:rPr>
          <w:sz w:val="24"/>
          <w:szCs w:val="24"/>
        </w:rPr>
        <w:t>charges</w:t>
      </w:r>
      <w:r w:rsidRPr="00B0459D">
        <w:rPr>
          <w:sz w:val="24"/>
          <w:szCs w:val="24"/>
        </w:rPr>
        <w:t xml:space="preserve"> </w:t>
      </w:r>
      <w:r w:rsidR="00167147">
        <w:rPr>
          <w:sz w:val="24"/>
          <w:szCs w:val="24"/>
        </w:rPr>
        <w:t>continued to be fixed</w:t>
      </w:r>
      <w:r w:rsidRPr="00B0459D">
        <w:rPr>
          <w:sz w:val="24"/>
          <w:szCs w:val="24"/>
        </w:rPr>
        <w:t xml:space="preserve"> at appropriate levels and </w:t>
      </w:r>
      <w:r w:rsidR="00167147">
        <w:rPr>
          <w:sz w:val="24"/>
          <w:szCs w:val="24"/>
        </w:rPr>
        <w:t>continued to be</w:t>
      </w:r>
      <w:r w:rsidRPr="00B0459D">
        <w:rPr>
          <w:sz w:val="24"/>
          <w:szCs w:val="24"/>
        </w:rPr>
        <w:t xml:space="preserve"> compliant with the cost recovery guidelines</w:t>
      </w:r>
      <w:r w:rsidR="0020060D">
        <w:rPr>
          <w:sz w:val="24"/>
          <w:szCs w:val="24"/>
        </w:rPr>
        <w:t>.</w:t>
      </w:r>
      <w:r w:rsidR="00167147">
        <w:rPr>
          <w:sz w:val="24"/>
          <w:szCs w:val="24"/>
        </w:rPr>
        <w:t xml:space="preserve"> </w:t>
      </w:r>
      <w:r w:rsidR="0020060D" w:rsidRPr="00E17D13">
        <w:rPr>
          <w:sz w:val="24"/>
          <w:szCs w:val="24"/>
        </w:rPr>
        <w:t xml:space="preserve">Refer </w:t>
      </w:r>
      <w:r w:rsidR="0020060D">
        <w:rPr>
          <w:sz w:val="24"/>
          <w:szCs w:val="24"/>
        </w:rPr>
        <w:t xml:space="preserve">to </w:t>
      </w:r>
      <w:r w:rsidR="00C95CA0">
        <w:rPr>
          <w:sz w:val="24"/>
          <w:szCs w:val="24"/>
        </w:rPr>
        <w:t>section 4 for further information</w:t>
      </w:r>
      <w:r w:rsidR="0020060D" w:rsidRPr="00E17D13">
        <w:rPr>
          <w:sz w:val="24"/>
          <w:szCs w:val="24"/>
        </w:rPr>
        <w:t>.</w:t>
      </w:r>
    </w:p>
    <w:p w14:paraId="3CD4FA0D" w14:textId="77777777" w:rsidR="00B94FBC" w:rsidRPr="00F723BA" w:rsidRDefault="00B94FBC" w:rsidP="006B5A68">
      <w:pPr>
        <w:jc w:val="both"/>
        <w:rPr>
          <w:sz w:val="24"/>
          <w:szCs w:val="24"/>
        </w:rPr>
      </w:pPr>
    </w:p>
    <w:p w14:paraId="04A956EF" w14:textId="77777777" w:rsidR="00542C93" w:rsidRPr="00B0459D" w:rsidRDefault="00E8556C" w:rsidP="004C1B76">
      <w:pPr>
        <w:pStyle w:val="ListParagraph"/>
        <w:widowControl w:val="0"/>
        <w:numPr>
          <w:ilvl w:val="0"/>
          <w:numId w:val="16"/>
        </w:numPr>
        <w:tabs>
          <w:tab w:val="left" w:pos="284"/>
          <w:tab w:val="left" w:pos="6780"/>
        </w:tabs>
        <w:autoSpaceDE w:val="0"/>
        <w:autoSpaceDN w:val="0"/>
        <w:adjustRightInd w:val="0"/>
        <w:ind w:left="0" w:firstLine="0"/>
        <w:jc w:val="both"/>
        <w:rPr>
          <w:b/>
          <w:sz w:val="24"/>
          <w:szCs w:val="24"/>
        </w:rPr>
      </w:pPr>
      <w:r w:rsidRPr="00B0459D">
        <w:rPr>
          <w:b/>
          <w:sz w:val="24"/>
          <w:szCs w:val="24"/>
        </w:rPr>
        <w:t>Consultation</w:t>
      </w:r>
    </w:p>
    <w:p w14:paraId="6F78CBAA" w14:textId="77777777" w:rsidR="00A86BA6" w:rsidRPr="00B0459D" w:rsidRDefault="00A86BA6" w:rsidP="006B5A68">
      <w:pPr>
        <w:widowControl w:val="0"/>
        <w:tabs>
          <w:tab w:val="left" w:pos="6780"/>
        </w:tabs>
        <w:autoSpaceDE w:val="0"/>
        <w:autoSpaceDN w:val="0"/>
        <w:adjustRightInd w:val="0"/>
        <w:ind w:hanging="142"/>
        <w:jc w:val="both"/>
        <w:rPr>
          <w:b/>
          <w:sz w:val="24"/>
          <w:szCs w:val="24"/>
        </w:rPr>
      </w:pPr>
    </w:p>
    <w:p w14:paraId="6F15A0B9" w14:textId="364EB0D3" w:rsidR="00F40AD6" w:rsidRDefault="00F40AD6" w:rsidP="00F67DF3">
      <w:pPr>
        <w:autoSpaceDE w:val="0"/>
        <w:autoSpaceDN w:val="0"/>
        <w:adjustRightInd w:val="0"/>
        <w:ind w:left="142" w:hanging="142"/>
        <w:rPr>
          <w:sz w:val="24"/>
          <w:szCs w:val="24"/>
          <w:lang w:val="en-AU"/>
        </w:rPr>
      </w:pPr>
      <w:r>
        <w:rPr>
          <w:sz w:val="24"/>
          <w:szCs w:val="24"/>
          <w:lang w:val="en-AU"/>
        </w:rPr>
        <w:t>Consultation has not been undertaken as the changes are considered to be minor or</w:t>
      </w:r>
      <w:r w:rsidR="00C95CA0">
        <w:rPr>
          <w:sz w:val="24"/>
          <w:szCs w:val="24"/>
          <w:lang w:val="en-AU"/>
        </w:rPr>
        <w:t xml:space="preserve"> </w:t>
      </w:r>
    </w:p>
    <w:p w14:paraId="53ECA8BD" w14:textId="148E609E" w:rsidR="00A86BA6" w:rsidRPr="008045E9" w:rsidRDefault="00F40AD6" w:rsidP="00F67DF3">
      <w:pPr>
        <w:autoSpaceDE w:val="0"/>
        <w:autoSpaceDN w:val="0"/>
        <w:adjustRightInd w:val="0"/>
        <w:rPr>
          <w:sz w:val="24"/>
          <w:szCs w:val="24"/>
          <w:lang w:val="en-AU"/>
        </w:rPr>
      </w:pPr>
      <w:r>
        <w:rPr>
          <w:sz w:val="24"/>
          <w:szCs w:val="24"/>
          <w:lang w:val="en-AU"/>
        </w:rPr>
        <w:t xml:space="preserve">machinery </w:t>
      </w:r>
      <w:r w:rsidR="008045E9">
        <w:rPr>
          <w:sz w:val="24"/>
          <w:szCs w:val="24"/>
          <w:lang w:val="en-AU"/>
        </w:rPr>
        <w:t xml:space="preserve">in </w:t>
      </w:r>
      <w:r>
        <w:rPr>
          <w:sz w:val="24"/>
          <w:szCs w:val="24"/>
          <w:lang w:val="en-AU"/>
        </w:rPr>
        <w:t>nature and do not substantially alter existing arrangements within the meaning of</w:t>
      </w:r>
      <w:r w:rsidR="008045E9">
        <w:rPr>
          <w:sz w:val="24"/>
          <w:szCs w:val="24"/>
          <w:lang w:val="en-AU"/>
        </w:rPr>
        <w:t xml:space="preserve"> </w:t>
      </w:r>
      <w:r>
        <w:rPr>
          <w:sz w:val="24"/>
          <w:szCs w:val="24"/>
          <w:lang w:val="en-AU"/>
        </w:rPr>
        <w:t xml:space="preserve">paragraph 18(2)(a) of the </w:t>
      </w:r>
      <w:r>
        <w:rPr>
          <w:i/>
          <w:iCs/>
          <w:sz w:val="24"/>
          <w:szCs w:val="24"/>
          <w:lang w:val="en-AU"/>
        </w:rPr>
        <w:t>Legislative Instruments Act 2003.</w:t>
      </w:r>
    </w:p>
    <w:p w14:paraId="3CC33A6B" w14:textId="77777777" w:rsidR="00F40AD6" w:rsidRPr="00B0459D" w:rsidRDefault="00F40AD6" w:rsidP="006B5A68">
      <w:pPr>
        <w:ind w:hanging="142"/>
        <w:jc w:val="both"/>
        <w:rPr>
          <w:color w:val="000000"/>
          <w:sz w:val="24"/>
          <w:szCs w:val="24"/>
        </w:rPr>
      </w:pPr>
    </w:p>
    <w:p w14:paraId="39123852" w14:textId="77777777" w:rsidR="00542C93" w:rsidRPr="00B0459D" w:rsidRDefault="00E8556C" w:rsidP="004C1B76">
      <w:pPr>
        <w:pStyle w:val="ListParagraph"/>
        <w:numPr>
          <w:ilvl w:val="0"/>
          <w:numId w:val="16"/>
        </w:numPr>
        <w:tabs>
          <w:tab w:val="left" w:pos="284"/>
        </w:tabs>
        <w:ind w:left="0" w:firstLine="0"/>
        <w:jc w:val="both"/>
        <w:rPr>
          <w:b/>
          <w:color w:val="000000"/>
          <w:sz w:val="24"/>
          <w:szCs w:val="24"/>
        </w:rPr>
      </w:pPr>
      <w:r w:rsidRPr="00B0459D">
        <w:rPr>
          <w:b/>
          <w:color w:val="000000"/>
          <w:sz w:val="24"/>
          <w:szCs w:val="24"/>
        </w:rPr>
        <w:t xml:space="preserve">Cost Recovery </w:t>
      </w:r>
      <w:r w:rsidR="00637DD2" w:rsidRPr="00B0459D">
        <w:rPr>
          <w:b/>
          <w:color w:val="000000"/>
          <w:sz w:val="24"/>
          <w:szCs w:val="24"/>
        </w:rPr>
        <w:t xml:space="preserve">Implementation </w:t>
      </w:r>
      <w:r w:rsidRPr="00B0459D">
        <w:rPr>
          <w:b/>
          <w:color w:val="000000"/>
          <w:sz w:val="24"/>
          <w:szCs w:val="24"/>
        </w:rPr>
        <w:t>Statement</w:t>
      </w:r>
    </w:p>
    <w:p w14:paraId="0B077D94" w14:textId="77777777" w:rsidR="00F17535" w:rsidRPr="00B0459D" w:rsidRDefault="00F17535" w:rsidP="006B5A68">
      <w:pPr>
        <w:jc w:val="both"/>
        <w:rPr>
          <w:color w:val="000000"/>
          <w:sz w:val="24"/>
          <w:szCs w:val="24"/>
        </w:rPr>
      </w:pPr>
    </w:p>
    <w:p w14:paraId="3F1AD180" w14:textId="1EC9BD21" w:rsidR="00B350FC" w:rsidRDefault="00B350FC" w:rsidP="00F67DF3">
      <w:pPr>
        <w:rPr>
          <w:color w:val="000000"/>
          <w:sz w:val="24"/>
          <w:szCs w:val="24"/>
        </w:rPr>
      </w:pPr>
      <w:r w:rsidRPr="0039417C">
        <w:rPr>
          <w:color w:val="000000"/>
          <w:sz w:val="24"/>
          <w:szCs w:val="24"/>
        </w:rPr>
        <w:t>A Cost Recovery Implementation Statement, execute</w:t>
      </w:r>
      <w:r>
        <w:rPr>
          <w:color w:val="000000"/>
          <w:sz w:val="24"/>
          <w:szCs w:val="24"/>
        </w:rPr>
        <w:t>d by APRA’s Chairman and dated</w:t>
      </w:r>
      <w:r w:rsidRPr="00C67423">
        <w:rPr>
          <w:color w:val="000000"/>
          <w:sz w:val="24"/>
          <w:szCs w:val="24"/>
        </w:rPr>
        <w:t xml:space="preserve"> </w:t>
      </w:r>
      <w:r w:rsidR="00C67423" w:rsidRPr="00C67423">
        <w:rPr>
          <w:color w:val="000000"/>
          <w:sz w:val="24"/>
          <w:szCs w:val="24"/>
        </w:rPr>
        <w:t>1</w:t>
      </w:r>
      <w:r w:rsidR="005842A1">
        <w:rPr>
          <w:color w:val="000000"/>
          <w:sz w:val="24"/>
          <w:szCs w:val="24"/>
        </w:rPr>
        <w:t xml:space="preserve"> June </w:t>
      </w:r>
      <w:r>
        <w:rPr>
          <w:color w:val="000000"/>
          <w:sz w:val="24"/>
          <w:szCs w:val="24"/>
        </w:rPr>
        <w:t>2018</w:t>
      </w:r>
      <w:r w:rsidRPr="0039417C">
        <w:rPr>
          <w:color w:val="000000"/>
          <w:sz w:val="24"/>
          <w:szCs w:val="24"/>
        </w:rPr>
        <w:t xml:space="preserve"> </w:t>
      </w:r>
      <w:r w:rsidR="004D201C">
        <w:rPr>
          <w:color w:val="000000"/>
          <w:sz w:val="24"/>
          <w:szCs w:val="24"/>
        </w:rPr>
        <w:t>has been prepared and captures</w:t>
      </w:r>
      <w:r w:rsidR="002565CA">
        <w:rPr>
          <w:color w:val="000000"/>
          <w:sz w:val="24"/>
          <w:szCs w:val="24"/>
        </w:rPr>
        <w:t xml:space="preserve"> the charges.</w:t>
      </w:r>
    </w:p>
    <w:p w14:paraId="3C9B56FB" w14:textId="77777777" w:rsidR="00987539" w:rsidRPr="0039417C" w:rsidRDefault="00987539" w:rsidP="00F67DF3">
      <w:pPr>
        <w:rPr>
          <w:color w:val="000000"/>
          <w:sz w:val="24"/>
          <w:szCs w:val="24"/>
        </w:rPr>
      </w:pPr>
    </w:p>
    <w:p w14:paraId="02E3FBC9" w14:textId="77777777" w:rsidR="00B350FC" w:rsidRDefault="00B350FC" w:rsidP="00F67DF3">
      <w:pPr>
        <w:rPr>
          <w:sz w:val="24"/>
          <w:szCs w:val="24"/>
        </w:rPr>
      </w:pPr>
      <w:r w:rsidRPr="0039417C">
        <w:rPr>
          <w:sz w:val="24"/>
          <w:szCs w:val="24"/>
        </w:rPr>
        <w:t>As indicated in the Cost Recovery Implementation Statement:</w:t>
      </w:r>
    </w:p>
    <w:p w14:paraId="7F3F1127" w14:textId="1CC47E7F" w:rsidR="00B350FC" w:rsidRDefault="00CC06F8" w:rsidP="00F67DF3">
      <w:pPr>
        <w:rPr>
          <w:sz w:val="24"/>
          <w:szCs w:val="24"/>
        </w:rPr>
      </w:pPr>
      <w:r>
        <w:rPr>
          <w:sz w:val="24"/>
          <w:szCs w:val="24"/>
        </w:rPr>
        <w:t>“</w:t>
      </w:r>
      <w:r w:rsidR="00B350FC" w:rsidRPr="0039417C">
        <w:rPr>
          <w:sz w:val="24"/>
          <w:szCs w:val="24"/>
        </w:rPr>
        <w:t>Th</w:t>
      </w:r>
      <w:r w:rsidR="00B350FC">
        <w:rPr>
          <w:sz w:val="24"/>
          <w:szCs w:val="24"/>
        </w:rPr>
        <w:t>e</w:t>
      </w:r>
      <w:r w:rsidR="00B350FC" w:rsidRPr="0039417C">
        <w:rPr>
          <w:sz w:val="24"/>
          <w:szCs w:val="24"/>
        </w:rPr>
        <w:t xml:space="preserve"> 2016</w:t>
      </w:r>
      <w:r w:rsidR="00D85825">
        <w:rPr>
          <w:sz w:val="24"/>
          <w:szCs w:val="24"/>
        </w:rPr>
        <w:t>-</w:t>
      </w:r>
      <w:r w:rsidR="00B350FC" w:rsidRPr="0039417C">
        <w:rPr>
          <w:sz w:val="24"/>
          <w:szCs w:val="24"/>
        </w:rPr>
        <w:t>17 application charging review entailed examining all existing resourcing and task activity as indicated from the previous 2010</w:t>
      </w:r>
      <w:r w:rsidR="00D85825">
        <w:rPr>
          <w:sz w:val="24"/>
          <w:szCs w:val="24"/>
        </w:rPr>
        <w:t>-</w:t>
      </w:r>
      <w:r w:rsidR="00B350FC" w:rsidRPr="0039417C">
        <w:rPr>
          <w:sz w:val="24"/>
          <w:szCs w:val="24"/>
        </w:rPr>
        <w:t xml:space="preserve">11 review, to ascertain if such detail was still relevant to enable charge activity calculation and </w:t>
      </w:r>
      <w:r w:rsidR="00B350FC">
        <w:rPr>
          <w:sz w:val="24"/>
          <w:szCs w:val="24"/>
        </w:rPr>
        <w:t xml:space="preserve">that the </w:t>
      </w:r>
      <w:r w:rsidR="00B350FC" w:rsidRPr="0039417C">
        <w:rPr>
          <w:sz w:val="24"/>
          <w:szCs w:val="24"/>
        </w:rPr>
        <w:t xml:space="preserve">methodology </w:t>
      </w:r>
      <w:r w:rsidR="00B350FC">
        <w:rPr>
          <w:sz w:val="24"/>
          <w:szCs w:val="24"/>
        </w:rPr>
        <w:t xml:space="preserve">was </w:t>
      </w:r>
      <w:r w:rsidR="00B350FC" w:rsidRPr="0039417C">
        <w:rPr>
          <w:sz w:val="24"/>
          <w:szCs w:val="24"/>
        </w:rPr>
        <w:t>consistent with Cost Recovery Guidelines</w:t>
      </w:r>
      <w:r>
        <w:rPr>
          <w:sz w:val="24"/>
          <w:szCs w:val="24"/>
        </w:rPr>
        <w:t>”</w:t>
      </w:r>
      <w:r w:rsidR="00B350FC">
        <w:rPr>
          <w:sz w:val="24"/>
          <w:szCs w:val="24"/>
        </w:rPr>
        <w:t>.</w:t>
      </w:r>
      <w:r w:rsidR="00B350FC" w:rsidRPr="0039417C">
        <w:rPr>
          <w:sz w:val="24"/>
          <w:szCs w:val="24"/>
        </w:rPr>
        <w:t xml:space="preserve"> </w:t>
      </w:r>
    </w:p>
    <w:p w14:paraId="5B724879" w14:textId="77777777" w:rsidR="009D7AB8" w:rsidRPr="0039417C" w:rsidRDefault="009D7AB8" w:rsidP="00F67DF3">
      <w:pPr>
        <w:rPr>
          <w:sz w:val="24"/>
          <w:szCs w:val="24"/>
        </w:rPr>
      </w:pPr>
    </w:p>
    <w:p w14:paraId="3181FBC8" w14:textId="0BFB6173" w:rsidR="00B350FC" w:rsidRDefault="00B350FC" w:rsidP="00F67DF3">
      <w:pPr>
        <w:rPr>
          <w:sz w:val="24"/>
          <w:szCs w:val="24"/>
        </w:rPr>
      </w:pPr>
      <w:r w:rsidRPr="0039417C">
        <w:rPr>
          <w:sz w:val="24"/>
          <w:szCs w:val="24"/>
        </w:rPr>
        <w:t xml:space="preserve">This review included consultation with relevant areas in APRA and </w:t>
      </w:r>
      <w:r w:rsidR="009D7AB8">
        <w:rPr>
          <w:sz w:val="24"/>
          <w:szCs w:val="24"/>
        </w:rPr>
        <w:t>approved by APRA’s Executive.</w:t>
      </w:r>
    </w:p>
    <w:p w14:paraId="7C3B5A12" w14:textId="77777777" w:rsidR="009D7AB8" w:rsidRPr="0039417C" w:rsidRDefault="009D7AB8" w:rsidP="00F67DF3">
      <w:pPr>
        <w:rPr>
          <w:sz w:val="24"/>
          <w:szCs w:val="24"/>
        </w:rPr>
      </w:pPr>
    </w:p>
    <w:p w14:paraId="62A506BD" w14:textId="77777777" w:rsidR="00B350FC" w:rsidRPr="0039417C" w:rsidRDefault="00B350FC" w:rsidP="00F67DF3">
      <w:pPr>
        <w:rPr>
          <w:sz w:val="24"/>
          <w:szCs w:val="24"/>
        </w:rPr>
      </w:pPr>
      <w:r w:rsidRPr="0039417C">
        <w:rPr>
          <w:sz w:val="24"/>
          <w:szCs w:val="24"/>
        </w:rPr>
        <w:t>The outcome of the review was:</w:t>
      </w:r>
    </w:p>
    <w:p w14:paraId="70006DC1" w14:textId="3935856F" w:rsidR="00B350FC" w:rsidRPr="0039417C" w:rsidRDefault="00B350FC" w:rsidP="00F67DF3">
      <w:pPr>
        <w:rPr>
          <w:sz w:val="24"/>
          <w:szCs w:val="24"/>
        </w:rPr>
      </w:pPr>
      <w:r w:rsidRPr="0039417C">
        <w:rPr>
          <w:sz w:val="24"/>
          <w:szCs w:val="24"/>
        </w:rPr>
        <w:t>“All recommendations of the previous 2010</w:t>
      </w:r>
      <w:r w:rsidR="00D85825">
        <w:rPr>
          <w:sz w:val="24"/>
          <w:szCs w:val="24"/>
        </w:rPr>
        <w:t>-</w:t>
      </w:r>
      <w:r w:rsidRPr="0039417C">
        <w:rPr>
          <w:sz w:val="24"/>
          <w:szCs w:val="24"/>
        </w:rPr>
        <w:t>11 review be maintained, these being (amongst others)</w:t>
      </w:r>
      <w:r>
        <w:rPr>
          <w:sz w:val="24"/>
          <w:szCs w:val="24"/>
        </w:rPr>
        <w:t>:</w:t>
      </w:r>
      <w:r w:rsidRPr="0039417C">
        <w:rPr>
          <w:sz w:val="24"/>
          <w:szCs w:val="24"/>
        </w:rPr>
        <w:t xml:space="preserve"> </w:t>
      </w:r>
    </w:p>
    <w:p w14:paraId="5B7F70EF" w14:textId="04F590EC" w:rsidR="00B350FC" w:rsidRPr="0039417C" w:rsidRDefault="004C1B76" w:rsidP="00F67DF3">
      <w:pPr>
        <w:numPr>
          <w:ilvl w:val="0"/>
          <w:numId w:val="18"/>
        </w:numPr>
        <w:ind w:left="426" w:hanging="426"/>
        <w:rPr>
          <w:sz w:val="24"/>
          <w:szCs w:val="24"/>
        </w:rPr>
      </w:pPr>
      <w:r>
        <w:rPr>
          <w:sz w:val="24"/>
          <w:szCs w:val="24"/>
        </w:rPr>
        <w:t>a</w:t>
      </w:r>
      <w:r w:rsidR="00B350FC" w:rsidRPr="0039417C">
        <w:rPr>
          <w:sz w:val="24"/>
          <w:szCs w:val="24"/>
        </w:rPr>
        <w:t xml:space="preserve">ll licensing application charges should be charged at the same level, regardless of the </w:t>
      </w:r>
      <w:r w:rsidR="00B350FC" w:rsidRPr="00090991">
        <w:rPr>
          <w:sz w:val="24"/>
          <w:szCs w:val="24"/>
        </w:rPr>
        <w:t>industry type (with the exception of purchase payment facilities);</w:t>
      </w:r>
    </w:p>
    <w:p w14:paraId="431C6959" w14:textId="003DA11B" w:rsidR="00B350FC" w:rsidRPr="0039417C" w:rsidRDefault="004C1B76" w:rsidP="00F67DF3">
      <w:pPr>
        <w:pStyle w:val="BodyText"/>
        <w:numPr>
          <w:ilvl w:val="0"/>
          <w:numId w:val="18"/>
        </w:numPr>
        <w:spacing w:after="0"/>
        <w:ind w:left="426" w:hanging="426"/>
        <w:rPr>
          <w:szCs w:val="24"/>
        </w:rPr>
      </w:pPr>
      <w:r>
        <w:rPr>
          <w:szCs w:val="24"/>
        </w:rPr>
        <w:t>a</w:t>
      </w:r>
      <w:r w:rsidR="00B350FC" w:rsidRPr="0039417C">
        <w:rPr>
          <w:szCs w:val="24"/>
        </w:rPr>
        <w:t>ll licensing application charges are to be increased to better r</w:t>
      </w:r>
      <w:r w:rsidR="00B350FC">
        <w:rPr>
          <w:szCs w:val="24"/>
        </w:rPr>
        <w:t>eflect the actual cost incurred</w:t>
      </w:r>
      <w:r w:rsidR="00B350FC" w:rsidRPr="0039417C">
        <w:rPr>
          <w:szCs w:val="24"/>
        </w:rPr>
        <w:t xml:space="preserve">; and </w:t>
      </w:r>
    </w:p>
    <w:p w14:paraId="34026415" w14:textId="3035686B" w:rsidR="00B350FC" w:rsidRPr="0039417C" w:rsidRDefault="004C1B76" w:rsidP="00F67DF3">
      <w:pPr>
        <w:pStyle w:val="BodyText"/>
        <w:numPr>
          <w:ilvl w:val="0"/>
          <w:numId w:val="18"/>
        </w:numPr>
        <w:spacing w:after="0"/>
        <w:ind w:left="426" w:hanging="426"/>
        <w:rPr>
          <w:i/>
          <w:szCs w:val="24"/>
        </w:rPr>
      </w:pPr>
      <w:r>
        <w:rPr>
          <w:szCs w:val="24"/>
        </w:rPr>
        <w:t>t</w:t>
      </w:r>
      <w:r w:rsidR="00B350FC" w:rsidRPr="0039417C">
        <w:rPr>
          <w:szCs w:val="24"/>
        </w:rPr>
        <w:t>here should be no discount applied to licensing re-application charges</w:t>
      </w:r>
      <w:r w:rsidR="00B350FC">
        <w:rPr>
          <w:szCs w:val="24"/>
        </w:rPr>
        <w:t>.”</w:t>
      </w:r>
    </w:p>
    <w:p w14:paraId="5AC650EB" w14:textId="793F0590" w:rsidR="00B350FC" w:rsidRDefault="00B350FC" w:rsidP="00F67DF3">
      <w:pPr>
        <w:pStyle w:val="BodyText"/>
        <w:spacing w:after="0"/>
        <w:rPr>
          <w:szCs w:val="24"/>
        </w:rPr>
      </w:pPr>
      <w:r>
        <w:rPr>
          <w:szCs w:val="24"/>
        </w:rPr>
        <w:br/>
      </w:r>
      <w:r w:rsidRPr="0039417C">
        <w:rPr>
          <w:szCs w:val="24"/>
        </w:rPr>
        <w:t xml:space="preserve">The charges have been amended to reflect current resourcing and task activity. These charges, once established </w:t>
      </w:r>
      <w:r>
        <w:rPr>
          <w:szCs w:val="24"/>
        </w:rPr>
        <w:t>by</w:t>
      </w:r>
      <w:r w:rsidRPr="0039417C">
        <w:rPr>
          <w:szCs w:val="24"/>
        </w:rPr>
        <w:t xml:space="preserve"> a fixed </w:t>
      </w:r>
      <w:r w:rsidR="00C95CA0">
        <w:rPr>
          <w:szCs w:val="24"/>
        </w:rPr>
        <w:t>i</w:t>
      </w:r>
      <w:r>
        <w:rPr>
          <w:szCs w:val="24"/>
        </w:rPr>
        <w:t>nstrument</w:t>
      </w:r>
      <w:r w:rsidRPr="0039417C">
        <w:rPr>
          <w:szCs w:val="24"/>
        </w:rPr>
        <w:t xml:space="preserve">, will be reviewed every five years in line with the Cost Recovery Guidelines.    </w:t>
      </w:r>
    </w:p>
    <w:p w14:paraId="4272DC3D" w14:textId="77777777" w:rsidR="009D7AB8" w:rsidRDefault="009D7AB8" w:rsidP="003A0CA1">
      <w:pPr>
        <w:pStyle w:val="BodyText"/>
        <w:spacing w:after="0"/>
        <w:rPr>
          <w:szCs w:val="24"/>
        </w:rPr>
      </w:pPr>
    </w:p>
    <w:p w14:paraId="55032516" w14:textId="77777777" w:rsidR="001A26F2" w:rsidRDefault="001A26F2" w:rsidP="003A0CA1">
      <w:pPr>
        <w:pStyle w:val="BodyText"/>
        <w:spacing w:after="0"/>
        <w:rPr>
          <w:szCs w:val="24"/>
        </w:rPr>
      </w:pPr>
    </w:p>
    <w:p w14:paraId="405FC915" w14:textId="77777777" w:rsidR="001A26F2" w:rsidRDefault="001A26F2" w:rsidP="003A0CA1">
      <w:pPr>
        <w:pStyle w:val="BodyText"/>
        <w:spacing w:after="0"/>
        <w:rPr>
          <w:szCs w:val="24"/>
        </w:rPr>
      </w:pPr>
    </w:p>
    <w:p w14:paraId="137DC82E" w14:textId="77777777" w:rsidR="001A26F2" w:rsidRDefault="001A26F2" w:rsidP="003A0CA1">
      <w:pPr>
        <w:pStyle w:val="BodyText"/>
        <w:spacing w:after="0"/>
        <w:rPr>
          <w:szCs w:val="24"/>
        </w:rPr>
      </w:pPr>
    </w:p>
    <w:p w14:paraId="4FD7D83B" w14:textId="77777777" w:rsidR="00DF414D" w:rsidRDefault="00DF414D" w:rsidP="006B5A68">
      <w:pPr>
        <w:pStyle w:val="BodyText"/>
        <w:spacing w:after="0"/>
        <w:jc w:val="both"/>
        <w:rPr>
          <w:szCs w:val="24"/>
        </w:rPr>
      </w:pPr>
    </w:p>
    <w:p w14:paraId="051B38AB" w14:textId="77777777" w:rsidR="00B350FC" w:rsidRDefault="00B350FC" w:rsidP="00F67DF3">
      <w:pPr>
        <w:pStyle w:val="BodyText"/>
        <w:spacing w:after="0"/>
        <w:rPr>
          <w:szCs w:val="24"/>
        </w:rPr>
      </w:pPr>
      <w:r w:rsidRPr="0039417C">
        <w:rPr>
          <w:szCs w:val="24"/>
        </w:rPr>
        <w:t xml:space="preserve">In determining whether the cost of an activity would be best recovered </w:t>
      </w:r>
      <w:r>
        <w:rPr>
          <w:szCs w:val="24"/>
        </w:rPr>
        <w:t>by</w:t>
      </w:r>
      <w:r w:rsidRPr="0039417C">
        <w:rPr>
          <w:szCs w:val="24"/>
        </w:rPr>
        <w:t xml:space="preserve"> a charge or the </w:t>
      </w:r>
      <w:r>
        <w:rPr>
          <w:szCs w:val="24"/>
        </w:rPr>
        <w:t>supervisory</w:t>
      </w:r>
      <w:r w:rsidRPr="0039417C">
        <w:rPr>
          <w:szCs w:val="24"/>
        </w:rPr>
        <w:t xml:space="preserve"> levy, an assessment was made against a number of criteria laid down in the Cost Recovery Guidelines.</w:t>
      </w:r>
    </w:p>
    <w:p w14:paraId="20BF027F" w14:textId="77777777" w:rsidR="009D7AB8" w:rsidRPr="0039417C" w:rsidRDefault="009D7AB8" w:rsidP="00F67DF3">
      <w:pPr>
        <w:pStyle w:val="BodyText"/>
        <w:spacing w:after="0"/>
        <w:rPr>
          <w:i/>
          <w:szCs w:val="24"/>
        </w:rPr>
      </w:pPr>
    </w:p>
    <w:p w14:paraId="00599DD0" w14:textId="77777777" w:rsidR="00B350FC" w:rsidRPr="007C2B83" w:rsidRDefault="00B350FC" w:rsidP="00F67DF3">
      <w:pPr>
        <w:rPr>
          <w:b/>
          <w:color w:val="000000"/>
          <w:sz w:val="24"/>
          <w:szCs w:val="24"/>
        </w:rPr>
      </w:pPr>
      <w:r w:rsidRPr="0039417C">
        <w:rPr>
          <w:sz w:val="24"/>
          <w:szCs w:val="24"/>
        </w:rPr>
        <w:t xml:space="preserve">In principle, cost recovery </w:t>
      </w:r>
      <w:r>
        <w:rPr>
          <w:sz w:val="24"/>
          <w:szCs w:val="24"/>
        </w:rPr>
        <w:t>by</w:t>
      </w:r>
      <w:r w:rsidRPr="0039417C">
        <w:rPr>
          <w:sz w:val="24"/>
          <w:szCs w:val="24"/>
        </w:rPr>
        <w:t xml:space="preserve"> a charge is considered appropriate if the activity and its costs can be linked to a specific individual or organisation.</w:t>
      </w:r>
    </w:p>
    <w:p w14:paraId="570467A5" w14:textId="77777777" w:rsidR="00021200" w:rsidRPr="00B0459D" w:rsidRDefault="00021200" w:rsidP="009D7AB8">
      <w:pPr>
        <w:rPr>
          <w:b/>
          <w:color w:val="000000"/>
          <w:sz w:val="24"/>
          <w:szCs w:val="24"/>
        </w:rPr>
      </w:pPr>
    </w:p>
    <w:p w14:paraId="5F091508" w14:textId="3E16A0F7" w:rsidR="00542C93" w:rsidRPr="006B5A68" w:rsidRDefault="00F17535" w:rsidP="004C1B76">
      <w:pPr>
        <w:pStyle w:val="ListParagraph"/>
        <w:numPr>
          <w:ilvl w:val="0"/>
          <w:numId w:val="16"/>
        </w:numPr>
        <w:ind w:left="284" w:hanging="284"/>
        <w:rPr>
          <w:b/>
          <w:color w:val="000000"/>
          <w:sz w:val="24"/>
          <w:szCs w:val="24"/>
        </w:rPr>
      </w:pPr>
      <w:r w:rsidRPr="006B5A68">
        <w:rPr>
          <w:b/>
          <w:color w:val="000000"/>
          <w:sz w:val="24"/>
          <w:szCs w:val="24"/>
        </w:rPr>
        <w:t>Regulat</w:t>
      </w:r>
      <w:r w:rsidR="00EB2AAB" w:rsidRPr="006B5A68">
        <w:rPr>
          <w:b/>
          <w:color w:val="000000"/>
          <w:sz w:val="24"/>
          <w:szCs w:val="24"/>
        </w:rPr>
        <w:t>ion</w:t>
      </w:r>
      <w:r w:rsidRPr="006B5A68">
        <w:rPr>
          <w:b/>
          <w:color w:val="000000"/>
          <w:sz w:val="24"/>
          <w:szCs w:val="24"/>
        </w:rPr>
        <w:t xml:space="preserve"> Impact Statement</w:t>
      </w:r>
    </w:p>
    <w:p w14:paraId="2A4640DB" w14:textId="77777777" w:rsidR="00312446" w:rsidRDefault="00312446" w:rsidP="009D7AB8">
      <w:pPr>
        <w:pStyle w:val="BodyText2"/>
        <w:spacing w:after="0"/>
        <w:rPr>
          <w:sz w:val="24"/>
          <w:szCs w:val="24"/>
        </w:rPr>
      </w:pPr>
    </w:p>
    <w:p w14:paraId="06E71970" w14:textId="77777777" w:rsidR="00231FC7" w:rsidRDefault="0025121C" w:rsidP="00F67DF3">
      <w:pPr>
        <w:pStyle w:val="BodyText2"/>
        <w:spacing w:after="0"/>
        <w:rPr>
          <w:sz w:val="24"/>
          <w:szCs w:val="24"/>
        </w:rPr>
      </w:pPr>
      <w:r w:rsidRPr="00B0459D">
        <w:rPr>
          <w:sz w:val="24"/>
          <w:szCs w:val="24"/>
        </w:rPr>
        <w:t>A Regulation Impact Statement</w:t>
      </w:r>
      <w:r w:rsidR="00EB2AAB" w:rsidRPr="00B0459D">
        <w:rPr>
          <w:sz w:val="24"/>
          <w:szCs w:val="24"/>
        </w:rPr>
        <w:t xml:space="preserve"> (RIS)</w:t>
      </w:r>
      <w:r w:rsidRPr="00B0459D">
        <w:rPr>
          <w:sz w:val="24"/>
          <w:szCs w:val="24"/>
        </w:rPr>
        <w:t xml:space="preserve"> </w:t>
      </w:r>
      <w:r w:rsidR="00EB2AAB" w:rsidRPr="00B0459D">
        <w:rPr>
          <w:sz w:val="24"/>
          <w:szCs w:val="24"/>
        </w:rPr>
        <w:t>p</w:t>
      </w:r>
      <w:r w:rsidRPr="00B0459D">
        <w:rPr>
          <w:sz w:val="24"/>
          <w:szCs w:val="24"/>
        </w:rPr>
        <w:t xml:space="preserve">reliminary </w:t>
      </w:r>
      <w:r w:rsidR="00EB2AAB" w:rsidRPr="00B0459D">
        <w:rPr>
          <w:sz w:val="24"/>
          <w:szCs w:val="24"/>
        </w:rPr>
        <w:t>a</w:t>
      </w:r>
      <w:r w:rsidRPr="00B0459D">
        <w:rPr>
          <w:sz w:val="24"/>
          <w:szCs w:val="24"/>
        </w:rPr>
        <w:t>ssessment was not conducted as:</w:t>
      </w:r>
    </w:p>
    <w:p w14:paraId="6AC781E0" w14:textId="77777777" w:rsidR="00456D1C" w:rsidRPr="00B0459D" w:rsidRDefault="00456D1C" w:rsidP="00F67DF3">
      <w:pPr>
        <w:pStyle w:val="BodyText2"/>
        <w:spacing w:after="0"/>
        <w:rPr>
          <w:sz w:val="24"/>
          <w:szCs w:val="24"/>
        </w:rPr>
      </w:pPr>
    </w:p>
    <w:p w14:paraId="02CE6451" w14:textId="644E0258" w:rsidR="0050696B" w:rsidRPr="00DF414D" w:rsidRDefault="00B40F9B" w:rsidP="00F67DF3">
      <w:pPr>
        <w:pStyle w:val="BodyText2"/>
        <w:numPr>
          <w:ilvl w:val="0"/>
          <w:numId w:val="21"/>
        </w:numPr>
        <w:spacing w:after="0"/>
        <w:ind w:left="284"/>
        <w:rPr>
          <w:sz w:val="24"/>
          <w:szCs w:val="24"/>
        </w:rPr>
      </w:pPr>
      <w:r w:rsidRPr="00726763">
        <w:rPr>
          <w:sz w:val="24"/>
          <w:szCs w:val="24"/>
        </w:rPr>
        <w:t xml:space="preserve">APRA, by </w:t>
      </w:r>
      <w:r w:rsidR="00D912CC" w:rsidRPr="00726763">
        <w:rPr>
          <w:sz w:val="24"/>
          <w:szCs w:val="24"/>
        </w:rPr>
        <w:t>subs</w:t>
      </w:r>
      <w:r w:rsidR="00456D1C" w:rsidRPr="00726763">
        <w:rPr>
          <w:sz w:val="24"/>
          <w:szCs w:val="24"/>
        </w:rPr>
        <w:t>ection</w:t>
      </w:r>
      <w:r w:rsidR="0025121C" w:rsidRPr="00726763">
        <w:rPr>
          <w:sz w:val="24"/>
          <w:szCs w:val="24"/>
        </w:rPr>
        <w:t xml:space="preserve"> 51(1) of the APRA Act may, by legislative </w:t>
      </w:r>
      <w:r w:rsidR="000115A3" w:rsidRPr="00726763">
        <w:rPr>
          <w:sz w:val="24"/>
          <w:szCs w:val="24"/>
        </w:rPr>
        <w:t>instrument</w:t>
      </w:r>
      <w:r w:rsidR="0025121C" w:rsidRPr="00726763">
        <w:rPr>
          <w:sz w:val="24"/>
          <w:szCs w:val="24"/>
        </w:rPr>
        <w:t>, fix charges to be paid to it by persons in respect of:</w:t>
      </w:r>
    </w:p>
    <w:p w14:paraId="42EB274E" w14:textId="5AC17CED" w:rsidR="0025121C" w:rsidRDefault="00F67DF3" w:rsidP="00F67DF3">
      <w:pPr>
        <w:pStyle w:val="BodyText2"/>
        <w:numPr>
          <w:ilvl w:val="0"/>
          <w:numId w:val="14"/>
        </w:numPr>
        <w:tabs>
          <w:tab w:val="left" w:pos="426"/>
          <w:tab w:val="left" w:pos="851"/>
        </w:tabs>
        <w:spacing w:after="0"/>
        <w:ind w:left="0" w:firstLine="567"/>
        <w:rPr>
          <w:sz w:val="24"/>
          <w:szCs w:val="24"/>
        </w:rPr>
      </w:pPr>
      <w:r>
        <w:rPr>
          <w:sz w:val="24"/>
          <w:szCs w:val="24"/>
        </w:rPr>
        <w:t xml:space="preserve">  </w:t>
      </w:r>
      <w:r w:rsidR="0025121C" w:rsidRPr="00B0459D">
        <w:rPr>
          <w:sz w:val="24"/>
          <w:szCs w:val="24"/>
        </w:rPr>
        <w:t>services and facilities which APRA provides to such persons; and</w:t>
      </w:r>
    </w:p>
    <w:p w14:paraId="524FB7CD" w14:textId="356AA36F" w:rsidR="0025121C" w:rsidRPr="00F67DF3" w:rsidRDefault="00F67DF3" w:rsidP="00F67DF3">
      <w:pPr>
        <w:pStyle w:val="BodyText2"/>
        <w:numPr>
          <w:ilvl w:val="0"/>
          <w:numId w:val="14"/>
        </w:numPr>
        <w:tabs>
          <w:tab w:val="left" w:pos="426"/>
          <w:tab w:val="left" w:pos="851"/>
          <w:tab w:val="left" w:pos="993"/>
        </w:tabs>
        <w:spacing w:after="0"/>
        <w:ind w:left="0" w:firstLine="567"/>
        <w:rPr>
          <w:sz w:val="24"/>
          <w:szCs w:val="24"/>
        </w:rPr>
      </w:pPr>
      <w:r>
        <w:rPr>
          <w:sz w:val="24"/>
          <w:szCs w:val="24"/>
        </w:rPr>
        <w:t xml:space="preserve">  </w:t>
      </w:r>
      <w:r w:rsidR="0025121C" w:rsidRPr="00F67DF3">
        <w:rPr>
          <w:sz w:val="24"/>
          <w:szCs w:val="24"/>
        </w:rPr>
        <w:t xml:space="preserve">applications or requests made to APRA under laws of the Commonwealth; </w:t>
      </w:r>
    </w:p>
    <w:p w14:paraId="574B037F" w14:textId="65E3B435" w:rsidR="0025121C" w:rsidRPr="00B0459D" w:rsidRDefault="0025121C" w:rsidP="00F67DF3">
      <w:pPr>
        <w:pStyle w:val="BodyText2"/>
        <w:numPr>
          <w:ilvl w:val="0"/>
          <w:numId w:val="21"/>
        </w:numPr>
        <w:tabs>
          <w:tab w:val="left" w:pos="426"/>
        </w:tabs>
        <w:spacing w:after="0"/>
        <w:ind w:left="284"/>
        <w:rPr>
          <w:sz w:val="24"/>
          <w:szCs w:val="24"/>
        </w:rPr>
      </w:pPr>
      <w:r w:rsidRPr="00B0459D">
        <w:rPr>
          <w:sz w:val="24"/>
          <w:szCs w:val="24"/>
        </w:rPr>
        <w:t>these charges were include</w:t>
      </w:r>
      <w:r w:rsidR="005F06BB" w:rsidRPr="00B0459D">
        <w:rPr>
          <w:sz w:val="24"/>
          <w:szCs w:val="24"/>
        </w:rPr>
        <w:t>d</w:t>
      </w:r>
      <w:r w:rsidRPr="00B0459D">
        <w:rPr>
          <w:sz w:val="24"/>
          <w:szCs w:val="24"/>
        </w:rPr>
        <w:t xml:space="preserve"> in Treasury’s 2016</w:t>
      </w:r>
      <w:r w:rsidR="00D85825">
        <w:rPr>
          <w:sz w:val="24"/>
          <w:szCs w:val="24"/>
        </w:rPr>
        <w:t>-</w:t>
      </w:r>
      <w:r w:rsidRPr="00B0459D">
        <w:rPr>
          <w:sz w:val="24"/>
          <w:szCs w:val="24"/>
        </w:rPr>
        <w:t>17 P</w:t>
      </w:r>
      <w:r w:rsidR="00B40F9B">
        <w:rPr>
          <w:sz w:val="24"/>
          <w:szCs w:val="24"/>
        </w:rPr>
        <w:t xml:space="preserve">ortfolio </w:t>
      </w:r>
      <w:r w:rsidRPr="00B0459D">
        <w:rPr>
          <w:sz w:val="24"/>
          <w:szCs w:val="24"/>
        </w:rPr>
        <w:t>C</w:t>
      </w:r>
      <w:r w:rsidR="00B40F9B">
        <w:rPr>
          <w:sz w:val="24"/>
          <w:szCs w:val="24"/>
        </w:rPr>
        <w:t xml:space="preserve">harging </w:t>
      </w:r>
      <w:r w:rsidRPr="00B0459D">
        <w:rPr>
          <w:sz w:val="24"/>
          <w:szCs w:val="24"/>
        </w:rPr>
        <w:t>R</w:t>
      </w:r>
      <w:r w:rsidR="00B40F9B">
        <w:rPr>
          <w:sz w:val="24"/>
          <w:szCs w:val="24"/>
        </w:rPr>
        <w:t>eview</w:t>
      </w:r>
      <w:r w:rsidRPr="00B0459D">
        <w:rPr>
          <w:sz w:val="24"/>
          <w:szCs w:val="24"/>
        </w:rPr>
        <w:t xml:space="preserve"> and included in an Expenditure Review Committee briefing in March 2017; and </w:t>
      </w:r>
    </w:p>
    <w:p w14:paraId="73D1F8AC" w14:textId="7368EF7A" w:rsidR="0025121C" w:rsidRPr="00B0459D" w:rsidRDefault="00DF414D" w:rsidP="00F67DF3">
      <w:pPr>
        <w:pStyle w:val="BodyText2"/>
        <w:numPr>
          <w:ilvl w:val="0"/>
          <w:numId w:val="21"/>
        </w:numPr>
        <w:tabs>
          <w:tab w:val="left" w:pos="426"/>
        </w:tabs>
        <w:spacing w:after="0"/>
        <w:ind w:left="284"/>
        <w:rPr>
          <w:sz w:val="24"/>
          <w:szCs w:val="24"/>
        </w:rPr>
      </w:pPr>
      <w:r>
        <w:rPr>
          <w:sz w:val="24"/>
          <w:szCs w:val="24"/>
        </w:rPr>
        <w:t>t</w:t>
      </w:r>
      <w:r w:rsidR="0025121C" w:rsidRPr="00B0459D">
        <w:rPr>
          <w:sz w:val="24"/>
          <w:szCs w:val="24"/>
        </w:rPr>
        <w:t>he Office of Best Practice Regulation ad</w:t>
      </w:r>
      <w:r w:rsidR="00FF550C" w:rsidRPr="00B0459D">
        <w:rPr>
          <w:sz w:val="24"/>
          <w:szCs w:val="24"/>
        </w:rPr>
        <w:t>vised for the 2010</w:t>
      </w:r>
      <w:r w:rsidR="00D85825">
        <w:rPr>
          <w:sz w:val="24"/>
          <w:szCs w:val="24"/>
        </w:rPr>
        <w:t>-</w:t>
      </w:r>
      <w:r w:rsidR="00FF550C" w:rsidRPr="00B0459D">
        <w:rPr>
          <w:sz w:val="24"/>
          <w:szCs w:val="24"/>
        </w:rPr>
        <w:t>11 review such</w:t>
      </w:r>
      <w:r w:rsidR="0025121C" w:rsidRPr="00B0459D">
        <w:rPr>
          <w:sz w:val="24"/>
          <w:szCs w:val="24"/>
        </w:rPr>
        <w:t xml:space="preserve"> charges were of a ‘minor nature’ and a RIS was not required.</w:t>
      </w:r>
    </w:p>
    <w:p w14:paraId="593DE102" w14:textId="77777777" w:rsidR="007E6EC4" w:rsidRPr="00B0459D" w:rsidRDefault="007E6EC4" w:rsidP="00677C93">
      <w:pPr>
        <w:rPr>
          <w:b/>
          <w:color w:val="000000"/>
          <w:sz w:val="24"/>
          <w:szCs w:val="24"/>
        </w:rPr>
      </w:pPr>
    </w:p>
    <w:p w14:paraId="35EDF3C0" w14:textId="7365A1B8" w:rsidR="00542C93" w:rsidRPr="006B5A68" w:rsidRDefault="00E8556C" w:rsidP="004C1B76">
      <w:pPr>
        <w:pStyle w:val="ListParagraph"/>
        <w:numPr>
          <w:ilvl w:val="0"/>
          <w:numId w:val="16"/>
        </w:numPr>
        <w:ind w:left="284" w:hanging="284"/>
        <w:jc w:val="both"/>
        <w:rPr>
          <w:b/>
          <w:color w:val="000000"/>
          <w:sz w:val="24"/>
          <w:szCs w:val="24"/>
        </w:rPr>
      </w:pPr>
      <w:r w:rsidRPr="006B5A68">
        <w:rPr>
          <w:b/>
          <w:color w:val="000000"/>
          <w:sz w:val="24"/>
          <w:szCs w:val="24"/>
        </w:rPr>
        <w:t xml:space="preserve">Statement of compatibility prepared in accordance with Part 3 of the </w:t>
      </w:r>
      <w:r w:rsidR="00B16319" w:rsidRPr="006B5A68">
        <w:rPr>
          <w:b/>
          <w:color w:val="000000"/>
          <w:sz w:val="24"/>
          <w:szCs w:val="24"/>
        </w:rPr>
        <w:t>Human Rights (Parliamentary Scrutiny) Act 2011</w:t>
      </w:r>
    </w:p>
    <w:p w14:paraId="04ACE76B" w14:textId="77777777" w:rsidR="00A06A93" w:rsidRPr="00B0459D" w:rsidRDefault="00A06A93" w:rsidP="006B5A68">
      <w:pPr>
        <w:jc w:val="both"/>
        <w:rPr>
          <w:b/>
          <w:color w:val="000000"/>
          <w:sz w:val="24"/>
          <w:szCs w:val="24"/>
        </w:rPr>
      </w:pPr>
    </w:p>
    <w:p w14:paraId="78369F1A" w14:textId="3FED9A72" w:rsidR="00D912CC" w:rsidRDefault="00D912CC" w:rsidP="00F67DF3">
      <w:pPr>
        <w:rPr>
          <w:sz w:val="24"/>
          <w:szCs w:val="24"/>
        </w:rPr>
      </w:pPr>
      <w:r w:rsidRPr="00744DE7">
        <w:rPr>
          <w:sz w:val="24"/>
          <w:szCs w:val="24"/>
        </w:rPr>
        <w:t xml:space="preserve">A Statement of Compatibility prepared in accordance with Part 3 of the </w:t>
      </w:r>
      <w:r w:rsidRPr="00B66701">
        <w:rPr>
          <w:i/>
          <w:sz w:val="24"/>
          <w:szCs w:val="24"/>
        </w:rPr>
        <w:t>Human Rights (Parliamentary Scrutiny) Act 2011</w:t>
      </w:r>
      <w:r w:rsidRPr="00744DE7">
        <w:rPr>
          <w:sz w:val="24"/>
          <w:szCs w:val="24"/>
        </w:rPr>
        <w:t xml:space="preserve"> is provided at Attachment A to this Explanatory Statement.</w:t>
      </w:r>
    </w:p>
    <w:p w14:paraId="6282A13A" w14:textId="77777777" w:rsidR="00D912CC" w:rsidRDefault="00D912CC" w:rsidP="006B5A68">
      <w:pPr>
        <w:jc w:val="both"/>
        <w:rPr>
          <w:sz w:val="24"/>
          <w:szCs w:val="24"/>
        </w:rPr>
      </w:pPr>
      <w:r>
        <w:rPr>
          <w:sz w:val="24"/>
          <w:szCs w:val="24"/>
        </w:rPr>
        <w:br w:type="page"/>
      </w:r>
    </w:p>
    <w:p w14:paraId="7DCC0BE9" w14:textId="77777777" w:rsidR="005F42B7" w:rsidRDefault="005F42B7" w:rsidP="00677C93">
      <w:pPr>
        <w:spacing w:after="240"/>
        <w:rPr>
          <w:b/>
          <w:sz w:val="24"/>
          <w:szCs w:val="24"/>
        </w:rPr>
      </w:pPr>
    </w:p>
    <w:p w14:paraId="487026C8" w14:textId="77777777" w:rsidR="00D912CC" w:rsidRDefault="00D912CC" w:rsidP="009D7AB8">
      <w:pPr>
        <w:rPr>
          <w:b/>
          <w:sz w:val="24"/>
          <w:szCs w:val="24"/>
        </w:rPr>
      </w:pPr>
      <w:r w:rsidRPr="00744DE7">
        <w:rPr>
          <w:b/>
          <w:sz w:val="24"/>
          <w:szCs w:val="24"/>
        </w:rPr>
        <w:t>Attachment A</w:t>
      </w:r>
    </w:p>
    <w:p w14:paraId="61E32EFA" w14:textId="77777777" w:rsidR="009D7AB8" w:rsidRPr="00744DE7" w:rsidRDefault="009D7AB8" w:rsidP="00726763">
      <w:pPr>
        <w:rPr>
          <w:b/>
          <w:sz w:val="24"/>
          <w:szCs w:val="24"/>
        </w:rPr>
      </w:pPr>
    </w:p>
    <w:p w14:paraId="118C920A" w14:textId="77777777" w:rsidR="00D912CC" w:rsidRPr="00744DE7" w:rsidRDefault="00D912CC" w:rsidP="00726763">
      <w:pPr>
        <w:autoSpaceDE w:val="0"/>
        <w:autoSpaceDN w:val="0"/>
        <w:adjustRightInd w:val="0"/>
        <w:rPr>
          <w:b/>
          <w:sz w:val="24"/>
          <w:szCs w:val="24"/>
        </w:rPr>
      </w:pPr>
      <w:r w:rsidRPr="00744DE7">
        <w:rPr>
          <w:b/>
          <w:sz w:val="24"/>
          <w:szCs w:val="24"/>
        </w:rPr>
        <w:t>Statement of Compatibility with Human Rights</w:t>
      </w:r>
    </w:p>
    <w:p w14:paraId="58CB32C4" w14:textId="77777777" w:rsidR="00D912CC" w:rsidRDefault="00D912CC">
      <w:pPr>
        <w:autoSpaceDE w:val="0"/>
        <w:autoSpaceDN w:val="0"/>
        <w:adjustRightInd w:val="0"/>
        <w:rPr>
          <w:i/>
          <w:sz w:val="24"/>
          <w:szCs w:val="24"/>
        </w:rPr>
      </w:pPr>
    </w:p>
    <w:p w14:paraId="06677EB2" w14:textId="672AE8F2" w:rsidR="00D912CC" w:rsidRPr="00744DE7" w:rsidRDefault="00D912CC" w:rsidP="00F67DF3">
      <w:pPr>
        <w:autoSpaceDE w:val="0"/>
        <w:autoSpaceDN w:val="0"/>
        <w:adjustRightInd w:val="0"/>
        <w:rPr>
          <w:i/>
          <w:sz w:val="24"/>
          <w:szCs w:val="24"/>
        </w:rPr>
      </w:pPr>
      <w:r w:rsidRPr="00B66701">
        <w:rPr>
          <w:sz w:val="24"/>
          <w:szCs w:val="24"/>
        </w:rPr>
        <w:t>Prepared in accordance with Part 3 of the</w:t>
      </w:r>
      <w:r w:rsidRPr="00744DE7">
        <w:rPr>
          <w:i/>
          <w:sz w:val="24"/>
          <w:szCs w:val="24"/>
        </w:rPr>
        <w:t xml:space="preserve"> Human Rights (Parliamentary Scrutiny) Act 2011</w:t>
      </w:r>
      <w:r w:rsidR="00710095">
        <w:rPr>
          <w:i/>
          <w:sz w:val="24"/>
          <w:szCs w:val="24"/>
        </w:rPr>
        <w:t>.</w:t>
      </w:r>
    </w:p>
    <w:p w14:paraId="4B741EF2" w14:textId="77777777" w:rsidR="00D912CC" w:rsidRDefault="00D912CC">
      <w:pPr>
        <w:pStyle w:val="Title"/>
        <w:jc w:val="left"/>
      </w:pPr>
    </w:p>
    <w:p w14:paraId="40D4112A" w14:textId="002FFF00" w:rsidR="00D912CC" w:rsidRPr="00744DE7" w:rsidRDefault="00D912CC">
      <w:pPr>
        <w:pStyle w:val="Title"/>
        <w:jc w:val="left"/>
      </w:pPr>
      <w:r w:rsidRPr="00744DE7">
        <w:t xml:space="preserve">Australian Prudential Regulation Authority </w:t>
      </w:r>
      <w:r w:rsidR="00CC06F8">
        <w:t>Instrument</w:t>
      </w:r>
      <w:r w:rsidR="005C3D1E">
        <w:t xml:space="preserve"> </w:t>
      </w:r>
      <w:r w:rsidRPr="00744DE7">
        <w:t xml:space="preserve">fixing charges No. </w:t>
      </w:r>
      <w:r w:rsidR="00CE4BCF">
        <w:t>4</w:t>
      </w:r>
      <w:r w:rsidR="001C735D">
        <w:t xml:space="preserve"> of 2018</w:t>
      </w:r>
    </w:p>
    <w:p w14:paraId="22A35DA3" w14:textId="77777777" w:rsidR="00D912CC" w:rsidRPr="00744DE7" w:rsidRDefault="00D912CC">
      <w:pPr>
        <w:pStyle w:val="BodyText"/>
        <w:spacing w:after="0"/>
        <w:rPr>
          <w:szCs w:val="24"/>
        </w:rPr>
      </w:pPr>
    </w:p>
    <w:p w14:paraId="704C06D6" w14:textId="27EFB01B" w:rsidR="00D912CC" w:rsidRPr="0050592E" w:rsidRDefault="00D912CC">
      <w:pPr>
        <w:pStyle w:val="BodyText"/>
        <w:spacing w:after="0"/>
        <w:rPr>
          <w:i/>
          <w:szCs w:val="24"/>
        </w:rPr>
      </w:pPr>
      <w:r w:rsidRPr="00744DE7">
        <w:rPr>
          <w:szCs w:val="24"/>
        </w:rPr>
        <w:t xml:space="preserve">This Legislative </w:t>
      </w:r>
      <w:r w:rsidR="00CC06F8">
        <w:rPr>
          <w:szCs w:val="24"/>
        </w:rPr>
        <w:t>Instrument</w:t>
      </w:r>
      <w:r w:rsidR="005C3D1E">
        <w:rPr>
          <w:szCs w:val="24"/>
        </w:rPr>
        <w:t xml:space="preserve"> </w:t>
      </w:r>
      <w:r w:rsidRPr="00744DE7">
        <w:rPr>
          <w:szCs w:val="24"/>
        </w:rPr>
        <w:t xml:space="preserve">is compatible with the human rights and freedoms recognised or declared in the international </w:t>
      </w:r>
      <w:r w:rsidR="000115A3">
        <w:rPr>
          <w:szCs w:val="24"/>
        </w:rPr>
        <w:t>instrument</w:t>
      </w:r>
      <w:r w:rsidRPr="00744DE7">
        <w:rPr>
          <w:szCs w:val="24"/>
        </w:rPr>
        <w:t xml:space="preserve">s listed in section 3 of the </w:t>
      </w:r>
      <w:r w:rsidRPr="008B04D7">
        <w:rPr>
          <w:i/>
          <w:szCs w:val="24"/>
        </w:rPr>
        <w:t>Human Rights (Parliamentary Scrutiny) Act 2011</w:t>
      </w:r>
      <w:r w:rsidRPr="0050592E">
        <w:rPr>
          <w:i/>
          <w:szCs w:val="24"/>
        </w:rPr>
        <w:t xml:space="preserve"> </w:t>
      </w:r>
      <w:r w:rsidRPr="0050592E">
        <w:rPr>
          <w:szCs w:val="24"/>
        </w:rPr>
        <w:t>(HRPS Act)</w:t>
      </w:r>
      <w:r w:rsidRPr="0050592E">
        <w:rPr>
          <w:i/>
          <w:szCs w:val="24"/>
        </w:rPr>
        <w:t>.</w:t>
      </w:r>
    </w:p>
    <w:p w14:paraId="2FAF2AAB" w14:textId="77777777" w:rsidR="00D912CC" w:rsidRPr="008B04D7" w:rsidRDefault="00D912CC">
      <w:pPr>
        <w:pStyle w:val="BodyText"/>
        <w:spacing w:after="0"/>
        <w:rPr>
          <w:i/>
          <w:szCs w:val="24"/>
        </w:rPr>
      </w:pPr>
    </w:p>
    <w:p w14:paraId="6E049D63" w14:textId="77777777" w:rsidR="00D912CC" w:rsidRPr="008B04D7" w:rsidRDefault="00D912CC" w:rsidP="006B5A68">
      <w:pPr>
        <w:pStyle w:val="BodyText"/>
        <w:spacing w:after="0"/>
        <w:jc w:val="both"/>
        <w:rPr>
          <w:b/>
          <w:szCs w:val="24"/>
        </w:rPr>
      </w:pPr>
      <w:r w:rsidRPr="008B04D7">
        <w:rPr>
          <w:b/>
          <w:szCs w:val="24"/>
        </w:rPr>
        <w:t xml:space="preserve">Overview of the Legislative </w:t>
      </w:r>
      <w:r w:rsidR="000115A3">
        <w:rPr>
          <w:b/>
          <w:szCs w:val="24"/>
        </w:rPr>
        <w:t>Instrument</w:t>
      </w:r>
    </w:p>
    <w:p w14:paraId="4216D2CE" w14:textId="77777777" w:rsidR="00D912CC" w:rsidRDefault="00D912CC" w:rsidP="00726763">
      <w:pPr>
        <w:pStyle w:val="BodyText"/>
        <w:spacing w:after="0"/>
        <w:rPr>
          <w:color w:val="000000"/>
          <w:szCs w:val="24"/>
        </w:rPr>
      </w:pPr>
    </w:p>
    <w:p w14:paraId="00A1FBC9" w14:textId="74FEBAD0" w:rsidR="00D912CC" w:rsidRPr="00F723BA" w:rsidRDefault="00D912CC" w:rsidP="00726763">
      <w:pPr>
        <w:pStyle w:val="BodyText"/>
        <w:spacing w:after="0"/>
        <w:rPr>
          <w:color w:val="000000"/>
          <w:szCs w:val="24"/>
        </w:rPr>
      </w:pPr>
      <w:r w:rsidRPr="00B0459D">
        <w:rPr>
          <w:color w:val="000000"/>
          <w:szCs w:val="24"/>
        </w:rPr>
        <w:t xml:space="preserve">The </w:t>
      </w:r>
      <w:r>
        <w:rPr>
          <w:color w:val="000000"/>
          <w:szCs w:val="24"/>
        </w:rPr>
        <w:t xml:space="preserve">Legislative </w:t>
      </w:r>
      <w:r w:rsidR="00CC06F8">
        <w:rPr>
          <w:color w:val="000000"/>
          <w:szCs w:val="24"/>
        </w:rPr>
        <w:t>Instrument</w:t>
      </w:r>
      <w:r w:rsidR="005C3D1E">
        <w:rPr>
          <w:color w:val="000000"/>
          <w:szCs w:val="24"/>
        </w:rPr>
        <w:t xml:space="preserve"> </w:t>
      </w:r>
      <w:r w:rsidRPr="00B0459D">
        <w:rPr>
          <w:color w:val="000000"/>
          <w:szCs w:val="24"/>
        </w:rPr>
        <w:t xml:space="preserve">will fix charges to be paid to APRA by foreign banks for </w:t>
      </w:r>
      <w:r w:rsidR="009607DE">
        <w:rPr>
          <w:color w:val="000000"/>
          <w:szCs w:val="24"/>
        </w:rPr>
        <w:t xml:space="preserve">applications for </w:t>
      </w:r>
      <w:r w:rsidRPr="00B0459D">
        <w:rPr>
          <w:color w:val="000000"/>
          <w:szCs w:val="24"/>
        </w:rPr>
        <w:t xml:space="preserve">consent to </w:t>
      </w:r>
      <w:r w:rsidR="009F0CD9">
        <w:rPr>
          <w:color w:val="000000"/>
          <w:szCs w:val="24"/>
        </w:rPr>
        <w:t xml:space="preserve">establish or </w:t>
      </w:r>
      <w:r w:rsidRPr="00B0459D">
        <w:rPr>
          <w:color w:val="000000"/>
          <w:szCs w:val="24"/>
        </w:rPr>
        <w:t xml:space="preserve">maintain a representative office in Australia and for services provided by APRA in monitoring </w:t>
      </w:r>
      <w:r w:rsidR="009F0CD9">
        <w:rPr>
          <w:color w:val="000000"/>
          <w:szCs w:val="24"/>
        </w:rPr>
        <w:t xml:space="preserve">the activities </w:t>
      </w:r>
      <w:r w:rsidRPr="00B0459D">
        <w:rPr>
          <w:color w:val="000000"/>
          <w:szCs w:val="24"/>
        </w:rPr>
        <w:t>of such representative offices in Australia</w:t>
      </w:r>
      <w:r w:rsidR="009F0CD9">
        <w:rPr>
          <w:color w:val="000000"/>
          <w:szCs w:val="24"/>
        </w:rPr>
        <w:t xml:space="preserve"> and monitoring compliance with conditions imposed by APRA on the consent</w:t>
      </w:r>
      <w:r w:rsidRPr="00B0459D">
        <w:rPr>
          <w:color w:val="000000"/>
          <w:szCs w:val="24"/>
        </w:rPr>
        <w:t xml:space="preserve">.  </w:t>
      </w:r>
    </w:p>
    <w:p w14:paraId="6145046A" w14:textId="77777777" w:rsidR="00D912CC" w:rsidRDefault="00D912CC">
      <w:pPr>
        <w:pStyle w:val="BodyText"/>
        <w:spacing w:after="0"/>
        <w:rPr>
          <w:b/>
        </w:rPr>
      </w:pPr>
    </w:p>
    <w:p w14:paraId="2FC751C4" w14:textId="77777777" w:rsidR="00D912CC" w:rsidRDefault="00D912CC">
      <w:pPr>
        <w:pStyle w:val="BodyText"/>
        <w:spacing w:after="0"/>
        <w:rPr>
          <w:b/>
        </w:rPr>
      </w:pPr>
      <w:r w:rsidRPr="00744DE7">
        <w:rPr>
          <w:b/>
        </w:rPr>
        <w:t>Human rights implications</w:t>
      </w:r>
    </w:p>
    <w:p w14:paraId="0C98A9CB" w14:textId="77777777" w:rsidR="00D912CC" w:rsidRDefault="00D912CC">
      <w:pPr>
        <w:pStyle w:val="BodyText"/>
        <w:spacing w:after="0"/>
        <w:rPr>
          <w:b/>
        </w:rPr>
      </w:pPr>
    </w:p>
    <w:p w14:paraId="57B67F33" w14:textId="2BB4403D" w:rsidR="00D912CC" w:rsidRDefault="00D912CC">
      <w:pPr>
        <w:pStyle w:val="BodyText"/>
        <w:spacing w:after="0"/>
      </w:pPr>
      <w:r w:rsidRPr="00744DE7">
        <w:t xml:space="preserve">APRA has assessed this Legislative </w:t>
      </w:r>
      <w:r w:rsidR="00CC06F8">
        <w:t>Instrumen</w:t>
      </w:r>
      <w:r w:rsidR="005C3D1E">
        <w:t xml:space="preserve">t </w:t>
      </w:r>
      <w:r w:rsidRPr="00744DE7">
        <w:t xml:space="preserve">against the international </w:t>
      </w:r>
      <w:r w:rsidR="000115A3">
        <w:t>instrument</w:t>
      </w:r>
      <w:r w:rsidRPr="00744DE7">
        <w:t xml:space="preserve">s listed in section 3 of the HRPS Act and determined that this Legislative </w:t>
      </w:r>
      <w:r w:rsidR="00CC06F8">
        <w:t>Instrument</w:t>
      </w:r>
      <w:r w:rsidR="005C3D1E">
        <w:t xml:space="preserve"> </w:t>
      </w:r>
      <w:r w:rsidRPr="00744DE7">
        <w:t xml:space="preserve">does not engage any of the applicable rights or freedoms, as the charges payable by the </w:t>
      </w:r>
      <w:r>
        <w:t>authorised corporations</w:t>
      </w:r>
      <w:r w:rsidRPr="008B04D7">
        <w:t xml:space="preserve"> will not have any direct or indirect effect on the rights of individual persons. </w:t>
      </w:r>
    </w:p>
    <w:p w14:paraId="0F3AB90C" w14:textId="77777777" w:rsidR="00D912CC" w:rsidRDefault="00D912CC">
      <w:pPr>
        <w:pStyle w:val="BodyText"/>
        <w:spacing w:after="0"/>
      </w:pPr>
    </w:p>
    <w:p w14:paraId="5AD9BBF4" w14:textId="77777777" w:rsidR="00D912CC" w:rsidRDefault="00D912CC">
      <w:pPr>
        <w:pStyle w:val="BodyText"/>
        <w:spacing w:after="0"/>
        <w:rPr>
          <w:b/>
        </w:rPr>
      </w:pPr>
      <w:r w:rsidRPr="008B04D7">
        <w:rPr>
          <w:b/>
        </w:rPr>
        <w:t>Conclusion</w:t>
      </w:r>
    </w:p>
    <w:p w14:paraId="42D037EE" w14:textId="77777777" w:rsidR="00F67DF3" w:rsidRPr="008B04D7" w:rsidRDefault="00F67DF3">
      <w:pPr>
        <w:pStyle w:val="BodyText"/>
        <w:spacing w:after="0"/>
        <w:rPr>
          <w:b/>
        </w:rPr>
      </w:pPr>
    </w:p>
    <w:p w14:paraId="6E0C5B20" w14:textId="62D8C763" w:rsidR="00D912CC" w:rsidRPr="0050592E" w:rsidRDefault="00D912CC">
      <w:pPr>
        <w:pStyle w:val="BodyText"/>
        <w:spacing w:after="0"/>
        <w:rPr>
          <w:szCs w:val="24"/>
        </w:rPr>
      </w:pPr>
      <w:r w:rsidRPr="008B04D7">
        <w:t xml:space="preserve">Australian Prudential Regulation Authority </w:t>
      </w:r>
      <w:r w:rsidR="00CC06F8">
        <w:t>Instrument</w:t>
      </w:r>
      <w:r w:rsidR="005C3D1E">
        <w:t xml:space="preserve"> </w:t>
      </w:r>
      <w:r w:rsidRPr="008B04D7">
        <w:t xml:space="preserve">fixing charges No. </w:t>
      </w:r>
      <w:r w:rsidR="00310F62">
        <w:t>4</w:t>
      </w:r>
      <w:r w:rsidR="001C735D">
        <w:t xml:space="preserve"> of 2018</w:t>
      </w:r>
      <w:r w:rsidRPr="008B04D7">
        <w:t xml:space="preserve"> is compatible with human rights as it does not raise any human rights issues.</w:t>
      </w:r>
    </w:p>
    <w:p w14:paraId="6B10D282" w14:textId="77777777" w:rsidR="00D912CC" w:rsidRPr="00F723BA" w:rsidRDefault="00D912CC" w:rsidP="00677C93">
      <w:pPr>
        <w:pStyle w:val="BodyText"/>
        <w:rPr>
          <w:b/>
          <w:szCs w:val="24"/>
        </w:rPr>
      </w:pPr>
    </w:p>
    <w:p w14:paraId="7F68B70A" w14:textId="77777777" w:rsidR="00D912CC" w:rsidRPr="00744DE7" w:rsidRDefault="00D912CC" w:rsidP="00677C93">
      <w:pPr>
        <w:rPr>
          <w:sz w:val="24"/>
          <w:szCs w:val="24"/>
        </w:rPr>
      </w:pPr>
    </w:p>
    <w:p w14:paraId="6F42F789" w14:textId="77777777" w:rsidR="008B21DC" w:rsidRPr="00B0459D" w:rsidRDefault="008B21DC" w:rsidP="00677C93">
      <w:pPr>
        <w:rPr>
          <w:color w:val="000000"/>
          <w:sz w:val="24"/>
          <w:szCs w:val="24"/>
        </w:rPr>
      </w:pPr>
    </w:p>
    <w:p w14:paraId="771F3B2D" w14:textId="77777777" w:rsidR="00C62459" w:rsidRPr="00B0459D" w:rsidRDefault="00C62459" w:rsidP="00677C93">
      <w:pPr>
        <w:rPr>
          <w:color w:val="000000"/>
          <w:sz w:val="24"/>
          <w:szCs w:val="24"/>
        </w:rPr>
      </w:pPr>
    </w:p>
    <w:sectPr w:rsidR="00C62459" w:rsidRPr="00B0459D" w:rsidSect="004C4BD0">
      <w:headerReference w:type="even" r:id="rId13"/>
      <w:headerReference w:type="default" r:id="rId14"/>
      <w:headerReference w:type="first" r:id="rId15"/>
      <w:pgSz w:w="11907" w:h="16840"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937B4" w14:textId="77777777" w:rsidR="00043C57" w:rsidRDefault="00043C57" w:rsidP="003E0728">
      <w:r>
        <w:separator/>
      </w:r>
    </w:p>
  </w:endnote>
  <w:endnote w:type="continuationSeparator" w:id="0">
    <w:p w14:paraId="619AEAD1" w14:textId="77777777" w:rsidR="00043C57" w:rsidRDefault="00043C57" w:rsidP="003E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85182" w14:textId="77777777" w:rsidR="00043C57" w:rsidRDefault="00043C57" w:rsidP="003E0728">
      <w:r>
        <w:separator/>
      </w:r>
    </w:p>
  </w:footnote>
  <w:footnote w:type="continuationSeparator" w:id="0">
    <w:p w14:paraId="1D6E0EAF" w14:textId="77777777" w:rsidR="00043C57" w:rsidRDefault="00043C57" w:rsidP="003E0728">
      <w:r>
        <w:continuationSeparator/>
      </w:r>
    </w:p>
  </w:footnote>
  <w:footnote w:id="1">
    <w:p w14:paraId="602096EE" w14:textId="2A9B8181" w:rsidR="00F903A4" w:rsidRPr="004F3FD9" w:rsidRDefault="00F903A4">
      <w:pPr>
        <w:pStyle w:val="FootnoteText"/>
        <w:rPr>
          <w:lang w:val="en-AU"/>
        </w:rPr>
      </w:pPr>
      <w:r>
        <w:rPr>
          <w:rStyle w:val="FootnoteReference"/>
        </w:rPr>
        <w:footnoteRef/>
      </w:r>
      <w:r>
        <w:t xml:space="preserve"> </w:t>
      </w:r>
      <w:r w:rsidR="00F16ABC">
        <w:t>F</w:t>
      </w:r>
      <w:r w:rsidR="00BE7251">
        <w:t>R</w:t>
      </w:r>
      <w:r w:rsidR="00F16ABC">
        <w:t>L</w:t>
      </w:r>
      <w:r w:rsidR="00BE7251">
        <w:t>I</w:t>
      </w:r>
      <w:r w:rsidR="00F16ABC">
        <w:t xml:space="preserve"> reference F2013L00582.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44B7" w14:textId="77777777" w:rsidR="00B25992" w:rsidRDefault="006016B8">
    <w:pPr>
      <w:pStyle w:val="Header"/>
      <w:framePr w:wrap="around" w:vAnchor="text" w:hAnchor="margin" w:xAlign="center" w:y="1"/>
      <w:rPr>
        <w:rStyle w:val="PageNumber"/>
      </w:rPr>
    </w:pPr>
    <w:r>
      <w:rPr>
        <w:rStyle w:val="PageNumber"/>
      </w:rPr>
      <w:fldChar w:fldCharType="begin"/>
    </w:r>
    <w:r w:rsidR="00B25992">
      <w:rPr>
        <w:rStyle w:val="PageNumber"/>
      </w:rPr>
      <w:instrText xml:space="preserve">PAGE  </w:instrText>
    </w:r>
    <w:r>
      <w:rPr>
        <w:rStyle w:val="PageNumber"/>
      </w:rPr>
      <w:fldChar w:fldCharType="separate"/>
    </w:r>
    <w:r w:rsidR="000115A3">
      <w:rPr>
        <w:rStyle w:val="PageNumber"/>
        <w:noProof/>
      </w:rPr>
      <w:t>4</w:t>
    </w:r>
    <w:r>
      <w:rPr>
        <w:rStyle w:val="PageNumber"/>
      </w:rPr>
      <w:fldChar w:fldCharType="end"/>
    </w:r>
  </w:p>
  <w:p w14:paraId="5CF10FF9" w14:textId="77777777" w:rsidR="00B25992" w:rsidRDefault="00B259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2BA9" w14:textId="3D09A3E1" w:rsidR="00B25992" w:rsidRDefault="006016B8">
    <w:pPr>
      <w:pStyle w:val="Header"/>
      <w:framePr w:wrap="around" w:vAnchor="text" w:hAnchor="margin" w:xAlign="center" w:y="1"/>
      <w:rPr>
        <w:rStyle w:val="PageNumber"/>
      </w:rPr>
    </w:pPr>
    <w:r>
      <w:rPr>
        <w:rStyle w:val="PageNumber"/>
      </w:rPr>
      <w:fldChar w:fldCharType="begin"/>
    </w:r>
    <w:r w:rsidR="00B25992">
      <w:rPr>
        <w:rStyle w:val="PageNumber"/>
      </w:rPr>
      <w:instrText xml:space="preserve">PAGE  </w:instrText>
    </w:r>
    <w:r>
      <w:rPr>
        <w:rStyle w:val="PageNumber"/>
      </w:rPr>
      <w:fldChar w:fldCharType="separate"/>
    </w:r>
    <w:r w:rsidR="00F00F24">
      <w:rPr>
        <w:rStyle w:val="PageNumber"/>
        <w:noProof/>
      </w:rPr>
      <w:t>2</w:t>
    </w:r>
    <w:r>
      <w:rPr>
        <w:rStyle w:val="PageNumber"/>
      </w:rPr>
      <w:fldChar w:fldCharType="end"/>
    </w:r>
  </w:p>
  <w:p w14:paraId="4D2EB9CD" w14:textId="77777777" w:rsidR="00B25992" w:rsidRDefault="00B25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141B" w14:textId="5F181416" w:rsidR="00BB44A4" w:rsidRDefault="00BB4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1" w15:restartNumberingAfterBreak="0">
    <w:nsid w:val="1B0710FD"/>
    <w:multiLevelType w:val="hybridMultilevel"/>
    <w:tmpl w:val="53182DB8"/>
    <w:lvl w:ilvl="0" w:tplc="2438BE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226A6C"/>
    <w:multiLevelType w:val="hybridMultilevel"/>
    <w:tmpl w:val="EE7EE75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4" w15:restartNumberingAfterBreak="0">
    <w:nsid w:val="1FBC2C2B"/>
    <w:multiLevelType w:val="hybridMultilevel"/>
    <w:tmpl w:val="82C67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6" w15:restartNumberingAfterBreak="0">
    <w:nsid w:val="27797A5C"/>
    <w:multiLevelType w:val="hybridMultilevel"/>
    <w:tmpl w:val="3C5E5DE6"/>
    <w:lvl w:ilvl="0" w:tplc="D8D8520E">
      <w:start w:val="1"/>
      <w:numFmt w:val="bullet"/>
      <w:pStyle w:val="APR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CC6E3B"/>
    <w:multiLevelType w:val="hybridMultilevel"/>
    <w:tmpl w:val="5D80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A0F0F"/>
    <w:multiLevelType w:val="hybridMultilevel"/>
    <w:tmpl w:val="42D0B984"/>
    <w:lvl w:ilvl="0" w:tplc="C4C0A6BE">
      <w:start w:val="1"/>
      <w:numFmt w:val="lowerLetter"/>
      <w:lvlText w:val="(%1)"/>
      <w:lvlJc w:val="left"/>
      <w:pPr>
        <w:ind w:left="1444" w:hanging="735"/>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9"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10" w15:restartNumberingAfterBreak="0">
    <w:nsid w:val="40605DF9"/>
    <w:multiLevelType w:val="hybridMultilevel"/>
    <w:tmpl w:val="16AC1E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56F60"/>
    <w:multiLevelType w:val="hybridMultilevel"/>
    <w:tmpl w:val="2210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0011DE"/>
    <w:multiLevelType w:val="hybridMultilevel"/>
    <w:tmpl w:val="5CFE06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4E7A90"/>
    <w:multiLevelType w:val="hybridMultilevel"/>
    <w:tmpl w:val="5EF0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A01E9"/>
    <w:multiLevelType w:val="hybridMultilevel"/>
    <w:tmpl w:val="D8FA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9A51DF"/>
    <w:multiLevelType w:val="hybridMultilevel"/>
    <w:tmpl w:val="B7441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282A9B"/>
    <w:multiLevelType w:val="hybridMultilevel"/>
    <w:tmpl w:val="7E16A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50264"/>
    <w:multiLevelType w:val="hybridMultilevel"/>
    <w:tmpl w:val="3280E59A"/>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8" w15:restartNumberingAfterBreak="0">
    <w:nsid w:val="69734060"/>
    <w:multiLevelType w:val="hybridMultilevel"/>
    <w:tmpl w:val="C05AE0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D0466"/>
    <w:multiLevelType w:val="hybridMultilevel"/>
    <w:tmpl w:val="E92A7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abstractNumId w:val="0"/>
  </w:num>
  <w:num w:numId="2">
    <w:abstractNumId w:val="20"/>
  </w:num>
  <w:num w:numId="3">
    <w:abstractNumId w:val="3"/>
  </w:num>
  <w:num w:numId="4">
    <w:abstractNumId w:val="9"/>
  </w:num>
  <w:num w:numId="5">
    <w:abstractNumId w:val="5"/>
  </w:num>
  <w:num w:numId="6">
    <w:abstractNumId w:val="18"/>
  </w:num>
  <w:num w:numId="7">
    <w:abstractNumId w:val="2"/>
  </w:num>
  <w:num w:numId="8">
    <w:abstractNumId w:val="13"/>
  </w:num>
  <w:num w:numId="9">
    <w:abstractNumId w:val="16"/>
  </w:num>
  <w:num w:numId="10">
    <w:abstractNumId w:val="14"/>
  </w:num>
  <w:num w:numId="11">
    <w:abstractNumId w:val="15"/>
  </w:num>
  <w:num w:numId="12">
    <w:abstractNumId w:val="7"/>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6"/>
  </w:num>
  <w:num w:numId="18">
    <w:abstractNumId w:val="12"/>
  </w:num>
  <w:num w:numId="19">
    <w:abstractNumId w:val="11"/>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2B"/>
    <w:rsid w:val="000043B7"/>
    <w:rsid w:val="00007830"/>
    <w:rsid w:val="000115A3"/>
    <w:rsid w:val="0001195E"/>
    <w:rsid w:val="00011D25"/>
    <w:rsid w:val="00021200"/>
    <w:rsid w:val="000239AE"/>
    <w:rsid w:val="00023C22"/>
    <w:rsid w:val="00023FFE"/>
    <w:rsid w:val="000261FF"/>
    <w:rsid w:val="00031177"/>
    <w:rsid w:val="000339C7"/>
    <w:rsid w:val="00035D4D"/>
    <w:rsid w:val="000411B9"/>
    <w:rsid w:val="0004318E"/>
    <w:rsid w:val="00043C57"/>
    <w:rsid w:val="00044AA3"/>
    <w:rsid w:val="00046F0B"/>
    <w:rsid w:val="0005265A"/>
    <w:rsid w:val="000536ED"/>
    <w:rsid w:val="00053AF9"/>
    <w:rsid w:val="000559D7"/>
    <w:rsid w:val="000660C1"/>
    <w:rsid w:val="00066513"/>
    <w:rsid w:val="00066638"/>
    <w:rsid w:val="00066EA8"/>
    <w:rsid w:val="000715BF"/>
    <w:rsid w:val="00071D7D"/>
    <w:rsid w:val="00071E52"/>
    <w:rsid w:val="00074B34"/>
    <w:rsid w:val="000767C2"/>
    <w:rsid w:val="000772D7"/>
    <w:rsid w:val="000803A4"/>
    <w:rsid w:val="00084EEC"/>
    <w:rsid w:val="0009082F"/>
    <w:rsid w:val="00095B65"/>
    <w:rsid w:val="00096F62"/>
    <w:rsid w:val="00097459"/>
    <w:rsid w:val="000A2BA8"/>
    <w:rsid w:val="000A685B"/>
    <w:rsid w:val="000B03E4"/>
    <w:rsid w:val="000B24FA"/>
    <w:rsid w:val="000B60CB"/>
    <w:rsid w:val="000C2A6C"/>
    <w:rsid w:val="000C30CC"/>
    <w:rsid w:val="000C5490"/>
    <w:rsid w:val="000C5C51"/>
    <w:rsid w:val="000C6A41"/>
    <w:rsid w:val="000C7C61"/>
    <w:rsid w:val="000D1A44"/>
    <w:rsid w:val="000D2D75"/>
    <w:rsid w:val="000D3B3C"/>
    <w:rsid w:val="000E3079"/>
    <w:rsid w:val="000E5D9F"/>
    <w:rsid w:val="00100530"/>
    <w:rsid w:val="001070D5"/>
    <w:rsid w:val="00120EBC"/>
    <w:rsid w:val="001210F9"/>
    <w:rsid w:val="00121C1C"/>
    <w:rsid w:val="00127002"/>
    <w:rsid w:val="0012734C"/>
    <w:rsid w:val="00132B67"/>
    <w:rsid w:val="00133DB6"/>
    <w:rsid w:val="001434A6"/>
    <w:rsid w:val="001452E8"/>
    <w:rsid w:val="00154932"/>
    <w:rsid w:val="00155511"/>
    <w:rsid w:val="00163F53"/>
    <w:rsid w:val="00167147"/>
    <w:rsid w:val="001717BB"/>
    <w:rsid w:val="001738F5"/>
    <w:rsid w:val="001761AE"/>
    <w:rsid w:val="00183ECD"/>
    <w:rsid w:val="0018426A"/>
    <w:rsid w:val="00184850"/>
    <w:rsid w:val="00185B9E"/>
    <w:rsid w:val="00187CE5"/>
    <w:rsid w:val="001A09FA"/>
    <w:rsid w:val="001A1CB0"/>
    <w:rsid w:val="001A26F2"/>
    <w:rsid w:val="001A3EAA"/>
    <w:rsid w:val="001A62E1"/>
    <w:rsid w:val="001B22BE"/>
    <w:rsid w:val="001B60EF"/>
    <w:rsid w:val="001C06B1"/>
    <w:rsid w:val="001C2609"/>
    <w:rsid w:val="001C2B74"/>
    <w:rsid w:val="001C401E"/>
    <w:rsid w:val="001C48B2"/>
    <w:rsid w:val="001C4AFD"/>
    <w:rsid w:val="001C735D"/>
    <w:rsid w:val="001D0F18"/>
    <w:rsid w:val="001D3F74"/>
    <w:rsid w:val="001D5F7B"/>
    <w:rsid w:val="001D6542"/>
    <w:rsid w:val="001D668E"/>
    <w:rsid w:val="001D678C"/>
    <w:rsid w:val="001E0AFF"/>
    <w:rsid w:val="001E1327"/>
    <w:rsid w:val="001E5C3D"/>
    <w:rsid w:val="001E744D"/>
    <w:rsid w:val="001F22A4"/>
    <w:rsid w:val="001F7EEB"/>
    <w:rsid w:val="002000D4"/>
    <w:rsid w:val="0020060D"/>
    <w:rsid w:val="00204C86"/>
    <w:rsid w:val="002071BC"/>
    <w:rsid w:val="002121E1"/>
    <w:rsid w:val="00217D12"/>
    <w:rsid w:val="00220C30"/>
    <w:rsid w:val="0022228C"/>
    <w:rsid w:val="00227067"/>
    <w:rsid w:val="00227C68"/>
    <w:rsid w:val="002306BA"/>
    <w:rsid w:val="00231FC7"/>
    <w:rsid w:val="00233689"/>
    <w:rsid w:val="00236386"/>
    <w:rsid w:val="0024152E"/>
    <w:rsid w:val="0025121C"/>
    <w:rsid w:val="0025328D"/>
    <w:rsid w:val="002565CA"/>
    <w:rsid w:val="00257969"/>
    <w:rsid w:val="00257A59"/>
    <w:rsid w:val="00260F28"/>
    <w:rsid w:val="002618AA"/>
    <w:rsid w:val="0026426A"/>
    <w:rsid w:val="002662C7"/>
    <w:rsid w:val="002809BC"/>
    <w:rsid w:val="0028308F"/>
    <w:rsid w:val="00286EBE"/>
    <w:rsid w:val="00286F95"/>
    <w:rsid w:val="002877C5"/>
    <w:rsid w:val="00287BB6"/>
    <w:rsid w:val="002902D5"/>
    <w:rsid w:val="00291586"/>
    <w:rsid w:val="00294316"/>
    <w:rsid w:val="00294DC1"/>
    <w:rsid w:val="00297434"/>
    <w:rsid w:val="002978A5"/>
    <w:rsid w:val="002A0911"/>
    <w:rsid w:val="002A1A42"/>
    <w:rsid w:val="002B1C01"/>
    <w:rsid w:val="002B2D35"/>
    <w:rsid w:val="002B2E30"/>
    <w:rsid w:val="002B2E63"/>
    <w:rsid w:val="002C2F8D"/>
    <w:rsid w:val="002D159C"/>
    <w:rsid w:val="002D1E03"/>
    <w:rsid w:val="002D3C71"/>
    <w:rsid w:val="002D4B75"/>
    <w:rsid w:val="002E1336"/>
    <w:rsid w:val="002E520D"/>
    <w:rsid w:val="002F0ED7"/>
    <w:rsid w:val="002F3B25"/>
    <w:rsid w:val="00304B15"/>
    <w:rsid w:val="00304C04"/>
    <w:rsid w:val="00310775"/>
    <w:rsid w:val="00310CB8"/>
    <w:rsid w:val="00310F62"/>
    <w:rsid w:val="00312446"/>
    <w:rsid w:val="003132F6"/>
    <w:rsid w:val="00313DAE"/>
    <w:rsid w:val="00322B79"/>
    <w:rsid w:val="003246B1"/>
    <w:rsid w:val="00324A6E"/>
    <w:rsid w:val="00325A39"/>
    <w:rsid w:val="003333F5"/>
    <w:rsid w:val="0033381A"/>
    <w:rsid w:val="003359C6"/>
    <w:rsid w:val="003371BC"/>
    <w:rsid w:val="0034178E"/>
    <w:rsid w:val="0035047C"/>
    <w:rsid w:val="00352FD2"/>
    <w:rsid w:val="00353A21"/>
    <w:rsid w:val="00355137"/>
    <w:rsid w:val="003662EE"/>
    <w:rsid w:val="00375031"/>
    <w:rsid w:val="00375DA0"/>
    <w:rsid w:val="003762B9"/>
    <w:rsid w:val="003830FE"/>
    <w:rsid w:val="00384F56"/>
    <w:rsid w:val="003864C5"/>
    <w:rsid w:val="00386A2C"/>
    <w:rsid w:val="00387023"/>
    <w:rsid w:val="0039188A"/>
    <w:rsid w:val="00393AE5"/>
    <w:rsid w:val="00394715"/>
    <w:rsid w:val="003962F1"/>
    <w:rsid w:val="003A0CA1"/>
    <w:rsid w:val="003A341D"/>
    <w:rsid w:val="003A392D"/>
    <w:rsid w:val="003A3DF2"/>
    <w:rsid w:val="003A5F6B"/>
    <w:rsid w:val="003B4AB7"/>
    <w:rsid w:val="003B7EAE"/>
    <w:rsid w:val="003C2C3D"/>
    <w:rsid w:val="003C55D4"/>
    <w:rsid w:val="003C6BCF"/>
    <w:rsid w:val="003C710D"/>
    <w:rsid w:val="003D186B"/>
    <w:rsid w:val="003D59FF"/>
    <w:rsid w:val="003D5B2C"/>
    <w:rsid w:val="003E0728"/>
    <w:rsid w:val="003E0835"/>
    <w:rsid w:val="003E4085"/>
    <w:rsid w:val="003E46D9"/>
    <w:rsid w:val="003E78A9"/>
    <w:rsid w:val="003E7F74"/>
    <w:rsid w:val="003F4319"/>
    <w:rsid w:val="003F5E6C"/>
    <w:rsid w:val="003F7292"/>
    <w:rsid w:val="00407E9E"/>
    <w:rsid w:val="0041182F"/>
    <w:rsid w:val="004121CD"/>
    <w:rsid w:val="004126AD"/>
    <w:rsid w:val="00412A2B"/>
    <w:rsid w:val="0041418A"/>
    <w:rsid w:val="00416123"/>
    <w:rsid w:val="00416FE0"/>
    <w:rsid w:val="00421BCE"/>
    <w:rsid w:val="0042697F"/>
    <w:rsid w:val="00427E27"/>
    <w:rsid w:val="0043314C"/>
    <w:rsid w:val="00435574"/>
    <w:rsid w:val="00437C3E"/>
    <w:rsid w:val="00443253"/>
    <w:rsid w:val="00443EB0"/>
    <w:rsid w:val="004522AC"/>
    <w:rsid w:val="00456179"/>
    <w:rsid w:val="00456D1C"/>
    <w:rsid w:val="00461532"/>
    <w:rsid w:val="00462D72"/>
    <w:rsid w:val="00466304"/>
    <w:rsid w:val="00466F72"/>
    <w:rsid w:val="004672B4"/>
    <w:rsid w:val="00475A27"/>
    <w:rsid w:val="00487105"/>
    <w:rsid w:val="0049195B"/>
    <w:rsid w:val="00491A1B"/>
    <w:rsid w:val="00493474"/>
    <w:rsid w:val="00494B96"/>
    <w:rsid w:val="004956FF"/>
    <w:rsid w:val="004958EE"/>
    <w:rsid w:val="004A317B"/>
    <w:rsid w:val="004A4DF5"/>
    <w:rsid w:val="004A527B"/>
    <w:rsid w:val="004B53CB"/>
    <w:rsid w:val="004C1B76"/>
    <w:rsid w:val="004C38CF"/>
    <w:rsid w:val="004C4BD0"/>
    <w:rsid w:val="004C55EE"/>
    <w:rsid w:val="004D201C"/>
    <w:rsid w:val="004E02D1"/>
    <w:rsid w:val="004E63F8"/>
    <w:rsid w:val="004E77C6"/>
    <w:rsid w:val="004F00C5"/>
    <w:rsid w:val="004F3B85"/>
    <w:rsid w:val="004F3FD9"/>
    <w:rsid w:val="004F7B20"/>
    <w:rsid w:val="0050696B"/>
    <w:rsid w:val="00506E83"/>
    <w:rsid w:val="00514ACC"/>
    <w:rsid w:val="00516DC4"/>
    <w:rsid w:val="00520FF9"/>
    <w:rsid w:val="005213DC"/>
    <w:rsid w:val="00533D71"/>
    <w:rsid w:val="00542428"/>
    <w:rsid w:val="00542C93"/>
    <w:rsid w:val="005436AC"/>
    <w:rsid w:val="00545920"/>
    <w:rsid w:val="0054653C"/>
    <w:rsid w:val="00547A45"/>
    <w:rsid w:val="005502DE"/>
    <w:rsid w:val="00551C19"/>
    <w:rsid w:val="00552295"/>
    <w:rsid w:val="00554BA9"/>
    <w:rsid w:val="00555E69"/>
    <w:rsid w:val="005604E9"/>
    <w:rsid w:val="005640E4"/>
    <w:rsid w:val="0057168A"/>
    <w:rsid w:val="0057233B"/>
    <w:rsid w:val="00572FE9"/>
    <w:rsid w:val="00575D4D"/>
    <w:rsid w:val="00583652"/>
    <w:rsid w:val="00583B5A"/>
    <w:rsid w:val="005842A1"/>
    <w:rsid w:val="00584852"/>
    <w:rsid w:val="0058498A"/>
    <w:rsid w:val="00586C34"/>
    <w:rsid w:val="005916A1"/>
    <w:rsid w:val="00592D44"/>
    <w:rsid w:val="00594E77"/>
    <w:rsid w:val="00597473"/>
    <w:rsid w:val="005A050E"/>
    <w:rsid w:val="005A1C2F"/>
    <w:rsid w:val="005A1FC5"/>
    <w:rsid w:val="005B7610"/>
    <w:rsid w:val="005B79B0"/>
    <w:rsid w:val="005B7A6A"/>
    <w:rsid w:val="005C2A83"/>
    <w:rsid w:val="005C3D1E"/>
    <w:rsid w:val="005C5957"/>
    <w:rsid w:val="005C68B1"/>
    <w:rsid w:val="005D698F"/>
    <w:rsid w:val="005E2CC7"/>
    <w:rsid w:val="005E43ED"/>
    <w:rsid w:val="005E66FE"/>
    <w:rsid w:val="005F06BB"/>
    <w:rsid w:val="005F42B7"/>
    <w:rsid w:val="006002ED"/>
    <w:rsid w:val="006016B8"/>
    <w:rsid w:val="006045C4"/>
    <w:rsid w:val="0060488E"/>
    <w:rsid w:val="00604C13"/>
    <w:rsid w:val="00607034"/>
    <w:rsid w:val="006172F0"/>
    <w:rsid w:val="0062052A"/>
    <w:rsid w:val="00621F65"/>
    <w:rsid w:val="00632C77"/>
    <w:rsid w:val="006374A1"/>
    <w:rsid w:val="00637DD2"/>
    <w:rsid w:val="006409A8"/>
    <w:rsid w:val="006425BF"/>
    <w:rsid w:val="00645111"/>
    <w:rsid w:val="00647083"/>
    <w:rsid w:val="00650184"/>
    <w:rsid w:val="006513E1"/>
    <w:rsid w:val="00653F3B"/>
    <w:rsid w:val="006628FE"/>
    <w:rsid w:val="00666BDA"/>
    <w:rsid w:val="00667D65"/>
    <w:rsid w:val="00671CED"/>
    <w:rsid w:val="00677C93"/>
    <w:rsid w:val="00684A6D"/>
    <w:rsid w:val="006929CD"/>
    <w:rsid w:val="00693698"/>
    <w:rsid w:val="00697FCB"/>
    <w:rsid w:val="006A15DD"/>
    <w:rsid w:val="006A4606"/>
    <w:rsid w:val="006A494A"/>
    <w:rsid w:val="006A4DAC"/>
    <w:rsid w:val="006A5294"/>
    <w:rsid w:val="006A669D"/>
    <w:rsid w:val="006B5010"/>
    <w:rsid w:val="006B5A68"/>
    <w:rsid w:val="006C087A"/>
    <w:rsid w:val="006C423C"/>
    <w:rsid w:val="006C43C6"/>
    <w:rsid w:val="006C76BE"/>
    <w:rsid w:val="006D12AD"/>
    <w:rsid w:val="006D3DED"/>
    <w:rsid w:val="006D48B3"/>
    <w:rsid w:val="006D6730"/>
    <w:rsid w:val="006E1CF3"/>
    <w:rsid w:val="006E1EF2"/>
    <w:rsid w:val="006E2A1F"/>
    <w:rsid w:val="006E4340"/>
    <w:rsid w:val="006F082E"/>
    <w:rsid w:val="00700C18"/>
    <w:rsid w:val="00701177"/>
    <w:rsid w:val="0070607B"/>
    <w:rsid w:val="0070771E"/>
    <w:rsid w:val="00710095"/>
    <w:rsid w:val="007104E9"/>
    <w:rsid w:val="00713048"/>
    <w:rsid w:val="0071420A"/>
    <w:rsid w:val="00716E56"/>
    <w:rsid w:val="00716F0E"/>
    <w:rsid w:val="007232BA"/>
    <w:rsid w:val="00724066"/>
    <w:rsid w:val="00726763"/>
    <w:rsid w:val="00730B46"/>
    <w:rsid w:val="00742B42"/>
    <w:rsid w:val="00746204"/>
    <w:rsid w:val="0074789F"/>
    <w:rsid w:val="00747944"/>
    <w:rsid w:val="00757D32"/>
    <w:rsid w:val="007601F7"/>
    <w:rsid w:val="00760421"/>
    <w:rsid w:val="00760C65"/>
    <w:rsid w:val="00761A1F"/>
    <w:rsid w:val="0076260E"/>
    <w:rsid w:val="00766BEE"/>
    <w:rsid w:val="007671E4"/>
    <w:rsid w:val="007711DD"/>
    <w:rsid w:val="00785685"/>
    <w:rsid w:val="00793D2E"/>
    <w:rsid w:val="007945B3"/>
    <w:rsid w:val="00795850"/>
    <w:rsid w:val="007A0A7B"/>
    <w:rsid w:val="007A7874"/>
    <w:rsid w:val="007B32B2"/>
    <w:rsid w:val="007C66AB"/>
    <w:rsid w:val="007C75C2"/>
    <w:rsid w:val="007D235F"/>
    <w:rsid w:val="007D2DA7"/>
    <w:rsid w:val="007D7677"/>
    <w:rsid w:val="007E327A"/>
    <w:rsid w:val="007E5CEB"/>
    <w:rsid w:val="007E6EC4"/>
    <w:rsid w:val="007F0BED"/>
    <w:rsid w:val="007F1FA4"/>
    <w:rsid w:val="007F655A"/>
    <w:rsid w:val="00800F79"/>
    <w:rsid w:val="008045E9"/>
    <w:rsid w:val="008100A2"/>
    <w:rsid w:val="00810C17"/>
    <w:rsid w:val="008150F0"/>
    <w:rsid w:val="00816FB1"/>
    <w:rsid w:val="0082493F"/>
    <w:rsid w:val="00824D0A"/>
    <w:rsid w:val="00825E19"/>
    <w:rsid w:val="00826E56"/>
    <w:rsid w:val="00830483"/>
    <w:rsid w:val="00830FD6"/>
    <w:rsid w:val="00831407"/>
    <w:rsid w:val="00832EF1"/>
    <w:rsid w:val="008367BC"/>
    <w:rsid w:val="00836D1F"/>
    <w:rsid w:val="00836E70"/>
    <w:rsid w:val="008461A9"/>
    <w:rsid w:val="00847DBA"/>
    <w:rsid w:val="00851988"/>
    <w:rsid w:val="00857CC9"/>
    <w:rsid w:val="00861BE6"/>
    <w:rsid w:val="00865BC1"/>
    <w:rsid w:val="00883A36"/>
    <w:rsid w:val="00884267"/>
    <w:rsid w:val="00884FD3"/>
    <w:rsid w:val="00885145"/>
    <w:rsid w:val="008853D7"/>
    <w:rsid w:val="00885913"/>
    <w:rsid w:val="008903C5"/>
    <w:rsid w:val="00892CAF"/>
    <w:rsid w:val="00895728"/>
    <w:rsid w:val="008A1201"/>
    <w:rsid w:val="008A3222"/>
    <w:rsid w:val="008B0D96"/>
    <w:rsid w:val="008B21DC"/>
    <w:rsid w:val="008B40F9"/>
    <w:rsid w:val="008C1046"/>
    <w:rsid w:val="008C5CF3"/>
    <w:rsid w:val="008C65CB"/>
    <w:rsid w:val="008C6FB8"/>
    <w:rsid w:val="008C7FC5"/>
    <w:rsid w:val="008D0D0F"/>
    <w:rsid w:val="008D26F9"/>
    <w:rsid w:val="008D3640"/>
    <w:rsid w:val="008D53CE"/>
    <w:rsid w:val="008D5B36"/>
    <w:rsid w:val="008D5C69"/>
    <w:rsid w:val="008E2E0D"/>
    <w:rsid w:val="008E632B"/>
    <w:rsid w:val="008E7B44"/>
    <w:rsid w:val="008F0402"/>
    <w:rsid w:val="008F07AC"/>
    <w:rsid w:val="008F3EBD"/>
    <w:rsid w:val="008F46FF"/>
    <w:rsid w:val="008F56A7"/>
    <w:rsid w:val="00902A63"/>
    <w:rsid w:val="00902C93"/>
    <w:rsid w:val="00902FE6"/>
    <w:rsid w:val="00913716"/>
    <w:rsid w:val="00913F89"/>
    <w:rsid w:val="00916499"/>
    <w:rsid w:val="0091753C"/>
    <w:rsid w:val="009218B3"/>
    <w:rsid w:val="00925E40"/>
    <w:rsid w:val="009320AF"/>
    <w:rsid w:val="0093217B"/>
    <w:rsid w:val="00932431"/>
    <w:rsid w:val="00933744"/>
    <w:rsid w:val="00934754"/>
    <w:rsid w:val="00934E4A"/>
    <w:rsid w:val="00943094"/>
    <w:rsid w:val="0094512E"/>
    <w:rsid w:val="009527A9"/>
    <w:rsid w:val="00952D62"/>
    <w:rsid w:val="00954F88"/>
    <w:rsid w:val="009607DE"/>
    <w:rsid w:val="009625AD"/>
    <w:rsid w:val="00962B54"/>
    <w:rsid w:val="00967CC7"/>
    <w:rsid w:val="00970165"/>
    <w:rsid w:val="0097165A"/>
    <w:rsid w:val="009728FA"/>
    <w:rsid w:val="00975505"/>
    <w:rsid w:val="00986EBC"/>
    <w:rsid w:val="00987539"/>
    <w:rsid w:val="00994932"/>
    <w:rsid w:val="009B44C0"/>
    <w:rsid w:val="009B4629"/>
    <w:rsid w:val="009B6D26"/>
    <w:rsid w:val="009C05D1"/>
    <w:rsid w:val="009C6F57"/>
    <w:rsid w:val="009D0BAB"/>
    <w:rsid w:val="009D1DC7"/>
    <w:rsid w:val="009D6E05"/>
    <w:rsid w:val="009D7AB8"/>
    <w:rsid w:val="009E0858"/>
    <w:rsid w:val="009E109A"/>
    <w:rsid w:val="009E4BC8"/>
    <w:rsid w:val="009E631F"/>
    <w:rsid w:val="009E68D2"/>
    <w:rsid w:val="009E6B25"/>
    <w:rsid w:val="009F0CD9"/>
    <w:rsid w:val="009F17B7"/>
    <w:rsid w:val="009F20DF"/>
    <w:rsid w:val="00A048DE"/>
    <w:rsid w:val="00A06432"/>
    <w:rsid w:val="00A06669"/>
    <w:rsid w:val="00A06A93"/>
    <w:rsid w:val="00A11563"/>
    <w:rsid w:val="00A13120"/>
    <w:rsid w:val="00A13C73"/>
    <w:rsid w:val="00A1564A"/>
    <w:rsid w:val="00A22230"/>
    <w:rsid w:val="00A3455C"/>
    <w:rsid w:val="00A35469"/>
    <w:rsid w:val="00A35858"/>
    <w:rsid w:val="00A45F63"/>
    <w:rsid w:val="00A512B1"/>
    <w:rsid w:val="00A538AF"/>
    <w:rsid w:val="00A62C9A"/>
    <w:rsid w:val="00A63B68"/>
    <w:rsid w:val="00A63DB8"/>
    <w:rsid w:val="00A71FE6"/>
    <w:rsid w:val="00A7298D"/>
    <w:rsid w:val="00A73507"/>
    <w:rsid w:val="00A7495A"/>
    <w:rsid w:val="00A82158"/>
    <w:rsid w:val="00A82DB5"/>
    <w:rsid w:val="00A857D2"/>
    <w:rsid w:val="00A86BA6"/>
    <w:rsid w:val="00A87C62"/>
    <w:rsid w:val="00A91B11"/>
    <w:rsid w:val="00A930DA"/>
    <w:rsid w:val="00AA15DB"/>
    <w:rsid w:val="00AA318D"/>
    <w:rsid w:val="00AA4944"/>
    <w:rsid w:val="00AA6B8F"/>
    <w:rsid w:val="00AB2DFE"/>
    <w:rsid w:val="00AB37F7"/>
    <w:rsid w:val="00AB6020"/>
    <w:rsid w:val="00AC0944"/>
    <w:rsid w:val="00AC1561"/>
    <w:rsid w:val="00AC31E3"/>
    <w:rsid w:val="00AD02E2"/>
    <w:rsid w:val="00AD5A2B"/>
    <w:rsid w:val="00AE17D4"/>
    <w:rsid w:val="00AE2B34"/>
    <w:rsid w:val="00AE3ADD"/>
    <w:rsid w:val="00AE45F2"/>
    <w:rsid w:val="00AE5245"/>
    <w:rsid w:val="00AE60ED"/>
    <w:rsid w:val="00AE6C31"/>
    <w:rsid w:val="00AF3F34"/>
    <w:rsid w:val="00B01149"/>
    <w:rsid w:val="00B0360B"/>
    <w:rsid w:val="00B043BA"/>
    <w:rsid w:val="00B0459D"/>
    <w:rsid w:val="00B07FA0"/>
    <w:rsid w:val="00B14309"/>
    <w:rsid w:val="00B16319"/>
    <w:rsid w:val="00B1737B"/>
    <w:rsid w:val="00B216AB"/>
    <w:rsid w:val="00B25992"/>
    <w:rsid w:val="00B30181"/>
    <w:rsid w:val="00B31297"/>
    <w:rsid w:val="00B31546"/>
    <w:rsid w:val="00B34AF2"/>
    <w:rsid w:val="00B350FC"/>
    <w:rsid w:val="00B35D17"/>
    <w:rsid w:val="00B4010B"/>
    <w:rsid w:val="00B40F9B"/>
    <w:rsid w:val="00B41540"/>
    <w:rsid w:val="00B42089"/>
    <w:rsid w:val="00B45A54"/>
    <w:rsid w:val="00B525E4"/>
    <w:rsid w:val="00B55625"/>
    <w:rsid w:val="00B57572"/>
    <w:rsid w:val="00B57BA6"/>
    <w:rsid w:val="00B57FF5"/>
    <w:rsid w:val="00B66701"/>
    <w:rsid w:val="00B72F65"/>
    <w:rsid w:val="00B759EA"/>
    <w:rsid w:val="00B91D34"/>
    <w:rsid w:val="00B94FBC"/>
    <w:rsid w:val="00BA0248"/>
    <w:rsid w:val="00BA692B"/>
    <w:rsid w:val="00BA7990"/>
    <w:rsid w:val="00BB3BF8"/>
    <w:rsid w:val="00BB44A4"/>
    <w:rsid w:val="00BB4F47"/>
    <w:rsid w:val="00BC3C5A"/>
    <w:rsid w:val="00BC4643"/>
    <w:rsid w:val="00BD0967"/>
    <w:rsid w:val="00BD2B8B"/>
    <w:rsid w:val="00BD4012"/>
    <w:rsid w:val="00BD4D0E"/>
    <w:rsid w:val="00BE4BB2"/>
    <w:rsid w:val="00BE57E7"/>
    <w:rsid w:val="00BE7251"/>
    <w:rsid w:val="00BF12B7"/>
    <w:rsid w:val="00BF533E"/>
    <w:rsid w:val="00C000CD"/>
    <w:rsid w:val="00C057B1"/>
    <w:rsid w:val="00C06AE1"/>
    <w:rsid w:val="00C1053E"/>
    <w:rsid w:val="00C10A65"/>
    <w:rsid w:val="00C134A4"/>
    <w:rsid w:val="00C14E0C"/>
    <w:rsid w:val="00C25159"/>
    <w:rsid w:val="00C36CC4"/>
    <w:rsid w:val="00C41503"/>
    <w:rsid w:val="00C4156A"/>
    <w:rsid w:val="00C4473C"/>
    <w:rsid w:val="00C52BF9"/>
    <w:rsid w:val="00C61C15"/>
    <w:rsid w:val="00C623B5"/>
    <w:rsid w:val="00C62459"/>
    <w:rsid w:val="00C64A79"/>
    <w:rsid w:val="00C67423"/>
    <w:rsid w:val="00C71448"/>
    <w:rsid w:val="00C72E03"/>
    <w:rsid w:val="00C73A42"/>
    <w:rsid w:val="00C76D24"/>
    <w:rsid w:val="00C7727E"/>
    <w:rsid w:val="00C82130"/>
    <w:rsid w:val="00C86910"/>
    <w:rsid w:val="00C87160"/>
    <w:rsid w:val="00C87394"/>
    <w:rsid w:val="00C876EB"/>
    <w:rsid w:val="00C90E22"/>
    <w:rsid w:val="00C9119F"/>
    <w:rsid w:val="00C9330B"/>
    <w:rsid w:val="00C95CA0"/>
    <w:rsid w:val="00CA0E4F"/>
    <w:rsid w:val="00CA48FE"/>
    <w:rsid w:val="00CA59EE"/>
    <w:rsid w:val="00CA5F73"/>
    <w:rsid w:val="00CA71A0"/>
    <w:rsid w:val="00CB4DCC"/>
    <w:rsid w:val="00CC06F8"/>
    <w:rsid w:val="00CC209B"/>
    <w:rsid w:val="00CC3FD5"/>
    <w:rsid w:val="00CC640D"/>
    <w:rsid w:val="00CD2312"/>
    <w:rsid w:val="00CD409D"/>
    <w:rsid w:val="00CD66AE"/>
    <w:rsid w:val="00CD7592"/>
    <w:rsid w:val="00CE36E9"/>
    <w:rsid w:val="00CE4BCF"/>
    <w:rsid w:val="00CE75CC"/>
    <w:rsid w:val="00CE7A79"/>
    <w:rsid w:val="00CF03D0"/>
    <w:rsid w:val="00CF101E"/>
    <w:rsid w:val="00CF15F9"/>
    <w:rsid w:val="00CF1AF3"/>
    <w:rsid w:val="00CF3D08"/>
    <w:rsid w:val="00CF4C31"/>
    <w:rsid w:val="00D0169C"/>
    <w:rsid w:val="00D02981"/>
    <w:rsid w:val="00D05CB1"/>
    <w:rsid w:val="00D16A78"/>
    <w:rsid w:val="00D214C4"/>
    <w:rsid w:val="00D2486D"/>
    <w:rsid w:val="00D2651B"/>
    <w:rsid w:val="00D30903"/>
    <w:rsid w:val="00D332C4"/>
    <w:rsid w:val="00D36C0F"/>
    <w:rsid w:val="00D445F6"/>
    <w:rsid w:val="00D468AD"/>
    <w:rsid w:val="00D47353"/>
    <w:rsid w:val="00D51F9C"/>
    <w:rsid w:val="00D52439"/>
    <w:rsid w:val="00D62592"/>
    <w:rsid w:val="00D62725"/>
    <w:rsid w:val="00D674F9"/>
    <w:rsid w:val="00D73900"/>
    <w:rsid w:val="00D800A0"/>
    <w:rsid w:val="00D81975"/>
    <w:rsid w:val="00D85825"/>
    <w:rsid w:val="00D912CC"/>
    <w:rsid w:val="00D94DD2"/>
    <w:rsid w:val="00DA27C4"/>
    <w:rsid w:val="00DA2CE8"/>
    <w:rsid w:val="00DA59E5"/>
    <w:rsid w:val="00DB1928"/>
    <w:rsid w:val="00DB53B5"/>
    <w:rsid w:val="00DC0123"/>
    <w:rsid w:val="00DC0C87"/>
    <w:rsid w:val="00DC6E1B"/>
    <w:rsid w:val="00DD4652"/>
    <w:rsid w:val="00DE01B4"/>
    <w:rsid w:val="00DE3C68"/>
    <w:rsid w:val="00DE459F"/>
    <w:rsid w:val="00DE4A88"/>
    <w:rsid w:val="00DE7271"/>
    <w:rsid w:val="00DF0E18"/>
    <w:rsid w:val="00DF25C8"/>
    <w:rsid w:val="00DF414D"/>
    <w:rsid w:val="00E069CD"/>
    <w:rsid w:val="00E07210"/>
    <w:rsid w:val="00E10497"/>
    <w:rsid w:val="00E11297"/>
    <w:rsid w:val="00E11A4D"/>
    <w:rsid w:val="00E13B3A"/>
    <w:rsid w:val="00E16F5A"/>
    <w:rsid w:val="00E23307"/>
    <w:rsid w:val="00E30C37"/>
    <w:rsid w:val="00E33522"/>
    <w:rsid w:val="00E440CD"/>
    <w:rsid w:val="00E44548"/>
    <w:rsid w:val="00E45A11"/>
    <w:rsid w:val="00E46A55"/>
    <w:rsid w:val="00E5216F"/>
    <w:rsid w:val="00E56C72"/>
    <w:rsid w:val="00E61D01"/>
    <w:rsid w:val="00E624A1"/>
    <w:rsid w:val="00E6492F"/>
    <w:rsid w:val="00E80F8B"/>
    <w:rsid w:val="00E8489E"/>
    <w:rsid w:val="00E851F9"/>
    <w:rsid w:val="00E8556C"/>
    <w:rsid w:val="00E90513"/>
    <w:rsid w:val="00E90EBF"/>
    <w:rsid w:val="00E97BC1"/>
    <w:rsid w:val="00EA007C"/>
    <w:rsid w:val="00EA1D66"/>
    <w:rsid w:val="00EA6220"/>
    <w:rsid w:val="00EB2AAB"/>
    <w:rsid w:val="00EB3E76"/>
    <w:rsid w:val="00EB6999"/>
    <w:rsid w:val="00EB6C53"/>
    <w:rsid w:val="00EC7A84"/>
    <w:rsid w:val="00ED2D9A"/>
    <w:rsid w:val="00ED6D54"/>
    <w:rsid w:val="00ED6D6E"/>
    <w:rsid w:val="00EE4DDA"/>
    <w:rsid w:val="00EE5997"/>
    <w:rsid w:val="00EE7EA7"/>
    <w:rsid w:val="00EF0145"/>
    <w:rsid w:val="00EF17B5"/>
    <w:rsid w:val="00EF4454"/>
    <w:rsid w:val="00F00F24"/>
    <w:rsid w:val="00F01F88"/>
    <w:rsid w:val="00F149E3"/>
    <w:rsid w:val="00F14F47"/>
    <w:rsid w:val="00F165ED"/>
    <w:rsid w:val="00F16ABC"/>
    <w:rsid w:val="00F17535"/>
    <w:rsid w:val="00F205EF"/>
    <w:rsid w:val="00F2242C"/>
    <w:rsid w:val="00F30D73"/>
    <w:rsid w:val="00F31B6A"/>
    <w:rsid w:val="00F33E9E"/>
    <w:rsid w:val="00F34D2C"/>
    <w:rsid w:val="00F357B9"/>
    <w:rsid w:val="00F40AD6"/>
    <w:rsid w:val="00F45F04"/>
    <w:rsid w:val="00F46B89"/>
    <w:rsid w:val="00F47248"/>
    <w:rsid w:val="00F478C4"/>
    <w:rsid w:val="00F47CCC"/>
    <w:rsid w:val="00F577C0"/>
    <w:rsid w:val="00F57F32"/>
    <w:rsid w:val="00F61135"/>
    <w:rsid w:val="00F61662"/>
    <w:rsid w:val="00F653A7"/>
    <w:rsid w:val="00F67DF3"/>
    <w:rsid w:val="00F7119D"/>
    <w:rsid w:val="00F7693A"/>
    <w:rsid w:val="00F80EAE"/>
    <w:rsid w:val="00F83127"/>
    <w:rsid w:val="00F83877"/>
    <w:rsid w:val="00F83A81"/>
    <w:rsid w:val="00F903A4"/>
    <w:rsid w:val="00F91E6C"/>
    <w:rsid w:val="00F92C9A"/>
    <w:rsid w:val="00F95A55"/>
    <w:rsid w:val="00F96D2B"/>
    <w:rsid w:val="00FA4CCC"/>
    <w:rsid w:val="00FB3468"/>
    <w:rsid w:val="00FB39CD"/>
    <w:rsid w:val="00FB5BD6"/>
    <w:rsid w:val="00FB6631"/>
    <w:rsid w:val="00FB6E89"/>
    <w:rsid w:val="00FB7993"/>
    <w:rsid w:val="00FC02BA"/>
    <w:rsid w:val="00FC3121"/>
    <w:rsid w:val="00FC52CE"/>
    <w:rsid w:val="00FD17F3"/>
    <w:rsid w:val="00FD36D4"/>
    <w:rsid w:val="00FD5B65"/>
    <w:rsid w:val="00FD6A8D"/>
    <w:rsid w:val="00FD77A7"/>
    <w:rsid w:val="00FE1004"/>
    <w:rsid w:val="00FE3F5B"/>
    <w:rsid w:val="00FF0DC7"/>
    <w:rsid w:val="00FF2248"/>
    <w:rsid w:val="00FF40CA"/>
    <w:rsid w:val="00FF421D"/>
    <w:rsid w:val="00FF5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05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D0"/>
    <w:rPr>
      <w:lang w:val="en-US"/>
    </w:rPr>
  </w:style>
  <w:style w:type="paragraph" w:styleId="Heading1">
    <w:name w:val="heading 1"/>
    <w:basedOn w:val="Normal"/>
    <w:next w:val="Normal"/>
    <w:qFormat/>
    <w:rsid w:val="004C4BD0"/>
    <w:pPr>
      <w:keepNext/>
      <w:outlineLvl w:val="0"/>
    </w:pPr>
    <w:rPr>
      <w:b/>
      <w:sz w:val="23"/>
    </w:rPr>
  </w:style>
  <w:style w:type="paragraph" w:styleId="Heading2">
    <w:name w:val="heading 2"/>
    <w:basedOn w:val="Normal"/>
    <w:next w:val="Normal"/>
    <w:link w:val="Heading2Char"/>
    <w:qFormat/>
    <w:rsid w:val="004C4BD0"/>
    <w:pPr>
      <w:keepNext/>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4BD0"/>
    <w:pPr>
      <w:jc w:val="center"/>
    </w:pPr>
    <w:rPr>
      <w:b/>
      <w:sz w:val="24"/>
    </w:rPr>
  </w:style>
  <w:style w:type="paragraph" w:styleId="Header">
    <w:name w:val="header"/>
    <w:basedOn w:val="Normal"/>
    <w:rsid w:val="004C4BD0"/>
    <w:pPr>
      <w:tabs>
        <w:tab w:val="center" w:pos="4320"/>
        <w:tab w:val="right" w:pos="8640"/>
      </w:tabs>
    </w:pPr>
  </w:style>
  <w:style w:type="character" w:styleId="PageNumber">
    <w:name w:val="page number"/>
    <w:basedOn w:val="DefaultParagraphFont"/>
    <w:rsid w:val="004C4BD0"/>
  </w:style>
  <w:style w:type="paragraph" w:styleId="BodyText">
    <w:name w:val="Body Text"/>
    <w:basedOn w:val="Normal"/>
    <w:link w:val="BodyTextChar"/>
    <w:rsid w:val="004C4BD0"/>
    <w:pPr>
      <w:spacing w:after="240"/>
    </w:pPr>
    <w:rPr>
      <w:sz w:val="24"/>
      <w:lang w:val="en-AU"/>
    </w:rPr>
  </w:style>
  <w:style w:type="paragraph" w:styleId="BodyText2">
    <w:name w:val="Body Text 2"/>
    <w:basedOn w:val="Normal"/>
    <w:link w:val="BodyText2Char"/>
    <w:rsid w:val="004C4BD0"/>
    <w:pPr>
      <w:spacing w:after="240"/>
    </w:pPr>
    <w:rPr>
      <w:sz w:val="23"/>
    </w:rPr>
  </w:style>
  <w:style w:type="table" w:styleId="TableGrid">
    <w:name w:val="Table Grid"/>
    <w:basedOn w:val="TableNormal"/>
    <w:rsid w:val="00B0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E7F74"/>
  </w:style>
  <w:style w:type="character" w:styleId="FootnoteReference">
    <w:name w:val="footnote reference"/>
    <w:basedOn w:val="DefaultParagraphFont"/>
    <w:rsid w:val="003E7F74"/>
    <w:rPr>
      <w:vertAlign w:val="superscript"/>
    </w:rPr>
  </w:style>
  <w:style w:type="paragraph" w:styleId="BalloonText">
    <w:name w:val="Balloon Text"/>
    <w:basedOn w:val="Normal"/>
    <w:link w:val="BalloonTextChar"/>
    <w:uiPriority w:val="99"/>
    <w:semiHidden/>
    <w:unhideWhenUsed/>
    <w:rsid w:val="00466F72"/>
    <w:rPr>
      <w:rFonts w:ascii="Tahoma" w:hAnsi="Tahoma" w:cs="Tahoma"/>
      <w:sz w:val="16"/>
      <w:szCs w:val="16"/>
    </w:rPr>
  </w:style>
  <w:style w:type="character" w:customStyle="1" w:styleId="BalloonTextChar">
    <w:name w:val="Balloon Text Char"/>
    <w:basedOn w:val="DefaultParagraphFont"/>
    <w:link w:val="BalloonText"/>
    <w:uiPriority w:val="99"/>
    <w:semiHidden/>
    <w:rsid w:val="00466F72"/>
    <w:rPr>
      <w:rFonts w:ascii="Tahoma" w:hAnsi="Tahoma" w:cs="Tahoma"/>
      <w:sz w:val="16"/>
      <w:szCs w:val="16"/>
      <w:lang w:val="en-US"/>
    </w:rPr>
  </w:style>
  <w:style w:type="paragraph" w:styleId="Revision">
    <w:name w:val="Revision"/>
    <w:hidden/>
    <w:uiPriority w:val="99"/>
    <w:semiHidden/>
    <w:rsid w:val="004A527B"/>
    <w:rPr>
      <w:lang w:val="en-US"/>
    </w:rPr>
  </w:style>
  <w:style w:type="paragraph" w:styleId="Footer">
    <w:name w:val="footer"/>
    <w:basedOn w:val="Normal"/>
    <w:link w:val="FooterChar"/>
    <w:uiPriority w:val="99"/>
    <w:unhideWhenUsed/>
    <w:rsid w:val="008A1201"/>
    <w:pPr>
      <w:tabs>
        <w:tab w:val="center" w:pos="4513"/>
        <w:tab w:val="right" w:pos="9026"/>
      </w:tabs>
    </w:pPr>
  </w:style>
  <w:style w:type="character" w:customStyle="1" w:styleId="FooterChar">
    <w:name w:val="Footer Char"/>
    <w:basedOn w:val="DefaultParagraphFont"/>
    <w:link w:val="Footer"/>
    <w:uiPriority w:val="99"/>
    <w:rsid w:val="008A1201"/>
    <w:rPr>
      <w:lang w:val="en-US"/>
    </w:rPr>
  </w:style>
  <w:style w:type="paragraph" w:styleId="EndnoteText">
    <w:name w:val="endnote text"/>
    <w:basedOn w:val="Normal"/>
    <w:link w:val="EndnoteTextChar"/>
    <w:uiPriority w:val="99"/>
    <w:semiHidden/>
    <w:unhideWhenUsed/>
    <w:rsid w:val="003A5F6B"/>
  </w:style>
  <w:style w:type="character" w:customStyle="1" w:styleId="EndnoteTextChar">
    <w:name w:val="Endnote Text Char"/>
    <w:basedOn w:val="DefaultParagraphFont"/>
    <w:link w:val="EndnoteText"/>
    <w:uiPriority w:val="99"/>
    <w:semiHidden/>
    <w:rsid w:val="003A5F6B"/>
    <w:rPr>
      <w:lang w:val="en-US"/>
    </w:rPr>
  </w:style>
  <w:style w:type="character" w:styleId="EndnoteReference">
    <w:name w:val="endnote reference"/>
    <w:basedOn w:val="DefaultParagraphFont"/>
    <w:uiPriority w:val="99"/>
    <w:semiHidden/>
    <w:unhideWhenUsed/>
    <w:rsid w:val="003A5F6B"/>
    <w:rPr>
      <w:vertAlign w:val="superscript"/>
    </w:rPr>
  </w:style>
  <w:style w:type="character" w:styleId="CommentReference">
    <w:name w:val="annotation reference"/>
    <w:basedOn w:val="DefaultParagraphFont"/>
    <w:uiPriority w:val="99"/>
    <w:semiHidden/>
    <w:unhideWhenUsed/>
    <w:rsid w:val="00BD0967"/>
    <w:rPr>
      <w:sz w:val="16"/>
      <w:szCs w:val="16"/>
    </w:rPr>
  </w:style>
  <w:style w:type="paragraph" w:styleId="CommentText">
    <w:name w:val="annotation text"/>
    <w:basedOn w:val="Normal"/>
    <w:link w:val="CommentTextChar"/>
    <w:uiPriority w:val="99"/>
    <w:semiHidden/>
    <w:unhideWhenUsed/>
    <w:rsid w:val="00BD0967"/>
  </w:style>
  <w:style w:type="character" w:customStyle="1" w:styleId="CommentTextChar">
    <w:name w:val="Comment Text Char"/>
    <w:basedOn w:val="DefaultParagraphFont"/>
    <w:link w:val="CommentText"/>
    <w:uiPriority w:val="99"/>
    <w:semiHidden/>
    <w:rsid w:val="00BD0967"/>
    <w:rPr>
      <w:lang w:val="en-US"/>
    </w:rPr>
  </w:style>
  <w:style w:type="paragraph" w:styleId="CommentSubject">
    <w:name w:val="annotation subject"/>
    <w:basedOn w:val="CommentText"/>
    <w:next w:val="CommentText"/>
    <w:link w:val="CommentSubjectChar"/>
    <w:uiPriority w:val="99"/>
    <w:semiHidden/>
    <w:unhideWhenUsed/>
    <w:rsid w:val="00BD0967"/>
    <w:rPr>
      <w:b/>
      <w:bCs/>
    </w:rPr>
  </w:style>
  <w:style w:type="character" w:customStyle="1" w:styleId="CommentSubjectChar">
    <w:name w:val="Comment Subject Char"/>
    <w:basedOn w:val="CommentTextChar"/>
    <w:link w:val="CommentSubject"/>
    <w:uiPriority w:val="99"/>
    <w:semiHidden/>
    <w:rsid w:val="00BD0967"/>
    <w:rPr>
      <w:b/>
      <w:bCs/>
      <w:lang w:val="en-US"/>
    </w:rPr>
  </w:style>
  <w:style w:type="paragraph" w:customStyle="1" w:styleId="CharChar2">
    <w:name w:val="Char Char2"/>
    <w:basedOn w:val="Normal"/>
    <w:rsid w:val="00FC3121"/>
    <w:pPr>
      <w:spacing w:after="160" w:line="240" w:lineRule="exact"/>
    </w:pPr>
    <w:rPr>
      <w:rFonts w:ascii="Verdana" w:hAnsi="Verdana" w:cs="Verdana"/>
      <w:lang w:eastAsia="en-US"/>
    </w:rPr>
  </w:style>
  <w:style w:type="paragraph" w:customStyle="1" w:styleId="CoverTitleMain">
    <w:name w:val="Cover Title Main"/>
    <w:basedOn w:val="Normal"/>
    <w:next w:val="Normal"/>
    <w:rsid w:val="00FC3121"/>
    <w:pPr>
      <w:keepNext/>
      <w:spacing w:after="480"/>
      <w:jc w:val="center"/>
    </w:pPr>
    <w:rPr>
      <w:rFonts w:ascii="Arial" w:hAnsi="Arial"/>
      <w:b/>
      <w:color w:val="000000"/>
      <w:sz w:val="48"/>
      <w:lang w:val="en-AU"/>
    </w:rPr>
  </w:style>
  <w:style w:type="paragraph" w:customStyle="1" w:styleId="CoverTitleSub">
    <w:name w:val="Cover Title Sub"/>
    <w:basedOn w:val="Normal"/>
    <w:rsid w:val="00FC3121"/>
    <w:pPr>
      <w:keepNext/>
      <w:spacing w:after="360"/>
      <w:jc w:val="center"/>
    </w:pPr>
    <w:rPr>
      <w:rFonts w:ascii="Arial" w:hAnsi="Arial"/>
      <w:color w:val="000000"/>
      <w:sz w:val="36"/>
      <w:lang w:val="en-AU"/>
    </w:rPr>
  </w:style>
  <w:style w:type="paragraph" w:styleId="ListParagraph">
    <w:name w:val="List Paragraph"/>
    <w:basedOn w:val="Normal"/>
    <w:uiPriority w:val="34"/>
    <w:qFormat/>
    <w:rsid w:val="00EB3E76"/>
    <w:pPr>
      <w:ind w:left="720"/>
    </w:pPr>
  </w:style>
  <w:style w:type="paragraph" w:customStyle="1" w:styleId="subsection">
    <w:name w:val="subsection"/>
    <w:basedOn w:val="Normal"/>
    <w:rsid w:val="00D47353"/>
    <w:pPr>
      <w:spacing w:before="100" w:beforeAutospacing="1" w:after="100" w:afterAutospacing="1"/>
    </w:pPr>
    <w:rPr>
      <w:sz w:val="24"/>
      <w:szCs w:val="24"/>
      <w:lang w:val="en-AU"/>
    </w:rPr>
  </w:style>
  <w:style w:type="paragraph" w:customStyle="1" w:styleId="paragraph">
    <w:name w:val="paragraph"/>
    <w:basedOn w:val="Normal"/>
    <w:rsid w:val="00D47353"/>
    <w:pPr>
      <w:spacing w:before="100" w:beforeAutospacing="1" w:after="100" w:afterAutospacing="1"/>
    </w:pPr>
    <w:rPr>
      <w:sz w:val="24"/>
      <w:szCs w:val="24"/>
      <w:lang w:val="en-AU"/>
    </w:rPr>
  </w:style>
  <w:style w:type="character" w:styleId="Hyperlink">
    <w:name w:val="Hyperlink"/>
    <w:basedOn w:val="DefaultParagraphFont"/>
    <w:uiPriority w:val="99"/>
    <w:unhideWhenUsed/>
    <w:rsid w:val="00D47353"/>
    <w:rPr>
      <w:color w:val="0000FF"/>
      <w:u w:val="single"/>
    </w:rPr>
  </w:style>
  <w:style w:type="paragraph" w:customStyle="1" w:styleId="ActTitle">
    <w:name w:val="Act Title"/>
    <w:basedOn w:val="Normal"/>
    <w:next w:val="Normal"/>
    <w:rsid w:val="00FB6E89"/>
    <w:pPr>
      <w:pBdr>
        <w:bottom w:val="single" w:sz="4" w:space="3" w:color="auto"/>
      </w:pBdr>
      <w:spacing w:before="480" w:after="240"/>
    </w:pPr>
    <w:rPr>
      <w:rFonts w:ascii="Arial" w:hAnsi="Arial"/>
      <w:i/>
      <w:iCs/>
      <w:sz w:val="28"/>
      <w:lang w:val="en-AU"/>
    </w:rPr>
  </w:style>
  <w:style w:type="character" w:customStyle="1" w:styleId="BodyTextChar">
    <w:name w:val="Body Text Char"/>
    <w:basedOn w:val="DefaultParagraphFont"/>
    <w:link w:val="BodyText"/>
    <w:rsid w:val="00AB6020"/>
    <w:rPr>
      <w:sz w:val="24"/>
    </w:rPr>
  </w:style>
  <w:style w:type="character" w:customStyle="1" w:styleId="Heading2Char">
    <w:name w:val="Heading 2 Char"/>
    <w:basedOn w:val="DefaultParagraphFont"/>
    <w:link w:val="Heading2"/>
    <w:rsid w:val="00C76D24"/>
    <w:rPr>
      <w:b/>
      <w:sz w:val="24"/>
      <w:lang w:val="en-GB"/>
    </w:rPr>
  </w:style>
  <w:style w:type="character" w:customStyle="1" w:styleId="FootnoteTextChar">
    <w:name w:val="Footnote Text Char"/>
    <w:basedOn w:val="DefaultParagraphFont"/>
    <w:link w:val="FootnoteText"/>
    <w:uiPriority w:val="99"/>
    <w:rsid w:val="008100A2"/>
    <w:rPr>
      <w:lang w:val="en-US"/>
    </w:rPr>
  </w:style>
  <w:style w:type="character" w:customStyle="1" w:styleId="legsubtitle1">
    <w:name w:val="legsubtitle1"/>
    <w:basedOn w:val="DefaultParagraphFont"/>
    <w:rsid w:val="008100A2"/>
    <w:rPr>
      <w:rFonts w:ascii="Helvetica Neue" w:hAnsi="Helvetica Neue" w:hint="default"/>
      <w:b/>
      <w:bCs/>
      <w:sz w:val="28"/>
      <w:szCs w:val="28"/>
    </w:rPr>
  </w:style>
  <w:style w:type="character" w:styleId="FollowedHyperlink">
    <w:name w:val="FollowedHyperlink"/>
    <w:basedOn w:val="DefaultParagraphFont"/>
    <w:uiPriority w:val="99"/>
    <w:semiHidden/>
    <w:unhideWhenUsed/>
    <w:rsid w:val="00183ECD"/>
    <w:rPr>
      <w:color w:val="800080" w:themeColor="followedHyperlink"/>
      <w:u w:val="single"/>
    </w:rPr>
  </w:style>
  <w:style w:type="paragraph" w:customStyle="1" w:styleId="Heading">
    <w:name w:val="Heading"/>
    <w:basedOn w:val="Normal"/>
    <w:rsid w:val="00121C1C"/>
    <w:pPr>
      <w:keepNext/>
      <w:spacing w:before="240" w:after="60"/>
      <w:outlineLvl w:val="0"/>
    </w:pPr>
    <w:rPr>
      <w:rFonts w:ascii="Trebuchet MS" w:hAnsi="Trebuchet MS" w:cs="Arial"/>
      <w:b/>
      <w:kern w:val="32"/>
      <w:sz w:val="26"/>
      <w:szCs w:val="32"/>
      <w:lang w:val="en-AU" w:eastAsia="en-US"/>
    </w:rPr>
  </w:style>
  <w:style w:type="character" w:customStyle="1" w:styleId="BodyText2Char">
    <w:name w:val="Body Text 2 Char"/>
    <w:basedOn w:val="DefaultParagraphFont"/>
    <w:link w:val="BodyText2"/>
    <w:rsid w:val="0025121C"/>
    <w:rPr>
      <w:sz w:val="23"/>
      <w:lang w:val="en-US"/>
    </w:rPr>
  </w:style>
  <w:style w:type="character" w:customStyle="1" w:styleId="TitleChar">
    <w:name w:val="Title Char"/>
    <w:basedOn w:val="DefaultParagraphFont"/>
    <w:link w:val="Title"/>
    <w:rsid w:val="00FE3F5B"/>
    <w:rPr>
      <w:b/>
      <w:sz w:val="24"/>
      <w:lang w:val="en-US"/>
    </w:rPr>
  </w:style>
  <w:style w:type="paragraph" w:customStyle="1" w:styleId="APRANORMAL">
    <w:name w:val="APRA NORMAL"/>
    <w:basedOn w:val="Normal"/>
    <w:link w:val="APRANORMALChar"/>
    <w:qFormat/>
    <w:rsid w:val="00021200"/>
    <w:pPr>
      <w:spacing w:after="240"/>
    </w:pPr>
    <w:rPr>
      <w:rFonts w:ascii="DIN OT Light" w:eastAsiaTheme="minorHAnsi" w:hAnsi="DIN OT Light"/>
      <w:sz w:val="22"/>
      <w:szCs w:val="22"/>
      <w:lang w:val="en-GB" w:eastAsia="en-US"/>
    </w:rPr>
  </w:style>
  <w:style w:type="character" w:customStyle="1" w:styleId="APRANORMALChar">
    <w:name w:val="APRA NORMAL Char"/>
    <w:basedOn w:val="DefaultParagraphFont"/>
    <w:link w:val="APRANORMAL"/>
    <w:rsid w:val="00021200"/>
    <w:rPr>
      <w:rFonts w:ascii="DIN OT Light" w:eastAsiaTheme="minorHAnsi" w:hAnsi="DIN OT Light"/>
      <w:sz w:val="22"/>
      <w:szCs w:val="22"/>
      <w:lang w:val="en-GB" w:eastAsia="en-US"/>
    </w:rPr>
  </w:style>
  <w:style w:type="paragraph" w:customStyle="1" w:styleId="APRABULLET">
    <w:name w:val="APRA BULLET"/>
    <w:basedOn w:val="ListParagraph"/>
    <w:link w:val="APRABULLETChar"/>
    <w:qFormat/>
    <w:rsid w:val="00021200"/>
    <w:pPr>
      <w:numPr>
        <w:numId w:val="17"/>
      </w:numPr>
      <w:spacing w:after="240"/>
      <w:contextualSpacing/>
    </w:pPr>
    <w:rPr>
      <w:rFonts w:ascii="DIN OT Light" w:eastAsiaTheme="minorHAnsi" w:hAnsi="DIN OT Light"/>
      <w:sz w:val="22"/>
      <w:szCs w:val="22"/>
      <w:lang w:val="en-GB" w:eastAsia="en-US"/>
    </w:rPr>
  </w:style>
  <w:style w:type="character" w:customStyle="1" w:styleId="APRABULLETChar">
    <w:name w:val="APRA BULLET Char"/>
    <w:basedOn w:val="DefaultParagraphFont"/>
    <w:link w:val="APRABULLET"/>
    <w:rsid w:val="00021200"/>
    <w:rPr>
      <w:rFonts w:ascii="DIN OT Light" w:eastAsiaTheme="minorHAnsi" w:hAnsi="DIN OT Ligh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4021">
      <w:bodyDiv w:val="1"/>
      <w:marLeft w:val="0"/>
      <w:marRight w:val="0"/>
      <w:marTop w:val="0"/>
      <w:marBottom w:val="0"/>
      <w:divBdr>
        <w:top w:val="none" w:sz="0" w:space="0" w:color="auto"/>
        <w:left w:val="none" w:sz="0" w:space="0" w:color="auto"/>
        <w:bottom w:val="none" w:sz="0" w:space="0" w:color="auto"/>
        <w:right w:val="none" w:sz="0" w:space="0" w:color="auto"/>
      </w:divBdr>
    </w:div>
    <w:div w:id="856774549">
      <w:bodyDiv w:val="1"/>
      <w:marLeft w:val="0"/>
      <w:marRight w:val="0"/>
      <w:marTop w:val="0"/>
      <w:marBottom w:val="0"/>
      <w:divBdr>
        <w:top w:val="none" w:sz="0" w:space="0" w:color="auto"/>
        <w:left w:val="none" w:sz="0" w:space="0" w:color="auto"/>
        <w:bottom w:val="none" w:sz="0" w:space="0" w:color="auto"/>
        <w:right w:val="none" w:sz="0" w:space="0" w:color="auto"/>
      </w:divBdr>
    </w:div>
    <w:div w:id="1034117572">
      <w:bodyDiv w:val="1"/>
      <w:marLeft w:val="0"/>
      <w:marRight w:val="0"/>
      <w:marTop w:val="0"/>
      <w:marBottom w:val="0"/>
      <w:divBdr>
        <w:top w:val="none" w:sz="0" w:space="0" w:color="auto"/>
        <w:left w:val="none" w:sz="0" w:space="0" w:color="auto"/>
        <w:bottom w:val="none" w:sz="0" w:space="0" w:color="auto"/>
        <w:right w:val="none" w:sz="0" w:space="0" w:color="auto"/>
      </w:divBdr>
    </w:div>
    <w:div w:id="1219584968">
      <w:bodyDiv w:val="1"/>
      <w:marLeft w:val="0"/>
      <w:marRight w:val="0"/>
      <w:marTop w:val="0"/>
      <w:marBottom w:val="0"/>
      <w:divBdr>
        <w:top w:val="none" w:sz="0" w:space="0" w:color="auto"/>
        <w:left w:val="none" w:sz="0" w:space="0" w:color="auto"/>
        <w:bottom w:val="none" w:sz="0" w:space="0" w:color="auto"/>
        <w:right w:val="none" w:sz="0" w:space="0" w:color="auto"/>
      </w:divBdr>
    </w:div>
    <w:div w:id="1375764252">
      <w:bodyDiv w:val="1"/>
      <w:marLeft w:val="0"/>
      <w:marRight w:val="0"/>
      <w:marTop w:val="0"/>
      <w:marBottom w:val="0"/>
      <w:divBdr>
        <w:top w:val="none" w:sz="0" w:space="0" w:color="auto"/>
        <w:left w:val="none" w:sz="0" w:space="0" w:color="auto"/>
        <w:bottom w:val="none" w:sz="0" w:space="0" w:color="auto"/>
        <w:right w:val="none" w:sz="0" w:space="0" w:color="auto"/>
      </w:divBdr>
    </w:div>
    <w:div w:id="1574393531">
      <w:bodyDiv w:val="1"/>
      <w:marLeft w:val="0"/>
      <w:marRight w:val="0"/>
      <w:marTop w:val="0"/>
      <w:marBottom w:val="0"/>
      <w:divBdr>
        <w:top w:val="none" w:sz="0" w:space="0" w:color="auto"/>
        <w:left w:val="none" w:sz="0" w:space="0" w:color="auto"/>
        <w:bottom w:val="none" w:sz="0" w:space="0" w:color="auto"/>
        <w:right w:val="none" w:sz="0" w:space="0" w:color="auto"/>
      </w:divBdr>
    </w:div>
    <w:div w:id="19003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_dlc_DocId xmlns="814d62cb-2db6-4c25-ab62-b9075facbc11">5JENXJJSCC7A-445999044-8582</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Explanatory Statemennt (ES) for Australian Prudential Regulation Authority instrument fixing charges No. 4 of 2018</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https://im/teams/LEGAL/_layouts/15/DocIdRedir.aspx?ID=5JENXJJSCC7A-445999044-8582</Url>
      <Description>5JENXJJSCC7A-445999044-8582</Description>
    </_dlc_DocIdUrl>
    <j724204a644741eb9f777fcb03fe8840 xmlns="814d62cb-2db6-4c25-ab62-b9075facbc11">
      <Terms xmlns="http://schemas.microsoft.com/office/infopath/2007/PartnerControls"/>
    </j724204a644741eb9f777fcb03fe8840>
    <APRADate xmlns="814d62cb-2db6-4c25-ab62-b9075facbc11">2018-06-06T14:00:00+00:00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TaxCatchAll xmlns="814d62cb-2db6-4c25-ab62-b9075facbc11">
      <Value>24</Value>
      <Value>83</Value>
      <Value>234</Value>
      <Value>134</Value>
      <Value>10</Value>
      <Value>26</Value>
      <Value>93</Value>
      <Value>109</Value>
      <Value>158</Value>
      <Value>4</Value>
      <Value>19</Value>
      <Value>171</Value>
    </TaxCatchAll>
    <APRAMeetingDate xmlns="814d62cb-2db6-4c25-ab62-b9075facbc11" xsi:nil="true"/>
    <APRAMeetingNumber xmlns="814d62cb-2db6-4c25-ab62-b9075facbc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18E3C-0710-48F0-A1EF-4C8C9C730913}">
  <ds:schemaRefs>
    <ds:schemaRef ds:uri="http://schemas.microsoft.com/sharepoint/v3/contenttype/forms"/>
  </ds:schemaRefs>
</ds:datastoreItem>
</file>

<file path=customXml/itemProps2.xml><?xml version="1.0" encoding="utf-8"?>
<ds:datastoreItem xmlns:ds="http://schemas.openxmlformats.org/officeDocument/2006/customXml" ds:itemID="{B9EA4D9F-504D-46DD-9DA5-B271999A469C}">
  <ds:schemaRefs>
    <ds:schemaRef ds:uri="http://schemas.microsoft.com/sharepoint/events"/>
  </ds:schemaRefs>
</ds:datastoreItem>
</file>

<file path=customXml/itemProps3.xml><?xml version="1.0" encoding="utf-8"?>
<ds:datastoreItem xmlns:ds="http://schemas.openxmlformats.org/officeDocument/2006/customXml" ds:itemID="{EE7D20AD-054F-41EF-AFDF-3409A9354118}">
  <ds:schemaRefs>
    <ds:schemaRef ds:uri="Microsoft.SharePoint.Taxonomy.ContentTypeSync"/>
  </ds:schemaRefs>
</ds:datastoreItem>
</file>

<file path=customXml/itemProps4.xml><?xml version="1.0" encoding="utf-8"?>
<ds:datastoreItem xmlns:ds="http://schemas.openxmlformats.org/officeDocument/2006/customXml" ds:itemID="{900551DD-EECB-47EA-AF9E-570F746458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5.xml><?xml version="1.0" encoding="utf-8"?>
<ds:datastoreItem xmlns:ds="http://schemas.openxmlformats.org/officeDocument/2006/customXml" ds:itemID="{2484FD9C-5EC7-41AF-A85D-C5AB273A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FF31CC-D0BF-4B3D-9B9B-AF89C854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8205</Characters>
  <Application>Microsoft Office Word</Application>
  <DocSecurity>0</DocSecurity>
  <Lines>209</Lines>
  <Paragraphs>73</Paragraphs>
  <ScaleCrop>false</ScaleCrop>
  <HeadingPairs>
    <vt:vector size="2" baseType="variant">
      <vt:variant>
        <vt:lpstr>Title</vt:lpstr>
      </vt:variant>
      <vt:variant>
        <vt:i4>1</vt:i4>
      </vt:variant>
    </vt:vector>
  </HeadingPairs>
  <TitlesOfParts>
    <vt:vector size="1" baseType="lpstr">
      <vt:lpstr>FBB - 2016 -17 ES</vt:lpstr>
    </vt:vector>
  </TitlesOfParts>
  <LinksUpToDate>false</LinksUpToDate>
  <CharactersWithSpaces>9656</CharactersWithSpaces>
  <SharedDoc>false</SharedDoc>
  <HLinks>
    <vt:vector size="96" baseType="variant">
      <vt:variant>
        <vt:i4>65647</vt:i4>
      </vt:variant>
      <vt:variant>
        <vt:i4>45</vt:i4>
      </vt:variant>
      <vt:variant>
        <vt:i4>0</vt:i4>
      </vt:variant>
      <vt:variant>
        <vt:i4>5</vt:i4>
      </vt:variant>
      <vt:variant>
        <vt:lpwstr>http://www.austlii.edu.au/au/legis/cth/consol_act/ba195972/s11.html</vt:lpwstr>
      </vt:variant>
      <vt:variant>
        <vt:lpwstr/>
      </vt:variant>
      <vt:variant>
        <vt:i4>1179687</vt:i4>
      </vt:variant>
      <vt:variant>
        <vt:i4>42</vt:i4>
      </vt:variant>
      <vt:variant>
        <vt:i4>0</vt:i4>
      </vt:variant>
      <vt:variant>
        <vt:i4>5</vt:i4>
      </vt:variant>
      <vt:variant>
        <vt:lpwstr>http://www.austlii.edu.au/au/legis/cth/consol_act/ba195972/s5.html</vt:lpwstr>
      </vt:variant>
      <vt:variant>
        <vt:lpwstr>apra</vt:lpwstr>
      </vt:variant>
      <vt:variant>
        <vt:i4>3276858</vt:i4>
      </vt:variant>
      <vt:variant>
        <vt:i4>39</vt:i4>
      </vt:variant>
      <vt:variant>
        <vt:i4>0</vt:i4>
      </vt:variant>
      <vt:variant>
        <vt:i4>5</vt:i4>
      </vt:variant>
      <vt:variant>
        <vt:lpwstr>http://www.austlii.edu.au/au/legis/cth/consol_act/ba195972/s5.html</vt:lpwstr>
      </vt:variant>
      <vt:variant>
        <vt:lpwstr>banking_business</vt:lpwstr>
      </vt:variant>
      <vt:variant>
        <vt:i4>655416</vt:i4>
      </vt:variant>
      <vt:variant>
        <vt:i4>36</vt:i4>
      </vt:variant>
      <vt:variant>
        <vt:i4>0</vt:i4>
      </vt:variant>
      <vt:variant>
        <vt:i4>5</vt:i4>
      </vt:variant>
      <vt:variant>
        <vt:lpwstr>http://www.austlii.edu.au/au/legis/cth/consol_act/ba195972/s5.html</vt:lpwstr>
      </vt:variant>
      <vt:variant>
        <vt:lpwstr>australia</vt:lpwstr>
      </vt:variant>
      <vt:variant>
        <vt:i4>655416</vt:i4>
      </vt:variant>
      <vt:variant>
        <vt:i4>33</vt:i4>
      </vt:variant>
      <vt:variant>
        <vt:i4>0</vt:i4>
      </vt:variant>
      <vt:variant>
        <vt:i4>5</vt:i4>
      </vt:variant>
      <vt:variant>
        <vt:lpwstr>http://www.austlii.edu.au/au/legis/cth/consol_act/ba195972/s5.html</vt:lpwstr>
      </vt:variant>
      <vt:variant>
        <vt:lpwstr>australia</vt:lpwstr>
      </vt:variant>
      <vt:variant>
        <vt:i4>3276858</vt:i4>
      </vt:variant>
      <vt:variant>
        <vt:i4>30</vt:i4>
      </vt:variant>
      <vt:variant>
        <vt:i4>0</vt:i4>
      </vt:variant>
      <vt:variant>
        <vt:i4>5</vt:i4>
      </vt:variant>
      <vt:variant>
        <vt:lpwstr>http://www.austlii.edu.au/au/legis/cth/consol_act/ba195972/s5.html</vt:lpwstr>
      </vt:variant>
      <vt:variant>
        <vt:lpwstr>banking_business</vt:lpwstr>
      </vt:variant>
      <vt:variant>
        <vt:i4>3276858</vt:i4>
      </vt:variant>
      <vt:variant>
        <vt:i4>27</vt:i4>
      </vt:variant>
      <vt:variant>
        <vt:i4>0</vt:i4>
      </vt:variant>
      <vt:variant>
        <vt:i4>5</vt:i4>
      </vt:variant>
      <vt:variant>
        <vt:lpwstr>http://www.austlii.edu.au/au/legis/cth/consol_act/ba195972/s5.html</vt:lpwstr>
      </vt:variant>
      <vt:variant>
        <vt:lpwstr>banking_business</vt:lpwstr>
      </vt:variant>
      <vt:variant>
        <vt:i4>3276858</vt:i4>
      </vt:variant>
      <vt:variant>
        <vt:i4>24</vt:i4>
      </vt:variant>
      <vt:variant>
        <vt:i4>0</vt:i4>
      </vt:variant>
      <vt:variant>
        <vt:i4>5</vt:i4>
      </vt:variant>
      <vt:variant>
        <vt:lpwstr>http://www.austlii.edu.au/au/legis/cth/consol_act/ba195972/s5.html</vt:lpwstr>
      </vt:variant>
      <vt:variant>
        <vt:lpwstr>banking_business</vt:lpwstr>
      </vt:variant>
      <vt:variant>
        <vt:i4>65647</vt:i4>
      </vt:variant>
      <vt:variant>
        <vt:i4>21</vt:i4>
      </vt:variant>
      <vt:variant>
        <vt:i4>0</vt:i4>
      </vt:variant>
      <vt:variant>
        <vt:i4>5</vt:i4>
      </vt:variant>
      <vt:variant>
        <vt:lpwstr>http://www.austlii.edu.au/au/legis/cth/consol_act/ba195972/s11.html</vt:lpwstr>
      </vt:variant>
      <vt:variant>
        <vt:lpwstr/>
      </vt:variant>
      <vt:variant>
        <vt:i4>1179687</vt:i4>
      </vt:variant>
      <vt:variant>
        <vt:i4>18</vt:i4>
      </vt:variant>
      <vt:variant>
        <vt:i4>0</vt:i4>
      </vt:variant>
      <vt:variant>
        <vt:i4>5</vt:i4>
      </vt:variant>
      <vt:variant>
        <vt:lpwstr>http://www.austlii.edu.au/au/legis/cth/consol_act/ba195972/s5.html</vt:lpwstr>
      </vt:variant>
      <vt:variant>
        <vt:lpwstr>apra</vt:lpwstr>
      </vt:variant>
      <vt:variant>
        <vt:i4>3276858</vt:i4>
      </vt:variant>
      <vt:variant>
        <vt:i4>15</vt:i4>
      </vt:variant>
      <vt:variant>
        <vt:i4>0</vt:i4>
      </vt:variant>
      <vt:variant>
        <vt:i4>5</vt:i4>
      </vt:variant>
      <vt:variant>
        <vt:lpwstr>http://www.austlii.edu.au/au/legis/cth/consol_act/ba195972/s5.html</vt:lpwstr>
      </vt:variant>
      <vt:variant>
        <vt:lpwstr>banking_business</vt:lpwstr>
      </vt:variant>
      <vt:variant>
        <vt:i4>655416</vt:i4>
      </vt:variant>
      <vt:variant>
        <vt:i4>12</vt:i4>
      </vt:variant>
      <vt:variant>
        <vt:i4>0</vt:i4>
      </vt:variant>
      <vt:variant>
        <vt:i4>5</vt:i4>
      </vt:variant>
      <vt:variant>
        <vt:lpwstr>http://www.austlii.edu.au/au/legis/cth/consol_act/ba195972/s5.html</vt:lpwstr>
      </vt:variant>
      <vt:variant>
        <vt:lpwstr>australia</vt:lpwstr>
      </vt:variant>
      <vt:variant>
        <vt:i4>655416</vt:i4>
      </vt:variant>
      <vt:variant>
        <vt:i4>9</vt:i4>
      </vt:variant>
      <vt:variant>
        <vt:i4>0</vt:i4>
      </vt:variant>
      <vt:variant>
        <vt:i4>5</vt:i4>
      </vt:variant>
      <vt:variant>
        <vt:lpwstr>http://www.austlii.edu.au/au/legis/cth/consol_act/ba195972/s5.html</vt:lpwstr>
      </vt:variant>
      <vt:variant>
        <vt:lpwstr>australia</vt:lpwstr>
      </vt:variant>
      <vt:variant>
        <vt:i4>3276858</vt:i4>
      </vt:variant>
      <vt:variant>
        <vt:i4>6</vt:i4>
      </vt:variant>
      <vt:variant>
        <vt:i4>0</vt:i4>
      </vt:variant>
      <vt:variant>
        <vt:i4>5</vt:i4>
      </vt:variant>
      <vt:variant>
        <vt:lpwstr>http://www.austlii.edu.au/au/legis/cth/consol_act/ba195972/s5.html</vt:lpwstr>
      </vt:variant>
      <vt:variant>
        <vt:lpwstr>banking_business</vt:lpwstr>
      </vt:variant>
      <vt:variant>
        <vt:i4>3276858</vt:i4>
      </vt:variant>
      <vt:variant>
        <vt:i4>3</vt:i4>
      </vt:variant>
      <vt:variant>
        <vt:i4>0</vt:i4>
      </vt:variant>
      <vt:variant>
        <vt:i4>5</vt:i4>
      </vt:variant>
      <vt:variant>
        <vt:lpwstr>http://www.austlii.edu.au/au/legis/cth/consol_act/ba195972/s5.html</vt:lpwstr>
      </vt:variant>
      <vt:variant>
        <vt:lpwstr>banking_business</vt:lpwstr>
      </vt:variant>
      <vt:variant>
        <vt:i4>3276858</vt:i4>
      </vt:variant>
      <vt:variant>
        <vt:i4>0</vt:i4>
      </vt:variant>
      <vt:variant>
        <vt:i4>0</vt:i4>
      </vt:variant>
      <vt:variant>
        <vt:i4>5</vt:i4>
      </vt:variant>
      <vt:variant>
        <vt:lpwstr>http://www.austlii.edu.au/au/legis/cth/consol_act/ba195972/s5.html</vt:lpwstr>
      </vt:variant>
      <vt:variant>
        <vt:lpwstr>banking_business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Australian Prudential Regulation Authority instrument fixing charges No. 4 of 2018</dc:title>
  <dc:subject/>
  <dc:creator/>
  <cp:keywords>[SEC=UNCLASSIFIED]</cp:keywords>
  <cp:lastModifiedBy/>
  <cp:revision>1</cp:revision>
  <dcterms:created xsi:type="dcterms:W3CDTF">2018-06-07T03:19:00Z</dcterms:created>
  <dcterms:modified xsi:type="dcterms:W3CDTF">2018-06-07T03:19:00Z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PM_Originator_Hash_SHA1">
    <vt:lpwstr>255C33EEF080236EA1881811ED14EB2A2250F444</vt:lpwstr>
  </property>
  <property fmtid="{D5CDD505-2E9C-101B-9397-08002B2CF9AE}" pid="4" name="RecordPoint_RecordNumberSubmitted">
    <vt:lpwstr/>
  </property>
  <property fmtid="{D5CDD505-2E9C-101B-9397-08002B2CF9AE}" pid="5" name="PM_ProtectiveMarkingImage_Header">
    <vt:lpwstr>C:\Program Files (x86)\Common Files\janusNET Shared\janusSEAL\Images\DocumentSlashBlue.png</vt:lpwstr>
  </property>
  <property fmtid="{D5CDD505-2E9C-101B-9397-08002B2CF9AE}" pid="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7" name="ContentTypeId">
    <vt:lpwstr>0x0101008CA7A4F8331B45C7B0D3158B4994D0CA0200577EC0F5A1FBFC498F9A8436B963F8A6</vt:lpwstr>
  </property>
  <property fmtid="{D5CDD505-2E9C-101B-9397-08002B2CF9AE}" pid="8" name="PM_ProtectiveMarkingImage_Footer">
    <vt:lpwstr>C:\Program Files (x86)\Common Files\janusNET Shared\janusSEAL\Images\DocumentSlashBlue.png</vt:lpwstr>
  </property>
  <property fmtid="{D5CDD505-2E9C-101B-9397-08002B2CF9AE}" pid="9" name="RecordPoint_WorkflowType">
    <vt:lpwstr>ActiveSubmitStub</vt:lpwstr>
  </property>
  <property fmtid="{D5CDD505-2E9C-101B-9397-08002B2CF9AE}" pid="10" name="PM_DisplayValueSecClassificationWithQualifier">
    <vt:lpwstr>UNCLASSIFIED</vt:lpwstr>
  </property>
  <property fmtid="{D5CDD505-2E9C-101B-9397-08002B2CF9AE}" pid="11" name="PM_Hash_Version">
    <vt:lpwstr>2016.1</vt:lpwstr>
  </property>
  <property fmtid="{D5CDD505-2E9C-101B-9397-08002B2CF9AE}" pid="12" name="PM_Qualifier_Prev">
    <vt:lpwstr>For-Official-Use-Only</vt:lpwstr>
  </property>
  <property fmtid="{D5CDD505-2E9C-101B-9397-08002B2CF9AE}" pid="13" name="PM_ProtectiveMarkingValue_Header">
    <vt:lpwstr>UNCLASSIFIED</vt:lpwstr>
  </property>
  <property fmtid="{D5CDD505-2E9C-101B-9397-08002B2CF9AE}" pid="14" name="IT system type">
    <vt:lpwstr/>
  </property>
  <property fmtid="{D5CDD505-2E9C-101B-9397-08002B2CF9AE}" pid="15" name="_dlc_DocIdItemGuid">
    <vt:lpwstr>2ba7ed9b-a8ce-4dfe-a281-2dbd4baf978c</vt:lpwstr>
  </property>
  <property fmtid="{D5CDD505-2E9C-101B-9397-08002B2CF9AE}" pid="16" name="PM_Originating_FileId">
    <vt:lpwstr>B6F48E518B6D42AE9E0D389187002656</vt:lpwstr>
  </property>
  <property fmtid="{D5CDD505-2E9C-101B-9397-08002B2CF9AE}" pid="17" name="PM_Hash_SHA1">
    <vt:lpwstr>5E3EC9078C135DD8CD3DF6A5C44D8BD9C582DF70</vt:lpwstr>
  </property>
  <property fmtid="{D5CDD505-2E9C-101B-9397-08002B2CF9AE}" pid="18" name="APRACategory">
    <vt:lpwstr/>
  </property>
  <property fmtid="{D5CDD505-2E9C-101B-9397-08002B2CF9AE}" pid="19" name="APRAStatus">
    <vt:lpwstr>19;#Final|84d6b2d0-8498-4d62-bf46-bab38babbe9e</vt:lpwstr>
  </property>
  <property fmtid="{D5CDD505-2E9C-101B-9397-08002B2CF9AE}" pid="20" name="PM_Version">
    <vt:lpwstr>2012.3</vt:lpwstr>
  </property>
  <property fmtid="{D5CDD505-2E9C-101B-9397-08002B2CF9AE}" pid="21" name="PM_Hash_Salt_Prev">
    <vt:lpwstr>ABFEDC8342E9D5208EC9F10F8FCBC6E7</vt:lpwstr>
  </property>
  <property fmtid="{D5CDD505-2E9C-101B-9397-08002B2CF9AE}" pid="22" name="APRADocumentType">
    <vt:lpwstr>234;#Explanatory statement|b22f2e2f-3f73-411b-9a7c-34264d26fa25</vt:lpwstr>
  </property>
  <property fmtid="{D5CDD505-2E9C-101B-9397-08002B2CF9AE}" pid="23" name="APRAPRSG">
    <vt:lpwstr/>
  </property>
  <property fmtid="{D5CDD505-2E9C-101B-9397-08002B2CF9AE}" pid="24" name="RecordPoint_ActiveItemSiteId">
    <vt:lpwstr>{88691c01-5bbb-4215-adc0-66cb7065b0af}</vt:lpwstr>
  </property>
  <property fmtid="{D5CDD505-2E9C-101B-9397-08002B2CF9AE}" pid="25" name="PM_SecurityClassification_Prev">
    <vt:lpwstr>DLM-ONLY</vt:lpwstr>
  </property>
  <property fmtid="{D5CDD505-2E9C-101B-9397-08002B2CF9AE}" pid="26" name="PM_Qualifier">
    <vt:lpwstr/>
  </property>
  <property fmtid="{D5CDD505-2E9C-101B-9397-08002B2CF9AE}" pid="27" name="APRAActivity">
    <vt:lpwstr>109;#Statutory instrument|fe68928c-5a9c-4caf-bc8c-6c18cedcb17f;#10;#Registration|390476ce-d76d-4e8d-905f-28e32d2df127</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171;#2018|337d548e-be9a-4363-bbb3-ec2b7c3daa90</vt:lpwstr>
  </property>
  <property fmtid="{D5CDD505-2E9C-101B-9397-08002B2CF9AE}" pid="32" name="APRAIndustry">
    <vt:lpwstr/>
  </property>
  <property fmtid="{D5CDD505-2E9C-101B-9397-08002B2CF9AE}" pid="33" name="RecordPoint_ActiveItemUniqueId">
    <vt:lpwstr>{2ba7ed9b-a8ce-4dfe-a281-2dbd4baf978c}</vt:lpwstr>
  </property>
  <property fmtid="{D5CDD505-2E9C-101B-9397-08002B2CF9AE}" pid="34" name="RecordPoint_SubmissionCompleted">
    <vt:lpwstr/>
  </property>
  <property fmtid="{D5CDD505-2E9C-101B-9397-08002B2CF9AE}" pid="35" name="PM_ProtectiveMarkingValue_Footer">
    <vt:lpwstr>UNCLASSIFIED</vt:lpwstr>
  </property>
  <property fmtid="{D5CDD505-2E9C-101B-9397-08002B2CF9AE}" pid="36" name="PM_InsertionValue">
    <vt:lpwstr>UNCLASSIFIED</vt:lpwstr>
  </property>
  <property fmtid="{D5CDD505-2E9C-101B-9397-08002B2CF9AE}" pid="37" name="PM_MinimumSecurityClassification">
    <vt:lpwstr/>
  </property>
  <property fmtid="{D5CDD505-2E9C-101B-9397-08002B2CF9AE}" pid="38" name="APRAExternalOrganisation">
    <vt:lpwstr/>
  </property>
  <property fmtid="{D5CDD505-2E9C-101B-9397-08002B2CF9AE}" pid="39" name="PM_SecurityClassification">
    <vt:lpwstr>UNCLASSIFIED</vt:lpwstr>
  </property>
  <property fmtid="{D5CDD505-2E9C-101B-9397-08002B2CF9AE}" pid="40" name="PM_Hash_Salt">
    <vt:lpwstr>BBBED5D58E3D77A680F7C6982CD728D5</vt:lpwstr>
  </property>
  <property fmtid="{D5CDD505-2E9C-101B-9397-08002B2CF9AE}" pid="41" name="PM_OriginationTimeStamp">
    <vt:lpwstr>2018-06-07T00:36:35Z</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