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94A46" w:rsidRDefault="00193461" w:rsidP="0020300C">
      <w:pPr>
        <w:rPr>
          <w:sz w:val="28"/>
        </w:rPr>
      </w:pPr>
      <w:r w:rsidRPr="00394A46">
        <w:rPr>
          <w:noProof/>
          <w:lang w:eastAsia="en-AU"/>
        </w:rPr>
        <w:drawing>
          <wp:inline distT="0" distB="0" distL="0" distR="0" wp14:anchorId="58A708A2" wp14:editId="1B03039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94A46" w:rsidRDefault="0048364F" w:rsidP="0048364F">
      <w:pPr>
        <w:rPr>
          <w:sz w:val="19"/>
        </w:rPr>
      </w:pPr>
    </w:p>
    <w:p w:rsidR="0048364F" w:rsidRPr="00394A46" w:rsidRDefault="0055464D" w:rsidP="0048364F">
      <w:pPr>
        <w:pStyle w:val="ShortT"/>
      </w:pPr>
      <w:r w:rsidRPr="00394A46">
        <w:t>Regulatory Powers Legislation Amendment (Standardisation Reform) Regulations</w:t>
      </w:r>
      <w:r w:rsidR="00394A46" w:rsidRPr="00394A46">
        <w:t> </w:t>
      </w:r>
      <w:r w:rsidRPr="00394A46">
        <w:t>201</w:t>
      </w:r>
      <w:r w:rsidR="00145A98" w:rsidRPr="00394A46">
        <w:t>8</w:t>
      </w:r>
    </w:p>
    <w:p w:rsidR="00DA0DF7" w:rsidRPr="00394A46" w:rsidRDefault="00DA0DF7" w:rsidP="007517B8">
      <w:pPr>
        <w:pStyle w:val="SignCoverPageStart"/>
        <w:spacing w:before="240"/>
        <w:rPr>
          <w:szCs w:val="22"/>
        </w:rPr>
      </w:pPr>
      <w:r w:rsidRPr="00394A46">
        <w:rPr>
          <w:szCs w:val="22"/>
        </w:rPr>
        <w:t>I, General the Honourable Sir Peter Cosgrove AK MC (</w:t>
      </w:r>
      <w:proofErr w:type="spellStart"/>
      <w:r w:rsidRPr="00394A46">
        <w:rPr>
          <w:szCs w:val="22"/>
        </w:rPr>
        <w:t>Ret’d</w:t>
      </w:r>
      <w:proofErr w:type="spellEnd"/>
      <w:r w:rsidRPr="00394A46">
        <w:rPr>
          <w:szCs w:val="22"/>
        </w:rPr>
        <w:t xml:space="preserve">), </w:t>
      </w:r>
      <w:r w:rsidR="00394A46" w:rsidRPr="00394A46">
        <w:rPr>
          <w:szCs w:val="22"/>
        </w:rPr>
        <w:t>Governor</w:t>
      </w:r>
      <w:r w:rsidR="00394A46">
        <w:rPr>
          <w:szCs w:val="22"/>
        </w:rPr>
        <w:noBreakHyphen/>
      </w:r>
      <w:r w:rsidR="00394A46" w:rsidRPr="00394A46">
        <w:rPr>
          <w:szCs w:val="22"/>
        </w:rPr>
        <w:t>General</w:t>
      </w:r>
      <w:r w:rsidRPr="00394A46">
        <w:rPr>
          <w:szCs w:val="22"/>
        </w:rPr>
        <w:t xml:space="preserve"> of the Commonwealth of Australia, acting with the advice of the Federal Executive Council, make the following regulations.</w:t>
      </w:r>
    </w:p>
    <w:p w:rsidR="00DA0DF7" w:rsidRPr="00394A46" w:rsidRDefault="00DA0DF7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94A46">
        <w:rPr>
          <w:szCs w:val="22"/>
        </w:rPr>
        <w:t xml:space="preserve">Dated </w:t>
      </w:r>
      <w:r w:rsidRPr="00394A46">
        <w:rPr>
          <w:szCs w:val="22"/>
        </w:rPr>
        <w:fldChar w:fldCharType="begin"/>
      </w:r>
      <w:r w:rsidRPr="00394A46">
        <w:rPr>
          <w:szCs w:val="22"/>
        </w:rPr>
        <w:instrText xml:space="preserve"> DOCPROPERTY  DateMade </w:instrText>
      </w:r>
      <w:r w:rsidRPr="00394A46">
        <w:rPr>
          <w:szCs w:val="22"/>
        </w:rPr>
        <w:fldChar w:fldCharType="separate"/>
      </w:r>
      <w:r w:rsidR="001E4F72">
        <w:rPr>
          <w:szCs w:val="22"/>
        </w:rPr>
        <w:t>07 June 2018</w:t>
      </w:r>
      <w:r w:rsidRPr="00394A46">
        <w:rPr>
          <w:szCs w:val="22"/>
        </w:rPr>
        <w:fldChar w:fldCharType="end"/>
      </w:r>
    </w:p>
    <w:p w:rsidR="00DA0DF7" w:rsidRPr="00394A46" w:rsidRDefault="00DA0DF7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94A46">
        <w:rPr>
          <w:szCs w:val="22"/>
        </w:rPr>
        <w:t>Peter Cosgrove</w:t>
      </w:r>
    </w:p>
    <w:p w:rsidR="00DA0DF7" w:rsidRPr="00394A46" w:rsidRDefault="00394A46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94A46">
        <w:rPr>
          <w:szCs w:val="22"/>
        </w:rPr>
        <w:t>Governor</w:t>
      </w:r>
      <w:r>
        <w:rPr>
          <w:szCs w:val="22"/>
        </w:rPr>
        <w:noBreakHyphen/>
      </w:r>
      <w:r w:rsidRPr="00394A46">
        <w:rPr>
          <w:szCs w:val="22"/>
        </w:rPr>
        <w:t>General</w:t>
      </w:r>
    </w:p>
    <w:p w:rsidR="00DA0DF7" w:rsidRPr="00394A46" w:rsidRDefault="00DA0DF7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94A46">
        <w:rPr>
          <w:szCs w:val="22"/>
        </w:rPr>
        <w:t>By His Excellency’s Command</w:t>
      </w:r>
    </w:p>
    <w:p w:rsidR="00DA0DF7" w:rsidRPr="00394A46" w:rsidRDefault="00DA0DF7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94A46">
        <w:rPr>
          <w:szCs w:val="22"/>
        </w:rPr>
        <w:t>Christian Porter</w:t>
      </w:r>
    </w:p>
    <w:p w:rsidR="00DA0DF7" w:rsidRPr="00394A46" w:rsidRDefault="00DA0DF7" w:rsidP="007517B8">
      <w:pPr>
        <w:pStyle w:val="SignCoverPageEnd"/>
        <w:rPr>
          <w:szCs w:val="22"/>
        </w:rPr>
      </w:pPr>
      <w:r w:rsidRPr="00394A46">
        <w:rPr>
          <w:szCs w:val="22"/>
        </w:rPr>
        <w:t>Attorney</w:t>
      </w:r>
      <w:r w:rsidR="00394A46">
        <w:rPr>
          <w:szCs w:val="22"/>
        </w:rPr>
        <w:noBreakHyphen/>
      </w:r>
      <w:r w:rsidRPr="00394A46">
        <w:rPr>
          <w:szCs w:val="22"/>
        </w:rPr>
        <w:t>General</w:t>
      </w:r>
    </w:p>
    <w:p w:rsidR="00DA0DF7" w:rsidRPr="00394A46" w:rsidRDefault="00DA0DF7" w:rsidP="007517B8"/>
    <w:p w:rsidR="00DA0DF7" w:rsidRPr="00394A46" w:rsidRDefault="00DA0DF7" w:rsidP="007517B8"/>
    <w:p w:rsidR="00DA0DF7" w:rsidRPr="00394A46" w:rsidRDefault="00DA0DF7" w:rsidP="007517B8"/>
    <w:p w:rsidR="00DA0DF7" w:rsidRPr="00394A46" w:rsidRDefault="00DA0DF7" w:rsidP="00DA0DF7"/>
    <w:p w:rsidR="0048364F" w:rsidRPr="00394A46" w:rsidRDefault="0048364F" w:rsidP="0048364F">
      <w:pPr>
        <w:pStyle w:val="Header"/>
        <w:tabs>
          <w:tab w:val="clear" w:pos="4150"/>
          <w:tab w:val="clear" w:pos="8307"/>
        </w:tabs>
      </w:pPr>
      <w:r w:rsidRPr="00394A46">
        <w:rPr>
          <w:rStyle w:val="CharAmSchNo"/>
        </w:rPr>
        <w:t xml:space="preserve"> </w:t>
      </w:r>
      <w:r w:rsidRPr="00394A46">
        <w:rPr>
          <w:rStyle w:val="CharAmSchText"/>
        </w:rPr>
        <w:t xml:space="preserve"> </w:t>
      </w:r>
    </w:p>
    <w:p w:rsidR="0048364F" w:rsidRPr="00394A46" w:rsidRDefault="0048364F" w:rsidP="0048364F">
      <w:pPr>
        <w:pStyle w:val="Header"/>
        <w:tabs>
          <w:tab w:val="clear" w:pos="4150"/>
          <w:tab w:val="clear" w:pos="8307"/>
        </w:tabs>
      </w:pPr>
      <w:r w:rsidRPr="00394A46">
        <w:rPr>
          <w:rStyle w:val="CharAmPartNo"/>
        </w:rPr>
        <w:t xml:space="preserve"> </w:t>
      </w:r>
      <w:r w:rsidRPr="00394A46">
        <w:rPr>
          <w:rStyle w:val="CharAmPartText"/>
        </w:rPr>
        <w:t xml:space="preserve"> </w:t>
      </w:r>
    </w:p>
    <w:p w:rsidR="0048364F" w:rsidRPr="00394A46" w:rsidRDefault="0048364F" w:rsidP="0048364F">
      <w:pPr>
        <w:sectPr w:rsidR="0048364F" w:rsidRPr="00394A46" w:rsidSect="00B24B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394A46" w:rsidRDefault="0048364F" w:rsidP="004B3067">
      <w:pPr>
        <w:rPr>
          <w:sz w:val="36"/>
        </w:rPr>
      </w:pPr>
      <w:r w:rsidRPr="00394A46">
        <w:rPr>
          <w:sz w:val="36"/>
        </w:rPr>
        <w:lastRenderedPageBreak/>
        <w:t>Contents</w:t>
      </w:r>
    </w:p>
    <w:p w:rsidR="00F67694" w:rsidRPr="00394A46" w:rsidRDefault="00F676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4A46">
        <w:fldChar w:fldCharType="begin"/>
      </w:r>
      <w:r w:rsidRPr="00394A46">
        <w:instrText xml:space="preserve"> TOC \o "1-9" </w:instrText>
      </w:r>
      <w:r w:rsidRPr="00394A46">
        <w:fldChar w:fldCharType="separate"/>
      </w:r>
      <w:r w:rsidRPr="00394A46">
        <w:rPr>
          <w:noProof/>
        </w:rPr>
        <w:t>1</w:t>
      </w:r>
      <w:r w:rsidRPr="00394A46">
        <w:rPr>
          <w:noProof/>
        </w:rPr>
        <w:tab/>
        <w:t>Name</w:t>
      </w:r>
      <w:r w:rsidRPr="00394A46">
        <w:rPr>
          <w:noProof/>
        </w:rPr>
        <w:tab/>
      </w:r>
      <w:r w:rsidRPr="00394A46">
        <w:rPr>
          <w:noProof/>
        </w:rPr>
        <w:fldChar w:fldCharType="begin"/>
      </w:r>
      <w:r w:rsidRPr="00394A46">
        <w:rPr>
          <w:noProof/>
        </w:rPr>
        <w:instrText xml:space="preserve"> PAGEREF _Toc509496225 \h </w:instrText>
      </w:r>
      <w:r w:rsidRPr="00394A46">
        <w:rPr>
          <w:noProof/>
        </w:rPr>
      </w:r>
      <w:r w:rsidRPr="00394A46">
        <w:rPr>
          <w:noProof/>
        </w:rPr>
        <w:fldChar w:fldCharType="separate"/>
      </w:r>
      <w:r w:rsidR="008B1129">
        <w:rPr>
          <w:noProof/>
        </w:rPr>
        <w:t>1</w:t>
      </w:r>
      <w:r w:rsidRPr="00394A46">
        <w:rPr>
          <w:noProof/>
        </w:rPr>
        <w:fldChar w:fldCharType="end"/>
      </w:r>
    </w:p>
    <w:p w:rsidR="00F67694" w:rsidRPr="00394A46" w:rsidRDefault="00F676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4A46">
        <w:rPr>
          <w:noProof/>
        </w:rPr>
        <w:t>2</w:t>
      </w:r>
      <w:r w:rsidRPr="00394A46">
        <w:rPr>
          <w:noProof/>
        </w:rPr>
        <w:tab/>
        <w:t>Commencement</w:t>
      </w:r>
      <w:r w:rsidRPr="00394A46">
        <w:rPr>
          <w:noProof/>
        </w:rPr>
        <w:tab/>
      </w:r>
      <w:r w:rsidRPr="00394A46">
        <w:rPr>
          <w:noProof/>
        </w:rPr>
        <w:fldChar w:fldCharType="begin"/>
      </w:r>
      <w:r w:rsidRPr="00394A46">
        <w:rPr>
          <w:noProof/>
        </w:rPr>
        <w:instrText xml:space="preserve"> PAGEREF _Toc509496226 \h </w:instrText>
      </w:r>
      <w:r w:rsidRPr="00394A46">
        <w:rPr>
          <w:noProof/>
        </w:rPr>
      </w:r>
      <w:r w:rsidRPr="00394A46">
        <w:rPr>
          <w:noProof/>
        </w:rPr>
        <w:fldChar w:fldCharType="separate"/>
      </w:r>
      <w:r w:rsidR="008B1129">
        <w:rPr>
          <w:noProof/>
        </w:rPr>
        <w:t>1</w:t>
      </w:r>
      <w:r w:rsidRPr="00394A46">
        <w:rPr>
          <w:noProof/>
        </w:rPr>
        <w:fldChar w:fldCharType="end"/>
      </w:r>
    </w:p>
    <w:p w:rsidR="00F67694" w:rsidRPr="00394A46" w:rsidRDefault="00F676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4A46">
        <w:rPr>
          <w:noProof/>
        </w:rPr>
        <w:t>3</w:t>
      </w:r>
      <w:r w:rsidRPr="00394A46">
        <w:rPr>
          <w:noProof/>
        </w:rPr>
        <w:tab/>
        <w:t>Authority</w:t>
      </w:r>
      <w:r w:rsidRPr="00394A46">
        <w:rPr>
          <w:noProof/>
        </w:rPr>
        <w:tab/>
      </w:r>
      <w:r w:rsidRPr="00394A46">
        <w:rPr>
          <w:noProof/>
        </w:rPr>
        <w:fldChar w:fldCharType="begin"/>
      </w:r>
      <w:r w:rsidRPr="00394A46">
        <w:rPr>
          <w:noProof/>
        </w:rPr>
        <w:instrText xml:space="preserve"> PAGEREF _Toc509496227 \h </w:instrText>
      </w:r>
      <w:r w:rsidRPr="00394A46">
        <w:rPr>
          <w:noProof/>
        </w:rPr>
      </w:r>
      <w:r w:rsidRPr="00394A46">
        <w:rPr>
          <w:noProof/>
        </w:rPr>
        <w:fldChar w:fldCharType="separate"/>
      </w:r>
      <w:r w:rsidR="008B1129">
        <w:rPr>
          <w:noProof/>
        </w:rPr>
        <w:t>1</w:t>
      </w:r>
      <w:r w:rsidRPr="00394A46">
        <w:rPr>
          <w:noProof/>
        </w:rPr>
        <w:fldChar w:fldCharType="end"/>
      </w:r>
    </w:p>
    <w:p w:rsidR="00F67694" w:rsidRPr="00394A46" w:rsidRDefault="00F676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4A46">
        <w:rPr>
          <w:noProof/>
        </w:rPr>
        <w:t>4</w:t>
      </w:r>
      <w:r w:rsidRPr="00394A46">
        <w:rPr>
          <w:noProof/>
        </w:rPr>
        <w:tab/>
        <w:t>Schedules</w:t>
      </w:r>
      <w:r w:rsidRPr="00394A46">
        <w:rPr>
          <w:noProof/>
        </w:rPr>
        <w:tab/>
      </w:r>
      <w:r w:rsidRPr="00394A46">
        <w:rPr>
          <w:noProof/>
        </w:rPr>
        <w:fldChar w:fldCharType="begin"/>
      </w:r>
      <w:r w:rsidRPr="00394A46">
        <w:rPr>
          <w:noProof/>
        </w:rPr>
        <w:instrText xml:space="preserve"> PAGEREF _Toc509496228 \h </w:instrText>
      </w:r>
      <w:r w:rsidRPr="00394A46">
        <w:rPr>
          <w:noProof/>
        </w:rPr>
      </w:r>
      <w:r w:rsidRPr="00394A46">
        <w:rPr>
          <w:noProof/>
        </w:rPr>
        <w:fldChar w:fldCharType="separate"/>
      </w:r>
      <w:r w:rsidR="008B1129">
        <w:rPr>
          <w:noProof/>
        </w:rPr>
        <w:t>2</w:t>
      </w:r>
      <w:r w:rsidRPr="00394A46">
        <w:rPr>
          <w:noProof/>
        </w:rPr>
        <w:fldChar w:fldCharType="end"/>
      </w:r>
    </w:p>
    <w:p w:rsidR="00F67694" w:rsidRPr="00394A46" w:rsidRDefault="00F6769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94A46">
        <w:rPr>
          <w:noProof/>
        </w:rPr>
        <w:t>Schedule</w:t>
      </w:r>
      <w:r w:rsidR="00394A46" w:rsidRPr="00394A46">
        <w:rPr>
          <w:noProof/>
        </w:rPr>
        <w:t> </w:t>
      </w:r>
      <w:r w:rsidRPr="00394A46">
        <w:rPr>
          <w:noProof/>
        </w:rPr>
        <w:t>1—Amendment of the Australian Sports Anti</w:t>
      </w:r>
      <w:r w:rsidR="00394A46">
        <w:rPr>
          <w:noProof/>
        </w:rPr>
        <w:noBreakHyphen/>
      </w:r>
      <w:r w:rsidRPr="00394A46">
        <w:rPr>
          <w:noProof/>
        </w:rPr>
        <w:t>Doping Authority Regulations</w:t>
      </w:r>
      <w:r w:rsidR="00394A46" w:rsidRPr="00394A46">
        <w:rPr>
          <w:noProof/>
        </w:rPr>
        <w:t> </w:t>
      </w:r>
      <w:r w:rsidRPr="00394A46">
        <w:rPr>
          <w:noProof/>
        </w:rPr>
        <w:t>2006</w:t>
      </w:r>
      <w:r w:rsidRPr="00394A46">
        <w:rPr>
          <w:b w:val="0"/>
          <w:noProof/>
          <w:sz w:val="18"/>
        </w:rPr>
        <w:tab/>
      </w:r>
      <w:r w:rsidRPr="00394A46">
        <w:rPr>
          <w:b w:val="0"/>
          <w:noProof/>
          <w:sz w:val="18"/>
        </w:rPr>
        <w:fldChar w:fldCharType="begin"/>
      </w:r>
      <w:r w:rsidRPr="00394A46">
        <w:rPr>
          <w:b w:val="0"/>
          <w:noProof/>
          <w:sz w:val="18"/>
        </w:rPr>
        <w:instrText xml:space="preserve"> PAGEREF _Toc509496229 \h </w:instrText>
      </w:r>
      <w:r w:rsidRPr="00394A46">
        <w:rPr>
          <w:b w:val="0"/>
          <w:noProof/>
          <w:sz w:val="18"/>
        </w:rPr>
      </w:r>
      <w:r w:rsidRPr="00394A46">
        <w:rPr>
          <w:b w:val="0"/>
          <w:noProof/>
          <w:sz w:val="18"/>
        </w:rPr>
        <w:fldChar w:fldCharType="separate"/>
      </w:r>
      <w:r w:rsidR="008B1129">
        <w:rPr>
          <w:b w:val="0"/>
          <w:noProof/>
          <w:sz w:val="18"/>
        </w:rPr>
        <w:t>3</w:t>
      </w:r>
      <w:r w:rsidRPr="00394A46">
        <w:rPr>
          <w:b w:val="0"/>
          <w:noProof/>
          <w:sz w:val="18"/>
        </w:rPr>
        <w:fldChar w:fldCharType="end"/>
      </w:r>
    </w:p>
    <w:p w:rsidR="00F67694" w:rsidRPr="00394A46" w:rsidRDefault="00F6769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94A46">
        <w:rPr>
          <w:noProof/>
        </w:rPr>
        <w:t>Australian Sports Anti</w:t>
      </w:r>
      <w:r w:rsidR="00394A46">
        <w:rPr>
          <w:noProof/>
        </w:rPr>
        <w:noBreakHyphen/>
      </w:r>
      <w:r w:rsidRPr="00394A46">
        <w:rPr>
          <w:noProof/>
        </w:rPr>
        <w:t>Doping Authority Regulations</w:t>
      </w:r>
      <w:r w:rsidR="00394A46" w:rsidRPr="00394A46">
        <w:rPr>
          <w:noProof/>
        </w:rPr>
        <w:t> </w:t>
      </w:r>
      <w:r w:rsidRPr="00394A46">
        <w:rPr>
          <w:noProof/>
        </w:rPr>
        <w:t>2006</w:t>
      </w:r>
      <w:r w:rsidRPr="00394A46">
        <w:rPr>
          <w:i w:val="0"/>
          <w:noProof/>
          <w:sz w:val="18"/>
        </w:rPr>
        <w:tab/>
      </w:r>
      <w:r w:rsidRPr="00394A46">
        <w:rPr>
          <w:i w:val="0"/>
          <w:noProof/>
          <w:sz w:val="18"/>
        </w:rPr>
        <w:fldChar w:fldCharType="begin"/>
      </w:r>
      <w:r w:rsidRPr="00394A46">
        <w:rPr>
          <w:i w:val="0"/>
          <w:noProof/>
          <w:sz w:val="18"/>
        </w:rPr>
        <w:instrText xml:space="preserve"> PAGEREF _Toc509496230 \h </w:instrText>
      </w:r>
      <w:r w:rsidRPr="00394A46">
        <w:rPr>
          <w:i w:val="0"/>
          <w:noProof/>
          <w:sz w:val="18"/>
        </w:rPr>
      </w:r>
      <w:r w:rsidRPr="00394A46">
        <w:rPr>
          <w:i w:val="0"/>
          <w:noProof/>
          <w:sz w:val="18"/>
        </w:rPr>
        <w:fldChar w:fldCharType="separate"/>
      </w:r>
      <w:r w:rsidR="008B1129">
        <w:rPr>
          <w:i w:val="0"/>
          <w:noProof/>
          <w:sz w:val="18"/>
        </w:rPr>
        <w:t>3</w:t>
      </w:r>
      <w:r w:rsidRPr="00394A46">
        <w:rPr>
          <w:i w:val="0"/>
          <w:noProof/>
          <w:sz w:val="18"/>
        </w:rPr>
        <w:fldChar w:fldCharType="end"/>
      </w:r>
    </w:p>
    <w:p w:rsidR="00F67694" w:rsidRPr="00394A46" w:rsidRDefault="00F6769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94A46">
        <w:rPr>
          <w:noProof/>
        </w:rPr>
        <w:t>Schedule</w:t>
      </w:r>
      <w:r w:rsidR="00394A46" w:rsidRPr="00394A46">
        <w:rPr>
          <w:noProof/>
        </w:rPr>
        <w:t> </w:t>
      </w:r>
      <w:r w:rsidRPr="00394A46">
        <w:rPr>
          <w:noProof/>
        </w:rPr>
        <w:t>2—Amendment of the Building Energy Efficiency Disclosure Regulations</w:t>
      </w:r>
      <w:r w:rsidR="00394A46" w:rsidRPr="00394A46">
        <w:rPr>
          <w:noProof/>
        </w:rPr>
        <w:t> </w:t>
      </w:r>
      <w:r w:rsidRPr="00394A46">
        <w:rPr>
          <w:noProof/>
        </w:rPr>
        <w:t>2010</w:t>
      </w:r>
      <w:r w:rsidRPr="00394A46">
        <w:rPr>
          <w:b w:val="0"/>
          <w:noProof/>
          <w:sz w:val="18"/>
        </w:rPr>
        <w:tab/>
      </w:r>
      <w:r w:rsidRPr="00394A46">
        <w:rPr>
          <w:b w:val="0"/>
          <w:noProof/>
          <w:sz w:val="18"/>
        </w:rPr>
        <w:fldChar w:fldCharType="begin"/>
      </w:r>
      <w:r w:rsidRPr="00394A46">
        <w:rPr>
          <w:b w:val="0"/>
          <w:noProof/>
          <w:sz w:val="18"/>
        </w:rPr>
        <w:instrText xml:space="preserve"> PAGEREF _Toc509496232 \h </w:instrText>
      </w:r>
      <w:r w:rsidRPr="00394A46">
        <w:rPr>
          <w:b w:val="0"/>
          <w:noProof/>
          <w:sz w:val="18"/>
        </w:rPr>
      </w:r>
      <w:r w:rsidRPr="00394A46">
        <w:rPr>
          <w:b w:val="0"/>
          <w:noProof/>
          <w:sz w:val="18"/>
        </w:rPr>
        <w:fldChar w:fldCharType="separate"/>
      </w:r>
      <w:r w:rsidR="008B1129">
        <w:rPr>
          <w:b w:val="0"/>
          <w:noProof/>
          <w:sz w:val="18"/>
        </w:rPr>
        <w:t>4</w:t>
      </w:r>
      <w:r w:rsidRPr="00394A46">
        <w:rPr>
          <w:b w:val="0"/>
          <w:noProof/>
          <w:sz w:val="18"/>
        </w:rPr>
        <w:fldChar w:fldCharType="end"/>
      </w:r>
    </w:p>
    <w:p w:rsidR="00F67694" w:rsidRPr="00394A46" w:rsidRDefault="00F6769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94A46">
        <w:rPr>
          <w:noProof/>
        </w:rPr>
        <w:t>Building Energy Efficiency Disclosure Regulations</w:t>
      </w:r>
      <w:r w:rsidR="00394A46" w:rsidRPr="00394A46">
        <w:rPr>
          <w:noProof/>
        </w:rPr>
        <w:t> </w:t>
      </w:r>
      <w:r w:rsidRPr="00394A46">
        <w:rPr>
          <w:noProof/>
        </w:rPr>
        <w:t>2010</w:t>
      </w:r>
      <w:r w:rsidRPr="00394A46">
        <w:rPr>
          <w:i w:val="0"/>
          <w:noProof/>
          <w:sz w:val="18"/>
        </w:rPr>
        <w:tab/>
      </w:r>
      <w:r w:rsidRPr="00394A46">
        <w:rPr>
          <w:i w:val="0"/>
          <w:noProof/>
          <w:sz w:val="18"/>
        </w:rPr>
        <w:fldChar w:fldCharType="begin"/>
      </w:r>
      <w:r w:rsidRPr="00394A46">
        <w:rPr>
          <w:i w:val="0"/>
          <w:noProof/>
          <w:sz w:val="18"/>
        </w:rPr>
        <w:instrText xml:space="preserve"> PAGEREF _Toc509496233 \h </w:instrText>
      </w:r>
      <w:r w:rsidRPr="00394A46">
        <w:rPr>
          <w:i w:val="0"/>
          <w:noProof/>
          <w:sz w:val="18"/>
        </w:rPr>
      </w:r>
      <w:r w:rsidRPr="00394A46">
        <w:rPr>
          <w:i w:val="0"/>
          <w:noProof/>
          <w:sz w:val="18"/>
        </w:rPr>
        <w:fldChar w:fldCharType="separate"/>
      </w:r>
      <w:r w:rsidR="008B1129">
        <w:rPr>
          <w:i w:val="0"/>
          <w:noProof/>
          <w:sz w:val="18"/>
        </w:rPr>
        <w:t>4</w:t>
      </w:r>
      <w:r w:rsidRPr="00394A46">
        <w:rPr>
          <w:i w:val="0"/>
          <w:noProof/>
          <w:sz w:val="18"/>
        </w:rPr>
        <w:fldChar w:fldCharType="end"/>
      </w:r>
    </w:p>
    <w:p w:rsidR="00F67694" w:rsidRPr="00394A46" w:rsidRDefault="00F6769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94A46">
        <w:rPr>
          <w:noProof/>
        </w:rPr>
        <w:t>Schedule</w:t>
      </w:r>
      <w:r w:rsidR="00394A46" w:rsidRPr="00394A46">
        <w:rPr>
          <w:noProof/>
        </w:rPr>
        <w:t> </w:t>
      </w:r>
      <w:r w:rsidRPr="00394A46">
        <w:rPr>
          <w:noProof/>
        </w:rPr>
        <w:t>3—Amendment of the Illegal Logging</w:t>
      </w:r>
      <w:bookmarkStart w:id="0" w:name="_GoBack"/>
      <w:bookmarkEnd w:id="0"/>
      <w:r w:rsidRPr="00394A46">
        <w:rPr>
          <w:noProof/>
        </w:rPr>
        <w:t xml:space="preserve"> Prohibition Regulation</w:t>
      </w:r>
      <w:r w:rsidR="00394A46" w:rsidRPr="00394A46">
        <w:rPr>
          <w:noProof/>
        </w:rPr>
        <w:t> </w:t>
      </w:r>
      <w:r w:rsidRPr="00394A46">
        <w:rPr>
          <w:noProof/>
        </w:rPr>
        <w:t>2012</w:t>
      </w:r>
      <w:r w:rsidRPr="00394A46">
        <w:rPr>
          <w:b w:val="0"/>
          <w:noProof/>
          <w:sz w:val="18"/>
        </w:rPr>
        <w:tab/>
      </w:r>
      <w:r w:rsidRPr="00394A46">
        <w:rPr>
          <w:b w:val="0"/>
          <w:noProof/>
          <w:sz w:val="18"/>
        </w:rPr>
        <w:fldChar w:fldCharType="begin"/>
      </w:r>
      <w:r w:rsidRPr="00394A46">
        <w:rPr>
          <w:b w:val="0"/>
          <w:noProof/>
          <w:sz w:val="18"/>
        </w:rPr>
        <w:instrText xml:space="preserve"> PAGEREF _Toc509496235 \h </w:instrText>
      </w:r>
      <w:r w:rsidRPr="00394A46">
        <w:rPr>
          <w:b w:val="0"/>
          <w:noProof/>
          <w:sz w:val="18"/>
        </w:rPr>
      </w:r>
      <w:r w:rsidRPr="00394A46">
        <w:rPr>
          <w:b w:val="0"/>
          <w:noProof/>
          <w:sz w:val="18"/>
        </w:rPr>
        <w:fldChar w:fldCharType="separate"/>
      </w:r>
      <w:r w:rsidR="008B1129">
        <w:rPr>
          <w:b w:val="0"/>
          <w:noProof/>
          <w:sz w:val="18"/>
        </w:rPr>
        <w:t>5</w:t>
      </w:r>
      <w:r w:rsidRPr="00394A46">
        <w:rPr>
          <w:b w:val="0"/>
          <w:noProof/>
          <w:sz w:val="18"/>
        </w:rPr>
        <w:fldChar w:fldCharType="end"/>
      </w:r>
    </w:p>
    <w:p w:rsidR="00F67694" w:rsidRPr="00394A46" w:rsidRDefault="00F6769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94A46">
        <w:rPr>
          <w:noProof/>
        </w:rPr>
        <w:t>Illegal Logging Prohibition Regulation</w:t>
      </w:r>
      <w:r w:rsidR="00394A46" w:rsidRPr="00394A46">
        <w:rPr>
          <w:noProof/>
        </w:rPr>
        <w:t> </w:t>
      </w:r>
      <w:r w:rsidRPr="00394A46">
        <w:rPr>
          <w:noProof/>
        </w:rPr>
        <w:t>2012</w:t>
      </w:r>
      <w:r w:rsidRPr="00394A46">
        <w:rPr>
          <w:i w:val="0"/>
          <w:noProof/>
          <w:sz w:val="18"/>
        </w:rPr>
        <w:tab/>
      </w:r>
      <w:r w:rsidRPr="00394A46">
        <w:rPr>
          <w:i w:val="0"/>
          <w:noProof/>
          <w:sz w:val="18"/>
        </w:rPr>
        <w:fldChar w:fldCharType="begin"/>
      </w:r>
      <w:r w:rsidRPr="00394A46">
        <w:rPr>
          <w:i w:val="0"/>
          <w:noProof/>
          <w:sz w:val="18"/>
        </w:rPr>
        <w:instrText xml:space="preserve"> PAGEREF _Toc509496236 \h </w:instrText>
      </w:r>
      <w:r w:rsidRPr="00394A46">
        <w:rPr>
          <w:i w:val="0"/>
          <w:noProof/>
          <w:sz w:val="18"/>
        </w:rPr>
      </w:r>
      <w:r w:rsidRPr="00394A46">
        <w:rPr>
          <w:i w:val="0"/>
          <w:noProof/>
          <w:sz w:val="18"/>
        </w:rPr>
        <w:fldChar w:fldCharType="separate"/>
      </w:r>
      <w:r w:rsidR="008B1129">
        <w:rPr>
          <w:i w:val="0"/>
          <w:noProof/>
          <w:sz w:val="18"/>
        </w:rPr>
        <w:t>5</w:t>
      </w:r>
      <w:r w:rsidRPr="00394A46">
        <w:rPr>
          <w:i w:val="0"/>
          <w:noProof/>
          <w:sz w:val="18"/>
        </w:rPr>
        <w:fldChar w:fldCharType="end"/>
      </w:r>
    </w:p>
    <w:p w:rsidR="00F67694" w:rsidRPr="00394A46" w:rsidRDefault="00F6769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94A46">
        <w:rPr>
          <w:noProof/>
        </w:rPr>
        <w:t>Schedule</w:t>
      </w:r>
      <w:r w:rsidR="00394A46" w:rsidRPr="00394A46">
        <w:rPr>
          <w:noProof/>
        </w:rPr>
        <w:t> </w:t>
      </w:r>
      <w:r w:rsidRPr="00394A46">
        <w:rPr>
          <w:noProof/>
        </w:rPr>
        <w:t>4—Amendment of the Industrial Chemicals (Notification and Assessment) Regulations</w:t>
      </w:r>
      <w:r w:rsidR="00394A46" w:rsidRPr="00394A46">
        <w:rPr>
          <w:noProof/>
        </w:rPr>
        <w:t> </w:t>
      </w:r>
      <w:r w:rsidRPr="00394A46">
        <w:rPr>
          <w:noProof/>
        </w:rPr>
        <w:t>1990</w:t>
      </w:r>
      <w:r w:rsidRPr="00394A46">
        <w:rPr>
          <w:b w:val="0"/>
          <w:noProof/>
          <w:sz w:val="18"/>
        </w:rPr>
        <w:tab/>
      </w:r>
      <w:r w:rsidRPr="00394A46">
        <w:rPr>
          <w:b w:val="0"/>
          <w:noProof/>
          <w:sz w:val="18"/>
        </w:rPr>
        <w:fldChar w:fldCharType="begin"/>
      </w:r>
      <w:r w:rsidRPr="00394A46">
        <w:rPr>
          <w:b w:val="0"/>
          <w:noProof/>
          <w:sz w:val="18"/>
        </w:rPr>
        <w:instrText xml:space="preserve"> PAGEREF _Toc509496237 \h </w:instrText>
      </w:r>
      <w:r w:rsidRPr="00394A46">
        <w:rPr>
          <w:b w:val="0"/>
          <w:noProof/>
          <w:sz w:val="18"/>
        </w:rPr>
      </w:r>
      <w:r w:rsidRPr="00394A46">
        <w:rPr>
          <w:b w:val="0"/>
          <w:noProof/>
          <w:sz w:val="18"/>
        </w:rPr>
        <w:fldChar w:fldCharType="separate"/>
      </w:r>
      <w:r w:rsidR="008B1129">
        <w:rPr>
          <w:b w:val="0"/>
          <w:noProof/>
          <w:sz w:val="18"/>
        </w:rPr>
        <w:t>6</w:t>
      </w:r>
      <w:r w:rsidRPr="00394A46">
        <w:rPr>
          <w:b w:val="0"/>
          <w:noProof/>
          <w:sz w:val="18"/>
        </w:rPr>
        <w:fldChar w:fldCharType="end"/>
      </w:r>
    </w:p>
    <w:p w:rsidR="00F67694" w:rsidRPr="00394A46" w:rsidRDefault="00F6769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94A46">
        <w:rPr>
          <w:noProof/>
        </w:rPr>
        <w:t>Industrial Chemicals (Notification and Assessment) Regulations</w:t>
      </w:r>
      <w:r w:rsidR="00394A46" w:rsidRPr="00394A46">
        <w:rPr>
          <w:noProof/>
        </w:rPr>
        <w:t> </w:t>
      </w:r>
      <w:r w:rsidRPr="00394A46">
        <w:rPr>
          <w:noProof/>
        </w:rPr>
        <w:t>1990</w:t>
      </w:r>
      <w:r w:rsidRPr="00394A46">
        <w:rPr>
          <w:i w:val="0"/>
          <w:noProof/>
          <w:sz w:val="18"/>
        </w:rPr>
        <w:tab/>
      </w:r>
      <w:r w:rsidRPr="00394A46">
        <w:rPr>
          <w:i w:val="0"/>
          <w:noProof/>
          <w:sz w:val="18"/>
        </w:rPr>
        <w:fldChar w:fldCharType="begin"/>
      </w:r>
      <w:r w:rsidRPr="00394A46">
        <w:rPr>
          <w:i w:val="0"/>
          <w:noProof/>
          <w:sz w:val="18"/>
        </w:rPr>
        <w:instrText xml:space="preserve"> PAGEREF _Toc509496238 \h </w:instrText>
      </w:r>
      <w:r w:rsidRPr="00394A46">
        <w:rPr>
          <w:i w:val="0"/>
          <w:noProof/>
          <w:sz w:val="18"/>
        </w:rPr>
      </w:r>
      <w:r w:rsidRPr="00394A46">
        <w:rPr>
          <w:i w:val="0"/>
          <w:noProof/>
          <w:sz w:val="18"/>
        </w:rPr>
        <w:fldChar w:fldCharType="separate"/>
      </w:r>
      <w:r w:rsidR="008B1129">
        <w:rPr>
          <w:i w:val="0"/>
          <w:noProof/>
          <w:sz w:val="18"/>
        </w:rPr>
        <w:t>6</w:t>
      </w:r>
      <w:r w:rsidRPr="00394A46">
        <w:rPr>
          <w:i w:val="0"/>
          <w:noProof/>
          <w:sz w:val="18"/>
        </w:rPr>
        <w:fldChar w:fldCharType="end"/>
      </w:r>
    </w:p>
    <w:p w:rsidR="0048364F" w:rsidRPr="00394A46" w:rsidRDefault="00F67694" w:rsidP="0048364F">
      <w:r w:rsidRPr="00394A46">
        <w:fldChar w:fldCharType="end"/>
      </w:r>
    </w:p>
    <w:p w:rsidR="0048364F" w:rsidRPr="00394A46" w:rsidRDefault="0048364F" w:rsidP="0048364F">
      <w:pPr>
        <w:sectPr w:rsidR="0048364F" w:rsidRPr="00394A46" w:rsidSect="00B24B5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94A46" w:rsidRDefault="0048364F" w:rsidP="0048364F">
      <w:pPr>
        <w:pStyle w:val="ActHead5"/>
      </w:pPr>
      <w:bookmarkStart w:id="1" w:name="_Toc509496225"/>
      <w:r w:rsidRPr="00394A46">
        <w:rPr>
          <w:rStyle w:val="CharSectno"/>
        </w:rPr>
        <w:lastRenderedPageBreak/>
        <w:t>1</w:t>
      </w:r>
      <w:r w:rsidRPr="00394A46">
        <w:t xml:space="preserve">  </w:t>
      </w:r>
      <w:r w:rsidR="004F676E" w:rsidRPr="00394A46">
        <w:t>Name</w:t>
      </w:r>
      <w:bookmarkEnd w:id="1"/>
    </w:p>
    <w:p w:rsidR="0048364F" w:rsidRPr="00394A46" w:rsidRDefault="0048364F" w:rsidP="0048364F">
      <w:pPr>
        <w:pStyle w:val="subsection"/>
      </w:pPr>
      <w:r w:rsidRPr="00394A46">
        <w:tab/>
      </w:r>
      <w:r w:rsidRPr="00394A46">
        <w:tab/>
      </w:r>
      <w:r w:rsidR="0055464D" w:rsidRPr="00394A46">
        <w:t>This instrument is</w:t>
      </w:r>
      <w:r w:rsidRPr="00394A46">
        <w:t xml:space="preserve"> the </w:t>
      </w:r>
      <w:r w:rsidR="00414ADE" w:rsidRPr="00394A46">
        <w:rPr>
          <w:i/>
        </w:rPr>
        <w:fldChar w:fldCharType="begin"/>
      </w:r>
      <w:r w:rsidR="00414ADE" w:rsidRPr="00394A46">
        <w:rPr>
          <w:i/>
        </w:rPr>
        <w:instrText xml:space="preserve"> STYLEREF  ShortT </w:instrText>
      </w:r>
      <w:r w:rsidR="00414ADE" w:rsidRPr="00394A46">
        <w:rPr>
          <w:i/>
        </w:rPr>
        <w:fldChar w:fldCharType="separate"/>
      </w:r>
      <w:r w:rsidR="008B1129">
        <w:rPr>
          <w:i/>
          <w:noProof/>
        </w:rPr>
        <w:t>Regulatory Powers Legislation Amendment (Standardisation Reform) Regulations 2018</w:t>
      </w:r>
      <w:r w:rsidR="00414ADE" w:rsidRPr="00394A46">
        <w:rPr>
          <w:i/>
        </w:rPr>
        <w:fldChar w:fldCharType="end"/>
      </w:r>
      <w:r w:rsidRPr="00394A46">
        <w:t>.</w:t>
      </w:r>
    </w:p>
    <w:p w:rsidR="004F676E" w:rsidRPr="00394A46" w:rsidRDefault="0048364F" w:rsidP="005452CC">
      <w:pPr>
        <w:pStyle w:val="ActHead5"/>
      </w:pPr>
      <w:bookmarkStart w:id="2" w:name="_Toc509496226"/>
      <w:r w:rsidRPr="00394A46">
        <w:rPr>
          <w:rStyle w:val="CharSectno"/>
        </w:rPr>
        <w:t>2</w:t>
      </w:r>
      <w:r w:rsidRPr="00394A46">
        <w:t xml:space="preserve">  Commencement</w:t>
      </w:r>
      <w:bookmarkEnd w:id="2"/>
    </w:p>
    <w:p w:rsidR="005452CC" w:rsidRPr="00394A46" w:rsidRDefault="005452CC" w:rsidP="00593449">
      <w:pPr>
        <w:pStyle w:val="subsection"/>
      </w:pPr>
      <w:r w:rsidRPr="00394A46">
        <w:tab/>
        <w:t>(1)</w:t>
      </w:r>
      <w:r w:rsidRPr="00394A46">
        <w:tab/>
        <w:t xml:space="preserve">Each provision of </w:t>
      </w:r>
      <w:r w:rsidR="0055464D" w:rsidRPr="00394A46">
        <w:t>this instrument</w:t>
      </w:r>
      <w:r w:rsidRPr="00394A46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394A46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94A46" w:rsidTr="00226C8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94A46" w:rsidRDefault="005452CC" w:rsidP="00612709">
            <w:pPr>
              <w:pStyle w:val="TableHeading"/>
            </w:pPr>
            <w:r w:rsidRPr="00394A46">
              <w:t>Commencement information</w:t>
            </w:r>
          </w:p>
        </w:tc>
      </w:tr>
      <w:tr w:rsidR="005452CC" w:rsidRPr="00394A46" w:rsidTr="00226C8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94A46" w:rsidRDefault="005452CC" w:rsidP="00612709">
            <w:pPr>
              <w:pStyle w:val="TableHeading"/>
            </w:pPr>
            <w:r w:rsidRPr="00394A4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94A46" w:rsidRDefault="005452CC" w:rsidP="00612709">
            <w:pPr>
              <w:pStyle w:val="TableHeading"/>
            </w:pPr>
            <w:r w:rsidRPr="00394A4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94A46" w:rsidRDefault="005452CC" w:rsidP="00612709">
            <w:pPr>
              <w:pStyle w:val="TableHeading"/>
            </w:pPr>
            <w:r w:rsidRPr="00394A46">
              <w:t>Column 3</w:t>
            </w:r>
          </w:p>
        </w:tc>
      </w:tr>
      <w:tr w:rsidR="005452CC" w:rsidRPr="00394A46" w:rsidTr="00226C8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94A46" w:rsidRDefault="005452CC" w:rsidP="00612709">
            <w:pPr>
              <w:pStyle w:val="TableHeading"/>
            </w:pPr>
            <w:r w:rsidRPr="00394A4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94A46" w:rsidRDefault="005452CC" w:rsidP="00612709">
            <w:pPr>
              <w:pStyle w:val="TableHeading"/>
            </w:pPr>
            <w:r w:rsidRPr="00394A4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94A46" w:rsidRDefault="005452CC" w:rsidP="00612709">
            <w:pPr>
              <w:pStyle w:val="TableHeading"/>
            </w:pPr>
            <w:r w:rsidRPr="00394A46">
              <w:t>Date/Details</w:t>
            </w:r>
          </w:p>
        </w:tc>
      </w:tr>
      <w:tr w:rsidR="005452CC" w:rsidRPr="00394A46" w:rsidTr="00226C8C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452CC" w:rsidRPr="00394A46" w:rsidRDefault="005452CC" w:rsidP="005452CC">
            <w:pPr>
              <w:pStyle w:val="Tabletext"/>
            </w:pPr>
            <w:r w:rsidRPr="00394A46">
              <w:t>1.  Sections</w:t>
            </w:r>
            <w:r w:rsidR="00394A46" w:rsidRPr="00394A46">
              <w:t> </w:t>
            </w:r>
            <w:r w:rsidRPr="00394A46">
              <w:t xml:space="preserve">1 to 4 and anything in </w:t>
            </w:r>
            <w:r w:rsidR="0055464D" w:rsidRPr="00394A46">
              <w:t>this instrument</w:t>
            </w:r>
            <w:r w:rsidRPr="00394A46">
              <w:t xml:space="preserve">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452CC" w:rsidRPr="00394A46" w:rsidRDefault="005452CC" w:rsidP="005452CC">
            <w:pPr>
              <w:pStyle w:val="Tabletext"/>
            </w:pPr>
            <w:r w:rsidRPr="00394A46">
              <w:t xml:space="preserve">The day after </w:t>
            </w:r>
            <w:r w:rsidR="0055464D" w:rsidRPr="00394A46">
              <w:t>this instrument is</w:t>
            </w:r>
            <w:r w:rsidRPr="00394A46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5452CC" w:rsidRPr="00394A46" w:rsidRDefault="000C5F80">
            <w:pPr>
              <w:pStyle w:val="Tabletext"/>
            </w:pPr>
            <w:r>
              <w:t>13 June 2018</w:t>
            </w:r>
          </w:p>
        </w:tc>
      </w:tr>
      <w:tr w:rsidR="005452CC" w:rsidRPr="00394A46" w:rsidTr="00226C8C">
        <w:tc>
          <w:tcPr>
            <w:tcW w:w="2127" w:type="dxa"/>
            <w:shd w:val="clear" w:color="auto" w:fill="auto"/>
            <w:hideMark/>
          </w:tcPr>
          <w:p w:rsidR="005452CC" w:rsidRPr="00394A46" w:rsidRDefault="005452CC">
            <w:pPr>
              <w:pStyle w:val="Tabletext"/>
            </w:pPr>
            <w:r w:rsidRPr="00394A46">
              <w:t xml:space="preserve">2.  </w:t>
            </w:r>
            <w:r w:rsidR="00145A98" w:rsidRPr="00394A46">
              <w:t>Schedule</w:t>
            </w:r>
            <w:r w:rsidR="00394A46" w:rsidRPr="00394A46">
              <w:t> </w:t>
            </w:r>
            <w:r w:rsidR="00145A98" w:rsidRPr="00394A46">
              <w:t>1</w:t>
            </w:r>
          </w:p>
        </w:tc>
        <w:tc>
          <w:tcPr>
            <w:tcW w:w="4394" w:type="dxa"/>
            <w:shd w:val="clear" w:color="auto" w:fill="auto"/>
          </w:tcPr>
          <w:p w:rsidR="00145A98" w:rsidRPr="00394A46" w:rsidRDefault="00145A98" w:rsidP="003B59CC">
            <w:pPr>
              <w:pStyle w:val="Tabletext"/>
            </w:pPr>
            <w:r w:rsidRPr="00394A46">
              <w:t>The later of:</w:t>
            </w:r>
          </w:p>
          <w:p w:rsidR="00145A98" w:rsidRPr="00394A46" w:rsidRDefault="00145A98" w:rsidP="00145A98">
            <w:pPr>
              <w:pStyle w:val="Tablea"/>
            </w:pPr>
            <w:r w:rsidRPr="00394A46">
              <w:t>(a) the commencement of Schedule</w:t>
            </w:r>
            <w:r w:rsidR="00394A46" w:rsidRPr="00394A46">
              <w:t> </w:t>
            </w:r>
            <w:r w:rsidRPr="00394A46">
              <w:t xml:space="preserve">2 to the </w:t>
            </w:r>
            <w:r w:rsidRPr="00394A46">
              <w:rPr>
                <w:i/>
              </w:rPr>
              <w:t>Regulatory Powers (Standardisation Reform) Act 2017</w:t>
            </w:r>
            <w:r w:rsidRPr="00394A46">
              <w:t>; and</w:t>
            </w:r>
          </w:p>
          <w:p w:rsidR="005452CC" w:rsidRPr="00394A46" w:rsidRDefault="00145A98" w:rsidP="00145A98">
            <w:pPr>
              <w:pStyle w:val="Tablea"/>
            </w:pPr>
            <w:r w:rsidRPr="00394A46">
              <w:t>(b) the start of the day after this instrument is registered.</w:t>
            </w:r>
          </w:p>
        </w:tc>
        <w:tc>
          <w:tcPr>
            <w:tcW w:w="1843" w:type="dxa"/>
            <w:shd w:val="clear" w:color="auto" w:fill="auto"/>
          </w:tcPr>
          <w:p w:rsidR="002D40E6" w:rsidRDefault="002D40E6">
            <w:pPr>
              <w:pStyle w:val="Tabletext"/>
            </w:pPr>
            <w:r>
              <w:t>1 July 2018</w:t>
            </w:r>
          </w:p>
          <w:p w:rsidR="002D40E6" w:rsidRPr="00394A46" w:rsidRDefault="002D40E6">
            <w:pPr>
              <w:pStyle w:val="Tabletext"/>
            </w:pPr>
            <w:r>
              <w:t>(paragraph (a) applies)</w:t>
            </w:r>
          </w:p>
        </w:tc>
      </w:tr>
      <w:tr w:rsidR="006C1EE4" w:rsidRPr="00394A46" w:rsidTr="00226C8C">
        <w:tc>
          <w:tcPr>
            <w:tcW w:w="2127" w:type="dxa"/>
            <w:shd w:val="clear" w:color="auto" w:fill="auto"/>
            <w:hideMark/>
          </w:tcPr>
          <w:p w:rsidR="006C1EE4" w:rsidRPr="00394A46" w:rsidRDefault="006C1EE4" w:rsidP="006C1EE4">
            <w:pPr>
              <w:pStyle w:val="Tabletext"/>
            </w:pPr>
            <w:r w:rsidRPr="00394A46">
              <w:t>3.  Schedule</w:t>
            </w:r>
            <w:r w:rsidR="00394A46" w:rsidRPr="00394A46">
              <w:t> </w:t>
            </w:r>
            <w:r w:rsidRPr="00394A46">
              <w:t>2</w:t>
            </w:r>
          </w:p>
        </w:tc>
        <w:tc>
          <w:tcPr>
            <w:tcW w:w="4394" w:type="dxa"/>
            <w:shd w:val="clear" w:color="auto" w:fill="auto"/>
          </w:tcPr>
          <w:p w:rsidR="006C1EE4" w:rsidRPr="00394A46" w:rsidRDefault="006C1EE4" w:rsidP="00A13E64">
            <w:pPr>
              <w:pStyle w:val="Tabletext"/>
            </w:pPr>
            <w:r w:rsidRPr="00394A46">
              <w:t>The later of:</w:t>
            </w:r>
          </w:p>
          <w:p w:rsidR="006C1EE4" w:rsidRPr="00394A46" w:rsidRDefault="006C1EE4" w:rsidP="00A13E64">
            <w:pPr>
              <w:pStyle w:val="Tablea"/>
            </w:pPr>
            <w:r w:rsidRPr="00394A46">
              <w:t>(a) the commencement of</w:t>
            </w:r>
            <w:r w:rsidR="00226C8C" w:rsidRPr="00394A46">
              <w:t xml:space="preserve"> </w:t>
            </w:r>
            <w:r w:rsidRPr="00394A46">
              <w:t>Schedule</w:t>
            </w:r>
            <w:r w:rsidR="00394A46" w:rsidRPr="00394A46">
              <w:t> </w:t>
            </w:r>
            <w:r w:rsidRPr="00394A46">
              <w:t xml:space="preserve">3 to the </w:t>
            </w:r>
            <w:r w:rsidRPr="00394A46">
              <w:rPr>
                <w:i/>
              </w:rPr>
              <w:t>Regulatory Powers (Standardisation Reform) Act 2017</w:t>
            </w:r>
            <w:r w:rsidRPr="00394A46">
              <w:t>; and</w:t>
            </w:r>
          </w:p>
          <w:p w:rsidR="006C1EE4" w:rsidRPr="00394A46" w:rsidRDefault="006C1EE4" w:rsidP="00A13E64">
            <w:pPr>
              <w:pStyle w:val="Tablea"/>
            </w:pPr>
            <w:r w:rsidRPr="00394A46">
              <w:t>(b) the start of the day after this instrument is registered.</w:t>
            </w:r>
          </w:p>
        </w:tc>
        <w:tc>
          <w:tcPr>
            <w:tcW w:w="1843" w:type="dxa"/>
            <w:shd w:val="clear" w:color="auto" w:fill="auto"/>
          </w:tcPr>
          <w:p w:rsidR="006C1EE4" w:rsidRDefault="008B1129" w:rsidP="00A13E64">
            <w:pPr>
              <w:pStyle w:val="Tabletext"/>
            </w:pPr>
            <w:r>
              <w:t>6 November 2018</w:t>
            </w:r>
          </w:p>
          <w:p w:rsidR="008B1129" w:rsidRPr="00394A46" w:rsidRDefault="008B1129" w:rsidP="00A13E64">
            <w:pPr>
              <w:pStyle w:val="Tabletext"/>
            </w:pPr>
            <w:r>
              <w:t>(paragraph (a) applies)</w:t>
            </w:r>
          </w:p>
        </w:tc>
      </w:tr>
      <w:tr w:rsidR="005452CC" w:rsidRPr="00394A46" w:rsidTr="00226C8C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5452CC" w:rsidRPr="00394A46" w:rsidRDefault="00226C8C">
            <w:pPr>
              <w:pStyle w:val="Tabletext"/>
            </w:pPr>
            <w:r w:rsidRPr="00394A46">
              <w:t>4</w:t>
            </w:r>
            <w:r w:rsidR="005452CC" w:rsidRPr="00394A46">
              <w:t xml:space="preserve">.  </w:t>
            </w:r>
            <w:r w:rsidR="006C1EE4" w:rsidRPr="00394A46">
              <w:t>Schedule</w:t>
            </w:r>
            <w:r w:rsidR="00394A46" w:rsidRPr="00394A46">
              <w:t> </w:t>
            </w:r>
            <w:r w:rsidR="006C1EE4" w:rsidRPr="00394A46">
              <w:t>3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5452CC" w:rsidRPr="00394A46" w:rsidRDefault="006C1EE4">
            <w:pPr>
              <w:pStyle w:val="Tabletext"/>
            </w:pPr>
            <w:r w:rsidRPr="00394A46">
              <w:t>The day after this instrument is registered.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5452CC" w:rsidRPr="00394A46" w:rsidRDefault="000C5F80">
            <w:pPr>
              <w:pStyle w:val="Tabletext"/>
            </w:pPr>
            <w:r>
              <w:t>13 June 2018</w:t>
            </w:r>
          </w:p>
        </w:tc>
      </w:tr>
      <w:tr w:rsidR="007F30F7" w:rsidRPr="00394A46" w:rsidTr="00226C8C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F30F7" w:rsidRPr="00394A46" w:rsidRDefault="00226C8C" w:rsidP="007F30F7">
            <w:pPr>
              <w:pStyle w:val="Tabletext"/>
            </w:pPr>
            <w:r w:rsidRPr="00394A46">
              <w:t>5</w:t>
            </w:r>
            <w:r w:rsidR="007F30F7" w:rsidRPr="00394A46">
              <w:t>.  Schedule</w:t>
            </w:r>
            <w:r w:rsidR="00394A46" w:rsidRPr="00394A46">
              <w:t> </w:t>
            </w:r>
            <w:r w:rsidR="007F30F7" w:rsidRPr="00394A46">
              <w:t>4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F30F7" w:rsidRPr="00394A46" w:rsidRDefault="007F30F7" w:rsidP="007F30F7">
            <w:pPr>
              <w:pStyle w:val="Tabletext"/>
            </w:pPr>
            <w:r w:rsidRPr="00394A46">
              <w:t>The later of:</w:t>
            </w:r>
          </w:p>
          <w:p w:rsidR="007F30F7" w:rsidRPr="00394A46" w:rsidRDefault="007F30F7" w:rsidP="007F30F7">
            <w:pPr>
              <w:pStyle w:val="Tablea"/>
            </w:pPr>
            <w:r w:rsidRPr="00394A46">
              <w:t>(a) the commencement of</w:t>
            </w:r>
            <w:r w:rsidR="00226C8C" w:rsidRPr="00394A46">
              <w:t xml:space="preserve"> </w:t>
            </w:r>
            <w:r w:rsidRPr="00394A46">
              <w:t>Schedule</w:t>
            </w:r>
            <w:r w:rsidR="00394A46" w:rsidRPr="00394A46">
              <w:t> </w:t>
            </w:r>
            <w:r w:rsidRPr="00394A46">
              <w:t xml:space="preserve">10 to the </w:t>
            </w:r>
            <w:r w:rsidRPr="00394A46">
              <w:rPr>
                <w:i/>
              </w:rPr>
              <w:t>Regulatory Powers (Standardisation Reform) Act 2017</w:t>
            </w:r>
            <w:r w:rsidRPr="00394A46">
              <w:t>; and</w:t>
            </w:r>
          </w:p>
          <w:p w:rsidR="007F30F7" w:rsidRPr="00394A46" w:rsidRDefault="007F30F7" w:rsidP="007F30F7">
            <w:pPr>
              <w:pStyle w:val="Tablea"/>
            </w:pPr>
            <w:r w:rsidRPr="00394A46">
              <w:t>(b) the start of 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B1129" w:rsidRDefault="008B1129" w:rsidP="008B1129">
            <w:pPr>
              <w:pStyle w:val="Tabletext"/>
            </w:pPr>
            <w:r>
              <w:t>6 November 2018</w:t>
            </w:r>
          </w:p>
          <w:p w:rsidR="007F30F7" w:rsidRPr="00394A46" w:rsidRDefault="008B1129" w:rsidP="008B1129">
            <w:pPr>
              <w:pStyle w:val="Tabletext"/>
            </w:pPr>
            <w:r>
              <w:t>(paragraph (a) applies)</w:t>
            </w:r>
          </w:p>
        </w:tc>
      </w:tr>
    </w:tbl>
    <w:p w:rsidR="005452CC" w:rsidRPr="00394A46" w:rsidRDefault="005452CC" w:rsidP="00D21F74">
      <w:pPr>
        <w:pStyle w:val="notetext"/>
      </w:pPr>
      <w:r w:rsidRPr="00394A46">
        <w:rPr>
          <w:snapToGrid w:val="0"/>
          <w:lang w:eastAsia="en-US"/>
        </w:rPr>
        <w:t>Note:</w:t>
      </w:r>
      <w:r w:rsidRPr="00394A46">
        <w:rPr>
          <w:snapToGrid w:val="0"/>
          <w:lang w:eastAsia="en-US"/>
        </w:rPr>
        <w:tab/>
        <w:t xml:space="preserve">This table relates only to the provisions of </w:t>
      </w:r>
      <w:r w:rsidR="0055464D" w:rsidRPr="00394A46">
        <w:rPr>
          <w:snapToGrid w:val="0"/>
          <w:lang w:eastAsia="en-US"/>
        </w:rPr>
        <w:t>this instrument</w:t>
      </w:r>
      <w:r w:rsidRPr="00394A46">
        <w:t xml:space="preserve"> </w:t>
      </w:r>
      <w:r w:rsidRPr="00394A46">
        <w:rPr>
          <w:snapToGrid w:val="0"/>
          <w:lang w:eastAsia="en-US"/>
        </w:rPr>
        <w:t xml:space="preserve">as originally made. It will not be amended to deal with any later amendments of </w:t>
      </w:r>
      <w:r w:rsidR="0055464D" w:rsidRPr="00394A46">
        <w:rPr>
          <w:snapToGrid w:val="0"/>
          <w:lang w:eastAsia="en-US"/>
        </w:rPr>
        <w:t>this instrument</w:t>
      </w:r>
      <w:r w:rsidRPr="00394A46">
        <w:rPr>
          <w:snapToGrid w:val="0"/>
          <w:lang w:eastAsia="en-US"/>
        </w:rPr>
        <w:t>.</w:t>
      </w:r>
    </w:p>
    <w:p w:rsidR="005452CC" w:rsidRPr="00394A46" w:rsidRDefault="005452CC" w:rsidP="00D455E3">
      <w:pPr>
        <w:pStyle w:val="subsection"/>
      </w:pPr>
      <w:r w:rsidRPr="00394A46">
        <w:tab/>
        <w:t>(2)</w:t>
      </w:r>
      <w:r w:rsidRPr="00394A46">
        <w:tab/>
        <w:t xml:space="preserve">Any information in column 3 of the table is not part of </w:t>
      </w:r>
      <w:r w:rsidR="0055464D" w:rsidRPr="00394A46">
        <w:t>this instrument</w:t>
      </w:r>
      <w:r w:rsidRPr="00394A46">
        <w:t xml:space="preserve">. Information may be inserted in this column, or information in it may be edited, in any published version of </w:t>
      </w:r>
      <w:r w:rsidR="0055464D" w:rsidRPr="00394A46">
        <w:t>this instrument</w:t>
      </w:r>
      <w:r w:rsidRPr="00394A46">
        <w:t>.</w:t>
      </w:r>
    </w:p>
    <w:p w:rsidR="00BF6650" w:rsidRPr="00394A46" w:rsidRDefault="00BF6650" w:rsidP="00BF6650">
      <w:pPr>
        <w:pStyle w:val="ActHead5"/>
      </w:pPr>
      <w:bookmarkStart w:id="3" w:name="_Toc509496227"/>
      <w:r w:rsidRPr="00394A46">
        <w:rPr>
          <w:rStyle w:val="CharSectno"/>
        </w:rPr>
        <w:t>3</w:t>
      </w:r>
      <w:r w:rsidRPr="00394A46">
        <w:t xml:space="preserve">  Authority</w:t>
      </w:r>
      <w:bookmarkEnd w:id="3"/>
    </w:p>
    <w:p w:rsidR="00BF6650" w:rsidRPr="00394A46" w:rsidRDefault="00BF6650" w:rsidP="001068CD">
      <w:pPr>
        <w:pStyle w:val="subsection"/>
      </w:pPr>
      <w:r w:rsidRPr="00394A46">
        <w:tab/>
      </w:r>
      <w:r w:rsidRPr="00394A46">
        <w:tab/>
      </w:r>
      <w:r w:rsidR="0055464D" w:rsidRPr="00394A46">
        <w:t>This instrument is</w:t>
      </w:r>
      <w:r w:rsidRPr="00394A46">
        <w:t xml:space="preserve"> made under the </w:t>
      </w:r>
      <w:r w:rsidR="001068CD" w:rsidRPr="00394A46">
        <w:t>following:</w:t>
      </w:r>
    </w:p>
    <w:p w:rsidR="00145A98" w:rsidRPr="00394A46" w:rsidRDefault="001068CD" w:rsidP="001068CD">
      <w:pPr>
        <w:pStyle w:val="paragraph"/>
      </w:pPr>
      <w:r w:rsidRPr="00394A46">
        <w:tab/>
        <w:t>(a)</w:t>
      </w:r>
      <w:r w:rsidRPr="00394A46">
        <w:tab/>
        <w:t xml:space="preserve">the </w:t>
      </w:r>
      <w:r w:rsidR="00145A98" w:rsidRPr="00394A46">
        <w:rPr>
          <w:i/>
        </w:rPr>
        <w:t>Australian Sports Anti</w:t>
      </w:r>
      <w:r w:rsidR="00394A46">
        <w:rPr>
          <w:i/>
        </w:rPr>
        <w:noBreakHyphen/>
      </w:r>
      <w:r w:rsidR="00145A98" w:rsidRPr="00394A46">
        <w:rPr>
          <w:i/>
        </w:rPr>
        <w:t>Doping Authority Act 2006</w:t>
      </w:r>
      <w:r w:rsidR="00145A98" w:rsidRPr="00394A46">
        <w:t>;</w:t>
      </w:r>
    </w:p>
    <w:p w:rsidR="00145A98" w:rsidRPr="00394A46" w:rsidRDefault="001068CD" w:rsidP="001068CD">
      <w:pPr>
        <w:pStyle w:val="paragraph"/>
      </w:pPr>
      <w:r w:rsidRPr="00394A46">
        <w:tab/>
        <w:t>(b)</w:t>
      </w:r>
      <w:r w:rsidRPr="00394A46">
        <w:tab/>
        <w:t xml:space="preserve">the </w:t>
      </w:r>
      <w:r w:rsidR="00633D37" w:rsidRPr="00394A46">
        <w:rPr>
          <w:i/>
        </w:rPr>
        <w:t>Building Energy Efficiency Disclosure Act 2010</w:t>
      </w:r>
      <w:r w:rsidRPr="00394A46">
        <w:t>;</w:t>
      </w:r>
    </w:p>
    <w:p w:rsidR="00633D37" w:rsidRPr="00394A46" w:rsidRDefault="001068CD" w:rsidP="001068CD">
      <w:pPr>
        <w:pStyle w:val="paragraph"/>
      </w:pPr>
      <w:r w:rsidRPr="00394A46">
        <w:tab/>
        <w:t>(c)</w:t>
      </w:r>
      <w:r w:rsidRPr="00394A46">
        <w:tab/>
        <w:t xml:space="preserve">the </w:t>
      </w:r>
      <w:r w:rsidR="007F30F7" w:rsidRPr="00394A46">
        <w:rPr>
          <w:i/>
        </w:rPr>
        <w:t>Illegal Logging Prohibition Act 2012</w:t>
      </w:r>
      <w:r w:rsidRPr="00394A46">
        <w:t>;</w:t>
      </w:r>
    </w:p>
    <w:p w:rsidR="007F30F7" w:rsidRPr="00394A46" w:rsidRDefault="001068CD" w:rsidP="001068CD">
      <w:pPr>
        <w:pStyle w:val="paragraph"/>
      </w:pPr>
      <w:r w:rsidRPr="00394A46">
        <w:tab/>
        <w:t>(d)</w:t>
      </w:r>
      <w:r w:rsidRPr="00394A46">
        <w:tab/>
        <w:t xml:space="preserve">the </w:t>
      </w:r>
      <w:r w:rsidR="007F30F7" w:rsidRPr="00394A46">
        <w:rPr>
          <w:i/>
        </w:rPr>
        <w:t>Industrial Chemicals (Notification and Assessment) Act 1989</w:t>
      </w:r>
      <w:r w:rsidRPr="00394A46">
        <w:t>.</w:t>
      </w:r>
    </w:p>
    <w:p w:rsidR="00557C7A" w:rsidRPr="00394A46" w:rsidRDefault="00BF6650" w:rsidP="00557C7A">
      <w:pPr>
        <w:pStyle w:val="ActHead5"/>
      </w:pPr>
      <w:bookmarkStart w:id="4" w:name="_Toc509496228"/>
      <w:r w:rsidRPr="00394A46">
        <w:rPr>
          <w:rStyle w:val="CharSectno"/>
        </w:rPr>
        <w:t>4</w:t>
      </w:r>
      <w:r w:rsidR="00557C7A" w:rsidRPr="00394A46">
        <w:t xml:space="preserve">  </w:t>
      </w:r>
      <w:r w:rsidR="00083F48" w:rsidRPr="00394A46">
        <w:t>Schedules</w:t>
      </w:r>
      <w:bookmarkEnd w:id="4"/>
    </w:p>
    <w:p w:rsidR="00557C7A" w:rsidRPr="00394A46" w:rsidRDefault="00557C7A" w:rsidP="00557C7A">
      <w:pPr>
        <w:pStyle w:val="subsection"/>
      </w:pPr>
      <w:r w:rsidRPr="00394A46">
        <w:tab/>
      </w:r>
      <w:r w:rsidRPr="00394A46">
        <w:tab/>
      </w:r>
      <w:r w:rsidR="00083F48" w:rsidRPr="00394A46">
        <w:t xml:space="preserve">Each </w:t>
      </w:r>
      <w:r w:rsidR="00160BD7" w:rsidRPr="00394A46">
        <w:t>instrument</w:t>
      </w:r>
      <w:r w:rsidR="00083F48" w:rsidRPr="00394A46">
        <w:t xml:space="preserve"> that is specified in a Schedule to </w:t>
      </w:r>
      <w:r w:rsidR="0055464D" w:rsidRPr="00394A46">
        <w:t>this instrument</w:t>
      </w:r>
      <w:r w:rsidR="00083F48" w:rsidRPr="00394A46">
        <w:t xml:space="preserve"> is amended or repealed as set out in the applicable items in the Schedule concerned, and any other item in a Schedule to </w:t>
      </w:r>
      <w:r w:rsidR="0055464D" w:rsidRPr="00394A46">
        <w:t>this instrument</w:t>
      </w:r>
      <w:r w:rsidR="00083F48" w:rsidRPr="00394A46">
        <w:t xml:space="preserve"> has effect according to its terms.</w:t>
      </w:r>
    </w:p>
    <w:p w:rsidR="0048364F" w:rsidRPr="00394A46" w:rsidRDefault="0048364F" w:rsidP="009C5989">
      <w:pPr>
        <w:pStyle w:val="ActHead6"/>
        <w:pageBreakBefore/>
      </w:pPr>
      <w:bookmarkStart w:id="5" w:name="_Toc509496229"/>
      <w:bookmarkStart w:id="6" w:name="opcAmSched"/>
      <w:r w:rsidRPr="00394A46">
        <w:rPr>
          <w:rStyle w:val="CharAmSchNo"/>
        </w:rPr>
        <w:t>Schedule</w:t>
      </w:r>
      <w:r w:rsidR="00394A46" w:rsidRPr="00394A46">
        <w:rPr>
          <w:rStyle w:val="CharAmSchNo"/>
        </w:rPr>
        <w:t> </w:t>
      </w:r>
      <w:r w:rsidRPr="00394A46">
        <w:rPr>
          <w:rStyle w:val="CharAmSchNo"/>
        </w:rPr>
        <w:t>1</w:t>
      </w:r>
      <w:r w:rsidRPr="00394A46">
        <w:t>—</w:t>
      </w:r>
      <w:r w:rsidR="00460499" w:rsidRPr="00394A46">
        <w:rPr>
          <w:rStyle w:val="CharAmSchText"/>
        </w:rPr>
        <w:t>Amendment</w:t>
      </w:r>
      <w:r w:rsidR="007A76D7" w:rsidRPr="00394A46">
        <w:rPr>
          <w:rStyle w:val="CharAmSchText"/>
        </w:rPr>
        <w:t xml:space="preserve"> of the Australian Sports Anti</w:t>
      </w:r>
      <w:r w:rsidR="00394A46" w:rsidRPr="00394A46">
        <w:rPr>
          <w:rStyle w:val="CharAmSchText"/>
        </w:rPr>
        <w:noBreakHyphen/>
      </w:r>
      <w:r w:rsidR="007A76D7" w:rsidRPr="00394A46">
        <w:rPr>
          <w:rStyle w:val="CharAmSchText"/>
        </w:rPr>
        <w:t>Doping Authority Regulations</w:t>
      </w:r>
      <w:r w:rsidR="00394A46" w:rsidRPr="00394A46">
        <w:rPr>
          <w:rStyle w:val="CharAmSchText"/>
        </w:rPr>
        <w:t> </w:t>
      </w:r>
      <w:r w:rsidR="007A76D7" w:rsidRPr="00394A46">
        <w:rPr>
          <w:rStyle w:val="CharAmSchText"/>
        </w:rPr>
        <w:t>2006</w:t>
      </w:r>
      <w:bookmarkEnd w:id="5"/>
    </w:p>
    <w:bookmarkEnd w:id="6"/>
    <w:p w:rsidR="0004044E" w:rsidRPr="00394A46" w:rsidRDefault="0004044E" w:rsidP="0004044E">
      <w:pPr>
        <w:pStyle w:val="Header"/>
      </w:pPr>
      <w:r w:rsidRPr="00394A46">
        <w:rPr>
          <w:rStyle w:val="CharAmPartNo"/>
        </w:rPr>
        <w:t xml:space="preserve"> </w:t>
      </w:r>
      <w:r w:rsidRPr="00394A46">
        <w:rPr>
          <w:rStyle w:val="CharAmPartText"/>
        </w:rPr>
        <w:t xml:space="preserve"> </w:t>
      </w:r>
    </w:p>
    <w:p w:rsidR="0084172C" w:rsidRPr="00394A46" w:rsidRDefault="00145A98" w:rsidP="00EA0D36">
      <w:pPr>
        <w:pStyle w:val="ActHead9"/>
      </w:pPr>
      <w:bookmarkStart w:id="7" w:name="_Toc509496230"/>
      <w:r w:rsidRPr="00394A46">
        <w:t>Australian Sports Anti</w:t>
      </w:r>
      <w:r w:rsidR="00394A46">
        <w:noBreakHyphen/>
      </w:r>
      <w:r w:rsidRPr="00394A46">
        <w:t>Doping Authority Regulations</w:t>
      </w:r>
      <w:r w:rsidR="00394A46" w:rsidRPr="00394A46">
        <w:t> </w:t>
      </w:r>
      <w:r w:rsidRPr="00394A46">
        <w:t>2006</w:t>
      </w:r>
      <w:bookmarkEnd w:id="7"/>
    </w:p>
    <w:p w:rsidR="00145A98" w:rsidRPr="00394A46" w:rsidRDefault="00145A98" w:rsidP="00145A98">
      <w:pPr>
        <w:pStyle w:val="ItemHead"/>
      </w:pPr>
      <w:r w:rsidRPr="00394A46">
        <w:t xml:space="preserve">1  </w:t>
      </w:r>
      <w:r w:rsidR="005C42B5" w:rsidRPr="00394A46">
        <w:t>Regulation</w:t>
      </w:r>
      <w:r w:rsidR="00394A46" w:rsidRPr="00394A46">
        <w:t> </w:t>
      </w:r>
      <w:r w:rsidRPr="00394A46">
        <w:t xml:space="preserve">1A (definition of </w:t>
      </w:r>
      <w:r w:rsidRPr="00394A46">
        <w:rPr>
          <w:i/>
        </w:rPr>
        <w:t>authorised person</w:t>
      </w:r>
      <w:r w:rsidRPr="00394A46">
        <w:t>)</w:t>
      </w:r>
    </w:p>
    <w:p w:rsidR="00145A98" w:rsidRPr="00394A46" w:rsidRDefault="00145A98" w:rsidP="00145A98">
      <w:pPr>
        <w:pStyle w:val="Item"/>
      </w:pPr>
      <w:r w:rsidRPr="00394A46">
        <w:t>Repeal the definition.</w:t>
      </w:r>
    </w:p>
    <w:p w:rsidR="00145A98" w:rsidRPr="00394A46" w:rsidRDefault="007A76D7" w:rsidP="00145A98">
      <w:pPr>
        <w:pStyle w:val="ItemHead"/>
      </w:pPr>
      <w:r w:rsidRPr="00394A46">
        <w:t>2</w:t>
      </w:r>
      <w:r w:rsidR="00145A98" w:rsidRPr="00394A46">
        <w:t xml:space="preserve">  Part</w:t>
      </w:r>
      <w:r w:rsidR="00394A46" w:rsidRPr="00394A46">
        <w:t> </w:t>
      </w:r>
      <w:r w:rsidR="00145A98" w:rsidRPr="00394A46">
        <w:t>5</w:t>
      </w:r>
    </w:p>
    <w:p w:rsidR="00145A98" w:rsidRPr="00394A46" w:rsidRDefault="00145A98" w:rsidP="00145A98">
      <w:pPr>
        <w:pStyle w:val="Item"/>
      </w:pPr>
      <w:r w:rsidRPr="00394A46">
        <w:t>Repeal the Part.</w:t>
      </w:r>
    </w:p>
    <w:p w:rsidR="006510E6" w:rsidRPr="00394A46" w:rsidRDefault="006510E6" w:rsidP="006510E6">
      <w:pPr>
        <w:pStyle w:val="ItemHead"/>
      </w:pPr>
      <w:r w:rsidRPr="00394A46">
        <w:t>3  In the appropriate position in Part</w:t>
      </w:r>
      <w:r w:rsidR="00394A46" w:rsidRPr="00394A46">
        <w:t> </w:t>
      </w:r>
      <w:r w:rsidRPr="00394A46">
        <w:t>6</w:t>
      </w:r>
    </w:p>
    <w:p w:rsidR="006510E6" w:rsidRPr="00394A46" w:rsidRDefault="006510E6" w:rsidP="006510E6">
      <w:pPr>
        <w:pStyle w:val="Item"/>
      </w:pPr>
      <w:r w:rsidRPr="00394A46">
        <w:t>Insert:</w:t>
      </w:r>
    </w:p>
    <w:p w:rsidR="006510E6" w:rsidRPr="00394A46" w:rsidRDefault="006510E6" w:rsidP="006510E6">
      <w:pPr>
        <w:pStyle w:val="ActHead5"/>
        <w:rPr>
          <w:i/>
        </w:rPr>
      </w:pPr>
      <w:bookmarkStart w:id="8" w:name="_Toc509496231"/>
      <w:r w:rsidRPr="00394A46">
        <w:rPr>
          <w:rStyle w:val="CharSectno"/>
        </w:rPr>
        <w:t>25</w:t>
      </w:r>
      <w:r w:rsidRPr="00394A46">
        <w:t xml:space="preserve">  Amendments made by the </w:t>
      </w:r>
      <w:r w:rsidRPr="00394A46">
        <w:rPr>
          <w:i/>
        </w:rPr>
        <w:t>Regulatory Powers Legislation Amendment (Standardisation Reform) Regulations</w:t>
      </w:r>
      <w:r w:rsidR="00394A46" w:rsidRPr="00394A46">
        <w:rPr>
          <w:i/>
        </w:rPr>
        <w:t> </w:t>
      </w:r>
      <w:r w:rsidRPr="00394A46">
        <w:rPr>
          <w:i/>
        </w:rPr>
        <w:t>2018</w:t>
      </w:r>
      <w:bookmarkEnd w:id="8"/>
    </w:p>
    <w:p w:rsidR="00636789" w:rsidRPr="00394A46" w:rsidRDefault="006510E6" w:rsidP="006510E6">
      <w:pPr>
        <w:pStyle w:val="subsection"/>
      </w:pPr>
      <w:r w:rsidRPr="00394A46">
        <w:tab/>
      </w:r>
      <w:r w:rsidRPr="00394A46">
        <w:tab/>
        <w:t xml:space="preserve">The definition of </w:t>
      </w:r>
      <w:r w:rsidRPr="00394A46">
        <w:rPr>
          <w:b/>
          <w:i/>
        </w:rPr>
        <w:t>authorised person</w:t>
      </w:r>
      <w:r w:rsidRPr="00394A46">
        <w:t xml:space="preserve"> in regulation</w:t>
      </w:r>
      <w:r w:rsidR="00394A46" w:rsidRPr="00394A46">
        <w:t> </w:t>
      </w:r>
      <w:r w:rsidRPr="00394A46">
        <w:t>1A, and Part</w:t>
      </w:r>
      <w:r w:rsidR="00394A46" w:rsidRPr="00394A46">
        <w:t> </w:t>
      </w:r>
      <w:r w:rsidRPr="00394A46">
        <w:t xml:space="preserve">5, as in force immediately before the commencement of this </w:t>
      </w:r>
      <w:r w:rsidR="00D93F07" w:rsidRPr="00394A46">
        <w:t>regulation</w:t>
      </w:r>
      <w:r w:rsidRPr="00394A46">
        <w:t>, continue to apply on and after that commencement in relation to alleged contraventions of civil penalty provisions of the</w:t>
      </w:r>
      <w:r w:rsidR="00636789" w:rsidRPr="00394A46">
        <w:t xml:space="preserve"> Act</w:t>
      </w:r>
      <w:r w:rsidRPr="00394A46">
        <w:t xml:space="preserve"> occurring before the commencement of </w:t>
      </w:r>
      <w:r w:rsidR="00636789" w:rsidRPr="00394A46">
        <w:t>Schedule</w:t>
      </w:r>
      <w:r w:rsidR="00394A46" w:rsidRPr="00394A46">
        <w:t> </w:t>
      </w:r>
      <w:r w:rsidR="00636789" w:rsidRPr="00394A46">
        <w:t xml:space="preserve">2 to the </w:t>
      </w:r>
      <w:r w:rsidR="00636789" w:rsidRPr="00394A46">
        <w:rPr>
          <w:i/>
        </w:rPr>
        <w:t>Regulatory Powers (Standardisation Reform) Act 2017</w:t>
      </w:r>
      <w:r w:rsidR="00892B9A" w:rsidRPr="00394A46">
        <w:t>.</w:t>
      </w:r>
    </w:p>
    <w:p w:rsidR="007A76D7" w:rsidRPr="00394A46" w:rsidRDefault="007A76D7" w:rsidP="00543E57">
      <w:pPr>
        <w:pStyle w:val="ActHead6"/>
        <w:pageBreakBefore/>
      </w:pPr>
      <w:bookmarkStart w:id="9" w:name="_Toc509496232"/>
      <w:r w:rsidRPr="00394A46">
        <w:rPr>
          <w:rStyle w:val="CharAmSchNo"/>
        </w:rPr>
        <w:t>Schedule</w:t>
      </w:r>
      <w:r w:rsidR="00394A46" w:rsidRPr="00394A46">
        <w:rPr>
          <w:rStyle w:val="CharAmSchNo"/>
        </w:rPr>
        <w:t> </w:t>
      </w:r>
      <w:r w:rsidRPr="00394A46">
        <w:rPr>
          <w:rStyle w:val="CharAmSchNo"/>
        </w:rPr>
        <w:t>2</w:t>
      </w:r>
      <w:r w:rsidRPr="00394A46">
        <w:t>—</w:t>
      </w:r>
      <w:r w:rsidRPr="00394A46">
        <w:rPr>
          <w:rStyle w:val="CharAmSchText"/>
        </w:rPr>
        <w:t xml:space="preserve">Amendment of the </w:t>
      </w:r>
      <w:r w:rsidR="00633D37" w:rsidRPr="00394A46">
        <w:rPr>
          <w:rStyle w:val="CharAmSchText"/>
        </w:rPr>
        <w:t>Building Energy Efficiency Disclosure Regulations</w:t>
      </w:r>
      <w:r w:rsidR="00394A46" w:rsidRPr="00394A46">
        <w:rPr>
          <w:rStyle w:val="CharAmSchText"/>
        </w:rPr>
        <w:t> </w:t>
      </w:r>
      <w:r w:rsidR="00633D37" w:rsidRPr="00394A46">
        <w:rPr>
          <w:rStyle w:val="CharAmSchText"/>
        </w:rPr>
        <w:t>2010</w:t>
      </w:r>
      <w:bookmarkEnd w:id="9"/>
    </w:p>
    <w:p w:rsidR="00633D37" w:rsidRPr="00394A46" w:rsidRDefault="00633D37" w:rsidP="00633D37">
      <w:pPr>
        <w:pStyle w:val="Header"/>
      </w:pPr>
      <w:r w:rsidRPr="00394A46">
        <w:rPr>
          <w:rStyle w:val="CharAmPartNo"/>
        </w:rPr>
        <w:t xml:space="preserve"> </w:t>
      </w:r>
      <w:r w:rsidRPr="00394A46">
        <w:rPr>
          <w:rStyle w:val="CharAmPartText"/>
        </w:rPr>
        <w:t xml:space="preserve"> </w:t>
      </w:r>
    </w:p>
    <w:p w:rsidR="00633D37" w:rsidRPr="00394A46" w:rsidRDefault="00633D37" w:rsidP="00633D37">
      <w:pPr>
        <w:pStyle w:val="ActHead9"/>
      </w:pPr>
      <w:bookmarkStart w:id="10" w:name="_Toc509496233"/>
      <w:r w:rsidRPr="00394A46">
        <w:t>Building Energy Efficiency Disclosure Regulations</w:t>
      </w:r>
      <w:r w:rsidR="00394A46" w:rsidRPr="00394A46">
        <w:t> </w:t>
      </w:r>
      <w:r w:rsidRPr="00394A46">
        <w:t>2010</w:t>
      </w:r>
      <w:bookmarkEnd w:id="10"/>
    </w:p>
    <w:p w:rsidR="00633D37" w:rsidRPr="00394A46" w:rsidRDefault="00633D37" w:rsidP="00633D37">
      <w:pPr>
        <w:pStyle w:val="ItemHead"/>
      </w:pPr>
      <w:r w:rsidRPr="00394A46">
        <w:t>1  Part</w:t>
      </w:r>
      <w:r w:rsidR="00394A46" w:rsidRPr="00394A46">
        <w:t> </w:t>
      </w:r>
      <w:r w:rsidRPr="00394A46">
        <w:t>7</w:t>
      </w:r>
    </w:p>
    <w:p w:rsidR="00633D37" w:rsidRPr="00394A46" w:rsidRDefault="00633D37" w:rsidP="00633D37">
      <w:pPr>
        <w:pStyle w:val="Item"/>
      </w:pPr>
      <w:r w:rsidRPr="00394A46">
        <w:t>Repeal the Part.</w:t>
      </w:r>
    </w:p>
    <w:p w:rsidR="00942ECB" w:rsidRPr="00394A46" w:rsidRDefault="00942ECB" w:rsidP="00942ECB">
      <w:pPr>
        <w:pStyle w:val="ItemHead"/>
      </w:pPr>
      <w:r w:rsidRPr="00394A46">
        <w:t>2  In the appropriate position in Part</w:t>
      </w:r>
      <w:r w:rsidR="00394A46" w:rsidRPr="00394A46">
        <w:t> </w:t>
      </w:r>
      <w:r w:rsidRPr="00394A46">
        <w:t>8</w:t>
      </w:r>
    </w:p>
    <w:p w:rsidR="00942ECB" w:rsidRPr="00394A46" w:rsidRDefault="00942ECB" w:rsidP="00942ECB">
      <w:pPr>
        <w:pStyle w:val="Item"/>
      </w:pPr>
      <w:r w:rsidRPr="00394A46">
        <w:t>Insert:</w:t>
      </w:r>
    </w:p>
    <w:p w:rsidR="00942ECB" w:rsidRPr="00394A46" w:rsidRDefault="00942ECB" w:rsidP="00942ECB">
      <w:pPr>
        <w:pStyle w:val="ActHead5"/>
      </w:pPr>
      <w:bookmarkStart w:id="11" w:name="_Toc509496234"/>
      <w:r w:rsidRPr="00394A46">
        <w:rPr>
          <w:rStyle w:val="CharSectno"/>
        </w:rPr>
        <w:t>19</w:t>
      </w:r>
      <w:r w:rsidRPr="00394A46">
        <w:t xml:space="preserve">  Amendments made by the </w:t>
      </w:r>
      <w:r w:rsidRPr="00394A46">
        <w:rPr>
          <w:i/>
        </w:rPr>
        <w:t>Regulatory Powers Legislation Amendment (Standardisation Reform) Regulations</w:t>
      </w:r>
      <w:r w:rsidR="00394A46" w:rsidRPr="00394A46">
        <w:rPr>
          <w:i/>
        </w:rPr>
        <w:t> </w:t>
      </w:r>
      <w:r w:rsidRPr="00394A46">
        <w:rPr>
          <w:i/>
        </w:rPr>
        <w:t>2018</w:t>
      </w:r>
      <w:bookmarkEnd w:id="11"/>
    </w:p>
    <w:p w:rsidR="00942ECB" w:rsidRPr="00394A46" w:rsidRDefault="00942ECB" w:rsidP="006510E6">
      <w:pPr>
        <w:pStyle w:val="subsection"/>
      </w:pPr>
      <w:r w:rsidRPr="00394A46">
        <w:tab/>
      </w:r>
      <w:r w:rsidRPr="00394A46">
        <w:tab/>
        <w:t>Part</w:t>
      </w:r>
      <w:r w:rsidR="00394A46" w:rsidRPr="00394A46">
        <w:t> </w:t>
      </w:r>
      <w:r w:rsidRPr="00394A46">
        <w:t xml:space="preserve">7 of this instrument, as in force immediately before </w:t>
      </w:r>
      <w:r w:rsidR="00682E80" w:rsidRPr="00394A46">
        <w:t>the commencement of this regulation</w:t>
      </w:r>
      <w:r w:rsidRPr="00394A46">
        <w:t>, continues to apply on an</w:t>
      </w:r>
      <w:r w:rsidR="00D278BB" w:rsidRPr="00394A46">
        <w:t>d</w:t>
      </w:r>
      <w:r w:rsidRPr="00394A46">
        <w:t xml:space="preserve"> after that commencement in relation to alleged contraventions of civil penalty provisions occurring before th</w:t>
      </w:r>
      <w:r w:rsidR="006510E6" w:rsidRPr="00394A46">
        <w:t>e commencement of Schedule</w:t>
      </w:r>
      <w:r w:rsidR="00394A46" w:rsidRPr="00394A46">
        <w:t> </w:t>
      </w:r>
      <w:r w:rsidR="006510E6" w:rsidRPr="00394A46">
        <w:t xml:space="preserve">3 to the </w:t>
      </w:r>
      <w:r w:rsidR="006510E6" w:rsidRPr="00394A46">
        <w:rPr>
          <w:i/>
        </w:rPr>
        <w:t>Regulatory Powers (Standardisation Reform) Act 2017</w:t>
      </w:r>
      <w:r w:rsidRPr="00394A46">
        <w:t>.</w:t>
      </w:r>
    </w:p>
    <w:p w:rsidR="006C1EE4" w:rsidRPr="00394A46" w:rsidRDefault="006C1EE4" w:rsidP="00543E57">
      <w:pPr>
        <w:pStyle w:val="ActHead6"/>
        <w:pageBreakBefore/>
      </w:pPr>
      <w:bookmarkStart w:id="12" w:name="_Toc509496235"/>
      <w:r w:rsidRPr="00394A46">
        <w:rPr>
          <w:rStyle w:val="CharAmSchNo"/>
        </w:rPr>
        <w:t>Schedule</w:t>
      </w:r>
      <w:r w:rsidR="00394A46" w:rsidRPr="00394A46">
        <w:rPr>
          <w:rStyle w:val="CharAmSchNo"/>
        </w:rPr>
        <w:t> </w:t>
      </w:r>
      <w:r w:rsidRPr="00394A46">
        <w:rPr>
          <w:rStyle w:val="CharAmSchNo"/>
        </w:rPr>
        <w:t>3</w:t>
      </w:r>
      <w:r w:rsidRPr="00394A46">
        <w:t>—</w:t>
      </w:r>
      <w:r w:rsidRPr="00394A46">
        <w:rPr>
          <w:rStyle w:val="CharAmSchText"/>
        </w:rPr>
        <w:t>Amendment of the Illegal Logging Prohibition Regulation</w:t>
      </w:r>
      <w:r w:rsidR="00394A46" w:rsidRPr="00394A46">
        <w:rPr>
          <w:rStyle w:val="CharAmSchText"/>
        </w:rPr>
        <w:t> </w:t>
      </w:r>
      <w:r w:rsidRPr="00394A46">
        <w:rPr>
          <w:rStyle w:val="CharAmSchText"/>
        </w:rPr>
        <w:t>2012</w:t>
      </w:r>
      <w:bookmarkEnd w:id="12"/>
    </w:p>
    <w:p w:rsidR="006C1EE4" w:rsidRPr="00394A46" w:rsidRDefault="006C1EE4" w:rsidP="006C1EE4">
      <w:pPr>
        <w:pStyle w:val="Header"/>
      </w:pPr>
      <w:r w:rsidRPr="00394A46">
        <w:rPr>
          <w:rStyle w:val="CharAmPartNo"/>
        </w:rPr>
        <w:t xml:space="preserve"> </w:t>
      </w:r>
      <w:r w:rsidRPr="00394A46">
        <w:rPr>
          <w:rStyle w:val="CharAmPartText"/>
        </w:rPr>
        <w:t xml:space="preserve"> </w:t>
      </w:r>
    </w:p>
    <w:p w:rsidR="006C1EE4" w:rsidRPr="00394A46" w:rsidRDefault="006C1EE4" w:rsidP="006C1EE4">
      <w:pPr>
        <w:pStyle w:val="ActHead9"/>
      </w:pPr>
      <w:bookmarkStart w:id="13" w:name="_Toc509496236"/>
      <w:r w:rsidRPr="00394A46">
        <w:t>Illegal Logging Prohibition Regulation</w:t>
      </w:r>
      <w:r w:rsidR="00394A46" w:rsidRPr="00394A46">
        <w:t> </w:t>
      </w:r>
      <w:r w:rsidRPr="00394A46">
        <w:t>2012</w:t>
      </w:r>
      <w:bookmarkEnd w:id="13"/>
    </w:p>
    <w:p w:rsidR="006C1EE4" w:rsidRPr="00394A46" w:rsidRDefault="006C1EE4" w:rsidP="006C1EE4">
      <w:pPr>
        <w:pStyle w:val="ItemHead"/>
      </w:pPr>
      <w:r w:rsidRPr="00394A46">
        <w:t>1  Part</w:t>
      </w:r>
      <w:r w:rsidR="00394A46" w:rsidRPr="00394A46">
        <w:t> </w:t>
      </w:r>
      <w:r w:rsidR="007F30F7" w:rsidRPr="00394A46">
        <w:t>4</w:t>
      </w:r>
    </w:p>
    <w:p w:rsidR="006C1EE4" w:rsidRPr="00394A46" w:rsidRDefault="006C1EE4" w:rsidP="006C1EE4">
      <w:pPr>
        <w:pStyle w:val="Item"/>
      </w:pPr>
      <w:r w:rsidRPr="00394A46">
        <w:t>Repeal the Part.</w:t>
      </w:r>
    </w:p>
    <w:p w:rsidR="007F30F7" w:rsidRPr="00394A46" w:rsidRDefault="007F30F7" w:rsidP="00543E57">
      <w:pPr>
        <w:pStyle w:val="ActHead6"/>
        <w:pageBreakBefore/>
      </w:pPr>
      <w:bookmarkStart w:id="14" w:name="_Toc509496237"/>
      <w:bookmarkStart w:id="15" w:name="opcCurrentFind"/>
      <w:r w:rsidRPr="00394A46">
        <w:rPr>
          <w:rStyle w:val="CharAmSchNo"/>
        </w:rPr>
        <w:t>Schedule</w:t>
      </w:r>
      <w:r w:rsidR="00394A46" w:rsidRPr="00394A46">
        <w:rPr>
          <w:rStyle w:val="CharAmSchNo"/>
        </w:rPr>
        <w:t> </w:t>
      </w:r>
      <w:r w:rsidRPr="00394A46">
        <w:rPr>
          <w:rStyle w:val="CharAmSchNo"/>
        </w:rPr>
        <w:t>4</w:t>
      </w:r>
      <w:r w:rsidRPr="00394A46">
        <w:t>—</w:t>
      </w:r>
      <w:r w:rsidRPr="00394A46">
        <w:rPr>
          <w:rStyle w:val="CharAmSchText"/>
        </w:rPr>
        <w:t>Amendment of the Industrial Chemicals (Notification and Assessment) Regulations</w:t>
      </w:r>
      <w:r w:rsidR="00394A46" w:rsidRPr="00394A46">
        <w:rPr>
          <w:rStyle w:val="CharAmSchText"/>
        </w:rPr>
        <w:t> </w:t>
      </w:r>
      <w:r w:rsidRPr="00394A46">
        <w:rPr>
          <w:rStyle w:val="CharAmSchText"/>
        </w:rPr>
        <w:t>1990</w:t>
      </w:r>
      <w:bookmarkEnd w:id="14"/>
    </w:p>
    <w:bookmarkEnd w:id="15"/>
    <w:p w:rsidR="007F30F7" w:rsidRPr="00394A46" w:rsidRDefault="007F30F7" w:rsidP="007F30F7">
      <w:pPr>
        <w:pStyle w:val="Header"/>
      </w:pPr>
      <w:r w:rsidRPr="00394A46">
        <w:rPr>
          <w:rStyle w:val="CharAmPartNo"/>
        </w:rPr>
        <w:t xml:space="preserve"> </w:t>
      </w:r>
      <w:r w:rsidRPr="00394A46">
        <w:rPr>
          <w:rStyle w:val="CharAmPartText"/>
        </w:rPr>
        <w:t xml:space="preserve"> </w:t>
      </w:r>
    </w:p>
    <w:p w:rsidR="007F30F7" w:rsidRPr="00394A46" w:rsidRDefault="007F30F7" w:rsidP="007F30F7">
      <w:pPr>
        <w:pStyle w:val="ActHead9"/>
      </w:pPr>
      <w:bookmarkStart w:id="16" w:name="_Toc509496238"/>
      <w:r w:rsidRPr="00394A46">
        <w:t>Industrial Chemicals (Notification and Assessment) Regulations</w:t>
      </w:r>
      <w:r w:rsidR="00394A46" w:rsidRPr="00394A46">
        <w:t> </w:t>
      </w:r>
      <w:r w:rsidRPr="00394A46">
        <w:t>1990</w:t>
      </w:r>
      <w:bookmarkEnd w:id="16"/>
    </w:p>
    <w:p w:rsidR="00485078" w:rsidRPr="00394A46" w:rsidRDefault="007B0CEC" w:rsidP="00485078">
      <w:pPr>
        <w:pStyle w:val="ItemHead"/>
      </w:pPr>
      <w:r w:rsidRPr="00394A46">
        <w:t>1</w:t>
      </w:r>
      <w:r w:rsidR="00485078" w:rsidRPr="00394A46">
        <w:t xml:space="preserve">  Regulation</w:t>
      </w:r>
      <w:r w:rsidR="00394A46" w:rsidRPr="00394A46">
        <w:t> </w:t>
      </w:r>
      <w:r w:rsidR="00485078" w:rsidRPr="00394A46">
        <w:t>11A</w:t>
      </w:r>
    </w:p>
    <w:p w:rsidR="00485078" w:rsidRPr="00394A46" w:rsidRDefault="00485078" w:rsidP="00485078">
      <w:pPr>
        <w:pStyle w:val="Item"/>
      </w:pPr>
      <w:r w:rsidRPr="00394A46">
        <w:t>Repeal the regulation.</w:t>
      </w:r>
    </w:p>
    <w:p w:rsidR="00485078" w:rsidRPr="00394A46" w:rsidRDefault="007B0CEC" w:rsidP="00485078">
      <w:pPr>
        <w:pStyle w:val="ItemHead"/>
      </w:pPr>
      <w:r w:rsidRPr="00394A46">
        <w:t>2</w:t>
      </w:r>
      <w:r w:rsidR="00485078" w:rsidRPr="00394A46">
        <w:t xml:space="preserve">  After regulation</w:t>
      </w:r>
      <w:r w:rsidR="00394A46" w:rsidRPr="00394A46">
        <w:t> </w:t>
      </w:r>
      <w:r w:rsidR="00485078" w:rsidRPr="00394A46">
        <w:t>17</w:t>
      </w:r>
    </w:p>
    <w:p w:rsidR="00485078" w:rsidRPr="00394A46" w:rsidRDefault="00485078" w:rsidP="00485078">
      <w:pPr>
        <w:pStyle w:val="Item"/>
      </w:pPr>
      <w:r w:rsidRPr="00394A46">
        <w:t>Insert:</w:t>
      </w:r>
    </w:p>
    <w:p w:rsidR="007B0CEC" w:rsidRPr="00394A46" w:rsidRDefault="007B0CEC" w:rsidP="007B0CEC">
      <w:pPr>
        <w:pStyle w:val="ActHead5"/>
      </w:pPr>
      <w:bookmarkStart w:id="17" w:name="_Toc509496239"/>
      <w:r w:rsidRPr="00394A46">
        <w:rPr>
          <w:rStyle w:val="CharSectno"/>
        </w:rPr>
        <w:t>18</w:t>
      </w:r>
      <w:r w:rsidRPr="00394A46">
        <w:t xml:space="preserve">  Transitional provisions</w:t>
      </w:r>
      <w:bookmarkEnd w:id="17"/>
    </w:p>
    <w:p w:rsidR="007B0CEC" w:rsidRPr="00394A46" w:rsidRDefault="007B0CEC" w:rsidP="007B0CEC">
      <w:pPr>
        <w:pStyle w:val="subsection"/>
      </w:pPr>
      <w:r w:rsidRPr="00394A46">
        <w:tab/>
      </w:r>
      <w:r w:rsidRPr="00394A46">
        <w:tab/>
        <w:t>Schedule</w:t>
      </w:r>
      <w:r w:rsidR="00394A46" w:rsidRPr="00394A46">
        <w:t> </w:t>
      </w:r>
      <w:r w:rsidRPr="00394A46">
        <w:t>5 has effect.</w:t>
      </w:r>
    </w:p>
    <w:p w:rsidR="00EC2B17" w:rsidRPr="00394A46" w:rsidRDefault="00EC2B17" w:rsidP="00EC2B17">
      <w:pPr>
        <w:pStyle w:val="ItemHead"/>
      </w:pPr>
      <w:r w:rsidRPr="00394A46">
        <w:t>3  Schedule</w:t>
      </w:r>
      <w:r w:rsidR="00394A46" w:rsidRPr="00394A46">
        <w:t> </w:t>
      </w:r>
      <w:r w:rsidRPr="00394A46">
        <w:t>1A</w:t>
      </w:r>
    </w:p>
    <w:p w:rsidR="00EC2B17" w:rsidRPr="00394A46" w:rsidRDefault="00EC2B17" w:rsidP="00EC2B17">
      <w:pPr>
        <w:pStyle w:val="Item"/>
      </w:pPr>
      <w:r w:rsidRPr="00394A46">
        <w:t>Repeal the Schedule.</w:t>
      </w:r>
    </w:p>
    <w:p w:rsidR="007B0CEC" w:rsidRPr="00394A46" w:rsidRDefault="00EC2B17" w:rsidP="007B0CEC">
      <w:pPr>
        <w:pStyle w:val="ItemHead"/>
      </w:pPr>
      <w:r w:rsidRPr="00394A46">
        <w:t>4</w:t>
      </w:r>
      <w:r w:rsidR="007B0CEC" w:rsidRPr="00394A46">
        <w:t xml:space="preserve">  At the end of the instrument</w:t>
      </w:r>
    </w:p>
    <w:p w:rsidR="007B0CEC" w:rsidRPr="00394A46" w:rsidRDefault="007B0CEC" w:rsidP="007B0CEC">
      <w:pPr>
        <w:pStyle w:val="Item"/>
      </w:pPr>
      <w:r w:rsidRPr="00394A46">
        <w:t>Add:</w:t>
      </w:r>
    </w:p>
    <w:p w:rsidR="007B0CEC" w:rsidRPr="00394A46" w:rsidRDefault="007B0CEC" w:rsidP="007B0CEC">
      <w:pPr>
        <w:pStyle w:val="ActHead1"/>
      </w:pPr>
      <w:bookmarkStart w:id="18" w:name="_Toc509496240"/>
      <w:r w:rsidRPr="00394A46">
        <w:rPr>
          <w:rStyle w:val="CharChapNo"/>
        </w:rPr>
        <w:t>Schedule</w:t>
      </w:r>
      <w:r w:rsidR="00394A46" w:rsidRPr="00394A46">
        <w:rPr>
          <w:rStyle w:val="CharChapNo"/>
        </w:rPr>
        <w:t> </w:t>
      </w:r>
      <w:r w:rsidRPr="00394A46">
        <w:rPr>
          <w:rStyle w:val="CharChapNo"/>
        </w:rPr>
        <w:t>5</w:t>
      </w:r>
      <w:r w:rsidRPr="00394A46">
        <w:t>—</w:t>
      </w:r>
      <w:r w:rsidRPr="00394A46">
        <w:rPr>
          <w:rStyle w:val="CharChapText"/>
        </w:rPr>
        <w:t>Transitional provisions</w:t>
      </w:r>
      <w:bookmarkEnd w:id="18"/>
    </w:p>
    <w:p w:rsidR="007B0CEC" w:rsidRPr="00394A46" w:rsidRDefault="007B0CEC" w:rsidP="007B0CEC">
      <w:pPr>
        <w:pStyle w:val="notemargin"/>
      </w:pPr>
      <w:r w:rsidRPr="00394A46">
        <w:t>Note:</w:t>
      </w:r>
      <w:r w:rsidRPr="00394A46">
        <w:tab/>
        <w:t>See regulation</w:t>
      </w:r>
      <w:r w:rsidR="00394A46" w:rsidRPr="00394A46">
        <w:t> </w:t>
      </w:r>
      <w:r w:rsidRPr="00394A46">
        <w:t>18.</w:t>
      </w:r>
    </w:p>
    <w:p w:rsidR="007B0CEC" w:rsidRPr="00394A46" w:rsidRDefault="007B0CEC" w:rsidP="007B0CEC">
      <w:pPr>
        <w:pStyle w:val="Header"/>
      </w:pPr>
      <w:bookmarkStart w:id="19" w:name="f_Check_Lines_below"/>
      <w:bookmarkEnd w:id="19"/>
      <w:r w:rsidRPr="00394A46">
        <w:rPr>
          <w:rStyle w:val="CharPartNo"/>
        </w:rPr>
        <w:t xml:space="preserve"> </w:t>
      </w:r>
      <w:r w:rsidRPr="00394A46">
        <w:rPr>
          <w:rStyle w:val="CharPartText"/>
        </w:rPr>
        <w:t xml:space="preserve"> </w:t>
      </w:r>
    </w:p>
    <w:p w:rsidR="007B0CEC" w:rsidRPr="00394A46" w:rsidRDefault="007B0CEC" w:rsidP="007B0CEC">
      <w:pPr>
        <w:pStyle w:val="Header"/>
      </w:pPr>
      <w:r w:rsidRPr="00394A46">
        <w:rPr>
          <w:rStyle w:val="CharDivNo"/>
        </w:rPr>
        <w:t xml:space="preserve"> </w:t>
      </w:r>
      <w:r w:rsidRPr="00394A46">
        <w:rPr>
          <w:rStyle w:val="CharDivText"/>
        </w:rPr>
        <w:t xml:space="preserve"> </w:t>
      </w:r>
    </w:p>
    <w:p w:rsidR="00485078" w:rsidRPr="00394A46" w:rsidRDefault="007B0CEC" w:rsidP="00485078">
      <w:pPr>
        <w:pStyle w:val="ActHead5"/>
      </w:pPr>
      <w:bookmarkStart w:id="20" w:name="_Toc509496241"/>
      <w:r w:rsidRPr="00394A46">
        <w:rPr>
          <w:rStyle w:val="CharSectno"/>
        </w:rPr>
        <w:t>1</w:t>
      </w:r>
      <w:r w:rsidR="00485078" w:rsidRPr="00394A46">
        <w:t xml:space="preserve">  </w:t>
      </w:r>
      <w:r w:rsidR="001415C3" w:rsidRPr="00394A46">
        <w:t xml:space="preserve">Transitional provisions relating to the </w:t>
      </w:r>
      <w:r w:rsidR="00485078" w:rsidRPr="00394A46">
        <w:rPr>
          <w:i/>
        </w:rPr>
        <w:t>Regulatory Powers Legislation Amendment (Standardisation Reform) Regulations</w:t>
      </w:r>
      <w:r w:rsidR="00394A46" w:rsidRPr="00394A46">
        <w:rPr>
          <w:i/>
        </w:rPr>
        <w:t> </w:t>
      </w:r>
      <w:r w:rsidR="00485078" w:rsidRPr="00394A46">
        <w:rPr>
          <w:i/>
        </w:rPr>
        <w:t>2018</w:t>
      </w:r>
      <w:bookmarkEnd w:id="20"/>
    </w:p>
    <w:p w:rsidR="00485078" w:rsidRPr="00394A46" w:rsidRDefault="00485078" w:rsidP="00D54323">
      <w:pPr>
        <w:pStyle w:val="subsection"/>
      </w:pPr>
      <w:r w:rsidRPr="00394A46">
        <w:tab/>
      </w:r>
      <w:r w:rsidRPr="00394A46">
        <w:tab/>
        <w:t>Regulation</w:t>
      </w:r>
      <w:r w:rsidR="00394A46" w:rsidRPr="00394A46">
        <w:t> </w:t>
      </w:r>
      <w:r w:rsidRPr="00394A46">
        <w:t>11A and Schedule</w:t>
      </w:r>
      <w:r w:rsidR="00394A46" w:rsidRPr="00394A46">
        <w:t> </w:t>
      </w:r>
      <w:r w:rsidRPr="00394A46">
        <w:t>1</w:t>
      </w:r>
      <w:r w:rsidR="001415C3" w:rsidRPr="00394A46">
        <w:t>A</w:t>
      </w:r>
      <w:r w:rsidRPr="00394A46">
        <w:t xml:space="preserve"> of these Regulations, as in force immediately before the commencement of this </w:t>
      </w:r>
      <w:r w:rsidR="00EC2B17" w:rsidRPr="00394A46">
        <w:t>clause</w:t>
      </w:r>
      <w:r w:rsidRPr="00394A46">
        <w:t>, continue to apply on and after that commencement in relation to a warrant issued under section</w:t>
      </w:r>
      <w:r w:rsidR="00394A46" w:rsidRPr="00394A46">
        <w:t> </w:t>
      </w:r>
      <w:r w:rsidRPr="00394A46">
        <w:t xml:space="preserve">87 of the Act on or after </w:t>
      </w:r>
      <w:r w:rsidR="00D54323" w:rsidRPr="00394A46">
        <w:t>the commencement of Schedule</w:t>
      </w:r>
      <w:r w:rsidR="00394A46" w:rsidRPr="00394A46">
        <w:t> </w:t>
      </w:r>
      <w:r w:rsidR="00D54323" w:rsidRPr="00394A46">
        <w:t xml:space="preserve">10 to the </w:t>
      </w:r>
      <w:r w:rsidR="00D54323" w:rsidRPr="00394A46">
        <w:rPr>
          <w:i/>
        </w:rPr>
        <w:t>Regulatory Powers (Standardisation Reform) Act 2017</w:t>
      </w:r>
      <w:r w:rsidRPr="00394A46">
        <w:t xml:space="preserve"> as a result of an application made before th</w:t>
      </w:r>
      <w:r w:rsidR="00D54323" w:rsidRPr="00394A46">
        <w:t>e</w:t>
      </w:r>
      <w:r w:rsidRPr="00394A46">
        <w:t xml:space="preserve"> commencement</w:t>
      </w:r>
      <w:r w:rsidR="00D54323" w:rsidRPr="00394A46">
        <w:t xml:space="preserve"> of that Schedule</w:t>
      </w:r>
      <w:r w:rsidR="00FB56F8" w:rsidRPr="00394A46">
        <w:t xml:space="preserve"> of that Act</w:t>
      </w:r>
      <w:r w:rsidRPr="00394A46">
        <w:t>.</w:t>
      </w:r>
    </w:p>
    <w:sectPr w:rsidR="00485078" w:rsidRPr="00394A46" w:rsidSect="00B24B5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64D" w:rsidRDefault="0055464D" w:rsidP="0048364F">
      <w:pPr>
        <w:spacing w:line="240" w:lineRule="auto"/>
      </w:pPr>
      <w:r>
        <w:separator/>
      </w:r>
    </w:p>
  </w:endnote>
  <w:endnote w:type="continuationSeparator" w:id="0">
    <w:p w:rsidR="0055464D" w:rsidRDefault="0055464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24B51" w:rsidRDefault="00B24B51" w:rsidP="00B24B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24B51">
      <w:rPr>
        <w:i/>
        <w:sz w:val="18"/>
      </w:rPr>
      <w:t>OPC62806 -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B24B51" w:rsidRDefault="00B24B51" w:rsidP="00B24B51">
    <w:pPr>
      <w:rPr>
        <w:rFonts w:cs="Times New Roman"/>
        <w:i/>
        <w:sz w:val="18"/>
      </w:rPr>
    </w:pPr>
    <w:r w:rsidRPr="00B24B51">
      <w:rPr>
        <w:rFonts w:cs="Times New Roman"/>
        <w:i/>
        <w:sz w:val="18"/>
      </w:rPr>
      <w:t>OPC62806 -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24B51" w:rsidRDefault="00B24B51" w:rsidP="00B24B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24B51">
      <w:rPr>
        <w:i/>
        <w:sz w:val="18"/>
      </w:rPr>
      <w:t>OPC62806 -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394A4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724F5">
            <w:rPr>
              <w:i/>
              <w:noProof/>
              <w:sz w:val="18"/>
            </w:rPr>
            <w:t>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B1129">
            <w:rPr>
              <w:i/>
              <w:sz w:val="18"/>
            </w:rPr>
            <w:t>Regulatory Powers Legislation Amendment (Standardisation Reform)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24B51" w:rsidRDefault="00B24B51" w:rsidP="00B24B51">
    <w:pPr>
      <w:rPr>
        <w:rFonts w:cs="Times New Roman"/>
        <w:i/>
        <w:sz w:val="18"/>
      </w:rPr>
    </w:pPr>
    <w:r w:rsidRPr="00B24B51">
      <w:rPr>
        <w:rFonts w:cs="Times New Roman"/>
        <w:i/>
        <w:sz w:val="18"/>
      </w:rPr>
      <w:t>OPC62806 -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394A4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B1129">
            <w:rPr>
              <w:i/>
              <w:sz w:val="18"/>
            </w:rPr>
            <w:t>Regulatory Powers Legislation Amendment (Standardisation Reform)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112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24B51" w:rsidRDefault="00B24B51" w:rsidP="00B24B51">
    <w:pPr>
      <w:rPr>
        <w:rFonts w:cs="Times New Roman"/>
        <w:i/>
        <w:sz w:val="18"/>
      </w:rPr>
    </w:pPr>
    <w:r w:rsidRPr="00B24B51">
      <w:rPr>
        <w:rFonts w:cs="Times New Roman"/>
        <w:i/>
        <w:sz w:val="18"/>
      </w:rPr>
      <w:t>OPC62806 -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394A4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1129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B1129">
            <w:rPr>
              <w:i/>
              <w:sz w:val="18"/>
            </w:rPr>
            <w:t>Regulatory Powers Legislation Amendment (Standardisation Reform)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24B51" w:rsidRDefault="00B24B51" w:rsidP="00B24B51">
    <w:pPr>
      <w:rPr>
        <w:rFonts w:cs="Times New Roman"/>
        <w:i/>
        <w:sz w:val="18"/>
      </w:rPr>
    </w:pPr>
    <w:r w:rsidRPr="00B24B51">
      <w:rPr>
        <w:rFonts w:cs="Times New Roman"/>
        <w:i/>
        <w:sz w:val="18"/>
      </w:rPr>
      <w:t>OPC62806 -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B1129">
            <w:rPr>
              <w:i/>
              <w:sz w:val="18"/>
            </w:rPr>
            <w:t>Regulatory Powers Legislation Amendment (Standardisation Reform)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1129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B24B51" w:rsidRDefault="00B24B51" w:rsidP="00B24B51">
    <w:pPr>
      <w:rPr>
        <w:rFonts w:cs="Times New Roman"/>
        <w:i/>
        <w:sz w:val="18"/>
      </w:rPr>
    </w:pPr>
    <w:r w:rsidRPr="00B24B51">
      <w:rPr>
        <w:rFonts w:cs="Times New Roman"/>
        <w:i/>
        <w:sz w:val="18"/>
      </w:rPr>
      <w:t>OPC62806 -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B1129">
            <w:rPr>
              <w:i/>
              <w:sz w:val="18"/>
            </w:rPr>
            <w:t>Regulatory Powers Legislation Amendment (Standardisation Reform)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724F5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24B51" w:rsidRDefault="00B24B51" w:rsidP="00B24B51">
    <w:pPr>
      <w:rPr>
        <w:rFonts w:cs="Times New Roman"/>
        <w:i/>
        <w:sz w:val="18"/>
      </w:rPr>
    </w:pPr>
    <w:r w:rsidRPr="00B24B51">
      <w:rPr>
        <w:rFonts w:cs="Times New Roman"/>
        <w:i/>
        <w:sz w:val="18"/>
      </w:rPr>
      <w:t>OPC62806 -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64D" w:rsidRDefault="0055464D" w:rsidP="0048364F">
      <w:pPr>
        <w:spacing w:line="240" w:lineRule="auto"/>
      </w:pPr>
      <w:r>
        <w:separator/>
      </w:r>
    </w:p>
  </w:footnote>
  <w:footnote w:type="continuationSeparator" w:id="0">
    <w:p w:rsidR="0055464D" w:rsidRDefault="0055464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8B1129">
      <w:rPr>
        <w:b/>
        <w:sz w:val="20"/>
      </w:rPr>
      <w:fldChar w:fldCharType="separate"/>
    </w:r>
    <w:r w:rsidR="008B1129">
      <w:rPr>
        <w:b/>
        <w:noProof/>
        <w:sz w:val="20"/>
      </w:rPr>
      <w:t>Schedule 4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8B1129">
      <w:rPr>
        <w:sz w:val="20"/>
      </w:rPr>
      <w:fldChar w:fldCharType="separate"/>
    </w:r>
    <w:r w:rsidR="008B1129">
      <w:rPr>
        <w:noProof/>
        <w:sz w:val="20"/>
      </w:rPr>
      <w:t>Amendment of the Industrial Chemicals (Notification and Assessment) Regulations 1990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8B1129">
      <w:rPr>
        <w:sz w:val="20"/>
      </w:rPr>
      <w:fldChar w:fldCharType="separate"/>
    </w:r>
    <w:r w:rsidR="008B1129">
      <w:rPr>
        <w:noProof/>
        <w:sz w:val="20"/>
      </w:rPr>
      <w:t>Amendment of the Illegal Logging Prohibition Regulation 2012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8B1129">
      <w:rPr>
        <w:b/>
        <w:sz w:val="20"/>
      </w:rPr>
      <w:fldChar w:fldCharType="separate"/>
    </w:r>
    <w:r w:rsidR="008B1129">
      <w:rPr>
        <w:b/>
        <w:noProof/>
        <w:sz w:val="20"/>
      </w:rPr>
      <w:t>Schedule 3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4D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C5F80"/>
    <w:rsid w:val="000D05EF"/>
    <w:rsid w:val="000D5485"/>
    <w:rsid w:val="000F21C1"/>
    <w:rsid w:val="00105D72"/>
    <w:rsid w:val="001068CD"/>
    <w:rsid w:val="0010745C"/>
    <w:rsid w:val="00117277"/>
    <w:rsid w:val="001415C3"/>
    <w:rsid w:val="00145A98"/>
    <w:rsid w:val="0016028C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4F72"/>
    <w:rsid w:val="001E7407"/>
    <w:rsid w:val="001F1148"/>
    <w:rsid w:val="00201D27"/>
    <w:rsid w:val="0020300C"/>
    <w:rsid w:val="00220A0C"/>
    <w:rsid w:val="00223E17"/>
    <w:rsid w:val="00223E4A"/>
    <w:rsid w:val="00226C8C"/>
    <w:rsid w:val="002302EA"/>
    <w:rsid w:val="00240749"/>
    <w:rsid w:val="002468D7"/>
    <w:rsid w:val="00282C9A"/>
    <w:rsid w:val="00285CDD"/>
    <w:rsid w:val="00291167"/>
    <w:rsid w:val="00297ECB"/>
    <w:rsid w:val="002C152A"/>
    <w:rsid w:val="002D043A"/>
    <w:rsid w:val="002D40E6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94A46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84DA0"/>
    <w:rsid w:val="00485078"/>
    <w:rsid w:val="00490F2E"/>
    <w:rsid w:val="00496DB3"/>
    <w:rsid w:val="00496F97"/>
    <w:rsid w:val="004A53EA"/>
    <w:rsid w:val="004B3067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3E57"/>
    <w:rsid w:val="005452CC"/>
    <w:rsid w:val="00546FA3"/>
    <w:rsid w:val="00554243"/>
    <w:rsid w:val="0055464D"/>
    <w:rsid w:val="00557C7A"/>
    <w:rsid w:val="00562A58"/>
    <w:rsid w:val="00566750"/>
    <w:rsid w:val="00581211"/>
    <w:rsid w:val="00584811"/>
    <w:rsid w:val="00586ADE"/>
    <w:rsid w:val="00593AA6"/>
    <w:rsid w:val="00594161"/>
    <w:rsid w:val="00594749"/>
    <w:rsid w:val="005A482B"/>
    <w:rsid w:val="005B4067"/>
    <w:rsid w:val="005C36E0"/>
    <w:rsid w:val="005C3F41"/>
    <w:rsid w:val="005C42B5"/>
    <w:rsid w:val="005D168D"/>
    <w:rsid w:val="005D5EA1"/>
    <w:rsid w:val="005E61D3"/>
    <w:rsid w:val="005F7738"/>
    <w:rsid w:val="00600219"/>
    <w:rsid w:val="00613EAD"/>
    <w:rsid w:val="006158AC"/>
    <w:rsid w:val="00633D37"/>
    <w:rsid w:val="00636789"/>
    <w:rsid w:val="00640402"/>
    <w:rsid w:val="00640F78"/>
    <w:rsid w:val="00646E7B"/>
    <w:rsid w:val="006510E6"/>
    <w:rsid w:val="00655D6A"/>
    <w:rsid w:val="00656DE9"/>
    <w:rsid w:val="00671003"/>
    <w:rsid w:val="00677CC2"/>
    <w:rsid w:val="00682E80"/>
    <w:rsid w:val="00685F42"/>
    <w:rsid w:val="006866A1"/>
    <w:rsid w:val="0069207B"/>
    <w:rsid w:val="006A4309"/>
    <w:rsid w:val="006B0E55"/>
    <w:rsid w:val="006B7006"/>
    <w:rsid w:val="006C1EE4"/>
    <w:rsid w:val="006C7F8C"/>
    <w:rsid w:val="006D7AB9"/>
    <w:rsid w:val="00700B2C"/>
    <w:rsid w:val="00713084"/>
    <w:rsid w:val="00714CCA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A76D7"/>
    <w:rsid w:val="007B0CEC"/>
    <w:rsid w:val="007D45C1"/>
    <w:rsid w:val="007D635E"/>
    <w:rsid w:val="007E7D4A"/>
    <w:rsid w:val="007F30F7"/>
    <w:rsid w:val="007F48ED"/>
    <w:rsid w:val="007F7947"/>
    <w:rsid w:val="00812F45"/>
    <w:rsid w:val="0084172C"/>
    <w:rsid w:val="00856A31"/>
    <w:rsid w:val="008754D0"/>
    <w:rsid w:val="00877D48"/>
    <w:rsid w:val="0088345B"/>
    <w:rsid w:val="008873B4"/>
    <w:rsid w:val="00892B9A"/>
    <w:rsid w:val="00896ACB"/>
    <w:rsid w:val="008A16A5"/>
    <w:rsid w:val="008A57E2"/>
    <w:rsid w:val="008B1129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2ECB"/>
    <w:rsid w:val="00943102"/>
    <w:rsid w:val="0094523D"/>
    <w:rsid w:val="009559E6"/>
    <w:rsid w:val="00976A63"/>
    <w:rsid w:val="00983419"/>
    <w:rsid w:val="009B6AE8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A44C9"/>
    <w:rsid w:val="00AB5C78"/>
    <w:rsid w:val="00AB78E9"/>
    <w:rsid w:val="00AD3467"/>
    <w:rsid w:val="00AD5641"/>
    <w:rsid w:val="00AE0F9B"/>
    <w:rsid w:val="00AF55FF"/>
    <w:rsid w:val="00B032D8"/>
    <w:rsid w:val="00B24B51"/>
    <w:rsid w:val="00B33B3C"/>
    <w:rsid w:val="00B40D74"/>
    <w:rsid w:val="00B52663"/>
    <w:rsid w:val="00B56DCB"/>
    <w:rsid w:val="00B770D2"/>
    <w:rsid w:val="00B92384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43A3"/>
    <w:rsid w:val="00D278BB"/>
    <w:rsid w:val="00D3200B"/>
    <w:rsid w:val="00D33440"/>
    <w:rsid w:val="00D52EFE"/>
    <w:rsid w:val="00D54323"/>
    <w:rsid w:val="00D56A0D"/>
    <w:rsid w:val="00D63EF6"/>
    <w:rsid w:val="00D66518"/>
    <w:rsid w:val="00D70DFB"/>
    <w:rsid w:val="00D71EEA"/>
    <w:rsid w:val="00D724F5"/>
    <w:rsid w:val="00D735CD"/>
    <w:rsid w:val="00D75746"/>
    <w:rsid w:val="00D766DF"/>
    <w:rsid w:val="00D93F07"/>
    <w:rsid w:val="00D95891"/>
    <w:rsid w:val="00DA0DF7"/>
    <w:rsid w:val="00DB5CB4"/>
    <w:rsid w:val="00DE149E"/>
    <w:rsid w:val="00E05704"/>
    <w:rsid w:val="00E12F1A"/>
    <w:rsid w:val="00E21CFB"/>
    <w:rsid w:val="00E22935"/>
    <w:rsid w:val="00E250B4"/>
    <w:rsid w:val="00E251C0"/>
    <w:rsid w:val="00E54292"/>
    <w:rsid w:val="00E60191"/>
    <w:rsid w:val="00E74DC7"/>
    <w:rsid w:val="00E87699"/>
    <w:rsid w:val="00E92E27"/>
    <w:rsid w:val="00E9586B"/>
    <w:rsid w:val="00E97334"/>
    <w:rsid w:val="00EA0D36"/>
    <w:rsid w:val="00EC2B17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478FB"/>
    <w:rsid w:val="00F6709F"/>
    <w:rsid w:val="00F67694"/>
    <w:rsid w:val="00F677A9"/>
    <w:rsid w:val="00F732EA"/>
    <w:rsid w:val="00F84CF5"/>
    <w:rsid w:val="00F8612E"/>
    <w:rsid w:val="00FA420B"/>
    <w:rsid w:val="00FB56F8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4A4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A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A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A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A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A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A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A4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A4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94A46"/>
  </w:style>
  <w:style w:type="paragraph" w:customStyle="1" w:styleId="OPCParaBase">
    <w:name w:val="OPCParaBase"/>
    <w:qFormat/>
    <w:rsid w:val="00394A4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94A4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94A4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94A4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94A4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94A4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94A4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94A4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94A4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94A4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94A4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94A46"/>
  </w:style>
  <w:style w:type="paragraph" w:customStyle="1" w:styleId="Blocks">
    <w:name w:val="Blocks"/>
    <w:aliases w:val="bb"/>
    <w:basedOn w:val="OPCParaBase"/>
    <w:qFormat/>
    <w:rsid w:val="00394A4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94A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94A4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94A46"/>
    <w:rPr>
      <w:i/>
    </w:rPr>
  </w:style>
  <w:style w:type="paragraph" w:customStyle="1" w:styleId="BoxList">
    <w:name w:val="BoxList"/>
    <w:aliases w:val="bl"/>
    <w:basedOn w:val="BoxText"/>
    <w:qFormat/>
    <w:rsid w:val="00394A4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94A4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94A4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94A46"/>
    <w:pPr>
      <w:ind w:left="1985" w:hanging="851"/>
    </w:pPr>
  </w:style>
  <w:style w:type="character" w:customStyle="1" w:styleId="CharAmPartNo">
    <w:name w:val="CharAmPartNo"/>
    <w:basedOn w:val="OPCCharBase"/>
    <w:qFormat/>
    <w:rsid w:val="00394A46"/>
  </w:style>
  <w:style w:type="character" w:customStyle="1" w:styleId="CharAmPartText">
    <w:name w:val="CharAmPartText"/>
    <w:basedOn w:val="OPCCharBase"/>
    <w:qFormat/>
    <w:rsid w:val="00394A46"/>
  </w:style>
  <w:style w:type="character" w:customStyle="1" w:styleId="CharAmSchNo">
    <w:name w:val="CharAmSchNo"/>
    <w:basedOn w:val="OPCCharBase"/>
    <w:qFormat/>
    <w:rsid w:val="00394A46"/>
  </w:style>
  <w:style w:type="character" w:customStyle="1" w:styleId="CharAmSchText">
    <w:name w:val="CharAmSchText"/>
    <w:basedOn w:val="OPCCharBase"/>
    <w:qFormat/>
    <w:rsid w:val="00394A46"/>
  </w:style>
  <w:style w:type="character" w:customStyle="1" w:styleId="CharBoldItalic">
    <w:name w:val="CharBoldItalic"/>
    <w:basedOn w:val="OPCCharBase"/>
    <w:uiPriority w:val="1"/>
    <w:qFormat/>
    <w:rsid w:val="00394A46"/>
    <w:rPr>
      <w:b/>
      <w:i/>
    </w:rPr>
  </w:style>
  <w:style w:type="character" w:customStyle="1" w:styleId="CharChapNo">
    <w:name w:val="CharChapNo"/>
    <w:basedOn w:val="OPCCharBase"/>
    <w:uiPriority w:val="1"/>
    <w:qFormat/>
    <w:rsid w:val="00394A46"/>
  </w:style>
  <w:style w:type="character" w:customStyle="1" w:styleId="CharChapText">
    <w:name w:val="CharChapText"/>
    <w:basedOn w:val="OPCCharBase"/>
    <w:uiPriority w:val="1"/>
    <w:qFormat/>
    <w:rsid w:val="00394A46"/>
  </w:style>
  <w:style w:type="character" w:customStyle="1" w:styleId="CharDivNo">
    <w:name w:val="CharDivNo"/>
    <w:basedOn w:val="OPCCharBase"/>
    <w:uiPriority w:val="1"/>
    <w:qFormat/>
    <w:rsid w:val="00394A46"/>
  </w:style>
  <w:style w:type="character" w:customStyle="1" w:styleId="CharDivText">
    <w:name w:val="CharDivText"/>
    <w:basedOn w:val="OPCCharBase"/>
    <w:uiPriority w:val="1"/>
    <w:qFormat/>
    <w:rsid w:val="00394A46"/>
  </w:style>
  <w:style w:type="character" w:customStyle="1" w:styleId="CharItalic">
    <w:name w:val="CharItalic"/>
    <w:basedOn w:val="OPCCharBase"/>
    <w:uiPriority w:val="1"/>
    <w:qFormat/>
    <w:rsid w:val="00394A46"/>
    <w:rPr>
      <w:i/>
    </w:rPr>
  </w:style>
  <w:style w:type="character" w:customStyle="1" w:styleId="CharPartNo">
    <w:name w:val="CharPartNo"/>
    <w:basedOn w:val="OPCCharBase"/>
    <w:uiPriority w:val="1"/>
    <w:qFormat/>
    <w:rsid w:val="00394A46"/>
  </w:style>
  <w:style w:type="character" w:customStyle="1" w:styleId="CharPartText">
    <w:name w:val="CharPartText"/>
    <w:basedOn w:val="OPCCharBase"/>
    <w:uiPriority w:val="1"/>
    <w:qFormat/>
    <w:rsid w:val="00394A46"/>
  </w:style>
  <w:style w:type="character" w:customStyle="1" w:styleId="CharSectno">
    <w:name w:val="CharSectno"/>
    <w:basedOn w:val="OPCCharBase"/>
    <w:qFormat/>
    <w:rsid w:val="00394A46"/>
  </w:style>
  <w:style w:type="character" w:customStyle="1" w:styleId="CharSubdNo">
    <w:name w:val="CharSubdNo"/>
    <w:basedOn w:val="OPCCharBase"/>
    <w:uiPriority w:val="1"/>
    <w:qFormat/>
    <w:rsid w:val="00394A46"/>
  </w:style>
  <w:style w:type="character" w:customStyle="1" w:styleId="CharSubdText">
    <w:name w:val="CharSubdText"/>
    <w:basedOn w:val="OPCCharBase"/>
    <w:uiPriority w:val="1"/>
    <w:qFormat/>
    <w:rsid w:val="00394A46"/>
  </w:style>
  <w:style w:type="paragraph" w:customStyle="1" w:styleId="CTA--">
    <w:name w:val="CTA --"/>
    <w:basedOn w:val="OPCParaBase"/>
    <w:next w:val="Normal"/>
    <w:rsid w:val="00394A4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94A4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94A4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94A4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94A4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94A4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94A4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94A4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94A4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94A4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94A4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94A4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94A4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94A4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94A4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94A4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94A4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94A4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94A4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94A4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94A4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94A4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94A4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94A4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94A4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94A4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94A4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94A4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94A4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94A4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94A4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94A4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94A4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94A4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94A4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94A4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94A4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94A4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94A4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94A4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94A4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94A4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94A4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94A4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94A4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94A4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94A4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94A4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94A4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94A4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94A4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94A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94A4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94A4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94A4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94A46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94A46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394A46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394A4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94A4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94A4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94A4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94A4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94A4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94A4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94A4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94A4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94A4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94A4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94A4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94A4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94A4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94A46"/>
    <w:rPr>
      <w:sz w:val="16"/>
    </w:rPr>
  </w:style>
  <w:style w:type="table" w:customStyle="1" w:styleId="CFlag">
    <w:name w:val="CFlag"/>
    <w:basedOn w:val="TableNormal"/>
    <w:uiPriority w:val="99"/>
    <w:rsid w:val="00394A4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94A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A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4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94A4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94A4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94A4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94A4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94A4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94A4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94A46"/>
    <w:pPr>
      <w:spacing w:before="120"/>
    </w:pPr>
  </w:style>
  <w:style w:type="paragraph" w:customStyle="1" w:styleId="CompiledActNo">
    <w:name w:val="CompiledActNo"/>
    <w:basedOn w:val="OPCParaBase"/>
    <w:next w:val="Normal"/>
    <w:rsid w:val="00394A4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94A4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94A4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94A4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94A4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94A4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94A4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94A4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94A4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94A4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94A4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94A4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94A4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94A4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94A4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94A4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94A4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94A46"/>
  </w:style>
  <w:style w:type="character" w:customStyle="1" w:styleId="CharSubPartNoCASA">
    <w:name w:val="CharSubPartNo(CASA)"/>
    <w:basedOn w:val="OPCCharBase"/>
    <w:uiPriority w:val="1"/>
    <w:rsid w:val="00394A46"/>
  </w:style>
  <w:style w:type="paragraph" w:customStyle="1" w:styleId="ENoteTTIndentHeadingSub">
    <w:name w:val="ENoteTTIndentHeadingSub"/>
    <w:aliases w:val="enTTHis"/>
    <w:basedOn w:val="OPCParaBase"/>
    <w:rsid w:val="00394A4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94A4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94A4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94A4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94A4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94A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94A46"/>
    <w:rPr>
      <w:sz w:val="22"/>
    </w:rPr>
  </w:style>
  <w:style w:type="paragraph" w:customStyle="1" w:styleId="SOTextNote">
    <w:name w:val="SO TextNote"/>
    <w:aliases w:val="sont"/>
    <w:basedOn w:val="SOText"/>
    <w:qFormat/>
    <w:rsid w:val="00394A4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94A4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94A46"/>
    <w:rPr>
      <w:sz w:val="22"/>
    </w:rPr>
  </w:style>
  <w:style w:type="paragraph" w:customStyle="1" w:styleId="FileName">
    <w:name w:val="FileName"/>
    <w:basedOn w:val="Normal"/>
    <w:rsid w:val="00394A46"/>
  </w:style>
  <w:style w:type="paragraph" w:customStyle="1" w:styleId="TableHeading">
    <w:name w:val="TableHeading"/>
    <w:aliases w:val="th"/>
    <w:basedOn w:val="OPCParaBase"/>
    <w:next w:val="Tabletext"/>
    <w:rsid w:val="00394A4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94A4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94A4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94A4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94A4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94A4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94A4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94A4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94A4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94A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94A4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94A4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94A4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94A4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94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A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A4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A4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A4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A4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A4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A4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A4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4A4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A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A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A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A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A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A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A4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A4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94A46"/>
  </w:style>
  <w:style w:type="paragraph" w:customStyle="1" w:styleId="OPCParaBase">
    <w:name w:val="OPCParaBase"/>
    <w:qFormat/>
    <w:rsid w:val="00394A4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94A4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94A4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94A4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94A4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94A4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94A4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94A4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94A4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94A4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94A4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94A46"/>
  </w:style>
  <w:style w:type="paragraph" w:customStyle="1" w:styleId="Blocks">
    <w:name w:val="Blocks"/>
    <w:aliases w:val="bb"/>
    <w:basedOn w:val="OPCParaBase"/>
    <w:qFormat/>
    <w:rsid w:val="00394A4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94A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94A4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94A46"/>
    <w:rPr>
      <w:i/>
    </w:rPr>
  </w:style>
  <w:style w:type="paragraph" w:customStyle="1" w:styleId="BoxList">
    <w:name w:val="BoxList"/>
    <w:aliases w:val="bl"/>
    <w:basedOn w:val="BoxText"/>
    <w:qFormat/>
    <w:rsid w:val="00394A4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94A4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94A4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94A46"/>
    <w:pPr>
      <w:ind w:left="1985" w:hanging="851"/>
    </w:pPr>
  </w:style>
  <w:style w:type="character" w:customStyle="1" w:styleId="CharAmPartNo">
    <w:name w:val="CharAmPartNo"/>
    <w:basedOn w:val="OPCCharBase"/>
    <w:qFormat/>
    <w:rsid w:val="00394A46"/>
  </w:style>
  <w:style w:type="character" w:customStyle="1" w:styleId="CharAmPartText">
    <w:name w:val="CharAmPartText"/>
    <w:basedOn w:val="OPCCharBase"/>
    <w:qFormat/>
    <w:rsid w:val="00394A46"/>
  </w:style>
  <w:style w:type="character" w:customStyle="1" w:styleId="CharAmSchNo">
    <w:name w:val="CharAmSchNo"/>
    <w:basedOn w:val="OPCCharBase"/>
    <w:qFormat/>
    <w:rsid w:val="00394A46"/>
  </w:style>
  <w:style w:type="character" w:customStyle="1" w:styleId="CharAmSchText">
    <w:name w:val="CharAmSchText"/>
    <w:basedOn w:val="OPCCharBase"/>
    <w:qFormat/>
    <w:rsid w:val="00394A46"/>
  </w:style>
  <w:style w:type="character" w:customStyle="1" w:styleId="CharBoldItalic">
    <w:name w:val="CharBoldItalic"/>
    <w:basedOn w:val="OPCCharBase"/>
    <w:uiPriority w:val="1"/>
    <w:qFormat/>
    <w:rsid w:val="00394A46"/>
    <w:rPr>
      <w:b/>
      <w:i/>
    </w:rPr>
  </w:style>
  <w:style w:type="character" w:customStyle="1" w:styleId="CharChapNo">
    <w:name w:val="CharChapNo"/>
    <w:basedOn w:val="OPCCharBase"/>
    <w:uiPriority w:val="1"/>
    <w:qFormat/>
    <w:rsid w:val="00394A46"/>
  </w:style>
  <w:style w:type="character" w:customStyle="1" w:styleId="CharChapText">
    <w:name w:val="CharChapText"/>
    <w:basedOn w:val="OPCCharBase"/>
    <w:uiPriority w:val="1"/>
    <w:qFormat/>
    <w:rsid w:val="00394A46"/>
  </w:style>
  <w:style w:type="character" w:customStyle="1" w:styleId="CharDivNo">
    <w:name w:val="CharDivNo"/>
    <w:basedOn w:val="OPCCharBase"/>
    <w:uiPriority w:val="1"/>
    <w:qFormat/>
    <w:rsid w:val="00394A46"/>
  </w:style>
  <w:style w:type="character" w:customStyle="1" w:styleId="CharDivText">
    <w:name w:val="CharDivText"/>
    <w:basedOn w:val="OPCCharBase"/>
    <w:uiPriority w:val="1"/>
    <w:qFormat/>
    <w:rsid w:val="00394A46"/>
  </w:style>
  <w:style w:type="character" w:customStyle="1" w:styleId="CharItalic">
    <w:name w:val="CharItalic"/>
    <w:basedOn w:val="OPCCharBase"/>
    <w:uiPriority w:val="1"/>
    <w:qFormat/>
    <w:rsid w:val="00394A46"/>
    <w:rPr>
      <w:i/>
    </w:rPr>
  </w:style>
  <w:style w:type="character" w:customStyle="1" w:styleId="CharPartNo">
    <w:name w:val="CharPartNo"/>
    <w:basedOn w:val="OPCCharBase"/>
    <w:uiPriority w:val="1"/>
    <w:qFormat/>
    <w:rsid w:val="00394A46"/>
  </w:style>
  <w:style w:type="character" w:customStyle="1" w:styleId="CharPartText">
    <w:name w:val="CharPartText"/>
    <w:basedOn w:val="OPCCharBase"/>
    <w:uiPriority w:val="1"/>
    <w:qFormat/>
    <w:rsid w:val="00394A46"/>
  </w:style>
  <w:style w:type="character" w:customStyle="1" w:styleId="CharSectno">
    <w:name w:val="CharSectno"/>
    <w:basedOn w:val="OPCCharBase"/>
    <w:qFormat/>
    <w:rsid w:val="00394A46"/>
  </w:style>
  <w:style w:type="character" w:customStyle="1" w:styleId="CharSubdNo">
    <w:name w:val="CharSubdNo"/>
    <w:basedOn w:val="OPCCharBase"/>
    <w:uiPriority w:val="1"/>
    <w:qFormat/>
    <w:rsid w:val="00394A46"/>
  </w:style>
  <w:style w:type="character" w:customStyle="1" w:styleId="CharSubdText">
    <w:name w:val="CharSubdText"/>
    <w:basedOn w:val="OPCCharBase"/>
    <w:uiPriority w:val="1"/>
    <w:qFormat/>
    <w:rsid w:val="00394A46"/>
  </w:style>
  <w:style w:type="paragraph" w:customStyle="1" w:styleId="CTA--">
    <w:name w:val="CTA --"/>
    <w:basedOn w:val="OPCParaBase"/>
    <w:next w:val="Normal"/>
    <w:rsid w:val="00394A4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94A4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94A4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94A4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94A4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94A4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94A4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94A4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94A4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94A4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94A4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94A4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94A4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94A4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94A4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94A4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94A4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94A4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94A4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94A4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94A4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94A4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94A4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94A4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94A4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94A4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94A4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94A4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94A4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94A4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94A4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94A4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94A4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94A4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94A4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94A4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94A4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94A4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94A4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94A4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94A4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94A4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94A4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94A4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94A4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94A4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94A4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94A4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94A4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94A4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94A4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94A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94A4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94A4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94A4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94A46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94A46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394A46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394A4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94A4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94A4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94A4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94A4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94A4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94A4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94A4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94A4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94A4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94A4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94A4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94A4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94A4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94A46"/>
    <w:rPr>
      <w:sz w:val="16"/>
    </w:rPr>
  </w:style>
  <w:style w:type="table" w:customStyle="1" w:styleId="CFlag">
    <w:name w:val="CFlag"/>
    <w:basedOn w:val="TableNormal"/>
    <w:uiPriority w:val="99"/>
    <w:rsid w:val="00394A4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94A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A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4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94A4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94A4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94A4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94A4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94A4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94A4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94A46"/>
    <w:pPr>
      <w:spacing w:before="120"/>
    </w:pPr>
  </w:style>
  <w:style w:type="paragraph" w:customStyle="1" w:styleId="CompiledActNo">
    <w:name w:val="CompiledActNo"/>
    <w:basedOn w:val="OPCParaBase"/>
    <w:next w:val="Normal"/>
    <w:rsid w:val="00394A4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94A4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94A4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94A4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94A4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94A4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94A4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94A4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94A4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94A4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94A4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94A4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94A4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94A4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94A4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94A4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94A4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94A46"/>
  </w:style>
  <w:style w:type="character" w:customStyle="1" w:styleId="CharSubPartNoCASA">
    <w:name w:val="CharSubPartNo(CASA)"/>
    <w:basedOn w:val="OPCCharBase"/>
    <w:uiPriority w:val="1"/>
    <w:rsid w:val="00394A46"/>
  </w:style>
  <w:style w:type="paragraph" w:customStyle="1" w:styleId="ENoteTTIndentHeadingSub">
    <w:name w:val="ENoteTTIndentHeadingSub"/>
    <w:aliases w:val="enTTHis"/>
    <w:basedOn w:val="OPCParaBase"/>
    <w:rsid w:val="00394A4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94A4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94A4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94A4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94A4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94A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94A46"/>
    <w:rPr>
      <w:sz w:val="22"/>
    </w:rPr>
  </w:style>
  <w:style w:type="paragraph" w:customStyle="1" w:styleId="SOTextNote">
    <w:name w:val="SO TextNote"/>
    <w:aliases w:val="sont"/>
    <w:basedOn w:val="SOText"/>
    <w:qFormat/>
    <w:rsid w:val="00394A4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94A4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94A46"/>
    <w:rPr>
      <w:sz w:val="22"/>
    </w:rPr>
  </w:style>
  <w:style w:type="paragraph" w:customStyle="1" w:styleId="FileName">
    <w:name w:val="FileName"/>
    <w:basedOn w:val="Normal"/>
    <w:rsid w:val="00394A46"/>
  </w:style>
  <w:style w:type="paragraph" w:customStyle="1" w:styleId="TableHeading">
    <w:name w:val="TableHeading"/>
    <w:aliases w:val="th"/>
    <w:basedOn w:val="OPCParaBase"/>
    <w:next w:val="Tabletext"/>
    <w:rsid w:val="00394A4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94A4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94A4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94A4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94A4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94A4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94A4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94A4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94A4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94A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94A4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94A4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94A4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94A4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94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A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A4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A4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A4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A4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A4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A4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A4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1313</Words>
  <Characters>4979</Characters>
  <Application>Microsoft Office Word</Application>
  <DocSecurity>0</DocSecurity>
  <PresentationFormat/>
  <Lines>1659</Lines>
  <Paragraphs>786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2018-02-15T05:13:00Z</cp:lastPrinted>
  <dcterms:created xsi:type="dcterms:W3CDTF">2018-11-05T01:02:00Z</dcterms:created>
  <dcterms:modified xsi:type="dcterms:W3CDTF">2018-11-05T01:04:00Z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Regulatory Powers Legislation Amendment (Standardisation Reform)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07 June 2018</vt:lpwstr>
  </property>
  <property fmtid="{D5CDD505-2E9C-101B-9397-08002B2CF9AE}" pid="10" name="ID">
    <vt:lpwstr>OPC62806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07 June 2018</vt:lpwstr>
  </property>
</Properties>
</file>