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24F3790E" w14:textId="77777777" w:rsidR="00C4200A" w:rsidRDefault="00D13062" w:rsidP="006D0FE2">
      <w:pPr>
        <w:jc w:val="center"/>
        <w:rPr>
          <w:i/>
          <w:szCs w:val="24"/>
        </w:rPr>
      </w:pPr>
      <w:r w:rsidRPr="00D13062">
        <w:rPr>
          <w:i/>
          <w:szCs w:val="24"/>
        </w:rPr>
        <w:t>Health Insurance Legislation Amendment (2018 Measures No. 2) Regulations 2018</w:t>
      </w:r>
    </w:p>
    <w:p w14:paraId="7EDDCAFE" w14:textId="43AD8B00" w:rsidR="00F8762B" w:rsidRPr="003D1C5D" w:rsidRDefault="00F8762B" w:rsidP="006D0FE2">
      <w:pPr>
        <w:jc w:val="center"/>
        <w:rPr>
          <w:szCs w:val="24"/>
        </w:rPr>
      </w:pPr>
    </w:p>
    <w:p w14:paraId="2F1A37C5" w14:textId="5A18BCBD"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2F1A37C6" w14:textId="77777777" w:rsidR="00017B9A" w:rsidRPr="003D1C5D" w:rsidRDefault="00017B9A" w:rsidP="00017B9A">
      <w:pPr>
        <w:ind w:right="-483"/>
        <w:rPr>
          <w:rStyle w:val="IntenseReference"/>
          <w:b w:val="0"/>
          <w:bCs w:val="0"/>
          <w:i w:val="0"/>
          <w:smallCaps w:val="0"/>
          <w:szCs w:val="24"/>
        </w:rPr>
      </w:pPr>
    </w:p>
    <w:p w14:paraId="2F1A37C7" w14:textId="373FF9E4"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w:t>
      </w:r>
      <w:r w:rsidR="0029643F" w:rsidRPr="003D1C5D">
        <w:rPr>
          <w:szCs w:val="24"/>
        </w:rPr>
        <w:t xml:space="preserve">. </w:t>
      </w:r>
      <w:r w:rsidRPr="003D1C5D">
        <w:rPr>
          <w:szCs w:val="24"/>
        </w:rPr>
        <w:t>Section 9 of the Act provides that Medicare benefits be calculated by reference to the fees for medical services set out in prescribed tables.</w:t>
      </w:r>
    </w:p>
    <w:p w14:paraId="2F1A37C8" w14:textId="77777777" w:rsidR="005F04DC" w:rsidRPr="003D1C5D" w:rsidRDefault="005F04DC" w:rsidP="005F04DC">
      <w:pPr>
        <w:rPr>
          <w:szCs w:val="24"/>
        </w:rPr>
      </w:pPr>
    </w:p>
    <w:p w14:paraId="6477B4BF" w14:textId="73BA63DA" w:rsidR="000201DC" w:rsidRDefault="00F8762B" w:rsidP="000201DC">
      <w:pPr>
        <w:rPr>
          <w:szCs w:val="24"/>
        </w:rPr>
      </w:pPr>
      <w:r>
        <w:rPr>
          <w:szCs w:val="24"/>
        </w:rPr>
        <w:t>Subsection</w:t>
      </w:r>
      <w:r w:rsidR="000201DC" w:rsidRPr="003D1C5D">
        <w:rPr>
          <w:szCs w:val="24"/>
        </w:rPr>
        <w:t xml:space="preserve"> 4(1) of the Act provide</w:t>
      </w:r>
      <w:r>
        <w:rPr>
          <w:szCs w:val="24"/>
        </w:rPr>
        <w:t>s</w:t>
      </w:r>
      <w:r w:rsidR="000201DC" w:rsidRPr="003D1C5D">
        <w:rPr>
          <w:szCs w:val="24"/>
        </w:rPr>
        <w:t xml:space="preserve"> that regulations may prescribe a table of medical services which set out items of services, the fees applicable for each item, and rules for interpreting the tables</w:t>
      </w:r>
      <w:r w:rsidR="0029643F" w:rsidRPr="003D1C5D">
        <w:rPr>
          <w:szCs w:val="24"/>
        </w:rPr>
        <w:t xml:space="preserve">. </w:t>
      </w:r>
      <w:r w:rsidR="000201DC" w:rsidRPr="003D1C5D">
        <w:rPr>
          <w:szCs w:val="24"/>
        </w:rPr>
        <w:t xml:space="preserve">The </w:t>
      </w:r>
      <w:r w:rsidR="000201DC" w:rsidRPr="003D1C5D">
        <w:rPr>
          <w:i/>
          <w:szCs w:val="24"/>
        </w:rPr>
        <w:t>Health Insurance (General Medical Services Table) Regulations 201</w:t>
      </w:r>
      <w:r w:rsidR="00D13062">
        <w:rPr>
          <w:i/>
          <w:szCs w:val="24"/>
        </w:rPr>
        <w:t>8</w:t>
      </w:r>
      <w:r w:rsidR="000201DC" w:rsidRPr="003D1C5D">
        <w:rPr>
          <w:i/>
          <w:szCs w:val="24"/>
        </w:rPr>
        <w:t xml:space="preserve"> </w:t>
      </w:r>
      <w:r w:rsidR="000201DC" w:rsidRPr="003D1C5D">
        <w:rPr>
          <w:szCs w:val="24"/>
        </w:rPr>
        <w:t>(GMST) prescribe</w:t>
      </w:r>
      <w:r w:rsidR="004328D3">
        <w:rPr>
          <w:szCs w:val="24"/>
        </w:rPr>
        <w:t>s</w:t>
      </w:r>
      <w:r w:rsidR="000201DC" w:rsidRPr="003D1C5D">
        <w:rPr>
          <w:szCs w:val="24"/>
        </w:rPr>
        <w:t xml:space="preserve"> such </w:t>
      </w:r>
      <w:r w:rsidR="004328D3">
        <w:rPr>
          <w:szCs w:val="24"/>
        </w:rPr>
        <w:t xml:space="preserve">a </w:t>
      </w:r>
      <w:r w:rsidR="000201DC" w:rsidRPr="003D1C5D">
        <w:rPr>
          <w:szCs w:val="24"/>
        </w:rPr>
        <w:t xml:space="preserve">table.  </w:t>
      </w:r>
    </w:p>
    <w:p w14:paraId="006F0DD4" w14:textId="3C82F28E" w:rsidR="00B86170" w:rsidRDefault="00B86170" w:rsidP="000201DC"/>
    <w:p w14:paraId="09E72779" w14:textId="0A8CFFD2" w:rsidR="006C5806" w:rsidRPr="00DD699D" w:rsidRDefault="006C5806" w:rsidP="006C5806">
      <w:r w:rsidRPr="00DD699D">
        <w:t xml:space="preserve">Paragraph </w:t>
      </w:r>
      <w:r w:rsidR="00760BED">
        <w:t>10(2</w:t>
      </w:r>
      <w:r w:rsidRPr="00DD699D">
        <w:t xml:space="preserve">)(aa) of the Act provides that </w:t>
      </w:r>
      <w:r w:rsidR="00D465C0">
        <w:t xml:space="preserve">Medicare benefits are payable in respect of a service at </w:t>
      </w:r>
      <w:r w:rsidR="00760BED">
        <w:t>an amount equal to 100% of the schedule fee if prescribed in regulations</w:t>
      </w:r>
      <w:r w:rsidR="0029643F">
        <w:t>.</w:t>
      </w:r>
      <w:r w:rsidR="007D1EA1">
        <w:t xml:space="preserve"> </w:t>
      </w:r>
      <w:r w:rsidR="00760BED">
        <w:t>Regulation 6EF</w:t>
      </w:r>
      <w:r w:rsidRPr="00DD699D">
        <w:t xml:space="preserve"> of the </w:t>
      </w:r>
      <w:r w:rsidRPr="00DD699D">
        <w:rPr>
          <w:i/>
          <w:iCs/>
        </w:rPr>
        <w:t xml:space="preserve">Health Insurance Regulations 1975 </w:t>
      </w:r>
      <w:r w:rsidR="00760BED">
        <w:t xml:space="preserve">(HIR) specifies that the services </w:t>
      </w:r>
      <w:r w:rsidR="00D465C0">
        <w:t>described in an item in the GMST and mentioned</w:t>
      </w:r>
      <w:r w:rsidR="00760BED">
        <w:t xml:space="preserve"> </w:t>
      </w:r>
      <w:r w:rsidR="00DD48BF">
        <w:t xml:space="preserve">in </w:t>
      </w:r>
      <w:r w:rsidR="00760BED" w:rsidRPr="00760BED">
        <w:t>Schedule 6</w:t>
      </w:r>
      <w:r w:rsidR="00760BED">
        <w:t xml:space="preserve"> of the HIR are services for which the Medicare benefit is 100% of the schedule fee.</w:t>
      </w:r>
      <w:r w:rsidRPr="00DD699D">
        <w:t xml:space="preserve"> </w:t>
      </w:r>
      <w:r w:rsidRPr="00DD699D">
        <w:rPr>
          <w:szCs w:val="24"/>
        </w:rPr>
        <w:t xml:space="preserve">  </w:t>
      </w:r>
    </w:p>
    <w:p w14:paraId="5F5DF67A" w14:textId="03F80B4D" w:rsidR="000201DC" w:rsidRPr="003D1C5D" w:rsidRDefault="000201DC" w:rsidP="000201DC"/>
    <w:p w14:paraId="2F1A37CB" w14:textId="77777777" w:rsidR="00D75A2A" w:rsidRDefault="00D75A2A" w:rsidP="00D75A2A">
      <w:pPr>
        <w:autoSpaceDE w:val="0"/>
        <w:autoSpaceDN w:val="0"/>
        <w:adjustRightInd w:val="0"/>
        <w:rPr>
          <w:b/>
          <w:szCs w:val="24"/>
        </w:rPr>
      </w:pPr>
      <w:r w:rsidRPr="003D1C5D">
        <w:rPr>
          <w:b/>
          <w:szCs w:val="24"/>
        </w:rPr>
        <w:t>Purpose</w:t>
      </w:r>
    </w:p>
    <w:p w14:paraId="355195EB" w14:textId="7B93B2CA" w:rsidR="0006330C" w:rsidRDefault="00A505A4" w:rsidP="0006330C">
      <w:pPr>
        <w:rPr>
          <w:szCs w:val="24"/>
        </w:rPr>
      </w:pPr>
      <w:r w:rsidRPr="003D1C5D">
        <w:rPr>
          <w:szCs w:val="24"/>
        </w:rPr>
        <w:t xml:space="preserve">The purpose of the </w:t>
      </w:r>
      <w:r w:rsidRPr="00651B08">
        <w:rPr>
          <w:i/>
          <w:szCs w:val="24"/>
        </w:rPr>
        <w:t>Health Insurance Legislation Amendment (2018 Measures No. 2) Regulations 2018</w:t>
      </w:r>
      <w:r w:rsidRPr="00545A7A" w:rsidDel="0069130B">
        <w:rPr>
          <w:i/>
          <w:szCs w:val="24"/>
        </w:rPr>
        <w:t xml:space="preserve"> </w:t>
      </w:r>
      <w:r w:rsidRPr="00987F18">
        <w:rPr>
          <w:szCs w:val="24"/>
        </w:rPr>
        <w:t>(the</w:t>
      </w:r>
      <w:r w:rsidRPr="003D1C5D">
        <w:rPr>
          <w:szCs w:val="24"/>
        </w:rPr>
        <w:t xml:space="preserve"> Regulations) is to amend the GMST</w:t>
      </w:r>
      <w:r>
        <w:rPr>
          <w:szCs w:val="24"/>
        </w:rPr>
        <w:t xml:space="preserve"> and the HIR from 1 July 2018 to implement changes announced in the 2018-19 Budget under the </w:t>
      </w:r>
      <w:r w:rsidR="007E4D8C" w:rsidRPr="007E4D8C">
        <w:rPr>
          <w:i/>
          <w:szCs w:val="24"/>
        </w:rPr>
        <w:t>A</w:t>
      </w:r>
      <w:r w:rsidR="007E4D8C">
        <w:rPr>
          <w:i/>
          <w:szCs w:val="24"/>
        </w:rPr>
        <w:t xml:space="preserve"> </w:t>
      </w:r>
      <w:r w:rsidR="008203CB" w:rsidRPr="008203CB">
        <w:rPr>
          <w:i/>
          <w:szCs w:val="24"/>
        </w:rPr>
        <w:t xml:space="preserve">Stronger Rural Health Strategy </w:t>
      </w:r>
      <w:r w:rsidRPr="001B55C4">
        <w:rPr>
          <w:szCs w:val="24"/>
        </w:rPr>
        <w:t>measure</w:t>
      </w:r>
      <w:r>
        <w:rPr>
          <w:szCs w:val="24"/>
        </w:rPr>
        <w:t>.</w:t>
      </w:r>
      <w:r w:rsidR="0006330C">
        <w:rPr>
          <w:szCs w:val="24"/>
        </w:rPr>
        <w:t xml:space="preserve"> This measure </w:t>
      </w:r>
      <w:r w:rsidR="0006330C" w:rsidRPr="0082436B">
        <w:rPr>
          <w:szCs w:val="24"/>
        </w:rPr>
        <w:t>create</w:t>
      </w:r>
      <w:r w:rsidR="0006330C">
        <w:rPr>
          <w:szCs w:val="24"/>
        </w:rPr>
        <w:t>s</w:t>
      </w:r>
      <w:r w:rsidR="0006330C" w:rsidRPr="0082436B">
        <w:rPr>
          <w:szCs w:val="24"/>
        </w:rPr>
        <w:t xml:space="preserve"> a new fee structure for standard and non-standard attendances performed by other</w:t>
      </w:r>
      <w:r w:rsidR="0006330C">
        <w:rPr>
          <w:szCs w:val="24"/>
        </w:rPr>
        <w:t xml:space="preserve"> </w:t>
      </w:r>
      <w:r w:rsidR="0006330C" w:rsidRPr="0082436B">
        <w:rPr>
          <w:szCs w:val="24"/>
        </w:rPr>
        <w:t xml:space="preserve">medical practitioners </w:t>
      </w:r>
      <w:r w:rsidR="0006330C">
        <w:rPr>
          <w:szCs w:val="24"/>
        </w:rPr>
        <w:t>(</w:t>
      </w:r>
      <w:r w:rsidR="0006330C" w:rsidRPr="0082436B">
        <w:rPr>
          <w:szCs w:val="24"/>
        </w:rPr>
        <w:t>OMPs</w:t>
      </w:r>
      <w:r w:rsidR="0006330C">
        <w:rPr>
          <w:szCs w:val="24"/>
        </w:rPr>
        <w:t>)</w:t>
      </w:r>
      <w:r w:rsidR="0006330C" w:rsidRPr="0082436B">
        <w:rPr>
          <w:szCs w:val="24"/>
        </w:rPr>
        <w:t xml:space="preserve"> who are new entrants to general practice from 1 July 2018.</w:t>
      </w:r>
      <w:r w:rsidR="0006330C">
        <w:rPr>
          <w:szCs w:val="24"/>
        </w:rPr>
        <w:t xml:space="preserve"> Under this measure, the </w:t>
      </w:r>
      <w:r w:rsidR="0006330C" w:rsidRPr="00025E18">
        <w:rPr>
          <w:szCs w:val="24"/>
        </w:rPr>
        <w:t>benefit a patient will receive for a general practice</w:t>
      </w:r>
      <w:r w:rsidR="003967EF">
        <w:rPr>
          <w:szCs w:val="24"/>
        </w:rPr>
        <w:t xml:space="preserve"> (GP)</w:t>
      </w:r>
      <w:r w:rsidR="0006330C" w:rsidRPr="00025E18">
        <w:rPr>
          <w:szCs w:val="24"/>
        </w:rPr>
        <w:t xml:space="preserve"> service will </w:t>
      </w:r>
      <w:r w:rsidR="0006330C">
        <w:rPr>
          <w:szCs w:val="24"/>
        </w:rPr>
        <w:t xml:space="preserve">be based on the training of the medical practitioner, </w:t>
      </w:r>
      <w:r w:rsidR="0006330C" w:rsidRPr="00025E18">
        <w:rPr>
          <w:szCs w:val="24"/>
        </w:rPr>
        <w:t xml:space="preserve">the </w:t>
      </w:r>
      <w:r w:rsidR="0006330C">
        <w:rPr>
          <w:szCs w:val="24"/>
        </w:rPr>
        <w:t>area the</w:t>
      </w:r>
      <w:r w:rsidR="0006330C" w:rsidRPr="00025E18">
        <w:rPr>
          <w:szCs w:val="24"/>
        </w:rPr>
        <w:t xml:space="preserve"> service is rendered</w:t>
      </w:r>
      <w:r w:rsidR="0006330C">
        <w:rPr>
          <w:szCs w:val="24"/>
        </w:rPr>
        <w:t>, and the type of general practice service.</w:t>
      </w:r>
    </w:p>
    <w:p w14:paraId="724A54C6" w14:textId="77777777" w:rsidR="0006330C" w:rsidRDefault="0006330C" w:rsidP="00D75A2A">
      <w:pPr>
        <w:autoSpaceDE w:val="0"/>
        <w:autoSpaceDN w:val="0"/>
        <w:adjustRightInd w:val="0"/>
        <w:rPr>
          <w:b/>
          <w:szCs w:val="24"/>
        </w:rPr>
      </w:pPr>
    </w:p>
    <w:p w14:paraId="5B413B01" w14:textId="2C2D4A6C" w:rsidR="00A505A4" w:rsidRDefault="00A505A4" w:rsidP="00A505A4">
      <w:pPr>
        <w:rPr>
          <w:szCs w:val="24"/>
        </w:rPr>
      </w:pPr>
      <w:r>
        <w:rPr>
          <w:szCs w:val="24"/>
        </w:rPr>
        <w:t>The package of changes includes:</w:t>
      </w:r>
    </w:p>
    <w:p w14:paraId="70817B0A" w14:textId="281A1CE5" w:rsidR="00A505A4" w:rsidRDefault="00A505A4" w:rsidP="00A505A4">
      <w:pPr>
        <w:pStyle w:val="ListParagraph"/>
        <w:numPr>
          <w:ilvl w:val="0"/>
          <w:numId w:val="12"/>
        </w:numPr>
        <w:spacing w:after="120"/>
        <w:rPr>
          <w:rFonts w:ascii="Calibri" w:hAnsi="Calibri"/>
          <w:szCs w:val="24"/>
        </w:rPr>
      </w:pPr>
      <w:r>
        <w:t xml:space="preserve">New </w:t>
      </w:r>
      <w:r w:rsidR="00D42C63">
        <w:t>OMPs</w:t>
      </w:r>
      <w:r w:rsidR="0006330C">
        <w:t xml:space="preserve"> </w:t>
      </w:r>
      <w:r w:rsidR="00D42C63">
        <w:t>(from 1 July</w:t>
      </w:r>
      <w:r w:rsidR="00883651">
        <w:t xml:space="preserve"> 2018</w:t>
      </w:r>
      <w:r w:rsidR="00D42C63">
        <w:t xml:space="preserve">) </w:t>
      </w:r>
      <w:r>
        <w:t>providing services in a metropolitan area (Modified Monash 1 – MM1) will be paid at a rate that is 80% of the benefit for the equivalent specialist GP items, except for standard GP services:</w:t>
      </w:r>
    </w:p>
    <w:p w14:paraId="325A1B21" w14:textId="77777777" w:rsidR="00A505A4" w:rsidRPr="00C4200A" w:rsidRDefault="00A505A4" w:rsidP="00A505A4">
      <w:pPr>
        <w:pStyle w:val="ListParagraph"/>
        <w:numPr>
          <w:ilvl w:val="0"/>
          <w:numId w:val="16"/>
        </w:numPr>
        <w:spacing w:after="120"/>
        <w:rPr>
          <w:sz w:val="20"/>
        </w:rPr>
      </w:pPr>
      <w:r>
        <w:t>the GP in-hours attendance items (Group A1, Level A-D); and</w:t>
      </w:r>
    </w:p>
    <w:p w14:paraId="45CF9B6D" w14:textId="2F1B37FB" w:rsidR="00A505A4" w:rsidRPr="00C4200A" w:rsidRDefault="00A505A4" w:rsidP="00A505A4">
      <w:pPr>
        <w:pStyle w:val="ListParagraph"/>
        <w:numPr>
          <w:ilvl w:val="0"/>
          <w:numId w:val="16"/>
        </w:numPr>
        <w:spacing w:after="120"/>
        <w:rPr>
          <w:sz w:val="20"/>
        </w:rPr>
      </w:pPr>
      <w:r>
        <w:t>the attendance items associated with the PIP incentive payment (Group A18)</w:t>
      </w:r>
      <w:r w:rsidR="000E64FE">
        <w:t xml:space="preserve">; </w:t>
      </w:r>
    </w:p>
    <w:p w14:paraId="488A87A7" w14:textId="64D29AC5" w:rsidR="00A505A4" w:rsidRDefault="00A505A4" w:rsidP="00A505A4">
      <w:pPr>
        <w:pStyle w:val="ListParagraph"/>
        <w:numPr>
          <w:ilvl w:val="0"/>
          <w:numId w:val="14"/>
        </w:numPr>
        <w:spacing w:after="120"/>
      </w:pPr>
      <w:r>
        <w:t>New OMPs in MM 1 will be paid under the equivalent OMP items for these standard GP services (Group A2 and A19)</w:t>
      </w:r>
      <w:r w:rsidR="000E64FE">
        <w:t>; and</w:t>
      </w:r>
      <w:r>
        <w:t xml:space="preserve"> </w:t>
      </w:r>
    </w:p>
    <w:p w14:paraId="0582F075" w14:textId="77777777" w:rsidR="00A505A4" w:rsidRDefault="00A505A4" w:rsidP="00A505A4">
      <w:pPr>
        <w:pStyle w:val="ListParagraph"/>
        <w:numPr>
          <w:ilvl w:val="0"/>
          <w:numId w:val="12"/>
        </w:numPr>
        <w:spacing w:after="120"/>
      </w:pPr>
      <w:r>
        <w:t>New OMPs providing services in a regional or remote area (MM 2-7) will be paid at a rate that is 80% of the benefit for the equivalent specialist GP item, for all types of services. This includes standard GP services.</w:t>
      </w:r>
    </w:p>
    <w:p w14:paraId="0B4F635E" w14:textId="77777777" w:rsidR="00A505A4" w:rsidRDefault="00A505A4" w:rsidP="00A505A4">
      <w:pPr>
        <w:rPr>
          <w:szCs w:val="24"/>
        </w:rPr>
      </w:pPr>
    </w:p>
    <w:p w14:paraId="7FA3BCB9" w14:textId="77777777" w:rsidR="00A505A4" w:rsidRDefault="00A505A4" w:rsidP="00A505A4">
      <w:pPr>
        <w:rPr>
          <w:szCs w:val="24"/>
        </w:rPr>
      </w:pPr>
      <w:r w:rsidRPr="00EA1282">
        <w:rPr>
          <w:szCs w:val="24"/>
        </w:rPr>
        <w:lastRenderedPageBreak/>
        <w:t>OMPs currently participating in an OMP Program will remain eligible for higher specialist GP rates for a period of five years (until 1 July 2023). Access to</w:t>
      </w:r>
      <w:r>
        <w:rPr>
          <w:szCs w:val="24"/>
        </w:rPr>
        <w:t xml:space="preserve"> these P</w:t>
      </w:r>
      <w:r w:rsidRPr="00EA1282">
        <w:rPr>
          <w:szCs w:val="24"/>
        </w:rPr>
        <w:t xml:space="preserve">rograms will be closed to new applicants from 1 July 2018 through changes to the relevant administrative guidelines. OMP Programs include the Rural Other Medical Practitioners Program, the Outer-Metropolitan Other Medical Practitioners Program, the MedicarePlus for Other Medical Practitioners Program and the After-Hours Other Medical Practitioners Program.  </w:t>
      </w:r>
    </w:p>
    <w:p w14:paraId="7EA23E1C" w14:textId="0BF30EA0" w:rsidR="00A505A4" w:rsidRDefault="00A505A4" w:rsidP="00D75A2A">
      <w:pPr>
        <w:autoSpaceDE w:val="0"/>
        <w:autoSpaceDN w:val="0"/>
        <w:adjustRightInd w:val="0"/>
        <w:rPr>
          <w:b/>
          <w:szCs w:val="24"/>
        </w:rPr>
      </w:pPr>
    </w:p>
    <w:p w14:paraId="770167AB" w14:textId="1485927C" w:rsidR="0022181A" w:rsidRPr="0022181A" w:rsidRDefault="0022181A" w:rsidP="00D75A2A">
      <w:pPr>
        <w:autoSpaceDE w:val="0"/>
        <w:autoSpaceDN w:val="0"/>
        <w:adjustRightInd w:val="0"/>
        <w:rPr>
          <w:szCs w:val="24"/>
          <w:u w:val="single"/>
        </w:rPr>
      </w:pPr>
      <w:r w:rsidRPr="0022181A">
        <w:rPr>
          <w:szCs w:val="24"/>
          <w:u w:val="single"/>
        </w:rPr>
        <w:t>Background information</w:t>
      </w:r>
    </w:p>
    <w:p w14:paraId="142BE808" w14:textId="5ADB6F7C" w:rsidR="00D13062" w:rsidRDefault="00D13062" w:rsidP="00D13062">
      <w:pPr>
        <w:rPr>
          <w:szCs w:val="24"/>
        </w:rPr>
      </w:pPr>
      <w:r w:rsidRPr="008441DB">
        <w:rPr>
          <w:szCs w:val="24"/>
        </w:rPr>
        <w:t>There are two types of GP services: standard services and non-standard GP services. Standard services comprise consultation services for any clinical indication (level A to D), and are the most commonly claimed GP service by volume. Non-standard GP services comprise specific purpose general practice services, such as group therapy</w:t>
      </w:r>
      <w:r w:rsidR="00E85559">
        <w:rPr>
          <w:szCs w:val="24"/>
        </w:rPr>
        <w:t xml:space="preserve"> </w:t>
      </w:r>
      <w:r w:rsidR="00794B0F">
        <w:rPr>
          <w:szCs w:val="24"/>
        </w:rPr>
        <w:t xml:space="preserve">and </w:t>
      </w:r>
      <w:r w:rsidR="00794B0F" w:rsidRPr="008441DB">
        <w:rPr>
          <w:szCs w:val="24"/>
        </w:rPr>
        <w:t>chronic</w:t>
      </w:r>
      <w:r w:rsidRPr="008441DB">
        <w:rPr>
          <w:szCs w:val="24"/>
        </w:rPr>
        <w:t xml:space="preserve"> disease management.</w:t>
      </w:r>
    </w:p>
    <w:p w14:paraId="737125B0" w14:textId="77777777" w:rsidR="00D13062" w:rsidRDefault="00D13062" w:rsidP="00D13062">
      <w:pPr>
        <w:rPr>
          <w:szCs w:val="24"/>
        </w:rPr>
      </w:pPr>
    </w:p>
    <w:p w14:paraId="56BFC646" w14:textId="20CF54E8" w:rsidR="00D13062" w:rsidRDefault="00D13062" w:rsidP="00D13062">
      <w:pPr>
        <w:rPr>
          <w:szCs w:val="24"/>
        </w:rPr>
      </w:pPr>
      <w:r w:rsidRPr="008441DB">
        <w:rPr>
          <w:szCs w:val="24"/>
        </w:rPr>
        <w:t xml:space="preserve">Since 1989 it has been government policy that </w:t>
      </w:r>
      <w:r w:rsidR="004E61D5">
        <w:rPr>
          <w:szCs w:val="24"/>
        </w:rPr>
        <w:t xml:space="preserve">OMPs receive a lower fee for the services they provide than </w:t>
      </w:r>
      <w:r w:rsidRPr="008441DB">
        <w:rPr>
          <w:szCs w:val="24"/>
        </w:rPr>
        <w:t>specialist GPs</w:t>
      </w:r>
      <w:r w:rsidRPr="008D61A0">
        <w:rPr>
          <w:szCs w:val="24"/>
        </w:rPr>
        <w:t xml:space="preserve">. The MBS fee differential is intended to compensate specialist GPs for having met each of the standards for working </w:t>
      </w:r>
      <w:r w:rsidR="008D61A0" w:rsidRPr="008D61A0">
        <w:rPr>
          <w:szCs w:val="24"/>
        </w:rPr>
        <w:t>in independent private practice</w:t>
      </w:r>
      <w:r w:rsidR="008A1418">
        <w:rPr>
          <w:szCs w:val="24"/>
        </w:rPr>
        <w:t>,</w:t>
      </w:r>
      <w:r w:rsidR="00D63493">
        <w:rPr>
          <w:szCs w:val="24"/>
        </w:rPr>
        <w:t xml:space="preserve"> including</w:t>
      </w:r>
      <w:r w:rsidR="00D63493" w:rsidRPr="00D63493">
        <w:t xml:space="preserve"> </w:t>
      </w:r>
      <w:r w:rsidR="00D63493">
        <w:rPr>
          <w:szCs w:val="24"/>
        </w:rPr>
        <w:t>c</w:t>
      </w:r>
      <w:r w:rsidR="00D63493" w:rsidRPr="00D63493">
        <w:rPr>
          <w:szCs w:val="24"/>
        </w:rPr>
        <w:t>ontinuing professional development</w:t>
      </w:r>
      <w:r w:rsidR="00D63493">
        <w:rPr>
          <w:szCs w:val="24"/>
        </w:rPr>
        <w:t xml:space="preserve"> requirements</w:t>
      </w:r>
      <w:r w:rsidR="008D61A0" w:rsidRPr="008D61A0">
        <w:rPr>
          <w:szCs w:val="24"/>
        </w:rPr>
        <w:t>.</w:t>
      </w:r>
    </w:p>
    <w:p w14:paraId="16265681" w14:textId="77777777" w:rsidR="00D13062" w:rsidRPr="00025E18" w:rsidRDefault="00D13062" w:rsidP="00D13062">
      <w:pPr>
        <w:rPr>
          <w:szCs w:val="24"/>
        </w:rPr>
      </w:pPr>
    </w:p>
    <w:p w14:paraId="57D15BFE" w14:textId="7EFF44E5" w:rsidR="00D13062" w:rsidRPr="00025E18" w:rsidRDefault="00D13062" w:rsidP="00D13062">
      <w:pPr>
        <w:rPr>
          <w:szCs w:val="24"/>
        </w:rPr>
      </w:pPr>
      <w:r w:rsidRPr="00025E18">
        <w:rPr>
          <w:szCs w:val="24"/>
        </w:rPr>
        <w:t>While the quality intent of the fee differential is clear, its current application is limited to standard general practice attendances. Specialist GPs and GP trainees working towards specialist recognition may claim a higher fee (items in groups A1 and A18) than an OMP (items in groups A2 and A19) for these items</w:t>
      </w:r>
      <w:r w:rsidR="008B7619" w:rsidRPr="00025E18">
        <w:rPr>
          <w:szCs w:val="24"/>
        </w:rPr>
        <w:t xml:space="preserve">. </w:t>
      </w:r>
      <w:r w:rsidRPr="00025E18">
        <w:rPr>
          <w:szCs w:val="24"/>
        </w:rPr>
        <w:t>However the current fee differential is limited in scope as:</w:t>
      </w:r>
    </w:p>
    <w:p w14:paraId="15C303E8" w14:textId="77777777" w:rsidR="00D13062" w:rsidRPr="00025E18" w:rsidRDefault="00D13062" w:rsidP="00D13062">
      <w:pPr>
        <w:numPr>
          <w:ilvl w:val="0"/>
          <w:numId w:val="11"/>
        </w:numPr>
        <w:contextualSpacing/>
        <w:rPr>
          <w:szCs w:val="24"/>
        </w:rPr>
      </w:pPr>
      <w:r w:rsidRPr="00025E18">
        <w:rPr>
          <w:szCs w:val="24"/>
        </w:rPr>
        <w:t xml:space="preserve">No fee differential applies to an OMP if they have been approved to practise as an eligible non-vocationally recognised medical practitioner by participating in one of the OMPs </w:t>
      </w:r>
      <w:r>
        <w:rPr>
          <w:szCs w:val="24"/>
        </w:rPr>
        <w:t>P</w:t>
      </w:r>
      <w:r w:rsidRPr="00025E18">
        <w:rPr>
          <w:szCs w:val="24"/>
        </w:rPr>
        <w:t xml:space="preserve">rograms. Under the current conditions, status as an eligible non-vocationally recognised medical practitioner is extended to an OMP if they are deemed to be addressing a defined workforce shortage or are engaged in after-hours work. </w:t>
      </w:r>
    </w:p>
    <w:p w14:paraId="75798C95" w14:textId="77777777" w:rsidR="00D13062" w:rsidRPr="00025E18" w:rsidRDefault="00D13062" w:rsidP="00D13062">
      <w:pPr>
        <w:numPr>
          <w:ilvl w:val="0"/>
          <w:numId w:val="11"/>
        </w:numPr>
        <w:contextualSpacing/>
        <w:rPr>
          <w:szCs w:val="24"/>
        </w:rPr>
      </w:pPr>
      <w:r w:rsidRPr="00025E18">
        <w:rPr>
          <w:szCs w:val="24"/>
        </w:rPr>
        <w:t xml:space="preserve">Several MBS item groups that are for non-standard attendances can be provided by OMPs with the same MBS fee as their specialist GP counterparts, despite their lack of a specialist qualification. </w:t>
      </w:r>
    </w:p>
    <w:p w14:paraId="53131DE6" w14:textId="77777777" w:rsidR="00D13062" w:rsidRDefault="00D13062" w:rsidP="00D13062">
      <w:pPr>
        <w:rPr>
          <w:szCs w:val="24"/>
        </w:rPr>
      </w:pPr>
    </w:p>
    <w:p w14:paraId="1F6EDE71" w14:textId="7939C8B2" w:rsidR="00D13062" w:rsidRDefault="00D13062" w:rsidP="00D13062">
      <w:pPr>
        <w:rPr>
          <w:szCs w:val="24"/>
        </w:rPr>
      </w:pPr>
      <w:r w:rsidRPr="00025E18">
        <w:rPr>
          <w:szCs w:val="24"/>
        </w:rPr>
        <w:t xml:space="preserve">The current limits on the fee differential means OMPs are not compelled to achieve fellowship before becoming eligible to </w:t>
      </w:r>
      <w:r>
        <w:rPr>
          <w:szCs w:val="24"/>
        </w:rPr>
        <w:t>render services at</w:t>
      </w:r>
      <w:r w:rsidRPr="00025E18">
        <w:rPr>
          <w:szCs w:val="24"/>
        </w:rPr>
        <w:t xml:space="preserve"> the </w:t>
      </w:r>
      <w:r>
        <w:rPr>
          <w:szCs w:val="24"/>
        </w:rPr>
        <w:t>specialist GP rate. To address this issue, the Government announced it would create a</w:t>
      </w:r>
      <w:r w:rsidRPr="00025E18">
        <w:rPr>
          <w:szCs w:val="24"/>
        </w:rPr>
        <w:t xml:space="preserve"> new fee structure for standard and non-standard attendances performed by OMPs who are new entrants to general practice</w:t>
      </w:r>
      <w:r>
        <w:rPr>
          <w:szCs w:val="24"/>
        </w:rPr>
        <w:t xml:space="preserve"> from 1 July 2018. </w:t>
      </w:r>
    </w:p>
    <w:p w14:paraId="1ED1214B" w14:textId="77777777" w:rsidR="00D13062" w:rsidRDefault="00D13062" w:rsidP="007805F5">
      <w:pPr>
        <w:pStyle w:val="Default"/>
        <w:rPr>
          <w:rFonts w:eastAsia="Times New Roman"/>
          <w:color w:val="auto"/>
          <w:lang w:eastAsia="en-AU"/>
        </w:rPr>
      </w:pPr>
    </w:p>
    <w:p w14:paraId="238C6C55" w14:textId="7B8C562C" w:rsidR="002E6BAE" w:rsidRDefault="00651B08" w:rsidP="00651B08">
      <w:pPr>
        <w:spacing w:line="252" w:lineRule="auto"/>
        <w:contextualSpacing/>
        <w:rPr>
          <w:szCs w:val="24"/>
        </w:rPr>
      </w:pPr>
      <w:r>
        <w:rPr>
          <w:szCs w:val="24"/>
        </w:rPr>
        <w:t xml:space="preserve">The Regulations </w:t>
      </w:r>
      <w:r w:rsidR="00DB6F83">
        <w:rPr>
          <w:szCs w:val="24"/>
        </w:rPr>
        <w:t xml:space="preserve">amend the existing general practice Medicare items to </w:t>
      </w:r>
      <w:r w:rsidR="002E6BAE">
        <w:rPr>
          <w:szCs w:val="24"/>
        </w:rPr>
        <w:t xml:space="preserve">restrict OMPs from </w:t>
      </w:r>
      <w:r w:rsidR="002E6BAE" w:rsidRPr="002E6BAE">
        <w:rPr>
          <w:szCs w:val="24"/>
        </w:rPr>
        <w:t>continuing to access the existing non-standard GP items at the specialist GP rate</w:t>
      </w:r>
      <w:r w:rsidR="002E6BAE">
        <w:rPr>
          <w:szCs w:val="24"/>
        </w:rPr>
        <w:t>.</w:t>
      </w:r>
      <w:r w:rsidR="005918C8">
        <w:rPr>
          <w:szCs w:val="24"/>
        </w:rPr>
        <w:t xml:space="preserve"> </w:t>
      </w:r>
    </w:p>
    <w:p w14:paraId="61688106" w14:textId="3D5D8820" w:rsidR="005918C8" w:rsidRDefault="005918C8" w:rsidP="00651B08">
      <w:pPr>
        <w:spacing w:line="252" w:lineRule="auto"/>
        <w:contextualSpacing/>
        <w:rPr>
          <w:szCs w:val="24"/>
        </w:rPr>
      </w:pPr>
    </w:p>
    <w:p w14:paraId="24BF7312" w14:textId="0B83D694" w:rsidR="005918C8" w:rsidRPr="005918C8" w:rsidRDefault="005918C8" w:rsidP="005918C8">
      <w:pPr>
        <w:spacing w:line="252" w:lineRule="auto"/>
        <w:contextualSpacing/>
        <w:rPr>
          <w:szCs w:val="24"/>
        </w:rPr>
      </w:pPr>
      <w:r>
        <w:rPr>
          <w:szCs w:val="24"/>
        </w:rPr>
        <w:t xml:space="preserve">The </w:t>
      </w:r>
      <w:r w:rsidRPr="00E4692D">
        <w:rPr>
          <w:i/>
          <w:szCs w:val="24"/>
        </w:rPr>
        <w:t>Health Insurance (Section 3C General Medical Services – Other Medical Practitioner) Determination 2018</w:t>
      </w:r>
      <w:r>
        <w:rPr>
          <w:i/>
          <w:szCs w:val="24"/>
        </w:rPr>
        <w:t xml:space="preserve"> </w:t>
      </w:r>
      <w:r w:rsidR="000973B4">
        <w:rPr>
          <w:szCs w:val="24"/>
        </w:rPr>
        <w:t xml:space="preserve">(the </w:t>
      </w:r>
      <w:r w:rsidR="00794B0F">
        <w:rPr>
          <w:szCs w:val="24"/>
        </w:rPr>
        <w:t>Determination</w:t>
      </w:r>
      <w:r w:rsidR="000973B4">
        <w:rPr>
          <w:szCs w:val="24"/>
        </w:rPr>
        <w:t xml:space="preserve">) </w:t>
      </w:r>
      <w:r>
        <w:rPr>
          <w:szCs w:val="24"/>
        </w:rPr>
        <w:t xml:space="preserve">will be made by 1 July 2018 to allow OMPs to continue rendering general practice services under Medicare. The items in </w:t>
      </w:r>
      <w:r w:rsidR="00122861">
        <w:rPr>
          <w:szCs w:val="24"/>
        </w:rPr>
        <w:t>the Determination</w:t>
      </w:r>
      <w:r>
        <w:rPr>
          <w:szCs w:val="24"/>
        </w:rPr>
        <w:t xml:space="preserve"> will reflect the new benefit structure.</w:t>
      </w:r>
      <w:r w:rsidR="000973B4">
        <w:rPr>
          <w:szCs w:val="24"/>
        </w:rPr>
        <w:t xml:space="preserve"> The Regulations will </w:t>
      </w:r>
      <w:r w:rsidR="00122861">
        <w:rPr>
          <w:szCs w:val="24"/>
        </w:rPr>
        <w:t xml:space="preserve">also </w:t>
      </w:r>
      <w:r w:rsidR="000973B4">
        <w:rPr>
          <w:szCs w:val="24"/>
        </w:rPr>
        <w:t xml:space="preserve">amend </w:t>
      </w:r>
      <w:r w:rsidR="000973B4" w:rsidRPr="00760BED">
        <w:t>Schedule 6</w:t>
      </w:r>
      <w:r w:rsidR="000973B4">
        <w:t xml:space="preserve"> of </w:t>
      </w:r>
      <w:r w:rsidR="000973B4">
        <w:rPr>
          <w:szCs w:val="24"/>
        </w:rPr>
        <w:t>the HIR to add the new items which will be listed in the Determination. This will make the benefit payable at 100% of the schedule fee, consistent with most general practice items.</w:t>
      </w:r>
    </w:p>
    <w:p w14:paraId="071737ED" w14:textId="6FB6E926" w:rsidR="005918C8" w:rsidRDefault="005918C8" w:rsidP="00C12CFE">
      <w:pPr>
        <w:rPr>
          <w:szCs w:val="24"/>
        </w:rPr>
      </w:pPr>
    </w:p>
    <w:p w14:paraId="50EF8FEC" w14:textId="77777777" w:rsidR="006443AF" w:rsidRPr="008A6C2C" w:rsidRDefault="006443AF" w:rsidP="00C12CFE">
      <w:pPr>
        <w:rPr>
          <w:szCs w:val="24"/>
          <w:highlight w:val="yellow"/>
        </w:rPr>
      </w:pPr>
    </w:p>
    <w:p w14:paraId="0150C8BA" w14:textId="61E1A991" w:rsidR="006F1D53" w:rsidRPr="003D1C5D" w:rsidRDefault="00D75A2A" w:rsidP="00D75A2A">
      <w:pPr>
        <w:autoSpaceDE w:val="0"/>
        <w:autoSpaceDN w:val="0"/>
        <w:adjustRightInd w:val="0"/>
        <w:rPr>
          <w:b/>
          <w:szCs w:val="24"/>
        </w:rPr>
      </w:pPr>
      <w:r w:rsidRPr="003D1C5D">
        <w:rPr>
          <w:b/>
          <w:szCs w:val="24"/>
        </w:rPr>
        <w:lastRenderedPageBreak/>
        <w:t>Consultation</w:t>
      </w:r>
    </w:p>
    <w:p w14:paraId="6CDA84D3" w14:textId="5527D8C8" w:rsidR="00074850" w:rsidRDefault="00074850" w:rsidP="00074850">
      <w:pPr>
        <w:rPr>
          <w:rFonts w:ascii="Arial" w:hAnsi="Arial" w:cs="Arial"/>
          <w:color w:val="1F497D"/>
          <w:sz w:val="18"/>
          <w:szCs w:val="18"/>
        </w:rPr>
      </w:pPr>
      <w:r>
        <w:t xml:space="preserve">The Department consulted with stakeholders on key elements and principles of the </w:t>
      </w:r>
      <w:r w:rsidR="007E4D8C" w:rsidRPr="007E4D8C">
        <w:rPr>
          <w:i/>
        </w:rPr>
        <w:t>A</w:t>
      </w:r>
      <w:r w:rsidR="007E4D8C">
        <w:t xml:space="preserve"> </w:t>
      </w:r>
      <w:r w:rsidR="008203CB">
        <w:rPr>
          <w:i/>
          <w:iCs/>
        </w:rPr>
        <w:t>Stronger Rural Health Strateg</w:t>
      </w:r>
      <w:r w:rsidR="007E4D8C">
        <w:rPr>
          <w:i/>
          <w:iCs/>
        </w:rPr>
        <w:t xml:space="preserve">y </w:t>
      </w:r>
      <w:r w:rsidR="006E3FD7" w:rsidRPr="00324E37">
        <w:rPr>
          <w:iCs/>
        </w:rPr>
        <w:t>measure</w:t>
      </w:r>
      <w:r>
        <w:t>. This included stakeholders representing general practice. </w:t>
      </w:r>
    </w:p>
    <w:p w14:paraId="56BC70CA" w14:textId="77777777" w:rsidR="004A3AF7" w:rsidRPr="003D1C5D" w:rsidRDefault="004A3AF7" w:rsidP="00D21B64">
      <w:pPr>
        <w:rPr>
          <w:rFonts w:cs="Arial"/>
          <w:color w:val="000000" w:themeColor="text1"/>
          <w:szCs w:val="22"/>
        </w:rPr>
      </w:pPr>
    </w:p>
    <w:p w14:paraId="2F1A37F7" w14:textId="47521C0F" w:rsidR="005F04DC" w:rsidRPr="003D1C5D" w:rsidRDefault="005F04DC" w:rsidP="005F04DC">
      <w:pPr>
        <w:rPr>
          <w:szCs w:val="24"/>
        </w:rPr>
      </w:pPr>
      <w:r w:rsidRPr="003D1C5D">
        <w:rPr>
          <w:szCs w:val="24"/>
        </w:rPr>
        <w:t xml:space="preserve">Details of the </w:t>
      </w:r>
      <w:r w:rsidR="00D21B64" w:rsidRPr="003D1C5D">
        <w:rPr>
          <w:szCs w:val="24"/>
        </w:rPr>
        <w:t>R</w:t>
      </w:r>
      <w:r w:rsidRPr="003D1C5D">
        <w:rPr>
          <w:szCs w:val="24"/>
        </w:rPr>
        <w:t>egulation</w:t>
      </w:r>
      <w:r w:rsidR="0047307F">
        <w:rPr>
          <w:szCs w:val="24"/>
        </w:rPr>
        <w:t>s</w:t>
      </w:r>
      <w:r w:rsidRPr="003D1C5D">
        <w:rPr>
          <w:i/>
          <w:szCs w:val="24"/>
        </w:rPr>
        <w:t xml:space="preserve"> </w:t>
      </w:r>
      <w:r w:rsidRPr="003D1C5D">
        <w:rPr>
          <w:szCs w:val="24"/>
        </w:rPr>
        <w:t xml:space="preserve">are set out in the </w:t>
      </w:r>
      <w:r w:rsidRPr="003D1C5D">
        <w:rPr>
          <w:szCs w:val="24"/>
          <w:u w:val="single"/>
        </w:rPr>
        <w:t>Attachment</w:t>
      </w:r>
      <w:r w:rsidRPr="003D1C5D">
        <w:rPr>
          <w:szCs w:val="24"/>
        </w:rPr>
        <w:t>.</w:t>
      </w:r>
    </w:p>
    <w:p w14:paraId="2F1A37F8" w14:textId="77777777" w:rsidR="005F04DC" w:rsidRPr="003D1C5D" w:rsidRDefault="005F04DC" w:rsidP="005F04DC">
      <w:pPr>
        <w:rPr>
          <w:szCs w:val="24"/>
        </w:rPr>
      </w:pPr>
    </w:p>
    <w:p w14:paraId="2F1A37F9" w14:textId="051B4767" w:rsidR="005F04DC" w:rsidRPr="003D1C5D" w:rsidRDefault="005F04DC" w:rsidP="005F04DC">
      <w:pPr>
        <w:rPr>
          <w:szCs w:val="24"/>
        </w:rPr>
      </w:pPr>
      <w:r w:rsidRPr="003D1C5D">
        <w:rPr>
          <w:szCs w:val="24"/>
        </w:rPr>
        <w:t xml:space="preserve">The Act specifies no conditions which need to be met before the power to make the </w:t>
      </w:r>
      <w:r w:rsidR="004322C0" w:rsidRPr="003D1C5D">
        <w:rPr>
          <w:szCs w:val="24"/>
        </w:rPr>
        <w:t>R</w:t>
      </w:r>
      <w:r w:rsidRPr="003D1C5D">
        <w:rPr>
          <w:szCs w:val="24"/>
        </w:rPr>
        <w:t>egulation</w:t>
      </w:r>
      <w:r w:rsidR="004B1943">
        <w:rPr>
          <w:szCs w:val="24"/>
        </w:rPr>
        <w:t>s</w:t>
      </w:r>
      <w:r w:rsidRPr="003D1C5D">
        <w:rPr>
          <w:szCs w:val="24"/>
        </w:rPr>
        <w:t xml:space="preserve"> may be exercised.  </w:t>
      </w:r>
    </w:p>
    <w:p w14:paraId="2F1A37FA" w14:textId="77777777" w:rsidR="005F04DC" w:rsidRPr="003D1C5D" w:rsidRDefault="005F04DC" w:rsidP="005F04DC">
      <w:pPr>
        <w:rPr>
          <w:szCs w:val="24"/>
        </w:rPr>
      </w:pPr>
    </w:p>
    <w:p w14:paraId="2F1A37FB" w14:textId="558FB4E3" w:rsidR="00242079" w:rsidRPr="003D1C5D" w:rsidRDefault="00254E64" w:rsidP="00B3796F">
      <w:r w:rsidRPr="003D1C5D">
        <w:t>The Regulation</w:t>
      </w:r>
      <w:r w:rsidR="004B1943">
        <w:t>s</w:t>
      </w:r>
      <w:r w:rsidRPr="003D1C5D">
        <w:t xml:space="preserve"> </w:t>
      </w:r>
      <w:r w:rsidR="004B1943">
        <w:t>are</w:t>
      </w:r>
      <w:r w:rsidRPr="003D1C5D">
        <w:t xml:space="preserve"> a legislative inst</w:t>
      </w:r>
      <w:r w:rsidR="000962CE" w:rsidRPr="003D1C5D">
        <w:t xml:space="preserve">rument for the purposes of the </w:t>
      </w:r>
      <w:r w:rsidRPr="003D1C5D">
        <w:rPr>
          <w:i/>
          <w:iCs/>
        </w:rPr>
        <w:t>Legislation Act 2003</w:t>
      </w:r>
      <w:r w:rsidRPr="003D1C5D">
        <w:t>.</w:t>
      </w:r>
    </w:p>
    <w:p w14:paraId="2F1A37FC" w14:textId="77777777" w:rsidR="00254E64" w:rsidRPr="003D1C5D" w:rsidRDefault="00254E64" w:rsidP="00B3796F">
      <w:pPr>
        <w:rPr>
          <w:iCs/>
          <w:szCs w:val="24"/>
        </w:rPr>
      </w:pPr>
    </w:p>
    <w:p w14:paraId="01B48438" w14:textId="326CFD18" w:rsidR="002D4C8B" w:rsidRDefault="002D4C8B" w:rsidP="002D4C8B">
      <w:pPr>
        <w:rPr>
          <w:szCs w:val="24"/>
        </w:rPr>
      </w:pPr>
      <w:r>
        <w:t xml:space="preserve">Schedule 1 and </w:t>
      </w:r>
      <w:r w:rsidR="00DF4009">
        <w:t xml:space="preserve">item 1 of Schedule 2 </w:t>
      </w:r>
      <w:r>
        <w:t>of the Regulations commence i</w:t>
      </w:r>
      <w:r w:rsidRPr="004C6565">
        <w:t xml:space="preserve">mmediately after the commencement of the </w:t>
      </w:r>
      <w:r w:rsidRPr="004C6565">
        <w:rPr>
          <w:i/>
        </w:rPr>
        <w:t>Health Insurance (General Medical Services Table) Regulations 2018</w:t>
      </w:r>
      <w:r w:rsidRPr="004C6565">
        <w:t>.</w:t>
      </w:r>
    </w:p>
    <w:p w14:paraId="2A7B0533" w14:textId="6F0985A8" w:rsidR="002D4C8B" w:rsidRDefault="002D4C8B" w:rsidP="00054C12">
      <w:pPr>
        <w:rPr>
          <w:szCs w:val="24"/>
        </w:rPr>
      </w:pPr>
      <w:r>
        <w:t xml:space="preserve">Schedule 2, items 2 to </w:t>
      </w:r>
      <w:r w:rsidR="00F05BAF">
        <w:t>7 of</w:t>
      </w:r>
      <w:r>
        <w:t xml:space="preserve"> the Regulations commence i</w:t>
      </w:r>
      <w:r w:rsidRPr="004C6565">
        <w:t xml:space="preserve">mmediately after the commencement of the </w:t>
      </w:r>
      <w:r w:rsidRPr="004C6565">
        <w:rPr>
          <w:i/>
        </w:rPr>
        <w:t>Health Insurance (</w:t>
      </w:r>
      <w:r>
        <w:rPr>
          <w:i/>
        </w:rPr>
        <w:t>Diagnostic Imaging</w:t>
      </w:r>
      <w:r w:rsidRPr="004C6565">
        <w:rPr>
          <w:i/>
        </w:rPr>
        <w:t xml:space="preserve"> Services Table) Regulations 2018</w:t>
      </w:r>
      <w:r w:rsidRPr="004C6565">
        <w:t>.</w:t>
      </w:r>
    </w:p>
    <w:p w14:paraId="1F2F4C87" w14:textId="735D7C58" w:rsidR="00054C12" w:rsidRPr="003D1C5D" w:rsidRDefault="002B2E14" w:rsidP="00054C12">
      <w:pPr>
        <w:rPr>
          <w:szCs w:val="24"/>
        </w:rPr>
      </w:pPr>
      <w:r w:rsidRPr="002B2E14">
        <w:rPr>
          <w:szCs w:val="24"/>
        </w:rPr>
        <w:t xml:space="preserve"> </w:t>
      </w:r>
    </w:p>
    <w:p w14:paraId="2F1A37FE" w14:textId="77777777" w:rsidR="00AB5F4D" w:rsidRPr="003D1C5D" w:rsidRDefault="00AB5F4D" w:rsidP="0099448D">
      <w:pPr>
        <w:rPr>
          <w:szCs w:val="24"/>
          <w:u w:val="single"/>
        </w:rPr>
      </w:pPr>
    </w:p>
    <w:p w14:paraId="2F1A37FF" w14:textId="77777777" w:rsidR="005F04DC" w:rsidRPr="003D1C5D" w:rsidRDefault="005F04DC" w:rsidP="005F04DC">
      <w:pPr>
        <w:pStyle w:val="Subtitle"/>
        <w:rPr>
          <w:szCs w:val="24"/>
          <w:u w:val="none"/>
        </w:rPr>
      </w:pPr>
    </w:p>
    <w:p w14:paraId="2F1A3800" w14:textId="24B56ECB" w:rsidR="005F04DC" w:rsidRPr="003D1C5D" w:rsidRDefault="005F04DC" w:rsidP="005F04DC">
      <w:pPr>
        <w:tabs>
          <w:tab w:val="left" w:pos="4536"/>
          <w:tab w:val="left" w:pos="5670"/>
        </w:tabs>
        <w:ind w:left="284"/>
        <w:jc w:val="center"/>
        <w:rPr>
          <w:szCs w:val="24"/>
        </w:rPr>
      </w:pPr>
      <w:r w:rsidRPr="003D1C5D">
        <w:rPr>
          <w:szCs w:val="24"/>
        </w:rPr>
        <w:tab/>
      </w:r>
      <w:r w:rsidRPr="003D1C5D">
        <w:rPr>
          <w:szCs w:val="24"/>
          <w:u w:val="single"/>
        </w:rPr>
        <w:t>Authority</w:t>
      </w:r>
      <w:r w:rsidRPr="003D1C5D">
        <w:rPr>
          <w:szCs w:val="24"/>
        </w:rPr>
        <w:t xml:space="preserve">:     </w:t>
      </w:r>
      <w:r w:rsidR="00C252E5">
        <w:rPr>
          <w:szCs w:val="24"/>
        </w:rPr>
        <w:t xml:space="preserve">    </w:t>
      </w:r>
      <w:r w:rsidRPr="003D1C5D">
        <w:rPr>
          <w:szCs w:val="24"/>
        </w:rPr>
        <w:t xml:space="preserve">Subsection 133(1) of the </w:t>
      </w:r>
    </w:p>
    <w:p w14:paraId="2F1A3801" w14:textId="5CD8FB66" w:rsidR="005F04DC" w:rsidRPr="003D1C5D" w:rsidRDefault="005F04DC" w:rsidP="005F04DC">
      <w:pPr>
        <w:tabs>
          <w:tab w:val="left" w:pos="4536"/>
        </w:tabs>
        <w:ind w:left="284"/>
        <w:jc w:val="center"/>
        <w:rPr>
          <w:szCs w:val="24"/>
        </w:rPr>
      </w:pPr>
      <w:r w:rsidRPr="003D1C5D">
        <w:rPr>
          <w:i/>
          <w:szCs w:val="24"/>
        </w:rPr>
        <w:t xml:space="preserve">                                                                </w:t>
      </w:r>
      <w:r w:rsidR="00C252E5">
        <w:rPr>
          <w:i/>
          <w:szCs w:val="24"/>
        </w:rPr>
        <w:t xml:space="preserve">                            </w:t>
      </w:r>
      <w:r w:rsidR="00142C17">
        <w:rPr>
          <w:i/>
          <w:szCs w:val="24"/>
        </w:rPr>
        <w:t xml:space="preserve">       </w:t>
      </w:r>
      <w:r w:rsidRPr="003D1C5D">
        <w:rPr>
          <w:i/>
          <w:szCs w:val="24"/>
        </w:rPr>
        <w:t>Health Insurance Act 1973</w:t>
      </w:r>
      <w:r w:rsidRPr="003D1C5D">
        <w:rPr>
          <w:szCs w:val="24"/>
        </w:rPr>
        <w:t xml:space="preserve">  </w:t>
      </w:r>
    </w:p>
    <w:p w14:paraId="2F1A3802" w14:textId="77777777" w:rsidR="003216B7" w:rsidRPr="003D1C5D" w:rsidRDefault="005F04DC" w:rsidP="005F04DC">
      <w:pPr>
        <w:pStyle w:val="Subtitle"/>
        <w:ind w:left="284"/>
        <w:rPr>
          <w:szCs w:val="24"/>
          <w:u w:val="none"/>
        </w:rPr>
        <w:sectPr w:rsidR="003216B7" w:rsidRPr="003D1C5D"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3D1C5D">
        <w:rPr>
          <w:szCs w:val="24"/>
          <w:u w:val="none"/>
        </w:rPr>
        <w:br w:type="page"/>
      </w:r>
    </w:p>
    <w:p w14:paraId="2F1A3803" w14:textId="77777777" w:rsidR="005F04DC" w:rsidRPr="003D1C5D" w:rsidRDefault="005F04DC" w:rsidP="005F04DC">
      <w:pPr>
        <w:pStyle w:val="Subtitle"/>
        <w:ind w:left="284"/>
      </w:pPr>
    </w:p>
    <w:p w14:paraId="07BA2606" w14:textId="77777777" w:rsidR="008D51AE" w:rsidRPr="003D1C5D" w:rsidRDefault="008D51AE" w:rsidP="008D51AE">
      <w:pPr>
        <w:ind w:left="284"/>
        <w:jc w:val="right"/>
        <w:rPr>
          <w:b/>
          <w:szCs w:val="24"/>
        </w:rPr>
      </w:pPr>
      <w:r w:rsidRPr="003D1C5D">
        <w:rPr>
          <w:b/>
          <w:szCs w:val="24"/>
        </w:rPr>
        <w:t xml:space="preserve">ATTACHMENT </w:t>
      </w:r>
    </w:p>
    <w:p w14:paraId="0B517765" w14:textId="77777777" w:rsidR="008D51AE" w:rsidRPr="003D1C5D" w:rsidRDefault="008D51AE" w:rsidP="008D51AE">
      <w:pPr>
        <w:ind w:left="284"/>
        <w:jc w:val="right"/>
        <w:rPr>
          <w:b/>
          <w:szCs w:val="24"/>
        </w:rPr>
      </w:pPr>
    </w:p>
    <w:p w14:paraId="4F5E0E8B" w14:textId="0B3D1A0C" w:rsidR="008D51AE" w:rsidRPr="003D1C5D" w:rsidRDefault="00CF35C8" w:rsidP="008D51AE">
      <w:pPr>
        <w:rPr>
          <w:b/>
          <w:i/>
          <w:szCs w:val="24"/>
        </w:rPr>
      </w:pPr>
      <w:r w:rsidRPr="003D1C5D">
        <w:rPr>
          <w:b/>
          <w:szCs w:val="24"/>
        </w:rPr>
        <w:t>Details of the</w:t>
      </w:r>
      <w:r w:rsidR="008D51AE" w:rsidRPr="003D1C5D">
        <w:rPr>
          <w:b/>
          <w:szCs w:val="24"/>
        </w:rPr>
        <w:t xml:space="preserve"> </w:t>
      </w:r>
      <w:r w:rsidR="00101117" w:rsidRPr="00101117">
        <w:rPr>
          <w:b/>
          <w:i/>
          <w:szCs w:val="24"/>
        </w:rPr>
        <w:t>Health Insurance Legislation Amendment (2018 Measures No. 2) Regulations 2018</w:t>
      </w:r>
    </w:p>
    <w:p w14:paraId="6660D4D1" w14:textId="77777777" w:rsidR="008D51AE" w:rsidRPr="003D1C5D" w:rsidRDefault="008D51AE" w:rsidP="008D51AE"/>
    <w:p w14:paraId="2BD14C77" w14:textId="77777777" w:rsidR="008D51AE" w:rsidRPr="003D1C5D" w:rsidRDefault="008D51AE" w:rsidP="008D51AE">
      <w:pPr>
        <w:pStyle w:val="Heading1"/>
        <w:tabs>
          <w:tab w:val="left" w:pos="284"/>
        </w:tabs>
        <w:jc w:val="left"/>
        <w:rPr>
          <w:b w:val="0"/>
          <w:szCs w:val="24"/>
        </w:rPr>
      </w:pPr>
      <w:r w:rsidRPr="003D1C5D">
        <w:rPr>
          <w:b w:val="0"/>
          <w:szCs w:val="24"/>
        </w:rPr>
        <w:t>Section 1 – Name</w:t>
      </w:r>
    </w:p>
    <w:p w14:paraId="176F3259" w14:textId="77777777" w:rsidR="008D51AE" w:rsidRPr="003D1C5D" w:rsidRDefault="008D51AE" w:rsidP="008D51AE">
      <w:pPr>
        <w:pStyle w:val="Heading1"/>
        <w:jc w:val="left"/>
        <w:rPr>
          <w:b w:val="0"/>
          <w:sz w:val="16"/>
          <w:szCs w:val="16"/>
          <w:u w:val="none"/>
        </w:rPr>
      </w:pPr>
    </w:p>
    <w:p w14:paraId="1FEB2DE4" w14:textId="0E383B00" w:rsidR="008D51AE" w:rsidRPr="003D1C5D" w:rsidRDefault="008D51AE" w:rsidP="008D51AE">
      <w:pPr>
        <w:rPr>
          <w:b/>
          <w:i/>
          <w:szCs w:val="24"/>
        </w:rPr>
      </w:pPr>
      <w:r w:rsidRPr="003D1C5D">
        <w:rPr>
          <w:szCs w:val="24"/>
        </w:rPr>
        <w:t>This sectio</w:t>
      </w:r>
      <w:r w:rsidR="00CF35C8" w:rsidRPr="003D1C5D">
        <w:rPr>
          <w:szCs w:val="24"/>
        </w:rPr>
        <w:t xml:space="preserve">n provides for the </w:t>
      </w:r>
      <w:r w:rsidRPr="003D1C5D">
        <w:rPr>
          <w:szCs w:val="24"/>
        </w:rPr>
        <w:t>Regulations to be referred to as the</w:t>
      </w:r>
      <w:r w:rsidRPr="003D1C5D">
        <w:rPr>
          <w:i/>
          <w:szCs w:val="24"/>
        </w:rPr>
        <w:t xml:space="preserve"> </w:t>
      </w:r>
      <w:r w:rsidR="00101117" w:rsidRPr="00101117">
        <w:rPr>
          <w:i/>
          <w:szCs w:val="24"/>
        </w:rPr>
        <w:t>Health Insurance Legislation Amendment (2018 Measures No. 2) Regulations 2018</w:t>
      </w:r>
      <w:r w:rsidRPr="00234312">
        <w:rPr>
          <w:i/>
          <w:szCs w:val="24"/>
        </w:rPr>
        <w:t>.</w:t>
      </w:r>
    </w:p>
    <w:p w14:paraId="1C4C4817" w14:textId="77777777" w:rsidR="008D51AE" w:rsidRPr="003D1C5D" w:rsidRDefault="008D51AE" w:rsidP="008D51AE">
      <w:pPr>
        <w:rPr>
          <w:b/>
          <w:szCs w:val="24"/>
        </w:rPr>
      </w:pPr>
    </w:p>
    <w:p w14:paraId="3576600A" w14:textId="77777777" w:rsidR="008D51AE" w:rsidRPr="003D1C5D" w:rsidRDefault="008D51AE" w:rsidP="008D51AE">
      <w:pPr>
        <w:pStyle w:val="BodyText"/>
        <w:rPr>
          <w:b w:val="0"/>
          <w:szCs w:val="24"/>
          <w:u w:val="single"/>
        </w:rPr>
      </w:pPr>
      <w:r w:rsidRPr="003D1C5D">
        <w:rPr>
          <w:b w:val="0"/>
          <w:szCs w:val="24"/>
          <w:u w:val="single"/>
        </w:rPr>
        <w:t xml:space="preserve">Section 2 – Commencement </w:t>
      </w:r>
    </w:p>
    <w:p w14:paraId="194F36A1" w14:textId="77777777" w:rsidR="008D51AE" w:rsidRPr="003D1C5D" w:rsidRDefault="008D51AE" w:rsidP="008D51AE">
      <w:pPr>
        <w:pStyle w:val="BodyText"/>
        <w:rPr>
          <w:b w:val="0"/>
          <w:sz w:val="20"/>
        </w:rPr>
      </w:pPr>
    </w:p>
    <w:p w14:paraId="2DAAF8C7" w14:textId="394BD15B" w:rsidR="00DF4009" w:rsidRPr="00DF4009" w:rsidRDefault="00CF35C8" w:rsidP="00DF4009">
      <w:r w:rsidRPr="00327E20">
        <w:rPr>
          <w:szCs w:val="24"/>
        </w:rPr>
        <w:t xml:space="preserve">This section </w:t>
      </w:r>
      <w:r w:rsidR="008D51AE" w:rsidRPr="00327E20">
        <w:rPr>
          <w:szCs w:val="24"/>
        </w:rPr>
        <w:t>provide</w:t>
      </w:r>
      <w:r w:rsidRPr="00327E20">
        <w:rPr>
          <w:szCs w:val="24"/>
        </w:rPr>
        <w:t>s</w:t>
      </w:r>
      <w:r w:rsidR="00E00D7F" w:rsidRPr="00327E20">
        <w:rPr>
          <w:szCs w:val="24"/>
        </w:rPr>
        <w:t xml:space="preserve"> that</w:t>
      </w:r>
      <w:r w:rsidR="008D51AE" w:rsidRPr="00327E20">
        <w:rPr>
          <w:szCs w:val="24"/>
        </w:rPr>
        <w:t xml:space="preserve"> </w:t>
      </w:r>
      <w:r w:rsidR="00DF4009">
        <w:t>Schedule 1 and item 1 of Schedule 2 of the Regulations commence i</w:t>
      </w:r>
      <w:r w:rsidR="00DF4009" w:rsidRPr="004C6565">
        <w:t xml:space="preserve">mmediately after the commencement of the </w:t>
      </w:r>
      <w:r w:rsidR="00DF4009" w:rsidRPr="004C6565">
        <w:rPr>
          <w:i/>
        </w:rPr>
        <w:t>Health Insurance (General Medical Services Table) Regulations 2018</w:t>
      </w:r>
      <w:r w:rsidR="00DF4009" w:rsidRPr="004C6565">
        <w:t>.</w:t>
      </w:r>
      <w:r w:rsidR="00DF4009">
        <w:t xml:space="preserve"> Schedule 2, items 2 to </w:t>
      </w:r>
      <w:r w:rsidR="00F05BAF">
        <w:t>7 of</w:t>
      </w:r>
      <w:r w:rsidR="00DF4009">
        <w:t xml:space="preserve"> the Regulations commence i</w:t>
      </w:r>
      <w:r w:rsidR="00DF4009" w:rsidRPr="004C6565">
        <w:t xml:space="preserve">mmediately after the commencement of the </w:t>
      </w:r>
      <w:r w:rsidR="00DF4009" w:rsidRPr="004C6565">
        <w:rPr>
          <w:i/>
        </w:rPr>
        <w:t>Health Insurance (</w:t>
      </w:r>
      <w:r w:rsidR="00DF4009">
        <w:rPr>
          <w:i/>
        </w:rPr>
        <w:t>Diagnostic Imaging</w:t>
      </w:r>
      <w:r w:rsidR="00DF4009" w:rsidRPr="004C6565">
        <w:rPr>
          <w:i/>
        </w:rPr>
        <w:t xml:space="preserve"> Services Table) Regulations 2018</w:t>
      </w:r>
      <w:r w:rsidR="00DF4009" w:rsidRPr="004C6565">
        <w:t>.</w:t>
      </w:r>
    </w:p>
    <w:p w14:paraId="60B4ECB6" w14:textId="72B0636F" w:rsidR="00651925" w:rsidRPr="003D1C5D" w:rsidRDefault="00651925" w:rsidP="00651925">
      <w:pPr>
        <w:rPr>
          <w:szCs w:val="24"/>
        </w:rPr>
      </w:pPr>
    </w:p>
    <w:p w14:paraId="4706FB42" w14:textId="77777777" w:rsidR="008D51AE" w:rsidRPr="003D1C5D" w:rsidRDefault="008D51AE" w:rsidP="008D51AE">
      <w:pPr>
        <w:pStyle w:val="BodyText"/>
        <w:rPr>
          <w:b w:val="0"/>
          <w:szCs w:val="24"/>
          <w:u w:val="single"/>
        </w:rPr>
      </w:pPr>
      <w:r w:rsidRPr="003D1C5D">
        <w:rPr>
          <w:b w:val="0"/>
          <w:szCs w:val="24"/>
          <w:u w:val="single"/>
        </w:rPr>
        <w:t xml:space="preserve">Section 3 – Authority  </w:t>
      </w:r>
    </w:p>
    <w:p w14:paraId="71E1F175" w14:textId="77777777" w:rsidR="008D51AE" w:rsidRPr="003D1C5D" w:rsidRDefault="008D51AE" w:rsidP="008D51AE">
      <w:pPr>
        <w:pStyle w:val="BodyText"/>
        <w:rPr>
          <w:b w:val="0"/>
          <w:sz w:val="20"/>
        </w:rPr>
      </w:pPr>
    </w:p>
    <w:p w14:paraId="03F91795" w14:textId="7A5A811B" w:rsidR="008D51AE" w:rsidRPr="003D1C5D" w:rsidRDefault="008D51AE" w:rsidP="008D51AE">
      <w:pPr>
        <w:pStyle w:val="BodyText"/>
        <w:ind w:right="-483"/>
        <w:rPr>
          <w:b w:val="0"/>
          <w:szCs w:val="24"/>
        </w:rPr>
      </w:pPr>
      <w:r w:rsidRPr="003D1C5D">
        <w:rPr>
          <w:b w:val="0"/>
        </w:rPr>
        <w:t>This section</w:t>
      </w:r>
      <w:r w:rsidR="00CF35C8" w:rsidRPr="003D1C5D">
        <w:rPr>
          <w:b w:val="0"/>
        </w:rPr>
        <w:t xml:space="preserve"> provides that the </w:t>
      </w:r>
      <w:r w:rsidRPr="003D1C5D">
        <w:rPr>
          <w:b w:val="0"/>
        </w:rPr>
        <w:t xml:space="preserve">Regulations are made under the </w:t>
      </w:r>
      <w:r w:rsidRPr="003D1C5D">
        <w:rPr>
          <w:b w:val="0"/>
          <w:i/>
        </w:rPr>
        <w:t>Health Insurance Act 1973</w:t>
      </w:r>
      <w:r w:rsidRPr="003D1C5D">
        <w:rPr>
          <w:b w:val="0"/>
          <w:szCs w:val="24"/>
        </w:rPr>
        <w:t>.</w:t>
      </w:r>
    </w:p>
    <w:p w14:paraId="060A6F32" w14:textId="77777777" w:rsidR="008D51AE" w:rsidRPr="003D1C5D" w:rsidRDefault="008D51AE" w:rsidP="008D51AE">
      <w:pPr>
        <w:pStyle w:val="Header"/>
        <w:tabs>
          <w:tab w:val="clear" w:pos="4153"/>
          <w:tab w:val="clear" w:pos="8306"/>
          <w:tab w:val="num" w:pos="1080"/>
        </w:tabs>
        <w:rPr>
          <w:szCs w:val="24"/>
        </w:rPr>
      </w:pPr>
    </w:p>
    <w:p w14:paraId="59589041" w14:textId="77777777" w:rsidR="008D51AE" w:rsidRPr="003D1C5D" w:rsidRDefault="008D51AE" w:rsidP="008D51AE">
      <w:pPr>
        <w:pStyle w:val="Header"/>
        <w:tabs>
          <w:tab w:val="clear" w:pos="4153"/>
          <w:tab w:val="clear" w:pos="8306"/>
          <w:tab w:val="num" w:pos="1080"/>
        </w:tabs>
        <w:rPr>
          <w:szCs w:val="24"/>
          <w:u w:val="single"/>
        </w:rPr>
      </w:pPr>
      <w:r w:rsidRPr="003D1C5D">
        <w:rPr>
          <w:szCs w:val="24"/>
          <w:u w:val="single"/>
        </w:rPr>
        <w:t>Section 4 – Schedule(s)</w:t>
      </w:r>
    </w:p>
    <w:p w14:paraId="35A2E535" w14:textId="77777777" w:rsidR="008D51AE" w:rsidRPr="003D1C5D" w:rsidRDefault="008D51AE" w:rsidP="008D51AE">
      <w:pPr>
        <w:pStyle w:val="Header"/>
        <w:tabs>
          <w:tab w:val="clear" w:pos="4153"/>
          <w:tab w:val="clear" w:pos="8306"/>
          <w:tab w:val="num" w:pos="1080"/>
        </w:tabs>
        <w:rPr>
          <w:sz w:val="20"/>
          <w:u w:val="single"/>
        </w:rPr>
      </w:pPr>
    </w:p>
    <w:p w14:paraId="453FE2B1" w14:textId="6A39C334" w:rsidR="008D51AE" w:rsidRPr="003D1C5D" w:rsidRDefault="008D51AE" w:rsidP="008D51AE">
      <w:pPr>
        <w:pStyle w:val="BodyText"/>
        <w:ind w:right="-483"/>
        <w:rPr>
          <w:b w:val="0"/>
        </w:rPr>
      </w:pPr>
      <w:r w:rsidRPr="003D1C5D">
        <w:rPr>
          <w:b w:val="0"/>
        </w:rPr>
        <w:t xml:space="preserve">This </w:t>
      </w:r>
      <w:r w:rsidR="00CF35C8" w:rsidRPr="003D1C5D">
        <w:rPr>
          <w:b w:val="0"/>
        </w:rPr>
        <w:t xml:space="preserve">section </w:t>
      </w:r>
      <w:r w:rsidRPr="003D1C5D">
        <w:rPr>
          <w:b w:val="0"/>
        </w:rPr>
        <w:t>provide</w:t>
      </w:r>
      <w:r w:rsidR="00CF35C8" w:rsidRPr="003D1C5D">
        <w:rPr>
          <w:b w:val="0"/>
        </w:rPr>
        <w:t>s</w:t>
      </w:r>
      <w:r w:rsidRPr="003D1C5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3D1C5D" w:rsidRDefault="008D51AE" w:rsidP="008D51AE">
      <w:pPr>
        <w:pStyle w:val="Header"/>
        <w:tabs>
          <w:tab w:val="clear" w:pos="4153"/>
          <w:tab w:val="clear" w:pos="8306"/>
          <w:tab w:val="num" w:pos="1080"/>
        </w:tabs>
        <w:rPr>
          <w:szCs w:val="24"/>
        </w:rPr>
      </w:pPr>
    </w:p>
    <w:p w14:paraId="45BF4332" w14:textId="51FAA492" w:rsidR="00BF7ADE" w:rsidRPr="005E28AB" w:rsidRDefault="00651925" w:rsidP="00211327">
      <w:pPr>
        <w:rPr>
          <w:u w:val="single"/>
          <w:lang w:val="en-US" w:eastAsia="en-US"/>
        </w:rPr>
      </w:pPr>
      <w:r w:rsidRPr="005E28AB">
        <w:rPr>
          <w:u w:val="single"/>
          <w:lang w:val="en-US" w:eastAsia="en-US"/>
        </w:rPr>
        <w:t xml:space="preserve">Schedule 1 – </w:t>
      </w:r>
      <w:r w:rsidR="0069130B" w:rsidRPr="0022181A">
        <w:rPr>
          <w:u w:val="single"/>
          <w:lang w:val="en-US" w:eastAsia="en-US"/>
        </w:rPr>
        <w:t>Amendments</w:t>
      </w:r>
      <w:r w:rsidR="0098527E" w:rsidRPr="0022181A">
        <w:rPr>
          <w:u w:val="single"/>
        </w:rPr>
        <w:t xml:space="preserve"> </w:t>
      </w:r>
      <w:r w:rsidR="0098527E" w:rsidRPr="0022181A">
        <w:rPr>
          <w:u w:val="single"/>
          <w:lang w:val="en-US" w:eastAsia="en-US"/>
        </w:rPr>
        <w:t>relating</w:t>
      </w:r>
      <w:r w:rsidR="0098527E" w:rsidRPr="0098527E">
        <w:rPr>
          <w:u w:val="single"/>
          <w:lang w:val="en-US" w:eastAsia="en-US"/>
        </w:rPr>
        <w:t xml:space="preserve"> to medical practitioners</w:t>
      </w:r>
      <w:r w:rsidR="0098527E">
        <w:rPr>
          <w:u w:val="single"/>
          <w:lang w:val="en-US" w:eastAsia="en-US"/>
        </w:rPr>
        <w:t xml:space="preserve"> </w:t>
      </w:r>
    </w:p>
    <w:p w14:paraId="492344FA" w14:textId="77777777" w:rsidR="00211327" w:rsidRPr="005E28AB" w:rsidRDefault="00211327" w:rsidP="00211327">
      <w:pPr>
        <w:rPr>
          <w:u w:val="single"/>
          <w:lang w:val="en-US" w:eastAsia="en-US"/>
        </w:rPr>
      </w:pPr>
    </w:p>
    <w:p w14:paraId="31915331" w14:textId="714E90DB" w:rsidR="00651925" w:rsidRPr="005E28AB" w:rsidRDefault="00651925" w:rsidP="00211327">
      <w:pPr>
        <w:rPr>
          <w:b/>
          <w:i/>
        </w:rPr>
      </w:pPr>
      <w:bookmarkStart w:id="1" w:name="_Toc489526352"/>
      <w:r w:rsidRPr="005E28AB">
        <w:rPr>
          <w:b/>
          <w:i/>
        </w:rPr>
        <w:t>Health Insurance (General Medical Services Table) Regulations 201</w:t>
      </w:r>
      <w:bookmarkEnd w:id="1"/>
      <w:r w:rsidR="005E28AB" w:rsidRPr="005E28AB">
        <w:rPr>
          <w:b/>
          <w:i/>
        </w:rPr>
        <w:t>8</w:t>
      </w:r>
    </w:p>
    <w:p w14:paraId="16051154" w14:textId="77777777" w:rsidR="00211327" w:rsidRPr="00497FDB" w:rsidRDefault="00211327" w:rsidP="00211327">
      <w:pPr>
        <w:rPr>
          <w:b/>
        </w:rPr>
      </w:pPr>
    </w:p>
    <w:p w14:paraId="2D83A0C8" w14:textId="301F15AF" w:rsidR="00651925" w:rsidRPr="005E28AB" w:rsidRDefault="00651925" w:rsidP="00B20A35">
      <w:pPr>
        <w:pStyle w:val="NoSpacing"/>
        <w:rPr>
          <w:b/>
        </w:rPr>
      </w:pPr>
      <w:r w:rsidRPr="005E28AB">
        <w:rPr>
          <w:b/>
        </w:rPr>
        <w:t>Item</w:t>
      </w:r>
      <w:r w:rsidR="004F1F17" w:rsidRPr="005E28AB">
        <w:rPr>
          <w:b/>
        </w:rPr>
        <w:t>s</w:t>
      </w:r>
      <w:r w:rsidRPr="005E28AB">
        <w:rPr>
          <w:b/>
        </w:rPr>
        <w:t xml:space="preserve"> </w:t>
      </w:r>
      <w:r w:rsidR="001B2FF1">
        <w:rPr>
          <w:b/>
        </w:rPr>
        <w:t>1</w:t>
      </w:r>
      <w:r w:rsidR="005E28AB" w:rsidRPr="005E28AB">
        <w:rPr>
          <w:b/>
        </w:rPr>
        <w:t xml:space="preserve"> </w:t>
      </w:r>
      <w:r w:rsidR="004F1F17" w:rsidRPr="005E28AB">
        <w:rPr>
          <w:b/>
        </w:rPr>
        <w:t xml:space="preserve">and </w:t>
      </w:r>
      <w:r w:rsidR="001B2FF1">
        <w:rPr>
          <w:b/>
        </w:rPr>
        <w:t>2</w:t>
      </w:r>
      <w:r w:rsidR="00F14072">
        <w:rPr>
          <w:b/>
        </w:rPr>
        <w:t xml:space="preserve"> - </w:t>
      </w:r>
      <w:r w:rsidR="00F14072" w:rsidRPr="00497FDB">
        <w:rPr>
          <w:b/>
        </w:rPr>
        <w:t>Subclauses 2.8.1(1) and (2) of Schedule 1</w:t>
      </w:r>
    </w:p>
    <w:p w14:paraId="7FAB4F33" w14:textId="6F73861C" w:rsidR="00F14072" w:rsidRDefault="005E28AB" w:rsidP="00B20A35">
      <w:pPr>
        <w:pStyle w:val="NoSpacing"/>
      </w:pPr>
      <w:r w:rsidRPr="000F74FD">
        <w:t xml:space="preserve">These items make an amendment to the prolonged attendances items in Group A5 </w:t>
      </w:r>
      <w:r w:rsidR="00593796">
        <w:t xml:space="preserve">(items 160 to 164) </w:t>
      </w:r>
      <w:r w:rsidRPr="000F74FD">
        <w:t xml:space="preserve">by limiting them to being rendered by a general practitioner, specialist or consultant physician. There is no other change to the application of the items. </w:t>
      </w:r>
    </w:p>
    <w:p w14:paraId="4E96BB9F" w14:textId="20B224A3" w:rsidR="003A4F80" w:rsidRPr="000F74FD" w:rsidRDefault="005E28AB" w:rsidP="00B20A35">
      <w:pPr>
        <w:pStyle w:val="NoSpacing"/>
      </w:pPr>
      <w:r w:rsidRPr="000F74FD">
        <w:t xml:space="preserve">  </w:t>
      </w:r>
    </w:p>
    <w:p w14:paraId="7F1C77A9" w14:textId="34942E31" w:rsidR="003A4F80" w:rsidRPr="000F74FD" w:rsidRDefault="003A4F80" w:rsidP="00B20A35">
      <w:pPr>
        <w:pStyle w:val="NoSpacing"/>
        <w:rPr>
          <w:b/>
        </w:rPr>
      </w:pPr>
      <w:r w:rsidRPr="000F74FD">
        <w:rPr>
          <w:b/>
        </w:rPr>
        <w:t xml:space="preserve">Item </w:t>
      </w:r>
      <w:r w:rsidR="001B2FF1">
        <w:rPr>
          <w:b/>
        </w:rPr>
        <w:t>3</w:t>
      </w:r>
      <w:r w:rsidRPr="000F74FD">
        <w:rPr>
          <w:b/>
        </w:rPr>
        <w:t xml:space="preserve"> </w:t>
      </w:r>
      <w:r w:rsidR="00F14072">
        <w:rPr>
          <w:b/>
        </w:rPr>
        <w:t>–</w:t>
      </w:r>
      <w:r w:rsidRPr="000F74FD">
        <w:rPr>
          <w:b/>
        </w:rPr>
        <w:t xml:space="preserve"> </w:t>
      </w:r>
      <w:r w:rsidR="00F14072">
        <w:rPr>
          <w:b/>
        </w:rPr>
        <w:t>Schedule 1 (</w:t>
      </w:r>
      <w:r w:rsidR="005E28AB" w:rsidRPr="000F74FD">
        <w:rPr>
          <w:b/>
        </w:rPr>
        <w:t>items 170 to 172</w:t>
      </w:r>
      <w:r w:rsidR="00F14072">
        <w:rPr>
          <w:b/>
        </w:rPr>
        <w:t>)</w:t>
      </w:r>
    </w:p>
    <w:p w14:paraId="09BEB397" w14:textId="53976195" w:rsidR="005E28AB" w:rsidRDefault="003A4F80" w:rsidP="00B20A35">
      <w:pPr>
        <w:pStyle w:val="NoSpacing"/>
      </w:pPr>
      <w:r w:rsidRPr="000F74FD">
        <w:t xml:space="preserve">This item </w:t>
      </w:r>
      <w:r w:rsidR="005E28AB" w:rsidRPr="000F74FD">
        <w:t xml:space="preserve">makes an amendment to the group therapy items in Group A6 </w:t>
      </w:r>
      <w:r w:rsidR="00593796">
        <w:t xml:space="preserve">(item 170 to 172) </w:t>
      </w:r>
      <w:r w:rsidR="005E28AB" w:rsidRPr="000F74FD">
        <w:t xml:space="preserve">by limiting them to being rendered by a general practitioner, specialist or consultant physician (other than a </w:t>
      </w:r>
      <w:r w:rsidR="008B7619">
        <w:t xml:space="preserve">consultant </w:t>
      </w:r>
      <w:r w:rsidR="00687216">
        <w:t>physician</w:t>
      </w:r>
      <w:r w:rsidR="007C2B38" w:rsidRPr="007C2B38">
        <w:rPr>
          <w:snapToGrid w:val="0"/>
        </w:rPr>
        <w:t xml:space="preserve"> </w:t>
      </w:r>
      <w:r w:rsidR="007C2B38" w:rsidRPr="008C6FE4">
        <w:rPr>
          <w:snapToGrid w:val="0"/>
        </w:rPr>
        <w:t>in the practice of his or her specialty of psychiatry</w:t>
      </w:r>
      <w:r w:rsidR="007C2B38">
        <w:rPr>
          <w:snapToGrid w:val="0"/>
        </w:rPr>
        <w:t xml:space="preserve"> as per the current requirements</w:t>
      </w:r>
      <w:r w:rsidR="005E28AB" w:rsidRPr="000F74FD">
        <w:t>).</w:t>
      </w:r>
      <w:r w:rsidR="005E28AB">
        <w:t xml:space="preserve"> </w:t>
      </w:r>
      <w:r w:rsidR="000F74FD" w:rsidRPr="000F74FD">
        <w:t>There is no other change to the application of the items</w:t>
      </w:r>
      <w:r w:rsidR="008B7619" w:rsidRPr="000F74FD">
        <w:t xml:space="preserve">. </w:t>
      </w:r>
    </w:p>
    <w:p w14:paraId="320CFD69" w14:textId="78FDB88C" w:rsidR="00B672FD" w:rsidRDefault="00B672FD" w:rsidP="00B20A35">
      <w:pPr>
        <w:pStyle w:val="NoSpacing"/>
      </w:pPr>
    </w:p>
    <w:p w14:paraId="02AE6FA5" w14:textId="555AE917" w:rsidR="00B672FD" w:rsidRPr="00497FDB" w:rsidRDefault="00B672FD" w:rsidP="00B20A35">
      <w:pPr>
        <w:pStyle w:val="NoSpacing"/>
        <w:rPr>
          <w:b/>
        </w:rPr>
      </w:pPr>
      <w:r w:rsidRPr="00497FDB">
        <w:rPr>
          <w:b/>
        </w:rPr>
        <w:t>Item</w:t>
      </w:r>
      <w:r w:rsidR="00485614">
        <w:rPr>
          <w:b/>
        </w:rPr>
        <w:t>s</w:t>
      </w:r>
      <w:r w:rsidRPr="00497FDB">
        <w:rPr>
          <w:b/>
        </w:rPr>
        <w:t xml:space="preserve"> </w:t>
      </w:r>
      <w:r w:rsidR="001B2FF1">
        <w:rPr>
          <w:b/>
        </w:rPr>
        <w:t>4</w:t>
      </w:r>
      <w:r w:rsidRPr="00497FDB">
        <w:rPr>
          <w:b/>
        </w:rPr>
        <w:t xml:space="preserve"> </w:t>
      </w:r>
      <w:r w:rsidR="00280AF2">
        <w:rPr>
          <w:b/>
        </w:rPr>
        <w:t xml:space="preserve">and 5 </w:t>
      </w:r>
      <w:r w:rsidR="00F14072">
        <w:rPr>
          <w:b/>
        </w:rPr>
        <w:t>–</w:t>
      </w:r>
      <w:r w:rsidRPr="00497FDB">
        <w:rPr>
          <w:b/>
        </w:rPr>
        <w:t xml:space="preserve"> </w:t>
      </w:r>
      <w:r w:rsidR="001B2FF1">
        <w:rPr>
          <w:b/>
        </w:rPr>
        <w:t xml:space="preserve">Division 2.10 of </w:t>
      </w:r>
      <w:r w:rsidR="00F14072">
        <w:rPr>
          <w:b/>
        </w:rPr>
        <w:t xml:space="preserve">Schedule 1 </w:t>
      </w:r>
    </w:p>
    <w:p w14:paraId="2AD9336A" w14:textId="27C0D39D" w:rsidR="001B2FF1" w:rsidRDefault="00B672FD" w:rsidP="00B20A35">
      <w:pPr>
        <w:pStyle w:val="NoSpacing"/>
      </w:pPr>
      <w:r>
        <w:t>Th</w:t>
      </w:r>
      <w:r w:rsidR="00485614">
        <w:t>ese</w:t>
      </w:r>
      <w:r>
        <w:t xml:space="preserve"> item</w:t>
      </w:r>
      <w:r w:rsidR="00485614">
        <w:t>s</w:t>
      </w:r>
      <w:r>
        <w:t xml:space="preserve"> </w:t>
      </w:r>
      <w:r w:rsidR="00280AF2">
        <w:t xml:space="preserve">make a minor editorial </w:t>
      </w:r>
      <w:r w:rsidR="00485614">
        <w:t>amend</w:t>
      </w:r>
      <w:r w:rsidR="00280AF2">
        <w:t>ment</w:t>
      </w:r>
      <w:r w:rsidR="001B2FF1">
        <w:t xml:space="preserve"> </w:t>
      </w:r>
      <w:r w:rsidR="00280AF2">
        <w:t xml:space="preserve">to </w:t>
      </w:r>
      <w:r w:rsidR="001B2FF1">
        <w:t>the heading of Division 2.10</w:t>
      </w:r>
      <w:r w:rsidR="00280AF2">
        <w:t xml:space="preserve"> and </w:t>
      </w:r>
      <w:r w:rsidR="00485614">
        <w:t xml:space="preserve">the heading in the table in Division 2.10 </w:t>
      </w:r>
      <w:r w:rsidR="001B2FF1">
        <w:t xml:space="preserve">to include </w:t>
      </w:r>
      <w:r w:rsidR="001B2FF1" w:rsidRPr="007220AF">
        <w:t>“</w:t>
      </w:r>
      <w:r w:rsidR="001B2FF1" w:rsidRPr="00280AF2">
        <w:t>and Non-Specialist Practitioner Items</w:t>
      </w:r>
      <w:r w:rsidR="001B2FF1" w:rsidRPr="007220AF">
        <w:t>”.</w:t>
      </w:r>
      <w:r w:rsidR="001B2FF1">
        <w:t xml:space="preserve"> Th</w:t>
      </w:r>
      <w:r w:rsidR="00280AF2">
        <w:t>ese</w:t>
      </w:r>
      <w:r w:rsidR="001B2FF1">
        <w:t xml:space="preserve"> change</w:t>
      </w:r>
      <w:r w:rsidR="00280AF2">
        <w:t>s</w:t>
      </w:r>
      <w:r w:rsidR="001B2FF1">
        <w:t xml:space="preserve"> reflect the </w:t>
      </w:r>
      <w:r w:rsidR="00F05BAF">
        <w:t>addition</w:t>
      </w:r>
      <w:r w:rsidR="001B2FF1">
        <w:t xml:space="preserve"> of </w:t>
      </w:r>
      <w:r w:rsidR="007527A5">
        <w:t>OMP</w:t>
      </w:r>
      <w:r w:rsidR="00B0246A">
        <w:t xml:space="preserve"> items</w:t>
      </w:r>
      <w:r w:rsidR="007527A5">
        <w:t xml:space="preserve"> (otherwise known as ‘</w:t>
      </w:r>
      <w:r w:rsidR="001B2FF1">
        <w:t>non-specialist practitioner i</w:t>
      </w:r>
      <w:r w:rsidR="001B2FF1" w:rsidRPr="00895D30">
        <w:t>tems</w:t>
      </w:r>
      <w:r w:rsidR="00B0246A">
        <w:t>’)</w:t>
      </w:r>
      <w:r w:rsidR="001B2FF1">
        <w:t xml:space="preserve"> to this group </w:t>
      </w:r>
      <w:r w:rsidR="00280AF2">
        <w:t xml:space="preserve">that have been </w:t>
      </w:r>
      <w:r w:rsidR="001B2FF1">
        <w:t xml:space="preserve">made through the </w:t>
      </w:r>
      <w:r w:rsidR="001B2FF1" w:rsidRPr="00E4692D">
        <w:rPr>
          <w:i/>
        </w:rPr>
        <w:t>Health Insurance (Section 3C General Medical Services – Other Medical Practitioner) Determination 2018</w:t>
      </w:r>
      <w:r w:rsidR="001B2FF1" w:rsidRPr="00280AF2">
        <w:t>.</w:t>
      </w:r>
      <w:r w:rsidR="001B2FF1" w:rsidRPr="00B41E94">
        <w:t xml:space="preserve"> </w:t>
      </w:r>
    </w:p>
    <w:p w14:paraId="14787ECE" w14:textId="77777777" w:rsidR="00280AF2" w:rsidRDefault="00280AF2" w:rsidP="00B20A35">
      <w:pPr>
        <w:pStyle w:val="NoSpacing"/>
      </w:pPr>
    </w:p>
    <w:p w14:paraId="19DE30EB" w14:textId="18324A25" w:rsidR="00280AF2" w:rsidRPr="00525917" w:rsidRDefault="00280AF2" w:rsidP="00280AF2">
      <w:pPr>
        <w:pStyle w:val="ItemHead"/>
        <w:rPr>
          <w:rFonts w:ascii="Times New Roman" w:hAnsi="Times New Roman"/>
          <w:kern w:val="0"/>
          <w:szCs w:val="24"/>
          <w:lang w:eastAsia="en-US"/>
        </w:rPr>
      </w:pPr>
      <w:r w:rsidRPr="00525917">
        <w:rPr>
          <w:rFonts w:ascii="Times New Roman" w:hAnsi="Times New Roman"/>
          <w:kern w:val="0"/>
          <w:szCs w:val="24"/>
          <w:lang w:eastAsia="en-US"/>
        </w:rPr>
        <w:lastRenderedPageBreak/>
        <w:t xml:space="preserve">Item 6 </w:t>
      </w:r>
      <w:r>
        <w:rPr>
          <w:rFonts w:ascii="Times New Roman" w:hAnsi="Times New Roman"/>
          <w:kern w:val="0"/>
          <w:szCs w:val="24"/>
          <w:lang w:eastAsia="en-US"/>
        </w:rPr>
        <w:t xml:space="preserve">- </w:t>
      </w:r>
      <w:r w:rsidRPr="00525917">
        <w:rPr>
          <w:rFonts w:ascii="Times New Roman" w:hAnsi="Times New Roman"/>
          <w:kern w:val="0"/>
          <w:szCs w:val="24"/>
          <w:lang w:eastAsia="en-US"/>
        </w:rPr>
        <w:t>Division 2.10 of Schedule 1 (Group A7 table, before item 173)</w:t>
      </w:r>
    </w:p>
    <w:p w14:paraId="32A8707B" w14:textId="0ADC8EA0" w:rsidR="00280AF2" w:rsidRDefault="00280AF2" w:rsidP="00280AF2">
      <w:pPr>
        <w:pStyle w:val="NoSpacing"/>
      </w:pPr>
      <w:r>
        <w:t xml:space="preserve">This item makes a minor editorial amendment by adding ‘subgroup 1 – Acupuncture’ in the table before item 173. This change is to reflect the addition of subgroups to this group that have been made through the </w:t>
      </w:r>
      <w:r w:rsidRPr="00E4692D">
        <w:rPr>
          <w:i/>
        </w:rPr>
        <w:t>Health Insurance (Section 3C General Medical Services – Other Medical Practitioner) Determination 2018</w:t>
      </w:r>
      <w:r w:rsidRPr="00280AF2">
        <w:t>.</w:t>
      </w:r>
      <w:r w:rsidRPr="00B41E94">
        <w:t xml:space="preserve"> </w:t>
      </w:r>
    </w:p>
    <w:p w14:paraId="36311C0E" w14:textId="77777777" w:rsidR="005E28AB" w:rsidRDefault="005E28AB" w:rsidP="00B20A35">
      <w:pPr>
        <w:pStyle w:val="NoSpacing"/>
      </w:pPr>
    </w:p>
    <w:p w14:paraId="1BDFD418" w14:textId="5FB035CD" w:rsidR="000F74FD" w:rsidRPr="000F74FD" w:rsidRDefault="000F74FD" w:rsidP="000F74FD">
      <w:pPr>
        <w:pStyle w:val="NoSpacing"/>
        <w:rPr>
          <w:b/>
        </w:rPr>
      </w:pPr>
      <w:r w:rsidRPr="000F74FD">
        <w:rPr>
          <w:b/>
        </w:rPr>
        <w:t>Item</w:t>
      </w:r>
      <w:r w:rsidR="0078129B">
        <w:rPr>
          <w:b/>
        </w:rPr>
        <w:t>s</w:t>
      </w:r>
      <w:r w:rsidR="00593796">
        <w:rPr>
          <w:b/>
        </w:rPr>
        <w:t xml:space="preserve"> </w:t>
      </w:r>
      <w:r w:rsidR="00E17894">
        <w:rPr>
          <w:b/>
        </w:rPr>
        <w:t>7</w:t>
      </w:r>
      <w:r w:rsidR="006F2BCC">
        <w:rPr>
          <w:b/>
        </w:rPr>
        <w:t xml:space="preserve"> to 1</w:t>
      </w:r>
      <w:r w:rsidR="00E17894">
        <w:rPr>
          <w:b/>
        </w:rPr>
        <w:t>4</w:t>
      </w:r>
      <w:r w:rsidR="006F2BCC">
        <w:rPr>
          <w:b/>
        </w:rPr>
        <w:t>,</w:t>
      </w:r>
      <w:r w:rsidR="00D51A2B">
        <w:rPr>
          <w:b/>
        </w:rPr>
        <w:t xml:space="preserve"> </w:t>
      </w:r>
      <w:r w:rsidR="006F2BCC">
        <w:rPr>
          <w:b/>
        </w:rPr>
        <w:t>5</w:t>
      </w:r>
      <w:r w:rsidR="00E17894">
        <w:rPr>
          <w:b/>
        </w:rPr>
        <w:t>7</w:t>
      </w:r>
      <w:r w:rsidR="006F2BCC">
        <w:rPr>
          <w:b/>
        </w:rPr>
        <w:t xml:space="preserve"> </w:t>
      </w:r>
      <w:r w:rsidR="00D51A2B">
        <w:rPr>
          <w:b/>
        </w:rPr>
        <w:t>and</w:t>
      </w:r>
      <w:r w:rsidR="006F2BCC">
        <w:rPr>
          <w:b/>
        </w:rPr>
        <w:t xml:space="preserve"> 5</w:t>
      </w:r>
      <w:r w:rsidR="00E17894">
        <w:rPr>
          <w:b/>
        </w:rPr>
        <w:t>8</w:t>
      </w:r>
      <w:r w:rsidR="00D51A2B">
        <w:rPr>
          <w:b/>
        </w:rPr>
        <w:t xml:space="preserve"> </w:t>
      </w:r>
    </w:p>
    <w:p w14:paraId="3382A48E" w14:textId="725BA934" w:rsidR="000F74FD" w:rsidRDefault="000F74FD" w:rsidP="000F74FD">
      <w:pPr>
        <w:pStyle w:val="NoSpacing"/>
      </w:pPr>
      <w:r>
        <w:t>These</w:t>
      </w:r>
      <w:r w:rsidRPr="000F74FD">
        <w:t xml:space="preserve"> item</w:t>
      </w:r>
      <w:r>
        <w:t>s</w:t>
      </w:r>
      <w:r w:rsidRPr="000F74FD">
        <w:t xml:space="preserve"> amend </w:t>
      </w:r>
      <w:r w:rsidR="00593796">
        <w:t xml:space="preserve">the </w:t>
      </w:r>
      <w:r w:rsidR="00F14072">
        <w:t>health assessment</w:t>
      </w:r>
      <w:r w:rsidR="0078129B">
        <w:t xml:space="preserve"> </w:t>
      </w:r>
      <w:r>
        <w:t xml:space="preserve">items </w:t>
      </w:r>
      <w:r w:rsidR="00E17894">
        <w:t xml:space="preserve">(701, 703, 705, 707 and 715) and relevant clauses </w:t>
      </w:r>
      <w:r>
        <w:t>in Group A1</w:t>
      </w:r>
      <w:r w:rsidR="00F14072">
        <w:t>4</w:t>
      </w:r>
      <w:r>
        <w:t xml:space="preserve"> </w:t>
      </w:r>
      <w:r w:rsidR="00E17894">
        <w:t>to</w:t>
      </w:r>
      <w:r w:rsidRPr="000F74FD">
        <w:t xml:space="preserve"> limit</w:t>
      </w:r>
      <w:r w:rsidR="00E17894">
        <w:t xml:space="preserve"> these items to</w:t>
      </w:r>
      <w:r w:rsidRPr="000F74FD">
        <w:t xml:space="preserve"> being rendered </w:t>
      </w:r>
      <w:r>
        <w:t xml:space="preserve">by a general practitioner. </w:t>
      </w:r>
      <w:r w:rsidRPr="000F74FD">
        <w:t>There is no other change to the application of the items.</w:t>
      </w:r>
      <w:r>
        <w:t xml:space="preserve"> </w:t>
      </w:r>
    </w:p>
    <w:p w14:paraId="447251EA" w14:textId="77777777" w:rsidR="000F74FD" w:rsidRDefault="000F74FD" w:rsidP="000F74FD">
      <w:pPr>
        <w:pStyle w:val="NoSpacing"/>
      </w:pPr>
    </w:p>
    <w:p w14:paraId="47BC92DB" w14:textId="10DF441D" w:rsidR="00593796" w:rsidRDefault="00593796" w:rsidP="00280AF2">
      <w:pPr>
        <w:pStyle w:val="NoSpacing"/>
        <w:rPr>
          <w:b/>
        </w:rPr>
      </w:pPr>
      <w:r w:rsidRPr="00497FDB">
        <w:rPr>
          <w:b/>
        </w:rPr>
        <w:t xml:space="preserve">Items </w:t>
      </w:r>
      <w:r w:rsidR="006F2BCC">
        <w:rPr>
          <w:b/>
        </w:rPr>
        <w:t>1</w:t>
      </w:r>
      <w:r w:rsidR="0076230E">
        <w:rPr>
          <w:b/>
        </w:rPr>
        <w:t>5</w:t>
      </w:r>
      <w:r w:rsidR="006F2BCC">
        <w:rPr>
          <w:b/>
        </w:rPr>
        <w:t xml:space="preserve"> to 2</w:t>
      </w:r>
      <w:r w:rsidR="0076230E">
        <w:rPr>
          <w:b/>
        </w:rPr>
        <w:t>6</w:t>
      </w:r>
    </w:p>
    <w:p w14:paraId="19CD55DB" w14:textId="5ED73C64" w:rsidR="00593796" w:rsidRDefault="00593796" w:rsidP="00593796">
      <w:pPr>
        <w:pStyle w:val="NoSpacing"/>
      </w:pPr>
      <w:r>
        <w:t>These</w:t>
      </w:r>
      <w:r w:rsidRPr="000F74FD">
        <w:t xml:space="preserve"> item</w:t>
      </w:r>
      <w:r>
        <w:t>s</w:t>
      </w:r>
      <w:r w:rsidRPr="000F74FD">
        <w:t xml:space="preserve"> amend </w:t>
      </w:r>
      <w:r>
        <w:t xml:space="preserve">the GP chronic disease </w:t>
      </w:r>
      <w:r w:rsidR="008B7619">
        <w:t>management</w:t>
      </w:r>
      <w:r>
        <w:t xml:space="preserve"> items </w:t>
      </w:r>
      <w:r w:rsidR="00DB1575">
        <w:t xml:space="preserve">(721 to 732), case conference </w:t>
      </w:r>
      <w:r w:rsidR="007E0100">
        <w:t xml:space="preserve">items </w:t>
      </w:r>
      <w:r w:rsidR="00DB1575">
        <w:t xml:space="preserve">(735 to 758) and </w:t>
      </w:r>
      <w:r w:rsidR="007527A5">
        <w:t xml:space="preserve">for participation in a </w:t>
      </w:r>
      <w:r w:rsidR="007527A5" w:rsidRPr="008C6FE4">
        <w:rPr>
          <w:bCs/>
        </w:rPr>
        <w:t>multidisciplinary case conference</w:t>
      </w:r>
      <w:r w:rsidR="007527A5">
        <w:t xml:space="preserve"> </w:t>
      </w:r>
      <w:r w:rsidR="00DB1575">
        <w:t xml:space="preserve">items </w:t>
      </w:r>
      <w:r w:rsidR="007527A5">
        <w:t>(</w:t>
      </w:r>
      <w:r w:rsidR="00DB1575">
        <w:t>871 and 872</w:t>
      </w:r>
      <w:r w:rsidR="007527A5">
        <w:t>)</w:t>
      </w:r>
      <w:r w:rsidR="00DB1575">
        <w:t xml:space="preserve"> </w:t>
      </w:r>
      <w:r w:rsidR="0076230E">
        <w:t xml:space="preserve">and relevant clauses </w:t>
      </w:r>
      <w:r>
        <w:t>in Group A15</w:t>
      </w:r>
      <w:r w:rsidR="00DB1575">
        <w:t>. Th</w:t>
      </w:r>
      <w:r w:rsidR="0076230E">
        <w:t>ese</w:t>
      </w:r>
      <w:r w:rsidR="00DB1575">
        <w:t xml:space="preserve"> change</w:t>
      </w:r>
      <w:r w:rsidR="0076230E">
        <w:t>s</w:t>
      </w:r>
      <w:r>
        <w:t xml:space="preserve"> </w:t>
      </w:r>
      <w:r w:rsidRPr="000F74FD">
        <w:t>limit</w:t>
      </w:r>
      <w:r w:rsidR="00DB1575">
        <w:t xml:space="preserve"> </w:t>
      </w:r>
      <w:r w:rsidR="000E317C">
        <w:t xml:space="preserve">the rendering of items </w:t>
      </w:r>
      <w:r w:rsidR="0076230E">
        <w:t xml:space="preserve">721 to 732 and 735 to 758 </w:t>
      </w:r>
      <w:r w:rsidRPr="000F74FD">
        <w:t xml:space="preserve">to </w:t>
      </w:r>
      <w:r>
        <w:t>a general practitioner</w:t>
      </w:r>
      <w:r w:rsidR="0076230E">
        <w:t>,</w:t>
      </w:r>
      <w:r w:rsidR="00DB1575">
        <w:t xml:space="preserve"> and</w:t>
      </w:r>
      <w:r w:rsidR="0076230E">
        <w:t xml:space="preserve"> </w:t>
      </w:r>
      <w:r w:rsidR="00DB1575">
        <w:t xml:space="preserve">items 871 and 872 </w:t>
      </w:r>
      <w:r w:rsidR="0076230E">
        <w:t xml:space="preserve">to </w:t>
      </w:r>
      <w:r w:rsidR="00DB1575">
        <w:t>a general practitioner, specialist or consultant physician</w:t>
      </w:r>
      <w:r>
        <w:t xml:space="preserve">. </w:t>
      </w:r>
      <w:r w:rsidRPr="000F74FD">
        <w:t>There is no other change to the application of the items.</w:t>
      </w:r>
      <w:r>
        <w:t xml:space="preserve"> </w:t>
      </w:r>
    </w:p>
    <w:p w14:paraId="75637637" w14:textId="77777777" w:rsidR="00593796" w:rsidRDefault="00593796" w:rsidP="00593796">
      <w:pPr>
        <w:pStyle w:val="NoSpacing"/>
      </w:pPr>
    </w:p>
    <w:p w14:paraId="013C0F67" w14:textId="4958E734" w:rsidR="00593796" w:rsidRPr="00497FDB" w:rsidRDefault="008B7619" w:rsidP="00593796">
      <w:pPr>
        <w:pStyle w:val="NoSpacing"/>
      </w:pPr>
      <w:r>
        <w:t>There are no changes to the c</w:t>
      </w:r>
      <w:r w:rsidRPr="00497FDB">
        <w:t xml:space="preserve">onsultant physician </w:t>
      </w:r>
      <w:r>
        <w:t xml:space="preserve">items </w:t>
      </w:r>
      <w:r w:rsidRPr="00497FDB">
        <w:t xml:space="preserve">820 to 866 and 880 in Group A15. </w:t>
      </w:r>
    </w:p>
    <w:p w14:paraId="0483184E" w14:textId="77777777" w:rsidR="003A4F80" w:rsidRPr="005E28AB" w:rsidRDefault="003A4F80" w:rsidP="00B20A35">
      <w:pPr>
        <w:pStyle w:val="NoSpacing"/>
        <w:rPr>
          <w:highlight w:val="yellow"/>
        </w:rPr>
      </w:pPr>
    </w:p>
    <w:p w14:paraId="4AE8A59C" w14:textId="45F92146" w:rsidR="003A4F80" w:rsidRPr="00B25F02" w:rsidRDefault="003A4F80" w:rsidP="00B20A35">
      <w:pPr>
        <w:pStyle w:val="NoSpacing"/>
        <w:rPr>
          <w:b/>
        </w:rPr>
      </w:pPr>
      <w:r w:rsidRPr="00B25F02">
        <w:rPr>
          <w:b/>
        </w:rPr>
        <w:t>Item</w:t>
      </w:r>
      <w:r w:rsidR="0078129B" w:rsidRPr="00B25F02">
        <w:rPr>
          <w:b/>
        </w:rPr>
        <w:t>s</w:t>
      </w:r>
      <w:r w:rsidRPr="00B25F02">
        <w:rPr>
          <w:b/>
        </w:rPr>
        <w:t xml:space="preserve"> </w:t>
      </w:r>
      <w:r w:rsidR="006F2BCC">
        <w:rPr>
          <w:b/>
        </w:rPr>
        <w:t>2</w:t>
      </w:r>
      <w:r w:rsidR="0076230E">
        <w:rPr>
          <w:b/>
        </w:rPr>
        <w:t>7</w:t>
      </w:r>
      <w:r w:rsidR="006F2BCC">
        <w:rPr>
          <w:b/>
        </w:rPr>
        <w:t xml:space="preserve"> to 3</w:t>
      </w:r>
      <w:r w:rsidR="0076230E">
        <w:rPr>
          <w:b/>
        </w:rPr>
        <w:t>3</w:t>
      </w:r>
    </w:p>
    <w:p w14:paraId="3A11FC8E" w14:textId="55C77D9F" w:rsidR="00B25F02" w:rsidRDefault="0078129B" w:rsidP="00B25F02">
      <w:pPr>
        <w:pStyle w:val="NoSpacing"/>
      </w:pPr>
      <w:r w:rsidRPr="00B25F02">
        <w:t xml:space="preserve">These items </w:t>
      </w:r>
      <w:r w:rsidR="000E317C">
        <w:t xml:space="preserve">amend </w:t>
      </w:r>
      <w:r w:rsidRPr="00B25F02">
        <w:t xml:space="preserve">the </w:t>
      </w:r>
      <w:r w:rsidR="00B25F02" w:rsidRPr="00B25F02">
        <w:t xml:space="preserve">domiciliary and residential medication management reviews items </w:t>
      </w:r>
      <w:r w:rsidR="0076230E">
        <w:t xml:space="preserve">(items 900 and 903) and relevant clauses </w:t>
      </w:r>
      <w:r w:rsidR="00B25F02" w:rsidRPr="00B25F02">
        <w:t>in Group A17</w:t>
      </w:r>
      <w:r w:rsidR="000E317C">
        <w:t>. Th</w:t>
      </w:r>
      <w:r w:rsidR="0076230E">
        <w:t>ese</w:t>
      </w:r>
      <w:r w:rsidR="000E317C">
        <w:t xml:space="preserve"> change</w:t>
      </w:r>
      <w:r w:rsidR="0076230E">
        <w:t>s</w:t>
      </w:r>
      <w:r w:rsidR="000E317C">
        <w:t xml:space="preserve"> </w:t>
      </w:r>
      <w:r w:rsidRPr="00B25F02">
        <w:t xml:space="preserve">limit </w:t>
      </w:r>
      <w:r w:rsidR="000E317C">
        <w:t xml:space="preserve">the rendering of </w:t>
      </w:r>
      <w:r w:rsidRPr="00B25F02">
        <w:t>the</w:t>
      </w:r>
      <w:r w:rsidR="000E317C">
        <w:t>se items</w:t>
      </w:r>
      <w:r w:rsidRPr="00B25F02">
        <w:t xml:space="preserve"> </w:t>
      </w:r>
      <w:r w:rsidR="008B7619" w:rsidRPr="00B25F02">
        <w:t>to</w:t>
      </w:r>
      <w:r w:rsidR="008B7619">
        <w:t xml:space="preserve"> a</w:t>
      </w:r>
      <w:r w:rsidR="000E317C">
        <w:t xml:space="preserve"> </w:t>
      </w:r>
      <w:r w:rsidRPr="00B25F02">
        <w:t xml:space="preserve">general practitioner. There is no other change to the application of the items. </w:t>
      </w:r>
    </w:p>
    <w:p w14:paraId="6707A922" w14:textId="77777777" w:rsidR="00B25F02" w:rsidRDefault="00B25F02" w:rsidP="00B25F02">
      <w:pPr>
        <w:pStyle w:val="NoSpacing"/>
      </w:pPr>
    </w:p>
    <w:p w14:paraId="0D5B961C" w14:textId="4FB55C19" w:rsidR="00B95206" w:rsidRDefault="00B25F02" w:rsidP="00B25F02">
      <w:pPr>
        <w:pStyle w:val="NoSpacing"/>
        <w:rPr>
          <w:b/>
        </w:rPr>
      </w:pPr>
      <w:r w:rsidRPr="00B25F02">
        <w:rPr>
          <w:b/>
        </w:rPr>
        <w:t xml:space="preserve">Item </w:t>
      </w:r>
      <w:r w:rsidR="006F2BCC">
        <w:rPr>
          <w:b/>
        </w:rPr>
        <w:t>3</w:t>
      </w:r>
      <w:r w:rsidR="00B95206">
        <w:rPr>
          <w:b/>
        </w:rPr>
        <w:t>4</w:t>
      </w:r>
      <w:r w:rsidR="006F2BCC">
        <w:rPr>
          <w:b/>
        </w:rPr>
        <w:t xml:space="preserve"> </w:t>
      </w:r>
      <w:r w:rsidR="00B95206">
        <w:rPr>
          <w:b/>
        </w:rPr>
        <w:t>– a</w:t>
      </w:r>
      <w:r w:rsidR="00B95206" w:rsidRPr="00B95206">
        <w:rPr>
          <w:b/>
        </w:rPr>
        <w:t>t the end of subclause 2.20.1(1) of Schedule 1</w:t>
      </w:r>
    </w:p>
    <w:p w14:paraId="75314C99" w14:textId="08F2465F" w:rsidR="00B25F02" w:rsidRDefault="00B25F02" w:rsidP="00B25F02">
      <w:pPr>
        <w:pStyle w:val="NoSpacing"/>
      </w:pPr>
      <w:r w:rsidRPr="00B25F02">
        <w:t>Th</w:t>
      </w:r>
      <w:r w:rsidR="00B95206">
        <w:t>is</w:t>
      </w:r>
      <w:r w:rsidRPr="00B25F02">
        <w:t xml:space="preserve"> item make</w:t>
      </w:r>
      <w:r w:rsidR="00B95206">
        <w:t>s</w:t>
      </w:r>
      <w:r w:rsidRPr="00B25F02">
        <w:t xml:space="preserve"> an amendment to the video conferencing consultation items </w:t>
      </w:r>
      <w:r w:rsidR="001B3DDB">
        <w:t>(2100 to 2220)</w:t>
      </w:r>
      <w:r w:rsidR="001B3DDB" w:rsidRPr="00B25F02">
        <w:t xml:space="preserve"> </w:t>
      </w:r>
      <w:r w:rsidRPr="00B25F02">
        <w:t>in Group A30</w:t>
      </w:r>
      <w:r w:rsidR="000E317C">
        <w:t xml:space="preserve"> </w:t>
      </w:r>
      <w:r w:rsidRPr="00B25F02">
        <w:t xml:space="preserve">by limiting them to being rendered by a general practitioner, specialist or consultant physician. There is no other change to the application of the items. </w:t>
      </w:r>
    </w:p>
    <w:p w14:paraId="7F7D514B" w14:textId="2AA7CAAE" w:rsidR="00B95206" w:rsidRDefault="00B95206" w:rsidP="00B25F02">
      <w:pPr>
        <w:pStyle w:val="NoSpacing"/>
      </w:pPr>
    </w:p>
    <w:p w14:paraId="56C6FB69" w14:textId="7EE231C7" w:rsidR="00B95206" w:rsidRDefault="00B95206" w:rsidP="00B25F02">
      <w:pPr>
        <w:pStyle w:val="NoSpacing"/>
        <w:rPr>
          <w:b/>
        </w:rPr>
      </w:pPr>
      <w:r w:rsidRPr="00525917">
        <w:rPr>
          <w:b/>
        </w:rPr>
        <w:t>Item 35 - Division 2.20 of Schedule 1 (Group A30 table, table heading)</w:t>
      </w:r>
    </w:p>
    <w:p w14:paraId="5DDCE8F7" w14:textId="4371F15D" w:rsidR="00B95206" w:rsidRPr="00B95206" w:rsidRDefault="00B95206" w:rsidP="00B25F02">
      <w:pPr>
        <w:pStyle w:val="NoSpacing"/>
      </w:pPr>
      <w:r w:rsidRPr="00525917">
        <w:t>This item makes a minor editor</w:t>
      </w:r>
      <w:r w:rsidR="00FE1C8F">
        <w:t>i</w:t>
      </w:r>
      <w:r w:rsidRPr="00525917">
        <w:t xml:space="preserve">al amendment to </w:t>
      </w:r>
      <w:r>
        <w:t xml:space="preserve">the heading in the table in Group A30 by removing </w:t>
      </w:r>
      <w:r w:rsidRPr="00B95206">
        <w:t>“(including a general practitioner, specialist or consultant physician)”.</w:t>
      </w:r>
      <w:r w:rsidR="00FD5D02">
        <w:t xml:space="preserve"> This change is to make the table name consistent with the name of the division.</w:t>
      </w:r>
    </w:p>
    <w:p w14:paraId="15AE9278" w14:textId="2DC7007E" w:rsidR="0077342B" w:rsidRPr="00280AF2" w:rsidRDefault="0077342B" w:rsidP="00B25F02">
      <w:pPr>
        <w:pStyle w:val="NoSpacing"/>
        <w:rPr>
          <w:b/>
        </w:rPr>
      </w:pPr>
    </w:p>
    <w:p w14:paraId="64B5CEAF" w14:textId="51825F8F" w:rsidR="0077342B" w:rsidRDefault="0077342B" w:rsidP="00B25F02">
      <w:pPr>
        <w:pStyle w:val="NoSpacing"/>
        <w:rPr>
          <w:b/>
        </w:rPr>
      </w:pPr>
      <w:r w:rsidRPr="00280AF2">
        <w:rPr>
          <w:b/>
        </w:rPr>
        <w:t>Item 3</w:t>
      </w:r>
      <w:r w:rsidR="00FD04F8">
        <w:rPr>
          <w:b/>
        </w:rPr>
        <w:t>6</w:t>
      </w:r>
      <w:r>
        <w:rPr>
          <w:b/>
        </w:rPr>
        <w:t xml:space="preserve"> - </w:t>
      </w:r>
      <w:r w:rsidRPr="00B41E94">
        <w:rPr>
          <w:b/>
        </w:rPr>
        <w:t>Schedule 1 (item 2143</w:t>
      </w:r>
      <w:r w:rsidRPr="00280AF2">
        <w:rPr>
          <w:b/>
        </w:rPr>
        <w:t>)</w:t>
      </w:r>
    </w:p>
    <w:p w14:paraId="3320CEAD" w14:textId="2F6D87E2" w:rsidR="0077342B" w:rsidRPr="00B41E94" w:rsidRDefault="0077342B" w:rsidP="00B25F02">
      <w:pPr>
        <w:pStyle w:val="NoSpacing"/>
      </w:pPr>
      <w:r w:rsidRPr="00280AF2">
        <w:t>This item</w:t>
      </w:r>
      <w:r>
        <w:t xml:space="preserve"> makes a minor </w:t>
      </w:r>
      <w:r w:rsidR="00F05BAF">
        <w:t>editorial</w:t>
      </w:r>
      <w:r>
        <w:t xml:space="preserve"> am</w:t>
      </w:r>
      <w:r w:rsidR="00381DBD">
        <w:t xml:space="preserve">endment to the wording in item </w:t>
      </w:r>
      <w:r>
        <w:t>2143.</w:t>
      </w:r>
      <w:r w:rsidR="00381DBD">
        <w:t xml:space="preserve"> This change is to make this item descriptor consistent with the other items in this group </w:t>
      </w:r>
      <w:r w:rsidR="00FD04F8">
        <w:t xml:space="preserve">(A30) </w:t>
      </w:r>
      <w:r w:rsidR="00381DBD">
        <w:t xml:space="preserve">but does not change the application of the item. </w:t>
      </w:r>
      <w:r>
        <w:t xml:space="preserve"> </w:t>
      </w:r>
    </w:p>
    <w:p w14:paraId="77E6DB7B" w14:textId="77777777" w:rsidR="00B7133B" w:rsidRPr="005E28AB" w:rsidRDefault="00B7133B" w:rsidP="00B7133B">
      <w:pPr>
        <w:pStyle w:val="NoSpacing"/>
        <w:rPr>
          <w:highlight w:val="yellow"/>
        </w:rPr>
      </w:pPr>
    </w:p>
    <w:p w14:paraId="6E7EEE73" w14:textId="5FF04DCC" w:rsidR="00B7133B" w:rsidRPr="00B25F02" w:rsidRDefault="00B7133B" w:rsidP="00B7133B">
      <w:pPr>
        <w:pStyle w:val="NoSpacing"/>
        <w:rPr>
          <w:b/>
        </w:rPr>
      </w:pPr>
      <w:r w:rsidRPr="00B25F02">
        <w:rPr>
          <w:b/>
        </w:rPr>
        <w:t>Item</w:t>
      </w:r>
      <w:r w:rsidR="00B25F02" w:rsidRPr="00B25F02">
        <w:rPr>
          <w:b/>
        </w:rPr>
        <w:t xml:space="preserve">s </w:t>
      </w:r>
      <w:r w:rsidR="00381DBD">
        <w:rPr>
          <w:b/>
        </w:rPr>
        <w:t>3</w:t>
      </w:r>
      <w:r w:rsidR="00FD04F8">
        <w:rPr>
          <w:b/>
        </w:rPr>
        <w:t>7</w:t>
      </w:r>
      <w:r w:rsidR="00381DBD">
        <w:rPr>
          <w:b/>
        </w:rPr>
        <w:t xml:space="preserve"> to </w:t>
      </w:r>
      <w:r w:rsidR="00FD04F8">
        <w:rPr>
          <w:b/>
        </w:rPr>
        <w:t>50</w:t>
      </w:r>
    </w:p>
    <w:p w14:paraId="1AE6126D" w14:textId="52F21ECA" w:rsidR="007E0100" w:rsidRDefault="00B25F02" w:rsidP="00B25F02">
      <w:pPr>
        <w:pStyle w:val="NoSpacing"/>
      </w:pPr>
      <w:r w:rsidRPr="00B25F02">
        <w:t xml:space="preserve">These items amend the </w:t>
      </w:r>
      <w:r w:rsidR="002130C0">
        <w:t xml:space="preserve">mental </w:t>
      </w:r>
      <w:r w:rsidRPr="00B25F02">
        <w:t xml:space="preserve">health care items </w:t>
      </w:r>
      <w:r w:rsidR="00FD04F8">
        <w:t xml:space="preserve">(2700 to 2727) and relevant clauses </w:t>
      </w:r>
      <w:r w:rsidRPr="00B25F02">
        <w:t xml:space="preserve">in Group A20 </w:t>
      </w:r>
      <w:r w:rsidR="00FD04F8">
        <w:t>to</w:t>
      </w:r>
      <w:r w:rsidRPr="00B25F02">
        <w:t xml:space="preserve"> limit the</w:t>
      </w:r>
      <w:r w:rsidR="00FD04F8">
        <w:t xml:space="preserve"> items</w:t>
      </w:r>
      <w:r w:rsidRPr="00B25F02">
        <w:t xml:space="preserve"> to being rendered by a general practitioner</w:t>
      </w:r>
      <w:r w:rsidR="00FD04F8">
        <w:t xml:space="preserve">. The exiting requirements around mental health skills training will remain unchanged. </w:t>
      </w:r>
      <w:r w:rsidR="007E0100">
        <w:t>T</w:t>
      </w:r>
      <w:r w:rsidR="00FD04F8">
        <w:t>he</w:t>
      </w:r>
      <w:r w:rsidR="007E0100">
        <w:t>re</w:t>
      </w:r>
      <w:r w:rsidR="00FD04F8">
        <w:t xml:space="preserve"> </w:t>
      </w:r>
      <w:r w:rsidRPr="00B25F02">
        <w:t xml:space="preserve">is no other change to the application of the items. </w:t>
      </w:r>
    </w:p>
    <w:p w14:paraId="77B12592" w14:textId="77777777" w:rsidR="00B7133B" w:rsidRPr="005E28AB" w:rsidRDefault="00B7133B" w:rsidP="00B7133B">
      <w:pPr>
        <w:pStyle w:val="NoSpacing"/>
        <w:rPr>
          <w:b/>
          <w:highlight w:val="yellow"/>
        </w:rPr>
      </w:pPr>
    </w:p>
    <w:p w14:paraId="61FB4906" w14:textId="2145FCA4" w:rsidR="00B7133B" w:rsidRPr="00B25F02" w:rsidRDefault="00B7133B" w:rsidP="00B7133B">
      <w:pPr>
        <w:pStyle w:val="NoSpacing"/>
        <w:rPr>
          <w:b/>
        </w:rPr>
      </w:pPr>
      <w:r w:rsidRPr="00B25F02">
        <w:rPr>
          <w:b/>
        </w:rPr>
        <w:t>Item</w:t>
      </w:r>
      <w:r w:rsidR="00B25F02" w:rsidRPr="00B25F02">
        <w:rPr>
          <w:b/>
        </w:rPr>
        <w:t xml:space="preserve">s </w:t>
      </w:r>
      <w:r w:rsidR="002118D2">
        <w:rPr>
          <w:b/>
        </w:rPr>
        <w:t>5</w:t>
      </w:r>
      <w:r w:rsidR="007E0100">
        <w:rPr>
          <w:b/>
        </w:rPr>
        <w:t>1</w:t>
      </w:r>
      <w:r w:rsidR="002118D2">
        <w:rPr>
          <w:b/>
        </w:rPr>
        <w:t xml:space="preserve"> to 5</w:t>
      </w:r>
      <w:r w:rsidR="007E0100">
        <w:rPr>
          <w:b/>
        </w:rPr>
        <w:t>3</w:t>
      </w:r>
    </w:p>
    <w:p w14:paraId="1F943DE5" w14:textId="25E01671" w:rsidR="00B25F02" w:rsidRDefault="00B25F02" w:rsidP="00B25F02">
      <w:pPr>
        <w:pStyle w:val="NoSpacing"/>
      </w:pPr>
      <w:r w:rsidRPr="000F74FD">
        <w:t xml:space="preserve">These items amend the </w:t>
      </w:r>
      <w:r>
        <w:t>p</w:t>
      </w:r>
      <w:r w:rsidRPr="00B25F02">
        <w:t>regnancy support counselling</w:t>
      </w:r>
      <w:r>
        <w:t xml:space="preserve"> </w:t>
      </w:r>
      <w:r w:rsidR="007E0100">
        <w:t xml:space="preserve">item (4001) and relevant clauses </w:t>
      </w:r>
      <w:r w:rsidRPr="000F74FD">
        <w:t xml:space="preserve">in </w:t>
      </w:r>
      <w:r>
        <w:t>Group A27</w:t>
      </w:r>
      <w:r w:rsidR="007E0100">
        <w:t xml:space="preserve"> to </w:t>
      </w:r>
      <w:r w:rsidRPr="000F74FD">
        <w:t xml:space="preserve">limit </w:t>
      </w:r>
      <w:r w:rsidR="007E0100">
        <w:t>the item</w:t>
      </w:r>
      <w:r w:rsidRPr="000F74FD">
        <w:t xml:space="preserve"> to being rendered by a general practitioner. There is no other </w:t>
      </w:r>
      <w:r>
        <w:t>change to the application of this item</w:t>
      </w:r>
      <w:r w:rsidRPr="000F74FD">
        <w:t xml:space="preserve">.   </w:t>
      </w:r>
    </w:p>
    <w:p w14:paraId="2152D507" w14:textId="77777777" w:rsidR="001B6FB1" w:rsidRPr="00497FDB" w:rsidRDefault="001B6FB1" w:rsidP="00B25F02">
      <w:pPr>
        <w:pStyle w:val="NoSpacing"/>
        <w:rPr>
          <w:b/>
          <w:highlight w:val="yellow"/>
        </w:rPr>
      </w:pPr>
    </w:p>
    <w:p w14:paraId="7A42ED5D" w14:textId="20C9BDC0" w:rsidR="001B6FB1" w:rsidRDefault="001B6FB1" w:rsidP="00497FDB">
      <w:pPr>
        <w:pStyle w:val="NoSpacing"/>
        <w:rPr>
          <w:b/>
        </w:rPr>
      </w:pPr>
      <w:r w:rsidRPr="00497FDB">
        <w:rPr>
          <w:b/>
        </w:rPr>
        <w:t xml:space="preserve">Item </w:t>
      </w:r>
      <w:r w:rsidR="00F56C06">
        <w:rPr>
          <w:b/>
        </w:rPr>
        <w:t>5</w:t>
      </w:r>
      <w:r w:rsidR="007E0100">
        <w:rPr>
          <w:b/>
        </w:rPr>
        <w:t>4</w:t>
      </w:r>
      <w:r w:rsidRPr="001B6FB1">
        <w:rPr>
          <w:b/>
        </w:rPr>
        <w:t xml:space="preserve"> </w:t>
      </w:r>
      <w:r>
        <w:rPr>
          <w:b/>
        </w:rPr>
        <w:t xml:space="preserve">- </w:t>
      </w:r>
      <w:r w:rsidRPr="00497FDB">
        <w:rPr>
          <w:b/>
        </w:rPr>
        <w:t>Schedule 1 (item 10992)</w:t>
      </w:r>
    </w:p>
    <w:p w14:paraId="74E28B16" w14:textId="045F919D" w:rsidR="001B6FB1" w:rsidRDefault="001B6FB1" w:rsidP="00B25F02">
      <w:pPr>
        <w:pStyle w:val="NoSpacing"/>
      </w:pPr>
      <w:r w:rsidRPr="001B6FB1">
        <w:t>This</w:t>
      </w:r>
      <w:r>
        <w:t xml:space="preserve"> item makes a consequential amendment to bulk-billing incentive item 10992 to include the new OMP items being created by the </w:t>
      </w:r>
      <w:r w:rsidRPr="0007655C">
        <w:rPr>
          <w:i/>
        </w:rPr>
        <w:t>Health Insurance (Section 3C General Medical Services – Other Medical Practitioner) Determination 2018</w:t>
      </w:r>
      <w:r w:rsidR="008B7619">
        <w:t xml:space="preserve">. </w:t>
      </w:r>
      <w:r>
        <w:t>This will allow a bulk-billing incentive to be paid for these new items.</w:t>
      </w:r>
    </w:p>
    <w:p w14:paraId="7C625ECA" w14:textId="77777777" w:rsidR="00060481" w:rsidRDefault="00060481" w:rsidP="00B25F02">
      <w:pPr>
        <w:pStyle w:val="NoSpacing"/>
      </w:pPr>
    </w:p>
    <w:p w14:paraId="25E8AE59" w14:textId="56A5933A" w:rsidR="00060481" w:rsidRDefault="00060481" w:rsidP="00B25F02">
      <w:pPr>
        <w:pStyle w:val="NoSpacing"/>
        <w:rPr>
          <w:b/>
        </w:rPr>
      </w:pPr>
      <w:r w:rsidRPr="00497FDB">
        <w:rPr>
          <w:b/>
        </w:rPr>
        <w:t xml:space="preserve">Items </w:t>
      </w:r>
      <w:r w:rsidR="00F56C06">
        <w:rPr>
          <w:b/>
        </w:rPr>
        <w:t>5</w:t>
      </w:r>
      <w:r w:rsidR="007E0100">
        <w:rPr>
          <w:b/>
        </w:rPr>
        <w:t>5</w:t>
      </w:r>
      <w:r w:rsidR="00F56C06">
        <w:rPr>
          <w:b/>
        </w:rPr>
        <w:t xml:space="preserve"> and 5</w:t>
      </w:r>
      <w:r w:rsidR="007E0100">
        <w:rPr>
          <w:b/>
        </w:rPr>
        <w:t>6</w:t>
      </w:r>
      <w:r w:rsidRPr="00497FDB">
        <w:rPr>
          <w:b/>
        </w:rPr>
        <w:t xml:space="preserve"> - Clause 3.1 of Schedule 1 </w:t>
      </w:r>
    </w:p>
    <w:p w14:paraId="0FDB9492" w14:textId="290E0564" w:rsidR="00060481" w:rsidRPr="00060481" w:rsidRDefault="00060481" w:rsidP="00B25F02">
      <w:pPr>
        <w:pStyle w:val="NoSpacing"/>
      </w:pPr>
      <w:r w:rsidRPr="00497FDB">
        <w:t xml:space="preserve">These items make a consequential amendment by repealing the definition of </w:t>
      </w:r>
      <w:r>
        <w:t>‘</w:t>
      </w:r>
      <w:r w:rsidRPr="00497FDB">
        <w:t>associated medical practitioner</w:t>
      </w:r>
      <w:r>
        <w:t>’</w:t>
      </w:r>
      <w:r w:rsidRPr="00497FDB">
        <w:t xml:space="preserve"> and subst</w:t>
      </w:r>
      <w:r w:rsidR="009501EE">
        <w:t>it</w:t>
      </w:r>
      <w:r w:rsidRPr="00497FDB">
        <w:t xml:space="preserve">uting with </w:t>
      </w:r>
      <w:r>
        <w:t>‘</w:t>
      </w:r>
      <w:r w:rsidRPr="00497FDB">
        <w:t>associated general practitioner</w:t>
      </w:r>
      <w:r>
        <w:t xml:space="preserve">’. This is to reflect the changes made to this </w:t>
      </w:r>
      <w:r w:rsidR="009501EE">
        <w:t>definition</w:t>
      </w:r>
      <w:r>
        <w:t xml:space="preserve"> in Groups A15 and A20. </w:t>
      </w:r>
    </w:p>
    <w:p w14:paraId="68F03D06" w14:textId="77777777" w:rsidR="00D518AA" w:rsidRDefault="00D518AA" w:rsidP="00D518AA">
      <w:pPr>
        <w:rPr>
          <w:b/>
          <w:i/>
        </w:rPr>
      </w:pPr>
    </w:p>
    <w:p w14:paraId="21A76AC3" w14:textId="3BEF5DDA" w:rsidR="00D518AA" w:rsidRDefault="00D518AA" w:rsidP="00D518AA">
      <w:pPr>
        <w:rPr>
          <w:b/>
          <w:i/>
        </w:rPr>
      </w:pPr>
      <w:r w:rsidRPr="005E28AB">
        <w:rPr>
          <w:b/>
          <w:i/>
        </w:rPr>
        <w:t xml:space="preserve">Health </w:t>
      </w:r>
      <w:r>
        <w:rPr>
          <w:b/>
          <w:i/>
        </w:rPr>
        <w:t>Insurance Regulations 1975</w:t>
      </w:r>
    </w:p>
    <w:p w14:paraId="6361FE4C" w14:textId="77777777" w:rsidR="00D518AA" w:rsidRDefault="00D518AA" w:rsidP="00D518AA">
      <w:pPr>
        <w:rPr>
          <w:b/>
          <w:i/>
        </w:rPr>
      </w:pPr>
    </w:p>
    <w:p w14:paraId="2E63A25E" w14:textId="66BB0D63" w:rsidR="00B672FD" w:rsidRPr="00497FDB" w:rsidRDefault="00B672FD" w:rsidP="00497FDB">
      <w:pPr>
        <w:rPr>
          <w:b/>
        </w:rPr>
      </w:pPr>
      <w:r w:rsidRPr="00497FDB">
        <w:rPr>
          <w:b/>
        </w:rPr>
        <w:t xml:space="preserve">Items </w:t>
      </w:r>
      <w:r w:rsidR="00734895">
        <w:rPr>
          <w:b/>
        </w:rPr>
        <w:t>5</w:t>
      </w:r>
      <w:r w:rsidR="007E0100">
        <w:rPr>
          <w:b/>
        </w:rPr>
        <w:t>9</w:t>
      </w:r>
      <w:r w:rsidR="00734895">
        <w:rPr>
          <w:b/>
        </w:rPr>
        <w:t xml:space="preserve"> to 6</w:t>
      </w:r>
      <w:r w:rsidR="007E0100">
        <w:rPr>
          <w:b/>
        </w:rPr>
        <w:t>2</w:t>
      </w:r>
    </w:p>
    <w:p w14:paraId="6D63029E" w14:textId="0234A671" w:rsidR="00B672FD" w:rsidRDefault="00B672FD" w:rsidP="00497FDB">
      <w:r w:rsidRPr="00497FDB">
        <w:t xml:space="preserve">These items make </w:t>
      </w:r>
      <w:r w:rsidR="009501EE">
        <w:t>conseque</w:t>
      </w:r>
      <w:r w:rsidR="00E00CC8">
        <w:t>nt</w:t>
      </w:r>
      <w:r w:rsidR="009501EE">
        <w:t>i</w:t>
      </w:r>
      <w:r w:rsidR="00E00CC8">
        <w:t>al</w:t>
      </w:r>
      <w:r w:rsidRPr="00497FDB">
        <w:t xml:space="preserve"> amendment</w:t>
      </w:r>
      <w:r w:rsidR="00E00CC8">
        <w:t xml:space="preserve">s to </w:t>
      </w:r>
      <w:r w:rsidR="007E0100">
        <w:t xml:space="preserve">Schedule 6 of </w:t>
      </w:r>
      <w:r w:rsidR="007527A5">
        <w:t xml:space="preserve">regulation </w:t>
      </w:r>
      <w:r w:rsidR="00E00CC8">
        <w:t>6EF</w:t>
      </w:r>
      <w:r w:rsidRPr="00497FDB">
        <w:t xml:space="preserve"> </w:t>
      </w:r>
      <w:r w:rsidR="009501EE">
        <w:t xml:space="preserve">of the HIR </w:t>
      </w:r>
      <w:r w:rsidR="00E00CC8">
        <w:t>by</w:t>
      </w:r>
      <w:r w:rsidR="002130C0" w:rsidRPr="00497FDB">
        <w:t xml:space="preserve"> add</w:t>
      </w:r>
      <w:r w:rsidR="00E00CC8">
        <w:t>ing</w:t>
      </w:r>
      <w:r w:rsidR="002130C0" w:rsidRPr="00497FDB">
        <w:t xml:space="preserve"> new items which are prescribed in the</w:t>
      </w:r>
      <w:r w:rsidR="002130C0" w:rsidRPr="002130C0">
        <w:t xml:space="preserve"> </w:t>
      </w:r>
      <w:r w:rsidR="002130C0" w:rsidRPr="008D2A22">
        <w:rPr>
          <w:i/>
        </w:rPr>
        <w:t>Health Insurance (Section 3C General Medical Services – Other Medical Pract</w:t>
      </w:r>
      <w:r w:rsidR="002130C0" w:rsidRPr="003162BF">
        <w:rPr>
          <w:i/>
        </w:rPr>
        <w:t>itioner) Determination 2018</w:t>
      </w:r>
      <w:r w:rsidR="002130C0" w:rsidRPr="002130C0">
        <w:t>)</w:t>
      </w:r>
      <w:r w:rsidR="007E0100">
        <w:t xml:space="preserve">. </w:t>
      </w:r>
      <w:r w:rsidR="00E65886">
        <w:t xml:space="preserve">This change is </w:t>
      </w:r>
      <w:r w:rsidR="002130C0" w:rsidRPr="00497FDB">
        <w:t>to enable 100% benefit to be payable</w:t>
      </w:r>
      <w:r w:rsidR="00E65886">
        <w:t xml:space="preserve"> for these items</w:t>
      </w:r>
      <w:r w:rsidR="007527A5">
        <w:t>, consistent with the structure for general practice services.</w:t>
      </w:r>
    </w:p>
    <w:p w14:paraId="7E30E3B4" w14:textId="7E73BE74" w:rsidR="00060481" w:rsidRDefault="00060481" w:rsidP="00497FDB"/>
    <w:p w14:paraId="6155F5FB" w14:textId="69A659EC" w:rsidR="00060481" w:rsidRPr="00E00CC8" w:rsidRDefault="00060481" w:rsidP="00497FDB">
      <w:pPr>
        <w:rPr>
          <w:szCs w:val="24"/>
          <w:u w:val="single"/>
        </w:rPr>
      </w:pPr>
      <w:r w:rsidRPr="00E00CC8">
        <w:rPr>
          <w:szCs w:val="24"/>
          <w:u w:val="single"/>
        </w:rPr>
        <w:t>Schedule </w:t>
      </w:r>
      <w:r w:rsidR="00E00CC8">
        <w:rPr>
          <w:szCs w:val="24"/>
          <w:u w:val="single"/>
        </w:rPr>
        <w:t xml:space="preserve">2 - </w:t>
      </w:r>
      <w:r w:rsidRPr="00E00CC8">
        <w:rPr>
          <w:szCs w:val="24"/>
          <w:u w:val="single"/>
        </w:rPr>
        <w:t>Amendments relating to the 2018 services tables</w:t>
      </w:r>
    </w:p>
    <w:p w14:paraId="00606D77" w14:textId="77777777" w:rsidR="00060481" w:rsidRPr="00497FDB" w:rsidRDefault="00060481" w:rsidP="00497FDB">
      <w:pPr>
        <w:rPr>
          <w:b/>
          <w:i/>
        </w:rPr>
      </w:pPr>
    </w:p>
    <w:p w14:paraId="54D018B2" w14:textId="314EBAC5" w:rsidR="00060481" w:rsidRDefault="00060481" w:rsidP="00497FDB">
      <w:pPr>
        <w:rPr>
          <w:b/>
          <w:i/>
        </w:rPr>
      </w:pPr>
      <w:bookmarkStart w:id="2" w:name="_Toc511664507"/>
      <w:r w:rsidRPr="00497FDB">
        <w:rPr>
          <w:b/>
          <w:i/>
        </w:rPr>
        <w:t>Health Insurance Regulations 1975</w:t>
      </w:r>
      <w:bookmarkEnd w:id="2"/>
    </w:p>
    <w:p w14:paraId="7A718BDD" w14:textId="77777777" w:rsidR="00060481" w:rsidRDefault="00060481" w:rsidP="00497FDB">
      <w:pPr>
        <w:rPr>
          <w:b/>
          <w:i/>
        </w:rPr>
      </w:pPr>
    </w:p>
    <w:p w14:paraId="0973FCC8" w14:textId="31B2D89A" w:rsidR="00060481" w:rsidRDefault="00060481" w:rsidP="00497FDB">
      <w:pPr>
        <w:rPr>
          <w:b/>
        </w:rPr>
      </w:pPr>
      <w:r w:rsidRPr="00497FDB">
        <w:rPr>
          <w:b/>
        </w:rPr>
        <w:t>Item 1 - Subregulation 13(21) (definition of service time)</w:t>
      </w:r>
    </w:p>
    <w:p w14:paraId="520EC225" w14:textId="0958E552" w:rsidR="00060481" w:rsidRDefault="00060481" w:rsidP="00497FDB">
      <w:r w:rsidRPr="00060481">
        <w:t>This amendment makes a</w:t>
      </w:r>
      <w:r>
        <w:t>n</w:t>
      </w:r>
      <w:r w:rsidRPr="00060481">
        <w:t xml:space="preserve"> </w:t>
      </w:r>
      <w:r>
        <w:t xml:space="preserve">editorial </w:t>
      </w:r>
      <w:r w:rsidRPr="00060481">
        <w:t xml:space="preserve">amendment </w:t>
      </w:r>
      <w:r>
        <w:t xml:space="preserve">by omitting </w:t>
      </w:r>
      <w:r w:rsidRPr="004C6565">
        <w:t>“2.43.4 in Part </w:t>
      </w:r>
      <w:r>
        <w:t xml:space="preserve">2” </w:t>
      </w:r>
      <w:r w:rsidR="005C56F4">
        <w:t xml:space="preserve">of the general medical services table </w:t>
      </w:r>
      <w:r>
        <w:t xml:space="preserve">and substituting with </w:t>
      </w:r>
      <w:r w:rsidRPr="004C6565">
        <w:t>“2.44.4”</w:t>
      </w:r>
      <w:r w:rsidR="005C56F4">
        <w:t xml:space="preserve">. This is </w:t>
      </w:r>
      <w:r>
        <w:t>to reflect</w:t>
      </w:r>
      <w:r w:rsidR="005C56F4">
        <w:t xml:space="preserve"> this clause being renumbered in the remake of the general medical services table.</w:t>
      </w:r>
      <w:r>
        <w:t xml:space="preserve"> </w:t>
      </w:r>
    </w:p>
    <w:p w14:paraId="72392A72" w14:textId="77777777" w:rsidR="00060481" w:rsidRDefault="00060481" w:rsidP="00497FDB"/>
    <w:p w14:paraId="3F197EBF" w14:textId="1CBE5E57" w:rsidR="00060481" w:rsidRPr="00497FDB" w:rsidRDefault="00060481" w:rsidP="00497FDB">
      <w:pPr>
        <w:rPr>
          <w:b/>
          <w:i/>
        </w:rPr>
      </w:pPr>
      <w:r w:rsidRPr="00497FDB">
        <w:rPr>
          <w:b/>
        </w:rPr>
        <w:t xml:space="preserve">Items 2 to 7 - </w:t>
      </w:r>
      <w:r w:rsidR="008A520E">
        <w:rPr>
          <w:b/>
        </w:rPr>
        <w:t>R</w:t>
      </w:r>
      <w:r w:rsidRPr="00497FDB">
        <w:rPr>
          <w:b/>
        </w:rPr>
        <w:t>egulation 20C</w:t>
      </w:r>
    </w:p>
    <w:p w14:paraId="07BBBB85" w14:textId="613B86E6" w:rsidR="008A520E" w:rsidRDefault="008A520E" w:rsidP="008A520E">
      <w:r w:rsidRPr="008A520E">
        <w:t>Th</w:t>
      </w:r>
      <w:r>
        <w:t>e</w:t>
      </w:r>
      <w:r w:rsidR="00E00CC8">
        <w:t>se</w:t>
      </w:r>
      <w:r>
        <w:t xml:space="preserve"> </w:t>
      </w:r>
      <w:r w:rsidR="00E00CC8">
        <w:t xml:space="preserve">items make consequential </w:t>
      </w:r>
      <w:r w:rsidR="00060481" w:rsidRPr="00497FDB">
        <w:t>amendment</w:t>
      </w:r>
      <w:r>
        <w:t xml:space="preserve">s to the table in </w:t>
      </w:r>
      <w:r w:rsidR="007527A5">
        <w:t xml:space="preserve">regulation </w:t>
      </w:r>
      <w:r>
        <w:t xml:space="preserve">20C </w:t>
      </w:r>
      <w:r w:rsidR="00E00CC8">
        <w:t>to</w:t>
      </w:r>
      <w:r>
        <w:t xml:space="preserve"> reflect amendments made to the diagnostic imaging services table. This change is to adjust for </w:t>
      </w:r>
      <w:r w:rsidRPr="006E2994">
        <w:t>advancement in technology by removing the reference to specific ultrasound transducer frequencies</w:t>
      </w:r>
      <w:r>
        <w:t xml:space="preserve">. </w:t>
      </w:r>
      <w:r w:rsidRPr="006E2994">
        <w:t>These ultrasound transducer requirements no longer reflect clinical best practice making the requirement to register them unnecessary and burdensome.</w:t>
      </w:r>
    </w:p>
    <w:p w14:paraId="15B8BEBC" w14:textId="77777777" w:rsidR="008A520E" w:rsidRPr="00497FDB" w:rsidRDefault="008A520E" w:rsidP="00497FDB"/>
    <w:p w14:paraId="509B752D" w14:textId="77777777" w:rsidR="00060481" w:rsidRPr="00497FDB" w:rsidRDefault="00060481" w:rsidP="00497FDB">
      <w:pPr>
        <w:rPr>
          <w:u w:val="single"/>
        </w:rPr>
      </w:pPr>
    </w:p>
    <w:p w14:paraId="4C62F157" w14:textId="77777777" w:rsidR="00060481" w:rsidRDefault="00060481" w:rsidP="00497FDB">
      <w:pPr>
        <w:rPr>
          <w:b/>
          <w:i/>
        </w:rPr>
      </w:pPr>
    </w:p>
    <w:p w14:paraId="363E8501" w14:textId="77777777" w:rsidR="00060481" w:rsidRPr="00497FDB" w:rsidRDefault="00060481" w:rsidP="00497FDB">
      <w:pPr>
        <w:rPr>
          <w:b/>
          <w:i/>
        </w:rPr>
      </w:pPr>
    </w:p>
    <w:p w14:paraId="000C99C5" w14:textId="77777777" w:rsidR="00060481" w:rsidRPr="00497FDB" w:rsidRDefault="00060481" w:rsidP="00497FDB"/>
    <w:p w14:paraId="7A6FDD90" w14:textId="77777777" w:rsidR="00B25F02" w:rsidRDefault="00B25F02">
      <w:pPr>
        <w:spacing w:after="200" w:line="276" w:lineRule="auto"/>
        <w:rPr>
          <w:szCs w:val="24"/>
          <w:highlight w:val="yellow"/>
          <w:lang w:eastAsia="en-US"/>
        </w:rPr>
      </w:pPr>
      <w:r>
        <w:rPr>
          <w:highlight w:val="yellow"/>
        </w:rPr>
        <w:br w:type="page"/>
      </w:r>
    </w:p>
    <w:p w14:paraId="2F1A388E" w14:textId="7B616FF1" w:rsidR="003E571F" w:rsidRPr="00B25F02" w:rsidRDefault="003E571F" w:rsidP="003E571F">
      <w:pPr>
        <w:spacing w:before="360" w:after="120"/>
        <w:jc w:val="center"/>
        <w:rPr>
          <w:b/>
          <w:sz w:val="28"/>
          <w:szCs w:val="28"/>
        </w:rPr>
      </w:pPr>
      <w:r w:rsidRPr="00B25F02">
        <w:rPr>
          <w:b/>
          <w:sz w:val="28"/>
          <w:szCs w:val="28"/>
        </w:rPr>
        <w:lastRenderedPageBreak/>
        <w:t>Statement of Compatibility with Human Rights</w:t>
      </w:r>
    </w:p>
    <w:p w14:paraId="2F1A3890" w14:textId="22CBD7F8" w:rsidR="003E571F" w:rsidRPr="005E28AB" w:rsidRDefault="003E571F" w:rsidP="00B20A35">
      <w:pPr>
        <w:spacing w:before="120" w:after="120"/>
        <w:jc w:val="center"/>
        <w:rPr>
          <w:szCs w:val="24"/>
          <w:highlight w:val="yellow"/>
        </w:rPr>
      </w:pPr>
      <w:r w:rsidRPr="00B25F02">
        <w:rPr>
          <w:i/>
          <w:szCs w:val="24"/>
        </w:rPr>
        <w:t>Prepared in accordance with Part 3 of the Human Rights (Parliamentary Scrutiny) Act 2011</w:t>
      </w:r>
    </w:p>
    <w:p w14:paraId="409ED0D9" w14:textId="77777777" w:rsidR="004246E4" w:rsidRPr="005E28AB" w:rsidRDefault="004246E4" w:rsidP="004246E4">
      <w:pPr>
        <w:spacing w:before="120" w:after="120"/>
        <w:jc w:val="center"/>
        <w:rPr>
          <w:b/>
          <w:i/>
          <w:szCs w:val="24"/>
          <w:highlight w:val="yellow"/>
        </w:rPr>
      </w:pPr>
    </w:p>
    <w:p w14:paraId="2F1A3891" w14:textId="014B4BA2" w:rsidR="003E571F" w:rsidRPr="005E28AB" w:rsidRDefault="00B25F02" w:rsidP="004246E4">
      <w:pPr>
        <w:tabs>
          <w:tab w:val="left" w:pos="1418"/>
        </w:tabs>
        <w:ind w:left="851"/>
        <w:jc w:val="center"/>
        <w:rPr>
          <w:b/>
          <w:szCs w:val="24"/>
          <w:highlight w:val="yellow"/>
        </w:rPr>
      </w:pPr>
      <w:r w:rsidRPr="00B25F02">
        <w:rPr>
          <w:b/>
          <w:i/>
          <w:szCs w:val="24"/>
        </w:rPr>
        <w:t>Health Insurance Legislation Amendment (2018 Measures No. 2) Regulations 2018</w:t>
      </w:r>
      <w:r w:rsidR="008F4C42" w:rsidRPr="005E28AB">
        <w:rPr>
          <w:b/>
          <w:i/>
          <w:szCs w:val="24"/>
          <w:highlight w:val="yellow"/>
        </w:rPr>
        <w:br/>
      </w:r>
    </w:p>
    <w:p w14:paraId="2F1A3892" w14:textId="6E682F74" w:rsidR="003E571F" w:rsidRPr="00B25F02" w:rsidRDefault="003E571F" w:rsidP="003E571F">
      <w:pPr>
        <w:jc w:val="center"/>
        <w:rPr>
          <w:szCs w:val="24"/>
        </w:rPr>
      </w:pPr>
      <w:r w:rsidRPr="00B25F02">
        <w:rPr>
          <w:szCs w:val="24"/>
        </w:rPr>
        <w:t xml:space="preserve">This Legislative Instrument is compatible with the human rights and freedoms recognised or declared in the international instruments listed in section 3 of the </w:t>
      </w:r>
      <w:r w:rsidRPr="00B25F02">
        <w:rPr>
          <w:i/>
          <w:szCs w:val="24"/>
        </w:rPr>
        <w:t>Human Rights (Parliamentary Scrutiny) Act 2011</w:t>
      </w:r>
      <w:r w:rsidRPr="00B25F02">
        <w:rPr>
          <w:szCs w:val="24"/>
        </w:rPr>
        <w:t>.</w:t>
      </w:r>
    </w:p>
    <w:p w14:paraId="2F1A3894" w14:textId="77777777" w:rsidR="003E571F" w:rsidRPr="00B25F02" w:rsidRDefault="003E571F" w:rsidP="003E571F">
      <w:pPr>
        <w:jc w:val="both"/>
        <w:rPr>
          <w:szCs w:val="24"/>
        </w:rPr>
      </w:pPr>
    </w:p>
    <w:p w14:paraId="2F1A3897" w14:textId="4A49F68F" w:rsidR="003E571F" w:rsidRPr="00B25F02" w:rsidRDefault="003E571F" w:rsidP="002019AA">
      <w:pPr>
        <w:spacing w:before="120" w:after="120"/>
        <w:rPr>
          <w:b/>
          <w:szCs w:val="24"/>
        </w:rPr>
      </w:pPr>
      <w:r w:rsidRPr="00B25F02">
        <w:rPr>
          <w:b/>
          <w:szCs w:val="24"/>
        </w:rPr>
        <w:t>Overvie</w:t>
      </w:r>
      <w:r w:rsidR="00BA3475" w:rsidRPr="00B25F02">
        <w:rPr>
          <w:b/>
          <w:szCs w:val="24"/>
        </w:rPr>
        <w:t>w of the Legislative Instrument</w:t>
      </w:r>
    </w:p>
    <w:p w14:paraId="4637CA82" w14:textId="77777777" w:rsidR="00B25F02" w:rsidRDefault="00B25F02" w:rsidP="00B25F02">
      <w:pPr>
        <w:spacing w:line="252" w:lineRule="auto"/>
        <w:contextualSpacing/>
        <w:rPr>
          <w:szCs w:val="24"/>
        </w:rPr>
      </w:pPr>
      <w:r w:rsidRPr="003D1C5D">
        <w:rPr>
          <w:szCs w:val="24"/>
        </w:rPr>
        <w:t xml:space="preserve">The purpose of the </w:t>
      </w:r>
      <w:r w:rsidRPr="00651B08">
        <w:rPr>
          <w:i/>
          <w:szCs w:val="24"/>
        </w:rPr>
        <w:t>Health Insurance Legislation Amendment (2018 Measures No. 2) Regulations 2018</w:t>
      </w:r>
      <w:r w:rsidRPr="00545A7A" w:rsidDel="0069130B">
        <w:rPr>
          <w:i/>
          <w:szCs w:val="24"/>
        </w:rPr>
        <w:t xml:space="preserve"> </w:t>
      </w:r>
      <w:r w:rsidRPr="00987F18">
        <w:rPr>
          <w:szCs w:val="24"/>
        </w:rPr>
        <w:t>(the</w:t>
      </w:r>
      <w:r w:rsidRPr="003D1C5D">
        <w:rPr>
          <w:szCs w:val="24"/>
        </w:rPr>
        <w:t xml:space="preserve"> Regulations) is to amend the GMST</w:t>
      </w:r>
      <w:r>
        <w:rPr>
          <w:szCs w:val="24"/>
        </w:rPr>
        <w:t xml:space="preserve"> and the HIR from 1 July 2018. The Regulations amend the existing general practice Medicare items to restrict OMPs from </w:t>
      </w:r>
      <w:r w:rsidRPr="002E6BAE">
        <w:rPr>
          <w:szCs w:val="24"/>
        </w:rPr>
        <w:t>continuing to access the existing non-standard GP items at the specialist GP rate</w:t>
      </w:r>
      <w:r>
        <w:rPr>
          <w:szCs w:val="24"/>
        </w:rPr>
        <w:t xml:space="preserve">. </w:t>
      </w:r>
    </w:p>
    <w:p w14:paraId="6B98EDB3" w14:textId="77777777" w:rsidR="00B25F02" w:rsidRDefault="00B25F02" w:rsidP="00FF7A7A">
      <w:pPr>
        <w:pStyle w:val="Default"/>
        <w:rPr>
          <w:rFonts w:eastAsia="Times New Roman"/>
          <w:color w:val="auto"/>
          <w:highlight w:val="yellow"/>
          <w:lang w:eastAsia="en-AU"/>
        </w:rPr>
      </w:pPr>
    </w:p>
    <w:p w14:paraId="03145799" w14:textId="6D1A1953" w:rsidR="004F7914" w:rsidRDefault="004F7914" w:rsidP="004F7914">
      <w:pPr>
        <w:rPr>
          <w:szCs w:val="24"/>
        </w:rPr>
      </w:pPr>
      <w:r>
        <w:t xml:space="preserve">This change is part of the </w:t>
      </w:r>
      <w:r w:rsidR="007E4D8C" w:rsidRPr="007E4D8C">
        <w:rPr>
          <w:i/>
        </w:rPr>
        <w:t xml:space="preserve">A </w:t>
      </w:r>
      <w:r w:rsidR="008203CB" w:rsidRPr="008203CB">
        <w:rPr>
          <w:i/>
          <w:szCs w:val="24"/>
        </w:rPr>
        <w:t>Stronger Rural Health Strateg</w:t>
      </w:r>
      <w:r w:rsidR="007E4D8C">
        <w:rPr>
          <w:i/>
          <w:szCs w:val="24"/>
        </w:rPr>
        <w:t xml:space="preserve">y </w:t>
      </w:r>
      <w:r w:rsidRPr="001B55C4">
        <w:rPr>
          <w:szCs w:val="24"/>
        </w:rPr>
        <w:t>measure</w:t>
      </w:r>
      <w:r>
        <w:rPr>
          <w:szCs w:val="24"/>
        </w:rPr>
        <w:t xml:space="preserve"> which was announced in the 2018-19 Budget. The change will expand the </w:t>
      </w:r>
      <w:r w:rsidRPr="004F7914">
        <w:rPr>
          <w:szCs w:val="24"/>
        </w:rPr>
        <w:t>MBS fee differential</w:t>
      </w:r>
      <w:r>
        <w:rPr>
          <w:szCs w:val="24"/>
        </w:rPr>
        <w:t xml:space="preserve"> between specialist GPs and </w:t>
      </w:r>
      <w:r w:rsidRPr="008441DB">
        <w:rPr>
          <w:szCs w:val="24"/>
        </w:rPr>
        <w:t>other medical practitioners working in general practice</w:t>
      </w:r>
      <w:r>
        <w:rPr>
          <w:szCs w:val="24"/>
        </w:rPr>
        <w:t xml:space="preserve"> in recognition of the value in general practice specialisation. </w:t>
      </w:r>
    </w:p>
    <w:p w14:paraId="19AC7688" w14:textId="77777777" w:rsidR="004F7914" w:rsidRDefault="004F7914" w:rsidP="004F7914">
      <w:pPr>
        <w:rPr>
          <w:szCs w:val="24"/>
        </w:rPr>
      </w:pPr>
    </w:p>
    <w:p w14:paraId="38CBF9BD" w14:textId="38E1F5EC" w:rsidR="004F7914" w:rsidRDefault="004F7914" w:rsidP="0064563F">
      <w:pPr>
        <w:spacing w:line="252" w:lineRule="auto"/>
        <w:contextualSpacing/>
        <w:rPr>
          <w:szCs w:val="24"/>
        </w:rPr>
      </w:pPr>
      <w:r>
        <w:rPr>
          <w:szCs w:val="24"/>
        </w:rPr>
        <w:t xml:space="preserve">The </w:t>
      </w:r>
      <w:r w:rsidRPr="00E4692D">
        <w:rPr>
          <w:i/>
          <w:szCs w:val="24"/>
        </w:rPr>
        <w:t xml:space="preserve">Health Insurance (Section 3C General Medical Services – Other Medical Practitioner) Determination </w:t>
      </w:r>
      <w:r w:rsidR="008B7619" w:rsidRPr="00E4692D">
        <w:rPr>
          <w:i/>
          <w:szCs w:val="24"/>
        </w:rPr>
        <w:t>2018</w:t>
      </w:r>
      <w:r w:rsidR="008B7619" w:rsidRPr="0064563F">
        <w:rPr>
          <w:szCs w:val="24"/>
        </w:rPr>
        <w:t xml:space="preserve"> will</w:t>
      </w:r>
      <w:r>
        <w:rPr>
          <w:szCs w:val="24"/>
        </w:rPr>
        <w:t xml:space="preserve"> be made by 1 July 2018 to allow OMPs to continue rendering general practice services under Medicare. The items in that determination will reflect the new benefit structure.</w:t>
      </w:r>
    </w:p>
    <w:p w14:paraId="2F1A3898" w14:textId="77777777" w:rsidR="003E571F" w:rsidRPr="004F7914" w:rsidRDefault="003E571F" w:rsidP="003E571F">
      <w:pPr>
        <w:spacing w:before="120" w:after="120"/>
        <w:rPr>
          <w:b/>
          <w:szCs w:val="24"/>
        </w:rPr>
      </w:pPr>
      <w:r w:rsidRPr="004F7914">
        <w:rPr>
          <w:b/>
          <w:szCs w:val="24"/>
        </w:rPr>
        <w:t>Human rights implications</w:t>
      </w:r>
    </w:p>
    <w:p w14:paraId="2F1A3899" w14:textId="77777777" w:rsidR="003E571F" w:rsidRPr="004F7914" w:rsidRDefault="003E571F" w:rsidP="003E571F">
      <w:pPr>
        <w:spacing w:before="120" w:after="120"/>
        <w:rPr>
          <w:szCs w:val="24"/>
        </w:rPr>
      </w:pPr>
      <w:r w:rsidRPr="004F7914">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4F7914" w:rsidRDefault="003E571F" w:rsidP="003E571F">
      <w:pPr>
        <w:spacing w:before="120" w:after="120"/>
        <w:rPr>
          <w:i/>
          <w:szCs w:val="24"/>
        </w:rPr>
      </w:pPr>
      <w:r w:rsidRPr="004F7914">
        <w:rPr>
          <w:i/>
          <w:szCs w:val="24"/>
        </w:rPr>
        <w:t>The Right to Health</w:t>
      </w:r>
    </w:p>
    <w:p w14:paraId="2F1A389B" w14:textId="1A95E5AF" w:rsidR="003E571F" w:rsidRPr="004F7914" w:rsidRDefault="003E571F" w:rsidP="003E571F">
      <w:pPr>
        <w:spacing w:before="120" w:after="120"/>
        <w:rPr>
          <w:szCs w:val="24"/>
        </w:rPr>
      </w:pPr>
      <w:r w:rsidRPr="004F7914">
        <w:rPr>
          <w:szCs w:val="24"/>
        </w:rPr>
        <w:t>The right to the enjoyment of the highest attainable standard of physical and mental health is contained in Article 12(1) of the ICESCR</w:t>
      </w:r>
      <w:r w:rsidR="008B7619" w:rsidRPr="004F7914">
        <w:rPr>
          <w:szCs w:val="24"/>
        </w:rPr>
        <w:t xml:space="preserve">. </w:t>
      </w:r>
      <w:r w:rsidRPr="004F7914">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25815A9E" w:rsidR="003E571F" w:rsidRPr="004F7914" w:rsidRDefault="003E571F" w:rsidP="003E571F">
      <w:pPr>
        <w:spacing w:before="120" w:after="120"/>
        <w:rPr>
          <w:szCs w:val="24"/>
        </w:rPr>
      </w:pPr>
      <w:r w:rsidRPr="004F7914">
        <w:rPr>
          <w:szCs w:val="24"/>
        </w:rPr>
        <w:t xml:space="preserve">The Committee reports that the </w:t>
      </w:r>
      <w:r w:rsidRPr="004F7914">
        <w:rPr>
          <w:i/>
          <w:szCs w:val="24"/>
        </w:rPr>
        <w:t>‘highest attainable standard of health’</w:t>
      </w:r>
      <w:r w:rsidRPr="004F7914">
        <w:rPr>
          <w:szCs w:val="24"/>
        </w:rPr>
        <w:t xml:space="preserve"> takes into account the country’s available resources</w:t>
      </w:r>
      <w:r w:rsidR="008B7619" w:rsidRPr="004F7914">
        <w:rPr>
          <w:szCs w:val="24"/>
        </w:rPr>
        <w:t xml:space="preserve">. </w:t>
      </w:r>
      <w:r w:rsidRPr="004F7914">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4F7914" w:rsidRDefault="003E571F" w:rsidP="003E571F">
      <w:pPr>
        <w:spacing w:before="120" w:after="120"/>
        <w:rPr>
          <w:i/>
          <w:szCs w:val="24"/>
        </w:rPr>
      </w:pPr>
      <w:r w:rsidRPr="004F7914">
        <w:rPr>
          <w:i/>
          <w:szCs w:val="24"/>
        </w:rPr>
        <w:t xml:space="preserve">The Right to Social Security </w:t>
      </w:r>
    </w:p>
    <w:p w14:paraId="2F1A389E" w14:textId="5EC035B3" w:rsidR="003E571F" w:rsidRPr="004F7914" w:rsidRDefault="003E571F" w:rsidP="003E571F">
      <w:pPr>
        <w:spacing w:before="120" w:after="120"/>
        <w:rPr>
          <w:szCs w:val="24"/>
        </w:rPr>
      </w:pPr>
      <w:r w:rsidRPr="004F7914">
        <w:rPr>
          <w:szCs w:val="24"/>
        </w:rPr>
        <w:t>The right to social security is contained in Article 9 of the ICESCR</w:t>
      </w:r>
      <w:r w:rsidR="008B7619" w:rsidRPr="004F7914">
        <w:rPr>
          <w:szCs w:val="24"/>
        </w:rPr>
        <w:t xml:space="preserve">. </w:t>
      </w:r>
      <w:r w:rsidRPr="004F7914">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8B7619" w:rsidRPr="004F7914">
        <w:rPr>
          <w:szCs w:val="24"/>
        </w:rPr>
        <w:t xml:space="preserve">. </w:t>
      </w:r>
      <w:r w:rsidRPr="004F7914">
        <w:rPr>
          <w:szCs w:val="24"/>
        </w:rPr>
        <w:t xml:space="preserve">Countries are obliged to demonstrate that every </w:t>
      </w:r>
      <w:r w:rsidRPr="004F7914">
        <w:rPr>
          <w:szCs w:val="24"/>
        </w:rPr>
        <w:lastRenderedPageBreak/>
        <w:t>effort has been made to use all resources that are at their disposal in an effort to satisfy, as a matter of priority, this minimum obligation.</w:t>
      </w:r>
    </w:p>
    <w:p w14:paraId="492CEC87" w14:textId="30690265" w:rsidR="00232119" w:rsidRPr="004F7914" w:rsidRDefault="003E571F" w:rsidP="003E571F">
      <w:pPr>
        <w:spacing w:before="120" w:after="120"/>
        <w:rPr>
          <w:szCs w:val="24"/>
        </w:rPr>
      </w:pPr>
      <w:r w:rsidRPr="004F7914">
        <w:rPr>
          <w:szCs w:val="24"/>
        </w:rPr>
        <w:t>The Committee reports that there is a strong presumption that retrogressive measures taken in relation to the right to social security are prohibited under ICESCR</w:t>
      </w:r>
      <w:r w:rsidR="008B7619" w:rsidRPr="004F7914">
        <w:rPr>
          <w:szCs w:val="24"/>
        </w:rPr>
        <w:t xml:space="preserve">. </w:t>
      </w:r>
      <w:r w:rsidRPr="004F7914">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8B7619" w:rsidRPr="004F7914">
        <w:rPr>
          <w:szCs w:val="24"/>
        </w:rPr>
        <w:t xml:space="preserve">. </w:t>
      </w:r>
      <w:r w:rsidRPr="004F7914">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4F7914" w:rsidRDefault="003E571F" w:rsidP="003E571F">
      <w:pPr>
        <w:spacing w:before="120" w:after="120"/>
        <w:rPr>
          <w:szCs w:val="24"/>
        </w:rPr>
      </w:pPr>
      <w:r w:rsidRPr="004F7914">
        <w:rPr>
          <w:szCs w:val="24"/>
          <w:u w:val="single"/>
        </w:rPr>
        <w:t xml:space="preserve">Analysis </w:t>
      </w:r>
    </w:p>
    <w:p w14:paraId="422BA7E2" w14:textId="43070230" w:rsidR="008040C8" w:rsidRPr="004F7914" w:rsidRDefault="000419E1" w:rsidP="0005445A">
      <w:pPr>
        <w:spacing w:before="120" w:after="120"/>
        <w:rPr>
          <w:szCs w:val="24"/>
        </w:rPr>
      </w:pPr>
      <w:r w:rsidRPr="004F7914">
        <w:rPr>
          <w:szCs w:val="24"/>
        </w:rPr>
        <w:t>The</w:t>
      </w:r>
      <w:r w:rsidR="003E571F" w:rsidRPr="004F7914">
        <w:rPr>
          <w:szCs w:val="24"/>
        </w:rPr>
        <w:t xml:space="preserve"> Regulation</w:t>
      </w:r>
      <w:r w:rsidRPr="004F7914">
        <w:rPr>
          <w:szCs w:val="24"/>
        </w:rPr>
        <w:t>s</w:t>
      </w:r>
      <w:r w:rsidR="003E571F" w:rsidRPr="004F7914">
        <w:rPr>
          <w:szCs w:val="24"/>
        </w:rPr>
        <w:t xml:space="preserve"> will maintain rights to health and social security by ensuring access to publicly subsidised health services which are clinically and cost</w:t>
      </w:r>
      <w:r w:rsidR="007527A5">
        <w:rPr>
          <w:szCs w:val="24"/>
        </w:rPr>
        <w:t xml:space="preserve"> </w:t>
      </w:r>
      <w:r w:rsidR="003E571F" w:rsidRPr="004F7914">
        <w:rPr>
          <w:szCs w:val="24"/>
        </w:rPr>
        <w:t>effective.</w:t>
      </w:r>
      <w:r w:rsidR="0026457B" w:rsidRPr="004F7914">
        <w:rPr>
          <w:szCs w:val="24"/>
        </w:rPr>
        <w:t xml:space="preserve"> </w:t>
      </w:r>
    </w:p>
    <w:p w14:paraId="375F4B79" w14:textId="29B1E030" w:rsidR="004F7914" w:rsidRDefault="004F7914" w:rsidP="0005445A">
      <w:pPr>
        <w:spacing w:before="120" w:after="120"/>
        <w:rPr>
          <w:szCs w:val="24"/>
        </w:rPr>
      </w:pPr>
      <w:r w:rsidRPr="004F7914">
        <w:rPr>
          <w:szCs w:val="24"/>
        </w:rPr>
        <w:t xml:space="preserve">There are </w:t>
      </w:r>
      <w:r w:rsidR="00B41E94">
        <w:rPr>
          <w:szCs w:val="24"/>
        </w:rPr>
        <w:t>9</w:t>
      </w:r>
      <w:r w:rsidR="00D42C63">
        <w:rPr>
          <w:szCs w:val="24"/>
        </w:rPr>
        <w:t>4</w:t>
      </w:r>
      <w:r w:rsidR="00B41E94">
        <w:rPr>
          <w:szCs w:val="24"/>
        </w:rPr>
        <w:t xml:space="preserve"> </w:t>
      </w:r>
      <w:r w:rsidRPr="004F7914">
        <w:rPr>
          <w:szCs w:val="24"/>
        </w:rPr>
        <w:t>general practice Medicare items which are affected across standard services (Level A to D) and non-standard GP services</w:t>
      </w:r>
      <w:r>
        <w:rPr>
          <w:szCs w:val="24"/>
        </w:rPr>
        <w:t xml:space="preserve"> (</w:t>
      </w:r>
      <w:r w:rsidRPr="004F7914">
        <w:rPr>
          <w:szCs w:val="24"/>
        </w:rPr>
        <w:t>group ther</w:t>
      </w:r>
      <w:r>
        <w:rPr>
          <w:szCs w:val="24"/>
        </w:rPr>
        <w:t>apy</w:t>
      </w:r>
      <w:r w:rsidR="00E85559">
        <w:rPr>
          <w:szCs w:val="24"/>
        </w:rPr>
        <w:t xml:space="preserve">, </w:t>
      </w:r>
      <w:r>
        <w:rPr>
          <w:szCs w:val="24"/>
        </w:rPr>
        <w:t xml:space="preserve">chronic disease management, </w:t>
      </w:r>
      <w:r w:rsidR="008B7619">
        <w:rPr>
          <w:szCs w:val="24"/>
        </w:rPr>
        <w:t>etc.</w:t>
      </w:r>
      <w:r>
        <w:rPr>
          <w:szCs w:val="24"/>
        </w:rPr>
        <w:t>)</w:t>
      </w:r>
      <w:r w:rsidRPr="004F7914">
        <w:rPr>
          <w:szCs w:val="24"/>
        </w:rPr>
        <w:t>.</w:t>
      </w:r>
      <w:r>
        <w:rPr>
          <w:szCs w:val="24"/>
        </w:rPr>
        <w:t xml:space="preserve"> Patients will continue to have access to these items where the service is rendered by a general practitioner at the same rate to </w:t>
      </w:r>
      <w:r w:rsidRPr="004F7914">
        <w:rPr>
          <w:szCs w:val="24"/>
        </w:rPr>
        <w:t>incentivise better value care through targeted benefits</w:t>
      </w:r>
      <w:r>
        <w:rPr>
          <w:szCs w:val="24"/>
        </w:rPr>
        <w:t>.</w:t>
      </w:r>
    </w:p>
    <w:p w14:paraId="0062C489" w14:textId="1539C9B0" w:rsidR="004F7914" w:rsidRDefault="004F7914" w:rsidP="0005445A">
      <w:pPr>
        <w:spacing w:before="120" w:after="120"/>
        <w:rPr>
          <w:szCs w:val="24"/>
        </w:rPr>
      </w:pPr>
      <w:r>
        <w:rPr>
          <w:szCs w:val="24"/>
        </w:rPr>
        <w:t xml:space="preserve">General practice services rendered by an OMP will remain Medicare-eligible so patients </w:t>
      </w:r>
      <w:r w:rsidR="00497FDB">
        <w:rPr>
          <w:szCs w:val="24"/>
        </w:rPr>
        <w:t xml:space="preserve">will </w:t>
      </w:r>
      <w:r w:rsidR="008B7619">
        <w:rPr>
          <w:szCs w:val="24"/>
        </w:rPr>
        <w:t>continue</w:t>
      </w:r>
      <w:r w:rsidR="00497FDB">
        <w:rPr>
          <w:szCs w:val="24"/>
        </w:rPr>
        <w:t xml:space="preserve"> </w:t>
      </w:r>
      <w:r>
        <w:rPr>
          <w:szCs w:val="24"/>
        </w:rPr>
        <w:t xml:space="preserve">to </w:t>
      </w:r>
      <w:r w:rsidR="00497FDB">
        <w:rPr>
          <w:szCs w:val="24"/>
        </w:rPr>
        <w:t xml:space="preserve">be able to access </w:t>
      </w:r>
      <w:r>
        <w:rPr>
          <w:szCs w:val="24"/>
        </w:rPr>
        <w:t>clinically necessary services. The benefit paid for these services will be changed to reflect the superior quality of a service rendered by a specialist GP. This will encourage doctors in general practice to train towards and complete vocational training.</w:t>
      </w:r>
    </w:p>
    <w:p w14:paraId="2F1A38A3" w14:textId="3FA549CF" w:rsidR="003E571F" w:rsidRPr="004F7914" w:rsidRDefault="003E571F" w:rsidP="0005445A">
      <w:pPr>
        <w:spacing w:before="120" w:after="120"/>
        <w:rPr>
          <w:rFonts w:eastAsia="Calibri"/>
          <w:b/>
          <w:szCs w:val="24"/>
          <w:lang w:eastAsia="en-US"/>
        </w:rPr>
      </w:pPr>
      <w:r w:rsidRPr="004F7914">
        <w:rPr>
          <w:rFonts w:eastAsia="Calibri"/>
          <w:b/>
          <w:szCs w:val="24"/>
          <w:lang w:eastAsia="en-US"/>
        </w:rPr>
        <w:t xml:space="preserve">Conclusion </w:t>
      </w:r>
    </w:p>
    <w:p w14:paraId="2F1A38A5" w14:textId="44C39F75" w:rsidR="003E571F" w:rsidRPr="004F7914" w:rsidRDefault="00907A5E" w:rsidP="003E571F">
      <w:pPr>
        <w:rPr>
          <w:szCs w:val="24"/>
        </w:rPr>
      </w:pPr>
      <w:r w:rsidRPr="004F7914">
        <w:rPr>
          <w:szCs w:val="24"/>
        </w:rPr>
        <w:t>This Legislative Instrument is compatible with human rights as it does not raise any human rights issues.</w:t>
      </w:r>
    </w:p>
    <w:p w14:paraId="258AB72B" w14:textId="77777777" w:rsidR="00907A5E" w:rsidRPr="004F7914" w:rsidRDefault="00907A5E" w:rsidP="003E571F">
      <w:pPr>
        <w:rPr>
          <w:rFonts w:eastAsia="Calibri"/>
          <w:szCs w:val="24"/>
          <w:lang w:eastAsia="en-US"/>
        </w:rPr>
      </w:pPr>
    </w:p>
    <w:p w14:paraId="2F1A38A6" w14:textId="77777777" w:rsidR="003E571F" w:rsidRPr="004F7914" w:rsidRDefault="008F4C42" w:rsidP="003E571F">
      <w:pPr>
        <w:spacing w:before="120" w:after="120" w:line="276" w:lineRule="auto"/>
        <w:jc w:val="center"/>
        <w:rPr>
          <w:rFonts w:eastAsia="Calibri"/>
          <w:b/>
          <w:bCs/>
          <w:szCs w:val="24"/>
          <w:lang w:eastAsia="en-US"/>
        </w:rPr>
      </w:pPr>
      <w:r w:rsidRPr="004F7914">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4F7914">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A619" w14:textId="77777777" w:rsidR="00F708B1" w:rsidRDefault="00F708B1">
      <w:r>
        <w:separator/>
      </w:r>
    </w:p>
  </w:endnote>
  <w:endnote w:type="continuationSeparator" w:id="0">
    <w:p w14:paraId="4DF8D564" w14:textId="77777777" w:rsidR="00F708B1" w:rsidRDefault="00F708B1">
      <w:r>
        <w:continuationSeparator/>
      </w:r>
    </w:p>
  </w:endnote>
  <w:endnote w:type="continuationNotice" w:id="1">
    <w:p w14:paraId="6DD3A6F5" w14:textId="77777777" w:rsidR="005E1DFB" w:rsidRDefault="005E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B508D" w14:textId="77777777" w:rsidR="00F708B1" w:rsidRDefault="00F708B1">
      <w:r>
        <w:separator/>
      </w:r>
    </w:p>
  </w:footnote>
  <w:footnote w:type="continuationSeparator" w:id="0">
    <w:p w14:paraId="1883280F" w14:textId="77777777" w:rsidR="00F708B1" w:rsidRDefault="00F708B1">
      <w:r>
        <w:continuationSeparator/>
      </w:r>
    </w:p>
  </w:footnote>
  <w:footnote w:type="continuationNotice" w:id="1">
    <w:p w14:paraId="157C6BB5" w14:textId="77777777" w:rsidR="005E1DFB" w:rsidRDefault="005E1D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F708B1" w:rsidRDefault="00F708B1">
        <w:pPr>
          <w:pStyle w:val="Header"/>
          <w:jc w:val="center"/>
        </w:pPr>
        <w:r>
          <w:fldChar w:fldCharType="begin"/>
        </w:r>
        <w:r>
          <w:instrText xml:space="preserve"> PAGE   \* MERGEFORMAT </w:instrText>
        </w:r>
        <w:r>
          <w:fldChar w:fldCharType="separate"/>
        </w:r>
        <w:r w:rsidR="00AB7A8D">
          <w:rPr>
            <w:noProof/>
          </w:rPr>
          <w:t>1</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5BB"/>
    <w:multiLevelType w:val="hybridMultilevel"/>
    <w:tmpl w:val="7DCC68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860547"/>
    <w:multiLevelType w:val="hybridMultilevel"/>
    <w:tmpl w:val="5720E62A"/>
    <w:lvl w:ilvl="0" w:tplc="55C6005C">
      <w:start w:val="1"/>
      <w:numFmt w:val="bullet"/>
      <w:lvlText w:val="-"/>
      <w:lvlJc w:val="left"/>
      <w:pPr>
        <w:ind w:left="778" w:hanging="360"/>
      </w:pPr>
      <w:rPr>
        <w:rFonts w:ascii="Times New Roman" w:hAnsi="Times New Roman" w:cs="Times New Roman"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2">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F033D3"/>
    <w:multiLevelType w:val="hybridMultilevel"/>
    <w:tmpl w:val="EC8C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E15B0D"/>
    <w:multiLevelType w:val="hybridMultilevel"/>
    <w:tmpl w:val="90BE3092"/>
    <w:lvl w:ilvl="0" w:tplc="93386D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521650FC"/>
    <w:multiLevelType w:val="hybridMultilevel"/>
    <w:tmpl w:val="5536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250A87"/>
    <w:multiLevelType w:val="hybridMultilevel"/>
    <w:tmpl w:val="19D426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0"/>
  </w:num>
  <w:num w:numId="5">
    <w:abstractNumId w:val="4"/>
  </w:num>
  <w:num w:numId="6">
    <w:abstractNumId w:val="12"/>
  </w:num>
  <w:num w:numId="7">
    <w:abstractNumId w:val="3"/>
  </w:num>
  <w:num w:numId="8">
    <w:abstractNumId w:val="11"/>
  </w:num>
  <w:num w:numId="9">
    <w:abstractNumId w:val="14"/>
  </w:num>
  <w:num w:numId="10">
    <w:abstractNumId w:val="15"/>
  </w:num>
  <w:num w:numId="11">
    <w:abstractNumId w:val="5"/>
  </w:num>
  <w:num w:numId="12">
    <w:abstractNumId w:val="8"/>
  </w:num>
  <w:num w:numId="13">
    <w:abstractNumId w:val="1"/>
  </w:num>
  <w:num w:numId="14">
    <w:abstractNumId w:val="6"/>
  </w:num>
  <w:num w:numId="15">
    <w:abstractNumId w:val="1"/>
  </w:num>
  <w:num w:numId="16">
    <w:abstractNumId w:val="0"/>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4E44"/>
    <w:rsid w:val="0000546D"/>
    <w:rsid w:val="00005906"/>
    <w:rsid w:val="00005F93"/>
    <w:rsid w:val="000060CE"/>
    <w:rsid w:val="00006526"/>
    <w:rsid w:val="000074CB"/>
    <w:rsid w:val="00010395"/>
    <w:rsid w:val="000118AD"/>
    <w:rsid w:val="00014B38"/>
    <w:rsid w:val="000151FF"/>
    <w:rsid w:val="00016422"/>
    <w:rsid w:val="00017B9A"/>
    <w:rsid w:val="000201DC"/>
    <w:rsid w:val="00020512"/>
    <w:rsid w:val="00020D83"/>
    <w:rsid w:val="00022FDD"/>
    <w:rsid w:val="000237F0"/>
    <w:rsid w:val="00025F16"/>
    <w:rsid w:val="000269EF"/>
    <w:rsid w:val="00026DA9"/>
    <w:rsid w:val="0002704E"/>
    <w:rsid w:val="0002786C"/>
    <w:rsid w:val="00031201"/>
    <w:rsid w:val="00031FA9"/>
    <w:rsid w:val="000325D0"/>
    <w:rsid w:val="000330A5"/>
    <w:rsid w:val="00033577"/>
    <w:rsid w:val="00033818"/>
    <w:rsid w:val="00037A1D"/>
    <w:rsid w:val="000407C2"/>
    <w:rsid w:val="0004154D"/>
    <w:rsid w:val="000419E1"/>
    <w:rsid w:val="00041E67"/>
    <w:rsid w:val="0004236F"/>
    <w:rsid w:val="000433EE"/>
    <w:rsid w:val="00044A2A"/>
    <w:rsid w:val="000462E0"/>
    <w:rsid w:val="000509BA"/>
    <w:rsid w:val="00051421"/>
    <w:rsid w:val="0005224B"/>
    <w:rsid w:val="00052794"/>
    <w:rsid w:val="000529AB"/>
    <w:rsid w:val="0005322F"/>
    <w:rsid w:val="0005445A"/>
    <w:rsid w:val="00054882"/>
    <w:rsid w:val="00054C12"/>
    <w:rsid w:val="0005533C"/>
    <w:rsid w:val="00056406"/>
    <w:rsid w:val="00060481"/>
    <w:rsid w:val="00060E00"/>
    <w:rsid w:val="00060EAF"/>
    <w:rsid w:val="00062A7D"/>
    <w:rsid w:val="000631E4"/>
    <w:rsid w:val="0006330C"/>
    <w:rsid w:val="000643E5"/>
    <w:rsid w:val="00064B14"/>
    <w:rsid w:val="00064BA4"/>
    <w:rsid w:val="000666F0"/>
    <w:rsid w:val="00066A2E"/>
    <w:rsid w:val="00067939"/>
    <w:rsid w:val="00070895"/>
    <w:rsid w:val="000710DD"/>
    <w:rsid w:val="000727E0"/>
    <w:rsid w:val="00073B43"/>
    <w:rsid w:val="00074850"/>
    <w:rsid w:val="0007640A"/>
    <w:rsid w:val="00077D68"/>
    <w:rsid w:val="00080E28"/>
    <w:rsid w:val="000858F8"/>
    <w:rsid w:val="000875AE"/>
    <w:rsid w:val="00090202"/>
    <w:rsid w:val="000902EB"/>
    <w:rsid w:val="00093E83"/>
    <w:rsid w:val="000945D2"/>
    <w:rsid w:val="000962CE"/>
    <w:rsid w:val="000969EF"/>
    <w:rsid w:val="000973B4"/>
    <w:rsid w:val="000A11A7"/>
    <w:rsid w:val="000A15E2"/>
    <w:rsid w:val="000A1F07"/>
    <w:rsid w:val="000A31F2"/>
    <w:rsid w:val="000A45BE"/>
    <w:rsid w:val="000A49C6"/>
    <w:rsid w:val="000A4ADA"/>
    <w:rsid w:val="000A53FB"/>
    <w:rsid w:val="000B0ED6"/>
    <w:rsid w:val="000B1523"/>
    <w:rsid w:val="000B342B"/>
    <w:rsid w:val="000B3452"/>
    <w:rsid w:val="000B450B"/>
    <w:rsid w:val="000B4F9C"/>
    <w:rsid w:val="000B50B8"/>
    <w:rsid w:val="000B53E7"/>
    <w:rsid w:val="000B55EC"/>
    <w:rsid w:val="000B6BB0"/>
    <w:rsid w:val="000B6E79"/>
    <w:rsid w:val="000B721F"/>
    <w:rsid w:val="000B7404"/>
    <w:rsid w:val="000B7D33"/>
    <w:rsid w:val="000C0C37"/>
    <w:rsid w:val="000C3EDB"/>
    <w:rsid w:val="000C47AF"/>
    <w:rsid w:val="000C548C"/>
    <w:rsid w:val="000C587F"/>
    <w:rsid w:val="000C6797"/>
    <w:rsid w:val="000C6FF8"/>
    <w:rsid w:val="000D2BFA"/>
    <w:rsid w:val="000D39A2"/>
    <w:rsid w:val="000D48B1"/>
    <w:rsid w:val="000D4BEF"/>
    <w:rsid w:val="000D6400"/>
    <w:rsid w:val="000D7803"/>
    <w:rsid w:val="000D7A7C"/>
    <w:rsid w:val="000D7AE8"/>
    <w:rsid w:val="000E1410"/>
    <w:rsid w:val="000E1ACD"/>
    <w:rsid w:val="000E2291"/>
    <w:rsid w:val="000E22EB"/>
    <w:rsid w:val="000E317C"/>
    <w:rsid w:val="000E505E"/>
    <w:rsid w:val="000E64FE"/>
    <w:rsid w:val="000E6702"/>
    <w:rsid w:val="000F1714"/>
    <w:rsid w:val="000F249E"/>
    <w:rsid w:val="000F252D"/>
    <w:rsid w:val="000F25DC"/>
    <w:rsid w:val="000F5054"/>
    <w:rsid w:val="000F5E76"/>
    <w:rsid w:val="000F7206"/>
    <w:rsid w:val="000F734C"/>
    <w:rsid w:val="000F74FD"/>
    <w:rsid w:val="00100B79"/>
    <w:rsid w:val="00101117"/>
    <w:rsid w:val="0010312E"/>
    <w:rsid w:val="00103F18"/>
    <w:rsid w:val="00107404"/>
    <w:rsid w:val="00110D40"/>
    <w:rsid w:val="001179C5"/>
    <w:rsid w:val="00122861"/>
    <w:rsid w:val="001239BE"/>
    <w:rsid w:val="00124440"/>
    <w:rsid w:val="00125DDD"/>
    <w:rsid w:val="001300C4"/>
    <w:rsid w:val="00130653"/>
    <w:rsid w:val="00132930"/>
    <w:rsid w:val="00132DD2"/>
    <w:rsid w:val="001339D5"/>
    <w:rsid w:val="00134A81"/>
    <w:rsid w:val="00134B27"/>
    <w:rsid w:val="00137B72"/>
    <w:rsid w:val="00140901"/>
    <w:rsid w:val="00141E8C"/>
    <w:rsid w:val="00142619"/>
    <w:rsid w:val="00142C17"/>
    <w:rsid w:val="00143E0F"/>
    <w:rsid w:val="0014594B"/>
    <w:rsid w:val="00145F61"/>
    <w:rsid w:val="001471FB"/>
    <w:rsid w:val="0014793E"/>
    <w:rsid w:val="00151812"/>
    <w:rsid w:val="001549DB"/>
    <w:rsid w:val="00154DC5"/>
    <w:rsid w:val="00154FC4"/>
    <w:rsid w:val="0015521F"/>
    <w:rsid w:val="00156D7C"/>
    <w:rsid w:val="0015782F"/>
    <w:rsid w:val="00160A4E"/>
    <w:rsid w:val="00161152"/>
    <w:rsid w:val="001619C7"/>
    <w:rsid w:val="0016200A"/>
    <w:rsid w:val="001623E2"/>
    <w:rsid w:val="00162C3E"/>
    <w:rsid w:val="001641C0"/>
    <w:rsid w:val="00165885"/>
    <w:rsid w:val="001664F5"/>
    <w:rsid w:val="0016690A"/>
    <w:rsid w:val="00167999"/>
    <w:rsid w:val="00170785"/>
    <w:rsid w:val="00171693"/>
    <w:rsid w:val="0017187F"/>
    <w:rsid w:val="00172566"/>
    <w:rsid w:val="001753EC"/>
    <w:rsid w:val="001755E9"/>
    <w:rsid w:val="001759C3"/>
    <w:rsid w:val="001770D9"/>
    <w:rsid w:val="0018012F"/>
    <w:rsid w:val="00182B1A"/>
    <w:rsid w:val="00182CC0"/>
    <w:rsid w:val="0018451D"/>
    <w:rsid w:val="00184F74"/>
    <w:rsid w:val="00185238"/>
    <w:rsid w:val="001867EA"/>
    <w:rsid w:val="00190B6A"/>
    <w:rsid w:val="0019289B"/>
    <w:rsid w:val="0019464A"/>
    <w:rsid w:val="0019475A"/>
    <w:rsid w:val="00195A6A"/>
    <w:rsid w:val="00197183"/>
    <w:rsid w:val="001978CE"/>
    <w:rsid w:val="00197F34"/>
    <w:rsid w:val="001A300C"/>
    <w:rsid w:val="001A4BE2"/>
    <w:rsid w:val="001A56BD"/>
    <w:rsid w:val="001A61D8"/>
    <w:rsid w:val="001B1FC7"/>
    <w:rsid w:val="001B2FF1"/>
    <w:rsid w:val="001B3DDB"/>
    <w:rsid w:val="001B5232"/>
    <w:rsid w:val="001B6FB1"/>
    <w:rsid w:val="001B73BA"/>
    <w:rsid w:val="001C03B3"/>
    <w:rsid w:val="001C05D8"/>
    <w:rsid w:val="001C2338"/>
    <w:rsid w:val="001C6713"/>
    <w:rsid w:val="001C7677"/>
    <w:rsid w:val="001D028D"/>
    <w:rsid w:val="001D1E6B"/>
    <w:rsid w:val="001D2199"/>
    <w:rsid w:val="001D32CB"/>
    <w:rsid w:val="001D778A"/>
    <w:rsid w:val="001D7D62"/>
    <w:rsid w:val="001E1942"/>
    <w:rsid w:val="001E302E"/>
    <w:rsid w:val="001E3B02"/>
    <w:rsid w:val="001E5383"/>
    <w:rsid w:val="001E5BB1"/>
    <w:rsid w:val="001E5DE7"/>
    <w:rsid w:val="001E6372"/>
    <w:rsid w:val="001E7292"/>
    <w:rsid w:val="001E7363"/>
    <w:rsid w:val="001E7C25"/>
    <w:rsid w:val="001E7E95"/>
    <w:rsid w:val="001F09E4"/>
    <w:rsid w:val="001F2244"/>
    <w:rsid w:val="001F3947"/>
    <w:rsid w:val="001F508A"/>
    <w:rsid w:val="001F5286"/>
    <w:rsid w:val="001F6C88"/>
    <w:rsid w:val="002019AA"/>
    <w:rsid w:val="00203952"/>
    <w:rsid w:val="00203EFA"/>
    <w:rsid w:val="002041FD"/>
    <w:rsid w:val="00204255"/>
    <w:rsid w:val="0020694C"/>
    <w:rsid w:val="00210419"/>
    <w:rsid w:val="00210C1C"/>
    <w:rsid w:val="00211009"/>
    <w:rsid w:val="00211327"/>
    <w:rsid w:val="002118D2"/>
    <w:rsid w:val="002122D4"/>
    <w:rsid w:val="002130C0"/>
    <w:rsid w:val="00213177"/>
    <w:rsid w:val="00213E3C"/>
    <w:rsid w:val="00214C00"/>
    <w:rsid w:val="0021501B"/>
    <w:rsid w:val="00215451"/>
    <w:rsid w:val="00217EBF"/>
    <w:rsid w:val="00217F27"/>
    <w:rsid w:val="0022126E"/>
    <w:rsid w:val="002216DC"/>
    <w:rsid w:val="0022181A"/>
    <w:rsid w:val="00221C4B"/>
    <w:rsid w:val="00222524"/>
    <w:rsid w:val="00223F48"/>
    <w:rsid w:val="002246FB"/>
    <w:rsid w:val="00224F0A"/>
    <w:rsid w:val="00227B5D"/>
    <w:rsid w:val="002303FE"/>
    <w:rsid w:val="00230DF3"/>
    <w:rsid w:val="00232119"/>
    <w:rsid w:val="002326AF"/>
    <w:rsid w:val="00234312"/>
    <w:rsid w:val="00234BDC"/>
    <w:rsid w:val="00236409"/>
    <w:rsid w:val="002378E5"/>
    <w:rsid w:val="00241718"/>
    <w:rsid w:val="00241E0B"/>
    <w:rsid w:val="00242079"/>
    <w:rsid w:val="002444E8"/>
    <w:rsid w:val="0024463B"/>
    <w:rsid w:val="00245163"/>
    <w:rsid w:val="00245737"/>
    <w:rsid w:val="00246670"/>
    <w:rsid w:val="00250061"/>
    <w:rsid w:val="00250642"/>
    <w:rsid w:val="00251F50"/>
    <w:rsid w:val="00253417"/>
    <w:rsid w:val="00253C7D"/>
    <w:rsid w:val="00253E30"/>
    <w:rsid w:val="00254E64"/>
    <w:rsid w:val="00256316"/>
    <w:rsid w:val="002626B1"/>
    <w:rsid w:val="00263279"/>
    <w:rsid w:val="0026348A"/>
    <w:rsid w:val="002643D8"/>
    <w:rsid w:val="002643FC"/>
    <w:rsid w:val="0026457B"/>
    <w:rsid w:val="00264650"/>
    <w:rsid w:val="00264940"/>
    <w:rsid w:val="00264972"/>
    <w:rsid w:val="00266836"/>
    <w:rsid w:val="0026727D"/>
    <w:rsid w:val="002706E4"/>
    <w:rsid w:val="00271E50"/>
    <w:rsid w:val="002722C3"/>
    <w:rsid w:val="0027471B"/>
    <w:rsid w:val="0027552B"/>
    <w:rsid w:val="00275B7A"/>
    <w:rsid w:val="0027610D"/>
    <w:rsid w:val="002776AF"/>
    <w:rsid w:val="00280AF2"/>
    <w:rsid w:val="00283919"/>
    <w:rsid w:val="00284013"/>
    <w:rsid w:val="00287B08"/>
    <w:rsid w:val="00292DB5"/>
    <w:rsid w:val="00293770"/>
    <w:rsid w:val="002951EE"/>
    <w:rsid w:val="0029643F"/>
    <w:rsid w:val="002A122A"/>
    <w:rsid w:val="002A2510"/>
    <w:rsid w:val="002A39F4"/>
    <w:rsid w:val="002A56D1"/>
    <w:rsid w:val="002A6B78"/>
    <w:rsid w:val="002A6CF1"/>
    <w:rsid w:val="002A7D20"/>
    <w:rsid w:val="002B2E14"/>
    <w:rsid w:val="002B2E78"/>
    <w:rsid w:val="002B3258"/>
    <w:rsid w:val="002B3DD6"/>
    <w:rsid w:val="002B4117"/>
    <w:rsid w:val="002B49DE"/>
    <w:rsid w:val="002B53D3"/>
    <w:rsid w:val="002B5A16"/>
    <w:rsid w:val="002B601E"/>
    <w:rsid w:val="002B6E0D"/>
    <w:rsid w:val="002B71C3"/>
    <w:rsid w:val="002C03AD"/>
    <w:rsid w:val="002C2167"/>
    <w:rsid w:val="002C5DCD"/>
    <w:rsid w:val="002D05C2"/>
    <w:rsid w:val="002D2707"/>
    <w:rsid w:val="002D2A4E"/>
    <w:rsid w:val="002D3AD5"/>
    <w:rsid w:val="002D3C09"/>
    <w:rsid w:val="002D4C8B"/>
    <w:rsid w:val="002D4D03"/>
    <w:rsid w:val="002D6A3B"/>
    <w:rsid w:val="002D705A"/>
    <w:rsid w:val="002E17F1"/>
    <w:rsid w:val="002E1FF7"/>
    <w:rsid w:val="002E216E"/>
    <w:rsid w:val="002E3493"/>
    <w:rsid w:val="002E6BAE"/>
    <w:rsid w:val="002F0434"/>
    <w:rsid w:val="002F0882"/>
    <w:rsid w:val="002F126D"/>
    <w:rsid w:val="002F2D42"/>
    <w:rsid w:val="002F449C"/>
    <w:rsid w:val="002F5FB9"/>
    <w:rsid w:val="002F72F7"/>
    <w:rsid w:val="003003F3"/>
    <w:rsid w:val="0030241E"/>
    <w:rsid w:val="0030441C"/>
    <w:rsid w:val="003051C1"/>
    <w:rsid w:val="003061C1"/>
    <w:rsid w:val="003075FA"/>
    <w:rsid w:val="00310341"/>
    <w:rsid w:val="0031124D"/>
    <w:rsid w:val="00311871"/>
    <w:rsid w:val="003120FB"/>
    <w:rsid w:val="00312DCE"/>
    <w:rsid w:val="00313D02"/>
    <w:rsid w:val="00314D09"/>
    <w:rsid w:val="003162BF"/>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503FC"/>
    <w:rsid w:val="00350431"/>
    <w:rsid w:val="0035214B"/>
    <w:rsid w:val="00352888"/>
    <w:rsid w:val="003602D4"/>
    <w:rsid w:val="00361CFB"/>
    <w:rsid w:val="0036495A"/>
    <w:rsid w:val="00366128"/>
    <w:rsid w:val="00367F35"/>
    <w:rsid w:val="00370EDC"/>
    <w:rsid w:val="00372332"/>
    <w:rsid w:val="00372F2D"/>
    <w:rsid w:val="00374888"/>
    <w:rsid w:val="00376E33"/>
    <w:rsid w:val="00381DBD"/>
    <w:rsid w:val="00382128"/>
    <w:rsid w:val="0038212E"/>
    <w:rsid w:val="003830E3"/>
    <w:rsid w:val="003832FA"/>
    <w:rsid w:val="00383416"/>
    <w:rsid w:val="00383622"/>
    <w:rsid w:val="00383736"/>
    <w:rsid w:val="00384520"/>
    <w:rsid w:val="00384CC2"/>
    <w:rsid w:val="00384DEE"/>
    <w:rsid w:val="00385532"/>
    <w:rsid w:val="00385BF3"/>
    <w:rsid w:val="003860D6"/>
    <w:rsid w:val="00386B99"/>
    <w:rsid w:val="003876E6"/>
    <w:rsid w:val="003907F4"/>
    <w:rsid w:val="00391AFA"/>
    <w:rsid w:val="00393A01"/>
    <w:rsid w:val="003941C4"/>
    <w:rsid w:val="003967EF"/>
    <w:rsid w:val="003A2B0E"/>
    <w:rsid w:val="003A4F80"/>
    <w:rsid w:val="003A5002"/>
    <w:rsid w:val="003A5DEE"/>
    <w:rsid w:val="003A73B2"/>
    <w:rsid w:val="003B0247"/>
    <w:rsid w:val="003B08C4"/>
    <w:rsid w:val="003B10E4"/>
    <w:rsid w:val="003B590C"/>
    <w:rsid w:val="003B59A9"/>
    <w:rsid w:val="003B63DC"/>
    <w:rsid w:val="003C0BF9"/>
    <w:rsid w:val="003C1215"/>
    <w:rsid w:val="003C18BA"/>
    <w:rsid w:val="003C1A6F"/>
    <w:rsid w:val="003C1DE0"/>
    <w:rsid w:val="003C1E4B"/>
    <w:rsid w:val="003C2696"/>
    <w:rsid w:val="003C613C"/>
    <w:rsid w:val="003C6668"/>
    <w:rsid w:val="003C6CA4"/>
    <w:rsid w:val="003C7200"/>
    <w:rsid w:val="003D1194"/>
    <w:rsid w:val="003D1C5D"/>
    <w:rsid w:val="003D2E7E"/>
    <w:rsid w:val="003E02A3"/>
    <w:rsid w:val="003E055D"/>
    <w:rsid w:val="003E0FB7"/>
    <w:rsid w:val="003E1249"/>
    <w:rsid w:val="003E1E0C"/>
    <w:rsid w:val="003E2754"/>
    <w:rsid w:val="003E2D0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C27"/>
    <w:rsid w:val="0041237F"/>
    <w:rsid w:val="00414613"/>
    <w:rsid w:val="00414BF3"/>
    <w:rsid w:val="00415950"/>
    <w:rsid w:val="004170CD"/>
    <w:rsid w:val="0041722D"/>
    <w:rsid w:val="0041767B"/>
    <w:rsid w:val="0042068B"/>
    <w:rsid w:val="00421373"/>
    <w:rsid w:val="00422BA3"/>
    <w:rsid w:val="0042342E"/>
    <w:rsid w:val="00423459"/>
    <w:rsid w:val="00424197"/>
    <w:rsid w:val="004246E4"/>
    <w:rsid w:val="00424D85"/>
    <w:rsid w:val="0042629B"/>
    <w:rsid w:val="00426C97"/>
    <w:rsid w:val="00430D4F"/>
    <w:rsid w:val="0043155B"/>
    <w:rsid w:val="004322C0"/>
    <w:rsid w:val="004322F3"/>
    <w:rsid w:val="00432728"/>
    <w:rsid w:val="004328D3"/>
    <w:rsid w:val="00432D4D"/>
    <w:rsid w:val="004330D0"/>
    <w:rsid w:val="00433984"/>
    <w:rsid w:val="00434E7C"/>
    <w:rsid w:val="004361A7"/>
    <w:rsid w:val="004372AD"/>
    <w:rsid w:val="00440772"/>
    <w:rsid w:val="00442F9D"/>
    <w:rsid w:val="0044403A"/>
    <w:rsid w:val="00445A6D"/>
    <w:rsid w:val="00446A6B"/>
    <w:rsid w:val="004474D1"/>
    <w:rsid w:val="004507D5"/>
    <w:rsid w:val="00451454"/>
    <w:rsid w:val="004523CA"/>
    <w:rsid w:val="004569EB"/>
    <w:rsid w:val="004608D8"/>
    <w:rsid w:val="004612CE"/>
    <w:rsid w:val="00462EFB"/>
    <w:rsid w:val="00463D4E"/>
    <w:rsid w:val="004666BC"/>
    <w:rsid w:val="00466A5B"/>
    <w:rsid w:val="0046775B"/>
    <w:rsid w:val="00472194"/>
    <w:rsid w:val="0047305F"/>
    <w:rsid w:val="0047307F"/>
    <w:rsid w:val="00473390"/>
    <w:rsid w:val="00473C22"/>
    <w:rsid w:val="0048082D"/>
    <w:rsid w:val="00480B3A"/>
    <w:rsid w:val="004828A9"/>
    <w:rsid w:val="00483A0F"/>
    <w:rsid w:val="004849DE"/>
    <w:rsid w:val="00484E4F"/>
    <w:rsid w:val="00484E57"/>
    <w:rsid w:val="00485614"/>
    <w:rsid w:val="00486672"/>
    <w:rsid w:val="004867EB"/>
    <w:rsid w:val="004903AA"/>
    <w:rsid w:val="00491F38"/>
    <w:rsid w:val="00492535"/>
    <w:rsid w:val="00492DBE"/>
    <w:rsid w:val="00493CB3"/>
    <w:rsid w:val="00493F10"/>
    <w:rsid w:val="00497FDB"/>
    <w:rsid w:val="004A0D19"/>
    <w:rsid w:val="004A19D4"/>
    <w:rsid w:val="004A3088"/>
    <w:rsid w:val="004A3AF7"/>
    <w:rsid w:val="004A56D3"/>
    <w:rsid w:val="004A6CE1"/>
    <w:rsid w:val="004A7738"/>
    <w:rsid w:val="004B0BBE"/>
    <w:rsid w:val="004B1943"/>
    <w:rsid w:val="004B5346"/>
    <w:rsid w:val="004B5829"/>
    <w:rsid w:val="004B683B"/>
    <w:rsid w:val="004B7B56"/>
    <w:rsid w:val="004C0497"/>
    <w:rsid w:val="004C080E"/>
    <w:rsid w:val="004C27EB"/>
    <w:rsid w:val="004C2D07"/>
    <w:rsid w:val="004C405B"/>
    <w:rsid w:val="004C4EAF"/>
    <w:rsid w:val="004C68D1"/>
    <w:rsid w:val="004D0283"/>
    <w:rsid w:val="004D2166"/>
    <w:rsid w:val="004D3590"/>
    <w:rsid w:val="004D5A5F"/>
    <w:rsid w:val="004D5B46"/>
    <w:rsid w:val="004D663B"/>
    <w:rsid w:val="004D7821"/>
    <w:rsid w:val="004E13E2"/>
    <w:rsid w:val="004E22A7"/>
    <w:rsid w:val="004E3E58"/>
    <w:rsid w:val="004E61D5"/>
    <w:rsid w:val="004E6A76"/>
    <w:rsid w:val="004E7924"/>
    <w:rsid w:val="004E7CA2"/>
    <w:rsid w:val="004E7F97"/>
    <w:rsid w:val="004F04B4"/>
    <w:rsid w:val="004F17E1"/>
    <w:rsid w:val="004F1F17"/>
    <w:rsid w:val="004F2195"/>
    <w:rsid w:val="004F22B1"/>
    <w:rsid w:val="004F39E8"/>
    <w:rsid w:val="004F5195"/>
    <w:rsid w:val="004F7914"/>
    <w:rsid w:val="005008F6"/>
    <w:rsid w:val="0050099B"/>
    <w:rsid w:val="00502127"/>
    <w:rsid w:val="00502156"/>
    <w:rsid w:val="00502277"/>
    <w:rsid w:val="005024B5"/>
    <w:rsid w:val="0050424A"/>
    <w:rsid w:val="005073DD"/>
    <w:rsid w:val="00510BDC"/>
    <w:rsid w:val="0051162B"/>
    <w:rsid w:val="0051239C"/>
    <w:rsid w:val="00513B0B"/>
    <w:rsid w:val="005140F2"/>
    <w:rsid w:val="00515200"/>
    <w:rsid w:val="00516199"/>
    <w:rsid w:val="00516C40"/>
    <w:rsid w:val="00517800"/>
    <w:rsid w:val="00517E44"/>
    <w:rsid w:val="00520924"/>
    <w:rsid w:val="00520B9E"/>
    <w:rsid w:val="00520F75"/>
    <w:rsid w:val="0052154A"/>
    <w:rsid w:val="00521D97"/>
    <w:rsid w:val="0052284A"/>
    <w:rsid w:val="00525917"/>
    <w:rsid w:val="00526255"/>
    <w:rsid w:val="00527B6A"/>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4A67"/>
    <w:rsid w:val="00545A7A"/>
    <w:rsid w:val="00546C75"/>
    <w:rsid w:val="00547CF0"/>
    <w:rsid w:val="00550ED7"/>
    <w:rsid w:val="00552105"/>
    <w:rsid w:val="0055212F"/>
    <w:rsid w:val="005533E6"/>
    <w:rsid w:val="0055354D"/>
    <w:rsid w:val="00554B81"/>
    <w:rsid w:val="005550E2"/>
    <w:rsid w:val="0055727E"/>
    <w:rsid w:val="005610B7"/>
    <w:rsid w:val="00561AE0"/>
    <w:rsid w:val="005626C5"/>
    <w:rsid w:val="00562E10"/>
    <w:rsid w:val="005641A7"/>
    <w:rsid w:val="005642D9"/>
    <w:rsid w:val="005643D4"/>
    <w:rsid w:val="00564C6F"/>
    <w:rsid w:val="00567C6C"/>
    <w:rsid w:val="00567C9E"/>
    <w:rsid w:val="00571001"/>
    <w:rsid w:val="005716F6"/>
    <w:rsid w:val="00571768"/>
    <w:rsid w:val="0057258C"/>
    <w:rsid w:val="00573651"/>
    <w:rsid w:val="00574894"/>
    <w:rsid w:val="00574DF3"/>
    <w:rsid w:val="00575198"/>
    <w:rsid w:val="005778E8"/>
    <w:rsid w:val="005800B2"/>
    <w:rsid w:val="005808DA"/>
    <w:rsid w:val="00581904"/>
    <w:rsid w:val="00581AA0"/>
    <w:rsid w:val="00581D68"/>
    <w:rsid w:val="00585119"/>
    <w:rsid w:val="00585309"/>
    <w:rsid w:val="0058585A"/>
    <w:rsid w:val="005879F2"/>
    <w:rsid w:val="0059018E"/>
    <w:rsid w:val="005918C8"/>
    <w:rsid w:val="00591AE8"/>
    <w:rsid w:val="00592DE0"/>
    <w:rsid w:val="00593796"/>
    <w:rsid w:val="00593ED6"/>
    <w:rsid w:val="00594EB6"/>
    <w:rsid w:val="00595C48"/>
    <w:rsid w:val="005A106D"/>
    <w:rsid w:val="005A107D"/>
    <w:rsid w:val="005A1310"/>
    <w:rsid w:val="005A279E"/>
    <w:rsid w:val="005A3D73"/>
    <w:rsid w:val="005A6DC1"/>
    <w:rsid w:val="005A6EC9"/>
    <w:rsid w:val="005B06EA"/>
    <w:rsid w:val="005B0EA3"/>
    <w:rsid w:val="005B42DA"/>
    <w:rsid w:val="005B4473"/>
    <w:rsid w:val="005C255B"/>
    <w:rsid w:val="005C2EE8"/>
    <w:rsid w:val="005C36EE"/>
    <w:rsid w:val="005C56F4"/>
    <w:rsid w:val="005C5C22"/>
    <w:rsid w:val="005C6118"/>
    <w:rsid w:val="005C69E5"/>
    <w:rsid w:val="005D538F"/>
    <w:rsid w:val="005D5DD0"/>
    <w:rsid w:val="005D63D9"/>
    <w:rsid w:val="005D67A3"/>
    <w:rsid w:val="005D6D46"/>
    <w:rsid w:val="005E1DFB"/>
    <w:rsid w:val="005E28AB"/>
    <w:rsid w:val="005E293A"/>
    <w:rsid w:val="005F04DC"/>
    <w:rsid w:val="005F4ED0"/>
    <w:rsid w:val="005F5FE5"/>
    <w:rsid w:val="005F6EED"/>
    <w:rsid w:val="00601165"/>
    <w:rsid w:val="00603960"/>
    <w:rsid w:val="00604960"/>
    <w:rsid w:val="00605967"/>
    <w:rsid w:val="00606321"/>
    <w:rsid w:val="006070EC"/>
    <w:rsid w:val="00611A4E"/>
    <w:rsid w:val="0061281D"/>
    <w:rsid w:val="00613350"/>
    <w:rsid w:val="0061342B"/>
    <w:rsid w:val="00620DEF"/>
    <w:rsid w:val="00623004"/>
    <w:rsid w:val="006236A2"/>
    <w:rsid w:val="0062516A"/>
    <w:rsid w:val="00625964"/>
    <w:rsid w:val="006270E2"/>
    <w:rsid w:val="006307DE"/>
    <w:rsid w:val="006338CF"/>
    <w:rsid w:val="00634DFC"/>
    <w:rsid w:val="00635031"/>
    <w:rsid w:val="006407FA"/>
    <w:rsid w:val="00642BEB"/>
    <w:rsid w:val="00643AEB"/>
    <w:rsid w:val="00644388"/>
    <w:rsid w:val="006443AF"/>
    <w:rsid w:val="00644B1D"/>
    <w:rsid w:val="0064563F"/>
    <w:rsid w:val="00645664"/>
    <w:rsid w:val="00647590"/>
    <w:rsid w:val="006501CE"/>
    <w:rsid w:val="0065103B"/>
    <w:rsid w:val="00651925"/>
    <w:rsid w:val="00651B08"/>
    <w:rsid w:val="00651DB5"/>
    <w:rsid w:val="006526F5"/>
    <w:rsid w:val="0065309A"/>
    <w:rsid w:val="006557E1"/>
    <w:rsid w:val="00656DB6"/>
    <w:rsid w:val="00660D33"/>
    <w:rsid w:val="00661658"/>
    <w:rsid w:val="006619F5"/>
    <w:rsid w:val="006627AC"/>
    <w:rsid w:val="006635DA"/>
    <w:rsid w:val="0066562D"/>
    <w:rsid w:val="00665DB0"/>
    <w:rsid w:val="00670998"/>
    <w:rsid w:val="00672050"/>
    <w:rsid w:val="006722B8"/>
    <w:rsid w:val="00672FD4"/>
    <w:rsid w:val="006744DF"/>
    <w:rsid w:val="00675EBF"/>
    <w:rsid w:val="0067610F"/>
    <w:rsid w:val="006763D1"/>
    <w:rsid w:val="006773A5"/>
    <w:rsid w:val="0068041A"/>
    <w:rsid w:val="00680CEB"/>
    <w:rsid w:val="006811D8"/>
    <w:rsid w:val="00681409"/>
    <w:rsid w:val="00681E09"/>
    <w:rsid w:val="006826B4"/>
    <w:rsid w:val="00682D47"/>
    <w:rsid w:val="00682E71"/>
    <w:rsid w:val="00683473"/>
    <w:rsid w:val="006869EA"/>
    <w:rsid w:val="006871CE"/>
    <w:rsid w:val="00687216"/>
    <w:rsid w:val="00690ED7"/>
    <w:rsid w:val="0069130B"/>
    <w:rsid w:val="006921F0"/>
    <w:rsid w:val="006941DA"/>
    <w:rsid w:val="00694C76"/>
    <w:rsid w:val="006956FC"/>
    <w:rsid w:val="00697857"/>
    <w:rsid w:val="006A28FA"/>
    <w:rsid w:val="006A677C"/>
    <w:rsid w:val="006A7B6B"/>
    <w:rsid w:val="006B006D"/>
    <w:rsid w:val="006B0294"/>
    <w:rsid w:val="006B13BC"/>
    <w:rsid w:val="006B2603"/>
    <w:rsid w:val="006B32FE"/>
    <w:rsid w:val="006B3BAE"/>
    <w:rsid w:val="006B520B"/>
    <w:rsid w:val="006B6B68"/>
    <w:rsid w:val="006B6FB5"/>
    <w:rsid w:val="006B7C88"/>
    <w:rsid w:val="006C16BC"/>
    <w:rsid w:val="006C1A79"/>
    <w:rsid w:val="006C1C4A"/>
    <w:rsid w:val="006C2B70"/>
    <w:rsid w:val="006C4B87"/>
    <w:rsid w:val="006C5806"/>
    <w:rsid w:val="006C6423"/>
    <w:rsid w:val="006D0FE2"/>
    <w:rsid w:val="006D20A2"/>
    <w:rsid w:val="006D2B37"/>
    <w:rsid w:val="006D2B3E"/>
    <w:rsid w:val="006D2BC2"/>
    <w:rsid w:val="006D35CD"/>
    <w:rsid w:val="006D3848"/>
    <w:rsid w:val="006D3A3D"/>
    <w:rsid w:val="006D54FB"/>
    <w:rsid w:val="006D5E61"/>
    <w:rsid w:val="006D6312"/>
    <w:rsid w:val="006D65D2"/>
    <w:rsid w:val="006E19A8"/>
    <w:rsid w:val="006E1A62"/>
    <w:rsid w:val="006E202B"/>
    <w:rsid w:val="006E3711"/>
    <w:rsid w:val="006E3D84"/>
    <w:rsid w:val="006E3FD7"/>
    <w:rsid w:val="006E5C6B"/>
    <w:rsid w:val="006E6377"/>
    <w:rsid w:val="006E685F"/>
    <w:rsid w:val="006E7774"/>
    <w:rsid w:val="006E7ACC"/>
    <w:rsid w:val="006F0641"/>
    <w:rsid w:val="006F1D53"/>
    <w:rsid w:val="006F2BCC"/>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924"/>
    <w:rsid w:val="007111C5"/>
    <w:rsid w:val="007134A2"/>
    <w:rsid w:val="00713B46"/>
    <w:rsid w:val="00713EF6"/>
    <w:rsid w:val="00714E18"/>
    <w:rsid w:val="00715BFF"/>
    <w:rsid w:val="00717B45"/>
    <w:rsid w:val="007258DD"/>
    <w:rsid w:val="007269EA"/>
    <w:rsid w:val="00726BC2"/>
    <w:rsid w:val="00726CFA"/>
    <w:rsid w:val="0072764E"/>
    <w:rsid w:val="00727B16"/>
    <w:rsid w:val="007304D5"/>
    <w:rsid w:val="00730965"/>
    <w:rsid w:val="00730C58"/>
    <w:rsid w:val="0073265F"/>
    <w:rsid w:val="00734895"/>
    <w:rsid w:val="00734AC5"/>
    <w:rsid w:val="00735E30"/>
    <w:rsid w:val="007368DC"/>
    <w:rsid w:val="00740F9A"/>
    <w:rsid w:val="00741A4E"/>
    <w:rsid w:val="00744908"/>
    <w:rsid w:val="00744C4B"/>
    <w:rsid w:val="007452E0"/>
    <w:rsid w:val="007505FB"/>
    <w:rsid w:val="00751062"/>
    <w:rsid w:val="00751329"/>
    <w:rsid w:val="00751C3E"/>
    <w:rsid w:val="007527A5"/>
    <w:rsid w:val="0075371B"/>
    <w:rsid w:val="00753734"/>
    <w:rsid w:val="00760BED"/>
    <w:rsid w:val="00761318"/>
    <w:rsid w:val="00761950"/>
    <w:rsid w:val="0076230E"/>
    <w:rsid w:val="00762AE1"/>
    <w:rsid w:val="00762AEE"/>
    <w:rsid w:val="0076544A"/>
    <w:rsid w:val="0076785F"/>
    <w:rsid w:val="00770254"/>
    <w:rsid w:val="0077342B"/>
    <w:rsid w:val="007758E3"/>
    <w:rsid w:val="00776C78"/>
    <w:rsid w:val="00777055"/>
    <w:rsid w:val="007805F5"/>
    <w:rsid w:val="0078129B"/>
    <w:rsid w:val="007813BF"/>
    <w:rsid w:val="007817D9"/>
    <w:rsid w:val="00782369"/>
    <w:rsid w:val="007829A3"/>
    <w:rsid w:val="00782FC2"/>
    <w:rsid w:val="007837D2"/>
    <w:rsid w:val="00784EDA"/>
    <w:rsid w:val="007859F8"/>
    <w:rsid w:val="007865D9"/>
    <w:rsid w:val="007872C2"/>
    <w:rsid w:val="00790905"/>
    <w:rsid w:val="00791384"/>
    <w:rsid w:val="00792A72"/>
    <w:rsid w:val="00794B0F"/>
    <w:rsid w:val="00795F13"/>
    <w:rsid w:val="007A140D"/>
    <w:rsid w:val="007A22BC"/>
    <w:rsid w:val="007A2DE0"/>
    <w:rsid w:val="007A5B55"/>
    <w:rsid w:val="007A5F41"/>
    <w:rsid w:val="007A630B"/>
    <w:rsid w:val="007B08D1"/>
    <w:rsid w:val="007B09BF"/>
    <w:rsid w:val="007B2073"/>
    <w:rsid w:val="007B491A"/>
    <w:rsid w:val="007B4EAA"/>
    <w:rsid w:val="007B55D0"/>
    <w:rsid w:val="007B6415"/>
    <w:rsid w:val="007B64D5"/>
    <w:rsid w:val="007C1D78"/>
    <w:rsid w:val="007C20FA"/>
    <w:rsid w:val="007C27D3"/>
    <w:rsid w:val="007C2B38"/>
    <w:rsid w:val="007C2C95"/>
    <w:rsid w:val="007C51A0"/>
    <w:rsid w:val="007C79FB"/>
    <w:rsid w:val="007D0CE9"/>
    <w:rsid w:val="007D1EA1"/>
    <w:rsid w:val="007D2AE1"/>
    <w:rsid w:val="007D3CA7"/>
    <w:rsid w:val="007D4A14"/>
    <w:rsid w:val="007D5A1D"/>
    <w:rsid w:val="007D75A4"/>
    <w:rsid w:val="007E0100"/>
    <w:rsid w:val="007E3A06"/>
    <w:rsid w:val="007E4D8C"/>
    <w:rsid w:val="007E5349"/>
    <w:rsid w:val="007E6EC6"/>
    <w:rsid w:val="007E7ABF"/>
    <w:rsid w:val="007F0907"/>
    <w:rsid w:val="007F1C81"/>
    <w:rsid w:val="007F27E5"/>
    <w:rsid w:val="007F4B16"/>
    <w:rsid w:val="007F53BB"/>
    <w:rsid w:val="007F6380"/>
    <w:rsid w:val="007F6ABA"/>
    <w:rsid w:val="007F702D"/>
    <w:rsid w:val="007F762F"/>
    <w:rsid w:val="008007A4"/>
    <w:rsid w:val="00800ABB"/>
    <w:rsid w:val="0080144C"/>
    <w:rsid w:val="00801A35"/>
    <w:rsid w:val="008034B0"/>
    <w:rsid w:val="00803E7E"/>
    <w:rsid w:val="008040C8"/>
    <w:rsid w:val="00804A98"/>
    <w:rsid w:val="008057B5"/>
    <w:rsid w:val="00805C3A"/>
    <w:rsid w:val="00807224"/>
    <w:rsid w:val="00810967"/>
    <w:rsid w:val="008111FA"/>
    <w:rsid w:val="00814529"/>
    <w:rsid w:val="00814B61"/>
    <w:rsid w:val="00814F0D"/>
    <w:rsid w:val="0081594B"/>
    <w:rsid w:val="008203CB"/>
    <w:rsid w:val="008207F1"/>
    <w:rsid w:val="00822B28"/>
    <w:rsid w:val="00822F3D"/>
    <w:rsid w:val="008230BA"/>
    <w:rsid w:val="00826C1C"/>
    <w:rsid w:val="00830223"/>
    <w:rsid w:val="0083183D"/>
    <w:rsid w:val="00832B87"/>
    <w:rsid w:val="008334A6"/>
    <w:rsid w:val="00833ED5"/>
    <w:rsid w:val="00833FCC"/>
    <w:rsid w:val="00835359"/>
    <w:rsid w:val="008354BB"/>
    <w:rsid w:val="008425C9"/>
    <w:rsid w:val="00844451"/>
    <w:rsid w:val="00844766"/>
    <w:rsid w:val="00845708"/>
    <w:rsid w:val="00845759"/>
    <w:rsid w:val="00845F5C"/>
    <w:rsid w:val="00846877"/>
    <w:rsid w:val="008478EE"/>
    <w:rsid w:val="008504A0"/>
    <w:rsid w:val="00851993"/>
    <w:rsid w:val="008531E3"/>
    <w:rsid w:val="00853E5F"/>
    <w:rsid w:val="0085475F"/>
    <w:rsid w:val="00854AF5"/>
    <w:rsid w:val="00855C39"/>
    <w:rsid w:val="00855E1E"/>
    <w:rsid w:val="00855FEB"/>
    <w:rsid w:val="00860758"/>
    <w:rsid w:val="008609B1"/>
    <w:rsid w:val="0086138E"/>
    <w:rsid w:val="008639BE"/>
    <w:rsid w:val="00864F3B"/>
    <w:rsid w:val="00865AA8"/>
    <w:rsid w:val="00870593"/>
    <w:rsid w:val="0087203B"/>
    <w:rsid w:val="00872B4F"/>
    <w:rsid w:val="00872C66"/>
    <w:rsid w:val="0087361D"/>
    <w:rsid w:val="008748DA"/>
    <w:rsid w:val="00875104"/>
    <w:rsid w:val="00875356"/>
    <w:rsid w:val="00881D17"/>
    <w:rsid w:val="00882059"/>
    <w:rsid w:val="00883651"/>
    <w:rsid w:val="00883C9D"/>
    <w:rsid w:val="00884F9E"/>
    <w:rsid w:val="00885102"/>
    <w:rsid w:val="008867A6"/>
    <w:rsid w:val="0089204B"/>
    <w:rsid w:val="00893F80"/>
    <w:rsid w:val="0089505C"/>
    <w:rsid w:val="0089513F"/>
    <w:rsid w:val="008968D3"/>
    <w:rsid w:val="008968FE"/>
    <w:rsid w:val="00896A2F"/>
    <w:rsid w:val="008A0F5B"/>
    <w:rsid w:val="008A1418"/>
    <w:rsid w:val="008A2862"/>
    <w:rsid w:val="008A3F9A"/>
    <w:rsid w:val="008A4728"/>
    <w:rsid w:val="008A4B8F"/>
    <w:rsid w:val="008A516D"/>
    <w:rsid w:val="008A520E"/>
    <w:rsid w:val="008A5C7E"/>
    <w:rsid w:val="008A65BE"/>
    <w:rsid w:val="008A6C2C"/>
    <w:rsid w:val="008B07C4"/>
    <w:rsid w:val="008B1D61"/>
    <w:rsid w:val="008B3B14"/>
    <w:rsid w:val="008B3FBA"/>
    <w:rsid w:val="008B444F"/>
    <w:rsid w:val="008B66AB"/>
    <w:rsid w:val="008B7619"/>
    <w:rsid w:val="008C0F1E"/>
    <w:rsid w:val="008C1945"/>
    <w:rsid w:val="008C20F7"/>
    <w:rsid w:val="008C3B01"/>
    <w:rsid w:val="008C5225"/>
    <w:rsid w:val="008C5479"/>
    <w:rsid w:val="008D066C"/>
    <w:rsid w:val="008D0EF6"/>
    <w:rsid w:val="008D1B01"/>
    <w:rsid w:val="008D2A22"/>
    <w:rsid w:val="008D2A83"/>
    <w:rsid w:val="008D2D7B"/>
    <w:rsid w:val="008D3140"/>
    <w:rsid w:val="008D3D4E"/>
    <w:rsid w:val="008D44EB"/>
    <w:rsid w:val="008D48E1"/>
    <w:rsid w:val="008D4B4F"/>
    <w:rsid w:val="008D4E61"/>
    <w:rsid w:val="008D51AE"/>
    <w:rsid w:val="008D51C1"/>
    <w:rsid w:val="008D55CC"/>
    <w:rsid w:val="008D5E60"/>
    <w:rsid w:val="008D61A0"/>
    <w:rsid w:val="008D6A11"/>
    <w:rsid w:val="008D6D31"/>
    <w:rsid w:val="008D6F28"/>
    <w:rsid w:val="008D734A"/>
    <w:rsid w:val="008D739F"/>
    <w:rsid w:val="008E1D20"/>
    <w:rsid w:val="008E2FF7"/>
    <w:rsid w:val="008E52C3"/>
    <w:rsid w:val="008E5835"/>
    <w:rsid w:val="008E6786"/>
    <w:rsid w:val="008E77F1"/>
    <w:rsid w:val="008F1284"/>
    <w:rsid w:val="008F1AA9"/>
    <w:rsid w:val="008F4C42"/>
    <w:rsid w:val="008F5E2F"/>
    <w:rsid w:val="008F7C5B"/>
    <w:rsid w:val="00900387"/>
    <w:rsid w:val="0090256A"/>
    <w:rsid w:val="00904289"/>
    <w:rsid w:val="009049C0"/>
    <w:rsid w:val="009070B5"/>
    <w:rsid w:val="00907326"/>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2EC3"/>
    <w:rsid w:val="0093324E"/>
    <w:rsid w:val="009340B7"/>
    <w:rsid w:val="009365C4"/>
    <w:rsid w:val="00937803"/>
    <w:rsid w:val="00940E98"/>
    <w:rsid w:val="009414C5"/>
    <w:rsid w:val="00941AA1"/>
    <w:rsid w:val="009427F2"/>
    <w:rsid w:val="00942F78"/>
    <w:rsid w:val="00943581"/>
    <w:rsid w:val="00944C97"/>
    <w:rsid w:val="00944F64"/>
    <w:rsid w:val="00945154"/>
    <w:rsid w:val="00946CD3"/>
    <w:rsid w:val="00946E93"/>
    <w:rsid w:val="009501EE"/>
    <w:rsid w:val="0095069D"/>
    <w:rsid w:val="00950F6E"/>
    <w:rsid w:val="0095152C"/>
    <w:rsid w:val="00951A5E"/>
    <w:rsid w:val="00953383"/>
    <w:rsid w:val="0095374A"/>
    <w:rsid w:val="00962FA0"/>
    <w:rsid w:val="00965025"/>
    <w:rsid w:val="00967A61"/>
    <w:rsid w:val="00971B7B"/>
    <w:rsid w:val="00971D3B"/>
    <w:rsid w:val="00972D48"/>
    <w:rsid w:val="0097480F"/>
    <w:rsid w:val="00977A95"/>
    <w:rsid w:val="00980086"/>
    <w:rsid w:val="0098055F"/>
    <w:rsid w:val="00980A68"/>
    <w:rsid w:val="00980C80"/>
    <w:rsid w:val="009810D1"/>
    <w:rsid w:val="00981456"/>
    <w:rsid w:val="00983395"/>
    <w:rsid w:val="0098390B"/>
    <w:rsid w:val="00983A9F"/>
    <w:rsid w:val="00983B0E"/>
    <w:rsid w:val="009841E6"/>
    <w:rsid w:val="0098426F"/>
    <w:rsid w:val="00984BB1"/>
    <w:rsid w:val="0098527E"/>
    <w:rsid w:val="009868CD"/>
    <w:rsid w:val="00986F1B"/>
    <w:rsid w:val="00987EC8"/>
    <w:rsid w:val="00987F18"/>
    <w:rsid w:val="009902F7"/>
    <w:rsid w:val="00992EE1"/>
    <w:rsid w:val="00993F58"/>
    <w:rsid w:val="00994335"/>
    <w:rsid w:val="0099448D"/>
    <w:rsid w:val="009951E6"/>
    <w:rsid w:val="00995A06"/>
    <w:rsid w:val="00995EDE"/>
    <w:rsid w:val="009967D6"/>
    <w:rsid w:val="009A0CC3"/>
    <w:rsid w:val="009A222A"/>
    <w:rsid w:val="009A3DF9"/>
    <w:rsid w:val="009A3E54"/>
    <w:rsid w:val="009A63EF"/>
    <w:rsid w:val="009B3AEB"/>
    <w:rsid w:val="009B4A8D"/>
    <w:rsid w:val="009B4FD8"/>
    <w:rsid w:val="009B5D05"/>
    <w:rsid w:val="009B5E99"/>
    <w:rsid w:val="009B60F9"/>
    <w:rsid w:val="009B749C"/>
    <w:rsid w:val="009C3EB5"/>
    <w:rsid w:val="009C444B"/>
    <w:rsid w:val="009C562E"/>
    <w:rsid w:val="009C79DC"/>
    <w:rsid w:val="009D1595"/>
    <w:rsid w:val="009D2F6C"/>
    <w:rsid w:val="009D30C2"/>
    <w:rsid w:val="009D3773"/>
    <w:rsid w:val="009D3A24"/>
    <w:rsid w:val="009D499D"/>
    <w:rsid w:val="009D4B8A"/>
    <w:rsid w:val="009D626C"/>
    <w:rsid w:val="009D7B85"/>
    <w:rsid w:val="009E0557"/>
    <w:rsid w:val="009E0E89"/>
    <w:rsid w:val="009E166C"/>
    <w:rsid w:val="009E16AF"/>
    <w:rsid w:val="009E17BD"/>
    <w:rsid w:val="009E2AEA"/>
    <w:rsid w:val="009E3183"/>
    <w:rsid w:val="009E3783"/>
    <w:rsid w:val="009E3A13"/>
    <w:rsid w:val="009E3AFB"/>
    <w:rsid w:val="009E3EA3"/>
    <w:rsid w:val="009E4A3B"/>
    <w:rsid w:val="009E6F3C"/>
    <w:rsid w:val="009F094E"/>
    <w:rsid w:val="009F0FD6"/>
    <w:rsid w:val="009F146D"/>
    <w:rsid w:val="009F297F"/>
    <w:rsid w:val="009F2C73"/>
    <w:rsid w:val="009F3038"/>
    <w:rsid w:val="009F4101"/>
    <w:rsid w:val="009F4FFB"/>
    <w:rsid w:val="009F5A1F"/>
    <w:rsid w:val="009F6A36"/>
    <w:rsid w:val="00A045CA"/>
    <w:rsid w:val="00A04DC3"/>
    <w:rsid w:val="00A05093"/>
    <w:rsid w:val="00A05C84"/>
    <w:rsid w:val="00A05DAD"/>
    <w:rsid w:val="00A065D8"/>
    <w:rsid w:val="00A06799"/>
    <w:rsid w:val="00A12117"/>
    <w:rsid w:val="00A1611B"/>
    <w:rsid w:val="00A17694"/>
    <w:rsid w:val="00A20907"/>
    <w:rsid w:val="00A25052"/>
    <w:rsid w:val="00A25982"/>
    <w:rsid w:val="00A25BE7"/>
    <w:rsid w:val="00A30430"/>
    <w:rsid w:val="00A31CD9"/>
    <w:rsid w:val="00A328CB"/>
    <w:rsid w:val="00A32C80"/>
    <w:rsid w:val="00A339F2"/>
    <w:rsid w:val="00A35865"/>
    <w:rsid w:val="00A4078B"/>
    <w:rsid w:val="00A42DC1"/>
    <w:rsid w:val="00A43019"/>
    <w:rsid w:val="00A44B91"/>
    <w:rsid w:val="00A45D35"/>
    <w:rsid w:val="00A464B8"/>
    <w:rsid w:val="00A505A4"/>
    <w:rsid w:val="00A50BA1"/>
    <w:rsid w:val="00A53C08"/>
    <w:rsid w:val="00A573DC"/>
    <w:rsid w:val="00A57566"/>
    <w:rsid w:val="00A62428"/>
    <w:rsid w:val="00A62A3F"/>
    <w:rsid w:val="00A62B3A"/>
    <w:rsid w:val="00A63BCC"/>
    <w:rsid w:val="00A64016"/>
    <w:rsid w:val="00A640D5"/>
    <w:rsid w:val="00A668A4"/>
    <w:rsid w:val="00A66BA8"/>
    <w:rsid w:val="00A7162D"/>
    <w:rsid w:val="00A7256D"/>
    <w:rsid w:val="00A73CF1"/>
    <w:rsid w:val="00A75C9A"/>
    <w:rsid w:val="00A75D52"/>
    <w:rsid w:val="00A76C0B"/>
    <w:rsid w:val="00A76E8C"/>
    <w:rsid w:val="00A77028"/>
    <w:rsid w:val="00A82214"/>
    <w:rsid w:val="00A83509"/>
    <w:rsid w:val="00A83914"/>
    <w:rsid w:val="00A84584"/>
    <w:rsid w:val="00A847DC"/>
    <w:rsid w:val="00A85934"/>
    <w:rsid w:val="00A85968"/>
    <w:rsid w:val="00A86750"/>
    <w:rsid w:val="00A870BC"/>
    <w:rsid w:val="00A871A4"/>
    <w:rsid w:val="00A9123D"/>
    <w:rsid w:val="00A92534"/>
    <w:rsid w:val="00A96C5C"/>
    <w:rsid w:val="00AA0074"/>
    <w:rsid w:val="00AA0508"/>
    <w:rsid w:val="00AA18C1"/>
    <w:rsid w:val="00AA2DE5"/>
    <w:rsid w:val="00AA4399"/>
    <w:rsid w:val="00AA4518"/>
    <w:rsid w:val="00AA633F"/>
    <w:rsid w:val="00AA7409"/>
    <w:rsid w:val="00AB1935"/>
    <w:rsid w:val="00AB2E07"/>
    <w:rsid w:val="00AB35DC"/>
    <w:rsid w:val="00AB3A0D"/>
    <w:rsid w:val="00AB419D"/>
    <w:rsid w:val="00AB5F4D"/>
    <w:rsid w:val="00AB6A14"/>
    <w:rsid w:val="00AB6F76"/>
    <w:rsid w:val="00AB70BF"/>
    <w:rsid w:val="00AB7A8D"/>
    <w:rsid w:val="00AC046B"/>
    <w:rsid w:val="00AC1A43"/>
    <w:rsid w:val="00AC306A"/>
    <w:rsid w:val="00AC3FB0"/>
    <w:rsid w:val="00AC4EE3"/>
    <w:rsid w:val="00AC4FF2"/>
    <w:rsid w:val="00AC54F8"/>
    <w:rsid w:val="00AC5C2B"/>
    <w:rsid w:val="00AC681D"/>
    <w:rsid w:val="00AC6E0E"/>
    <w:rsid w:val="00AC754F"/>
    <w:rsid w:val="00AC7E21"/>
    <w:rsid w:val="00AD0317"/>
    <w:rsid w:val="00AD0F67"/>
    <w:rsid w:val="00AD21CF"/>
    <w:rsid w:val="00AD551F"/>
    <w:rsid w:val="00AD5E9A"/>
    <w:rsid w:val="00AD7E8E"/>
    <w:rsid w:val="00AE0C19"/>
    <w:rsid w:val="00AE0E3B"/>
    <w:rsid w:val="00AE0F81"/>
    <w:rsid w:val="00AE323F"/>
    <w:rsid w:val="00AE44CF"/>
    <w:rsid w:val="00AE5E7E"/>
    <w:rsid w:val="00AE6696"/>
    <w:rsid w:val="00AE7CA6"/>
    <w:rsid w:val="00AF2D3D"/>
    <w:rsid w:val="00AF2FC3"/>
    <w:rsid w:val="00AF3563"/>
    <w:rsid w:val="00AF3BFC"/>
    <w:rsid w:val="00AF4BA0"/>
    <w:rsid w:val="00AF5F54"/>
    <w:rsid w:val="00B019A9"/>
    <w:rsid w:val="00B022D9"/>
    <w:rsid w:val="00B0246A"/>
    <w:rsid w:val="00B02C9A"/>
    <w:rsid w:val="00B03273"/>
    <w:rsid w:val="00B03459"/>
    <w:rsid w:val="00B0554D"/>
    <w:rsid w:val="00B05989"/>
    <w:rsid w:val="00B070F8"/>
    <w:rsid w:val="00B110B5"/>
    <w:rsid w:val="00B1452F"/>
    <w:rsid w:val="00B174E3"/>
    <w:rsid w:val="00B2080D"/>
    <w:rsid w:val="00B20A35"/>
    <w:rsid w:val="00B210D0"/>
    <w:rsid w:val="00B21C8C"/>
    <w:rsid w:val="00B21DD6"/>
    <w:rsid w:val="00B2254A"/>
    <w:rsid w:val="00B2270A"/>
    <w:rsid w:val="00B23CB5"/>
    <w:rsid w:val="00B23DEF"/>
    <w:rsid w:val="00B25F02"/>
    <w:rsid w:val="00B30D58"/>
    <w:rsid w:val="00B316E7"/>
    <w:rsid w:val="00B3231A"/>
    <w:rsid w:val="00B34EF9"/>
    <w:rsid w:val="00B350FB"/>
    <w:rsid w:val="00B3796F"/>
    <w:rsid w:val="00B37F22"/>
    <w:rsid w:val="00B4130A"/>
    <w:rsid w:val="00B41868"/>
    <w:rsid w:val="00B41AF5"/>
    <w:rsid w:val="00B41E94"/>
    <w:rsid w:val="00B41ECD"/>
    <w:rsid w:val="00B421FD"/>
    <w:rsid w:val="00B504C4"/>
    <w:rsid w:val="00B517AB"/>
    <w:rsid w:val="00B5440D"/>
    <w:rsid w:val="00B552A4"/>
    <w:rsid w:val="00B56E4F"/>
    <w:rsid w:val="00B5700D"/>
    <w:rsid w:val="00B609B5"/>
    <w:rsid w:val="00B61223"/>
    <w:rsid w:val="00B63346"/>
    <w:rsid w:val="00B672FD"/>
    <w:rsid w:val="00B7133B"/>
    <w:rsid w:val="00B72340"/>
    <w:rsid w:val="00B748AE"/>
    <w:rsid w:val="00B74A87"/>
    <w:rsid w:val="00B75F6D"/>
    <w:rsid w:val="00B7681E"/>
    <w:rsid w:val="00B77E0D"/>
    <w:rsid w:val="00B80605"/>
    <w:rsid w:val="00B810F9"/>
    <w:rsid w:val="00B81D3E"/>
    <w:rsid w:val="00B827DD"/>
    <w:rsid w:val="00B83E0B"/>
    <w:rsid w:val="00B84958"/>
    <w:rsid w:val="00B86170"/>
    <w:rsid w:val="00B870E5"/>
    <w:rsid w:val="00B91160"/>
    <w:rsid w:val="00B91A3E"/>
    <w:rsid w:val="00B942C4"/>
    <w:rsid w:val="00B94CD8"/>
    <w:rsid w:val="00B95206"/>
    <w:rsid w:val="00B952A0"/>
    <w:rsid w:val="00B96F16"/>
    <w:rsid w:val="00BA05BF"/>
    <w:rsid w:val="00BA0727"/>
    <w:rsid w:val="00BA1110"/>
    <w:rsid w:val="00BA2B9B"/>
    <w:rsid w:val="00BA3117"/>
    <w:rsid w:val="00BA3475"/>
    <w:rsid w:val="00BA5873"/>
    <w:rsid w:val="00BA58AC"/>
    <w:rsid w:val="00BA70A7"/>
    <w:rsid w:val="00BB1CDA"/>
    <w:rsid w:val="00BB210B"/>
    <w:rsid w:val="00BB2CD8"/>
    <w:rsid w:val="00BB2EF0"/>
    <w:rsid w:val="00BB4E02"/>
    <w:rsid w:val="00BB7A44"/>
    <w:rsid w:val="00BC1506"/>
    <w:rsid w:val="00BC31F8"/>
    <w:rsid w:val="00BC3837"/>
    <w:rsid w:val="00BC459E"/>
    <w:rsid w:val="00BC4A0F"/>
    <w:rsid w:val="00BC5DBA"/>
    <w:rsid w:val="00BC606F"/>
    <w:rsid w:val="00BC6AE1"/>
    <w:rsid w:val="00BD1949"/>
    <w:rsid w:val="00BD2D5B"/>
    <w:rsid w:val="00BD2DAA"/>
    <w:rsid w:val="00BD3BE8"/>
    <w:rsid w:val="00BD4D18"/>
    <w:rsid w:val="00BD60A7"/>
    <w:rsid w:val="00BD7B14"/>
    <w:rsid w:val="00BE16E3"/>
    <w:rsid w:val="00BE2ECA"/>
    <w:rsid w:val="00BE32BD"/>
    <w:rsid w:val="00BE4C5A"/>
    <w:rsid w:val="00BE57AC"/>
    <w:rsid w:val="00BE5DA2"/>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62E9"/>
    <w:rsid w:val="00C073E4"/>
    <w:rsid w:val="00C07C34"/>
    <w:rsid w:val="00C10151"/>
    <w:rsid w:val="00C10A15"/>
    <w:rsid w:val="00C12AF8"/>
    <w:rsid w:val="00C12CFE"/>
    <w:rsid w:val="00C14CE2"/>
    <w:rsid w:val="00C154E6"/>
    <w:rsid w:val="00C15806"/>
    <w:rsid w:val="00C1621B"/>
    <w:rsid w:val="00C16774"/>
    <w:rsid w:val="00C228D5"/>
    <w:rsid w:val="00C22EF5"/>
    <w:rsid w:val="00C23A7D"/>
    <w:rsid w:val="00C24DB8"/>
    <w:rsid w:val="00C252E5"/>
    <w:rsid w:val="00C263F6"/>
    <w:rsid w:val="00C26E75"/>
    <w:rsid w:val="00C27B54"/>
    <w:rsid w:val="00C3115D"/>
    <w:rsid w:val="00C33771"/>
    <w:rsid w:val="00C34230"/>
    <w:rsid w:val="00C3661B"/>
    <w:rsid w:val="00C36F52"/>
    <w:rsid w:val="00C4200A"/>
    <w:rsid w:val="00C42112"/>
    <w:rsid w:val="00C42CA1"/>
    <w:rsid w:val="00C44D37"/>
    <w:rsid w:val="00C45FF0"/>
    <w:rsid w:val="00C46A0C"/>
    <w:rsid w:val="00C473F7"/>
    <w:rsid w:val="00C50259"/>
    <w:rsid w:val="00C5100A"/>
    <w:rsid w:val="00C51151"/>
    <w:rsid w:val="00C52AB3"/>
    <w:rsid w:val="00C54B3A"/>
    <w:rsid w:val="00C55292"/>
    <w:rsid w:val="00C56251"/>
    <w:rsid w:val="00C6158C"/>
    <w:rsid w:val="00C62FDC"/>
    <w:rsid w:val="00C65B08"/>
    <w:rsid w:val="00C65E46"/>
    <w:rsid w:val="00C65E9D"/>
    <w:rsid w:val="00C662E2"/>
    <w:rsid w:val="00C66E8F"/>
    <w:rsid w:val="00C67026"/>
    <w:rsid w:val="00C6752B"/>
    <w:rsid w:val="00C70652"/>
    <w:rsid w:val="00C75863"/>
    <w:rsid w:val="00C75894"/>
    <w:rsid w:val="00C762AC"/>
    <w:rsid w:val="00C77A1F"/>
    <w:rsid w:val="00C8073D"/>
    <w:rsid w:val="00C81E45"/>
    <w:rsid w:val="00C82308"/>
    <w:rsid w:val="00C84803"/>
    <w:rsid w:val="00C85424"/>
    <w:rsid w:val="00C866C0"/>
    <w:rsid w:val="00C86725"/>
    <w:rsid w:val="00C86838"/>
    <w:rsid w:val="00C92F92"/>
    <w:rsid w:val="00C93A6D"/>
    <w:rsid w:val="00C93AE7"/>
    <w:rsid w:val="00CA0578"/>
    <w:rsid w:val="00CA2F68"/>
    <w:rsid w:val="00CA44A0"/>
    <w:rsid w:val="00CA5274"/>
    <w:rsid w:val="00CA73CB"/>
    <w:rsid w:val="00CA77EA"/>
    <w:rsid w:val="00CB1272"/>
    <w:rsid w:val="00CB1B42"/>
    <w:rsid w:val="00CB4859"/>
    <w:rsid w:val="00CB62A3"/>
    <w:rsid w:val="00CB7C33"/>
    <w:rsid w:val="00CC1290"/>
    <w:rsid w:val="00CC12A0"/>
    <w:rsid w:val="00CC26A8"/>
    <w:rsid w:val="00CC2751"/>
    <w:rsid w:val="00CC2872"/>
    <w:rsid w:val="00CC29CF"/>
    <w:rsid w:val="00CC3C04"/>
    <w:rsid w:val="00CC7BCC"/>
    <w:rsid w:val="00CD131A"/>
    <w:rsid w:val="00CD2083"/>
    <w:rsid w:val="00CD273E"/>
    <w:rsid w:val="00CD382A"/>
    <w:rsid w:val="00CD3901"/>
    <w:rsid w:val="00CD4231"/>
    <w:rsid w:val="00CD5231"/>
    <w:rsid w:val="00CD56CB"/>
    <w:rsid w:val="00CD5CFE"/>
    <w:rsid w:val="00CE31EE"/>
    <w:rsid w:val="00CE3A6F"/>
    <w:rsid w:val="00CE3CBD"/>
    <w:rsid w:val="00CE5444"/>
    <w:rsid w:val="00CE6FD6"/>
    <w:rsid w:val="00CF35C8"/>
    <w:rsid w:val="00CF367B"/>
    <w:rsid w:val="00CF3A35"/>
    <w:rsid w:val="00CF44D8"/>
    <w:rsid w:val="00CF6B2F"/>
    <w:rsid w:val="00CF6E4F"/>
    <w:rsid w:val="00CF71D1"/>
    <w:rsid w:val="00D01CF3"/>
    <w:rsid w:val="00D027AA"/>
    <w:rsid w:val="00D02A6A"/>
    <w:rsid w:val="00D05CAA"/>
    <w:rsid w:val="00D07AB4"/>
    <w:rsid w:val="00D114E6"/>
    <w:rsid w:val="00D11F7E"/>
    <w:rsid w:val="00D13062"/>
    <w:rsid w:val="00D13EDD"/>
    <w:rsid w:val="00D14B03"/>
    <w:rsid w:val="00D21B64"/>
    <w:rsid w:val="00D24973"/>
    <w:rsid w:val="00D30129"/>
    <w:rsid w:val="00D30ECB"/>
    <w:rsid w:val="00D30F4B"/>
    <w:rsid w:val="00D32748"/>
    <w:rsid w:val="00D34026"/>
    <w:rsid w:val="00D3439F"/>
    <w:rsid w:val="00D3452F"/>
    <w:rsid w:val="00D3667E"/>
    <w:rsid w:val="00D36DEF"/>
    <w:rsid w:val="00D41D2D"/>
    <w:rsid w:val="00D42C63"/>
    <w:rsid w:val="00D42DDA"/>
    <w:rsid w:val="00D42DF4"/>
    <w:rsid w:val="00D43B06"/>
    <w:rsid w:val="00D44316"/>
    <w:rsid w:val="00D44F36"/>
    <w:rsid w:val="00D45478"/>
    <w:rsid w:val="00D463CA"/>
    <w:rsid w:val="00D465C0"/>
    <w:rsid w:val="00D468D1"/>
    <w:rsid w:val="00D479CF"/>
    <w:rsid w:val="00D47ACA"/>
    <w:rsid w:val="00D47C1B"/>
    <w:rsid w:val="00D51757"/>
    <w:rsid w:val="00D517BA"/>
    <w:rsid w:val="00D518AA"/>
    <w:rsid w:val="00D51A0A"/>
    <w:rsid w:val="00D51A2B"/>
    <w:rsid w:val="00D52FDC"/>
    <w:rsid w:val="00D53288"/>
    <w:rsid w:val="00D53296"/>
    <w:rsid w:val="00D53AC0"/>
    <w:rsid w:val="00D547B7"/>
    <w:rsid w:val="00D548B2"/>
    <w:rsid w:val="00D5617F"/>
    <w:rsid w:val="00D565F8"/>
    <w:rsid w:val="00D56ABB"/>
    <w:rsid w:val="00D571B1"/>
    <w:rsid w:val="00D60C24"/>
    <w:rsid w:val="00D60C77"/>
    <w:rsid w:val="00D63493"/>
    <w:rsid w:val="00D644BD"/>
    <w:rsid w:val="00D65463"/>
    <w:rsid w:val="00D65D90"/>
    <w:rsid w:val="00D67489"/>
    <w:rsid w:val="00D6791A"/>
    <w:rsid w:val="00D71D2B"/>
    <w:rsid w:val="00D735DC"/>
    <w:rsid w:val="00D74302"/>
    <w:rsid w:val="00D75A2A"/>
    <w:rsid w:val="00D80A2B"/>
    <w:rsid w:val="00D82D65"/>
    <w:rsid w:val="00D85008"/>
    <w:rsid w:val="00D8541B"/>
    <w:rsid w:val="00D85CDD"/>
    <w:rsid w:val="00D870FC"/>
    <w:rsid w:val="00D87180"/>
    <w:rsid w:val="00D87830"/>
    <w:rsid w:val="00D91333"/>
    <w:rsid w:val="00D9515D"/>
    <w:rsid w:val="00D95578"/>
    <w:rsid w:val="00D95A6A"/>
    <w:rsid w:val="00D961FA"/>
    <w:rsid w:val="00DA0D0D"/>
    <w:rsid w:val="00DA3263"/>
    <w:rsid w:val="00DA3CC5"/>
    <w:rsid w:val="00DA5580"/>
    <w:rsid w:val="00DA63C5"/>
    <w:rsid w:val="00DA7439"/>
    <w:rsid w:val="00DB0BEA"/>
    <w:rsid w:val="00DB0DA9"/>
    <w:rsid w:val="00DB1311"/>
    <w:rsid w:val="00DB1575"/>
    <w:rsid w:val="00DB4FB0"/>
    <w:rsid w:val="00DB6405"/>
    <w:rsid w:val="00DB6885"/>
    <w:rsid w:val="00DB6F83"/>
    <w:rsid w:val="00DB7BC5"/>
    <w:rsid w:val="00DC0FCA"/>
    <w:rsid w:val="00DC15B6"/>
    <w:rsid w:val="00DC2120"/>
    <w:rsid w:val="00DC3572"/>
    <w:rsid w:val="00DC4685"/>
    <w:rsid w:val="00DC48F8"/>
    <w:rsid w:val="00DC7C93"/>
    <w:rsid w:val="00DD0577"/>
    <w:rsid w:val="00DD07FC"/>
    <w:rsid w:val="00DD148C"/>
    <w:rsid w:val="00DD1523"/>
    <w:rsid w:val="00DD3239"/>
    <w:rsid w:val="00DD4705"/>
    <w:rsid w:val="00DD48BF"/>
    <w:rsid w:val="00DD6DE2"/>
    <w:rsid w:val="00DD719F"/>
    <w:rsid w:val="00DE0877"/>
    <w:rsid w:val="00DE148D"/>
    <w:rsid w:val="00DE2F13"/>
    <w:rsid w:val="00DE3325"/>
    <w:rsid w:val="00DF1CD8"/>
    <w:rsid w:val="00DF32F7"/>
    <w:rsid w:val="00DF4009"/>
    <w:rsid w:val="00DF49CB"/>
    <w:rsid w:val="00DF61FF"/>
    <w:rsid w:val="00E00B37"/>
    <w:rsid w:val="00E00CC8"/>
    <w:rsid w:val="00E00D7F"/>
    <w:rsid w:val="00E02D2F"/>
    <w:rsid w:val="00E02EFE"/>
    <w:rsid w:val="00E033EA"/>
    <w:rsid w:val="00E05D40"/>
    <w:rsid w:val="00E0604D"/>
    <w:rsid w:val="00E07C93"/>
    <w:rsid w:val="00E11FFA"/>
    <w:rsid w:val="00E12214"/>
    <w:rsid w:val="00E146C1"/>
    <w:rsid w:val="00E157B1"/>
    <w:rsid w:val="00E17894"/>
    <w:rsid w:val="00E2038C"/>
    <w:rsid w:val="00E20C77"/>
    <w:rsid w:val="00E25672"/>
    <w:rsid w:val="00E26D43"/>
    <w:rsid w:val="00E27F72"/>
    <w:rsid w:val="00E311F5"/>
    <w:rsid w:val="00E3329E"/>
    <w:rsid w:val="00E343BA"/>
    <w:rsid w:val="00E34E18"/>
    <w:rsid w:val="00E35B1E"/>
    <w:rsid w:val="00E35CA1"/>
    <w:rsid w:val="00E367F5"/>
    <w:rsid w:val="00E40F2F"/>
    <w:rsid w:val="00E41533"/>
    <w:rsid w:val="00E41604"/>
    <w:rsid w:val="00E41A21"/>
    <w:rsid w:val="00E42048"/>
    <w:rsid w:val="00E42407"/>
    <w:rsid w:val="00E43BC2"/>
    <w:rsid w:val="00E44BD5"/>
    <w:rsid w:val="00E5214A"/>
    <w:rsid w:val="00E53032"/>
    <w:rsid w:val="00E55582"/>
    <w:rsid w:val="00E55649"/>
    <w:rsid w:val="00E55780"/>
    <w:rsid w:val="00E55B99"/>
    <w:rsid w:val="00E564F9"/>
    <w:rsid w:val="00E568EB"/>
    <w:rsid w:val="00E56A50"/>
    <w:rsid w:val="00E60DEB"/>
    <w:rsid w:val="00E62DFB"/>
    <w:rsid w:val="00E64BF2"/>
    <w:rsid w:val="00E65886"/>
    <w:rsid w:val="00E65932"/>
    <w:rsid w:val="00E65AB2"/>
    <w:rsid w:val="00E65C8E"/>
    <w:rsid w:val="00E67964"/>
    <w:rsid w:val="00E72855"/>
    <w:rsid w:val="00E73093"/>
    <w:rsid w:val="00E73783"/>
    <w:rsid w:val="00E738F0"/>
    <w:rsid w:val="00E73D32"/>
    <w:rsid w:val="00E74689"/>
    <w:rsid w:val="00E747E6"/>
    <w:rsid w:val="00E74B3D"/>
    <w:rsid w:val="00E74C1D"/>
    <w:rsid w:val="00E80768"/>
    <w:rsid w:val="00E81B2F"/>
    <w:rsid w:val="00E81B99"/>
    <w:rsid w:val="00E81F42"/>
    <w:rsid w:val="00E85559"/>
    <w:rsid w:val="00E85B0A"/>
    <w:rsid w:val="00E87A4C"/>
    <w:rsid w:val="00E908A8"/>
    <w:rsid w:val="00E919A6"/>
    <w:rsid w:val="00E91A4A"/>
    <w:rsid w:val="00E935A1"/>
    <w:rsid w:val="00E93AD3"/>
    <w:rsid w:val="00E97576"/>
    <w:rsid w:val="00EA04E0"/>
    <w:rsid w:val="00EA0792"/>
    <w:rsid w:val="00EA0857"/>
    <w:rsid w:val="00EA0C6F"/>
    <w:rsid w:val="00EA0D75"/>
    <w:rsid w:val="00EA2122"/>
    <w:rsid w:val="00EA5A32"/>
    <w:rsid w:val="00EA64CF"/>
    <w:rsid w:val="00EA6A57"/>
    <w:rsid w:val="00EA6AF5"/>
    <w:rsid w:val="00EA6D09"/>
    <w:rsid w:val="00EA7BBB"/>
    <w:rsid w:val="00EA7BF4"/>
    <w:rsid w:val="00EB0905"/>
    <w:rsid w:val="00EB2324"/>
    <w:rsid w:val="00EB3F10"/>
    <w:rsid w:val="00EB60E9"/>
    <w:rsid w:val="00EB68DF"/>
    <w:rsid w:val="00EB69E1"/>
    <w:rsid w:val="00EB77AB"/>
    <w:rsid w:val="00EC0273"/>
    <w:rsid w:val="00EC0289"/>
    <w:rsid w:val="00EC21BE"/>
    <w:rsid w:val="00EC25BA"/>
    <w:rsid w:val="00EC4E8B"/>
    <w:rsid w:val="00EC4FF4"/>
    <w:rsid w:val="00EC5032"/>
    <w:rsid w:val="00EC7664"/>
    <w:rsid w:val="00EC79F2"/>
    <w:rsid w:val="00ED0985"/>
    <w:rsid w:val="00ED0AD5"/>
    <w:rsid w:val="00ED22E7"/>
    <w:rsid w:val="00ED3B76"/>
    <w:rsid w:val="00ED6029"/>
    <w:rsid w:val="00ED7140"/>
    <w:rsid w:val="00EE1980"/>
    <w:rsid w:val="00EE60C4"/>
    <w:rsid w:val="00EE631D"/>
    <w:rsid w:val="00EE6FE6"/>
    <w:rsid w:val="00EF0AFA"/>
    <w:rsid w:val="00EF10D1"/>
    <w:rsid w:val="00EF1A33"/>
    <w:rsid w:val="00EF26EA"/>
    <w:rsid w:val="00EF3260"/>
    <w:rsid w:val="00EF470E"/>
    <w:rsid w:val="00EF5FFA"/>
    <w:rsid w:val="00EF67B7"/>
    <w:rsid w:val="00F001BC"/>
    <w:rsid w:val="00F012F4"/>
    <w:rsid w:val="00F020BF"/>
    <w:rsid w:val="00F03FDC"/>
    <w:rsid w:val="00F0539F"/>
    <w:rsid w:val="00F05BAF"/>
    <w:rsid w:val="00F06934"/>
    <w:rsid w:val="00F072E1"/>
    <w:rsid w:val="00F07FDA"/>
    <w:rsid w:val="00F11185"/>
    <w:rsid w:val="00F121A4"/>
    <w:rsid w:val="00F12E98"/>
    <w:rsid w:val="00F13155"/>
    <w:rsid w:val="00F14072"/>
    <w:rsid w:val="00F15306"/>
    <w:rsid w:val="00F155EB"/>
    <w:rsid w:val="00F15F87"/>
    <w:rsid w:val="00F2022D"/>
    <w:rsid w:val="00F205BE"/>
    <w:rsid w:val="00F207AB"/>
    <w:rsid w:val="00F209C2"/>
    <w:rsid w:val="00F21724"/>
    <w:rsid w:val="00F21803"/>
    <w:rsid w:val="00F218D1"/>
    <w:rsid w:val="00F21A81"/>
    <w:rsid w:val="00F21CC1"/>
    <w:rsid w:val="00F2252B"/>
    <w:rsid w:val="00F225E9"/>
    <w:rsid w:val="00F22BD1"/>
    <w:rsid w:val="00F23E18"/>
    <w:rsid w:val="00F2428F"/>
    <w:rsid w:val="00F248EA"/>
    <w:rsid w:val="00F25FDB"/>
    <w:rsid w:val="00F27444"/>
    <w:rsid w:val="00F27D63"/>
    <w:rsid w:val="00F30AB3"/>
    <w:rsid w:val="00F31322"/>
    <w:rsid w:val="00F327FC"/>
    <w:rsid w:val="00F32A56"/>
    <w:rsid w:val="00F332E3"/>
    <w:rsid w:val="00F340C1"/>
    <w:rsid w:val="00F34369"/>
    <w:rsid w:val="00F36492"/>
    <w:rsid w:val="00F36C2D"/>
    <w:rsid w:val="00F413D8"/>
    <w:rsid w:val="00F42100"/>
    <w:rsid w:val="00F42A9B"/>
    <w:rsid w:val="00F4438A"/>
    <w:rsid w:val="00F454AF"/>
    <w:rsid w:val="00F464FE"/>
    <w:rsid w:val="00F5047D"/>
    <w:rsid w:val="00F51440"/>
    <w:rsid w:val="00F51A4A"/>
    <w:rsid w:val="00F53A46"/>
    <w:rsid w:val="00F53BCD"/>
    <w:rsid w:val="00F55200"/>
    <w:rsid w:val="00F55DD4"/>
    <w:rsid w:val="00F56138"/>
    <w:rsid w:val="00F56C06"/>
    <w:rsid w:val="00F5798E"/>
    <w:rsid w:val="00F619F1"/>
    <w:rsid w:val="00F61C0E"/>
    <w:rsid w:val="00F6564F"/>
    <w:rsid w:val="00F6591A"/>
    <w:rsid w:val="00F708B1"/>
    <w:rsid w:val="00F71431"/>
    <w:rsid w:val="00F7148C"/>
    <w:rsid w:val="00F7180B"/>
    <w:rsid w:val="00F72B23"/>
    <w:rsid w:val="00F72F1A"/>
    <w:rsid w:val="00F74CE7"/>
    <w:rsid w:val="00F7546C"/>
    <w:rsid w:val="00F755A6"/>
    <w:rsid w:val="00F77364"/>
    <w:rsid w:val="00F7761B"/>
    <w:rsid w:val="00F812BE"/>
    <w:rsid w:val="00F814ED"/>
    <w:rsid w:val="00F845C1"/>
    <w:rsid w:val="00F856F7"/>
    <w:rsid w:val="00F86A4F"/>
    <w:rsid w:val="00F8762B"/>
    <w:rsid w:val="00F91591"/>
    <w:rsid w:val="00F9264B"/>
    <w:rsid w:val="00F9361D"/>
    <w:rsid w:val="00F93ACB"/>
    <w:rsid w:val="00F9515F"/>
    <w:rsid w:val="00FA0A3D"/>
    <w:rsid w:val="00FA2F95"/>
    <w:rsid w:val="00FA4895"/>
    <w:rsid w:val="00FA49F4"/>
    <w:rsid w:val="00FA7FD6"/>
    <w:rsid w:val="00FB0C0E"/>
    <w:rsid w:val="00FB1780"/>
    <w:rsid w:val="00FB35C6"/>
    <w:rsid w:val="00FB417E"/>
    <w:rsid w:val="00FB4B8F"/>
    <w:rsid w:val="00FB534F"/>
    <w:rsid w:val="00FB53B8"/>
    <w:rsid w:val="00FB5771"/>
    <w:rsid w:val="00FB5BFA"/>
    <w:rsid w:val="00FB6ADE"/>
    <w:rsid w:val="00FC51DD"/>
    <w:rsid w:val="00FC59C0"/>
    <w:rsid w:val="00FC5FF3"/>
    <w:rsid w:val="00FC6924"/>
    <w:rsid w:val="00FC79E1"/>
    <w:rsid w:val="00FC7D12"/>
    <w:rsid w:val="00FD04F8"/>
    <w:rsid w:val="00FD12D0"/>
    <w:rsid w:val="00FD2AC4"/>
    <w:rsid w:val="00FD3574"/>
    <w:rsid w:val="00FD3DC0"/>
    <w:rsid w:val="00FD415C"/>
    <w:rsid w:val="00FD534F"/>
    <w:rsid w:val="00FD537C"/>
    <w:rsid w:val="00FD5D02"/>
    <w:rsid w:val="00FD6250"/>
    <w:rsid w:val="00FD6408"/>
    <w:rsid w:val="00FD6A7D"/>
    <w:rsid w:val="00FD6FC9"/>
    <w:rsid w:val="00FD71AC"/>
    <w:rsid w:val="00FE0BE4"/>
    <w:rsid w:val="00FE1592"/>
    <w:rsid w:val="00FE1C8F"/>
    <w:rsid w:val="00FE54FA"/>
    <w:rsid w:val="00FF0E91"/>
    <w:rsid w:val="00FF13CA"/>
    <w:rsid w:val="00FF1CA4"/>
    <w:rsid w:val="00FF35E2"/>
    <w:rsid w:val="00FF42D1"/>
    <w:rsid w:val="00FF5D71"/>
    <w:rsid w:val="00FF6F60"/>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character" w:customStyle="1" w:styleId="CharAmSchNo">
    <w:name w:val="CharAmSchNo"/>
    <w:basedOn w:val="DefaultParagraphFont"/>
    <w:qFormat/>
    <w:rsid w:val="00060481"/>
  </w:style>
  <w:style w:type="character" w:customStyle="1" w:styleId="CharAmSchText">
    <w:name w:val="CharAmSchText"/>
    <w:basedOn w:val="DefaultParagraphFont"/>
    <w:qFormat/>
    <w:rsid w:val="00060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character" w:customStyle="1" w:styleId="CharAmSchNo">
    <w:name w:val="CharAmSchNo"/>
    <w:basedOn w:val="DefaultParagraphFont"/>
    <w:qFormat/>
    <w:rsid w:val="00060481"/>
  </w:style>
  <w:style w:type="character" w:customStyle="1" w:styleId="CharAmSchText">
    <w:name w:val="CharAmSchText"/>
    <w:basedOn w:val="DefaultParagraphFont"/>
    <w:qFormat/>
    <w:rsid w:val="0006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78097383">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D762B8FB02851448B3B80D4D338276D" ma:contentTypeVersion="" ma:contentTypeDescription="PDMS Documentation Content Type" ma:contentTypeScope="" ma:versionID="6fc928af6a18657315bec388ba69664d">
  <xsd:schema xmlns:xsd="http://www.w3.org/2001/XMLSchema" xmlns:xs="http://www.w3.org/2001/XMLSchema" xmlns:p="http://schemas.microsoft.com/office/2006/metadata/properties" xmlns:ns2="B4197AE0-CB50-420F-A3EE-11278AB43646" targetNamespace="http://schemas.microsoft.com/office/2006/metadata/properties" ma:root="true" ma:fieldsID="39fde74a1fb73928b43a904d5b340d1c" ns2:_="">
    <xsd:import namespace="B4197AE0-CB50-420F-A3EE-11278AB4364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7AE0-CB50-420F-A3EE-11278AB4364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B4197AE0-CB50-420F-A3EE-11278AB43646" xsi:nil="true"/>
    <pdms_DocumentType xmlns="B4197AE0-CB50-420F-A3EE-11278AB43646" xsi:nil="true"/>
    <SecurityClassification xmlns="B4197AE0-CB50-420F-A3EE-11278AB43646" xsi:nil="true"/>
    <pdms_Reason xmlns="B4197AE0-CB50-420F-A3EE-11278AB43646" xsi:nil="true"/>
    <pdms_SecurityClassification xmlns="B4197AE0-CB50-420F-A3EE-11278AB436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6500-E0B3-4382-A7F2-782A41116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7AE0-CB50-420F-A3EE-11278AB43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24F840C9-072A-4BBF-946C-0D1F6CF73621}">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B4197AE0-CB50-420F-A3EE-11278AB43646"/>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4B0DA63-E21B-41B1-8C22-744E118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2851</Words>
  <Characters>16256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2018-05-04T03:42:00Z</cp:lastPrinted>
  <dcterms:created xsi:type="dcterms:W3CDTF">2018-06-12T01:48:00Z</dcterms:created>
  <dcterms:modified xsi:type="dcterms:W3CDTF">2018-06-12T01:48:00Z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0x010100266966F133664895A6EE3632470D45F50100ED762B8FB02851448B3B80D4D338276D</vt:lpwstr>
  </property>
</Properties>
</file>