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56125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774E965" wp14:editId="6B2AA93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C9DDC" w14:textId="77777777" w:rsidR="00715914" w:rsidRPr="00E500D4" w:rsidRDefault="00715914" w:rsidP="00715914">
      <w:pPr>
        <w:rPr>
          <w:sz w:val="19"/>
        </w:rPr>
      </w:pPr>
    </w:p>
    <w:p w14:paraId="6920DD75" w14:textId="77777777" w:rsidR="00554826" w:rsidRPr="00E500D4" w:rsidRDefault="00BD7DE6" w:rsidP="00554826">
      <w:pPr>
        <w:pStyle w:val="ShortT"/>
      </w:pPr>
      <w:r>
        <w:t xml:space="preserve">Social Security </w:t>
      </w:r>
      <w:r w:rsidR="0085297B">
        <w:t xml:space="preserve">(Administration) </w:t>
      </w:r>
      <w:r w:rsidR="00554826">
        <w:t>(</w:t>
      </w:r>
      <w:r>
        <w:t>Reasonable Excuse</w:t>
      </w:r>
      <w:r w:rsidR="0085297B">
        <w:t xml:space="preserve"> – Participation Payments</w:t>
      </w:r>
      <w:r w:rsidR="00554826">
        <w:t xml:space="preserve">) </w:t>
      </w:r>
      <w:r>
        <w:t xml:space="preserve">Determination </w:t>
      </w:r>
      <w:r w:rsidRPr="009202CC">
        <w:t>201</w:t>
      </w:r>
      <w:r w:rsidR="00E24967" w:rsidRPr="009202CC">
        <w:t>8</w:t>
      </w:r>
    </w:p>
    <w:p w14:paraId="2CDCB7DC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03A7E">
        <w:rPr>
          <w:szCs w:val="22"/>
        </w:rPr>
        <w:t>K</w:t>
      </w:r>
      <w:r w:rsidR="00E24967">
        <w:rPr>
          <w:szCs w:val="22"/>
        </w:rPr>
        <w:t xml:space="preserve">ERRI </w:t>
      </w:r>
      <w:r w:rsidR="00703A7E">
        <w:rPr>
          <w:szCs w:val="22"/>
        </w:rPr>
        <w:t>H</w:t>
      </w:r>
      <w:r w:rsidR="00E24967">
        <w:rPr>
          <w:szCs w:val="22"/>
        </w:rPr>
        <w:t>ARTLAND,</w:t>
      </w:r>
      <w:r w:rsidR="00703A7E">
        <w:rPr>
          <w:szCs w:val="22"/>
        </w:rPr>
        <w:t xml:space="preserve"> </w:t>
      </w:r>
      <w:r w:rsidR="00BD7DE6">
        <w:rPr>
          <w:szCs w:val="22"/>
        </w:rPr>
        <w:t xml:space="preserve">Secretary of the </w:t>
      </w:r>
      <w:r w:rsidR="00BD7DE6" w:rsidRPr="009202CC">
        <w:rPr>
          <w:szCs w:val="22"/>
        </w:rPr>
        <w:t xml:space="preserve">Department of </w:t>
      </w:r>
      <w:r w:rsidR="00E24967" w:rsidRPr="009202CC">
        <w:rPr>
          <w:szCs w:val="22"/>
        </w:rPr>
        <w:t>Jobs and Small Business</w:t>
      </w:r>
      <w:r w:rsidRPr="00DA182D">
        <w:rPr>
          <w:szCs w:val="22"/>
        </w:rPr>
        <w:t xml:space="preserve">, </w:t>
      </w:r>
      <w:r>
        <w:rPr>
          <w:szCs w:val="22"/>
        </w:rPr>
        <w:t>make</w:t>
      </w:r>
      <w:r w:rsidR="0085297B">
        <w:rPr>
          <w:szCs w:val="22"/>
        </w:rPr>
        <w:t xml:space="preserve"> the following determination</w:t>
      </w:r>
      <w:r w:rsidRPr="00DA182D">
        <w:rPr>
          <w:szCs w:val="22"/>
        </w:rPr>
        <w:t>.</w:t>
      </w:r>
    </w:p>
    <w:p w14:paraId="0914816B" w14:textId="77777777" w:rsidR="0025209F" w:rsidRDefault="00554826" w:rsidP="0025209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25209F">
        <w:rPr>
          <w:szCs w:val="22"/>
        </w:rPr>
        <w:t xml:space="preserve">7 June </w:t>
      </w:r>
      <w:r w:rsidR="00BD7DE6">
        <w:rPr>
          <w:szCs w:val="22"/>
        </w:rPr>
        <w:t>201</w:t>
      </w:r>
      <w:r w:rsidR="0025209F">
        <w:rPr>
          <w:szCs w:val="22"/>
        </w:rPr>
        <w:t>8</w:t>
      </w:r>
    </w:p>
    <w:p w14:paraId="65747855" w14:textId="77777777" w:rsidR="0025209F" w:rsidRDefault="0025209F" w:rsidP="0025209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61C996E" w14:textId="21E064AD" w:rsidR="0025209F" w:rsidRDefault="0025209F" w:rsidP="0025209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K</w:t>
      </w:r>
      <w:bookmarkStart w:id="0" w:name="_GoBack"/>
      <w:bookmarkEnd w:id="0"/>
      <w:r>
        <w:rPr>
          <w:szCs w:val="22"/>
        </w:rPr>
        <w:t xml:space="preserve"> Hartland</w:t>
      </w:r>
    </w:p>
    <w:p w14:paraId="782E20B5" w14:textId="478AE268" w:rsidR="00554826" w:rsidRPr="0025209F" w:rsidRDefault="00854B7F" w:rsidP="0025209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KERRI HARTLAND</w:t>
      </w:r>
    </w:p>
    <w:p w14:paraId="1CA9A62F" w14:textId="77777777" w:rsidR="00554826" w:rsidRPr="008E0027" w:rsidRDefault="00BD7DE6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Secretary of the Department of </w:t>
      </w:r>
      <w:r w:rsidR="00E24967" w:rsidRPr="009202CC">
        <w:rPr>
          <w:sz w:val="22"/>
        </w:rPr>
        <w:t>Jobs and Small Business</w:t>
      </w:r>
    </w:p>
    <w:p w14:paraId="3359183D" w14:textId="77777777" w:rsidR="00554826" w:rsidRDefault="00554826" w:rsidP="00554826"/>
    <w:p w14:paraId="7C03BAB7" w14:textId="77777777" w:rsidR="00554826" w:rsidRPr="00ED79B6" w:rsidRDefault="00554826" w:rsidP="00554826"/>
    <w:p w14:paraId="361F0786" w14:textId="77777777" w:rsidR="00F6696E" w:rsidRDefault="00F6696E" w:rsidP="00F6696E"/>
    <w:p w14:paraId="5F70820F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A3A663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D714ED6" w14:textId="69ADF61A" w:rsidR="000A0DF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0A0DF1">
        <w:rPr>
          <w:noProof/>
        </w:rPr>
        <w:t>1  Name</w:t>
      </w:r>
      <w:r w:rsidR="000A0DF1">
        <w:rPr>
          <w:noProof/>
        </w:rPr>
        <w:tab/>
      </w:r>
      <w:r w:rsidR="000A0DF1">
        <w:rPr>
          <w:noProof/>
        </w:rPr>
        <w:fldChar w:fldCharType="begin"/>
      </w:r>
      <w:r w:rsidR="000A0DF1">
        <w:rPr>
          <w:noProof/>
        </w:rPr>
        <w:instrText xml:space="preserve"> PAGEREF _Toc512346751 \h </w:instrText>
      </w:r>
      <w:r w:rsidR="000A0DF1">
        <w:rPr>
          <w:noProof/>
        </w:rPr>
      </w:r>
      <w:r w:rsidR="000A0DF1">
        <w:rPr>
          <w:noProof/>
        </w:rPr>
        <w:fldChar w:fldCharType="separate"/>
      </w:r>
      <w:r w:rsidR="00617BA9">
        <w:rPr>
          <w:noProof/>
        </w:rPr>
        <w:t>1</w:t>
      </w:r>
      <w:r w:rsidR="000A0DF1">
        <w:rPr>
          <w:noProof/>
        </w:rPr>
        <w:fldChar w:fldCharType="end"/>
      </w:r>
    </w:p>
    <w:p w14:paraId="6EEA3A63" w14:textId="6472695D" w:rsidR="000A0DF1" w:rsidRDefault="000A0D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_Toc512346752 \h </w:instrText>
      </w:r>
      <w:r>
        <w:rPr>
          <w:noProof/>
        </w:rPr>
      </w:r>
      <w:r>
        <w:rPr>
          <w:noProof/>
        </w:rPr>
        <w:fldChar w:fldCharType="separate"/>
      </w:r>
      <w:r w:rsidR="00617BA9">
        <w:rPr>
          <w:noProof/>
        </w:rPr>
        <w:t>1</w:t>
      </w:r>
      <w:r>
        <w:rPr>
          <w:noProof/>
        </w:rPr>
        <w:fldChar w:fldCharType="end"/>
      </w:r>
    </w:p>
    <w:p w14:paraId="2ACECF38" w14:textId="1BD84D3D" w:rsidR="000A0DF1" w:rsidRDefault="000A0D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_Toc512346753 \h </w:instrText>
      </w:r>
      <w:r>
        <w:rPr>
          <w:noProof/>
        </w:rPr>
      </w:r>
      <w:r>
        <w:rPr>
          <w:noProof/>
        </w:rPr>
        <w:fldChar w:fldCharType="separate"/>
      </w:r>
      <w:r w:rsidR="00617BA9">
        <w:rPr>
          <w:noProof/>
        </w:rPr>
        <w:t>1</w:t>
      </w:r>
      <w:r>
        <w:rPr>
          <w:noProof/>
        </w:rPr>
        <w:fldChar w:fldCharType="end"/>
      </w:r>
    </w:p>
    <w:p w14:paraId="5AF05682" w14:textId="3024B4F7" w:rsidR="000A0DF1" w:rsidRDefault="000A0D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_Toc512346754 \h </w:instrText>
      </w:r>
      <w:r>
        <w:rPr>
          <w:noProof/>
        </w:rPr>
      </w:r>
      <w:r>
        <w:rPr>
          <w:noProof/>
        </w:rPr>
        <w:fldChar w:fldCharType="separate"/>
      </w:r>
      <w:r w:rsidR="00617BA9">
        <w:rPr>
          <w:noProof/>
        </w:rPr>
        <w:t>1</w:t>
      </w:r>
      <w:r>
        <w:rPr>
          <w:noProof/>
        </w:rPr>
        <w:fldChar w:fldCharType="end"/>
      </w:r>
    </w:p>
    <w:p w14:paraId="513397C9" w14:textId="14F9ED42" w:rsidR="000A0DF1" w:rsidRDefault="000A0D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Matters to be taken into account in deciding whether a person has a reasonable excuse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_Toc512346755 \h </w:instrText>
      </w:r>
      <w:r>
        <w:rPr>
          <w:noProof/>
        </w:rPr>
      </w:r>
      <w:r>
        <w:rPr>
          <w:noProof/>
        </w:rPr>
        <w:fldChar w:fldCharType="separate"/>
      </w:r>
      <w:r w:rsidR="00617BA9">
        <w:rPr>
          <w:noProof/>
        </w:rPr>
        <w:t>2</w:t>
      </w:r>
      <w:r>
        <w:rPr>
          <w:noProof/>
        </w:rPr>
        <w:fldChar w:fldCharType="end"/>
      </w:r>
    </w:p>
    <w:p w14:paraId="4352DCB3" w14:textId="1BA3874F" w:rsidR="000A0DF1" w:rsidRDefault="000A0D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Matters not to be taken into account in deciding whether a person has a reasonable excuse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_Toc512346756 \h </w:instrText>
      </w:r>
      <w:r>
        <w:rPr>
          <w:noProof/>
        </w:rPr>
      </w:r>
      <w:r>
        <w:rPr>
          <w:noProof/>
        </w:rPr>
        <w:fldChar w:fldCharType="separate"/>
      </w:r>
      <w:r w:rsidR="00617BA9">
        <w:rPr>
          <w:noProof/>
        </w:rPr>
        <w:t>2</w:t>
      </w:r>
      <w:r>
        <w:rPr>
          <w:noProof/>
        </w:rPr>
        <w:fldChar w:fldCharType="end"/>
      </w:r>
    </w:p>
    <w:p w14:paraId="5CE9A155" w14:textId="77777777" w:rsidR="00F6696E" w:rsidRPr="00532868" w:rsidRDefault="00B418CB" w:rsidP="00532868">
      <w:pPr>
        <w:outlineLvl w:val="0"/>
        <w:rPr>
          <w:sz w:val="20"/>
        </w:rPr>
        <w:sectPr w:rsidR="00F6696E" w:rsidRPr="00532868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  <w:r w:rsidR="00054A26" w:rsidRPr="00B418CB">
        <w:rPr>
          <w:noProof/>
          <w:sz w:val="18"/>
        </w:rPr>
        <w:tab/>
      </w:r>
    </w:p>
    <w:p w14:paraId="09DF1FB6" w14:textId="77777777" w:rsidR="00554826" w:rsidRPr="00554826" w:rsidRDefault="00554826" w:rsidP="00554826">
      <w:pPr>
        <w:pStyle w:val="ActHead5"/>
      </w:pPr>
      <w:bookmarkStart w:id="1" w:name="_Toc512346751"/>
      <w:proofErr w:type="gramStart"/>
      <w:r w:rsidRPr="00554826">
        <w:lastRenderedPageBreak/>
        <w:t>1  Name</w:t>
      </w:r>
      <w:bookmarkEnd w:id="1"/>
      <w:proofErr w:type="gramEnd"/>
    </w:p>
    <w:p w14:paraId="4FD036D3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A978E8">
        <w:t xml:space="preserve">the </w:t>
      </w:r>
      <w:bookmarkStart w:id="2" w:name="BKCheck15B_3"/>
      <w:bookmarkEnd w:id="2"/>
      <w:r w:rsidR="008E6578">
        <w:rPr>
          <w:i/>
        </w:rPr>
        <w:t>Social Security (Administration) (Reasonable Excuse – Participat</w:t>
      </w:r>
      <w:r w:rsidR="00E24967">
        <w:rPr>
          <w:i/>
        </w:rPr>
        <w:t xml:space="preserve">ion Payments) Determination </w:t>
      </w:r>
      <w:r w:rsidR="00E24967" w:rsidRPr="009202CC">
        <w:rPr>
          <w:i/>
        </w:rPr>
        <w:t>2018</w:t>
      </w:r>
      <w:r w:rsidRPr="009202CC">
        <w:t>.</w:t>
      </w:r>
    </w:p>
    <w:p w14:paraId="01D40EDA" w14:textId="77777777" w:rsidR="00554826" w:rsidRPr="00554826" w:rsidRDefault="00554826" w:rsidP="00554826">
      <w:pPr>
        <w:pStyle w:val="ActHead5"/>
      </w:pPr>
      <w:bookmarkStart w:id="3" w:name="_Toc512346752"/>
      <w:proofErr w:type="gramStart"/>
      <w:r w:rsidRPr="00554826">
        <w:t>2  Commencement</w:t>
      </w:r>
      <w:bookmarkEnd w:id="3"/>
      <w:proofErr w:type="gramEnd"/>
    </w:p>
    <w:p w14:paraId="3F4A7EA3" w14:textId="77777777" w:rsidR="00AF6B5E" w:rsidRPr="00274759" w:rsidRDefault="00554826" w:rsidP="00AF6B5E">
      <w:pPr>
        <w:pStyle w:val="subsection"/>
      </w:pPr>
      <w:r>
        <w:tab/>
      </w:r>
      <w:r w:rsidR="00AF6B5E" w:rsidRPr="00274759">
        <w:t>(1)</w:t>
      </w:r>
      <w:r w:rsidR="00AF6B5E" w:rsidRPr="00274759">
        <w:tab/>
        <w:t xml:space="preserve">Each provision of this instrument specified in column 1 of the table commences, or </w:t>
      </w:r>
      <w:proofErr w:type="gramStart"/>
      <w:r w:rsidR="00AF6B5E" w:rsidRPr="00274759">
        <w:t>is taken</w:t>
      </w:r>
      <w:proofErr w:type="gramEnd"/>
      <w:r w:rsidR="00AF6B5E" w:rsidRPr="00274759">
        <w:t xml:space="preserve"> to have commenced, in accordance with column 2 of the table. Any other statement in column 2 has effect according to its terms.</w:t>
      </w:r>
    </w:p>
    <w:p w14:paraId="27E90AF6" w14:textId="77777777" w:rsidR="00AF6B5E" w:rsidRPr="00274759" w:rsidRDefault="00AF6B5E" w:rsidP="00AF6B5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AF6B5E" w:rsidRPr="00274759" w14:paraId="31A4063A" w14:textId="77777777" w:rsidTr="00464DC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hideMark/>
          </w:tcPr>
          <w:p w14:paraId="32563E62" w14:textId="77777777" w:rsidR="00AF6B5E" w:rsidRPr="00274759" w:rsidRDefault="00AF6B5E" w:rsidP="00464DCC">
            <w:pPr>
              <w:pStyle w:val="TableHeading"/>
            </w:pPr>
            <w:r w:rsidRPr="00274759">
              <w:t>Commencement information</w:t>
            </w:r>
          </w:p>
        </w:tc>
      </w:tr>
      <w:tr w:rsidR="00AF6B5E" w:rsidRPr="00274759" w14:paraId="38D9A64F" w14:textId="77777777" w:rsidTr="00464DC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7C8FA3A0" w14:textId="77777777" w:rsidR="00AF6B5E" w:rsidRPr="00274759" w:rsidRDefault="00AF6B5E" w:rsidP="00464DCC">
            <w:pPr>
              <w:pStyle w:val="TableHeading"/>
            </w:pPr>
            <w:r w:rsidRPr="0027475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2D85390C" w14:textId="77777777" w:rsidR="00AF6B5E" w:rsidRPr="00274759" w:rsidRDefault="00AF6B5E" w:rsidP="00464DCC">
            <w:pPr>
              <w:pStyle w:val="TableHeading"/>
            </w:pPr>
            <w:r w:rsidRPr="0027475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6AEA4804" w14:textId="77777777" w:rsidR="00AF6B5E" w:rsidRPr="00274759" w:rsidRDefault="00AF6B5E" w:rsidP="00464DCC">
            <w:pPr>
              <w:pStyle w:val="TableHeading"/>
            </w:pPr>
            <w:r w:rsidRPr="00274759">
              <w:t>Column 3</w:t>
            </w:r>
          </w:p>
        </w:tc>
      </w:tr>
      <w:tr w:rsidR="00AF6B5E" w:rsidRPr="00274759" w14:paraId="034B8F95" w14:textId="77777777" w:rsidTr="00464DC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14:paraId="10CDEB0F" w14:textId="77777777" w:rsidR="00AF6B5E" w:rsidRPr="00274759" w:rsidRDefault="00AF6B5E" w:rsidP="00464DCC">
            <w:pPr>
              <w:pStyle w:val="TableHeading"/>
            </w:pPr>
            <w:r w:rsidRPr="0027475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14:paraId="46BF676E" w14:textId="77777777" w:rsidR="00AF6B5E" w:rsidRPr="00274759" w:rsidRDefault="00AF6B5E" w:rsidP="00464DCC">
            <w:pPr>
              <w:pStyle w:val="TableHeading"/>
            </w:pPr>
            <w:r w:rsidRPr="0027475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14:paraId="37EFBDA7" w14:textId="77777777" w:rsidR="00AF6B5E" w:rsidRPr="00274759" w:rsidRDefault="00AF6B5E" w:rsidP="00464DCC">
            <w:pPr>
              <w:pStyle w:val="TableHeading"/>
            </w:pPr>
            <w:r w:rsidRPr="00274759">
              <w:t>Date/Details</w:t>
            </w:r>
          </w:p>
        </w:tc>
      </w:tr>
      <w:tr w:rsidR="00AF6B5E" w:rsidRPr="00274759" w14:paraId="72E92100" w14:textId="77777777" w:rsidTr="00464DC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4CFE76D" w14:textId="77777777" w:rsidR="00AF6B5E" w:rsidRPr="00274759" w:rsidRDefault="00AF6B5E" w:rsidP="00464DCC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36EDFF17" w14:textId="77777777" w:rsidR="00AF6B5E" w:rsidRPr="00274759" w:rsidRDefault="00AF6B5E" w:rsidP="00464DCC">
            <w:pPr>
              <w:pStyle w:val="Tabletext"/>
            </w:pPr>
            <w:r w:rsidRPr="005D5FD5">
              <w:t>1 July 2018</w:t>
            </w:r>
            <w:r w:rsidRPr="00830BC2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</w:tcPr>
          <w:p w14:paraId="635FF28E" w14:textId="77777777" w:rsidR="00AF6B5E" w:rsidRPr="00274759" w:rsidRDefault="00AF6B5E" w:rsidP="00464DCC">
            <w:pPr>
              <w:pStyle w:val="Tabletext"/>
            </w:pPr>
          </w:p>
        </w:tc>
      </w:tr>
    </w:tbl>
    <w:p w14:paraId="74A40105" w14:textId="77777777" w:rsidR="00AF6B5E" w:rsidRPr="00274759" w:rsidRDefault="00AF6B5E" w:rsidP="00AF6B5E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 xml:space="preserve">This table relates only to the provisions of this instrument as originally made. It </w:t>
      </w:r>
      <w:proofErr w:type="gramStart"/>
      <w:r w:rsidRPr="00274759">
        <w:rPr>
          <w:snapToGrid w:val="0"/>
          <w:lang w:eastAsia="en-US"/>
        </w:rPr>
        <w:t>will not be amended</w:t>
      </w:r>
      <w:proofErr w:type="gramEnd"/>
      <w:r w:rsidRPr="00274759">
        <w:rPr>
          <w:snapToGrid w:val="0"/>
          <w:lang w:eastAsia="en-US"/>
        </w:rPr>
        <w:t xml:space="preserve"> to deal with any later amendments of this instrument.</w:t>
      </w:r>
    </w:p>
    <w:p w14:paraId="52C81F1E" w14:textId="77777777" w:rsidR="00554826" w:rsidRPr="00232984" w:rsidRDefault="00AF6B5E" w:rsidP="00AF6B5E">
      <w:pPr>
        <w:pStyle w:val="subsection"/>
      </w:pPr>
      <w:r w:rsidRPr="00274759">
        <w:tab/>
        <w:t>(2)</w:t>
      </w:r>
      <w:r w:rsidRPr="00274759">
        <w:tab/>
        <w:t xml:space="preserve">Any information in column 3 of the table is not part of this instrument. Information </w:t>
      </w:r>
      <w:proofErr w:type="gramStart"/>
      <w:r w:rsidRPr="00274759">
        <w:t>may be inserted</w:t>
      </w:r>
      <w:proofErr w:type="gramEnd"/>
      <w:r w:rsidRPr="00274759">
        <w:t xml:space="preserve"> in this column, or information in it may be edited, in any published version of this instrument</w:t>
      </w:r>
      <w:r>
        <w:t>.</w:t>
      </w:r>
    </w:p>
    <w:p w14:paraId="625E96F1" w14:textId="77777777" w:rsidR="00554826" w:rsidRPr="00554826" w:rsidRDefault="00554826" w:rsidP="00554826">
      <w:pPr>
        <w:pStyle w:val="ActHead5"/>
      </w:pPr>
      <w:bookmarkStart w:id="4" w:name="_Toc512346753"/>
      <w:proofErr w:type="gramStart"/>
      <w:r w:rsidRPr="00554826">
        <w:t>3  Authority</w:t>
      </w:r>
      <w:bookmarkEnd w:id="4"/>
      <w:proofErr w:type="gramEnd"/>
    </w:p>
    <w:p w14:paraId="61D17B9B" w14:textId="1C2B5109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E6578">
        <w:t xml:space="preserve">subsections </w:t>
      </w:r>
      <w:proofErr w:type="gramStart"/>
      <w:r w:rsidR="00270927">
        <w:t>42AI(</w:t>
      </w:r>
      <w:proofErr w:type="gramEnd"/>
      <w:r w:rsidR="00270927">
        <w:t xml:space="preserve">1), 42AI(3), </w:t>
      </w:r>
      <w:r w:rsidR="008E6578">
        <w:t>42U(1)</w:t>
      </w:r>
      <w:r w:rsidR="00270927">
        <w:t xml:space="preserve"> and </w:t>
      </w:r>
      <w:r w:rsidR="008E6578">
        <w:t>42U(3) of the</w:t>
      </w:r>
      <w:r w:rsidR="002C2C77">
        <w:t xml:space="preserve"> </w:t>
      </w:r>
      <w:r w:rsidR="008D4BB2">
        <w:t>Act</w:t>
      </w:r>
      <w:r w:rsidRPr="009C2562">
        <w:t>.</w:t>
      </w:r>
    </w:p>
    <w:p w14:paraId="3C7FE444" w14:textId="77777777" w:rsidR="00554826" w:rsidRPr="00554826" w:rsidRDefault="00554826" w:rsidP="00554826">
      <w:pPr>
        <w:pStyle w:val="ActHead5"/>
      </w:pPr>
      <w:bookmarkStart w:id="5" w:name="_Toc512346754"/>
      <w:proofErr w:type="gramStart"/>
      <w:r w:rsidRPr="00554826">
        <w:t>4  Definitions</w:t>
      </w:r>
      <w:bookmarkEnd w:id="5"/>
      <w:proofErr w:type="gramEnd"/>
    </w:p>
    <w:p w14:paraId="1164E151" w14:textId="77777777" w:rsidR="00467307" w:rsidRPr="00FC4503" w:rsidRDefault="001D5962" w:rsidP="001D5962">
      <w:pPr>
        <w:pStyle w:val="notetext"/>
        <w:rPr>
          <w:szCs w:val="18"/>
        </w:rPr>
      </w:pPr>
      <w:r w:rsidRPr="00FC4503">
        <w:rPr>
          <w:szCs w:val="18"/>
        </w:rPr>
        <w:t>Note:</w:t>
      </w:r>
      <w:r w:rsidRPr="00FC4503">
        <w:rPr>
          <w:szCs w:val="18"/>
        </w:rPr>
        <w:tab/>
      </w:r>
      <w:r w:rsidR="00467307" w:rsidRPr="00FC4503">
        <w:rPr>
          <w:szCs w:val="18"/>
        </w:rPr>
        <w:t xml:space="preserve">Some of the expressions used in this instrument </w:t>
      </w:r>
      <w:proofErr w:type="gramStart"/>
      <w:r w:rsidR="00467307" w:rsidRPr="00FC4503">
        <w:rPr>
          <w:szCs w:val="18"/>
        </w:rPr>
        <w:t>are</w:t>
      </w:r>
      <w:r w:rsidR="00FC4503">
        <w:rPr>
          <w:szCs w:val="18"/>
        </w:rPr>
        <w:t xml:space="preserve"> </w:t>
      </w:r>
      <w:r w:rsidR="00467307" w:rsidRPr="00FC4503">
        <w:rPr>
          <w:szCs w:val="18"/>
        </w:rPr>
        <w:t>defined</w:t>
      </w:r>
      <w:proofErr w:type="gramEnd"/>
      <w:r w:rsidR="00467307" w:rsidRPr="00FC4503">
        <w:rPr>
          <w:szCs w:val="18"/>
        </w:rPr>
        <w:t xml:space="preserve"> in</w:t>
      </w:r>
      <w:r w:rsidR="00FC4503" w:rsidRPr="00FC4503">
        <w:rPr>
          <w:szCs w:val="18"/>
        </w:rPr>
        <w:t xml:space="preserve"> </w:t>
      </w:r>
      <w:r w:rsidR="007D2B07" w:rsidRPr="00FC4503">
        <w:rPr>
          <w:szCs w:val="18"/>
        </w:rPr>
        <w:t xml:space="preserve">the Act or in the </w:t>
      </w:r>
      <w:r w:rsidRPr="00FC4503">
        <w:rPr>
          <w:i/>
          <w:szCs w:val="18"/>
        </w:rPr>
        <w:t>Social Security Act 1991</w:t>
      </w:r>
      <w:r w:rsidR="00467307" w:rsidRPr="00FC4503">
        <w:rPr>
          <w:i/>
          <w:szCs w:val="18"/>
        </w:rPr>
        <w:t xml:space="preserve">, </w:t>
      </w:r>
      <w:r w:rsidR="00467307" w:rsidRPr="00FC4503">
        <w:rPr>
          <w:szCs w:val="18"/>
        </w:rPr>
        <w:t>including the following:</w:t>
      </w:r>
    </w:p>
    <w:p w14:paraId="6624A762" w14:textId="77777777" w:rsidR="001D5962" w:rsidRPr="00FC4503" w:rsidRDefault="001D5962" w:rsidP="005D5FD5">
      <w:pPr>
        <w:pStyle w:val="notetext"/>
        <w:numPr>
          <w:ilvl w:val="0"/>
          <w:numId w:val="32"/>
        </w:numPr>
        <w:spacing w:before="0" w:line="276" w:lineRule="auto"/>
        <w:rPr>
          <w:szCs w:val="18"/>
        </w:rPr>
      </w:pPr>
      <w:r w:rsidRPr="005D5FD5">
        <w:rPr>
          <w:szCs w:val="18"/>
        </w:rPr>
        <w:t>declared program participant</w:t>
      </w:r>
      <w:r w:rsidR="00467307" w:rsidRPr="00FC4503">
        <w:rPr>
          <w:szCs w:val="18"/>
        </w:rPr>
        <w:t>;</w:t>
      </w:r>
    </w:p>
    <w:p w14:paraId="273634F8" w14:textId="77777777" w:rsidR="00467307" w:rsidRPr="00FC4503" w:rsidRDefault="00467307" w:rsidP="005D5FD5">
      <w:pPr>
        <w:pStyle w:val="notetext"/>
        <w:numPr>
          <w:ilvl w:val="0"/>
          <w:numId w:val="32"/>
        </w:numPr>
        <w:spacing w:before="0" w:line="276" w:lineRule="auto"/>
        <w:rPr>
          <w:szCs w:val="18"/>
        </w:rPr>
      </w:pPr>
      <w:r w:rsidRPr="00FC4503">
        <w:rPr>
          <w:szCs w:val="18"/>
        </w:rPr>
        <w:t>Employment Department; and</w:t>
      </w:r>
    </w:p>
    <w:p w14:paraId="659AC3D1" w14:textId="77777777" w:rsidR="00467307" w:rsidRPr="00FC4503" w:rsidRDefault="00467307" w:rsidP="005D5FD5">
      <w:pPr>
        <w:pStyle w:val="notetext"/>
        <w:numPr>
          <w:ilvl w:val="0"/>
          <w:numId w:val="32"/>
        </w:numPr>
        <w:spacing w:before="0" w:line="276" w:lineRule="auto"/>
        <w:rPr>
          <w:szCs w:val="18"/>
        </w:rPr>
      </w:pPr>
      <w:proofErr w:type="gramStart"/>
      <w:r w:rsidRPr="00FC4503">
        <w:rPr>
          <w:szCs w:val="18"/>
        </w:rPr>
        <w:t>participation</w:t>
      </w:r>
      <w:proofErr w:type="gramEnd"/>
      <w:r w:rsidRPr="00FC4503">
        <w:rPr>
          <w:szCs w:val="18"/>
        </w:rPr>
        <w:t xml:space="preserve"> payment.</w:t>
      </w:r>
    </w:p>
    <w:p w14:paraId="7D570BD4" w14:textId="77777777" w:rsidR="00554826" w:rsidRPr="009C2562" w:rsidRDefault="001D5962" w:rsidP="00554826">
      <w:pPr>
        <w:pStyle w:val="subsection"/>
      </w:pPr>
      <w:r>
        <w:tab/>
      </w:r>
      <w:r>
        <w:tab/>
      </w:r>
      <w:r w:rsidR="00554826" w:rsidRPr="009C2562">
        <w:t>In this instrument:</w:t>
      </w:r>
    </w:p>
    <w:p w14:paraId="0F6DBB3B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8E6578">
        <w:rPr>
          <w:i/>
        </w:rPr>
        <w:t>Social Security (Administration) Act 1999</w:t>
      </w:r>
      <w:r>
        <w:t>.</w:t>
      </w:r>
    </w:p>
    <w:p w14:paraId="7FB4799B" w14:textId="77777777" w:rsidR="00554826" w:rsidRDefault="00E73970" w:rsidP="00554826">
      <w:pPr>
        <w:pStyle w:val="Definition"/>
      </w:pPr>
      <w:proofErr w:type="gramStart"/>
      <w:r>
        <w:rPr>
          <w:b/>
          <w:i/>
        </w:rPr>
        <w:t>failure</w:t>
      </w:r>
      <w:proofErr w:type="gramEnd"/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t xml:space="preserve">a failure referred to in </w:t>
      </w:r>
      <w:r w:rsidR="000F16F1">
        <w:t>subsections</w:t>
      </w:r>
      <w:r>
        <w:t xml:space="preserve"> </w:t>
      </w:r>
      <w:r w:rsidR="00270927">
        <w:t xml:space="preserve">42AI(1), 42AI(3), </w:t>
      </w:r>
      <w:r>
        <w:t>42U(1)</w:t>
      </w:r>
      <w:r w:rsidR="000F16F1">
        <w:t xml:space="preserve"> </w:t>
      </w:r>
      <w:r>
        <w:t>and 42U(3) of the Act</w:t>
      </w:r>
      <w:r w:rsidR="00554826">
        <w:t>.</w:t>
      </w:r>
    </w:p>
    <w:p w14:paraId="49AA31D5" w14:textId="6819880D" w:rsidR="00E61546" w:rsidRDefault="00E61546" w:rsidP="00554826">
      <w:pPr>
        <w:pStyle w:val="Definition"/>
      </w:pPr>
      <w:proofErr w:type="gramStart"/>
      <w:r>
        <w:rPr>
          <w:b/>
          <w:bCs/>
          <w:i/>
          <w:iCs/>
        </w:rPr>
        <w:t>demerit</w:t>
      </w:r>
      <w:proofErr w:type="gramEnd"/>
      <w:r>
        <w:rPr>
          <w:b/>
          <w:bCs/>
          <w:i/>
          <w:iCs/>
        </w:rPr>
        <w:t xml:space="preserve"> </w:t>
      </w:r>
      <w:r>
        <w:t>means a record on the Employment Department’s Information Technology System that the person has committed a mutual obligation failure without a valid</w:t>
      </w:r>
      <w:r w:rsidR="00D82A4C">
        <w:t xml:space="preserve"> </w:t>
      </w:r>
      <w:r>
        <w:t>reason</w:t>
      </w:r>
      <w:r w:rsidR="00666C9D">
        <w:t>.</w:t>
      </w:r>
    </w:p>
    <w:p w14:paraId="2146A268" w14:textId="77777777" w:rsidR="00554826" w:rsidRPr="00844248" w:rsidRDefault="00532868" w:rsidP="00554826">
      <w:pPr>
        <w:pStyle w:val="ActHead5"/>
      </w:pPr>
      <w:bookmarkStart w:id="6" w:name="_Toc512346755"/>
      <w:proofErr w:type="gramStart"/>
      <w:r w:rsidRPr="00844248">
        <w:lastRenderedPageBreak/>
        <w:t>5</w:t>
      </w:r>
      <w:r w:rsidR="00554826" w:rsidRPr="00844248">
        <w:t xml:space="preserve">  </w:t>
      </w:r>
      <w:r w:rsidR="00B510A9" w:rsidRPr="00844248">
        <w:t>Matters</w:t>
      </w:r>
      <w:proofErr w:type="gramEnd"/>
      <w:r w:rsidR="00B510A9" w:rsidRPr="00844248">
        <w:t xml:space="preserve"> to be taken into account in </w:t>
      </w:r>
      <w:r w:rsidR="009D0F62" w:rsidRPr="00844248">
        <w:t xml:space="preserve">deciding </w:t>
      </w:r>
      <w:r w:rsidR="007D2B07">
        <w:t>whether</w:t>
      </w:r>
      <w:r w:rsidR="00B510A9" w:rsidRPr="00844248">
        <w:t xml:space="preserve"> a person ha</w:t>
      </w:r>
      <w:r w:rsidR="00C0362F" w:rsidRPr="00844248">
        <w:t>s</w:t>
      </w:r>
      <w:r w:rsidR="00B510A9" w:rsidRPr="00844248">
        <w:t xml:space="preserve"> a reasonable excuse</w:t>
      </w:r>
      <w:bookmarkEnd w:id="6"/>
    </w:p>
    <w:p w14:paraId="2DD12415" w14:textId="77777777" w:rsidR="00554826" w:rsidRPr="00844248" w:rsidRDefault="00554826" w:rsidP="00554826">
      <w:pPr>
        <w:pStyle w:val="subsection"/>
      </w:pPr>
      <w:r w:rsidRPr="00844248">
        <w:tab/>
        <w:t>(1)</w:t>
      </w:r>
      <w:r w:rsidRPr="00844248">
        <w:tab/>
      </w:r>
      <w:r w:rsidR="00CB3464">
        <w:t>F</w:t>
      </w:r>
      <w:r w:rsidR="00844248" w:rsidRPr="00844248">
        <w:t>or subsection</w:t>
      </w:r>
      <w:r w:rsidR="00270927">
        <w:t>s 42AI(1) and</w:t>
      </w:r>
      <w:r w:rsidR="00844248" w:rsidRPr="00844248">
        <w:t xml:space="preserve"> 42U(1) of the Act</w:t>
      </w:r>
      <w:r w:rsidR="00830BC2">
        <w:t>,</w:t>
      </w:r>
      <w:r w:rsidR="00844248" w:rsidRPr="00844248">
        <w:t xml:space="preserve"> the matters set out in subsection</w:t>
      </w:r>
      <w:r w:rsidR="00FC4503">
        <w:t> </w:t>
      </w:r>
      <w:r w:rsidR="00844248" w:rsidRPr="00844248">
        <w:t>(2) are matters that the Secretary must take into account in de</w:t>
      </w:r>
      <w:r w:rsidR="00CB3464">
        <w:t>ciding</w:t>
      </w:r>
      <w:r w:rsidR="00844248" w:rsidRPr="00844248">
        <w:t xml:space="preserve"> whether a person has a reasonable excuse</w:t>
      </w:r>
      <w:r w:rsidR="00CB3464">
        <w:t xml:space="preserve"> for committing a failure</w:t>
      </w:r>
      <w:r w:rsidRPr="00844248">
        <w:t>.</w:t>
      </w:r>
    </w:p>
    <w:p w14:paraId="4B620B3A" w14:textId="77777777" w:rsidR="00554826" w:rsidRPr="00844248" w:rsidRDefault="00554826" w:rsidP="00554826">
      <w:pPr>
        <w:pStyle w:val="subsection"/>
      </w:pPr>
      <w:r w:rsidRPr="00844248">
        <w:tab/>
        <w:t>(2)</w:t>
      </w:r>
      <w:r w:rsidRPr="00844248">
        <w:tab/>
      </w:r>
      <w:r w:rsidR="00844248">
        <w:t>The matters are</w:t>
      </w:r>
      <w:r w:rsidRPr="00844248">
        <w:t>:</w:t>
      </w:r>
    </w:p>
    <w:p w14:paraId="0B55827F" w14:textId="77777777" w:rsidR="00844248" w:rsidRDefault="00186452" w:rsidP="00186452">
      <w:pPr>
        <w:pStyle w:val="paragraph"/>
      </w:pPr>
      <w:r>
        <w:tab/>
        <w:t>(a)</w:t>
      </w:r>
      <w:r>
        <w:tab/>
      </w:r>
      <w:proofErr w:type="gramStart"/>
      <w:r w:rsidR="00844248" w:rsidRPr="00444299">
        <w:t>the</w:t>
      </w:r>
      <w:proofErr w:type="gramEnd"/>
      <w:r w:rsidR="00844248" w:rsidRPr="00444299">
        <w:t xml:space="preserve"> person did not have access to safe, secure and adequate housing, or was using emergency accommodation or a refuge, at the time of the failure; </w:t>
      </w:r>
    </w:p>
    <w:p w14:paraId="6A7BEE1E" w14:textId="77777777" w:rsidR="00844248" w:rsidRPr="00444299" w:rsidRDefault="00186452" w:rsidP="00186452">
      <w:pPr>
        <w:pStyle w:val="paragraph"/>
      </w:pPr>
      <w:r>
        <w:tab/>
        <w:t>(b)</w:t>
      </w:r>
      <w:r>
        <w:tab/>
      </w:r>
      <w:proofErr w:type="gramStart"/>
      <w:r w:rsidR="00844248" w:rsidRPr="00444299">
        <w:t>the</w:t>
      </w:r>
      <w:proofErr w:type="gramEnd"/>
      <w:r w:rsidR="00844248" w:rsidRPr="00444299">
        <w:t xml:space="preserve"> literacy and language skills of the person; </w:t>
      </w:r>
    </w:p>
    <w:p w14:paraId="2F6AE6A4" w14:textId="77777777" w:rsidR="00844248" w:rsidRPr="00FC551E" w:rsidRDefault="00844248" w:rsidP="00844248">
      <w:pPr>
        <w:shd w:val="clear" w:color="auto" w:fill="FFFFFF"/>
        <w:spacing w:before="120" w:after="120" w:line="240" w:lineRule="auto"/>
        <w:ind w:left="1364" w:firstLine="284"/>
        <w:rPr>
          <w:rFonts w:eastAsia="Times New Roman" w:cs="Times New Roman"/>
          <w:sz w:val="18"/>
          <w:szCs w:val="18"/>
          <w:lang w:eastAsia="en-AU"/>
        </w:rPr>
      </w:pPr>
      <w:r w:rsidRPr="00425C6A">
        <w:rPr>
          <w:rFonts w:eastAsia="Times New Roman" w:cs="Times New Roman"/>
          <w:sz w:val="18"/>
          <w:szCs w:val="18"/>
          <w:lang w:eastAsia="en-AU"/>
        </w:rPr>
        <w:t>Example for paragraph (b):</w:t>
      </w:r>
    </w:p>
    <w:p w14:paraId="331EF114" w14:textId="77777777" w:rsidR="00844248" w:rsidRPr="00425C6A" w:rsidRDefault="00844248" w:rsidP="00844248">
      <w:pPr>
        <w:shd w:val="clear" w:color="auto" w:fill="FFFFFF"/>
        <w:spacing w:before="120" w:after="120" w:line="240" w:lineRule="auto"/>
        <w:ind w:left="1648"/>
        <w:rPr>
          <w:rFonts w:eastAsia="Times New Roman" w:cs="Times New Roman"/>
          <w:sz w:val="18"/>
          <w:szCs w:val="18"/>
          <w:lang w:eastAsia="en-AU"/>
        </w:rPr>
      </w:pPr>
      <w:r w:rsidRPr="00425C6A">
        <w:rPr>
          <w:rFonts w:eastAsia="Times New Roman" w:cs="Times New Roman"/>
          <w:sz w:val="18"/>
          <w:szCs w:val="18"/>
          <w:lang w:eastAsia="en-AU"/>
        </w:rPr>
        <w:t>If the person is unable to comprehend a requirement or an instruction, despite the requirement or instruction being delivered in a form that the person is most likely to comprehend.</w:t>
      </w:r>
    </w:p>
    <w:p w14:paraId="45135B64" w14:textId="77777777" w:rsidR="00844248" w:rsidRPr="00444299" w:rsidRDefault="00186452" w:rsidP="00186452">
      <w:pPr>
        <w:pStyle w:val="paragraph"/>
      </w:pPr>
      <w:r>
        <w:tab/>
        <w:t>(c)</w:t>
      </w:r>
      <w:r>
        <w:tab/>
      </w:r>
      <w:proofErr w:type="gramStart"/>
      <w:r w:rsidR="00844248" w:rsidRPr="00444299">
        <w:t>an</w:t>
      </w:r>
      <w:proofErr w:type="gramEnd"/>
      <w:r w:rsidR="00844248" w:rsidRPr="00444299">
        <w:t xml:space="preserve"> illness,</w:t>
      </w:r>
      <w:r w:rsidR="00844248">
        <w:t xml:space="preserve"> injury,</w:t>
      </w:r>
      <w:r w:rsidR="00844248" w:rsidRPr="00444299">
        <w:t xml:space="preserve"> impairment</w:t>
      </w:r>
      <w:r w:rsidR="00844248">
        <w:t xml:space="preserve"> or disability</w:t>
      </w:r>
      <w:r w:rsidR="00844248" w:rsidRPr="00444299">
        <w:t xml:space="preserve"> of the person; </w:t>
      </w:r>
    </w:p>
    <w:p w14:paraId="12A5DDFA" w14:textId="77777777" w:rsidR="00844248" w:rsidRDefault="00186452" w:rsidP="00186452">
      <w:pPr>
        <w:pStyle w:val="paragraph"/>
      </w:pPr>
      <w:r>
        <w:tab/>
        <w:t>(d)</w:t>
      </w:r>
      <w:r>
        <w:tab/>
      </w:r>
      <w:proofErr w:type="gramStart"/>
      <w:r w:rsidR="00844248">
        <w:t>a</w:t>
      </w:r>
      <w:proofErr w:type="gramEnd"/>
      <w:r w:rsidR="00844248">
        <w:t xml:space="preserve"> cognitive, neurological, </w:t>
      </w:r>
      <w:r w:rsidR="00844248" w:rsidRPr="00333A04">
        <w:t xml:space="preserve">psychiatric or psychological impairment or mental illness of the person; </w:t>
      </w:r>
    </w:p>
    <w:p w14:paraId="004180B6" w14:textId="77777777" w:rsidR="00844248" w:rsidRDefault="00186452" w:rsidP="008D4BB2">
      <w:pPr>
        <w:pStyle w:val="paragraph"/>
      </w:pPr>
      <w:r>
        <w:tab/>
        <w:t>(e)</w:t>
      </w:r>
      <w:r>
        <w:tab/>
      </w:r>
      <w:proofErr w:type="gramStart"/>
      <w:r w:rsidR="00844248" w:rsidRPr="00333A04">
        <w:t>a</w:t>
      </w:r>
      <w:proofErr w:type="gramEnd"/>
      <w:r w:rsidR="00844248" w:rsidRPr="00333A04">
        <w:t xml:space="preserve"> drug or alcohol dependency of the person; </w:t>
      </w:r>
    </w:p>
    <w:p w14:paraId="6BF38521" w14:textId="77777777" w:rsidR="00844248" w:rsidRDefault="00186452" w:rsidP="00186452">
      <w:pPr>
        <w:pStyle w:val="paragraph"/>
      </w:pPr>
      <w:r>
        <w:tab/>
        <w:t>(f)</w:t>
      </w:r>
      <w:r>
        <w:tab/>
      </w:r>
      <w:proofErr w:type="gramStart"/>
      <w:r w:rsidR="00844248" w:rsidRPr="00333A04">
        <w:t>unforeseen</w:t>
      </w:r>
      <w:proofErr w:type="gramEnd"/>
      <w:r w:rsidR="00844248" w:rsidRPr="00333A04">
        <w:t xml:space="preserve"> family or caring responsibilities of the person; </w:t>
      </w:r>
    </w:p>
    <w:p w14:paraId="784739F9" w14:textId="77777777" w:rsidR="00844248" w:rsidRDefault="00186452" w:rsidP="00186452">
      <w:pPr>
        <w:pStyle w:val="paragraph"/>
      </w:pPr>
      <w:r>
        <w:tab/>
        <w:t>(g)</w:t>
      </w:r>
      <w:r>
        <w:tab/>
      </w:r>
      <w:proofErr w:type="gramStart"/>
      <w:r w:rsidR="00844248" w:rsidRPr="00333A04">
        <w:t>the</w:t>
      </w:r>
      <w:proofErr w:type="gramEnd"/>
      <w:r w:rsidR="00844248" w:rsidRPr="00333A04">
        <w:t xml:space="preserve"> person was subjected to criminal violence (including domestic violence and sexual assault); </w:t>
      </w:r>
    </w:p>
    <w:p w14:paraId="5F87FEC4" w14:textId="77777777" w:rsidR="00844248" w:rsidRDefault="00186452" w:rsidP="00186452">
      <w:pPr>
        <w:pStyle w:val="paragraph"/>
      </w:pPr>
      <w:r>
        <w:tab/>
        <w:t>(h)</w:t>
      </w:r>
      <w:r>
        <w:tab/>
      </w:r>
      <w:proofErr w:type="gramStart"/>
      <w:r w:rsidR="00844248" w:rsidRPr="00333A04">
        <w:t>the</w:t>
      </w:r>
      <w:proofErr w:type="gramEnd"/>
      <w:r w:rsidR="00844248" w:rsidRPr="00333A04">
        <w:t xml:space="preserve"> person was adversely affected by the death of an immediate fami</w:t>
      </w:r>
      <w:r w:rsidR="00844248">
        <w:t xml:space="preserve">ly member or close relative; </w:t>
      </w:r>
    </w:p>
    <w:p w14:paraId="7F458209" w14:textId="77777777" w:rsidR="00844248" w:rsidRPr="00844248" w:rsidRDefault="00186452" w:rsidP="00186452">
      <w:pPr>
        <w:pStyle w:val="paragraph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844248">
        <w:t>the</w:t>
      </w:r>
      <w:proofErr w:type="gramEnd"/>
      <w:r w:rsidR="00844248">
        <w:t xml:space="preserve"> person was</w:t>
      </w:r>
      <w:r w:rsidR="00A851EB">
        <w:t xml:space="preserve"> undertaking paid</w:t>
      </w:r>
      <w:r w:rsidR="00844248">
        <w:t xml:space="preserve"> work</w:t>
      </w:r>
      <w:r w:rsidR="00A851EB">
        <w:t xml:space="preserve"> </w:t>
      </w:r>
      <w:r w:rsidR="00844248">
        <w:t xml:space="preserve">at the time of the failure; </w:t>
      </w:r>
    </w:p>
    <w:p w14:paraId="289A957F" w14:textId="77777777" w:rsidR="00844248" w:rsidRDefault="00186452" w:rsidP="00186452">
      <w:pPr>
        <w:pStyle w:val="paragraph"/>
      </w:pPr>
      <w:r>
        <w:tab/>
        <w:t>(j)</w:t>
      </w:r>
      <w:r>
        <w:tab/>
      </w:r>
      <w:proofErr w:type="gramStart"/>
      <w:r w:rsidR="00844248">
        <w:t>the</w:t>
      </w:r>
      <w:proofErr w:type="gramEnd"/>
      <w:r w:rsidR="00844248">
        <w:t xml:space="preserve"> person was attending a job interview at the time of the failure</w:t>
      </w:r>
      <w:r w:rsidR="00554826" w:rsidRPr="00844248">
        <w:t>.</w:t>
      </w:r>
    </w:p>
    <w:p w14:paraId="4D65F749" w14:textId="77777777" w:rsidR="00554826" w:rsidRPr="00844248" w:rsidRDefault="00554826" w:rsidP="00186452">
      <w:pPr>
        <w:pStyle w:val="subsection"/>
      </w:pPr>
      <w:r w:rsidRPr="00844248">
        <w:tab/>
        <w:t>(3)</w:t>
      </w:r>
      <w:r w:rsidRPr="00844248">
        <w:tab/>
      </w:r>
      <w:r w:rsidR="00844248" w:rsidRPr="00444299">
        <w:t xml:space="preserve">Without limiting </w:t>
      </w:r>
      <w:r w:rsidR="00844248" w:rsidRPr="00186452">
        <w:t>paragraph</w:t>
      </w:r>
      <w:r w:rsidR="00CB3464">
        <w:t xml:space="preserve"> </w:t>
      </w:r>
      <w:r w:rsidR="00844248" w:rsidRPr="00444299">
        <w:t>(</w:t>
      </w:r>
      <w:r w:rsidR="00844248">
        <w:t>2</w:t>
      </w:r>
      <w:proofErr w:type="gramStart"/>
      <w:r w:rsidR="00844248" w:rsidRPr="00444299">
        <w:t>)(</w:t>
      </w:r>
      <w:proofErr w:type="gramEnd"/>
      <w:r w:rsidR="00844248" w:rsidRPr="00444299">
        <w:t>a), a person is taken not to have access to safe, secure and adequate housing if</w:t>
      </w:r>
      <w:r w:rsidRPr="00844248">
        <w:t>:</w:t>
      </w:r>
    </w:p>
    <w:p w14:paraId="5BCC96AA" w14:textId="77777777" w:rsidR="00885FED" w:rsidRPr="001F312A" w:rsidRDefault="00186452" w:rsidP="00186452">
      <w:pPr>
        <w:pStyle w:val="paragraph"/>
      </w:pPr>
      <w:r>
        <w:tab/>
        <w:t>(a)</w:t>
      </w:r>
      <w:r>
        <w:tab/>
      </w:r>
      <w:proofErr w:type="gramStart"/>
      <w:r w:rsidR="00885FED" w:rsidRPr="001F312A">
        <w:t>the</w:t>
      </w:r>
      <w:proofErr w:type="gramEnd"/>
      <w:r w:rsidR="00885FED" w:rsidRPr="001F312A">
        <w:t xml:space="preserve"> housing to which the person has access:</w:t>
      </w:r>
    </w:p>
    <w:p w14:paraId="52BCEE38" w14:textId="77777777" w:rsidR="00885FED" w:rsidRPr="00186452" w:rsidRDefault="00186452" w:rsidP="001D596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885FED" w:rsidRPr="00186452">
        <w:t>damages</w:t>
      </w:r>
      <w:proofErr w:type="gramEnd"/>
      <w:r w:rsidR="00885FED" w:rsidRPr="00186452">
        <w:t>, or is likely to damage, the person’s health; or</w:t>
      </w:r>
    </w:p>
    <w:p w14:paraId="350BBADA" w14:textId="77777777" w:rsidR="00885FED" w:rsidRPr="00186452" w:rsidRDefault="00186452" w:rsidP="00186452">
      <w:pPr>
        <w:pStyle w:val="paragraphsub"/>
      </w:pPr>
      <w:r>
        <w:tab/>
        <w:t>(ii)</w:t>
      </w:r>
      <w:r>
        <w:tab/>
      </w:r>
      <w:proofErr w:type="gramStart"/>
      <w:r w:rsidR="00885FED" w:rsidRPr="00186452">
        <w:t>threatens</w:t>
      </w:r>
      <w:proofErr w:type="gramEnd"/>
      <w:r w:rsidR="00885FED" w:rsidRPr="00186452">
        <w:t xml:space="preserve"> or is likely to threaten the person’s safety; or</w:t>
      </w:r>
    </w:p>
    <w:p w14:paraId="1E0C153D" w14:textId="77777777" w:rsidR="00885FED" w:rsidRPr="00186452" w:rsidRDefault="00186452" w:rsidP="001D5962">
      <w:pPr>
        <w:pStyle w:val="paragraphsub"/>
      </w:pPr>
      <w:r>
        <w:tab/>
        <w:t>(iii)</w:t>
      </w:r>
      <w:r>
        <w:tab/>
      </w:r>
      <w:proofErr w:type="gramStart"/>
      <w:r w:rsidR="00885FED" w:rsidRPr="00186452">
        <w:t>does</w:t>
      </w:r>
      <w:proofErr w:type="gramEnd"/>
      <w:r w:rsidR="00885FED" w:rsidRPr="00186452">
        <w:t xml:space="preserve"> not provide the person with access to a reasonable level of personal amenities or support that housing normally affords; or</w:t>
      </w:r>
    </w:p>
    <w:p w14:paraId="5097890B" w14:textId="77777777" w:rsidR="001F312A" w:rsidRPr="001F312A" w:rsidRDefault="00186452" w:rsidP="00186452">
      <w:pPr>
        <w:pStyle w:val="paragraph"/>
      </w:pPr>
      <w:r>
        <w:tab/>
      </w:r>
      <w:r w:rsidRPr="00186452">
        <w:t>(b</w:t>
      </w:r>
      <w:r>
        <w:t>)</w:t>
      </w:r>
      <w:r>
        <w:tab/>
      </w:r>
      <w:proofErr w:type="gramStart"/>
      <w:r w:rsidR="00885FED" w:rsidRPr="001F312A">
        <w:t>in</w:t>
      </w:r>
      <w:proofErr w:type="gramEnd"/>
      <w:r w:rsidR="00885FED" w:rsidRPr="001F312A">
        <w:t xml:space="preserve"> the circumstances, the adequacy, safety, security or affordability of the housing to which the person has access is adversely affected or may be adversely affected; or</w:t>
      </w:r>
    </w:p>
    <w:p w14:paraId="60715A90" w14:textId="77777777" w:rsidR="00554826" w:rsidRDefault="00186452" w:rsidP="00186452">
      <w:pPr>
        <w:pStyle w:val="paragraph"/>
      </w:pPr>
      <w:r>
        <w:tab/>
        <w:t>(c)</w:t>
      </w:r>
      <w:r>
        <w:tab/>
      </w:r>
      <w:proofErr w:type="gramStart"/>
      <w:r w:rsidR="00885FED" w:rsidRPr="00CC7F9D">
        <w:t>the</w:t>
      </w:r>
      <w:proofErr w:type="gramEnd"/>
      <w:r w:rsidR="00885FED" w:rsidRPr="00CC7F9D">
        <w:t xml:space="preserve"> person does not have a right to remain, or a reasonab</w:t>
      </w:r>
      <w:r w:rsidR="001F312A">
        <w:t xml:space="preserve">le expectation of being able to </w:t>
      </w:r>
      <w:r w:rsidR="00885FED" w:rsidRPr="00CC7F9D">
        <w:t>remain, in the housing to which the person has access</w:t>
      </w:r>
      <w:r w:rsidR="00554826" w:rsidRPr="00844248">
        <w:t>.</w:t>
      </w:r>
    </w:p>
    <w:p w14:paraId="77AC31E8" w14:textId="77777777" w:rsidR="00B510A9" w:rsidRPr="00B349A5" w:rsidRDefault="00532868" w:rsidP="00B510A9">
      <w:pPr>
        <w:pStyle w:val="ActHead5"/>
      </w:pPr>
      <w:bookmarkStart w:id="7" w:name="_Toc512346756"/>
      <w:proofErr w:type="gramStart"/>
      <w:r w:rsidRPr="00B349A5">
        <w:t>6</w:t>
      </w:r>
      <w:r w:rsidR="00B510A9" w:rsidRPr="00B349A5">
        <w:t xml:space="preserve">  Matters</w:t>
      </w:r>
      <w:proofErr w:type="gramEnd"/>
      <w:r w:rsidR="00B510A9" w:rsidRPr="00B349A5">
        <w:t xml:space="preserve"> not to be taken into account in </w:t>
      </w:r>
      <w:r w:rsidR="00B349A5" w:rsidRPr="00B349A5">
        <w:t>deciding</w:t>
      </w:r>
      <w:r w:rsidR="00B510A9" w:rsidRPr="00B349A5">
        <w:t xml:space="preserve"> </w:t>
      </w:r>
      <w:r w:rsidR="007D2B07">
        <w:t>whether</w:t>
      </w:r>
      <w:r w:rsidR="00B510A9" w:rsidRPr="00B349A5">
        <w:t xml:space="preserve"> a person ha</w:t>
      </w:r>
      <w:r w:rsidR="00B349A5" w:rsidRPr="00B349A5">
        <w:t>s</w:t>
      </w:r>
      <w:r w:rsidR="00B510A9" w:rsidRPr="00B349A5">
        <w:t xml:space="preserve"> a reasonable excuse</w:t>
      </w:r>
      <w:bookmarkEnd w:id="7"/>
    </w:p>
    <w:p w14:paraId="24038B31" w14:textId="77777777" w:rsidR="00B510A9" w:rsidRDefault="004545C5" w:rsidP="005D5FD5">
      <w:pPr>
        <w:pStyle w:val="subsection"/>
        <w:numPr>
          <w:ilvl w:val="0"/>
          <w:numId w:val="31"/>
        </w:numPr>
      </w:pPr>
      <w:r>
        <w:t xml:space="preserve">  </w:t>
      </w:r>
      <w:r w:rsidR="007D2B07">
        <w:t>Despite section 5, f</w:t>
      </w:r>
      <w:r w:rsidR="00B349A5">
        <w:t>or s</w:t>
      </w:r>
      <w:r w:rsidR="00CB3464">
        <w:t>ubs</w:t>
      </w:r>
      <w:r w:rsidR="00B349A5">
        <w:t>ection</w:t>
      </w:r>
      <w:r w:rsidR="00671CC4">
        <w:t xml:space="preserve"> </w:t>
      </w:r>
      <w:r w:rsidR="00B349A5" w:rsidRPr="00CB3464">
        <w:t>42</w:t>
      </w:r>
      <w:r w:rsidR="00CC098C">
        <w:t>AI</w:t>
      </w:r>
      <w:r w:rsidR="00B349A5" w:rsidRPr="00CB3464">
        <w:t>(3)</w:t>
      </w:r>
      <w:r w:rsidR="00B349A5">
        <w:t xml:space="preserve"> of the Act, the matters </w:t>
      </w:r>
      <w:r w:rsidR="00CB3464">
        <w:t xml:space="preserve">set out </w:t>
      </w:r>
      <w:r w:rsidR="00B349A5">
        <w:t>in subsections</w:t>
      </w:r>
      <w:r w:rsidR="00FC4503">
        <w:t> </w:t>
      </w:r>
      <w:r w:rsidR="00B349A5">
        <w:t>(</w:t>
      </w:r>
      <w:r w:rsidR="00577AA7">
        <w:t>3</w:t>
      </w:r>
      <w:r w:rsidR="00B349A5">
        <w:t>) and (</w:t>
      </w:r>
      <w:r w:rsidR="00577AA7">
        <w:t>4</w:t>
      </w:r>
      <w:r w:rsidR="00B349A5">
        <w:t>) are matters the Secretary must not take into account in de</w:t>
      </w:r>
      <w:r w:rsidR="00CB3464">
        <w:t>ciding</w:t>
      </w:r>
      <w:r w:rsidR="00B349A5">
        <w:t xml:space="preserve"> </w:t>
      </w:r>
      <w:r w:rsidR="00CB3464">
        <w:t xml:space="preserve">whether </w:t>
      </w:r>
      <w:r w:rsidR="00B349A5">
        <w:t xml:space="preserve">the person </w:t>
      </w:r>
      <w:r w:rsidR="00B349A5" w:rsidRPr="009202CC">
        <w:t>ha</w:t>
      </w:r>
      <w:r w:rsidR="00106784" w:rsidRPr="009202CC">
        <w:t>s</w:t>
      </w:r>
      <w:r w:rsidR="00B349A5">
        <w:t xml:space="preserve"> a reasonable excuse</w:t>
      </w:r>
      <w:r w:rsidR="00CB3464">
        <w:t xml:space="preserve"> for committing a failure</w:t>
      </w:r>
      <w:r w:rsidR="00B510A9" w:rsidRPr="00B349A5">
        <w:t>.</w:t>
      </w:r>
    </w:p>
    <w:p w14:paraId="36FF9EA8" w14:textId="77777777" w:rsidR="005A7A12" w:rsidRDefault="005A7A12" w:rsidP="005D5FD5">
      <w:pPr>
        <w:pStyle w:val="subsection"/>
        <w:numPr>
          <w:ilvl w:val="0"/>
          <w:numId w:val="31"/>
        </w:numPr>
      </w:pPr>
      <w:r>
        <w:lastRenderedPageBreak/>
        <w:t xml:space="preserve"> </w:t>
      </w:r>
      <w:r w:rsidR="004545C5">
        <w:t xml:space="preserve"> </w:t>
      </w:r>
      <w:r w:rsidR="007D2B07">
        <w:t>Despite section 5, f</w:t>
      </w:r>
      <w:r>
        <w:t>or subsection 42</w:t>
      </w:r>
      <w:r w:rsidR="00CC098C">
        <w:t>U</w:t>
      </w:r>
      <w:r>
        <w:t xml:space="preserve">(3) of the Act, </w:t>
      </w:r>
      <w:r w:rsidR="00830BC2">
        <w:t>the</w:t>
      </w:r>
      <w:r>
        <w:t xml:space="preserve"> matter set out in subsection</w:t>
      </w:r>
      <w:r w:rsidR="00FC4503">
        <w:t> </w:t>
      </w:r>
      <w:r>
        <w:t xml:space="preserve">(3) </w:t>
      </w:r>
      <w:r w:rsidR="00CC098C">
        <w:t>is a</w:t>
      </w:r>
      <w:r>
        <w:t xml:space="preserve"> matter the Secretary must not take into account in deciding whether the person </w:t>
      </w:r>
      <w:r w:rsidRPr="009202CC">
        <w:t>has</w:t>
      </w:r>
      <w:r>
        <w:t xml:space="preserve"> a reasonable excuse for committing a failure.</w:t>
      </w:r>
    </w:p>
    <w:p w14:paraId="0776744B" w14:textId="77777777" w:rsidR="000D2C34" w:rsidRPr="005D5FD5" w:rsidRDefault="000D2C34" w:rsidP="005D5FD5">
      <w:pPr>
        <w:pStyle w:val="subsection"/>
        <w:ind w:left="1854"/>
        <w:rPr>
          <w:i/>
        </w:rPr>
      </w:pPr>
      <w:r>
        <w:rPr>
          <w:i/>
        </w:rPr>
        <w:t>Matter did not directly prevent person from meeting requirement</w:t>
      </w:r>
    </w:p>
    <w:p w14:paraId="66580BE1" w14:textId="77777777" w:rsidR="00B510A9" w:rsidRDefault="00B510A9" w:rsidP="00B510A9">
      <w:pPr>
        <w:pStyle w:val="subsection"/>
      </w:pPr>
      <w:r w:rsidRPr="00B349A5">
        <w:tab/>
        <w:t>(</w:t>
      </w:r>
      <w:r w:rsidR="005A7A12">
        <w:t>3</w:t>
      </w:r>
      <w:r w:rsidRPr="00B349A5">
        <w:t>)</w:t>
      </w:r>
      <w:r w:rsidRPr="00B349A5">
        <w:tab/>
      </w:r>
      <w:r w:rsidR="003F7D91">
        <w:t>For the purposes of subsections (1) and (2), t</w:t>
      </w:r>
      <w:r w:rsidR="00796AEA">
        <w:t>he matter is</w:t>
      </w:r>
      <w:r w:rsidR="003F7D91">
        <w:t xml:space="preserve"> any matter</w:t>
      </w:r>
      <w:r w:rsidR="00796AEA">
        <w:t xml:space="preserve"> </w:t>
      </w:r>
      <w:r w:rsidR="00CB3464">
        <w:t xml:space="preserve">if </w:t>
      </w:r>
      <w:r w:rsidR="00B349A5" w:rsidRPr="00444299">
        <w:t xml:space="preserve">the Secretary </w:t>
      </w:r>
      <w:r w:rsidR="00B349A5">
        <w:t>is not satisfied</w:t>
      </w:r>
      <w:r w:rsidR="00B349A5" w:rsidRPr="00444299">
        <w:t xml:space="preserve"> </w:t>
      </w:r>
      <w:r w:rsidR="00CB3464">
        <w:t xml:space="preserve">that </w:t>
      </w:r>
      <w:r w:rsidR="000A6965">
        <w:t xml:space="preserve">the </w:t>
      </w:r>
      <w:r w:rsidR="00CB3464">
        <w:t xml:space="preserve">matter </w:t>
      </w:r>
      <w:r w:rsidR="00B349A5">
        <w:t xml:space="preserve">directly </w:t>
      </w:r>
      <w:r w:rsidR="00B349A5" w:rsidRPr="00CD69D4">
        <w:t>prevented the person from meeting the requirement that was the subject of the failure at the relevant</w:t>
      </w:r>
      <w:r w:rsidR="00B349A5">
        <w:t xml:space="preserve"> time that the failure occurred</w:t>
      </w:r>
      <w:r w:rsidR="001F312A">
        <w:t>.</w:t>
      </w:r>
    </w:p>
    <w:p w14:paraId="5ACC9E23" w14:textId="77777777" w:rsidR="000D2C34" w:rsidRPr="005D5FD5" w:rsidRDefault="003F7D91" w:rsidP="005D5FD5">
      <w:pPr>
        <w:pStyle w:val="subsection"/>
        <w:ind w:left="1854"/>
        <w:rPr>
          <w:i/>
        </w:rPr>
      </w:pPr>
      <w:r>
        <w:rPr>
          <w:i/>
        </w:rPr>
        <w:t>D</w:t>
      </w:r>
      <w:r w:rsidR="000D2C34">
        <w:rPr>
          <w:i/>
        </w:rPr>
        <w:t xml:space="preserve">rug or alcohol misuse or dependency </w:t>
      </w:r>
      <w:r>
        <w:rPr>
          <w:i/>
        </w:rPr>
        <w:t xml:space="preserve">used </w:t>
      </w:r>
      <w:r w:rsidR="000D2C34">
        <w:rPr>
          <w:i/>
        </w:rPr>
        <w:t>for a previous failure</w:t>
      </w:r>
    </w:p>
    <w:p w14:paraId="76DB9807" w14:textId="77777777" w:rsidR="00B510A9" w:rsidRPr="00B349A5" w:rsidRDefault="00B510A9" w:rsidP="00B510A9">
      <w:pPr>
        <w:pStyle w:val="subsection"/>
      </w:pPr>
      <w:r w:rsidRPr="00B349A5">
        <w:tab/>
        <w:t>(</w:t>
      </w:r>
      <w:r w:rsidR="005A7A12">
        <w:t>4</w:t>
      </w:r>
      <w:r w:rsidRPr="00B349A5">
        <w:t>)</w:t>
      </w:r>
      <w:r w:rsidRPr="00B349A5">
        <w:tab/>
      </w:r>
      <w:r w:rsidR="00931D44">
        <w:t>For the purposes of subsection (1), t</w:t>
      </w:r>
      <w:r w:rsidR="00796AEA">
        <w:t>he matter is</w:t>
      </w:r>
      <w:r w:rsidR="00AC29EC">
        <w:t xml:space="preserve"> </w:t>
      </w:r>
      <w:r w:rsidR="00B349A5" w:rsidRPr="00AB3993">
        <w:t xml:space="preserve">a drug </w:t>
      </w:r>
      <w:r w:rsidR="00AC29EC">
        <w:t>or</w:t>
      </w:r>
      <w:r w:rsidR="00B349A5" w:rsidRPr="00AB3993">
        <w:t xml:space="preserve"> alcohol</w:t>
      </w:r>
      <w:r w:rsidR="00B349A5">
        <w:t xml:space="preserve"> </w:t>
      </w:r>
      <w:r w:rsidR="001B4398">
        <w:t>mis</w:t>
      </w:r>
      <w:r w:rsidR="00B349A5">
        <w:t>use o</w:t>
      </w:r>
      <w:r w:rsidR="00B349A5" w:rsidRPr="00AB3993">
        <w:t>r</w:t>
      </w:r>
      <w:r w:rsidR="00B349A5">
        <w:t xml:space="preserve"> </w:t>
      </w:r>
      <w:r w:rsidR="00B349A5" w:rsidRPr="00AB3993">
        <w:t>dependency</w:t>
      </w:r>
      <w:r w:rsidR="00B349A5">
        <w:t xml:space="preserve"> </w:t>
      </w:r>
      <w:r w:rsidR="00AC29EC">
        <w:t xml:space="preserve">of the person </w:t>
      </w:r>
      <w:r w:rsidR="00B349A5" w:rsidRPr="00AB3993">
        <w:t>if</w:t>
      </w:r>
      <w:r w:rsidRPr="00B349A5">
        <w:t>:</w:t>
      </w:r>
    </w:p>
    <w:p w14:paraId="61643349" w14:textId="77777777" w:rsidR="001F312A" w:rsidRDefault="00186452" w:rsidP="00186452">
      <w:pPr>
        <w:pStyle w:val="paragraph"/>
      </w:pPr>
      <w:r>
        <w:tab/>
        <w:t>(a)</w:t>
      </w:r>
      <w:r>
        <w:tab/>
      </w:r>
      <w:proofErr w:type="gramStart"/>
      <w:r w:rsidR="000A6965">
        <w:t>t</w:t>
      </w:r>
      <w:r w:rsidR="000A6965" w:rsidRPr="001F312A">
        <w:t>he</w:t>
      </w:r>
      <w:proofErr w:type="gramEnd"/>
      <w:r w:rsidR="000A6965" w:rsidRPr="001F312A">
        <w:t xml:space="preserve"> </w:t>
      </w:r>
      <w:r w:rsidR="00AC29EC">
        <w:t>person</w:t>
      </w:r>
      <w:r w:rsidR="001F312A" w:rsidRPr="001F312A">
        <w:t xml:space="preserve"> </w:t>
      </w:r>
      <w:r w:rsidR="00463E8D" w:rsidRPr="001F312A">
        <w:t>previously</w:t>
      </w:r>
      <w:r w:rsidR="001F312A" w:rsidRPr="001F312A">
        <w:t xml:space="preserve"> </w:t>
      </w:r>
      <w:r w:rsidR="00463E8D" w:rsidRPr="001F312A">
        <w:t>committed</w:t>
      </w:r>
      <w:r w:rsidR="001F312A" w:rsidRPr="001F312A">
        <w:t xml:space="preserve"> </w:t>
      </w:r>
      <w:r w:rsidR="00463E8D" w:rsidRPr="001F312A">
        <w:t>a</w:t>
      </w:r>
      <w:r w:rsidR="001F312A" w:rsidRPr="001F312A">
        <w:t xml:space="preserve"> </w:t>
      </w:r>
      <w:r w:rsidR="00463E8D" w:rsidRPr="001F312A">
        <w:t>failure</w:t>
      </w:r>
      <w:r w:rsidR="00B75609">
        <w:t xml:space="preserve"> on or after </w:t>
      </w:r>
      <w:r w:rsidR="00B75609" w:rsidRPr="005D5FD5">
        <w:t xml:space="preserve">1 </w:t>
      </w:r>
      <w:r w:rsidR="00A54BDA" w:rsidRPr="005D5FD5">
        <w:t>July</w:t>
      </w:r>
      <w:r w:rsidR="00B75609" w:rsidRPr="005D5FD5">
        <w:t xml:space="preserve"> 2018</w:t>
      </w:r>
      <w:r w:rsidR="00B75609">
        <w:t xml:space="preserve"> </w:t>
      </w:r>
      <w:r w:rsidR="00AC29EC">
        <w:t xml:space="preserve">(the </w:t>
      </w:r>
      <w:r w:rsidR="00AC29EC" w:rsidRPr="00AC29EC">
        <w:rPr>
          <w:b/>
          <w:i/>
        </w:rPr>
        <w:t>previous failure</w:t>
      </w:r>
      <w:r w:rsidR="00C1777E">
        <w:t>)</w:t>
      </w:r>
      <w:r w:rsidR="00463E8D" w:rsidRPr="001F312A">
        <w:t xml:space="preserve">; </w:t>
      </w:r>
    </w:p>
    <w:p w14:paraId="5C106357" w14:textId="77777777" w:rsidR="00666C9D" w:rsidRDefault="00186452" w:rsidP="00186452">
      <w:pPr>
        <w:pStyle w:val="paragraph"/>
      </w:pPr>
      <w:r>
        <w:tab/>
        <w:t>(b)</w:t>
      </w:r>
      <w:r>
        <w:tab/>
      </w:r>
      <w:proofErr w:type="gramStart"/>
      <w:r w:rsidR="00B62F03">
        <w:t>due</w:t>
      </w:r>
      <w:proofErr w:type="gramEnd"/>
      <w:r w:rsidR="00B62F03">
        <w:t xml:space="preserve"> to a drug or alcohol misuse or dependency of the person</w:t>
      </w:r>
      <w:r w:rsidR="00666C9D">
        <w:t>:</w:t>
      </w:r>
    </w:p>
    <w:p w14:paraId="7BBFE90D" w14:textId="77777777" w:rsidR="00666C9D" w:rsidRDefault="00666C9D" w:rsidP="00D9203D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 w:rsidR="006A6EEF">
        <w:tab/>
      </w:r>
      <w:proofErr w:type="gramStart"/>
      <w:r w:rsidR="00B62F03">
        <w:t>the</w:t>
      </w:r>
      <w:proofErr w:type="gramEnd"/>
      <w:r w:rsidR="00B62F03">
        <w:t xml:space="preserve"> previous failure did not result in </w:t>
      </w:r>
      <w:r>
        <w:t>a demerit; or</w:t>
      </w:r>
    </w:p>
    <w:p w14:paraId="0C5C9FDF" w14:textId="77777777" w:rsidR="001F312A" w:rsidRDefault="00666C9D" w:rsidP="00D9203D">
      <w:pPr>
        <w:pStyle w:val="paragraphsub"/>
      </w:pPr>
      <w:r>
        <w:tab/>
        <w:t>(ii)</w:t>
      </w:r>
      <w:r w:rsidR="006A6EEF">
        <w:tab/>
      </w:r>
      <w:proofErr w:type="gramStart"/>
      <w:r w:rsidR="00463E8D" w:rsidRPr="001F312A">
        <w:t>the</w:t>
      </w:r>
      <w:proofErr w:type="gramEnd"/>
      <w:r w:rsidR="00463E8D" w:rsidRPr="001F312A">
        <w:t xml:space="preserve"> </w:t>
      </w:r>
      <w:r w:rsidR="00B62F03">
        <w:t xml:space="preserve">Secretary decided that the </w:t>
      </w:r>
      <w:r w:rsidR="00463E8D" w:rsidRPr="001F312A">
        <w:t>person had a reasonable excuse for the</w:t>
      </w:r>
      <w:r w:rsidR="00AC29EC">
        <w:t xml:space="preserve"> previous</w:t>
      </w:r>
      <w:r w:rsidR="00463E8D" w:rsidRPr="001F312A">
        <w:t xml:space="preserve"> failure</w:t>
      </w:r>
      <w:r>
        <w:t>;</w:t>
      </w:r>
      <w:r w:rsidR="00463E8D" w:rsidRPr="001F312A">
        <w:t xml:space="preserve"> </w:t>
      </w:r>
    </w:p>
    <w:p w14:paraId="586DE322" w14:textId="33A586BF" w:rsidR="00AC29EC" w:rsidRDefault="00186452" w:rsidP="00B801FB">
      <w:pPr>
        <w:pStyle w:val="paragraph"/>
      </w:pPr>
      <w:r>
        <w:tab/>
        <w:t>(c)</w:t>
      </w:r>
      <w:r>
        <w:tab/>
      </w:r>
      <w:proofErr w:type="gramStart"/>
      <w:r w:rsidR="00463E8D" w:rsidRPr="00C1777E">
        <w:t>as</w:t>
      </w:r>
      <w:proofErr w:type="gramEnd"/>
      <w:r w:rsidR="00463E8D" w:rsidRPr="00C1777E">
        <w:t xml:space="preserve"> a result of the </w:t>
      </w:r>
      <w:r w:rsidR="00AC29EC" w:rsidRPr="00C1777E">
        <w:t xml:space="preserve">previous </w:t>
      </w:r>
      <w:r w:rsidR="00463E8D" w:rsidRPr="00C1777E">
        <w:t>failure</w:t>
      </w:r>
      <w:r w:rsidR="006A6EEF">
        <w:t>,</w:t>
      </w:r>
      <w:r w:rsidR="00463E8D" w:rsidRPr="00C1777E">
        <w:t xml:space="preserve"> the </w:t>
      </w:r>
      <w:r w:rsidR="00AC29EC" w:rsidRPr="00C1777E">
        <w:t>person</w:t>
      </w:r>
      <w:r w:rsidR="00463E8D" w:rsidRPr="00C1777E">
        <w:t xml:space="preserve"> was referred to treatment to address the </w:t>
      </w:r>
      <w:r w:rsidR="00AC29EC" w:rsidRPr="00C1777E">
        <w:t xml:space="preserve">drug or alcohol </w:t>
      </w:r>
      <w:r w:rsidR="00FB5A3D">
        <w:t xml:space="preserve">misuse </w:t>
      </w:r>
      <w:r w:rsidR="003268BC">
        <w:t xml:space="preserve">or </w:t>
      </w:r>
      <w:r w:rsidR="00AC29EC" w:rsidRPr="00C1777E">
        <w:t>dependency</w:t>
      </w:r>
      <w:r w:rsidR="00463E8D" w:rsidRPr="00C1777E">
        <w:t>;</w:t>
      </w:r>
      <w:r w:rsidR="008D4BB2">
        <w:t xml:space="preserve"> </w:t>
      </w:r>
      <w:r w:rsidR="00463E8D" w:rsidRPr="00C1777E">
        <w:t>and</w:t>
      </w:r>
    </w:p>
    <w:p w14:paraId="0AAF873E" w14:textId="09B4FECD" w:rsidR="002261EC" w:rsidRDefault="00186452" w:rsidP="005D5FD5">
      <w:pPr>
        <w:pStyle w:val="paragraph"/>
      </w:pPr>
      <w:r>
        <w:tab/>
        <w:t>(</w:t>
      </w:r>
      <w:r w:rsidR="00DC4F5E">
        <w:t>d</w:t>
      </w:r>
      <w:r>
        <w:t>)</w:t>
      </w:r>
      <w:r>
        <w:tab/>
      </w:r>
      <w:proofErr w:type="gramStart"/>
      <w:r w:rsidR="00463E8D" w:rsidRPr="00C1777E">
        <w:t>the</w:t>
      </w:r>
      <w:proofErr w:type="gramEnd"/>
      <w:r w:rsidR="00463E8D" w:rsidRPr="00C1777E">
        <w:t xml:space="preserve"> </w:t>
      </w:r>
      <w:r w:rsidR="00AC29EC" w:rsidRPr="00C1777E">
        <w:t>person</w:t>
      </w:r>
      <w:r w:rsidR="00463E8D" w:rsidRPr="00C1777E">
        <w:t xml:space="preserve"> refused or failed to participate </w:t>
      </w:r>
      <w:r w:rsidR="00AC29EC" w:rsidRPr="00C1777E">
        <w:t xml:space="preserve">in </w:t>
      </w:r>
      <w:r w:rsidR="00463E8D" w:rsidRPr="00C1777E">
        <w:t>the treatment</w:t>
      </w:r>
      <w:r w:rsidR="006A6EEF">
        <w:t>;</w:t>
      </w:r>
    </w:p>
    <w:p w14:paraId="0AE3FA9E" w14:textId="77777777" w:rsidR="00463E8D" w:rsidRPr="001F312A" w:rsidRDefault="002261EC" w:rsidP="002261EC">
      <w:pPr>
        <w:pStyle w:val="paragraph"/>
        <w:ind w:left="2364" w:hanging="1230"/>
      </w:pPr>
      <w:proofErr w:type="gramStart"/>
      <w:r>
        <w:t>u</w:t>
      </w:r>
      <w:r w:rsidR="00F61C19">
        <w:t>nless</w:t>
      </w:r>
      <w:proofErr w:type="gramEnd"/>
      <w:r w:rsidR="00F61C19">
        <w:t xml:space="preserve"> one of the following applies</w:t>
      </w:r>
      <w:r w:rsidR="00463E8D" w:rsidRPr="001F312A">
        <w:t>:</w:t>
      </w:r>
    </w:p>
    <w:p w14:paraId="67122F80" w14:textId="331E8968" w:rsidR="00463E8D" w:rsidRDefault="00186452" w:rsidP="00186452">
      <w:pPr>
        <w:pStyle w:val="paragraph"/>
      </w:pPr>
      <w:r>
        <w:tab/>
        <w:t>(</w:t>
      </w:r>
      <w:r w:rsidR="00DC4F5E">
        <w:t>e</w:t>
      </w:r>
      <w:r>
        <w:t>)</w:t>
      </w:r>
      <w:r>
        <w:tab/>
      </w:r>
      <w:proofErr w:type="gramStart"/>
      <w:r w:rsidR="00830BC2">
        <w:t>the</w:t>
      </w:r>
      <w:proofErr w:type="gramEnd"/>
      <w:r w:rsidR="00830BC2">
        <w:t xml:space="preserve"> treatment was not available or </w:t>
      </w:r>
      <w:r w:rsidR="00463E8D" w:rsidRPr="007A10B8">
        <w:t xml:space="preserve">appropriate </w:t>
      </w:r>
      <w:r w:rsidR="00830BC2">
        <w:t xml:space="preserve">for </w:t>
      </w:r>
      <w:r w:rsidR="00463E8D" w:rsidRPr="007A10B8">
        <w:t>the person</w:t>
      </w:r>
      <w:r w:rsidR="00830BC2">
        <w:t>;</w:t>
      </w:r>
      <w:r w:rsidR="00463E8D" w:rsidRPr="007A10B8">
        <w:t xml:space="preserve"> </w:t>
      </w:r>
    </w:p>
    <w:p w14:paraId="3FB532DE" w14:textId="28C8E1C1" w:rsidR="00463E8D" w:rsidRDefault="00186452" w:rsidP="00186452">
      <w:pPr>
        <w:pStyle w:val="paragraph"/>
      </w:pPr>
      <w:r>
        <w:tab/>
        <w:t>(</w:t>
      </w:r>
      <w:r w:rsidR="00DC4F5E">
        <w:t>f</w:t>
      </w:r>
      <w:r>
        <w:t>)</w:t>
      </w:r>
      <w:r>
        <w:tab/>
      </w:r>
      <w:proofErr w:type="gramStart"/>
      <w:r w:rsidR="00463E8D" w:rsidRPr="007A10B8">
        <w:t>the</w:t>
      </w:r>
      <w:proofErr w:type="gramEnd"/>
      <w:r w:rsidR="00463E8D" w:rsidRPr="007A10B8">
        <w:t xml:space="preserve"> person </w:t>
      </w:r>
      <w:r w:rsidR="00AC29EC">
        <w:t>was</w:t>
      </w:r>
      <w:r w:rsidR="00463E8D" w:rsidRPr="007A10B8">
        <w:t xml:space="preserve"> </w:t>
      </w:r>
      <w:r w:rsidR="00D82A4C">
        <w:t xml:space="preserve">genuinely </w:t>
      </w:r>
      <w:r w:rsidR="00463E8D" w:rsidRPr="007A10B8">
        <w:t xml:space="preserve">unable to participate in </w:t>
      </w:r>
      <w:r w:rsidR="00AC29EC">
        <w:t xml:space="preserve">the </w:t>
      </w:r>
      <w:r w:rsidR="00463E8D" w:rsidRPr="007A10B8">
        <w:t>treatment;</w:t>
      </w:r>
    </w:p>
    <w:p w14:paraId="256D41AC" w14:textId="1F15FC84" w:rsidR="00B75609" w:rsidRDefault="00186452" w:rsidP="00186452">
      <w:pPr>
        <w:pStyle w:val="paragraph"/>
      </w:pPr>
      <w:r>
        <w:tab/>
        <w:t>(</w:t>
      </w:r>
      <w:r w:rsidR="00DC4F5E">
        <w:t>g</w:t>
      </w:r>
      <w:r>
        <w:t>)</w:t>
      </w:r>
      <w:r>
        <w:tab/>
      </w:r>
      <w:proofErr w:type="gramStart"/>
      <w:r w:rsidR="000A6965">
        <w:t>t</w:t>
      </w:r>
      <w:r w:rsidR="00B75609">
        <w:t>he</w:t>
      </w:r>
      <w:proofErr w:type="gramEnd"/>
      <w:r w:rsidR="00B75609">
        <w:t xml:space="preserve"> person agreed to participate in </w:t>
      </w:r>
      <w:r w:rsidR="00EE3F1A">
        <w:t xml:space="preserve">the </w:t>
      </w:r>
      <w:r w:rsidR="00B75609">
        <w:t xml:space="preserve">treatment </w:t>
      </w:r>
      <w:r w:rsidR="00492A36">
        <w:t>but</w:t>
      </w:r>
      <w:r w:rsidR="00B75609">
        <w:t>, despite taking all reasonable steps</w:t>
      </w:r>
      <w:r w:rsidR="00982ACF">
        <w:t xml:space="preserve"> to commence </w:t>
      </w:r>
      <w:r w:rsidR="00414BD4">
        <w:t xml:space="preserve">the </w:t>
      </w:r>
      <w:r w:rsidR="00982ACF">
        <w:t>treatment</w:t>
      </w:r>
      <w:r w:rsidR="00B75609">
        <w:t>,</w:t>
      </w:r>
      <w:r w:rsidR="00982ACF">
        <w:t xml:space="preserve"> </w:t>
      </w:r>
      <w:r w:rsidR="00414BD4">
        <w:t xml:space="preserve">the </w:t>
      </w:r>
      <w:r w:rsidR="00982ACF">
        <w:t>treatment</w:t>
      </w:r>
      <w:r w:rsidR="00B75609">
        <w:t xml:space="preserve"> </w:t>
      </w:r>
      <w:r w:rsidR="00EE3F1A">
        <w:t xml:space="preserve">did </w:t>
      </w:r>
      <w:r w:rsidR="00B75609">
        <w:t>not commence;</w:t>
      </w:r>
      <w:r>
        <w:t xml:space="preserve"> or</w:t>
      </w:r>
    </w:p>
    <w:p w14:paraId="6B7D20D9" w14:textId="43F47C2D" w:rsidR="00282129" w:rsidRDefault="00186452" w:rsidP="00281457">
      <w:pPr>
        <w:pStyle w:val="paragraph"/>
      </w:pPr>
      <w:r>
        <w:tab/>
        <w:t>(</w:t>
      </w:r>
      <w:r w:rsidR="00DC4F5E">
        <w:t>h</w:t>
      </w:r>
      <w:r>
        <w:t>)</w:t>
      </w:r>
      <w:r>
        <w:tab/>
      </w:r>
      <w:proofErr w:type="gramStart"/>
      <w:r w:rsidR="00492A36">
        <w:t>before</w:t>
      </w:r>
      <w:proofErr w:type="gramEnd"/>
      <w:r w:rsidR="00492A36">
        <w:t xml:space="preserve"> the person was referred to the treatment, </w:t>
      </w:r>
      <w:r w:rsidR="00463E8D" w:rsidRPr="004828D0">
        <w:t>the person</w:t>
      </w:r>
      <w:r w:rsidR="00194DF5">
        <w:t xml:space="preserve"> </w:t>
      </w:r>
      <w:r w:rsidR="00492A36">
        <w:t>had</w:t>
      </w:r>
      <w:r w:rsidR="00282129">
        <w:t>:</w:t>
      </w:r>
    </w:p>
    <w:p w14:paraId="3A621BF8" w14:textId="2AB23FF0" w:rsidR="00E10145" w:rsidRDefault="006A6EEF" w:rsidP="00A840F5">
      <w:pPr>
        <w:pStyle w:val="paragraphsub"/>
      </w:pPr>
      <w:r>
        <w:tab/>
      </w:r>
      <w:r w:rsidR="00282129">
        <w:t>(</w:t>
      </w:r>
      <w:proofErr w:type="spellStart"/>
      <w:r w:rsidR="00282129">
        <w:t>i</w:t>
      </w:r>
      <w:proofErr w:type="spellEnd"/>
      <w:r w:rsidR="00282129">
        <w:t>)</w:t>
      </w:r>
      <w:r w:rsidR="00605060">
        <w:tab/>
      </w:r>
      <w:proofErr w:type="gramStart"/>
      <w:r w:rsidR="00463E8D" w:rsidRPr="004828D0">
        <w:t>completed</w:t>
      </w:r>
      <w:proofErr w:type="gramEnd"/>
      <w:r w:rsidR="00463E8D" w:rsidRPr="004828D0">
        <w:t xml:space="preserve"> the </w:t>
      </w:r>
      <w:r w:rsidR="00492A36">
        <w:t xml:space="preserve">same type of </w:t>
      </w:r>
      <w:r w:rsidR="00463E8D" w:rsidRPr="004828D0">
        <w:t>treatment</w:t>
      </w:r>
      <w:r w:rsidR="00492A36">
        <w:t xml:space="preserve"> as the treatment they were referred to</w:t>
      </w:r>
      <w:r w:rsidR="00282129">
        <w:t>;</w:t>
      </w:r>
      <w:r w:rsidR="00E10145">
        <w:t xml:space="preserve"> </w:t>
      </w:r>
      <w:r w:rsidR="00463E8D" w:rsidRPr="004828D0">
        <w:t>or</w:t>
      </w:r>
    </w:p>
    <w:p w14:paraId="60D7CBBD" w14:textId="3DEEBDE7" w:rsidR="00282129" w:rsidRDefault="006A6EEF" w:rsidP="00A840F5">
      <w:pPr>
        <w:pStyle w:val="paragraphsub"/>
      </w:pPr>
      <w:r>
        <w:tab/>
      </w:r>
      <w:r w:rsidR="00E10145">
        <w:t>(</w:t>
      </w:r>
      <w:proofErr w:type="gramStart"/>
      <w:r w:rsidR="00E10145">
        <w:t>ii</w:t>
      </w:r>
      <w:proofErr w:type="gramEnd"/>
      <w:r w:rsidR="00E10145">
        <w:t>)</w:t>
      </w:r>
      <w:r w:rsidR="00605060">
        <w:tab/>
      </w:r>
      <w:r w:rsidR="00AC29EC">
        <w:t>completed</w:t>
      </w:r>
      <w:r w:rsidR="00E10145">
        <w:t xml:space="preserve"> </w:t>
      </w:r>
      <w:r w:rsidR="00463E8D" w:rsidRPr="004828D0">
        <w:t>treatment</w:t>
      </w:r>
      <w:r w:rsidR="00E10145">
        <w:t xml:space="preserve"> </w:t>
      </w:r>
      <w:r w:rsidR="00463E8D" w:rsidRPr="004828D0">
        <w:t>that</w:t>
      </w:r>
      <w:r w:rsidR="00E10145">
        <w:t xml:space="preserve"> </w:t>
      </w:r>
      <w:r w:rsidR="005C474D">
        <w:t>was</w:t>
      </w:r>
      <w:r w:rsidR="00E10145">
        <w:t xml:space="preserve"> substantially similar to </w:t>
      </w:r>
      <w:r w:rsidR="00492A36">
        <w:t>the treatment they were referred to</w:t>
      </w:r>
      <w:r w:rsidR="00282129">
        <w:t>;</w:t>
      </w:r>
    </w:p>
    <w:p w14:paraId="51AFF8E9" w14:textId="77777777" w:rsidR="000A6965" w:rsidRDefault="00A851EB" w:rsidP="008D4BB2">
      <w:pPr>
        <w:pStyle w:val="paragraph"/>
        <w:ind w:firstLine="0"/>
      </w:pPr>
      <w:proofErr w:type="gramStart"/>
      <w:r>
        <w:t>and</w:t>
      </w:r>
      <w:proofErr w:type="gramEnd"/>
      <w:r>
        <w:t xml:space="preserve">, in the opinion of </w:t>
      </w:r>
      <w:r w:rsidR="00152709">
        <w:t xml:space="preserve">an </w:t>
      </w:r>
      <w:r>
        <w:t xml:space="preserve">appropriately qualified </w:t>
      </w:r>
      <w:r w:rsidR="00152709">
        <w:t>medical professional</w:t>
      </w:r>
      <w:r>
        <w:t>,</w:t>
      </w:r>
      <w:r w:rsidR="00152709">
        <w:t xml:space="preserve"> the</w:t>
      </w:r>
      <w:r w:rsidR="002970CC">
        <w:t xml:space="preserve"> </w:t>
      </w:r>
      <w:r w:rsidR="00152709">
        <w:t xml:space="preserve">person </w:t>
      </w:r>
      <w:r>
        <w:t>would not benefit from</w:t>
      </w:r>
      <w:r w:rsidR="00F37E0E">
        <w:t xml:space="preserve"> </w:t>
      </w:r>
      <w:r w:rsidR="002220A5">
        <w:t xml:space="preserve">further </w:t>
      </w:r>
      <w:r>
        <w:t>treatment</w:t>
      </w:r>
      <w:r w:rsidR="00492A36">
        <w:t xml:space="preserve"> of the same kind as the type of treatment already completed by the person</w:t>
      </w:r>
      <w:r w:rsidR="00FE5DE1">
        <w:t>.</w:t>
      </w:r>
    </w:p>
    <w:p w14:paraId="66ECE805" w14:textId="77777777" w:rsidR="00463E8D" w:rsidRDefault="00186452" w:rsidP="00186452">
      <w:pPr>
        <w:pStyle w:val="paragraph"/>
      </w:pPr>
      <w:r>
        <w:tab/>
      </w:r>
      <w:r w:rsidR="00F37E0E">
        <w:t xml:space="preserve"> </w:t>
      </w:r>
    </w:p>
    <w:p w14:paraId="298DFECE" w14:textId="77777777" w:rsidR="00554826" w:rsidRDefault="00554826" w:rsidP="00BD6A0D">
      <w:pPr>
        <w:pStyle w:val="paragraphsub"/>
        <w:ind w:left="0" w:firstLine="0"/>
      </w:pPr>
    </w:p>
    <w:sectPr w:rsidR="00554826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86265" w14:textId="77777777" w:rsidR="00EE5BAA" w:rsidRDefault="00EE5BAA" w:rsidP="00715914">
      <w:pPr>
        <w:spacing w:line="240" w:lineRule="auto"/>
      </w:pPr>
      <w:r>
        <w:separator/>
      </w:r>
    </w:p>
  </w:endnote>
  <w:endnote w:type="continuationSeparator" w:id="0">
    <w:p w14:paraId="5FAA2C6C" w14:textId="77777777" w:rsidR="00EE5BAA" w:rsidRDefault="00EE5BA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98F8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0F0C2A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04549C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2EB658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203D">
            <w:rPr>
              <w:i/>
              <w:noProof/>
              <w:sz w:val="18"/>
            </w:rPr>
            <w:t>Social Security (Administration) (Reasonable Excuse – Participation Payments)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16275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988D96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68260E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20A0BA1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06E5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1860862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C4E54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9BC18E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203D">
            <w:rPr>
              <w:i/>
              <w:noProof/>
              <w:sz w:val="18"/>
            </w:rPr>
            <w:t>Social Security (Administration) (Reasonable Excuse – Participation Payments)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5D67B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4690F3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07B2F4" w14:textId="77777777" w:rsidR="0072147A" w:rsidRDefault="0072147A" w:rsidP="00A369E3">
          <w:pPr>
            <w:rPr>
              <w:sz w:val="18"/>
            </w:rPr>
          </w:pPr>
        </w:p>
      </w:tc>
    </w:tr>
  </w:tbl>
  <w:p w14:paraId="6D7A4D68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85D52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71A339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40BDA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B85F4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2ADAD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33AC8C8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ECD6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22EFFD2E" w14:textId="77777777" w:rsidTr="00A87A58">
      <w:tc>
        <w:tcPr>
          <w:tcW w:w="365" w:type="pct"/>
        </w:tcPr>
        <w:p w14:paraId="6A2BAE6E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8CF9804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203D">
            <w:rPr>
              <w:i/>
              <w:noProof/>
              <w:sz w:val="18"/>
            </w:rPr>
            <w:t>Social Security (Administration) (Reasonable Excuse – Participation Payments)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F07A273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CCA3424" w14:textId="77777777" w:rsidTr="00A87A58">
      <w:tc>
        <w:tcPr>
          <w:tcW w:w="5000" w:type="pct"/>
          <w:gridSpan w:val="3"/>
        </w:tcPr>
        <w:p w14:paraId="6BD09AA9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343F0E8A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2F41F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5FCD139" w14:textId="77777777" w:rsidTr="00A87A58">
      <w:tc>
        <w:tcPr>
          <w:tcW w:w="947" w:type="pct"/>
        </w:tcPr>
        <w:p w14:paraId="794C4B1C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EEA6921" w14:textId="23642190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52DD">
            <w:rPr>
              <w:i/>
              <w:noProof/>
              <w:sz w:val="18"/>
            </w:rPr>
            <w:t>Social Security (Administration) (Reasonable Excuse – Participation Payments)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1D00FDA" w14:textId="64B8ED4F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52D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5CEC495" w14:textId="77777777" w:rsidTr="00A87A58">
      <w:tc>
        <w:tcPr>
          <w:tcW w:w="5000" w:type="pct"/>
          <w:gridSpan w:val="3"/>
        </w:tcPr>
        <w:p w14:paraId="6EF345EF" w14:textId="77777777" w:rsidR="00F6696E" w:rsidRDefault="00F6696E" w:rsidP="000850AC">
          <w:pPr>
            <w:rPr>
              <w:sz w:val="18"/>
            </w:rPr>
          </w:pPr>
        </w:p>
      </w:tc>
    </w:tr>
  </w:tbl>
  <w:p w14:paraId="68584B30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863E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EC071A6" w14:textId="77777777" w:rsidTr="00A87A58">
      <w:tc>
        <w:tcPr>
          <w:tcW w:w="365" w:type="pct"/>
        </w:tcPr>
        <w:p w14:paraId="528DD1E3" w14:textId="4045E50D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52D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5B9CF0D" w14:textId="0F90D9E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52DD">
            <w:rPr>
              <w:i/>
              <w:noProof/>
              <w:sz w:val="18"/>
            </w:rPr>
            <w:t>Social Security (Administration) (Reasonable Excuse – Participation Payments)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448FA8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9F9BBD3" w14:textId="77777777" w:rsidTr="00A87A58">
      <w:tc>
        <w:tcPr>
          <w:tcW w:w="5000" w:type="pct"/>
          <w:gridSpan w:val="3"/>
        </w:tcPr>
        <w:p w14:paraId="17D4CE44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CA78589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AB2F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439817D" w14:textId="77777777" w:rsidTr="00A87A58">
      <w:tc>
        <w:tcPr>
          <w:tcW w:w="947" w:type="pct"/>
        </w:tcPr>
        <w:p w14:paraId="4DB0525F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054D989" w14:textId="5229997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C55FD">
            <w:rPr>
              <w:i/>
              <w:noProof/>
              <w:sz w:val="18"/>
            </w:rPr>
            <w:t>Social Security (Administration) (Reasonable Excuse – Participation Payments)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2A1A23" w14:textId="0EA8FF11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55F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B1F06C4" w14:textId="77777777" w:rsidTr="00A87A58">
      <w:tc>
        <w:tcPr>
          <w:tcW w:w="5000" w:type="pct"/>
          <w:gridSpan w:val="3"/>
        </w:tcPr>
        <w:p w14:paraId="1D29794B" w14:textId="77777777" w:rsidR="008C2EAC" w:rsidRDefault="008C2EAC" w:rsidP="000850AC">
          <w:pPr>
            <w:rPr>
              <w:sz w:val="18"/>
            </w:rPr>
          </w:pPr>
        </w:p>
      </w:tc>
    </w:tr>
  </w:tbl>
  <w:p w14:paraId="505362D8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DA52D" w14:textId="77777777" w:rsidR="00EE5BAA" w:rsidRDefault="00EE5BAA" w:rsidP="00715914">
      <w:pPr>
        <w:spacing w:line="240" w:lineRule="auto"/>
      </w:pPr>
      <w:r>
        <w:separator/>
      </w:r>
    </w:p>
  </w:footnote>
  <w:footnote w:type="continuationSeparator" w:id="0">
    <w:p w14:paraId="2173247E" w14:textId="77777777" w:rsidR="00EE5BAA" w:rsidRDefault="00EE5BA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CB38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B998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DCBE2" w14:textId="77777777" w:rsidR="00D17EDA" w:rsidRDefault="00D17E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F532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F5A2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7D1D4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751FD" w14:textId="77777777" w:rsidR="004E1307" w:rsidRDefault="004E1307" w:rsidP="00715914">
    <w:pPr>
      <w:rPr>
        <w:sz w:val="20"/>
      </w:rPr>
    </w:pPr>
  </w:p>
  <w:p w14:paraId="7441540A" w14:textId="77777777" w:rsidR="004E1307" w:rsidRDefault="004E1307" w:rsidP="00715914">
    <w:pPr>
      <w:rPr>
        <w:sz w:val="20"/>
      </w:rPr>
    </w:pPr>
  </w:p>
  <w:p w14:paraId="0941EAAA" w14:textId="77777777" w:rsidR="004E1307" w:rsidRPr="007A1328" w:rsidRDefault="004E1307" w:rsidP="00715914">
    <w:pPr>
      <w:rPr>
        <w:sz w:val="20"/>
      </w:rPr>
    </w:pPr>
  </w:p>
  <w:p w14:paraId="40D425F1" w14:textId="77777777" w:rsidR="004E1307" w:rsidRPr="007A1328" w:rsidRDefault="004E1307" w:rsidP="00715914">
    <w:pPr>
      <w:rPr>
        <w:b/>
        <w:sz w:val="24"/>
      </w:rPr>
    </w:pPr>
  </w:p>
  <w:p w14:paraId="25C0728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62EA2" w14:textId="77777777" w:rsidR="004E1307" w:rsidRPr="007A1328" w:rsidRDefault="004E1307" w:rsidP="00715914">
    <w:pPr>
      <w:jc w:val="right"/>
      <w:rPr>
        <w:sz w:val="20"/>
      </w:rPr>
    </w:pPr>
  </w:p>
  <w:p w14:paraId="5C27B0ED" w14:textId="77777777" w:rsidR="004E1307" w:rsidRPr="007A1328" w:rsidRDefault="004E1307" w:rsidP="00715914">
    <w:pPr>
      <w:jc w:val="right"/>
      <w:rPr>
        <w:sz w:val="20"/>
      </w:rPr>
    </w:pPr>
  </w:p>
  <w:p w14:paraId="79BB5726" w14:textId="77777777" w:rsidR="004E1307" w:rsidRPr="007A1328" w:rsidRDefault="004E1307" w:rsidP="00715914">
    <w:pPr>
      <w:jc w:val="right"/>
      <w:rPr>
        <w:sz w:val="20"/>
      </w:rPr>
    </w:pPr>
  </w:p>
  <w:p w14:paraId="230B51F4" w14:textId="77777777" w:rsidR="004E1307" w:rsidRPr="007A1328" w:rsidRDefault="004E1307" w:rsidP="00715914">
    <w:pPr>
      <w:jc w:val="right"/>
      <w:rPr>
        <w:b/>
        <w:sz w:val="24"/>
      </w:rPr>
    </w:pPr>
  </w:p>
  <w:p w14:paraId="0453CEF1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169A1" w14:textId="77777777" w:rsidR="00D17EDA" w:rsidRDefault="00D17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02ED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B095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3036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DC3F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849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B867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125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848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18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22B3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F2646"/>
    <w:multiLevelType w:val="hybridMultilevel"/>
    <w:tmpl w:val="DA545236"/>
    <w:lvl w:ilvl="0" w:tplc="B714338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060C314D"/>
    <w:multiLevelType w:val="hybridMultilevel"/>
    <w:tmpl w:val="1A860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B48C3"/>
    <w:multiLevelType w:val="hybridMultilevel"/>
    <w:tmpl w:val="DF1008B4"/>
    <w:lvl w:ilvl="0" w:tplc="22CA07F6">
      <w:start w:val="2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50E6299"/>
    <w:multiLevelType w:val="hybridMultilevel"/>
    <w:tmpl w:val="BFEC3BCE"/>
    <w:lvl w:ilvl="0" w:tplc="4F3AC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78E88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E1E94"/>
    <w:multiLevelType w:val="hybridMultilevel"/>
    <w:tmpl w:val="83F4B824"/>
    <w:lvl w:ilvl="0" w:tplc="4F3AC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19C05ED"/>
    <w:multiLevelType w:val="hybridMultilevel"/>
    <w:tmpl w:val="0134803E"/>
    <w:lvl w:ilvl="0" w:tplc="A06CEF6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2D20825"/>
    <w:multiLevelType w:val="hybridMultilevel"/>
    <w:tmpl w:val="71E017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35648"/>
    <w:multiLevelType w:val="hybridMultilevel"/>
    <w:tmpl w:val="84CCE7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059C0"/>
    <w:multiLevelType w:val="hybridMultilevel"/>
    <w:tmpl w:val="6608A0E0"/>
    <w:lvl w:ilvl="0" w:tplc="6E647DF4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567D37B2"/>
    <w:multiLevelType w:val="hybridMultilevel"/>
    <w:tmpl w:val="F8B01B1C"/>
    <w:lvl w:ilvl="0" w:tplc="4BA444DA">
      <w:start w:val="1"/>
      <w:numFmt w:val="lowerLetter"/>
      <w:lvlText w:val="(%1)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1" w:tplc="2F58ACD0">
      <w:start w:val="1"/>
      <w:numFmt w:val="lowerRoman"/>
      <w:lvlText w:val="(%2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142B8C"/>
    <w:multiLevelType w:val="hybridMultilevel"/>
    <w:tmpl w:val="9940B784"/>
    <w:lvl w:ilvl="0" w:tplc="57F0F408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A55472C"/>
    <w:multiLevelType w:val="hybridMultilevel"/>
    <w:tmpl w:val="04CC74AA"/>
    <w:lvl w:ilvl="0" w:tplc="4F3AC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78E88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9847BB8">
      <w:start w:val="1"/>
      <w:numFmt w:val="lowerLetter"/>
      <w:lvlText w:val="(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37DB9"/>
    <w:multiLevelType w:val="hybridMultilevel"/>
    <w:tmpl w:val="E8CC6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51CC5"/>
    <w:multiLevelType w:val="hybridMultilevel"/>
    <w:tmpl w:val="4648C374"/>
    <w:lvl w:ilvl="0" w:tplc="4F3AC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8EED1F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B57A9046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61991"/>
    <w:multiLevelType w:val="hybridMultilevel"/>
    <w:tmpl w:val="66621B4A"/>
    <w:lvl w:ilvl="0" w:tplc="11F08CF0">
      <w:start w:val="1"/>
      <w:numFmt w:val="lowerLetter"/>
      <w:lvlText w:val="(%1)"/>
      <w:lvlJc w:val="left"/>
      <w:pPr>
        <w:ind w:left="1800" w:hanging="360"/>
      </w:pPr>
      <w:rPr>
        <w:rFonts w:eastAsiaTheme="minorHAnsi" w:cstheme="minorBidi"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1D372B"/>
    <w:multiLevelType w:val="hybridMultilevel"/>
    <w:tmpl w:val="6E80B5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74708"/>
    <w:multiLevelType w:val="hybridMultilevel"/>
    <w:tmpl w:val="97F2B240"/>
    <w:lvl w:ilvl="0" w:tplc="78EED1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5D0EF0"/>
    <w:multiLevelType w:val="hybridMultilevel"/>
    <w:tmpl w:val="D174CD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975425"/>
    <w:multiLevelType w:val="hybridMultilevel"/>
    <w:tmpl w:val="6352A5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30759"/>
    <w:multiLevelType w:val="hybridMultilevel"/>
    <w:tmpl w:val="50EE38EE"/>
    <w:lvl w:ilvl="0" w:tplc="F3E082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2"/>
  </w:num>
  <w:num w:numId="13">
    <w:abstractNumId w:val="16"/>
  </w:num>
  <w:num w:numId="14">
    <w:abstractNumId w:val="28"/>
  </w:num>
  <w:num w:numId="15">
    <w:abstractNumId w:val="19"/>
  </w:num>
  <w:num w:numId="16">
    <w:abstractNumId w:val="30"/>
  </w:num>
  <w:num w:numId="17">
    <w:abstractNumId w:val="18"/>
  </w:num>
  <w:num w:numId="18">
    <w:abstractNumId w:val="26"/>
  </w:num>
  <w:num w:numId="19">
    <w:abstractNumId w:val="22"/>
  </w:num>
  <w:num w:numId="20">
    <w:abstractNumId w:val="27"/>
  </w:num>
  <w:num w:numId="21">
    <w:abstractNumId w:val="13"/>
  </w:num>
  <w:num w:numId="22">
    <w:abstractNumId w:val="15"/>
  </w:num>
  <w:num w:numId="23">
    <w:abstractNumId w:val="14"/>
  </w:num>
  <w:num w:numId="24">
    <w:abstractNumId w:val="29"/>
  </w:num>
  <w:num w:numId="25">
    <w:abstractNumId w:val="24"/>
  </w:num>
  <w:num w:numId="26">
    <w:abstractNumId w:val="23"/>
  </w:num>
  <w:num w:numId="27">
    <w:abstractNumId w:val="20"/>
  </w:num>
  <w:num w:numId="28">
    <w:abstractNumId w:val="11"/>
  </w:num>
  <w:num w:numId="29">
    <w:abstractNumId w:val="31"/>
  </w:num>
  <w:num w:numId="30">
    <w:abstractNumId w:val="25"/>
  </w:num>
  <w:num w:numId="31">
    <w:abstractNumId w:val="10"/>
  </w:num>
  <w:num w:numId="32">
    <w:abstractNumId w:val="1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F1"/>
    <w:rsid w:val="00004174"/>
    <w:rsid w:val="00004470"/>
    <w:rsid w:val="000136AF"/>
    <w:rsid w:val="00020C55"/>
    <w:rsid w:val="000246DC"/>
    <w:rsid w:val="000258B1"/>
    <w:rsid w:val="00040A89"/>
    <w:rsid w:val="000437C1"/>
    <w:rsid w:val="0004455A"/>
    <w:rsid w:val="0005365D"/>
    <w:rsid w:val="00054A26"/>
    <w:rsid w:val="000614BF"/>
    <w:rsid w:val="0006709C"/>
    <w:rsid w:val="00072D2E"/>
    <w:rsid w:val="00074376"/>
    <w:rsid w:val="00081DA0"/>
    <w:rsid w:val="000978F5"/>
    <w:rsid w:val="000A0DF1"/>
    <w:rsid w:val="000A0F90"/>
    <w:rsid w:val="000A1AA1"/>
    <w:rsid w:val="000A6965"/>
    <w:rsid w:val="000B15CD"/>
    <w:rsid w:val="000B35EB"/>
    <w:rsid w:val="000C3F12"/>
    <w:rsid w:val="000C7AFD"/>
    <w:rsid w:val="000D05EF"/>
    <w:rsid w:val="000D2C34"/>
    <w:rsid w:val="000E076E"/>
    <w:rsid w:val="000E2261"/>
    <w:rsid w:val="000E78B7"/>
    <w:rsid w:val="000F16F1"/>
    <w:rsid w:val="000F1DB9"/>
    <w:rsid w:val="000F21C1"/>
    <w:rsid w:val="00100DEA"/>
    <w:rsid w:val="00106784"/>
    <w:rsid w:val="0010745C"/>
    <w:rsid w:val="001107EE"/>
    <w:rsid w:val="00132CEB"/>
    <w:rsid w:val="001339B0"/>
    <w:rsid w:val="00142B62"/>
    <w:rsid w:val="001441B7"/>
    <w:rsid w:val="001516CB"/>
    <w:rsid w:val="00151C8B"/>
    <w:rsid w:val="00152336"/>
    <w:rsid w:val="00152709"/>
    <w:rsid w:val="00157B8B"/>
    <w:rsid w:val="00166C2F"/>
    <w:rsid w:val="001778F8"/>
    <w:rsid w:val="001809D7"/>
    <w:rsid w:val="00186452"/>
    <w:rsid w:val="001939E1"/>
    <w:rsid w:val="00194C3E"/>
    <w:rsid w:val="00194DF5"/>
    <w:rsid w:val="00195382"/>
    <w:rsid w:val="00196D14"/>
    <w:rsid w:val="001B2CB6"/>
    <w:rsid w:val="001B4398"/>
    <w:rsid w:val="001C0A51"/>
    <w:rsid w:val="001C61C5"/>
    <w:rsid w:val="001C69C4"/>
    <w:rsid w:val="001D37EF"/>
    <w:rsid w:val="001D5962"/>
    <w:rsid w:val="001E3590"/>
    <w:rsid w:val="001E7407"/>
    <w:rsid w:val="001F312A"/>
    <w:rsid w:val="001F5D5E"/>
    <w:rsid w:val="001F6219"/>
    <w:rsid w:val="001F6CD4"/>
    <w:rsid w:val="00206C4D"/>
    <w:rsid w:val="0020726B"/>
    <w:rsid w:val="002106A1"/>
    <w:rsid w:val="00215AF1"/>
    <w:rsid w:val="002220A5"/>
    <w:rsid w:val="00222256"/>
    <w:rsid w:val="002261EC"/>
    <w:rsid w:val="002321E8"/>
    <w:rsid w:val="00232984"/>
    <w:rsid w:val="0024010F"/>
    <w:rsid w:val="00240749"/>
    <w:rsid w:val="00243018"/>
    <w:rsid w:val="0024433D"/>
    <w:rsid w:val="0025209F"/>
    <w:rsid w:val="002564A4"/>
    <w:rsid w:val="00256599"/>
    <w:rsid w:val="00256682"/>
    <w:rsid w:val="00262A6A"/>
    <w:rsid w:val="0026736C"/>
    <w:rsid w:val="00270927"/>
    <w:rsid w:val="0027295D"/>
    <w:rsid w:val="00281308"/>
    <w:rsid w:val="00281457"/>
    <w:rsid w:val="00282129"/>
    <w:rsid w:val="00284719"/>
    <w:rsid w:val="002970CC"/>
    <w:rsid w:val="00297ECB"/>
    <w:rsid w:val="002A7BCF"/>
    <w:rsid w:val="002B60EE"/>
    <w:rsid w:val="002C2C77"/>
    <w:rsid w:val="002C3FD1"/>
    <w:rsid w:val="002C4949"/>
    <w:rsid w:val="002D043A"/>
    <w:rsid w:val="002D266B"/>
    <w:rsid w:val="002D6224"/>
    <w:rsid w:val="00304F8B"/>
    <w:rsid w:val="003268BC"/>
    <w:rsid w:val="00332504"/>
    <w:rsid w:val="00335BC6"/>
    <w:rsid w:val="003415D3"/>
    <w:rsid w:val="00344338"/>
    <w:rsid w:val="00344701"/>
    <w:rsid w:val="00352B0F"/>
    <w:rsid w:val="00360459"/>
    <w:rsid w:val="0038049F"/>
    <w:rsid w:val="00391FBE"/>
    <w:rsid w:val="00396B0D"/>
    <w:rsid w:val="003A6419"/>
    <w:rsid w:val="003C6231"/>
    <w:rsid w:val="003C7751"/>
    <w:rsid w:val="003D0BFE"/>
    <w:rsid w:val="003D41D9"/>
    <w:rsid w:val="003D4460"/>
    <w:rsid w:val="003D5700"/>
    <w:rsid w:val="003D7FC8"/>
    <w:rsid w:val="003E341B"/>
    <w:rsid w:val="003E42C1"/>
    <w:rsid w:val="003E4D00"/>
    <w:rsid w:val="003F7D91"/>
    <w:rsid w:val="0040540C"/>
    <w:rsid w:val="004116CD"/>
    <w:rsid w:val="00414BD4"/>
    <w:rsid w:val="00417EB9"/>
    <w:rsid w:val="00424CA9"/>
    <w:rsid w:val="004276DF"/>
    <w:rsid w:val="00431E9B"/>
    <w:rsid w:val="00437283"/>
    <w:rsid w:val="004379E3"/>
    <w:rsid w:val="0044015E"/>
    <w:rsid w:val="0044291A"/>
    <w:rsid w:val="00450437"/>
    <w:rsid w:val="004545C5"/>
    <w:rsid w:val="00457FC4"/>
    <w:rsid w:val="00463E8D"/>
    <w:rsid w:val="00467307"/>
    <w:rsid w:val="00467661"/>
    <w:rsid w:val="00472DBE"/>
    <w:rsid w:val="0047422D"/>
    <w:rsid w:val="00474A19"/>
    <w:rsid w:val="00477830"/>
    <w:rsid w:val="00480EF2"/>
    <w:rsid w:val="00487764"/>
    <w:rsid w:val="00492A36"/>
    <w:rsid w:val="00495259"/>
    <w:rsid w:val="00495378"/>
    <w:rsid w:val="00496F97"/>
    <w:rsid w:val="004B6C48"/>
    <w:rsid w:val="004C3C6A"/>
    <w:rsid w:val="004C4E59"/>
    <w:rsid w:val="004C6809"/>
    <w:rsid w:val="004D1834"/>
    <w:rsid w:val="004E063A"/>
    <w:rsid w:val="004E1307"/>
    <w:rsid w:val="004E7BEC"/>
    <w:rsid w:val="004F15C9"/>
    <w:rsid w:val="00505D3D"/>
    <w:rsid w:val="00506AF6"/>
    <w:rsid w:val="00516B8D"/>
    <w:rsid w:val="0052041F"/>
    <w:rsid w:val="005303C8"/>
    <w:rsid w:val="00532868"/>
    <w:rsid w:val="00537FBC"/>
    <w:rsid w:val="0054381B"/>
    <w:rsid w:val="00554826"/>
    <w:rsid w:val="00563131"/>
    <w:rsid w:val="00572E28"/>
    <w:rsid w:val="0057741A"/>
    <w:rsid w:val="00577AA7"/>
    <w:rsid w:val="00584811"/>
    <w:rsid w:val="00585784"/>
    <w:rsid w:val="00585BA4"/>
    <w:rsid w:val="00593AA6"/>
    <w:rsid w:val="00594161"/>
    <w:rsid w:val="00594749"/>
    <w:rsid w:val="005A65D5"/>
    <w:rsid w:val="005A7A12"/>
    <w:rsid w:val="005B4067"/>
    <w:rsid w:val="005C3F41"/>
    <w:rsid w:val="005C474D"/>
    <w:rsid w:val="005D1D92"/>
    <w:rsid w:val="005D2D09"/>
    <w:rsid w:val="005D5FD5"/>
    <w:rsid w:val="005E48AA"/>
    <w:rsid w:val="005F23F7"/>
    <w:rsid w:val="00600219"/>
    <w:rsid w:val="00604F2A"/>
    <w:rsid w:val="00605060"/>
    <w:rsid w:val="00617BA9"/>
    <w:rsid w:val="00620076"/>
    <w:rsid w:val="00627E0A"/>
    <w:rsid w:val="006321C7"/>
    <w:rsid w:val="00635DDE"/>
    <w:rsid w:val="00647430"/>
    <w:rsid w:val="0065488B"/>
    <w:rsid w:val="00666C9D"/>
    <w:rsid w:val="00666E1C"/>
    <w:rsid w:val="00670B57"/>
    <w:rsid w:val="00670EA1"/>
    <w:rsid w:val="00671CC4"/>
    <w:rsid w:val="006752DD"/>
    <w:rsid w:val="00677CC2"/>
    <w:rsid w:val="0068744B"/>
    <w:rsid w:val="006905DE"/>
    <w:rsid w:val="0069207B"/>
    <w:rsid w:val="00692A9E"/>
    <w:rsid w:val="00697B2F"/>
    <w:rsid w:val="006A154F"/>
    <w:rsid w:val="006A437B"/>
    <w:rsid w:val="006A6EEF"/>
    <w:rsid w:val="006B5420"/>
    <w:rsid w:val="006B5789"/>
    <w:rsid w:val="006C30C5"/>
    <w:rsid w:val="006C7F8C"/>
    <w:rsid w:val="006E2E1C"/>
    <w:rsid w:val="006E6246"/>
    <w:rsid w:val="006E69C2"/>
    <w:rsid w:val="006E6DCC"/>
    <w:rsid w:val="006F1E89"/>
    <w:rsid w:val="006F318F"/>
    <w:rsid w:val="0070017E"/>
    <w:rsid w:val="00700B2C"/>
    <w:rsid w:val="00703A7E"/>
    <w:rsid w:val="007050A2"/>
    <w:rsid w:val="00713084"/>
    <w:rsid w:val="00714F20"/>
    <w:rsid w:val="0071590F"/>
    <w:rsid w:val="00715914"/>
    <w:rsid w:val="0072147A"/>
    <w:rsid w:val="00723791"/>
    <w:rsid w:val="00725E5E"/>
    <w:rsid w:val="00731E00"/>
    <w:rsid w:val="0074182C"/>
    <w:rsid w:val="007440B7"/>
    <w:rsid w:val="007500C8"/>
    <w:rsid w:val="00752DF6"/>
    <w:rsid w:val="00756272"/>
    <w:rsid w:val="00762D38"/>
    <w:rsid w:val="007715C9"/>
    <w:rsid w:val="00771613"/>
    <w:rsid w:val="0077469C"/>
    <w:rsid w:val="00774EDD"/>
    <w:rsid w:val="007757EC"/>
    <w:rsid w:val="00782DF5"/>
    <w:rsid w:val="00783C7B"/>
    <w:rsid w:val="00783E89"/>
    <w:rsid w:val="00787460"/>
    <w:rsid w:val="00793915"/>
    <w:rsid w:val="00796AEA"/>
    <w:rsid w:val="007A122C"/>
    <w:rsid w:val="007A381C"/>
    <w:rsid w:val="007C12F2"/>
    <w:rsid w:val="007C2253"/>
    <w:rsid w:val="007C626C"/>
    <w:rsid w:val="007D2B07"/>
    <w:rsid w:val="007D7911"/>
    <w:rsid w:val="007E163D"/>
    <w:rsid w:val="007E667A"/>
    <w:rsid w:val="007F0692"/>
    <w:rsid w:val="007F28C9"/>
    <w:rsid w:val="007F51B2"/>
    <w:rsid w:val="008040DD"/>
    <w:rsid w:val="00804E43"/>
    <w:rsid w:val="0081031C"/>
    <w:rsid w:val="00811551"/>
    <w:rsid w:val="008117E9"/>
    <w:rsid w:val="00824498"/>
    <w:rsid w:val="00826BD1"/>
    <w:rsid w:val="00830BC2"/>
    <w:rsid w:val="00836AA0"/>
    <w:rsid w:val="00843DD9"/>
    <w:rsid w:val="00844248"/>
    <w:rsid w:val="00845D7B"/>
    <w:rsid w:val="0085297B"/>
    <w:rsid w:val="00854B7F"/>
    <w:rsid w:val="00854D0B"/>
    <w:rsid w:val="008556BD"/>
    <w:rsid w:val="00856A31"/>
    <w:rsid w:val="00860B4E"/>
    <w:rsid w:val="00865560"/>
    <w:rsid w:val="00867B37"/>
    <w:rsid w:val="00871D18"/>
    <w:rsid w:val="008754D0"/>
    <w:rsid w:val="00875D13"/>
    <w:rsid w:val="00882C78"/>
    <w:rsid w:val="008855C9"/>
    <w:rsid w:val="00885FED"/>
    <w:rsid w:val="00886456"/>
    <w:rsid w:val="0089438E"/>
    <w:rsid w:val="0089590C"/>
    <w:rsid w:val="00896176"/>
    <w:rsid w:val="008A46E1"/>
    <w:rsid w:val="008A4F43"/>
    <w:rsid w:val="008A50AF"/>
    <w:rsid w:val="008B2259"/>
    <w:rsid w:val="008B2706"/>
    <w:rsid w:val="008C2EAC"/>
    <w:rsid w:val="008C78B3"/>
    <w:rsid w:val="008D0EE0"/>
    <w:rsid w:val="008D4BB2"/>
    <w:rsid w:val="008D513C"/>
    <w:rsid w:val="008E0027"/>
    <w:rsid w:val="008E6067"/>
    <w:rsid w:val="008E6578"/>
    <w:rsid w:val="008F4376"/>
    <w:rsid w:val="008F54E7"/>
    <w:rsid w:val="008F6CDF"/>
    <w:rsid w:val="00903422"/>
    <w:rsid w:val="009202CC"/>
    <w:rsid w:val="009254C3"/>
    <w:rsid w:val="00931D44"/>
    <w:rsid w:val="00932377"/>
    <w:rsid w:val="009370D7"/>
    <w:rsid w:val="00941236"/>
    <w:rsid w:val="00943FD5"/>
    <w:rsid w:val="00947D5A"/>
    <w:rsid w:val="009532A5"/>
    <w:rsid w:val="009545BD"/>
    <w:rsid w:val="00963EDC"/>
    <w:rsid w:val="00964CF0"/>
    <w:rsid w:val="009656E3"/>
    <w:rsid w:val="00967B81"/>
    <w:rsid w:val="00977806"/>
    <w:rsid w:val="00982242"/>
    <w:rsid w:val="00982ACF"/>
    <w:rsid w:val="009868E9"/>
    <w:rsid w:val="009900A3"/>
    <w:rsid w:val="009C0A31"/>
    <w:rsid w:val="009C1373"/>
    <w:rsid w:val="009C3413"/>
    <w:rsid w:val="009C46BE"/>
    <w:rsid w:val="009D0F62"/>
    <w:rsid w:val="009E2A02"/>
    <w:rsid w:val="00A0441E"/>
    <w:rsid w:val="00A12128"/>
    <w:rsid w:val="00A135DE"/>
    <w:rsid w:val="00A22C98"/>
    <w:rsid w:val="00A231E2"/>
    <w:rsid w:val="00A369E3"/>
    <w:rsid w:val="00A54BDA"/>
    <w:rsid w:val="00A57600"/>
    <w:rsid w:val="00A61958"/>
    <w:rsid w:val="00A64731"/>
    <w:rsid w:val="00A64912"/>
    <w:rsid w:val="00A70A74"/>
    <w:rsid w:val="00A75FE9"/>
    <w:rsid w:val="00A80CA1"/>
    <w:rsid w:val="00A836F6"/>
    <w:rsid w:val="00A840F5"/>
    <w:rsid w:val="00A851EB"/>
    <w:rsid w:val="00A978E8"/>
    <w:rsid w:val="00AA59DC"/>
    <w:rsid w:val="00AC29EC"/>
    <w:rsid w:val="00AD00AE"/>
    <w:rsid w:val="00AD53CC"/>
    <w:rsid w:val="00AD5641"/>
    <w:rsid w:val="00AE4337"/>
    <w:rsid w:val="00AF06CF"/>
    <w:rsid w:val="00AF6B5E"/>
    <w:rsid w:val="00B07CDB"/>
    <w:rsid w:val="00B16A31"/>
    <w:rsid w:val="00B17DFD"/>
    <w:rsid w:val="00B2524A"/>
    <w:rsid w:val="00B25306"/>
    <w:rsid w:val="00B27831"/>
    <w:rsid w:val="00B308FE"/>
    <w:rsid w:val="00B33709"/>
    <w:rsid w:val="00B33B3C"/>
    <w:rsid w:val="00B349A5"/>
    <w:rsid w:val="00B36392"/>
    <w:rsid w:val="00B41792"/>
    <w:rsid w:val="00B418CB"/>
    <w:rsid w:val="00B47444"/>
    <w:rsid w:val="00B50ADC"/>
    <w:rsid w:val="00B510A9"/>
    <w:rsid w:val="00B566B1"/>
    <w:rsid w:val="00B62F03"/>
    <w:rsid w:val="00B63834"/>
    <w:rsid w:val="00B730D6"/>
    <w:rsid w:val="00B75609"/>
    <w:rsid w:val="00B75D3E"/>
    <w:rsid w:val="00B80199"/>
    <w:rsid w:val="00B801FB"/>
    <w:rsid w:val="00B83204"/>
    <w:rsid w:val="00B856E7"/>
    <w:rsid w:val="00BA200D"/>
    <w:rsid w:val="00BA220B"/>
    <w:rsid w:val="00BA3A57"/>
    <w:rsid w:val="00BA6BAF"/>
    <w:rsid w:val="00BB1533"/>
    <w:rsid w:val="00BB4E1A"/>
    <w:rsid w:val="00BC015E"/>
    <w:rsid w:val="00BC76AC"/>
    <w:rsid w:val="00BD0ECB"/>
    <w:rsid w:val="00BD6A0D"/>
    <w:rsid w:val="00BD7DE6"/>
    <w:rsid w:val="00BE2155"/>
    <w:rsid w:val="00BE719A"/>
    <w:rsid w:val="00BE720A"/>
    <w:rsid w:val="00BF0D73"/>
    <w:rsid w:val="00BF2465"/>
    <w:rsid w:val="00C02968"/>
    <w:rsid w:val="00C0362F"/>
    <w:rsid w:val="00C16619"/>
    <w:rsid w:val="00C1777E"/>
    <w:rsid w:val="00C22270"/>
    <w:rsid w:val="00C25E7F"/>
    <w:rsid w:val="00C26394"/>
    <w:rsid w:val="00C2746F"/>
    <w:rsid w:val="00C323D6"/>
    <w:rsid w:val="00C324A0"/>
    <w:rsid w:val="00C36149"/>
    <w:rsid w:val="00C40FFC"/>
    <w:rsid w:val="00C42BF8"/>
    <w:rsid w:val="00C46023"/>
    <w:rsid w:val="00C50043"/>
    <w:rsid w:val="00C50DDF"/>
    <w:rsid w:val="00C7347F"/>
    <w:rsid w:val="00C7573B"/>
    <w:rsid w:val="00C96585"/>
    <w:rsid w:val="00C97A54"/>
    <w:rsid w:val="00CA2789"/>
    <w:rsid w:val="00CA5B23"/>
    <w:rsid w:val="00CB3464"/>
    <w:rsid w:val="00CB602E"/>
    <w:rsid w:val="00CB7E90"/>
    <w:rsid w:val="00CC098C"/>
    <w:rsid w:val="00CC12B9"/>
    <w:rsid w:val="00CC43D4"/>
    <w:rsid w:val="00CE051D"/>
    <w:rsid w:val="00CE1335"/>
    <w:rsid w:val="00CE37FC"/>
    <w:rsid w:val="00CE493D"/>
    <w:rsid w:val="00CF07FA"/>
    <w:rsid w:val="00CF0BB2"/>
    <w:rsid w:val="00CF3EE8"/>
    <w:rsid w:val="00CF6A81"/>
    <w:rsid w:val="00D0345F"/>
    <w:rsid w:val="00D116E9"/>
    <w:rsid w:val="00D13441"/>
    <w:rsid w:val="00D150E7"/>
    <w:rsid w:val="00D159A5"/>
    <w:rsid w:val="00D17D9E"/>
    <w:rsid w:val="00D17EDA"/>
    <w:rsid w:val="00D23B86"/>
    <w:rsid w:val="00D443E0"/>
    <w:rsid w:val="00D52DC2"/>
    <w:rsid w:val="00D53BCC"/>
    <w:rsid w:val="00D54C9E"/>
    <w:rsid w:val="00D6024D"/>
    <w:rsid w:val="00D603B5"/>
    <w:rsid w:val="00D60BD6"/>
    <w:rsid w:val="00D6537E"/>
    <w:rsid w:val="00D70DFB"/>
    <w:rsid w:val="00D72B16"/>
    <w:rsid w:val="00D766DF"/>
    <w:rsid w:val="00D8206C"/>
    <w:rsid w:val="00D82082"/>
    <w:rsid w:val="00D82A4C"/>
    <w:rsid w:val="00D91F10"/>
    <w:rsid w:val="00D9203D"/>
    <w:rsid w:val="00DA186E"/>
    <w:rsid w:val="00DA4116"/>
    <w:rsid w:val="00DB251C"/>
    <w:rsid w:val="00DB4630"/>
    <w:rsid w:val="00DC4F5E"/>
    <w:rsid w:val="00DC4F88"/>
    <w:rsid w:val="00DC55FD"/>
    <w:rsid w:val="00DC7EF0"/>
    <w:rsid w:val="00DD1564"/>
    <w:rsid w:val="00DE107C"/>
    <w:rsid w:val="00DE4E39"/>
    <w:rsid w:val="00DF2388"/>
    <w:rsid w:val="00DF4359"/>
    <w:rsid w:val="00DF716E"/>
    <w:rsid w:val="00E05704"/>
    <w:rsid w:val="00E10145"/>
    <w:rsid w:val="00E153EA"/>
    <w:rsid w:val="00E24967"/>
    <w:rsid w:val="00E338EF"/>
    <w:rsid w:val="00E37E67"/>
    <w:rsid w:val="00E52137"/>
    <w:rsid w:val="00E544BB"/>
    <w:rsid w:val="00E57243"/>
    <w:rsid w:val="00E61546"/>
    <w:rsid w:val="00E73970"/>
    <w:rsid w:val="00E74DC7"/>
    <w:rsid w:val="00E8075A"/>
    <w:rsid w:val="00E83EA4"/>
    <w:rsid w:val="00E936FD"/>
    <w:rsid w:val="00E940D8"/>
    <w:rsid w:val="00E94D5E"/>
    <w:rsid w:val="00E96927"/>
    <w:rsid w:val="00EA4DD6"/>
    <w:rsid w:val="00EA7100"/>
    <w:rsid w:val="00EA7F9F"/>
    <w:rsid w:val="00EB1274"/>
    <w:rsid w:val="00EC23A9"/>
    <w:rsid w:val="00EC75E0"/>
    <w:rsid w:val="00ED0341"/>
    <w:rsid w:val="00ED2BB6"/>
    <w:rsid w:val="00ED2CA7"/>
    <w:rsid w:val="00ED34E1"/>
    <w:rsid w:val="00ED3984"/>
    <w:rsid w:val="00ED3B8D"/>
    <w:rsid w:val="00EE09F8"/>
    <w:rsid w:val="00EE3F1A"/>
    <w:rsid w:val="00EE5BAA"/>
    <w:rsid w:val="00EE5E36"/>
    <w:rsid w:val="00EF2E3A"/>
    <w:rsid w:val="00EF4B20"/>
    <w:rsid w:val="00F02C7C"/>
    <w:rsid w:val="00F072A7"/>
    <w:rsid w:val="00F078DC"/>
    <w:rsid w:val="00F1710D"/>
    <w:rsid w:val="00F17C59"/>
    <w:rsid w:val="00F32BA8"/>
    <w:rsid w:val="00F32EE0"/>
    <w:rsid w:val="00F349F1"/>
    <w:rsid w:val="00F34BFC"/>
    <w:rsid w:val="00F37E0E"/>
    <w:rsid w:val="00F4350D"/>
    <w:rsid w:val="00F46F45"/>
    <w:rsid w:val="00F479C4"/>
    <w:rsid w:val="00F567F7"/>
    <w:rsid w:val="00F61C19"/>
    <w:rsid w:val="00F6696E"/>
    <w:rsid w:val="00F73BD6"/>
    <w:rsid w:val="00F83989"/>
    <w:rsid w:val="00F85099"/>
    <w:rsid w:val="00F923BF"/>
    <w:rsid w:val="00F9379C"/>
    <w:rsid w:val="00F9632C"/>
    <w:rsid w:val="00FA1E52"/>
    <w:rsid w:val="00FB18BD"/>
    <w:rsid w:val="00FB5A08"/>
    <w:rsid w:val="00FB5A3D"/>
    <w:rsid w:val="00FC133A"/>
    <w:rsid w:val="00FC4503"/>
    <w:rsid w:val="00FC6A80"/>
    <w:rsid w:val="00FE191E"/>
    <w:rsid w:val="00FE4688"/>
    <w:rsid w:val="00FE5DE1"/>
    <w:rsid w:val="00FE761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7DDFFAC"/>
  <w15:docId w15:val="{8AD36289-9EF2-4993-8E5A-BD1F8D86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52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297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29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97B"/>
    <w:rPr>
      <w:b/>
      <w:bCs/>
    </w:rPr>
  </w:style>
  <w:style w:type="paragraph" w:styleId="ListParagraph">
    <w:name w:val="List Paragraph"/>
    <w:basedOn w:val="Normal"/>
    <w:uiPriority w:val="34"/>
    <w:qFormat/>
    <w:rsid w:val="00E37E67"/>
    <w:pPr>
      <w:ind w:left="720"/>
      <w:contextualSpacing/>
    </w:pPr>
  </w:style>
  <w:style w:type="paragraph" w:styleId="Revision">
    <w:name w:val="Revision"/>
    <w:hidden/>
    <w:uiPriority w:val="99"/>
    <w:semiHidden/>
    <w:rsid w:val="00865560"/>
    <w:rPr>
      <w:sz w:val="22"/>
    </w:rPr>
  </w:style>
  <w:style w:type="paragraph" w:styleId="MacroText">
    <w:name w:val="macro"/>
    <w:link w:val="MacroTextChar"/>
    <w:rsid w:val="001D59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D5962"/>
    <w:rPr>
      <w:rFonts w:ascii="Courier New" w:eastAsia="Times New Roman" w:hAnsi="Courier New" w:cs="Courier New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2DB7-C44D-474F-A117-8148466B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AA447D3C.dotm</Template>
  <TotalTime>3</TotalTime>
  <Pages>7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Garcia</dc:creator>
  <cp:lastModifiedBy>GARCIA,Wendy</cp:lastModifiedBy>
  <cp:revision>6</cp:revision>
  <cp:lastPrinted>2018-05-23T00:52:00Z</cp:lastPrinted>
  <dcterms:created xsi:type="dcterms:W3CDTF">2018-06-13T04:51:00Z</dcterms:created>
  <dcterms:modified xsi:type="dcterms:W3CDTF">2018-06-13T04:54:00Z</dcterms:modified>
</cp:coreProperties>
</file>