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4CE77" w14:textId="77777777" w:rsidR="00E00750" w:rsidRPr="00A85F74" w:rsidRDefault="00DD4B6C" w:rsidP="00192E3F">
      <w:pPr>
        <w:pStyle w:val="NormalBold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A85F74">
        <w:rPr>
          <w:rFonts w:ascii="Times New Roman" w:hAnsi="Times New Roman" w:cs="Times New Roman"/>
          <w:szCs w:val="24"/>
        </w:rPr>
        <w:t>Explanatory Statement</w:t>
      </w:r>
    </w:p>
    <w:p w14:paraId="3A34CE78" w14:textId="77777777" w:rsidR="000F6AF9" w:rsidRPr="000F6AF9" w:rsidRDefault="000F6AF9" w:rsidP="00192E3F">
      <w:pPr>
        <w:jc w:val="center"/>
        <w:rPr>
          <w:rFonts w:ascii="Times New Roman" w:hAnsi="Times New Roman"/>
          <w:i/>
        </w:rPr>
      </w:pPr>
      <w:r w:rsidRPr="000F6AF9">
        <w:rPr>
          <w:rFonts w:ascii="Times New Roman" w:hAnsi="Times New Roman"/>
          <w:i/>
        </w:rPr>
        <w:t>Telecommunications Act 1997</w:t>
      </w:r>
    </w:p>
    <w:p w14:paraId="3A34CE79" w14:textId="77777777" w:rsidR="000F6AF9" w:rsidRDefault="000F6AF9" w:rsidP="00192E3F">
      <w:pPr>
        <w:jc w:val="center"/>
        <w:rPr>
          <w:rFonts w:ascii="Times New Roman" w:hAnsi="Times New Roman"/>
          <w:b/>
        </w:rPr>
      </w:pPr>
      <w:r w:rsidRPr="000F6AF9">
        <w:rPr>
          <w:rFonts w:ascii="Times New Roman" w:hAnsi="Times New Roman"/>
          <w:b/>
        </w:rPr>
        <w:t xml:space="preserve">Carrier Licence Conditions (Networks supplying Superfast Carriage Services to Residential Customers) Declaration 2014 (Amendment No.1 </w:t>
      </w:r>
      <w:r w:rsidR="001F73A3">
        <w:rPr>
          <w:rFonts w:ascii="Times New Roman" w:hAnsi="Times New Roman"/>
          <w:b/>
        </w:rPr>
        <w:t>of 2018</w:t>
      </w:r>
      <w:r w:rsidRPr="000F6AF9">
        <w:rPr>
          <w:rFonts w:ascii="Times New Roman" w:hAnsi="Times New Roman"/>
          <w:b/>
        </w:rPr>
        <w:t>)</w:t>
      </w:r>
    </w:p>
    <w:p w14:paraId="3A34CE7A" w14:textId="77777777" w:rsidR="00136308" w:rsidRPr="00A85F74" w:rsidRDefault="001C1979" w:rsidP="00192E3F">
      <w:pPr>
        <w:jc w:val="center"/>
        <w:rPr>
          <w:rFonts w:ascii="Times New Roman" w:hAnsi="Times New Roman"/>
        </w:rPr>
      </w:pPr>
      <w:r w:rsidRPr="00A85F74">
        <w:rPr>
          <w:rFonts w:ascii="Times New Roman" w:hAnsi="Times New Roman"/>
        </w:rPr>
        <w:t>Issued by the A</w:t>
      </w:r>
      <w:r w:rsidR="003D6754" w:rsidRPr="00A85F74">
        <w:rPr>
          <w:rFonts w:ascii="Times New Roman" w:hAnsi="Times New Roman"/>
        </w:rPr>
        <w:t>uthority of the Minister for Commun</w:t>
      </w:r>
      <w:r w:rsidR="00BB5279" w:rsidRPr="00A85F74">
        <w:rPr>
          <w:rFonts w:ascii="Times New Roman" w:hAnsi="Times New Roman"/>
        </w:rPr>
        <w:t>ications</w:t>
      </w:r>
    </w:p>
    <w:p w14:paraId="3A34CE7B" w14:textId="77777777" w:rsidR="00ED2856" w:rsidRDefault="00ED2856" w:rsidP="001F73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Authority</w:t>
      </w:r>
    </w:p>
    <w:p w14:paraId="3A34CE7C" w14:textId="77777777" w:rsidR="00ED2856" w:rsidRPr="0034112F" w:rsidRDefault="00ED2856" w:rsidP="00091E73">
      <w:pPr>
        <w:spacing w:after="200"/>
        <w:rPr>
          <w:rFonts w:ascii="Times New Roman" w:hAnsi="Times New Roman"/>
        </w:rPr>
      </w:pPr>
      <w:r w:rsidRPr="00A85F74">
        <w:rPr>
          <w:rFonts w:ascii="Times New Roman" w:hAnsi="Times New Roman"/>
        </w:rPr>
        <w:t xml:space="preserve">The </w:t>
      </w:r>
      <w:r w:rsidRPr="0034112F">
        <w:rPr>
          <w:rFonts w:ascii="Times New Roman" w:hAnsi="Times New Roman"/>
          <w:i/>
        </w:rPr>
        <w:t>Carrier Licence Conditions (Networks supplying Superfast Carriage Services to Residential Customers) Declarat</w:t>
      </w:r>
      <w:r>
        <w:rPr>
          <w:rFonts w:ascii="Times New Roman" w:hAnsi="Times New Roman"/>
          <w:i/>
        </w:rPr>
        <w:t>ion 2014 (Amendment No.1 of 2018</w:t>
      </w:r>
      <w:r w:rsidRPr="0034112F">
        <w:rPr>
          <w:rFonts w:ascii="Times New Roman" w:hAnsi="Times New Roman"/>
          <w:i/>
        </w:rPr>
        <w:t>)</w:t>
      </w:r>
      <w:r w:rsidRPr="0034112F">
        <w:rPr>
          <w:rFonts w:ascii="Times New Roman" w:hAnsi="Times New Roman"/>
        </w:rPr>
        <w:t xml:space="preserve"> </w:t>
      </w:r>
      <w:r w:rsidRPr="000F6AF9">
        <w:rPr>
          <w:rFonts w:ascii="Times New Roman" w:hAnsi="Times New Roman"/>
        </w:rPr>
        <w:t>(</w:t>
      </w:r>
      <w:r>
        <w:rPr>
          <w:rFonts w:ascii="Times New Roman" w:hAnsi="Times New Roman"/>
        </w:rPr>
        <w:t>the A</w:t>
      </w:r>
      <w:r w:rsidRPr="000F6AF9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nding </w:t>
      </w:r>
      <w:r w:rsidRPr="000F6AF9">
        <w:rPr>
          <w:rFonts w:ascii="Times New Roman" w:hAnsi="Times New Roman"/>
        </w:rPr>
        <w:t xml:space="preserve">Declaration) </w:t>
      </w:r>
      <w:r w:rsidRPr="00A85F74">
        <w:rPr>
          <w:rFonts w:ascii="Times New Roman" w:hAnsi="Times New Roman"/>
        </w:rPr>
        <w:t xml:space="preserve">is made by the Minister for Communications under </w:t>
      </w:r>
      <w:r>
        <w:rPr>
          <w:rFonts w:ascii="Times New Roman" w:hAnsi="Times New Roman"/>
        </w:rPr>
        <w:t>s</w:t>
      </w:r>
      <w:r w:rsidRPr="000F6AF9">
        <w:rPr>
          <w:rFonts w:ascii="Times New Roman" w:hAnsi="Times New Roman"/>
        </w:rPr>
        <w:t xml:space="preserve">ubsection 63(5) of the </w:t>
      </w:r>
      <w:r w:rsidRPr="0034112F">
        <w:rPr>
          <w:rFonts w:ascii="Times New Roman" w:hAnsi="Times New Roman"/>
          <w:i/>
        </w:rPr>
        <w:t>Telecommunications Act 1997</w:t>
      </w:r>
      <w:r>
        <w:rPr>
          <w:rFonts w:ascii="Times New Roman" w:hAnsi="Times New Roman"/>
        </w:rPr>
        <w:t xml:space="preserve"> (the </w:t>
      </w:r>
      <w:r w:rsidRPr="000F6AF9">
        <w:rPr>
          <w:rFonts w:ascii="Times New Roman" w:hAnsi="Times New Roman"/>
        </w:rPr>
        <w:t>Act</w:t>
      </w:r>
      <w:r>
        <w:rPr>
          <w:rFonts w:ascii="Times New Roman" w:hAnsi="Times New Roman"/>
        </w:rPr>
        <w:t>).</w:t>
      </w:r>
      <w:r w:rsidRPr="001F73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Amending Declaration </w:t>
      </w:r>
      <w:r w:rsidRPr="00A85F74">
        <w:rPr>
          <w:rFonts w:ascii="Times New Roman" w:hAnsi="Times New Roman"/>
        </w:rPr>
        <w:t xml:space="preserve">is a legislative instrument for the purposes of the </w:t>
      </w:r>
      <w:r w:rsidRPr="0034112F">
        <w:rPr>
          <w:rFonts w:ascii="Times New Roman" w:hAnsi="Times New Roman"/>
          <w:i/>
        </w:rPr>
        <w:t>Legislation Act 2003</w:t>
      </w:r>
      <w:r w:rsidRPr="0034112F">
        <w:rPr>
          <w:rFonts w:ascii="Times New Roman" w:hAnsi="Times New Roman"/>
        </w:rPr>
        <w:t xml:space="preserve"> (paragraph 13(1)(b)).</w:t>
      </w:r>
    </w:p>
    <w:p w14:paraId="3A34CE7D" w14:textId="77777777" w:rsidR="001F73A3" w:rsidRPr="003B185C" w:rsidRDefault="001F73A3" w:rsidP="001F73A3">
      <w:pPr>
        <w:rPr>
          <w:rFonts w:ascii="Times New Roman" w:hAnsi="Times New Roman"/>
          <w:b/>
        </w:rPr>
      </w:pPr>
      <w:r w:rsidRPr="003B185C">
        <w:rPr>
          <w:rFonts w:ascii="Times New Roman" w:hAnsi="Times New Roman"/>
          <w:b/>
        </w:rPr>
        <w:t>Purpose</w:t>
      </w:r>
    </w:p>
    <w:p w14:paraId="3A34CE7E" w14:textId="02094574" w:rsidR="00466343" w:rsidRDefault="0034112F" w:rsidP="00E208A0">
      <w:pPr>
        <w:rPr>
          <w:rFonts w:ascii="Times New Roman" w:hAnsi="Times New Roman"/>
        </w:rPr>
      </w:pPr>
      <w:r w:rsidRPr="003B185C">
        <w:rPr>
          <w:rFonts w:ascii="Times New Roman" w:hAnsi="Times New Roman"/>
        </w:rPr>
        <w:t xml:space="preserve">The </w:t>
      </w:r>
      <w:r w:rsidR="008A4120">
        <w:rPr>
          <w:rFonts w:ascii="Times New Roman" w:hAnsi="Times New Roman"/>
        </w:rPr>
        <w:t xml:space="preserve">purpose of the </w:t>
      </w:r>
      <w:r w:rsidRPr="003B185C">
        <w:rPr>
          <w:rFonts w:ascii="Times New Roman" w:hAnsi="Times New Roman"/>
        </w:rPr>
        <w:t xml:space="preserve">Amending Declaration </w:t>
      </w:r>
      <w:r w:rsidR="008A4120">
        <w:rPr>
          <w:rFonts w:ascii="Times New Roman" w:hAnsi="Times New Roman"/>
        </w:rPr>
        <w:t xml:space="preserve">is to </w:t>
      </w:r>
      <w:r>
        <w:rPr>
          <w:rFonts w:ascii="Times New Roman" w:hAnsi="Times New Roman"/>
        </w:rPr>
        <w:t xml:space="preserve">extend the expiry date of the </w:t>
      </w:r>
      <w:r w:rsidRPr="0034112F">
        <w:rPr>
          <w:rFonts w:ascii="Times New Roman" w:hAnsi="Times New Roman"/>
          <w:i/>
        </w:rPr>
        <w:t xml:space="preserve">Carrier Licence Conditions (Networks supplying Superfast Carriage Services to Residential Customers) Declaration 2014 </w:t>
      </w:r>
      <w:r w:rsidR="008A4120">
        <w:rPr>
          <w:rFonts w:ascii="Times New Roman" w:hAnsi="Times New Roman"/>
        </w:rPr>
        <w:t xml:space="preserve">as currently in force </w:t>
      </w:r>
      <w:r w:rsidRPr="00593078">
        <w:rPr>
          <w:rFonts w:ascii="Times New Roman" w:hAnsi="Times New Roman"/>
        </w:rPr>
        <w:t>(the Declaration)</w:t>
      </w:r>
      <w:r w:rsidR="00466343">
        <w:rPr>
          <w:rFonts w:ascii="Times New Roman" w:hAnsi="Times New Roman"/>
        </w:rPr>
        <w:t xml:space="preserve"> by </w:t>
      </w:r>
      <w:r w:rsidR="001F73A3">
        <w:rPr>
          <w:rFonts w:ascii="Times New Roman" w:hAnsi="Times New Roman"/>
        </w:rPr>
        <w:t>2 years</w:t>
      </w:r>
      <w:r w:rsidR="00E10784">
        <w:rPr>
          <w:rFonts w:ascii="Times New Roman" w:hAnsi="Times New Roman"/>
        </w:rPr>
        <w:t xml:space="preserve"> to 30 June 2020</w:t>
      </w:r>
      <w:r w:rsidR="00466343">
        <w:rPr>
          <w:rFonts w:ascii="Times New Roman" w:hAnsi="Times New Roman"/>
        </w:rPr>
        <w:t xml:space="preserve">. </w:t>
      </w:r>
    </w:p>
    <w:p w14:paraId="3A34CE7F" w14:textId="77777777" w:rsidR="00E00750" w:rsidRPr="003B185C" w:rsidRDefault="00E00750" w:rsidP="00192E3F">
      <w:pPr>
        <w:tabs>
          <w:tab w:val="left" w:pos="2448"/>
        </w:tabs>
        <w:rPr>
          <w:rFonts w:ascii="Times New Roman" w:hAnsi="Times New Roman"/>
          <w:b/>
        </w:rPr>
      </w:pPr>
      <w:r w:rsidRPr="003B185C">
        <w:rPr>
          <w:rFonts w:ascii="Times New Roman" w:hAnsi="Times New Roman"/>
          <w:b/>
        </w:rPr>
        <w:t>Background</w:t>
      </w:r>
      <w:r w:rsidR="00ED2856">
        <w:rPr>
          <w:rFonts w:ascii="Times New Roman" w:hAnsi="Times New Roman"/>
          <w:b/>
        </w:rPr>
        <w:t xml:space="preserve"> and Reasons</w:t>
      </w:r>
      <w:r w:rsidR="00BD175A">
        <w:rPr>
          <w:rFonts w:ascii="Times New Roman" w:hAnsi="Times New Roman"/>
          <w:b/>
        </w:rPr>
        <w:tab/>
      </w:r>
    </w:p>
    <w:p w14:paraId="3A34CE80" w14:textId="59527DAA" w:rsidR="00AD03A9" w:rsidRDefault="00AD03A9" w:rsidP="004F615E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On </w:t>
      </w:r>
      <w:r w:rsidR="007D2C33">
        <w:rPr>
          <w:rFonts w:ascii="Times New Roman" w:hAnsi="Times New Roman"/>
        </w:rPr>
        <w:t xml:space="preserve">14 </w:t>
      </w:r>
      <w:r>
        <w:rPr>
          <w:rFonts w:ascii="Times New Roman" w:hAnsi="Times New Roman"/>
        </w:rPr>
        <w:t xml:space="preserve">December 2014, the </w:t>
      </w:r>
      <w:r w:rsidR="006F5E91">
        <w:rPr>
          <w:rFonts w:ascii="Times New Roman" w:hAnsi="Times New Roman"/>
        </w:rPr>
        <w:t xml:space="preserve">then </w:t>
      </w:r>
      <w:r>
        <w:rPr>
          <w:rFonts w:ascii="Times New Roman" w:hAnsi="Times New Roman"/>
        </w:rPr>
        <w:t xml:space="preserve">Minister for Communications </w:t>
      </w:r>
      <w:r w:rsidR="006F5E91">
        <w:rPr>
          <w:rFonts w:ascii="Times New Roman" w:hAnsi="Times New Roman"/>
        </w:rPr>
        <w:t>(</w:t>
      </w:r>
      <w:r>
        <w:rPr>
          <w:rFonts w:ascii="Times New Roman" w:hAnsi="Times New Roman"/>
        </w:rPr>
        <w:t>the Minister</w:t>
      </w:r>
      <w:r w:rsidR="006F5E91">
        <w:rPr>
          <w:rFonts w:ascii="Times New Roman" w:hAnsi="Times New Roman"/>
        </w:rPr>
        <w:t>) m</w:t>
      </w:r>
      <w:r>
        <w:rPr>
          <w:rFonts w:ascii="Times New Roman" w:hAnsi="Times New Roman"/>
        </w:rPr>
        <w:t xml:space="preserve">ade the </w:t>
      </w:r>
      <w:r w:rsidR="000F51C5">
        <w:rPr>
          <w:rFonts w:ascii="Times New Roman" w:hAnsi="Times New Roman"/>
        </w:rPr>
        <w:t xml:space="preserve">Declaration to </w:t>
      </w:r>
      <w:r>
        <w:rPr>
          <w:rFonts w:ascii="Times New Roman" w:hAnsi="Times New Roman"/>
        </w:rPr>
        <w:t xml:space="preserve">impose functional separation and wholesale supply obligations on carriers </w:t>
      </w:r>
      <w:r w:rsidR="001F5A6D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extend</w:t>
      </w:r>
      <w:r w:rsidR="001F5A6D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existing </w:t>
      </w:r>
      <w:r w:rsidR="00695DF1">
        <w:rPr>
          <w:rFonts w:ascii="Times New Roman" w:hAnsi="Times New Roman"/>
        </w:rPr>
        <w:t xml:space="preserve">fixed-line </w:t>
      </w:r>
      <w:r>
        <w:rPr>
          <w:rFonts w:ascii="Times New Roman" w:hAnsi="Times New Roman"/>
        </w:rPr>
        <w:t xml:space="preserve">networks to supply superfast carriage services to residential customers, but were not subject to similar obligations in </w:t>
      </w:r>
      <w:r w:rsidR="00AF72F4">
        <w:rPr>
          <w:rFonts w:ascii="Times New Roman" w:hAnsi="Times New Roman"/>
        </w:rPr>
        <w:t xml:space="preserve">Parts 7 and 8 of </w:t>
      </w:r>
      <w:r>
        <w:rPr>
          <w:rFonts w:ascii="Times New Roman" w:hAnsi="Times New Roman"/>
        </w:rPr>
        <w:t xml:space="preserve">the </w:t>
      </w:r>
      <w:r w:rsidRPr="000F51C5">
        <w:rPr>
          <w:rFonts w:ascii="Times New Roman" w:hAnsi="Times New Roman"/>
          <w:i/>
        </w:rPr>
        <w:t>Telecommunications Act 1997</w:t>
      </w:r>
      <w:r>
        <w:rPr>
          <w:rFonts w:ascii="Times New Roman" w:hAnsi="Times New Roman"/>
        </w:rPr>
        <w:t xml:space="preserve"> (the Act). </w:t>
      </w:r>
      <w:r w:rsidR="00E10784">
        <w:rPr>
          <w:rFonts w:ascii="Times New Roman" w:hAnsi="Times New Roman"/>
        </w:rPr>
        <w:t>The Declaration close</w:t>
      </w:r>
      <w:r w:rsidR="00BD7278">
        <w:rPr>
          <w:rFonts w:ascii="Times New Roman" w:hAnsi="Times New Roman"/>
        </w:rPr>
        <w:t>d</w:t>
      </w:r>
      <w:r w:rsidR="00E10784">
        <w:rPr>
          <w:rFonts w:ascii="Times New Roman" w:hAnsi="Times New Roman"/>
        </w:rPr>
        <w:t xml:space="preserve"> a loophole that allowed carriers to use </w:t>
      </w:r>
      <w:r w:rsidR="00E10784" w:rsidRPr="00E10784">
        <w:rPr>
          <w:rFonts w:ascii="Times New Roman" w:hAnsi="Times New Roman"/>
        </w:rPr>
        <w:t xml:space="preserve">an exemption </w:t>
      </w:r>
      <w:r w:rsidR="00E10784">
        <w:rPr>
          <w:rFonts w:ascii="Times New Roman" w:hAnsi="Times New Roman"/>
        </w:rPr>
        <w:t xml:space="preserve">in the Act </w:t>
      </w:r>
      <w:r w:rsidR="00E10784" w:rsidRPr="00E10784">
        <w:rPr>
          <w:rFonts w:ascii="Times New Roman" w:hAnsi="Times New Roman"/>
        </w:rPr>
        <w:t>to extend networks by up to 1km.</w:t>
      </w:r>
      <w:r w:rsidR="00E10784">
        <w:rPr>
          <w:rFonts w:ascii="Times New Roman" w:hAnsi="Times New Roman"/>
        </w:rPr>
        <w:t xml:space="preserve"> </w:t>
      </w:r>
      <w:r w:rsidR="008A4120">
        <w:rPr>
          <w:rFonts w:ascii="Times New Roman" w:hAnsi="Times New Roman"/>
        </w:rPr>
        <w:t xml:space="preserve">It </w:t>
      </w:r>
      <w:r>
        <w:rPr>
          <w:rFonts w:ascii="Times New Roman" w:hAnsi="Times New Roman"/>
        </w:rPr>
        <w:t xml:space="preserve">addressed concerns that vertically integrated networks could create local access bottlenecks that impede effective retail competition and that such operations </w:t>
      </w:r>
      <w:r w:rsidR="004A1FAB">
        <w:rPr>
          <w:rFonts w:ascii="Times New Roman" w:hAnsi="Times New Roman"/>
        </w:rPr>
        <w:t xml:space="preserve">therefore have an unfair </w:t>
      </w:r>
      <w:r>
        <w:rPr>
          <w:rFonts w:ascii="Times New Roman" w:hAnsi="Times New Roman"/>
        </w:rPr>
        <w:t xml:space="preserve">competitive advantage </w:t>
      </w:r>
      <w:r w:rsidR="004A1FAB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other networks </w:t>
      </w:r>
      <w:r w:rsidR="004B5474">
        <w:rPr>
          <w:rFonts w:ascii="Times New Roman" w:hAnsi="Times New Roman"/>
        </w:rPr>
        <w:t xml:space="preserve">that </w:t>
      </w:r>
      <w:r w:rsidR="004A1FAB">
        <w:rPr>
          <w:rFonts w:ascii="Times New Roman" w:hAnsi="Times New Roman"/>
        </w:rPr>
        <w:t xml:space="preserve">are </w:t>
      </w:r>
      <w:r>
        <w:rPr>
          <w:rFonts w:ascii="Times New Roman" w:hAnsi="Times New Roman"/>
        </w:rPr>
        <w:t xml:space="preserve">subject to </w:t>
      </w:r>
      <w:r w:rsidR="004A1FAB">
        <w:rPr>
          <w:rFonts w:ascii="Times New Roman" w:hAnsi="Times New Roman"/>
        </w:rPr>
        <w:t>the rules in</w:t>
      </w:r>
      <w:r w:rsidR="00AF72F4">
        <w:rPr>
          <w:rFonts w:ascii="Times New Roman" w:hAnsi="Times New Roman"/>
        </w:rPr>
        <w:t xml:space="preserve"> </w:t>
      </w:r>
      <w:r w:rsidR="004A1FAB">
        <w:rPr>
          <w:rFonts w:ascii="Times New Roman" w:hAnsi="Times New Roman"/>
        </w:rPr>
        <w:t xml:space="preserve">the </w:t>
      </w:r>
      <w:r w:rsidR="004A1FAB" w:rsidRPr="005534C1">
        <w:rPr>
          <w:rFonts w:ascii="Times New Roman" w:hAnsi="Times New Roman"/>
        </w:rPr>
        <w:t>Act</w:t>
      </w:r>
      <w:r w:rsidRPr="005534C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3A34CE81" w14:textId="6F53274F" w:rsidR="00AE79FE" w:rsidRPr="00AE79FE" w:rsidRDefault="00AD03A9" w:rsidP="00AE79FE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3939D3">
        <w:rPr>
          <w:rFonts w:ascii="Times New Roman" w:hAnsi="Times New Roman"/>
        </w:rPr>
        <w:t>Declaration was</w:t>
      </w:r>
      <w:r>
        <w:rPr>
          <w:rFonts w:ascii="Times New Roman" w:hAnsi="Times New Roman"/>
        </w:rPr>
        <w:t xml:space="preserve"> intended to be</w:t>
      </w:r>
      <w:r w:rsidR="003939D3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transitional measure pending the passage of new legislation announced in the Government’s December 2014 </w:t>
      </w:r>
      <w:r w:rsidRPr="00CC4BAE">
        <w:rPr>
          <w:rFonts w:ascii="Times New Roman" w:hAnsi="Times New Roman"/>
          <w:i/>
        </w:rPr>
        <w:t>Telecommunications Structural and Regulatory Reform</w:t>
      </w:r>
      <w:r w:rsidRPr="00AD03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policy statement.</w:t>
      </w:r>
      <w:r w:rsidR="001F73A3">
        <w:rPr>
          <w:rFonts w:ascii="Times New Roman" w:hAnsi="Times New Roman"/>
        </w:rPr>
        <w:t xml:space="preserve"> T</w:t>
      </w:r>
      <w:r w:rsidR="00C90422">
        <w:rPr>
          <w:rFonts w:ascii="Times New Roman" w:hAnsi="Times New Roman"/>
        </w:rPr>
        <w:t xml:space="preserve">he Declaration </w:t>
      </w:r>
      <w:r w:rsidR="008A4120">
        <w:rPr>
          <w:rFonts w:ascii="Times New Roman" w:hAnsi="Times New Roman"/>
        </w:rPr>
        <w:t xml:space="preserve">was intended to </w:t>
      </w:r>
      <w:r w:rsidR="00C90422">
        <w:rPr>
          <w:rFonts w:ascii="Times New Roman" w:hAnsi="Times New Roman"/>
        </w:rPr>
        <w:t>expire on 31</w:t>
      </w:r>
      <w:r w:rsidR="001F73A3">
        <w:rPr>
          <w:rFonts w:ascii="Times New Roman" w:hAnsi="Times New Roman"/>
        </w:rPr>
        <w:t> </w:t>
      </w:r>
      <w:r w:rsidR="00C90422">
        <w:rPr>
          <w:rFonts w:ascii="Times New Roman" w:hAnsi="Times New Roman"/>
        </w:rPr>
        <w:t>December 2016</w:t>
      </w:r>
      <w:r w:rsidR="007D2C33">
        <w:rPr>
          <w:rFonts w:ascii="Times New Roman" w:hAnsi="Times New Roman"/>
        </w:rPr>
        <w:t xml:space="preserve"> on anticipation that the reforms would have been implemented by that time</w:t>
      </w:r>
      <w:r w:rsidR="00C9042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AE79FE" w:rsidRPr="00AE79FE">
        <w:rPr>
          <w:rFonts w:ascii="Times New Roman" w:hAnsi="Times New Roman"/>
        </w:rPr>
        <w:t xml:space="preserve">The </w:t>
      </w:r>
      <w:r w:rsidR="00AE79FE">
        <w:rPr>
          <w:rFonts w:ascii="Times New Roman" w:hAnsi="Times New Roman"/>
        </w:rPr>
        <w:t>Declaration</w:t>
      </w:r>
      <w:r w:rsidR="00AE79FE" w:rsidRPr="00AE79FE">
        <w:rPr>
          <w:rFonts w:ascii="Times New Roman" w:hAnsi="Times New Roman"/>
        </w:rPr>
        <w:t xml:space="preserve"> w</w:t>
      </w:r>
      <w:r w:rsidR="00AE79FE">
        <w:rPr>
          <w:rFonts w:ascii="Times New Roman" w:hAnsi="Times New Roman"/>
        </w:rPr>
        <w:t>as</w:t>
      </w:r>
      <w:r w:rsidR="00AE79FE" w:rsidRPr="00AE79FE">
        <w:rPr>
          <w:rFonts w:ascii="Times New Roman" w:hAnsi="Times New Roman"/>
        </w:rPr>
        <w:t xml:space="preserve"> </w:t>
      </w:r>
      <w:r w:rsidR="008A4120">
        <w:rPr>
          <w:rFonts w:ascii="Times New Roman" w:hAnsi="Times New Roman"/>
        </w:rPr>
        <w:t xml:space="preserve">amended on 6 December 2016 to </w:t>
      </w:r>
      <w:r w:rsidR="00AE79FE" w:rsidRPr="00AE79FE">
        <w:rPr>
          <w:rFonts w:ascii="Times New Roman" w:hAnsi="Times New Roman"/>
        </w:rPr>
        <w:t xml:space="preserve">extend </w:t>
      </w:r>
      <w:r w:rsidR="008A4120">
        <w:rPr>
          <w:rFonts w:ascii="Times New Roman" w:hAnsi="Times New Roman"/>
        </w:rPr>
        <w:t xml:space="preserve">it until </w:t>
      </w:r>
      <w:r w:rsidR="00AE79FE" w:rsidRPr="00AE79FE">
        <w:rPr>
          <w:rFonts w:ascii="Times New Roman" w:hAnsi="Times New Roman"/>
        </w:rPr>
        <w:t>30 June 2018</w:t>
      </w:r>
      <w:r w:rsidR="008A4120">
        <w:rPr>
          <w:rFonts w:ascii="Times New Roman" w:hAnsi="Times New Roman"/>
        </w:rPr>
        <w:t xml:space="preserve"> and several other modifications were made at that time</w:t>
      </w:r>
      <w:r w:rsidR="00AE79FE" w:rsidRPr="00AE79FE">
        <w:rPr>
          <w:rFonts w:ascii="Times New Roman" w:hAnsi="Times New Roman"/>
        </w:rPr>
        <w:t>.</w:t>
      </w:r>
    </w:p>
    <w:p w14:paraId="3A34CE82" w14:textId="35908683" w:rsidR="00AD03A9" w:rsidRDefault="00AE79FE" w:rsidP="004F615E">
      <w:pPr>
        <w:spacing w:after="200"/>
        <w:rPr>
          <w:rFonts w:ascii="Times New Roman" w:hAnsi="Times New Roman"/>
        </w:rPr>
      </w:pPr>
      <w:r w:rsidRPr="00AE79FE">
        <w:rPr>
          <w:rFonts w:ascii="Times New Roman" w:hAnsi="Times New Roman"/>
        </w:rPr>
        <w:t>The Telecommunications Legislation Amendment (Competition and Consumer) Bill 201</w:t>
      </w:r>
      <w:r w:rsidR="008A4120">
        <w:rPr>
          <w:rFonts w:ascii="Times New Roman" w:hAnsi="Times New Roman"/>
        </w:rPr>
        <w:t>8</w:t>
      </w:r>
      <w:r w:rsidRPr="00AE79FE">
        <w:rPr>
          <w:rFonts w:ascii="Times New Roman" w:hAnsi="Times New Roman"/>
        </w:rPr>
        <w:t xml:space="preserve"> </w:t>
      </w:r>
      <w:r w:rsidR="00E10784">
        <w:rPr>
          <w:rFonts w:ascii="Times New Roman" w:hAnsi="Times New Roman"/>
        </w:rPr>
        <w:t xml:space="preserve">(the Bill) </w:t>
      </w:r>
      <w:r w:rsidR="001A2AFA">
        <w:rPr>
          <w:rFonts w:ascii="Times New Roman" w:hAnsi="Times New Roman"/>
        </w:rPr>
        <w:t xml:space="preserve">includes provisions </w:t>
      </w:r>
      <w:r w:rsidR="008A4120">
        <w:rPr>
          <w:rFonts w:ascii="Times New Roman" w:hAnsi="Times New Roman"/>
        </w:rPr>
        <w:t xml:space="preserve">which would remove the expiration date of the Declaration so that it applies </w:t>
      </w:r>
      <w:r w:rsidRPr="00AE79FE">
        <w:rPr>
          <w:rFonts w:ascii="Times New Roman" w:hAnsi="Times New Roman"/>
        </w:rPr>
        <w:t xml:space="preserve">indefinitely to </w:t>
      </w:r>
      <w:r w:rsidR="008A4120">
        <w:rPr>
          <w:rFonts w:ascii="Times New Roman" w:hAnsi="Times New Roman"/>
        </w:rPr>
        <w:t xml:space="preserve">applicable </w:t>
      </w:r>
      <w:r w:rsidRPr="00AE79FE">
        <w:rPr>
          <w:rFonts w:ascii="Times New Roman" w:hAnsi="Times New Roman"/>
        </w:rPr>
        <w:t xml:space="preserve">networks rolled out between 1 January 2015 and </w:t>
      </w:r>
      <w:r w:rsidR="00E10784">
        <w:rPr>
          <w:rFonts w:ascii="Times New Roman" w:hAnsi="Times New Roman"/>
        </w:rPr>
        <w:t xml:space="preserve">the commencement of new rules in </w:t>
      </w:r>
      <w:r w:rsidR="008A4120">
        <w:rPr>
          <w:rFonts w:ascii="Times New Roman" w:hAnsi="Times New Roman"/>
        </w:rPr>
        <w:t xml:space="preserve">Schedule 2 to </w:t>
      </w:r>
      <w:r w:rsidR="00E10784">
        <w:rPr>
          <w:rFonts w:ascii="Times New Roman" w:hAnsi="Times New Roman"/>
        </w:rPr>
        <w:t>the Bill</w:t>
      </w:r>
      <w:r w:rsidRPr="00AE79FE">
        <w:rPr>
          <w:rFonts w:ascii="Times New Roman" w:hAnsi="Times New Roman"/>
        </w:rPr>
        <w:t xml:space="preserve">. This is part of the ‘grandfathering’ of </w:t>
      </w:r>
      <w:r w:rsidRPr="007D317C">
        <w:rPr>
          <w:rFonts w:ascii="Times New Roman" w:hAnsi="Times New Roman"/>
        </w:rPr>
        <w:t xml:space="preserve">requirements </w:t>
      </w:r>
      <w:r w:rsidR="008A4120">
        <w:rPr>
          <w:rFonts w:ascii="Times New Roman" w:hAnsi="Times New Roman"/>
        </w:rPr>
        <w:t xml:space="preserve">for </w:t>
      </w:r>
      <w:r w:rsidR="007D2C33">
        <w:rPr>
          <w:rFonts w:ascii="Times New Roman" w:hAnsi="Times New Roman"/>
        </w:rPr>
        <w:t xml:space="preserve">particular </w:t>
      </w:r>
      <w:r w:rsidR="008A4120">
        <w:rPr>
          <w:rFonts w:ascii="Times New Roman" w:hAnsi="Times New Roman"/>
        </w:rPr>
        <w:t xml:space="preserve">classes of </w:t>
      </w:r>
      <w:r w:rsidR="007D2C33">
        <w:rPr>
          <w:rFonts w:ascii="Times New Roman" w:hAnsi="Times New Roman"/>
        </w:rPr>
        <w:t xml:space="preserve">superfast fixed-line </w:t>
      </w:r>
      <w:r w:rsidRPr="007D317C">
        <w:rPr>
          <w:rFonts w:ascii="Times New Roman" w:hAnsi="Times New Roman"/>
        </w:rPr>
        <w:t xml:space="preserve">networks. </w:t>
      </w:r>
      <w:r w:rsidR="001A2AFA" w:rsidRPr="007D317C">
        <w:rPr>
          <w:rFonts w:ascii="Times New Roman" w:hAnsi="Times New Roman"/>
        </w:rPr>
        <w:t>The Bill</w:t>
      </w:r>
      <w:r w:rsidR="00C90422" w:rsidRPr="007D317C">
        <w:rPr>
          <w:rFonts w:ascii="Times New Roman" w:hAnsi="Times New Roman"/>
        </w:rPr>
        <w:t xml:space="preserve"> </w:t>
      </w:r>
      <w:r w:rsidR="001A2AFA" w:rsidRPr="007D317C">
        <w:rPr>
          <w:rFonts w:ascii="Times New Roman" w:hAnsi="Times New Roman"/>
        </w:rPr>
        <w:t>was introduced on 22</w:t>
      </w:r>
      <w:r w:rsidR="007D317C" w:rsidRPr="007D317C">
        <w:rPr>
          <w:rFonts w:ascii="Times New Roman" w:hAnsi="Times New Roman"/>
        </w:rPr>
        <w:t> June </w:t>
      </w:r>
      <w:r w:rsidR="001A2AFA" w:rsidRPr="007D317C">
        <w:rPr>
          <w:rFonts w:ascii="Times New Roman" w:hAnsi="Times New Roman"/>
        </w:rPr>
        <w:t>2017 and</w:t>
      </w:r>
      <w:r w:rsidR="001A2AFA">
        <w:rPr>
          <w:rFonts w:ascii="Times New Roman" w:hAnsi="Times New Roman"/>
        </w:rPr>
        <w:t xml:space="preserve"> debated in the House of Representatives on 9 and 10 May 2018</w:t>
      </w:r>
      <w:r w:rsidR="007D2C33">
        <w:rPr>
          <w:rFonts w:ascii="Times New Roman" w:hAnsi="Times New Roman"/>
        </w:rPr>
        <w:t xml:space="preserve"> and third reading was agreed to on 10 May 2018</w:t>
      </w:r>
      <w:r w:rsidR="001A2AFA">
        <w:rPr>
          <w:rFonts w:ascii="Times New Roman" w:hAnsi="Times New Roman"/>
        </w:rPr>
        <w:t>. The</w:t>
      </w:r>
      <w:r w:rsidR="00EA0F5C">
        <w:rPr>
          <w:rFonts w:ascii="Times New Roman" w:hAnsi="Times New Roman"/>
        </w:rPr>
        <w:t> </w:t>
      </w:r>
      <w:r w:rsidR="001A2AFA">
        <w:rPr>
          <w:rFonts w:ascii="Times New Roman" w:hAnsi="Times New Roman"/>
        </w:rPr>
        <w:t xml:space="preserve">Bill </w:t>
      </w:r>
      <w:r w:rsidR="00C90422" w:rsidRPr="00ED2856">
        <w:rPr>
          <w:rFonts w:ascii="Times New Roman" w:hAnsi="Times New Roman"/>
        </w:rPr>
        <w:t xml:space="preserve">is still being </w:t>
      </w:r>
      <w:r w:rsidRPr="00ED2856">
        <w:rPr>
          <w:rFonts w:ascii="Times New Roman" w:hAnsi="Times New Roman"/>
        </w:rPr>
        <w:t>considered by Parliament</w:t>
      </w:r>
      <w:r w:rsidR="00C90422" w:rsidRPr="00ED2856">
        <w:rPr>
          <w:rFonts w:ascii="Times New Roman" w:hAnsi="Times New Roman"/>
        </w:rPr>
        <w:t xml:space="preserve"> </w:t>
      </w:r>
      <w:r w:rsidR="001A2AFA">
        <w:rPr>
          <w:rFonts w:ascii="Times New Roman" w:hAnsi="Times New Roman"/>
        </w:rPr>
        <w:t xml:space="preserve">and may not </w:t>
      </w:r>
      <w:r w:rsidR="008A4120">
        <w:rPr>
          <w:rFonts w:ascii="Times New Roman" w:hAnsi="Times New Roman"/>
        </w:rPr>
        <w:t xml:space="preserve">be enacted </w:t>
      </w:r>
      <w:r w:rsidR="001A2AFA">
        <w:rPr>
          <w:rFonts w:ascii="Times New Roman" w:hAnsi="Times New Roman"/>
        </w:rPr>
        <w:t xml:space="preserve">before </w:t>
      </w:r>
      <w:r w:rsidR="008A4120">
        <w:rPr>
          <w:rFonts w:ascii="Times New Roman" w:hAnsi="Times New Roman"/>
        </w:rPr>
        <w:t xml:space="preserve">30 June 2018, the date upon which </w:t>
      </w:r>
      <w:r w:rsidR="001A2AFA">
        <w:rPr>
          <w:rFonts w:ascii="Times New Roman" w:hAnsi="Times New Roman"/>
        </w:rPr>
        <w:t xml:space="preserve">the </w:t>
      </w:r>
      <w:r w:rsidR="004E64D2">
        <w:rPr>
          <w:rFonts w:ascii="Times New Roman" w:hAnsi="Times New Roman"/>
        </w:rPr>
        <w:t xml:space="preserve">Declaration </w:t>
      </w:r>
      <w:r w:rsidR="008A4120">
        <w:rPr>
          <w:rFonts w:ascii="Times New Roman" w:hAnsi="Times New Roman"/>
        </w:rPr>
        <w:t xml:space="preserve">is otherwise due to </w:t>
      </w:r>
      <w:r w:rsidR="001A2AFA">
        <w:rPr>
          <w:rFonts w:ascii="Times New Roman" w:hAnsi="Times New Roman"/>
        </w:rPr>
        <w:t xml:space="preserve">expire. </w:t>
      </w:r>
      <w:r w:rsidR="008A4120">
        <w:rPr>
          <w:rFonts w:ascii="Times New Roman" w:hAnsi="Times New Roman"/>
        </w:rPr>
        <w:t xml:space="preserve"> As a safeguard</w:t>
      </w:r>
      <w:r w:rsidR="007D2C33">
        <w:rPr>
          <w:rFonts w:ascii="Times New Roman" w:hAnsi="Times New Roman"/>
        </w:rPr>
        <w:t xml:space="preserve"> because of the delay in the passage of the Bill</w:t>
      </w:r>
      <w:r w:rsidR="008A4120">
        <w:rPr>
          <w:rFonts w:ascii="Times New Roman" w:hAnsi="Times New Roman"/>
        </w:rPr>
        <w:t xml:space="preserve">, </w:t>
      </w:r>
      <w:r w:rsidR="008A4120">
        <w:rPr>
          <w:rFonts w:ascii="Times New Roman" w:hAnsi="Times New Roman"/>
        </w:rPr>
        <w:lastRenderedPageBreak/>
        <w:t>t</w:t>
      </w:r>
      <w:r w:rsidR="00AC7006" w:rsidRPr="00ED2856">
        <w:rPr>
          <w:rFonts w:ascii="Times New Roman" w:hAnsi="Times New Roman"/>
        </w:rPr>
        <w:t xml:space="preserve">he </w:t>
      </w:r>
      <w:r w:rsidR="008A4120">
        <w:rPr>
          <w:rFonts w:ascii="Times New Roman" w:hAnsi="Times New Roman"/>
        </w:rPr>
        <w:t xml:space="preserve">Amending </w:t>
      </w:r>
      <w:r w:rsidR="00AC7006" w:rsidRPr="00ED2856">
        <w:rPr>
          <w:rFonts w:ascii="Times New Roman" w:hAnsi="Times New Roman"/>
        </w:rPr>
        <w:t xml:space="preserve">Declaration </w:t>
      </w:r>
      <w:r w:rsidR="008A4120">
        <w:rPr>
          <w:rFonts w:ascii="Times New Roman" w:hAnsi="Times New Roman"/>
        </w:rPr>
        <w:t xml:space="preserve">will extend the Declaration </w:t>
      </w:r>
      <w:r w:rsidR="00AC7006" w:rsidRPr="00ED2856">
        <w:rPr>
          <w:rFonts w:ascii="Times New Roman" w:hAnsi="Times New Roman"/>
        </w:rPr>
        <w:t xml:space="preserve">to </w:t>
      </w:r>
      <w:r w:rsidR="001A2AFA">
        <w:rPr>
          <w:rFonts w:ascii="Times New Roman" w:hAnsi="Times New Roman"/>
        </w:rPr>
        <w:t xml:space="preserve">30 June 2020 to </w:t>
      </w:r>
      <w:r w:rsidR="00AC7006" w:rsidRPr="00ED2856">
        <w:rPr>
          <w:rFonts w:ascii="Times New Roman" w:hAnsi="Times New Roman"/>
        </w:rPr>
        <w:t>avoid a period in which there is no regulatory coverage</w:t>
      </w:r>
      <w:r w:rsidRPr="00ED2856">
        <w:rPr>
          <w:rFonts w:ascii="Times New Roman" w:hAnsi="Times New Roman"/>
        </w:rPr>
        <w:t xml:space="preserve"> and to ensure regulatory certainty</w:t>
      </w:r>
      <w:r w:rsidR="00AC7006" w:rsidRPr="00ED2856">
        <w:rPr>
          <w:rFonts w:ascii="Times New Roman" w:hAnsi="Times New Roman"/>
        </w:rPr>
        <w:t>.</w:t>
      </w:r>
      <w:r w:rsidR="00CD722C">
        <w:rPr>
          <w:rFonts w:ascii="Times New Roman" w:hAnsi="Times New Roman"/>
        </w:rPr>
        <w:t xml:space="preserve"> </w:t>
      </w:r>
    </w:p>
    <w:p w14:paraId="3A34CE84" w14:textId="77777777" w:rsidR="002131AC" w:rsidRPr="00B551AA" w:rsidRDefault="002131AC" w:rsidP="004F615E">
      <w:pPr>
        <w:spacing w:after="200"/>
        <w:rPr>
          <w:rFonts w:ascii="Times New Roman" w:hAnsi="Times New Roman"/>
          <w:b/>
        </w:rPr>
      </w:pPr>
      <w:r w:rsidRPr="00B551AA">
        <w:rPr>
          <w:rFonts w:ascii="Times New Roman" w:hAnsi="Times New Roman"/>
          <w:b/>
        </w:rPr>
        <w:t>Consultation</w:t>
      </w:r>
    </w:p>
    <w:p w14:paraId="3A34CE85" w14:textId="77777777" w:rsidR="004A1FAB" w:rsidRDefault="001A2AFA" w:rsidP="004F615E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64 of the Act requires </w:t>
      </w:r>
      <w:r w:rsidR="000F6AF9" w:rsidRPr="000F6AF9">
        <w:rPr>
          <w:rFonts w:ascii="Times New Roman" w:hAnsi="Times New Roman"/>
        </w:rPr>
        <w:t>that before making an instrument under subsection 63(5) of the Act, the Minister must arrange for a draft version of the instrument to be provided to the licence holder and invite the holder to make a submission to the Minister on the draft.</w:t>
      </w:r>
    </w:p>
    <w:p w14:paraId="5FFAC9D4" w14:textId="77A944FB" w:rsidR="00624C47" w:rsidRPr="00624C47" w:rsidRDefault="000F6AF9" w:rsidP="00624C47">
      <w:pPr>
        <w:spacing w:after="200"/>
        <w:rPr>
          <w:rFonts w:ascii="Times New Roman" w:hAnsi="Times New Roman"/>
          <w:b/>
        </w:rPr>
      </w:pPr>
      <w:r w:rsidRPr="000F6AF9">
        <w:rPr>
          <w:rFonts w:ascii="Times New Roman" w:hAnsi="Times New Roman"/>
        </w:rPr>
        <w:t xml:space="preserve">Consistent with this requirement, the </w:t>
      </w:r>
      <w:r>
        <w:rPr>
          <w:rFonts w:ascii="Times New Roman" w:hAnsi="Times New Roman"/>
        </w:rPr>
        <w:t xml:space="preserve">Department </w:t>
      </w:r>
      <w:r w:rsidR="00C90422">
        <w:rPr>
          <w:rFonts w:ascii="Times New Roman" w:hAnsi="Times New Roman"/>
        </w:rPr>
        <w:t>of Communications and the Arts</w:t>
      </w:r>
      <w:r w:rsidR="005962E1">
        <w:rPr>
          <w:rFonts w:ascii="Times New Roman" w:hAnsi="Times New Roman"/>
        </w:rPr>
        <w:t>,</w:t>
      </w:r>
      <w:r w:rsidR="00C904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the Minister’s behalf</w:t>
      </w:r>
      <w:r w:rsidR="005962E1">
        <w:rPr>
          <w:rFonts w:ascii="Times New Roman" w:hAnsi="Times New Roman"/>
        </w:rPr>
        <w:t xml:space="preserve">, </w:t>
      </w:r>
      <w:r w:rsidR="00E10784">
        <w:rPr>
          <w:rFonts w:ascii="Times New Roman" w:hAnsi="Times New Roman"/>
        </w:rPr>
        <w:t>contacted</w:t>
      </w:r>
      <w:r w:rsidRPr="000F6A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licensed carriers </w:t>
      </w:r>
      <w:r w:rsidRPr="000F6AF9">
        <w:rPr>
          <w:rFonts w:ascii="Times New Roman" w:hAnsi="Times New Roman"/>
        </w:rPr>
        <w:t xml:space="preserve">on </w:t>
      </w:r>
      <w:r w:rsidR="001A2AFA">
        <w:rPr>
          <w:rFonts w:ascii="Times New Roman" w:hAnsi="Times New Roman"/>
        </w:rPr>
        <w:t>23</w:t>
      </w:r>
      <w:r w:rsidR="007D2C33">
        <w:rPr>
          <w:rFonts w:ascii="Times New Roman" w:hAnsi="Times New Roman"/>
        </w:rPr>
        <w:t xml:space="preserve"> </w:t>
      </w:r>
      <w:r w:rsidR="001A2AFA">
        <w:rPr>
          <w:rFonts w:ascii="Times New Roman" w:hAnsi="Times New Roman"/>
        </w:rPr>
        <w:t>April</w:t>
      </w:r>
      <w:r w:rsidRPr="000F6AF9">
        <w:rPr>
          <w:rFonts w:ascii="Times New Roman" w:hAnsi="Times New Roman"/>
        </w:rPr>
        <w:t xml:space="preserve"> </w:t>
      </w:r>
      <w:r w:rsidR="001A2AFA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="00C90422">
        <w:rPr>
          <w:rFonts w:ascii="Times New Roman" w:hAnsi="Times New Roman"/>
        </w:rPr>
        <w:t xml:space="preserve">providing them with a copy of </w:t>
      </w:r>
      <w:r w:rsidRPr="000F6AF9">
        <w:rPr>
          <w:rFonts w:ascii="Times New Roman" w:hAnsi="Times New Roman"/>
        </w:rPr>
        <w:t xml:space="preserve">the </w:t>
      </w:r>
      <w:r w:rsidR="006C5D68">
        <w:rPr>
          <w:rFonts w:ascii="Times New Roman" w:hAnsi="Times New Roman"/>
        </w:rPr>
        <w:t xml:space="preserve">draft </w:t>
      </w:r>
      <w:r w:rsidRPr="000F6AF9">
        <w:rPr>
          <w:rFonts w:ascii="Times New Roman" w:hAnsi="Times New Roman"/>
        </w:rPr>
        <w:t>Amending Declaration</w:t>
      </w:r>
      <w:r w:rsidR="001A2AFA">
        <w:rPr>
          <w:rFonts w:ascii="Times New Roman" w:hAnsi="Times New Roman"/>
        </w:rPr>
        <w:t xml:space="preserve"> and invited</w:t>
      </w:r>
      <w:r w:rsidR="00C90422">
        <w:rPr>
          <w:rFonts w:ascii="Times New Roman" w:hAnsi="Times New Roman"/>
        </w:rPr>
        <w:t xml:space="preserve"> them to give submissions to the Minister </w:t>
      </w:r>
      <w:r w:rsidR="006C5D68">
        <w:rPr>
          <w:rFonts w:ascii="Times New Roman" w:hAnsi="Times New Roman"/>
        </w:rPr>
        <w:t>on the dra</w:t>
      </w:r>
      <w:r w:rsidR="001A2AFA">
        <w:rPr>
          <w:rFonts w:ascii="Times New Roman" w:hAnsi="Times New Roman"/>
        </w:rPr>
        <w:t>ft Amending Declaration</w:t>
      </w:r>
      <w:r w:rsidRPr="000F6AF9">
        <w:rPr>
          <w:rFonts w:ascii="Times New Roman" w:hAnsi="Times New Roman"/>
        </w:rPr>
        <w:t>.</w:t>
      </w:r>
      <w:r w:rsidR="00C90422">
        <w:rPr>
          <w:rFonts w:ascii="Times New Roman" w:hAnsi="Times New Roman"/>
        </w:rPr>
        <w:t xml:space="preserve"> </w:t>
      </w:r>
      <w:r w:rsidR="001A2AFA">
        <w:rPr>
          <w:rFonts w:ascii="Times New Roman" w:hAnsi="Times New Roman"/>
        </w:rPr>
        <w:t>The draft Amending Declaration was</w:t>
      </w:r>
      <w:r w:rsidR="006C5D68">
        <w:rPr>
          <w:rFonts w:ascii="Times New Roman" w:hAnsi="Times New Roman"/>
        </w:rPr>
        <w:t xml:space="preserve"> </w:t>
      </w:r>
      <w:r w:rsidR="00AF72F4">
        <w:rPr>
          <w:rFonts w:ascii="Times New Roman" w:hAnsi="Times New Roman"/>
        </w:rPr>
        <w:t>also pub</w:t>
      </w:r>
      <w:r w:rsidR="00DF07DC">
        <w:rPr>
          <w:rFonts w:ascii="Times New Roman" w:hAnsi="Times New Roman"/>
        </w:rPr>
        <w:t>lished on</w:t>
      </w:r>
      <w:r w:rsidR="00AF72F4">
        <w:rPr>
          <w:rFonts w:ascii="Times New Roman" w:hAnsi="Times New Roman"/>
        </w:rPr>
        <w:t xml:space="preserve"> the Department’s website for public comment. </w:t>
      </w:r>
      <w:r w:rsidR="006C5D68">
        <w:rPr>
          <w:rFonts w:ascii="Times New Roman" w:hAnsi="Times New Roman"/>
        </w:rPr>
        <w:t>F</w:t>
      </w:r>
      <w:r w:rsidR="001A2AFA">
        <w:rPr>
          <w:rFonts w:ascii="Times New Roman" w:hAnsi="Times New Roman"/>
        </w:rPr>
        <w:t>our</w:t>
      </w:r>
      <w:r w:rsidR="00F10664">
        <w:rPr>
          <w:rFonts w:ascii="Times New Roman" w:hAnsi="Times New Roman"/>
        </w:rPr>
        <w:t xml:space="preserve"> </w:t>
      </w:r>
      <w:r w:rsidR="00A84164">
        <w:rPr>
          <w:rFonts w:ascii="Times New Roman" w:hAnsi="Times New Roman"/>
        </w:rPr>
        <w:t>submissions</w:t>
      </w:r>
      <w:r w:rsidR="00AF72F4">
        <w:rPr>
          <w:rFonts w:ascii="Times New Roman" w:hAnsi="Times New Roman"/>
        </w:rPr>
        <w:t xml:space="preserve"> </w:t>
      </w:r>
      <w:r w:rsidR="006C5D68">
        <w:rPr>
          <w:rFonts w:ascii="Times New Roman" w:hAnsi="Times New Roman"/>
        </w:rPr>
        <w:t xml:space="preserve">were received and </w:t>
      </w:r>
      <w:r w:rsidR="000778A7">
        <w:rPr>
          <w:rFonts w:ascii="Times New Roman" w:hAnsi="Times New Roman"/>
        </w:rPr>
        <w:t>none</w:t>
      </w:r>
      <w:r w:rsidR="005D3C6C" w:rsidRPr="00624C47">
        <w:rPr>
          <w:rFonts w:ascii="Times New Roman" w:hAnsi="Times New Roman"/>
        </w:rPr>
        <w:t xml:space="preserve"> opposed extending the Declaration. All</w:t>
      </w:r>
      <w:r w:rsidR="005D3C6C">
        <w:rPr>
          <w:rFonts w:ascii="Times New Roman" w:hAnsi="Times New Roman"/>
        </w:rPr>
        <w:t> </w:t>
      </w:r>
      <w:r w:rsidR="005D3C6C" w:rsidRPr="00624C47">
        <w:rPr>
          <w:rFonts w:ascii="Times New Roman" w:hAnsi="Times New Roman"/>
        </w:rPr>
        <w:t>submissions have been considered by the Minister as part of the making of the Amending Declaration.</w:t>
      </w:r>
      <w:r w:rsidR="005D3C6C" w:rsidRPr="005D3C6C">
        <w:rPr>
          <w:rFonts w:ascii="Times New Roman" w:hAnsi="Times New Roman"/>
          <w:b/>
        </w:rPr>
        <w:t xml:space="preserve"> </w:t>
      </w:r>
      <w:r w:rsidR="00624C47" w:rsidRPr="00624C47">
        <w:rPr>
          <w:rFonts w:ascii="Times New Roman" w:hAnsi="Times New Roman"/>
        </w:rPr>
        <w:t>One submitter conveyed</w:t>
      </w:r>
      <w:r w:rsidR="00624C47">
        <w:rPr>
          <w:rFonts w:ascii="Times New Roman" w:hAnsi="Times New Roman"/>
        </w:rPr>
        <w:t xml:space="preserve"> its view</w:t>
      </w:r>
      <w:r w:rsidR="00624C47" w:rsidRPr="00624C47">
        <w:rPr>
          <w:rFonts w:ascii="Times New Roman" w:hAnsi="Times New Roman"/>
        </w:rPr>
        <w:t xml:space="preserve"> that </w:t>
      </w:r>
      <w:r w:rsidR="00624C47">
        <w:rPr>
          <w:rFonts w:ascii="Times New Roman" w:hAnsi="Times New Roman"/>
        </w:rPr>
        <w:t>th</w:t>
      </w:r>
      <w:r w:rsidR="00624C47" w:rsidRPr="00624C47">
        <w:rPr>
          <w:rFonts w:ascii="Times New Roman" w:hAnsi="Times New Roman"/>
        </w:rPr>
        <w:t xml:space="preserve">e CLCs have so far achieved </w:t>
      </w:r>
      <w:r w:rsidR="00624C47">
        <w:rPr>
          <w:rFonts w:ascii="Times New Roman" w:hAnsi="Times New Roman"/>
        </w:rPr>
        <w:t>the</w:t>
      </w:r>
      <w:r w:rsidR="00624C47" w:rsidRPr="00624C47">
        <w:rPr>
          <w:rFonts w:ascii="Times New Roman" w:hAnsi="Times New Roman"/>
        </w:rPr>
        <w:t xml:space="preserve"> objective of facilitating a fair and more competitive fixed services environment at both consumer and wholesale levels.</w:t>
      </w:r>
    </w:p>
    <w:p w14:paraId="3A34CE87" w14:textId="77777777" w:rsidR="003B185C" w:rsidRPr="003B185C" w:rsidRDefault="003B185C" w:rsidP="004F615E">
      <w:pPr>
        <w:spacing w:after="200"/>
        <w:rPr>
          <w:rFonts w:ascii="Times New Roman" w:hAnsi="Times New Roman"/>
        </w:rPr>
      </w:pPr>
      <w:r w:rsidRPr="003B185C">
        <w:rPr>
          <w:rFonts w:ascii="Times New Roman" w:hAnsi="Times New Roman"/>
        </w:rPr>
        <w:t xml:space="preserve">Details of the accompanying Amending Declaration are set out in </w:t>
      </w:r>
      <w:r w:rsidRPr="0034112F">
        <w:rPr>
          <w:rFonts w:ascii="Times New Roman" w:hAnsi="Times New Roman"/>
          <w:b/>
        </w:rPr>
        <w:t>Attachment 1</w:t>
      </w:r>
      <w:r w:rsidRPr="0034112F">
        <w:rPr>
          <w:rFonts w:ascii="Times New Roman" w:hAnsi="Times New Roman"/>
        </w:rPr>
        <w:t>.</w:t>
      </w:r>
    </w:p>
    <w:p w14:paraId="3A34CE88" w14:textId="77777777" w:rsidR="003B185C" w:rsidRPr="003B185C" w:rsidRDefault="003B185C" w:rsidP="004F615E">
      <w:pPr>
        <w:spacing w:after="200"/>
        <w:rPr>
          <w:rFonts w:ascii="Times New Roman" w:hAnsi="Times New Roman"/>
        </w:rPr>
      </w:pPr>
      <w:r w:rsidRPr="003B185C">
        <w:rPr>
          <w:rFonts w:ascii="Times New Roman" w:hAnsi="Times New Roman"/>
        </w:rPr>
        <w:t xml:space="preserve">The Statement of Compatibility with Human Rights for the Amending Declaration is set out in </w:t>
      </w:r>
      <w:r w:rsidRPr="0034112F">
        <w:rPr>
          <w:rFonts w:ascii="Times New Roman" w:hAnsi="Times New Roman"/>
          <w:b/>
        </w:rPr>
        <w:t>Attachment 2</w:t>
      </w:r>
      <w:r w:rsidRPr="0034112F">
        <w:rPr>
          <w:rFonts w:ascii="Times New Roman" w:hAnsi="Times New Roman"/>
        </w:rPr>
        <w:t>.</w:t>
      </w:r>
    </w:p>
    <w:p w14:paraId="3A34CE89" w14:textId="77777777" w:rsidR="003B185C" w:rsidRDefault="003B185C" w:rsidP="00192E3F">
      <w:pPr>
        <w:ind w:right="91"/>
        <w:rPr>
          <w:rFonts w:ascii="Times New Roman" w:hAnsi="Times New Roman"/>
          <w:u w:val="single"/>
        </w:rPr>
      </w:pPr>
    </w:p>
    <w:p w14:paraId="3A34CE8A" w14:textId="77777777" w:rsidR="003B185C" w:rsidRPr="003B185C" w:rsidRDefault="003B185C" w:rsidP="00192E3F">
      <w:pPr>
        <w:ind w:right="91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br w:type="column"/>
      </w:r>
      <w:r w:rsidRPr="003B185C">
        <w:rPr>
          <w:rFonts w:ascii="Times New Roman" w:hAnsi="Times New Roman"/>
          <w:b/>
        </w:rPr>
        <w:lastRenderedPageBreak/>
        <w:t xml:space="preserve">Attachment 1 </w:t>
      </w:r>
    </w:p>
    <w:p w14:paraId="3A34CE8B" w14:textId="77777777" w:rsidR="00E00750" w:rsidRPr="001811FE" w:rsidRDefault="00D54AB9" w:rsidP="00192E3F">
      <w:pPr>
        <w:ind w:right="91"/>
        <w:jc w:val="center"/>
        <w:rPr>
          <w:rFonts w:ascii="Times New Roman" w:hAnsi="Times New Roman"/>
          <w:b/>
        </w:rPr>
      </w:pPr>
      <w:r w:rsidRPr="001811FE">
        <w:rPr>
          <w:rFonts w:ascii="Times New Roman" w:hAnsi="Times New Roman"/>
          <w:b/>
        </w:rPr>
        <w:t>N</w:t>
      </w:r>
      <w:r w:rsidR="00E00750" w:rsidRPr="001811FE">
        <w:rPr>
          <w:rFonts w:ascii="Times New Roman" w:hAnsi="Times New Roman"/>
          <w:b/>
        </w:rPr>
        <w:t xml:space="preserve">otes on </w:t>
      </w:r>
      <w:r w:rsidR="00103DE9" w:rsidRPr="001811FE">
        <w:rPr>
          <w:rFonts w:ascii="Times New Roman" w:hAnsi="Times New Roman"/>
          <w:b/>
        </w:rPr>
        <w:t>Sections</w:t>
      </w:r>
    </w:p>
    <w:p w14:paraId="3A34CE8C" w14:textId="77777777" w:rsidR="006E2969" w:rsidRPr="001811FE" w:rsidRDefault="00103DE9" w:rsidP="00E10784">
      <w:pPr>
        <w:spacing w:after="120"/>
        <w:rPr>
          <w:rFonts w:ascii="Times New Roman" w:hAnsi="Times New Roman"/>
          <w:b/>
        </w:rPr>
      </w:pPr>
      <w:r w:rsidRPr="001811FE">
        <w:rPr>
          <w:rFonts w:ascii="Times New Roman" w:hAnsi="Times New Roman"/>
          <w:b/>
        </w:rPr>
        <w:t xml:space="preserve">Section </w:t>
      </w:r>
      <w:r w:rsidR="00E00750" w:rsidRPr="001811FE">
        <w:rPr>
          <w:rFonts w:ascii="Times New Roman" w:hAnsi="Times New Roman"/>
          <w:b/>
        </w:rPr>
        <w:t xml:space="preserve">1 </w:t>
      </w:r>
    </w:p>
    <w:p w14:paraId="3A34CE8D" w14:textId="77777777" w:rsidR="006E2969" w:rsidRPr="006E2969" w:rsidRDefault="006E2969" w:rsidP="004F615E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1 </w:t>
      </w:r>
      <w:r w:rsidR="00E00750" w:rsidRPr="00A85F74">
        <w:rPr>
          <w:rFonts w:ascii="Times New Roman" w:hAnsi="Times New Roman"/>
        </w:rPr>
        <w:t xml:space="preserve">provides that the name of the </w:t>
      </w:r>
      <w:r w:rsidR="002131AC" w:rsidRPr="00A85F74">
        <w:rPr>
          <w:rFonts w:ascii="Times New Roman" w:hAnsi="Times New Roman"/>
        </w:rPr>
        <w:t xml:space="preserve">instrument </w:t>
      </w:r>
      <w:r w:rsidR="00E00750" w:rsidRPr="00A85F74">
        <w:rPr>
          <w:rFonts w:ascii="Times New Roman" w:hAnsi="Times New Roman"/>
        </w:rPr>
        <w:t xml:space="preserve">is the </w:t>
      </w:r>
      <w:r w:rsidRPr="00CC4BAE">
        <w:rPr>
          <w:rFonts w:ascii="Times New Roman" w:hAnsi="Times New Roman"/>
          <w:i/>
        </w:rPr>
        <w:t xml:space="preserve">Carrier Licence Conditions (Networks supplying </w:t>
      </w:r>
      <w:r w:rsidRPr="0034112F">
        <w:rPr>
          <w:rFonts w:ascii="Times New Roman" w:hAnsi="Times New Roman"/>
          <w:i/>
        </w:rPr>
        <w:t xml:space="preserve">Superfast Carriage Services to Residential Customers) Declaration 2014 </w:t>
      </w:r>
      <w:r w:rsidR="001A2AFA">
        <w:rPr>
          <w:rFonts w:ascii="Times New Roman" w:hAnsi="Times New Roman"/>
          <w:i/>
        </w:rPr>
        <w:t>(Amendment No.1 of 2018</w:t>
      </w:r>
      <w:r w:rsidRPr="0034112F">
        <w:rPr>
          <w:rFonts w:ascii="Times New Roman" w:hAnsi="Times New Roman"/>
          <w:i/>
        </w:rPr>
        <w:t>).</w:t>
      </w:r>
    </w:p>
    <w:p w14:paraId="3A34CE8E" w14:textId="77777777" w:rsidR="006E2969" w:rsidRPr="001811FE" w:rsidRDefault="00103DE9" w:rsidP="00E10784">
      <w:pPr>
        <w:spacing w:before="240" w:after="120"/>
        <w:rPr>
          <w:rFonts w:ascii="Times New Roman" w:hAnsi="Times New Roman"/>
          <w:b/>
        </w:rPr>
      </w:pPr>
      <w:r w:rsidRPr="001811FE">
        <w:rPr>
          <w:rFonts w:ascii="Times New Roman" w:hAnsi="Times New Roman"/>
          <w:b/>
        </w:rPr>
        <w:t xml:space="preserve">Section </w:t>
      </w:r>
      <w:r w:rsidR="00E00750" w:rsidRPr="001811FE">
        <w:rPr>
          <w:rFonts w:ascii="Times New Roman" w:hAnsi="Times New Roman"/>
          <w:b/>
        </w:rPr>
        <w:t xml:space="preserve">2 </w:t>
      </w:r>
    </w:p>
    <w:p w14:paraId="3A34CE8F" w14:textId="77777777" w:rsidR="00E00750" w:rsidRPr="00A85F74" w:rsidRDefault="006E2969" w:rsidP="004F615E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2 </w:t>
      </w:r>
      <w:r w:rsidR="00E00750" w:rsidRPr="00A85F74">
        <w:rPr>
          <w:rFonts w:ascii="Times New Roman" w:hAnsi="Times New Roman"/>
        </w:rPr>
        <w:t xml:space="preserve">provides that the </w:t>
      </w:r>
      <w:r w:rsidR="002131AC" w:rsidRPr="00A85F74">
        <w:rPr>
          <w:rFonts w:ascii="Times New Roman" w:hAnsi="Times New Roman"/>
        </w:rPr>
        <w:t xml:space="preserve">instrument </w:t>
      </w:r>
      <w:r w:rsidR="00E00750" w:rsidRPr="00A85F74">
        <w:rPr>
          <w:rFonts w:ascii="Times New Roman" w:hAnsi="Times New Roman"/>
        </w:rPr>
        <w:t>will commence on</w:t>
      </w:r>
      <w:r>
        <w:rPr>
          <w:rFonts w:ascii="Times New Roman" w:hAnsi="Times New Roman"/>
        </w:rPr>
        <w:t xml:space="preserve"> </w:t>
      </w:r>
      <w:r w:rsidRPr="006E2969">
        <w:rPr>
          <w:rFonts w:ascii="Times New Roman" w:hAnsi="Times New Roman"/>
        </w:rPr>
        <w:t>the day after it is registered on the Federal Register of Legislation.</w:t>
      </w:r>
    </w:p>
    <w:p w14:paraId="3A34CE90" w14:textId="77777777" w:rsidR="006E2969" w:rsidRPr="001811FE" w:rsidRDefault="00103DE9" w:rsidP="00E10784">
      <w:pPr>
        <w:spacing w:before="240" w:after="120"/>
        <w:ind w:right="91"/>
        <w:rPr>
          <w:rFonts w:ascii="Times New Roman" w:hAnsi="Times New Roman"/>
          <w:b/>
        </w:rPr>
      </w:pPr>
      <w:r w:rsidRPr="001811FE">
        <w:rPr>
          <w:rFonts w:ascii="Times New Roman" w:hAnsi="Times New Roman"/>
          <w:b/>
        </w:rPr>
        <w:t xml:space="preserve">Section </w:t>
      </w:r>
      <w:r w:rsidR="00E00750" w:rsidRPr="001811FE">
        <w:rPr>
          <w:rFonts w:ascii="Times New Roman" w:hAnsi="Times New Roman"/>
          <w:b/>
        </w:rPr>
        <w:t>3</w:t>
      </w:r>
      <w:r w:rsidR="006E2969" w:rsidRPr="001811FE">
        <w:rPr>
          <w:rFonts w:ascii="Times New Roman" w:hAnsi="Times New Roman"/>
          <w:b/>
        </w:rPr>
        <w:t xml:space="preserve"> </w:t>
      </w:r>
    </w:p>
    <w:p w14:paraId="3A34CE91" w14:textId="77777777" w:rsidR="00E00750" w:rsidRPr="006E2969" w:rsidRDefault="006E2969" w:rsidP="004F615E">
      <w:pPr>
        <w:spacing w:after="200"/>
        <w:rPr>
          <w:rFonts w:ascii="Times New Roman" w:hAnsi="Times New Roman"/>
        </w:rPr>
      </w:pPr>
      <w:r w:rsidRPr="006E2969">
        <w:rPr>
          <w:rFonts w:ascii="Times New Roman" w:hAnsi="Times New Roman"/>
        </w:rPr>
        <w:t xml:space="preserve">Section 3 provides the legislative authority </w:t>
      </w:r>
      <w:r w:rsidR="00A84164">
        <w:rPr>
          <w:rFonts w:ascii="Times New Roman" w:hAnsi="Times New Roman"/>
        </w:rPr>
        <w:t xml:space="preserve">for the instrument. The Amending Declaration is </w:t>
      </w:r>
      <w:r w:rsidRPr="006E2969">
        <w:rPr>
          <w:rFonts w:ascii="Times New Roman" w:hAnsi="Times New Roman"/>
        </w:rPr>
        <w:t xml:space="preserve">made under subsection 63(5) of the </w:t>
      </w:r>
      <w:r w:rsidRPr="0034112F">
        <w:rPr>
          <w:rFonts w:ascii="Times New Roman" w:hAnsi="Times New Roman"/>
          <w:i/>
        </w:rPr>
        <w:t>Telecommunications Act 1997</w:t>
      </w:r>
      <w:r w:rsidRPr="006E2969">
        <w:rPr>
          <w:rFonts w:ascii="Times New Roman" w:hAnsi="Times New Roman"/>
        </w:rPr>
        <w:t>.</w:t>
      </w:r>
    </w:p>
    <w:p w14:paraId="3A34CE92" w14:textId="77777777" w:rsidR="003B185C" w:rsidRPr="001811FE" w:rsidRDefault="006E2969" w:rsidP="00E10784">
      <w:pPr>
        <w:spacing w:before="240" w:after="120"/>
        <w:ind w:right="91"/>
        <w:rPr>
          <w:rFonts w:ascii="Times New Roman" w:hAnsi="Times New Roman"/>
          <w:b/>
        </w:rPr>
      </w:pPr>
      <w:r w:rsidRPr="001811FE">
        <w:rPr>
          <w:rFonts w:ascii="Times New Roman" w:hAnsi="Times New Roman"/>
          <w:b/>
        </w:rPr>
        <w:t xml:space="preserve">Section </w:t>
      </w:r>
      <w:r w:rsidR="00E00750" w:rsidRPr="001811FE">
        <w:rPr>
          <w:rFonts w:ascii="Times New Roman" w:hAnsi="Times New Roman"/>
          <w:b/>
        </w:rPr>
        <w:t>4</w:t>
      </w:r>
    </w:p>
    <w:p w14:paraId="3A34CE93" w14:textId="5D2E3BC5" w:rsidR="001811FE" w:rsidRDefault="001811FE" w:rsidP="004F615E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Section 4</w:t>
      </w:r>
      <w:r w:rsidR="006E2969" w:rsidRPr="006E2969">
        <w:rPr>
          <w:rFonts w:ascii="Times New Roman" w:hAnsi="Times New Roman"/>
        </w:rPr>
        <w:t xml:space="preserve"> of the Amending Declaration provides that the Declaration is varied in the terms set out in the Schedule to the Amending Declaration. </w:t>
      </w:r>
    </w:p>
    <w:p w14:paraId="3A34CE94" w14:textId="77777777" w:rsidR="001811FE" w:rsidRDefault="001811FE" w:rsidP="00E10784">
      <w:pPr>
        <w:spacing w:before="240" w:after="200"/>
        <w:rPr>
          <w:rFonts w:ascii="Times New Roman" w:hAnsi="Times New Roman"/>
          <w:b/>
        </w:rPr>
      </w:pPr>
      <w:r w:rsidRPr="001811FE">
        <w:rPr>
          <w:rFonts w:ascii="Times New Roman" w:hAnsi="Times New Roman"/>
          <w:b/>
        </w:rPr>
        <w:t>Schedule to the Amending Declaration</w:t>
      </w:r>
    </w:p>
    <w:p w14:paraId="3A34CE95" w14:textId="77777777" w:rsidR="005962E1" w:rsidRPr="004F615E" w:rsidRDefault="005962E1" w:rsidP="00E10784">
      <w:pPr>
        <w:spacing w:before="240" w:after="200"/>
        <w:rPr>
          <w:rFonts w:ascii="Times New Roman" w:hAnsi="Times New Roman"/>
          <w:b/>
        </w:rPr>
      </w:pPr>
      <w:r w:rsidRPr="004F615E">
        <w:rPr>
          <w:rFonts w:ascii="Times New Roman" w:hAnsi="Times New Roman"/>
          <w:b/>
        </w:rPr>
        <w:t xml:space="preserve">Item 1 </w:t>
      </w:r>
    </w:p>
    <w:p w14:paraId="3A34CE96" w14:textId="06C9085B" w:rsidR="00623534" w:rsidRDefault="00623534" w:rsidP="004F615E">
      <w:pPr>
        <w:spacing w:after="200"/>
        <w:rPr>
          <w:rFonts w:ascii="Times New Roman" w:hAnsi="Times New Roman"/>
        </w:rPr>
      </w:pPr>
      <w:r w:rsidRPr="00623534">
        <w:rPr>
          <w:rFonts w:ascii="Times New Roman" w:hAnsi="Times New Roman"/>
        </w:rPr>
        <w:lastRenderedPageBreak/>
        <w:t xml:space="preserve">Item 1 </w:t>
      </w:r>
      <w:r>
        <w:rPr>
          <w:rFonts w:ascii="Times New Roman" w:hAnsi="Times New Roman"/>
        </w:rPr>
        <w:t>amends the expiry date set out in s</w:t>
      </w:r>
      <w:r w:rsidRPr="00623534">
        <w:rPr>
          <w:rFonts w:ascii="Times New Roman" w:hAnsi="Times New Roman"/>
        </w:rPr>
        <w:t>ection 3</w:t>
      </w:r>
      <w:r>
        <w:rPr>
          <w:rFonts w:ascii="Times New Roman" w:hAnsi="Times New Roman"/>
        </w:rPr>
        <w:t xml:space="preserve"> of the Declaration. The date is changed from </w:t>
      </w:r>
      <w:r w:rsidR="007D2C33">
        <w:rPr>
          <w:rFonts w:ascii="Times New Roman" w:hAnsi="Times New Roman"/>
        </w:rPr>
        <w:t>‘</w:t>
      </w:r>
      <w:r>
        <w:rPr>
          <w:rFonts w:ascii="Times New Roman" w:hAnsi="Times New Roman"/>
        </w:rPr>
        <w:t>30 June 2018</w:t>
      </w:r>
      <w:r w:rsidR="007D2C33">
        <w:rPr>
          <w:rFonts w:ascii="Times New Roman" w:hAnsi="Times New Roman"/>
        </w:rPr>
        <w:t xml:space="preserve">’ </w:t>
      </w:r>
      <w:r w:rsidR="001834E4">
        <w:rPr>
          <w:rFonts w:ascii="Times New Roman" w:hAnsi="Times New Roman"/>
        </w:rPr>
        <w:t xml:space="preserve">to </w:t>
      </w:r>
      <w:r w:rsidR="007D2C33">
        <w:rPr>
          <w:rFonts w:ascii="Times New Roman" w:hAnsi="Times New Roman"/>
        </w:rPr>
        <w:t>‘</w:t>
      </w:r>
      <w:r w:rsidR="001834E4">
        <w:rPr>
          <w:rFonts w:ascii="Times New Roman" w:hAnsi="Times New Roman"/>
        </w:rPr>
        <w:t>30 June 2020</w:t>
      </w:r>
      <w:r w:rsidR="007D2C33">
        <w:rPr>
          <w:rFonts w:ascii="Times New Roman" w:hAnsi="Times New Roman"/>
        </w:rPr>
        <w:t>’</w:t>
      </w:r>
      <w:r>
        <w:rPr>
          <w:rFonts w:ascii="Times New Roman" w:hAnsi="Times New Roman"/>
        </w:rPr>
        <w:t>.</w:t>
      </w:r>
    </w:p>
    <w:p w14:paraId="3A34CE97" w14:textId="77777777" w:rsidR="005962E1" w:rsidRPr="004F615E" w:rsidRDefault="001834E4" w:rsidP="00E10784">
      <w:pPr>
        <w:spacing w:before="240" w:after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Items 2</w:t>
      </w:r>
    </w:p>
    <w:p w14:paraId="3A34CE98" w14:textId="0B6E8DA2" w:rsidR="005962E1" w:rsidRDefault="00623534" w:rsidP="001834E4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Item 2 </w:t>
      </w:r>
      <w:r w:rsidR="001834E4">
        <w:rPr>
          <w:rFonts w:ascii="Times New Roman" w:hAnsi="Times New Roman"/>
        </w:rPr>
        <w:t xml:space="preserve">replaces </w:t>
      </w:r>
      <w:r w:rsidR="007D2C33">
        <w:rPr>
          <w:rFonts w:ascii="Times New Roman" w:hAnsi="Times New Roman"/>
        </w:rPr>
        <w:t>the reference date of ‘</w:t>
      </w:r>
      <w:r w:rsidR="001834E4">
        <w:rPr>
          <w:rFonts w:ascii="Times New Roman" w:hAnsi="Times New Roman"/>
        </w:rPr>
        <w:t>30 June 2018</w:t>
      </w:r>
      <w:r w:rsidR="007D2C33">
        <w:rPr>
          <w:rFonts w:ascii="Times New Roman" w:hAnsi="Times New Roman"/>
        </w:rPr>
        <w:t xml:space="preserve">’at paragraph 6(1)(c) of the Declaration </w:t>
      </w:r>
      <w:r w:rsidR="001834E4">
        <w:rPr>
          <w:rFonts w:ascii="Times New Roman" w:hAnsi="Times New Roman"/>
        </w:rPr>
        <w:t xml:space="preserve">with </w:t>
      </w:r>
      <w:r w:rsidR="007D2C33">
        <w:rPr>
          <w:rFonts w:ascii="Times New Roman" w:hAnsi="Times New Roman"/>
        </w:rPr>
        <w:t>the date ‘</w:t>
      </w:r>
      <w:r w:rsidR="001834E4">
        <w:rPr>
          <w:rFonts w:ascii="Times New Roman" w:hAnsi="Times New Roman"/>
        </w:rPr>
        <w:t>30 June 2020</w:t>
      </w:r>
      <w:r w:rsidR="007D2C33">
        <w:rPr>
          <w:rFonts w:ascii="Times New Roman" w:hAnsi="Times New Roman"/>
        </w:rPr>
        <w:t>’, for alignment with the change being made by Item 1</w:t>
      </w:r>
      <w:r w:rsidR="001834E4">
        <w:rPr>
          <w:rFonts w:ascii="Times New Roman" w:hAnsi="Times New Roman"/>
        </w:rPr>
        <w:t>.</w:t>
      </w:r>
    </w:p>
    <w:p w14:paraId="3A34CE99" w14:textId="77777777" w:rsidR="002C2DBC" w:rsidRDefault="002C2DBC" w:rsidP="007515E8">
      <w:pPr>
        <w:spacing w:after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A34CE9A" w14:textId="77777777" w:rsidR="003B185C" w:rsidRPr="003B185C" w:rsidRDefault="003B185C" w:rsidP="002C2DBC">
      <w:pPr>
        <w:spacing w:after="200"/>
        <w:jc w:val="right"/>
        <w:rPr>
          <w:rFonts w:ascii="Times New Roman" w:hAnsi="Times New Roman"/>
          <w:b/>
          <w:bCs/>
        </w:rPr>
      </w:pPr>
      <w:r w:rsidRPr="003B185C">
        <w:rPr>
          <w:rFonts w:ascii="Times New Roman" w:hAnsi="Times New Roman"/>
          <w:b/>
          <w:bCs/>
        </w:rPr>
        <w:lastRenderedPageBreak/>
        <w:t xml:space="preserve">Attachment 2 </w:t>
      </w:r>
    </w:p>
    <w:p w14:paraId="3A34CE9B" w14:textId="77777777" w:rsidR="003B185C" w:rsidRPr="003B185C" w:rsidRDefault="003B185C" w:rsidP="00192E3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</w:rPr>
      </w:pPr>
      <w:r w:rsidRPr="003B185C">
        <w:rPr>
          <w:rFonts w:ascii="Times New Roman" w:hAnsi="Times New Roman"/>
          <w:b/>
          <w:bCs/>
          <w:i/>
          <w:iCs/>
        </w:rPr>
        <w:t>Statement of Compatibility with Human Rights</w:t>
      </w:r>
    </w:p>
    <w:p w14:paraId="3A34CE9C" w14:textId="77777777" w:rsidR="003B185C" w:rsidRPr="003B185C" w:rsidRDefault="003B185C" w:rsidP="00192E3F">
      <w:pPr>
        <w:jc w:val="center"/>
        <w:rPr>
          <w:rFonts w:ascii="Times New Roman" w:hAnsi="Times New Roman"/>
          <w:b/>
          <w:i/>
        </w:rPr>
      </w:pPr>
      <w:r w:rsidRPr="003B185C">
        <w:rPr>
          <w:rFonts w:ascii="Times New Roman" w:hAnsi="Times New Roman"/>
          <w:b/>
          <w:i/>
        </w:rPr>
        <w:t>Carrier Licence Conditions (Networks supplying Superfast Carriage Services to Residential Customers) Declaration 2014 (Amendment No.1 of 201</w:t>
      </w:r>
      <w:r w:rsidR="00ED2856">
        <w:rPr>
          <w:rFonts w:ascii="Times New Roman" w:hAnsi="Times New Roman"/>
          <w:b/>
          <w:i/>
        </w:rPr>
        <w:t>8</w:t>
      </w:r>
      <w:r w:rsidRPr="003B185C">
        <w:rPr>
          <w:rFonts w:ascii="Times New Roman" w:hAnsi="Times New Roman"/>
          <w:b/>
          <w:i/>
        </w:rPr>
        <w:t>)</w:t>
      </w:r>
    </w:p>
    <w:p w14:paraId="3A34CE9E" w14:textId="424DC3E9" w:rsidR="003B185C" w:rsidRPr="003B185C" w:rsidRDefault="00643CEF" w:rsidP="00305944">
      <w:pPr>
        <w:spacing w:after="200"/>
        <w:rPr>
          <w:rFonts w:ascii="Times New Roman" w:hAnsi="Times New Roman"/>
        </w:rPr>
      </w:pPr>
      <w:r w:rsidRPr="0034112F">
        <w:rPr>
          <w:rFonts w:ascii="Times New Roman" w:hAnsi="Times New Roman"/>
        </w:rPr>
        <w:t xml:space="preserve">This statement is prepared in accordance with Part 3 of the </w:t>
      </w:r>
      <w:r w:rsidRPr="0034112F">
        <w:rPr>
          <w:rFonts w:ascii="Times New Roman" w:hAnsi="Times New Roman"/>
          <w:i/>
        </w:rPr>
        <w:t>Human Rights (Parliamentary Scrutiny) Act 2011</w:t>
      </w:r>
      <w:r w:rsidRPr="0034112F">
        <w:rPr>
          <w:rFonts w:ascii="Times New Roman" w:hAnsi="Times New Roman"/>
        </w:rPr>
        <w:t>.</w:t>
      </w:r>
      <w:r w:rsidR="00E10784">
        <w:rPr>
          <w:rFonts w:ascii="Times New Roman" w:hAnsi="Times New Roman"/>
        </w:rPr>
        <w:t xml:space="preserve"> </w:t>
      </w:r>
      <w:r w:rsidR="003B185C" w:rsidRPr="003B185C">
        <w:rPr>
          <w:rFonts w:ascii="Times New Roman" w:hAnsi="Times New Roman"/>
        </w:rPr>
        <w:t xml:space="preserve">The </w:t>
      </w:r>
      <w:r w:rsidR="003B185C" w:rsidRPr="0034112F">
        <w:rPr>
          <w:rFonts w:ascii="Times New Roman" w:hAnsi="Times New Roman"/>
          <w:i/>
        </w:rPr>
        <w:t>Carrier Licence Conditions (Networks supplying Superfast Carriage Services to Residential Customers) Declarat</w:t>
      </w:r>
      <w:r w:rsidR="00ED2856">
        <w:rPr>
          <w:rFonts w:ascii="Times New Roman" w:hAnsi="Times New Roman"/>
          <w:i/>
        </w:rPr>
        <w:t>ion 2014 (Amendment No.1 of 2018</w:t>
      </w:r>
      <w:r w:rsidR="003B185C" w:rsidRPr="0034112F">
        <w:rPr>
          <w:rFonts w:ascii="Times New Roman" w:hAnsi="Times New Roman"/>
          <w:i/>
        </w:rPr>
        <w:t>)</w:t>
      </w:r>
      <w:r w:rsidR="003B185C" w:rsidRPr="003B185C">
        <w:rPr>
          <w:rFonts w:ascii="Times New Roman" w:hAnsi="Times New Roman"/>
        </w:rPr>
        <w:t xml:space="preserve"> (the</w:t>
      </w:r>
      <w:r w:rsidR="00E10784">
        <w:rPr>
          <w:rFonts w:ascii="Times New Roman" w:hAnsi="Times New Roman"/>
        </w:rPr>
        <w:t> </w:t>
      </w:r>
      <w:r w:rsidR="003B185C" w:rsidRPr="003B185C">
        <w:rPr>
          <w:rFonts w:ascii="Times New Roman" w:hAnsi="Times New Roman"/>
        </w:rPr>
        <w:t>Amending Declaration) is compatible wi</w:t>
      </w:r>
      <w:r w:rsidR="001834E4">
        <w:rPr>
          <w:rFonts w:ascii="Times New Roman" w:hAnsi="Times New Roman"/>
        </w:rPr>
        <w:t xml:space="preserve">th the </w:t>
      </w:r>
      <w:r w:rsidR="00691A23">
        <w:rPr>
          <w:rFonts w:ascii="Times New Roman" w:hAnsi="Times New Roman"/>
        </w:rPr>
        <w:t xml:space="preserve">human </w:t>
      </w:r>
      <w:r w:rsidR="001834E4">
        <w:rPr>
          <w:rFonts w:ascii="Times New Roman" w:hAnsi="Times New Roman"/>
        </w:rPr>
        <w:t xml:space="preserve">rights </w:t>
      </w:r>
      <w:r w:rsidR="00691A23">
        <w:rPr>
          <w:rFonts w:ascii="Times New Roman" w:hAnsi="Times New Roman"/>
        </w:rPr>
        <w:t>and freedoms recognised or declared</w:t>
      </w:r>
      <w:r w:rsidR="003B185C" w:rsidRPr="003B185C">
        <w:rPr>
          <w:rFonts w:ascii="Times New Roman" w:hAnsi="Times New Roman"/>
        </w:rPr>
        <w:t xml:space="preserve"> in the international instruments listed in section 3 of the </w:t>
      </w:r>
      <w:r w:rsidR="001834E4" w:rsidRPr="001834E4">
        <w:rPr>
          <w:rFonts w:ascii="Times New Roman" w:hAnsi="Times New Roman"/>
          <w:i/>
        </w:rPr>
        <w:t>Human Rights (Parliamentary Scrutiny) Act 2011</w:t>
      </w:r>
      <w:r w:rsidR="003B185C" w:rsidRPr="003B185C">
        <w:rPr>
          <w:rFonts w:ascii="Times New Roman" w:hAnsi="Times New Roman"/>
        </w:rPr>
        <w:t>.</w:t>
      </w:r>
    </w:p>
    <w:p w14:paraId="3A34CE9F" w14:textId="77777777" w:rsidR="003B185C" w:rsidRPr="003B185C" w:rsidRDefault="003B185C" w:rsidP="004E64D2">
      <w:pPr>
        <w:spacing w:after="120"/>
        <w:rPr>
          <w:rFonts w:ascii="Times New Roman" w:hAnsi="Times New Roman"/>
          <w:b/>
        </w:rPr>
      </w:pPr>
      <w:r w:rsidRPr="003B185C">
        <w:rPr>
          <w:rFonts w:ascii="Times New Roman" w:hAnsi="Times New Roman"/>
          <w:b/>
        </w:rPr>
        <w:t>Overview of the Amend</w:t>
      </w:r>
      <w:r w:rsidR="004A2AE8" w:rsidRPr="0034112F">
        <w:rPr>
          <w:rFonts w:ascii="Times New Roman" w:hAnsi="Times New Roman"/>
          <w:b/>
        </w:rPr>
        <w:t xml:space="preserve">ing </w:t>
      </w:r>
      <w:r w:rsidRPr="003B185C">
        <w:rPr>
          <w:rFonts w:ascii="Times New Roman" w:hAnsi="Times New Roman"/>
          <w:b/>
        </w:rPr>
        <w:t xml:space="preserve">Declaration </w:t>
      </w:r>
    </w:p>
    <w:p w14:paraId="3A34CEA1" w14:textId="67084211" w:rsidR="003B185C" w:rsidRDefault="00643CEF" w:rsidP="00305944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Licensed carriers are </w:t>
      </w:r>
      <w:r w:rsidRPr="003B185C">
        <w:rPr>
          <w:rFonts w:ascii="Times New Roman" w:hAnsi="Times New Roman"/>
        </w:rPr>
        <w:t xml:space="preserve">currently subject to two classes of carrier licence conditions: standard licence conditions under the </w:t>
      </w:r>
      <w:r w:rsidRPr="002C2DBC">
        <w:rPr>
          <w:rFonts w:ascii="Times New Roman" w:hAnsi="Times New Roman"/>
          <w:i/>
        </w:rPr>
        <w:t>Telecommunications Act 1997</w:t>
      </w:r>
      <w:r w:rsidR="003C30A7">
        <w:rPr>
          <w:rFonts w:ascii="Times New Roman" w:hAnsi="Times New Roman"/>
          <w:i/>
        </w:rPr>
        <w:t xml:space="preserve"> </w:t>
      </w:r>
      <w:r w:rsidR="003C30A7">
        <w:rPr>
          <w:rFonts w:ascii="Times New Roman" w:hAnsi="Times New Roman"/>
        </w:rPr>
        <w:t>(the Act)</w:t>
      </w:r>
      <w:r w:rsidRPr="003B185C">
        <w:rPr>
          <w:rFonts w:ascii="Times New Roman" w:hAnsi="Times New Roman"/>
        </w:rPr>
        <w:t xml:space="preserve">; and specific licence conditions </w:t>
      </w:r>
      <w:r>
        <w:rPr>
          <w:rFonts w:ascii="Times New Roman" w:hAnsi="Times New Roman"/>
        </w:rPr>
        <w:t xml:space="preserve">made by the Minister under section 63 of the </w:t>
      </w:r>
      <w:r w:rsidR="003C30A7">
        <w:rPr>
          <w:rFonts w:ascii="Times New Roman" w:hAnsi="Times New Roman"/>
        </w:rPr>
        <w:t>Act</w:t>
      </w:r>
      <w:r w:rsidRPr="003B185C">
        <w:rPr>
          <w:rFonts w:ascii="Times New Roman" w:hAnsi="Times New Roman"/>
        </w:rPr>
        <w:t xml:space="preserve">. </w:t>
      </w:r>
      <w:r w:rsidR="003B185C" w:rsidRPr="003B185C">
        <w:rPr>
          <w:rFonts w:ascii="Times New Roman" w:hAnsi="Times New Roman"/>
        </w:rPr>
        <w:t xml:space="preserve">The purpose of the Amending Declaration is to </w:t>
      </w:r>
      <w:r w:rsidR="003B185C">
        <w:rPr>
          <w:rFonts w:ascii="Times New Roman" w:hAnsi="Times New Roman"/>
        </w:rPr>
        <w:t xml:space="preserve">extend the expiry date of the </w:t>
      </w:r>
      <w:r w:rsidR="004E64D2" w:rsidRPr="004E64D2">
        <w:rPr>
          <w:rFonts w:ascii="Times New Roman" w:hAnsi="Times New Roman"/>
          <w:i/>
          <w:iCs/>
        </w:rPr>
        <w:t xml:space="preserve">Carrier Licence Conditions (Networks supplying superfast carriage services to residential customers) Declaration 2014 </w:t>
      </w:r>
      <w:r w:rsidR="004E64D2" w:rsidRPr="004E64D2">
        <w:rPr>
          <w:rFonts w:ascii="Times New Roman" w:hAnsi="Times New Roman"/>
        </w:rPr>
        <w:t>(</w:t>
      </w:r>
      <w:r w:rsidR="001834E4">
        <w:rPr>
          <w:rFonts w:ascii="Times New Roman" w:hAnsi="Times New Roman"/>
        </w:rPr>
        <w:t>Declaration</w:t>
      </w:r>
      <w:r w:rsidR="004E64D2">
        <w:rPr>
          <w:rFonts w:ascii="Times New Roman" w:hAnsi="Times New Roman"/>
        </w:rPr>
        <w:t>)</w:t>
      </w:r>
      <w:r w:rsidR="001834E4">
        <w:rPr>
          <w:rFonts w:ascii="Times New Roman" w:hAnsi="Times New Roman"/>
        </w:rPr>
        <w:t xml:space="preserve"> </w:t>
      </w:r>
      <w:r w:rsidR="00E10784">
        <w:rPr>
          <w:rFonts w:ascii="Times New Roman" w:hAnsi="Times New Roman"/>
        </w:rPr>
        <w:t>to 30 June 2020</w:t>
      </w:r>
      <w:r w:rsidR="003B185C">
        <w:rPr>
          <w:rFonts w:ascii="Times New Roman" w:hAnsi="Times New Roman"/>
        </w:rPr>
        <w:t xml:space="preserve">.  </w:t>
      </w:r>
    </w:p>
    <w:p w14:paraId="3A34CEA2" w14:textId="42DB78D1" w:rsidR="007C47EA" w:rsidRDefault="003B185C" w:rsidP="00305944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Declaration was </w:t>
      </w:r>
      <w:r w:rsidRPr="003B185C">
        <w:rPr>
          <w:rFonts w:ascii="Times New Roman" w:hAnsi="Times New Roman"/>
        </w:rPr>
        <w:t xml:space="preserve">made </w:t>
      </w:r>
      <w:r w:rsidR="008A4120">
        <w:rPr>
          <w:rFonts w:ascii="Times New Roman" w:hAnsi="Times New Roman"/>
        </w:rPr>
        <w:t xml:space="preserve">on 14 </w:t>
      </w:r>
      <w:r w:rsidRPr="003B185C">
        <w:rPr>
          <w:rFonts w:ascii="Times New Roman" w:hAnsi="Times New Roman"/>
        </w:rPr>
        <w:t xml:space="preserve">December 2014 </w:t>
      </w:r>
      <w:r w:rsidR="00E10784" w:rsidRPr="00E10784">
        <w:rPr>
          <w:rFonts w:ascii="Times New Roman" w:hAnsi="Times New Roman"/>
        </w:rPr>
        <w:t xml:space="preserve">and </w:t>
      </w:r>
      <w:r w:rsidR="001834E4">
        <w:rPr>
          <w:rFonts w:ascii="Times New Roman" w:hAnsi="Times New Roman"/>
        </w:rPr>
        <w:t>impose</w:t>
      </w:r>
      <w:r w:rsidR="00E26122">
        <w:rPr>
          <w:rFonts w:ascii="Times New Roman" w:hAnsi="Times New Roman"/>
        </w:rPr>
        <w:t>s</w:t>
      </w:r>
      <w:r w:rsidR="003C30A7">
        <w:rPr>
          <w:rFonts w:ascii="Times New Roman" w:hAnsi="Times New Roman"/>
        </w:rPr>
        <w:t xml:space="preserve"> functional separation, non-discrimination and wholesale supply oblig</w:t>
      </w:r>
      <w:r w:rsidR="001834E4">
        <w:rPr>
          <w:rFonts w:ascii="Times New Roman" w:hAnsi="Times New Roman"/>
        </w:rPr>
        <w:t>ations on carriers that extended</w:t>
      </w:r>
      <w:r w:rsidR="003C30A7">
        <w:rPr>
          <w:rFonts w:ascii="Times New Roman" w:hAnsi="Times New Roman"/>
        </w:rPr>
        <w:t xml:space="preserve"> existing fixed-line networks to supply superfast carriage services to residential customers, but were not subject to </w:t>
      </w:r>
      <w:r w:rsidR="003C30A7" w:rsidRPr="00E10784">
        <w:rPr>
          <w:rFonts w:ascii="Times New Roman" w:hAnsi="Times New Roman"/>
        </w:rPr>
        <w:t>similar obligations in the Act</w:t>
      </w:r>
      <w:r w:rsidR="003C30A7">
        <w:rPr>
          <w:rFonts w:ascii="Times New Roman" w:hAnsi="Times New Roman"/>
        </w:rPr>
        <w:t xml:space="preserve">. </w:t>
      </w:r>
      <w:r w:rsidR="00E10784">
        <w:rPr>
          <w:rFonts w:ascii="Times New Roman" w:hAnsi="Times New Roman"/>
        </w:rPr>
        <w:t>The Declarat</w:t>
      </w:r>
      <w:r w:rsidR="00BD7278">
        <w:rPr>
          <w:rFonts w:ascii="Times New Roman" w:hAnsi="Times New Roman"/>
        </w:rPr>
        <w:t>ion closed</w:t>
      </w:r>
      <w:r w:rsidR="00E10784">
        <w:rPr>
          <w:rFonts w:ascii="Times New Roman" w:hAnsi="Times New Roman"/>
        </w:rPr>
        <w:t xml:space="preserve"> a loophole that </w:t>
      </w:r>
      <w:r w:rsidR="00E10784">
        <w:rPr>
          <w:rFonts w:ascii="Times New Roman" w:hAnsi="Times New Roman"/>
        </w:rPr>
        <w:lastRenderedPageBreak/>
        <w:t xml:space="preserve">allowed carriers to use </w:t>
      </w:r>
      <w:r w:rsidR="00E10784" w:rsidRPr="00E10784">
        <w:rPr>
          <w:rFonts w:ascii="Times New Roman" w:hAnsi="Times New Roman"/>
        </w:rPr>
        <w:t xml:space="preserve">an exemption </w:t>
      </w:r>
      <w:r w:rsidR="00E10784">
        <w:rPr>
          <w:rFonts w:ascii="Times New Roman" w:hAnsi="Times New Roman"/>
        </w:rPr>
        <w:t xml:space="preserve">in the Act </w:t>
      </w:r>
      <w:r w:rsidR="00E10784" w:rsidRPr="00E10784">
        <w:rPr>
          <w:rFonts w:ascii="Times New Roman" w:hAnsi="Times New Roman"/>
        </w:rPr>
        <w:t>to extend networks by up to 1km.</w:t>
      </w:r>
      <w:r w:rsidR="00E10784">
        <w:rPr>
          <w:rFonts w:ascii="Times New Roman" w:hAnsi="Times New Roman"/>
        </w:rPr>
        <w:t xml:space="preserve"> </w:t>
      </w:r>
      <w:r w:rsidR="007C47EA" w:rsidRPr="007C47EA">
        <w:rPr>
          <w:rFonts w:ascii="Times New Roman" w:hAnsi="Times New Roman"/>
        </w:rPr>
        <w:t>The</w:t>
      </w:r>
      <w:r w:rsidR="00E10784">
        <w:rPr>
          <w:rFonts w:ascii="Times New Roman" w:hAnsi="Times New Roman"/>
        </w:rPr>
        <w:t> </w:t>
      </w:r>
      <w:r w:rsidR="007C47EA" w:rsidRPr="007C47EA">
        <w:rPr>
          <w:rFonts w:ascii="Times New Roman" w:hAnsi="Times New Roman"/>
        </w:rPr>
        <w:t xml:space="preserve">Declaration addressed concerns that vertically integrated networks could create </w:t>
      </w:r>
      <w:r w:rsidR="007C47EA" w:rsidRPr="00E10784">
        <w:rPr>
          <w:rFonts w:ascii="Times New Roman" w:hAnsi="Times New Roman"/>
        </w:rPr>
        <w:t>local access bottlenecks that impede effective retail competition and that such operations therefore have an unfair competitive advantage over other networks that are subject to the rules in the Act.</w:t>
      </w:r>
      <w:r w:rsidR="007C47EA" w:rsidRPr="007C47EA">
        <w:rPr>
          <w:rFonts w:ascii="Times New Roman" w:hAnsi="Times New Roman"/>
        </w:rPr>
        <w:t xml:space="preserve"> </w:t>
      </w:r>
    </w:p>
    <w:p w14:paraId="10393081" w14:textId="7040BCA7" w:rsidR="00E10784" w:rsidRPr="00E10784" w:rsidRDefault="00E10784" w:rsidP="00E10784">
      <w:pPr>
        <w:spacing w:after="200"/>
        <w:rPr>
          <w:rFonts w:ascii="Times New Roman" w:hAnsi="Times New Roman"/>
        </w:rPr>
      </w:pPr>
      <w:r w:rsidRPr="00E10784">
        <w:rPr>
          <w:rFonts w:ascii="Times New Roman" w:hAnsi="Times New Roman"/>
        </w:rPr>
        <w:t xml:space="preserve">The Declaration was intended to be a transitional measure pending the passage of new legislation announced in the Government’s December 2014 </w:t>
      </w:r>
      <w:r w:rsidRPr="00E10784">
        <w:rPr>
          <w:rFonts w:ascii="Times New Roman" w:hAnsi="Times New Roman"/>
          <w:i/>
        </w:rPr>
        <w:t>Telecommunications Structural and Regulatory Reform</w:t>
      </w:r>
      <w:r w:rsidRPr="00E10784">
        <w:rPr>
          <w:rFonts w:ascii="Times New Roman" w:hAnsi="Times New Roman"/>
        </w:rPr>
        <w:t xml:space="preserve"> policy statement. The Declaration was </w:t>
      </w:r>
      <w:r w:rsidR="008A4120">
        <w:rPr>
          <w:rFonts w:ascii="Times New Roman" w:hAnsi="Times New Roman"/>
        </w:rPr>
        <w:t xml:space="preserve">amended on 6 December </w:t>
      </w:r>
      <w:r w:rsidRPr="00E10784">
        <w:rPr>
          <w:rFonts w:ascii="Times New Roman" w:hAnsi="Times New Roman"/>
        </w:rPr>
        <w:t xml:space="preserve">2016 </w:t>
      </w:r>
      <w:r w:rsidR="00691A23">
        <w:rPr>
          <w:rFonts w:ascii="Times New Roman" w:hAnsi="Times New Roman"/>
        </w:rPr>
        <w:t xml:space="preserve">to </w:t>
      </w:r>
      <w:r w:rsidR="008A4120">
        <w:rPr>
          <w:rFonts w:ascii="Times New Roman" w:hAnsi="Times New Roman"/>
        </w:rPr>
        <w:t xml:space="preserve">extend the expiry date </w:t>
      </w:r>
      <w:r w:rsidRPr="00E10784">
        <w:rPr>
          <w:rFonts w:ascii="Times New Roman" w:hAnsi="Times New Roman"/>
        </w:rPr>
        <w:t>to 30 June 2018</w:t>
      </w:r>
      <w:r w:rsidR="008A4120">
        <w:rPr>
          <w:rFonts w:ascii="Times New Roman" w:hAnsi="Times New Roman"/>
        </w:rPr>
        <w:t xml:space="preserve"> and several other modifications were also made</w:t>
      </w:r>
      <w:r w:rsidRPr="00E10784">
        <w:rPr>
          <w:rFonts w:ascii="Times New Roman" w:hAnsi="Times New Roman"/>
        </w:rPr>
        <w:t>.</w:t>
      </w:r>
    </w:p>
    <w:p w14:paraId="7D069076" w14:textId="246BCBBF" w:rsidR="00E10784" w:rsidRPr="00E10784" w:rsidRDefault="00E10784" w:rsidP="00E10784">
      <w:pPr>
        <w:spacing w:after="200"/>
        <w:rPr>
          <w:rFonts w:ascii="Times New Roman" w:hAnsi="Times New Roman"/>
        </w:rPr>
      </w:pPr>
      <w:r w:rsidRPr="00E10784">
        <w:rPr>
          <w:rFonts w:ascii="Times New Roman" w:hAnsi="Times New Roman"/>
        </w:rPr>
        <w:t>The Telecommunications Legislation Amendment (Competition and Consumer) Bill 201</w:t>
      </w:r>
      <w:r w:rsidR="008A4120">
        <w:rPr>
          <w:rFonts w:ascii="Times New Roman" w:hAnsi="Times New Roman"/>
        </w:rPr>
        <w:t>8</w:t>
      </w:r>
      <w:r w:rsidRPr="00E107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(the Bill) </w:t>
      </w:r>
      <w:r w:rsidRPr="00E10784">
        <w:rPr>
          <w:rFonts w:ascii="Times New Roman" w:hAnsi="Times New Roman"/>
        </w:rPr>
        <w:t xml:space="preserve">includes provisions </w:t>
      </w:r>
      <w:r w:rsidR="008A4120">
        <w:rPr>
          <w:rFonts w:ascii="Times New Roman" w:hAnsi="Times New Roman"/>
        </w:rPr>
        <w:t xml:space="preserve">which would remove the expiry date of the Declaration so that it applies </w:t>
      </w:r>
      <w:r w:rsidR="008A4120" w:rsidRPr="00AE79FE">
        <w:rPr>
          <w:rFonts w:ascii="Times New Roman" w:hAnsi="Times New Roman"/>
        </w:rPr>
        <w:t xml:space="preserve">indefinitely to </w:t>
      </w:r>
      <w:r w:rsidR="00691A23">
        <w:rPr>
          <w:rFonts w:ascii="Times New Roman" w:hAnsi="Times New Roman"/>
        </w:rPr>
        <w:t>applicable</w:t>
      </w:r>
      <w:r w:rsidRPr="00E10784">
        <w:rPr>
          <w:rFonts w:ascii="Times New Roman" w:hAnsi="Times New Roman"/>
        </w:rPr>
        <w:t xml:space="preserve"> networks rolled out between 1 January 2015 and the commencement of new rules in </w:t>
      </w:r>
      <w:r w:rsidR="008A4120">
        <w:rPr>
          <w:rFonts w:ascii="Times New Roman" w:hAnsi="Times New Roman"/>
        </w:rPr>
        <w:t xml:space="preserve">Schedule 2 to </w:t>
      </w:r>
      <w:r w:rsidRPr="00E10784">
        <w:rPr>
          <w:rFonts w:ascii="Times New Roman" w:hAnsi="Times New Roman"/>
        </w:rPr>
        <w:t xml:space="preserve">the Bill. This is part of the ‘grandfathering’ of requirements </w:t>
      </w:r>
      <w:r w:rsidR="008A4120">
        <w:rPr>
          <w:rFonts w:ascii="Times New Roman" w:hAnsi="Times New Roman"/>
        </w:rPr>
        <w:t xml:space="preserve">for several classes of </w:t>
      </w:r>
      <w:r w:rsidRPr="00E10784">
        <w:rPr>
          <w:rFonts w:ascii="Times New Roman" w:hAnsi="Times New Roman"/>
        </w:rPr>
        <w:t>networks. The Bill was introduced on 22 June 2017 and debated in the House of Representatives on 9 and 10 May 2018. The Bill is still being considered by Parliament and may not become law before 30</w:t>
      </w:r>
      <w:r>
        <w:rPr>
          <w:rFonts w:ascii="Times New Roman" w:hAnsi="Times New Roman"/>
        </w:rPr>
        <w:t> </w:t>
      </w:r>
      <w:r w:rsidRPr="00E10784">
        <w:rPr>
          <w:rFonts w:ascii="Times New Roman" w:hAnsi="Times New Roman"/>
        </w:rPr>
        <w:t xml:space="preserve">June 2018. The </w:t>
      </w:r>
      <w:r w:rsidR="008A4120">
        <w:rPr>
          <w:rFonts w:ascii="Times New Roman" w:hAnsi="Times New Roman"/>
        </w:rPr>
        <w:t xml:space="preserve">Amending Declaration will </w:t>
      </w:r>
      <w:r w:rsidRPr="00E10784">
        <w:rPr>
          <w:rFonts w:ascii="Times New Roman" w:hAnsi="Times New Roman"/>
        </w:rPr>
        <w:t>extend the Declaration to 30 June 2020</w:t>
      </w:r>
      <w:r w:rsidR="008A4120">
        <w:rPr>
          <w:rFonts w:ascii="Times New Roman" w:hAnsi="Times New Roman"/>
        </w:rPr>
        <w:t xml:space="preserve"> </w:t>
      </w:r>
      <w:r w:rsidRPr="00E10784">
        <w:rPr>
          <w:rFonts w:ascii="Times New Roman" w:hAnsi="Times New Roman"/>
        </w:rPr>
        <w:t xml:space="preserve">to avoid a period in which there is no regulatory coverage and to ensure regulatory certainty. </w:t>
      </w:r>
    </w:p>
    <w:p w14:paraId="3A34CEA4" w14:textId="5CCD5910" w:rsidR="003B185C" w:rsidRPr="0034112F" w:rsidRDefault="003B185C" w:rsidP="004E64D2">
      <w:pPr>
        <w:spacing w:after="120"/>
        <w:rPr>
          <w:rFonts w:ascii="Times New Roman" w:hAnsi="Times New Roman"/>
          <w:b/>
        </w:rPr>
      </w:pPr>
      <w:r w:rsidRPr="003B185C">
        <w:rPr>
          <w:rFonts w:ascii="Times New Roman" w:hAnsi="Times New Roman"/>
          <w:b/>
        </w:rPr>
        <w:t>Human rights implications</w:t>
      </w:r>
    </w:p>
    <w:p w14:paraId="3A34CEA5" w14:textId="40A41D04" w:rsidR="003B185C" w:rsidRPr="003B185C" w:rsidRDefault="003B185C" w:rsidP="00305944">
      <w:pPr>
        <w:spacing w:after="200"/>
        <w:rPr>
          <w:rFonts w:ascii="Times New Roman" w:hAnsi="Times New Roman"/>
        </w:rPr>
      </w:pPr>
      <w:r w:rsidRPr="003B185C">
        <w:rPr>
          <w:rFonts w:ascii="Times New Roman" w:hAnsi="Times New Roman"/>
        </w:rPr>
        <w:t>The Amending Declaration does not engage any of the</w:t>
      </w:r>
      <w:r w:rsidR="00691A23">
        <w:rPr>
          <w:rFonts w:ascii="Times New Roman" w:hAnsi="Times New Roman"/>
        </w:rPr>
        <w:t xml:space="preserve"> applicable rights or freedoms.</w:t>
      </w:r>
    </w:p>
    <w:p w14:paraId="3A34CEA6" w14:textId="77777777" w:rsidR="003B185C" w:rsidRPr="003B185C" w:rsidRDefault="003B185C" w:rsidP="004E64D2">
      <w:pPr>
        <w:keepNext/>
        <w:spacing w:after="120"/>
        <w:rPr>
          <w:rFonts w:ascii="Times New Roman" w:hAnsi="Times New Roman"/>
          <w:b/>
        </w:rPr>
      </w:pPr>
      <w:r w:rsidRPr="003B185C">
        <w:rPr>
          <w:rFonts w:ascii="Times New Roman" w:hAnsi="Times New Roman"/>
          <w:b/>
        </w:rPr>
        <w:t>Conclusion</w:t>
      </w:r>
    </w:p>
    <w:p w14:paraId="3A34CEA7" w14:textId="77777777" w:rsidR="003D6754" w:rsidRPr="00A85F74" w:rsidRDefault="003B185C" w:rsidP="00305944">
      <w:pPr>
        <w:spacing w:after="200"/>
        <w:rPr>
          <w:rFonts w:ascii="Times New Roman" w:hAnsi="Times New Roman"/>
        </w:rPr>
      </w:pPr>
      <w:r w:rsidRPr="003B185C">
        <w:rPr>
          <w:rFonts w:ascii="Times New Roman" w:hAnsi="Times New Roman"/>
        </w:rPr>
        <w:t>This Amending Declaration is compatible with human rights as it does not raise any human rights issues.</w:t>
      </w:r>
    </w:p>
    <w:sectPr w:rsidR="003D6754" w:rsidRPr="00A85F74" w:rsidSect="00691A23">
      <w:headerReference w:type="default" r:id="rId11"/>
      <w:footerReference w:type="first" r:id="rId12"/>
      <w:pgSz w:w="11906" w:h="16838" w:code="9"/>
      <w:pgMar w:top="1418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4CEAB" w14:textId="77777777" w:rsidR="0056187D" w:rsidRDefault="0056187D" w:rsidP="009A5536">
      <w:r>
        <w:separator/>
      </w:r>
    </w:p>
  </w:endnote>
  <w:endnote w:type="continuationSeparator" w:id="0">
    <w:p w14:paraId="3A34CEAC" w14:textId="77777777" w:rsidR="0056187D" w:rsidRDefault="0056187D" w:rsidP="009A5536">
      <w:r>
        <w:continuationSeparator/>
      </w:r>
    </w:p>
  </w:endnote>
  <w:endnote w:type="continuationNotice" w:id="1">
    <w:p w14:paraId="3A34CEAD" w14:textId="77777777" w:rsidR="0056187D" w:rsidRDefault="005618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CEAF" w14:textId="77777777" w:rsidR="00192E3F" w:rsidRDefault="00192E3F">
    <w:pPr>
      <w:pStyle w:val="Footer"/>
    </w:pPr>
  </w:p>
  <w:p w14:paraId="3A34CEB0" w14:textId="77777777" w:rsidR="00192E3F" w:rsidRDefault="00192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4CEA8" w14:textId="77777777" w:rsidR="0056187D" w:rsidRDefault="0056187D" w:rsidP="009A5536">
      <w:r>
        <w:separator/>
      </w:r>
    </w:p>
  </w:footnote>
  <w:footnote w:type="continuationSeparator" w:id="0">
    <w:p w14:paraId="3A34CEA9" w14:textId="77777777" w:rsidR="0056187D" w:rsidRDefault="0056187D" w:rsidP="009A5536">
      <w:r>
        <w:continuationSeparator/>
      </w:r>
    </w:p>
  </w:footnote>
  <w:footnote w:type="continuationNotice" w:id="1">
    <w:p w14:paraId="3A34CEAA" w14:textId="77777777" w:rsidR="0056187D" w:rsidRDefault="0056187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CEAE" w14:textId="77777777" w:rsidR="00192E3F" w:rsidRPr="00AF72F4" w:rsidRDefault="00192E3F">
    <w:pPr>
      <w:pStyle w:val="Header"/>
      <w:rPr>
        <w:rFonts w:ascii="Times New Roman" w:hAnsi="Times New Roman"/>
      </w:rPr>
    </w:pPr>
    <w:r>
      <w:tab/>
    </w:r>
    <w:r w:rsidRPr="00AF72F4">
      <w:rPr>
        <w:rStyle w:val="PageNumber"/>
        <w:rFonts w:ascii="Times New Roman" w:hAnsi="Times New Roman"/>
      </w:rPr>
      <w:fldChar w:fldCharType="begin"/>
    </w:r>
    <w:r w:rsidRPr="00AF72F4">
      <w:rPr>
        <w:rStyle w:val="PageNumber"/>
        <w:rFonts w:ascii="Times New Roman" w:hAnsi="Times New Roman"/>
      </w:rPr>
      <w:instrText xml:space="preserve"> PAGE </w:instrText>
    </w:r>
    <w:r w:rsidRPr="00AF72F4">
      <w:rPr>
        <w:rStyle w:val="PageNumber"/>
        <w:rFonts w:ascii="Times New Roman" w:hAnsi="Times New Roman"/>
      </w:rPr>
      <w:fldChar w:fldCharType="separate"/>
    </w:r>
    <w:r w:rsidR="00B25CF8">
      <w:rPr>
        <w:rStyle w:val="PageNumber"/>
        <w:rFonts w:ascii="Times New Roman" w:hAnsi="Times New Roman"/>
        <w:noProof/>
      </w:rPr>
      <w:t>2</w:t>
    </w:r>
    <w:r w:rsidRPr="00AF72F4">
      <w:rPr>
        <w:rStyle w:val="PageNumber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38D485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C0D0A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114A9E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D22EB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FF4EF4"/>
    <w:multiLevelType w:val="hybridMultilevel"/>
    <w:tmpl w:val="E77E52A6"/>
    <w:lvl w:ilvl="0" w:tplc="0C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C1031"/>
    <w:multiLevelType w:val="hybridMultilevel"/>
    <w:tmpl w:val="5C80FD8E"/>
    <w:lvl w:ilvl="0" w:tplc="E37214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E012C"/>
    <w:multiLevelType w:val="hybridMultilevel"/>
    <w:tmpl w:val="ABD69B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16FF2"/>
    <w:multiLevelType w:val="hybridMultilevel"/>
    <w:tmpl w:val="BEE61C60"/>
    <w:lvl w:ilvl="0" w:tplc="FA84465C">
      <w:start w:val="1"/>
      <w:numFmt w:val="lowerLetter"/>
      <w:pStyle w:val="NumberedListLevel2abc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952F58"/>
    <w:multiLevelType w:val="multilevel"/>
    <w:tmpl w:val="6E981664"/>
    <w:lvl w:ilvl="0">
      <w:start w:val="1"/>
      <w:numFmt w:val="upperLetter"/>
      <w:pStyle w:val="NumberedListLevel1ABC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90E0341"/>
    <w:multiLevelType w:val="hybridMultilevel"/>
    <w:tmpl w:val="F000B57E"/>
    <w:lvl w:ilvl="0" w:tplc="FB4AD2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E0E47"/>
    <w:multiLevelType w:val="hybridMultilevel"/>
    <w:tmpl w:val="DD20CD20"/>
    <w:lvl w:ilvl="0" w:tplc="71703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C90"/>
    <w:multiLevelType w:val="hybridMultilevel"/>
    <w:tmpl w:val="ED1AA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5F1CA2"/>
    <w:multiLevelType w:val="multilevel"/>
    <w:tmpl w:val="7B4EEE58"/>
    <w:styleLink w:val="ListNumberLevel1ABC"/>
    <w:lvl w:ilvl="0">
      <w:start w:val="1"/>
      <w:numFmt w:val="upperLetter"/>
      <w:lvlText w:val="%1."/>
      <w:lvlJc w:val="left"/>
      <w:pPr>
        <w:tabs>
          <w:tab w:val="num" w:pos="1134"/>
        </w:tabs>
        <w:ind w:left="567" w:firstLine="3220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8E3B6A"/>
    <w:multiLevelType w:val="hybridMultilevel"/>
    <w:tmpl w:val="08D0665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A60E2D"/>
    <w:multiLevelType w:val="hybridMultilevel"/>
    <w:tmpl w:val="F56CF1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8461FF"/>
    <w:multiLevelType w:val="hybridMultilevel"/>
    <w:tmpl w:val="BB8ED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4109C"/>
    <w:multiLevelType w:val="hybridMultilevel"/>
    <w:tmpl w:val="AEC69026"/>
    <w:lvl w:ilvl="0" w:tplc="8144B3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0414C"/>
    <w:multiLevelType w:val="hybridMultilevel"/>
    <w:tmpl w:val="657C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C72AC"/>
    <w:multiLevelType w:val="hybridMultilevel"/>
    <w:tmpl w:val="6BE22296"/>
    <w:lvl w:ilvl="0" w:tplc="5EB48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861AB"/>
    <w:multiLevelType w:val="hybridMultilevel"/>
    <w:tmpl w:val="6D5AA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D7357"/>
    <w:multiLevelType w:val="hybridMultilevel"/>
    <w:tmpl w:val="BF688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A12E4"/>
    <w:multiLevelType w:val="hybridMultilevel"/>
    <w:tmpl w:val="AD04F5A8"/>
    <w:lvl w:ilvl="0" w:tplc="DB5A910E">
      <w:start w:val="1"/>
      <w:numFmt w:val="decimal"/>
      <w:pStyle w:val="ListNumber2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D6187"/>
    <w:multiLevelType w:val="hybridMultilevel"/>
    <w:tmpl w:val="712E8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850A2"/>
    <w:multiLevelType w:val="hybridMultilevel"/>
    <w:tmpl w:val="3306E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144D8"/>
    <w:multiLevelType w:val="hybridMultilevel"/>
    <w:tmpl w:val="D0DAB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37927"/>
    <w:multiLevelType w:val="hybridMultilevel"/>
    <w:tmpl w:val="58A2B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C75100"/>
    <w:multiLevelType w:val="multilevel"/>
    <w:tmpl w:val="3B860DB6"/>
    <w:lvl w:ilvl="0">
      <w:start w:val="1"/>
      <w:numFmt w:val="decimal"/>
      <w:pStyle w:val="NumberedListLevel1123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NumberedListLevel2111213"/>
      <w:isLgl/>
      <w:lvlText w:val="%1.%2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umberedListLevel3111112113"/>
      <w:isLgl/>
      <w:lvlText w:val="%1.%2.%3"/>
      <w:lvlJc w:val="left"/>
      <w:pPr>
        <w:tabs>
          <w:tab w:val="num" w:pos="720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27" w15:restartNumberingAfterBreak="0">
    <w:nsid w:val="4AB00420"/>
    <w:multiLevelType w:val="hybridMultilevel"/>
    <w:tmpl w:val="FBBC2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D13A0"/>
    <w:multiLevelType w:val="hybridMultilevel"/>
    <w:tmpl w:val="61929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902CF"/>
    <w:multiLevelType w:val="hybridMultilevel"/>
    <w:tmpl w:val="E0942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F6F10"/>
    <w:multiLevelType w:val="hybridMultilevel"/>
    <w:tmpl w:val="16B6C4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1B04BE"/>
    <w:multiLevelType w:val="hybridMultilevel"/>
    <w:tmpl w:val="D310C0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C07611"/>
    <w:multiLevelType w:val="hybridMultilevel"/>
    <w:tmpl w:val="F8AC6FAE"/>
    <w:lvl w:ilvl="0" w:tplc="31B68294">
      <w:start w:val="1"/>
      <w:numFmt w:val="lowerRoman"/>
      <w:pStyle w:val="NumberedListLevel3i"/>
      <w:lvlText w:val="(%1)"/>
      <w:lvlJc w:val="left"/>
      <w:pPr>
        <w:ind w:left="177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33" w15:restartNumberingAfterBreak="0">
    <w:nsid w:val="7CA47F89"/>
    <w:multiLevelType w:val="hybridMultilevel"/>
    <w:tmpl w:val="E5F6C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A1C6A"/>
    <w:multiLevelType w:val="multilevel"/>
    <w:tmpl w:val="80DAAD2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1"/>
      </w:pPr>
      <w:rPr>
        <w:rFonts w:ascii="Arial Bold" w:hAnsi="Arial Bold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1731"/>
        </w:tabs>
        <w:ind w:left="1731" w:hanging="851"/>
      </w:pPr>
      <w:rPr>
        <w:rFonts w:ascii="Arial Bold" w:hAnsi="Arial Bold" w:hint="default"/>
        <w:b/>
        <w:i w:val="0"/>
        <w:sz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Heading6"/>
      <w:lvlText w:val="%6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(%7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Heading8"/>
      <w:lvlText w:val="%8"/>
      <w:lvlJc w:val="left"/>
      <w:pPr>
        <w:tabs>
          <w:tab w:val="num" w:pos="5103"/>
        </w:tabs>
        <w:ind w:left="5103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suff w:val="nothing"/>
      <w:lvlText w:val=""/>
      <w:lvlJc w:val="left"/>
      <w:pPr>
        <w:ind w:left="-301" w:firstLine="0"/>
      </w:pPr>
      <w:rPr>
        <w:rFonts w:hint="default"/>
      </w:rPr>
    </w:lvl>
  </w:abstractNum>
  <w:num w:numId="1">
    <w:abstractNumId w:val="34"/>
  </w:num>
  <w:num w:numId="2">
    <w:abstractNumId w:val="34"/>
  </w:num>
  <w:num w:numId="3">
    <w:abstractNumId w:val="34"/>
  </w:num>
  <w:num w:numId="4">
    <w:abstractNumId w:val="34"/>
  </w:num>
  <w:num w:numId="5">
    <w:abstractNumId w:val="34"/>
  </w:num>
  <w:num w:numId="6">
    <w:abstractNumId w:val="34"/>
  </w:num>
  <w:num w:numId="7">
    <w:abstractNumId w:val="3"/>
  </w:num>
  <w:num w:numId="8">
    <w:abstractNumId w:val="2"/>
  </w:num>
  <w:num w:numId="9">
    <w:abstractNumId w:val="1"/>
  </w:num>
  <w:num w:numId="10">
    <w:abstractNumId w:val="21"/>
  </w:num>
  <w:num w:numId="11">
    <w:abstractNumId w:val="0"/>
  </w:num>
  <w:num w:numId="12">
    <w:abstractNumId w:val="0"/>
  </w:num>
  <w:num w:numId="13">
    <w:abstractNumId w:val="12"/>
  </w:num>
  <w:num w:numId="14">
    <w:abstractNumId w:val="26"/>
  </w:num>
  <w:num w:numId="15">
    <w:abstractNumId w:val="8"/>
  </w:num>
  <w:num w:numId="16">
    <w:abstractNumId w:val="7"/>
  </w:num>
  <w:num w:numId="17">
    <w:abstractNumId w:val="26"/>
  </w:num>
  <w:num w:numId="18">
    <w:abstractNumId w:val="26"/>
  </w:num>
  <w:num w:numId="19">
    <w:abstractNumId w:val="32"/>
  </w:num>
  <w:num w:numId="20">
    <w:abstractNumId w:val="5"/>
  </w:num>
  <w:num w:numId="21">
    <w:abstractNumId w:val="9"/>
  </w:num>
  <w:num w:numId="22">
    <w:abstractNumId w:val="6"/>
  </w:num>
  <w:num w:numId="23">
    <w:abstractNumId w:val="25"/>
  </w:num>
  <w:num w:numId="24">
    <w:abstractNumId w:val="11"/>
  </w:num>
  <w:num w:numId="25">
    <w:abstractNumId w:val="23"/>
  </w:num>
  <w:num w:numId="26">
    <w:abstractNumId w:val="33"/>
  </w:num>
  <w:num w:numId="27">
    <w:abstractNumId w:val="19"/>
  </w:num>
  <w:num w:numId="28">
    <w:abstractNumId w:val="13"/>
  </w:num>
  <w:num w:numId="29">
    <w:abstractNumId w:val="27"/>
  </w:num>
  <w:num w:numId="30">
    <w:abstractNumId w:val="24"/>
  </w:num>
  <w:num w:numId="31">
    <w:abstractNumId w:val="31"/>
  </w:num>
  <w:num w:numId="32">
    <w:abstractNumId w:val="29"/>
  </w:num>
  <w:num w:numId="33">
    <w:abstractNumId w:val="20"/>
  </w:num>
  <w:num w:numId="34">
    <w:abstractNumId w:val="4"/>
  </w:num>
  <w:num w:numId="35">
    <w:abstractNumId w:val="28"/>
  </w:num>
  <w:num w:numId="36">
    <w:abstractNumId w:val="17"/>
  </w:num>
  <w:num w:numId="37">
    <w:abstractNumId w:val="22"/>
  </w:num>
  <w:num w:numId="38">
    <w:abstractNumId w:val="30"/>
  </w:num>
  <w:num w:numId="39">
    <w:abstractNumId w:val="14"/>
  </w:num>
  <w:num w:numId="40">
    <w:abstractNumId w:val="10"/>
  </w:num>
  <w:num w:numId="41">
    <w:abstractNumId w:val="16"/>
  </w:num>
  <w:num w:numId="42">
    <w:abstractNumId w:val="1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E9"/>
    <w:rsid w:val="00005672"/>
    <w:rsid w:val="00014BF3"/>
    <w:rsid w:val="00014D0F"/>
    <w:rsid w:val="0001526A"/>
    <w:rsid w:val="00017389"/>
    <w:rsid w:val="00032A25"/>
    <w:rsid w:val="00040ED3"/>
    <w:rsid w:val="00052478"/>
    <w:rsid w:val="00065CC7"/>
    <w:rsid w:val="00073B4B"/>
    <w:rsid w:val="000748D2"/>
    <w:rsid w:val="000778A7"/>
    <w:rsid w:val="00091E73"/>
    <w:rsid w:val="0009720F"/>
    <w:rsid w:val="000A704C"/>
    <w:rsid w:val="000C2BDF"/>
    <w:rsid w:val="000D3DBB"/>
    <w:rsid w:val="000D6A04"/>
    <w:rsid w:val="000E2948"/>
    <w:rsid w:val="000E68D2"/>
    <w:rsid w:val="000F00D4"/>
    <w:rsid w:val="000F51C5"/>
    <w:rsid w:val="000F6AF9"/>
    <w:rsid w:val="001013DD"/>
    <w:rsid w:val="001025F0"/>
    <w:rsid w:val="00103DE9"/>
    <w:rsid w:val="00113F27"/>
    <w:rsid w:val="00115911"/>
    <w:rsid w:val="0012015C"/>
    <w:rsid w:val="0012623C"/>
    <w:rsid w:val="001300C4"/>
    <w:rsid w:val="00136308"/>
    <w:rsid w:val="00136D23"/>
    <w:rsid w:val="00142788"/>
    <w:rsid w:val="0014740A"/>
    <w:rsid w:val="0014775C"/>
    <w:rsid w:val="00153B3C"/>
    <w:rsid w:val="00154B96"/>
    <w:rsid w:val="00164819"/>
    <w:rsid w:val="00167F68"/>
    <w:rsid w:val="0017202F"/>
    <w:rsid w:val="00174307"/>
    <w:rsid w:val="0017677A"/>
    <w:rsid w:val="001811FE"/>
    <w:rsid w:val="0018220D"/>
    <w:rsid w:val="001834E4"/>
    <w:rsid w:val="00192E3F"/>
    <w:rsid w:val="001969A7"/>
    <w:rsid w:val="001A13E8"/>
    <w:rsid w:val="001A2605"/>
    <w:rsid w:val="001A2AFA"/>
    <w:rsid w:val="001A4D94"/>
    <w:rsid w:val="001B341A"/>
    <w:rsid w:val="001C1979"/>
    <w:rsid w:val="001C2821"/>
    <w:rsid w:val="001C6DC2"/>
    <w:rsid w:val="001D3DC9"/>
    <w:rsid w:val="001E1FF3"/>
    <w:rsid w:val="001E2EA5"/>
    <w:rsid w:val="001F173F"/>
    <w:rsid w:val="001F5817"/>
    <w:rsid w:val="001F5A6D"/>
    <w:rsid w:val="001F73A3"/>
    <w:rsid w:val="002025A5"/>
    <w:rsid w:val="00203EBE"/>
    <w:rsid w:val="002131AC"/>
    <w:rsid w:val="00221130"/>
    <w:rsid w:val="00223A0F"/>
    <w:rsid w:val="002309C5"/>
    <w:rsid w:val="002342B4"/>
    <w:rsid w:val="0023462D"/>
    <w:rsid w:val="00234D7D"/>
    <w:rsid w:val="002568B3"/>
    <w:rsid w:val="0026336A"/>
    <w:rsid w:val="002817A8"/>
    <w:rsid w:val="00290188"/>
    <w:rsid w:val="00297734"/>
    <w:rsid w:val="002A2C10"/>
    <w:rsid w:val="002C0CD5"/>
    <w:rsid w:val="002C2DBC"/>
    <w:rsid w:val="002C53F1"/>
    <w:rsid w:val="002D0F74"/>
    <w:rsid w:val="002D1A77"/>
    <w:rsid w:val="002D38AC"/>
    <w:rsid w:val="002D3F67"/>
    <w:rsid w:val="002E59BE"/>
    <w:rsid w:val="002F2C3B"/>
    <w:rsid w:val="002F4E99"/>
    <w:rsid w:val="002F64C5"/>
    <w:rsid w:val="00300D7D"/>
    <w:rsid w:val="00302B34"/>
    <w:rsid w:val="00305944"/>
    <w:rsid w:val="003173C2"/>
    <w:rsid w:val="0034112F"/>
    <w:rsid w:val="0034299C"/>
    <w:rsid w:val="003431F5"/>
    <w:rsid w:val="00362FC5"/>
    <w:rsid w:val="00390DE4"/>
    <w:rsid w:val="003939D3"/>
    <w:rsid w:val="00395FE5"/>
    <w:rsid w:val="003A1A35"/>
    <w:rsid w:val="003A39A2"/>
    <w:rsid w:val="003A6BFE"/>
    <w:rsid w:val="003B185C"/>
    <w:rsid w:val="003C0BE1"/>
    <w:rsid w:val="003C30A7"/>
    <w:rsid w:val="003C39A0"/>
    <w:rsid w:val="003C5EA2"/>
    <w:rsid w:val="003D2CF4"/>
    <w:rsid w:val="003D6754"/>
    <w:rsid w:val="003E2221"/>
    <w:rsid w:val="00401832"/>
    <w:rsid w:val="00405662"/>
    <w:rsid w:val="00411206"/>
    <w:rsid w:val="00413CF4"/>
    <w:rsid w:val="0041776D"/>
    <w:rsid w:val="004222FE"/>
    <w:rsid w:val="00434763"/>
    <w:rsid w:val="004352DC"/>
    <w:rsid w:val="00442799"/>
    <w:rsid w:val="00442A12"/>
    <w:rsid w:val="00450174"/>
    <w:rsid w:val="00452441"/>
    <w:rsid w:val="00463EC0"/>
    <w:rsid w:val="00466343"/>
    <w:rsid w:val="0047601F"/>
    <w:rsid w:val="00483292"/>
    <w:rsid w:val="00485E9A"/>
    <w:rsid w:val="00493CD6"/>
    <w:rsid w:val="00497F62"/>
    <w:rsid w:val="004A0477"/>
    <w:rsid w:val="004A19EE"/>
    <w:rsid w:val="004A1FAB"/>
    <w:rsid w:val="004A2AE8"/>
    <w:rsid w:val="004B3DAC"/>
    <w:rsid w:val="004B5474"/>
    <w:rsid w:val="004B5A4E"/>
    <w:rsid w:val="004B75EA"/>
    <w:rsid w:val="004C6705"/>
    <w:rsid w:val="004D15C1"/>
    <w:rsid w:val="004D2B01"/>
    <w:rsid w:val="004D5004"/>
    <w:rsid w:val="004E4107"/>
    <w:rsid w:val="004E46E2"/>
    <w:rsid w:val="004E64D2"/>
    <w:rsid w:val="004F615E"/>
    <w:rsid w:val="00501EB5"/>
    <w:rsid w:val="005112E5"/>
    <w:rsid w:val="00515A67"/>
    <w:rsid w:val="00517442"/>
    <w:rsid w:val="00517B36"/>
    <w:rsid w:val="00517BA8"/>
    <w:rsid w:val="00521C7B"/>
    <w:rsid w:val="00531F51"/>
    <w:rsid w:val="005405A1"/>
    <w:rsid w:val="00545A5E"/>
    <w:rsid w:val="005469B4"/>
    <w:rsid w:val="0054748A"/>
    <w:rsid w:val="005534C1"/>
    <w:rsid w:val="0055586C"/>
    <w:rsid w:val="005562D0"/>
    <w:rsid w:val="0056157E"/>
    <w:rsid w:val="0056187D"/>
    <w:rsid w:val="005618AE"/>
    <w:rsid w:val="0056237D"/>
    <w:rsid w:val="005627A9"/>
    <w:rsid w:val="00565C39"/>
    <w:rsid w:val="005704CF"/>
    <w:rsid w:val="00573EA4"/>
    <w:rsid w:val="00574850"/>
    <w:rsid w:val="00575896"/>
    <w:rsid w:val="00575985"/>
    <w:rsid w:val="005912EA"/>
    <w:rsid w:val="00593078"/>
    <w:rsid w:val="00594874"/>
    <w:rsid w:val="005962E1"/>
    <w:rsid w:val="005A03F1"/>
    <w:rsid w:val="005A39C8"/>
    <w:rsid w:val="005A77E8"/>
    <w:rsid w:val="005B1E56"/>
    <w:rsid w:val="005B2634"/>
    <w:rsid w:val="005B34AD"/>
    <w:rsid w:val="005C5940"/>
    <w:rsid w:val="005D3C6C"/>
    <w:rsid w:val="005D6D6F"/>
    <w:rsid w:val="005D7F5D"/>
    <w:rsid w:val="005E26DD"/>
    <w:rsid w:val="006131AB"/>
    <w:rsid w:val="00621E12"/>
    <w:rsid w:val="00623534"/>
    <w:rsid w:val="00624C47"/>
    <w:rsid w:val="006302E7"/>
    <w:rsid w:val="00643CEF"/>
    <w:rsid w:val="006528E9"/>
    <w:rsid w:val="00661638"/>
    <w:rsid w:val="006668DC"/>
    <w:rsid w:val="00667D50"/>
    <w:rsid w:val="00686F31"/>
    <w:rsid w:val="00691A23"/>
    <w:rsid w:val="00692565"/>
    <w:rsid w:val="00695054"/>
    <w:rsid w:val="00695DF1"/>
    <w:rsid w:val="00696DED"/>
    <w:rsid w:val="006A662A"/>
    <w:rsid w:val="006B0888"/>
    <w:rsid w:val="006C1049"/>
    <w:rsid w:val="006C5D68"/>
    <w:rsid w:val="006D0DDF"/>
    <w:rsid w:val="006D3B19"/>
    <w:rsid w:val="006E201C"/>
    <w:rsid w:val="006E2969"/>
    <w:rsid w:val="006F58CE"/>
    <w:rsid w:val="006F5E91"/>
    <w:rsid w:val="0071248B"/>
    <w:rsid w:val="007169A2"/>
    <w:rsid w:val="007206B3"/>
    <w:rsid w:val="007306D4"/>
    <w:rsid w:val="00746C0E"/>
    <w:rsid w:val="007515E8"/>
    <w:rsid w:val="00762673"/>
    <w:rsid w:val="007744AE"/>
    <w:rsid w:val="007747B8"/>
    <w:rsid w:val="00775701"/>
    <w:rsid w:val="00786989"/>
    <w:rsid w:val="00787451"/>
    <w:rsid w:val="0079346D"/>
    <w:rsid w:val="00795426"/>
    <w:rsid w:val="007A6680"/>
    <w:rsid w:val="007B12FF"/>
    <w:rsid w:val="007C35A7"/>
    <w:rsid w:val="007C377C"/>
    <w:rsid w:val="007C47EA"/>
    <w:rsid w:val="007C6273"/>
    <w:rsid w:val="007C7496"/>
    <w:rsid w:val="007D0C63"/>
    <w:rsid w:val="007D2C33"/>
    <w:rsid w:val="007D317C"/>
    <w:rsid w:val="007E0BA1"/>
    <w:rsid w:val="007F05F6"/>
    <w:rsid w:val="007F6FF7"/>
    <w:rsid w:val="008022DF"/>
    <w:rsid w:val="00803636"/>
    <w:rsid w:val="00806F4C"/>
    <w:rsid w:val="00807748"/>
    <w:rsid w:val="00866F15"/>
    <w:rsid w:val="00867863"/>
    <w:rsid w:val="00870B67"/>
    <w:rsid w:val="00880EA1"/>
    <w:rsid w:val="00883119"/>
    <w:rsid w:val="00884CA9"/>
    <w:rsid w:val="00890C86"/>
    <w:rsid w:val="00893980"/>
    <w:rsid w:val="008A4120"/>
    <w:rsid w:val="008B1988"/>
    <w:rsid w:val="008C054F"/>
    <w:rsid w:val="008C1030"/>
    <w:rsid w:val="008C219A"/>
    <w:rsid w:val="008C4988"/>
    <w:rsid w:val="008D00DD"/>
    <w:rsid w:val="008D3EF0"/>
    <w:rsid w:val="008D6495"/>
    <w:rsid w:val="008E4CCB"/>
    <w:rsid w:val="008E6117"/>
    <w:rsid w:val="008F6219"/>
    <w:rsid w:val="00905707"/>
    <w:rsid w:val="00907575"/>
    <w:rsid w:val="00925446"/>
    <w:rsid w:val="009302AC"/>
    <w:rsid w:val="00931AE8"/>
    <w:rsid w:val="0094563E"/>
    <w:rsid w:val="00951AE3"/>
    <w:rsid w:val="00952E77"/>
    <w:rsid w:val="00952EEE"/>
    <w:rsid w:val="0095484A"/>
    <w:rsid w:val="009851AC"/>
    <w:rsid w:val="00990F64"/>
    <w:rsid w:val="00994EF4"/>
    <w:rsid w:val="009A49D8"/>
    <w:rsid w:val="009A5536"/>
    <w:rsid w:val="009B4C72"/>
    <w:rsid w:val="009C1FA2"/>
    <w:rsid w:val="009C3344"/>
    <w:rsid w:val="009D7930"/>
    <w:rsid w:val="009F630F"/>
    <w:rsid w:val="00A04EB8"/>
    <w:rsid w:val="00A15647"/>
    <w:rsid w:val="00A229C7"/>
    <w:rsid w:val="00A22D9D"/>
    <w:rsid w:val="00A23A38"/>
    <w:rsid w:val="00A2416B"/>
    <w:rsid w:val="00A62394"/>
    <w:rsid w:val="00A63310"/>
    <w:rsid w:val="00A661AA"/>
    <w:rsid w:val="00A7047D"/>
    <w:rsid w:val="00A72D46"/>
    <w:rsid w:val="00A84164"/>
    <w:rsid w:val="00A85F74"/>
    <w:rsid w:val="00A9137B"/>
    <w:rsid w:val="00A96997"/>
    <w:rsid w:val="00AA5AEA"/>
    <w:rsid w:val="00AA636D"/>
    <w:rsid w:val="00AB243A"/>
    <w:rsid w:val="00AC00C5"/>
    <w:rsid w:val="00AC0C85"/>
    <w:rsid w:val="00AC7006"/>
    <w:rsid w:val="00AD03A9"/>
    <w:rsid w:val="00AD1746"/>
    <w:rsid w:val="00AD1BB4"/>
    <w:rsid w:val="00AD3C66"/>
    <w:rsid w:val="00AE79FE"/>
    <w:rsid w:val="00AF72F4"/>
    <w:rsid w:val="00B1639B"/>
    <w:rsid w:val="00B211FB"/>
    <w:rsid w:val="00B25CF8"/>
    <w:rsid w:val="00B33CFF"/>
    <w:rsid w:val="00B47512"/>
    <w:rsid w:val="00B551AA"/>
    <w:rsid w:val="00B61477"/>
    <w:rsid w:val="00B66537"/>
    <w:rsid w:val="00B74E43"/>
    <w:rsid w:val="00B75824"/>
    <w:rsid w:val="00B818F3"/>
    <w:rsid w:val="00B87E97"/>
    <w:rsid w:val="00B94CF2"/>
    <w:rsid w:val="00BB3ACB"/>
    <w:rsid w:val="00BB5279"/>
    <w:rsid w:val="00BC67E4"/>
    <w:rsid w:val="00BD175A"/>
    <w:rsid w:val="00BD4974"/>
    <w:rsid w:val="00BD7278"/>
    <w:rsid w:val="00BE5BF7"/>
    <w:rsid w:val="00BF4247"/>
    <w:rsid w:val="00BF788E"/>
    <w:rsid w:val="00C1272C"/>
    <w:rsid w:val="00C206DD"/>
    <w:rsid w:val="00C20849"/>
    <w:rsid w:val="00C26BD4"/>
    <w:rsid w:val="00C43C9A"/>
    <w:rsid w:val="00C47D42"/>
    <w:rsid w:val="00C53D90"/>
    <w:rsid w:val="00C55C56"/>
    <w:rsid w:val="00C55D17"/>
    <w:rsid w:val="00C639BF"/>
    <w:rsid w:val="00C646F6"/>
    <w:rsid w:val="00C7008B"/>
    <w:rsid w:val="00C70E91"/>
    <w:rsid w:val="00C90422"/>
    <w:rsid w:val="00C9128D"/>
    <w:rsid w:val="00C939A9"/>
    <w:rsid w:val="00CB62BA"/>
    <w:rsid w:val="00CC27D8"/>
    <w:rsid w:val="00CC4BAE"/>
    <w:rsid w:val="00CD2FC9"/>
    <w:rsid w:val="00CD3ECA"/>
    <w:rsid w:val="00CD5B9D"/>
    <w:rsid w:val="00CD722C"/>
    <w:rsid w:val="00CE05BE"/>
    <w:rsid w:val="00CE21C9"/>
    <w:rsid w:val="00CF585A"/>
    <w:rsid w:val="00D021EA"/>
    <w:rsid w:val="00D05644"/>
    <w:rsid w:val="00D062F3"/>
    <w:rsid w:val="00D143D2"/>
    <w:rsid w:val="00D22C68"/>
    <w:rsid w:val="00D22FDE"/>
    <w:rsid w:val="00D2422B"/>
    <w:rsid w:val="00D3051E"/>
    <w:rsid w:val="00D326BF"/>
    <w:rsid w:val="00D505EA"/>
    <w:rsid w:val="00D54AB9"/>
    <w:rsid w:val="00D70339"/>
    <w:rsid w:val="00D70CA8"/>
    <w:rsid w:val="00D75085"/>
    <w:rsid w:val="00D7685B"/>
    <w:rsid w:val="00D800FE"/>
    <w:rsid w:val="00D81132"/>
    <w:rsid w:val="00D8622C"/>
    <w:rsid w:val="00D92DFD"/>
    <w:rsid w:val="00DA151F"/>
    <w:rsid w:val="00DA72D3"/>
    <w:rsid w:val="00DB1D2E"/>
    <w:rsid w:val="00DC0F57"/>
    <w:rsid w:val="00DC1947"/>
    <w:rsid w:val="00DC7CA9"/>
    <w:rsid w:val="00DD2226"/>
    <w:rsid w:val="00DD4B6C"/>
    <w:rsid w:val="00DF07DC"/>
    <w:rsid w:val="00DF2DAD"/>
    <w:rsid w:val="00E00750"/>
    <w:rsid w:val="00E02107"/>
    <w:rsid w:val="00E02AEF"/>
    <w:rsid w:val="00E1008D"/>
    <w:rsid w:val="00E10784"/>
    <w:rsid w:val="00E11891"/>
    <w:rsid w:val="00E208A0"/>
    <w:rsid w:val="00E2167F"/>
    <w:rsid w:val="00E233B7"/>
    <w:rsid w:val="00E24D79"/>
    <w:rsid w:val="00E26122"/>
    <w:rsid w:val="00E272D0"/>
    <w:rsid w:val="00E32F6F"/>
    <w:rsid w:val="00E334E7"/>
    <w:rsid w:val="00E347BC"/>
    <w:rsid w:val="00E47307"/>
    <w:rsid w:val="00E47933"/>
    <w:rsid w:val="00E62C7D"/>
    <w:rsid w:val="00E65C61"/>
    <w:rsid w:val="00E80C4F"/>
    <w:rsid w:val="00E85A7F"/>
    <w:rsid w:val="00EA0F5C"/>
    <w:rsid w:val="00EA15B8"/>
    <w:rsid w:val="00EA2482"/>
    <w:rsid w:val="00EA58B4"/>
    <w:rsid w:val="00EA7478"/>
    <w:rsid w:val="00EB02B1"/>
    <w:rsid w:val="00EB258C"/>
    <w:rsid w:val="00EC7A77"/>
    <w:rsid w:val="00ED2856"/>
    <w:rsid w:val="00ED3289"/>
    <w:rsid w:val="00ED7591"/>
    <w:rsid w:val="00EE4315"/>
    <w:rsid w:val="00F00611"/>
    <w:rsid w:val="00F01F8A"/>
    <w:rsid w:val="00F027EE"/>
    <w:rsid w:val="00F10664"/>
    <w:rsid w:val="00F11773"/>
    <w:rsid w:val="00F14779"/>
    <w:rsid w:val="00F17CED"/>
    <w:rsid w:val="00F2250C"/>
    <w:rsid w:val="00F2257C"/>
    <w:rsid w:val="00F43991"/>
    <w:rsid w:val="00F5065D"/>
    <w:rsid w:val="00F54B68"/>
    <w:rsid w:val="00F600C5"/>
    <w:rsid w:val="00F670AB"/>
    <w:rsid w:val="00F670CF"/>
    <w:rsid w:val="00F73767"/>
    <w:rsid w:val="00F82F79"/>
    <w:rsid w:val="00F95342"/>
    <w:rsid w:val="00F95AFA"/>
    <w:rsid w:val="00F97BF2"/>
    <w:rsid w:val="00FA2D6C"/>
    <w:rsid w:val="00FA48FE"/>
    <w:rsid w:val="00FA7522"/>
    <w:rsid w:val="00FC1B28"/>
    <w:rsid w:val="00FC28CC"/>
    <w:rsid w:val="00FC5DAE"/>
    <w:rsid w:val="00FD31F3"/>
    <w:rsid w:val="00FD6285"/>
    <w:rsid w:val="00FE6E75"/>
    <w:rsid w:val="00FF532E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34CE77"/>
  <w15:docId w15:val="{6CD796C1-E701-423F-AE45-F972A6A2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6C"/>
    <w:pPr>
      <w:spacing w:after="240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B6C"/>
    <w:pPr>
      <w:keepNext/>
      <w:spacing w:before="240"/>
      <w:outlineLvl w:val="0"/>
    </w:pPr>
    <w:rPr>
      <w:b/>
      <w:szCs w:val="20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DD4B6C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qFormat/>
    <w:rsid w:val="00DD4B6C"/>
    <w:pPr>
      <w:numPr>
        <w:ilvl w:val="2"/>
        <w:numId w:val="6"/>
      </w:numPr>
      <w:tabs>
        <w:tab w:val="left" w:pos="1701"/>
      </w:tabs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DD4B6C"/>
    <w:pPr>
      <w:numPr>
        <w:ilvl w:val="3"/>
        <w:numId w:val="6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DD4B6C"/>
    <w:pPr>
      <w:numPr>
        <w:ilvl w:val="4"/>
        <w:numId w:val="6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DD4B6C"/>
    <w:pPr>
      <w:numPr>
        <w:ilvl w:val="5"/>
        <w:numId w:val="6"/>
      </w:numPr>
      <w:tabs>
        <w:tab w:val="left" w:pos="2552"/>
      </w:tabs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DD4B6C"/>
    <w:pPr>
      <w:numPr>
        <w:ilvl w:val="6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D4B6C"/>
    <w:pPr>
      <w:numPr>
        <w:ilvl w:val="7"/>
        <w:numId w:val="6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4B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B6C"/>
    <w:rPr>
      <w:rFonts w:eastAsia="Times New Roman" w:cs="Times New Roman"/>
      <w:b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DD4B6C"/>
    <w:pPr>
      <w:spacing w:before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sid w:val="00DD4B6C"/>
    <w:rPr>
      <w:rFonts w:eastAsia="Times New Roman" w:cs="Times New Roman"/>
      <w:b/>
      <w:caps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2C0CD5"/>
    <w:rPr>
      <w:u w:val="single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2C0CD5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D4B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4B6C"/>
    <w:rPr>
      <w:rFonts w:eastAsia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D4B6C"/>
    <w:pPr>
      <w:tabs>
        <w:tab w:val="center" w:pos="4513"/>
        <w:tab w:val="right" w:pos="9026"/>
      </w:tabs>
      <w:spacing w:after="0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D4B6C"/>
    <w:rPr>
      <w:rFonts w:eastAsia="Times New Roman" w:cs="Times New Roman"/>
      <w:sz w:val="24"/>
      <w:szCs w:val="28"/>
      <w:lang w:eastAsia="en-AU"/>
    </w:rPr>
  </w:style>
  <w:style w:type="character" w:styleId="PageNumber">
    <w:name w:val="page number"/>
    <w:basedOn w:val="DefaultParagraphFont"/>
    <w:rsid w:val="00DD4B6C"/>
  </w:style>
  <w:style w:type="character" w:styleId="CommentReference">
    <w:name w:val="annotation reference"/>
    <w:basedOn w:val="DefaultParagraphFont"/>
    <w:uiPriority w:val="99"/>
    <w:unhideWhenUsed/>
    <w:rsid w:val="00DD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B6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B6C"/>
    <w:rPr>
      <w:rFonts w:eastAsia="Times New Roman" w:cs="Times New Roman"/>
      <w:sz w:val="20"/>
      <w:szCs w:val="25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6C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6C"/>
    <w:rPr>
      <w:rFonts w:ascii="Tahoma" w:eastAsia="Times New Roman" w:hAnsi="Tahoma" w:cs="Times New Roman"/>
      <w:sz w:val="16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DD4B6C"/>
    <w:pPr>
      <w:spacing w:after="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D4B6C"/>
    <w:rPr>
      <w:rFonts w:eastAsia="Times New Roman" w:cs="Times New Roman"/>
      <w:sz w:val="20"/>
      <w:szCs w:val="24"/>
      <w:lang w:eastAsia="en-AU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DD4B6C"/>
    <w:rPr>
      <w:b/>
      <w:bCs/>
      <w:sz w:val="20"/>
      <w:szCs w:val="25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D4B6C"/>
    <w:rPr>
      <w:rFonts w:eastAsia="Times New Roman" w:cs="Times New Roman"/>
      <w:b/>
      <w:bCs/>
      <w:sz w:val="20"/>
      <w:szCs w:val="25"/>
      <w:lang w:eastAsia="en-AU"/>
    </w:rPr>
  </w:style>
  <w:style w:type="paragraph" w:styleId="BodyText2">
    <w:name w:val="Body Text 2"/>
    <w:basedOn w:val="Normal"/>
    <w:link w:val="BodyText2Char"/>
    <w:uiPriority w:val="99"/>
    <w:unhideWhenUsed/>
    <w:rsid w:val="002131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31A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Address">
    <w:name w:val="Address"/>
    <w:basedOn w:val="Footer"/>
    <w:link w:val="AddressChar"/>
    <w:qFormat/>
    <w:rsid w:val="00DD4B6C"/>
    <w:pPr>
      <w:spacing w:after="240"/>
      <w:contextualSpacing/>
      <w:jc w:val="left"/>
    </w:pPr>
    <w:rPr>
      <w:lang w:val="en-GB"/>
    </w:rPr>
  </w:style>
  <w:style w:type="character" w:customStyle="1" w:styleId="AddressChar">
    <w:name w:val="Address Char"/>
    <w:basedOn w:val="FooterChar"/>
    <w:link w:val="Address"/>
    <w:rsid w:val="00DD4B6C"/>
    <w:rPr>
      <w:rFonts w:eastAsia="Times New Roman" w:cs="Times New Roman"/>
      <w:sz w:val="20"/>
      <w:szCs w:val="24"/>
      <w:lang w:val="en-GB" w:eastAsia="en-AU"/>
    </w:rPr>
  </w:style>
  <w:style w:type="paragraph" w:styleId="Caption">
    <w:name w:val="caption"/>
    <w:basedOn w:val="Normal"/>
    <w:next w:val="Normal"/>
    <w:qFormat/>
    <w:rsid w:val="00DD4B6C"/>
    <w:pPr>
      <w:jc w:val="center"/>
    </w:pPr>
  </w:style>
  <w:style w:type="paragraph" w:customStyle="1" w:styleId="CommercialSensitiveSensitivePersonalSensitiveLegalSensitiveCabinet">
    <w:name w:val="Commercial / Sensitive / Sensitive: Personal / Sensitive: Legal / Sensitive: Cabinet"/>
    <w:basedOn w:val="Normal"/>
    <w:link w:val="CommercialSensitiveSensitivePersonalSensitiveLegalSensitiveCabinetChar"/>
    <w:qFormat/>
    <w:rsid w:val="00DD4B6C"/>
    <w:pPr>
      <w:spacing w:after="0"/>
      <w:jc w:val="center"/>
    </w:pPr>
    <w:rPr>
      <w:rFonts w:cstheme="minorHAnsi"/>
      <w:color w:val="FF0000"/>
    </w:rPr>
  </w:style>
  <w:style w:type="character" w:customStyle="1" w:styleId="CommercialSensitiveSensitivePersonalSensitiveLegalSensitiveCabinetChar">
    <w:name w:val="Commercial / Sensitive / Sensitive: Personal / Sensitive: Legal / Sensitive: Cabinet Char"/>
    <w:basedOn w:val="DefaultParagraphFont"/>
    <w:link w:val="CommercialSensitiveSensitivePersonalSensitiveLegalSensitiveCabinet"/>
    <w:rsid w:val="00DD4B6C"/>
    <w:rPr>
      <w:rFonts w:eastAsia="Times New Roman" w:cstheme="minorHAnsi"/>
      <w:color w:val="FF0000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D4B6C"/>
    <w:rPr>
      <w:color w:val="800080" w:themeColor="followedHyperlink"/>
      <w:u w:val="single"/>
    </w:rPr>
  </w:style>
  <w:style w:type="paragraph" w:customStyle="1" w:styleId="FOROFFICIALUSEONLY">
    <w:name w:val="FOR OFFICIAL USE ONLY"/>
    <w:basedOn w:val="Normal"/>
    <w:link w:val="FOROFFICIALUSEONLYChar"/>
    <w:qFormat/>
    <w:rsid w:val="00DD4B6C"/>
    <w:pPr>
      <w:spacing w:after="0"/>
      <w:jc w:val="center"/>
    </w:pPr>
    <w:rPr>
      <w:rFonts w:cstheme="minorHAnsi"/>
      <w:caps/>
      <w:color w:val="FF0000"/>
    </w:rPr>
  </w:style>
  <w:style w:type="character" w:customStyle="1" w:styleId="FOROFFICIALUSEONLYChar">
    <w:name w:val="FOR OFFICIAL USE ONLY Char"/>
    <w:basedOn w:val="DefaultParagraphFont"/>
    <w:link w:val="FOROFFICIALUSEONLY"/>
    <w:rsid w:val="00DD4B6C"/>
    <w:rPr>
      <w:rFonts w:eastAsia="Times New Roman" w:cstheme="minorHAnsi"/>
      <w:caps/>
      <w:color w:val="FF0000"/>
      <w:sz w:val="24"/>
      <w:szCs w:val="24"/>
      <w:lang w:eastAsia="en-AU"/>
    </w:rPr>
  </w:style>
  <w:style w:type="paragraph" w:customStyle="1" w:styleId="FullAddress">
    <w:name w:val="FullAddress"/>
    <w:basedOn w:val="Normal"/>
    <w:link w:val="FullAddressChar"/>
    <w:qFormat/>
    <w:rsid w:val="00DD4B6C"/>
    <w:pPr>
      <w:jc w:val="center"/>
    </w:pPr>
    <w:rPr>
      <w:sz w:val="20"/>
      <w:szCs w:val="20"/>
    </w:rPr>
  </w:style>
  <w:style w:type="character" w:customStyle="1" w:styleId="FullAddressChar">
    <w:name w:val="FullAddress Char"/>
    <w:basedOn w:val="DefaultParagraphFont"/>
    <w:link w:val="FullAddress"/>
    <w:rsid w:val="00DD4B6C"/>
    <w:rPr>
      <w:rFonts w:eastAsia="Times New Roman" w:cs="Times New Roman"/>
      <w:sz w:val="20"/>
      <w:szCs w:val="20"/>
      <w:lang w:eastAsia="en-AU"/>
    </w:rPr>
  </w:style>
  <w:style w:type="table" w:customStyle="1" w:styleId="GridTable1Light-Accent11">
    <w:name w:val="Grid Table 1 Light - Accent 11"/>
    <w:basedOn w:val="TableNormal"/>
    <w:uiPriority w:val="46"/>
    <w:rsid w:val="00DD4B6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D4B6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DD4B6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D4B6C"/>
    <w:rPr>
      <w:rFonts w:eastAsia="Times New Roman" w:cs="Times New Roman"/>
      <w:b/>
      <w:bCs/>
      <w:iCs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D4B6C"/>
    <w:rPr>
      <w:rFonts w:eastAsia="Times New Roman" w:cs="Arial"/>
      <w:bCs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DD4B6C"/>
    <w:rPr>
      <w:rFonts w:eastAsia="Times New Roman" w:cs="Times New Roman"/>
      <w:bCs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DD4B6C"/>
    <w:rPr>
      <w:rFonts w:eastAsia="Times New Roman" w:cs="Times New Roman"/>
      <w:bCs/>
      <w:iCs/>
      <w:sz w:val="24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DD4B6C"/>
    <w:rPr>
      <w:rFonts w:eastAsia="Times New Roman" w:cs="Times New Roman"/>
      <w:bCs/>
      <w:sz w:val="24"/>
      <w:lang w:eastAsia="en-AU"/>
    </w:rPr>
  </w:style>
  <w:style w:type="character" w:customStyle="1" w:styleId="Heading7Char">
    <w:name w:val="Heading 7 Char"/>
    <w:basedOn w:val="DefaultParagraphFont"/>
    <w:link w:val="Heading7"/>
    <w:rsid w:val="00DD4B6C"/>
    <w:rPr>
      <w:rFonts w:eastAsia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DD4B6C"/>
    <w:rPr>
      <w:rFonts w:eastAsia="Times New Roman" w:cs="Times New Roman"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DD4B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character" w:styleId="Hyperlink">
    <w:name w:val="Hyperlink"/>
    <w:basedOn w:val="DefaultParagraphFont"/>
    <w:uiPriority w:val="99"/>
    <w:unhideWhenUsed/>
    <w:rsid w:val="00DD4B6C"/>
    <w:rPr>
      <w:color w:val="0000FF"/>
      <w:u w:val="single"/>
    </w:rPr>
  </w:style>
  <w:style w:type="paragraph" w:customStyle="1" w:styleId="Instructions">
    <w:name w:val="Instructions"/>
    <w:basedOn w:val="Normal"/>
    <w:link w:val="InstructionsChar"/>
    <w:qFormat/>
    <w:rsid w:val="00DD4B6C"/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DD4B6C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DD4B6C"/>
    <w:pPr>
      <w:keepNext/>
      <w:pBdr>
        <w:bottom w:val="single" w:sz="4" w:space="1" w:color="auto"/>
      </w:pBdr>
      <w:spacing w:before="360" w:after="120"/>
      <w:ind w:left="360" w:hanging="360"/>
    </w:pPr>
    <w:rPr>
      <w:rFonts w:eastAsia="Times" w:cs="Arial"/>
      <w:b/>
      <w:caps/>
      <w:color w:val="000000"/>
      <w:szCs w:val="22"/>
    </w:rPr>
  </w:style>
  <w:style w:type="paragraph" w:styleId="ListNumber2">
    <w:name w:val="List Number 2"/>
    <w:basedOn w:val="Normal"/>
    <w:next w:val="ListNumber3"/>
    <w:uiPriority w:val="99"/>
    <w:unhideWhenUsed/>
    <w:rsid w:val="00DD4B6C"/>
    <w:pPr>
      <w:numPr>
        <w:numId w:val="10"/>
      </w:numPr>
      <w:spacing w:before="120" w:after="100" w:afterAutospacing="1" w:line="300" w:lineRule="atLeast"/>
    </w:pPr>
    <w:rPr>
      <w:rFonts w:cs="Arial"/>
      <w:color w:val="000000"/>
      <w:szCs w:val="22"/>
    </w:rPr>
  </w:style>
  <w:style w:type="paragraph" w:styleId="ListNumber3">
    <w:name w:val="List Number 3"/>
    <w:basedOn w:val="Normal"/>
    <w:uiPriority w:val="99"/>
    <w:unhideWhenUsed/>
    <w:rsid w:val="00DD4B6C"/>
    <w:pPr>
      <w:tabs>
        <w:tab w:val="left" w:pos="709"/>
      </w:tabs>
      <w:spacing w:before="120" w:after="100" w:afterAutospacing="1" w:line="300" w:lineRule="atLeast"/>
      <w:ind w:left="709" w:hanging="709"/>
      <w:outlineLvl w:val="3"/>
    </w:pPr>
    <w:rPr>
      <w:rFonts w:cs="Arial"/>
      <w:color w:val="000000"/>
      <w:szCs w:val="22"/>
    </w:rPr>
  </w:style>
  <w:style w:type="paragraph" w:styleId="ListNumber4">
    <w:name w:val="List Number 4"/>
    <w:basedOn w:val="Normal"/>
    <w:uiPriority w:val="99"/>
    <w:unhideWhenUsed/>
    <w:rsid w:val="00DD4B6C"/>
    <w:pPr>
      <w:numPr>
        <w:numId w:val="12"/>
      </w:numPr>
      <w:contextualSpacing/>
    </w:pPr>
  </w:style>
  <w:style w:type="numbering" w:customStyle="1" w:styleId="ListNumberLevel1ABC">
    <w:name w:val="List Number Level 1 (A.  B.  C.)"/>
    <w:basedOn w:val="NoList"/>
    <w:uiPriority w:val="99"/>
    <w:rsid w:val="00DD4B6C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DD4B6C"/>
    <w:pPr>
      <w:ind w:left="720"/>
      <w:contextualSpacing/>
    </w:pPr>
  </w:style>
  <w:style w:type="paragraph" w:customStyle="1" w:styleId="Logo">
    <w:name w:val="Logo"/>
    <w:basedOn w:val="Normal"/>
    <w:qFormat/>
    <w:rsid w:val="00DD4B6C"/>
    <w:pPr>
      <w:spacing w:after="480"/>
      <w:jc w:val="center"/>
    </w:pPr>
    <w:rPr>
      <w:noProof/>
    </w:rPr>
  </w:style>
  <w:style w:type="paragraph" w:styleId="NoSpacing">
    <w:name w:val="No Spacing"/>
    <w:basedOn w:val="Normal"/>
    <w:next w:val="Normal"/>
    <w:uiPriority w:val="1"/>
    <w:qFormat/>
    <w:rsid w:val="00DD4B6C"/>
    <w:pPr>
      <w:spacing w:after="480"/>
      <w:contextualSpacing/>
    </w:pPr>
  </w:style>
  <w:style w:type="paragraph" w:customStyle="1" w:styleId="NormalBold">
    <w:name w:val="Normal Bold"/>
    <w:basedOn w:val="Normal"/>
    <w:link w:val="NormalBoldChar"/>
    <w:qFormat/>
    <w:rsid w:val="00DD4B6C"/>
    <w:rPr>
      <w:rFonts w:cs="Arial"/>
      <w:b/>
      <w:szCs w:val="22"/>
    </w:rPr>
  </w:style>
  <w:style w:type="character" w:customStyle="1" w:styleId="NormalBoldChar">
    <w:name w:val="Normal Bold Char"/>
    <w:basedOn w:val="DefaultParagraphFont"/>
    <w:link w:val="NormalBold"/>
    <w:rsid w:val="00DD4B6C"/>
    <w:rPr>
      <w:rFonts w:eastAsia="Times New Roman" w:cs="Arial"/>
      <w:b/>
      <w:sz w:val="24"/>
      <w:lang w:eastAsia="en-AU"/>
    </w:rPr>
  </w:style>
  <w:style w:type="paragraph" w:customStyle="1" w:styleId="NormalIndentedLeft">
    <w:name w:val="Normal Indented Left"/>
    <w:basedOn w:val="Normal"/>
    <w:qFormat/>
    <w:rsid w:val="00DD4B6C"/>
    <w:pPr>
      <w:ind w:left="567"/>
    </w:pPr>
  </w:style>
  <w:style w:type="paragraph" w:customStyle="1" w:styleId="NormalItalics">
    <w:name w:val="Normal Italics"/>
    <w:basedOn w:val="Normal"/>
    <w:link w:val="NormalItalicsChar"/>
    <w:qFormat/>
    <w:rsid w:val="00DD4B6C"/>
    <w:rPr>
      <w:rFonts w:cs="Arial"/>
      <w:i/>
      <w:szCs w:val="22"/>
    </w:rPr>
  </w:style>
  <w:style w:type="character" w:customStyle="1" w:styleId="NormalItalicsChar">
    <w:name w:val="Normal Italics Char"/>
    <w:basedOn w:val="DefaultParagraphFont"/>
    <w:link w:val="NormalItalics"/>
    <w:rsid w:val="00DD4B6C"/>
    <w:rPr>
      <w:rFonts w:eastAsia="Times New Roman" w:cs="Arial"/>
      <w:i/>
      <w:sz w:val="24"/>
      <w:lang w:eastAsia="en-AU"/>
    </w:rPr>
  </w:style>
  <w:style w:type="paragraph" w:customStyle="1" w:styleId="NormalRed">
    <w:name w:val="Normal Red"/>
    <w:basedOn w:val="Normal"/>
    <w:link w:val="NormalRedChar"/>
    <w:qFormat/>
    <w:rsid w:val="00DD4B6C"/>
    <w:rPr>
      <w:b/>
      <w:caps/>
      <w:color w:val="FF0000"/>
    </w:rPr>
  </w:style>
  <w:style w:type="character" w:customStyle="1" w:styleId="NormalRedChar">
    <w:name w:val="Normal Red Char"/>
    <w:basedOn w:val="DefaultParagraphFont"/>
    <w:link w:val="NormalRed"/>
    <w:rsid w:val="00DD4B6C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customStyle="1" w:styleId="NormalUnderline">
    <w:name w:val="Normal Underline"/>
    <w:basedOn w:val="Normal"/>
    <w:link w:val="NormalUnderlineChar"/>
    <w:qFormat/>
    <w:rsid w:val="00DD4B6C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DD4B6C"/>
    <w:rPr>
      <w:rFonts w:eastAsia="Times New Roman" w:cs="Times New Roman"/>
      <w:sz w:val="24"/>
      <w:szCs w:val="24"/>
      <w:u w:val="single"/>
      <w:lang w:eastAsia="en-AU"/>
    </w:rPr>
  </w:style>
  <w:style w:type="paragraph" w:customStyle="1" w:styleId="NormalRed0">
    <w:name w:val="NormalRed"/>
    <w:basedOn w:val="Normal"/>
    <w:link w:val="NormalRedChar0"/>
    <w:qFormat/>
    <w:rsid w:val="00DD4B6C"/>
    <w:rPr>
      <w:b/>
      <w:caps/>
      <w:color w:val="FF0000"/>
    </w:rPr>
  </w:style>
  <w:style w:type="character" w:customStyle="1" w:styleId="NormalRedChar0">
    <w:name w:val="NormalRed Char"/>
    <w:basedOn w:val="DefaultParagraphFont"/>
    <w:link w:val="NormalRed0"/>
    <w:rsid w:val="00DD4B6C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customStyle="1" w:styleId="Note">
    <w:name w:val="Note"/>
    <w:basedOn w:val="Normal"/>
    <w:link w:val="NoteChar"/>
    <w:qFormat/>
    <w:rsid w:val="00DD4B6C"/>
    <w:rPr>
      <w:i/>
      <w:color w:val="244061" w:themeColor="accent1" w:themeShade="80"/>
      <w:sz w:val="20"/>
    </w:rPr>
  </w:style>
  <w:style w:type="character" w:customStyle="1" w:styleId="NoteChar">
    <w:name w:val="Note Char"/>
    <w:basedOn w:val="DefaultParagraphFont"/>
    <w:link w:val="Note"/>
    <w:rsid w:val="00DD4B6C"/>
    <w:rPr>
      <w:rFonts w:eastAsia="Times New Roman" w:cs="Times New Roman"/>
      <w:i/>
      <w:color w:val="244061" w:themeColor="accent1" w:themeShade="80"/>
      <w:sz w:val="20"/>
      <w:szCs w:val="24"/>
      <w:lang w:eastAsia="en-AU"/>
    </w:rPr>
  </w:style>
  <w:style w:type="paragraph" w:customStyle="1" w:styleId="NoteSuperScript">
    <w:name w:val="NoteSuperScript"/>
    <w:basedOn w:val="Normal"/>
    <w:link w:val="NoteSuperScriptChar"/>
    <w:qFormat/>
    <w:rsid w:val="00DD4B6C"/>
    <w:rPr>
      <w:b/>
      <w:i/>
      <w:color w:val="1F497D" w:themeColor="text2"/>
      <w:sz w:val="20"/>
      <w:vertAlign w:val="superscript"/>
    </w:rPr>
  </w:style>
  <w:style w:type="character" w:customStyle="1" w:styleId="NoteSuperScriptChar">
    <w:name w:val="NoteSuperScript Char"/>
    <w:basedOn w:val="DefaultParagraphFont"/>
    <w:link w:val="NoteSuperScript"/>
    <w:rsid w:val="00DD4B6C"/>
    <w:rPr>
      <w:rFonts w:eastAsia="Times New Roman" w:cs="Times New Roman"/>
      <w:b/>
      <w:i/>
      <w:color w:val="1F497D" w:themeColor="text2"/>
      <w:sz w:val="20"/>
      <w:szCs w:val="24"/>
      <w:vertAlign w:val="superscript"/>
      <w:lang w:eastAsia="en-AU"/>
    </w:rPr>
  </w:style>
  <w:style w:type="paragraph" w:customStyle="1" w:styleId="NumberedListLevel1123">
    <w:name w:val="Numbered List Level 1 (1. 2. 3. )"/>
    <w:basedOn w:val="Normal"/>
    <w:link w:val="NumberedListLevel1123Char"/>
    <w:qFormat/>
    <w:rsid w:val="00DD4B6C"/>
    <w:pPr>
      <w:numPr>
        <w:numId w:val="18"/>
      </w:numPr>
    </w:pPr>
    <w:rPr>
      <w:rFonts w:ascii="Arial Bold" w:hAnsi="Arial Bold" w:cs="Arial"/>
      <w:b/>
      <w:szCs w:val="22"/>
    </w:rPr>
  </w:style>
  <w:style w:type="character" w:customStyle="1" w:styleId="NumberedListLevel1123Char">
    <w:name w:val="Numbered List Level 1 (1. 2. 3. ) Char"/>
    <w:basedOn w:val="DefaultParagraphFont"/>
    <w:link w:val="NumberedListLevel1123"/>
    <w:rsid w:val="00DD4B6C"/>
    <w:rPr>
      <w:rFonts w:ascii="Arial Bold" w:eastAsia="Times New Roman" w:hAnsi="Arial Bold" w:cs="Arial"/>
      <w:b/>
      <w:sz w:val="24"/>
      <w:lang w:eastAsia="en-AU"/>
    </w:rPr>
  </w:style>
  <w:style w:type="paragraph" w:customStyle="1" w:styleId="NumberedListLevel1ABC">
    <w:name w:val="Numbered List Level 1 (A. B. C.)"/>
    <w:basedOn w:val="Normal"/>
    <w:link w:val="NumberedListLevel1ABCChar"/>
    <w:qFormat/>
    <w:rsid w:val="00DD4B6C"/>
    <w:pPr>
      <w:numPr>
        <w:numId w:val="15"/>
      </w:numPr>
      <w:tabs>
        <w:tab w:val="left" w:pos="8505"/>
      </w:tabs>
    </w:pPr>
    <w:rPr>
      <w:rFonts w:cs="Arial"/>
    </w:rPr>
  </w:style>
  <w:style w:type="character" w:customStyle="1" w:styleId="NumberedListLevel1ABCChar">
    <w:name w:val="Numbered List Level 1 (A. B. C.) Char"/>
    <w:basedOn w:val="DefaultParagraphFont"/>
    <w:link w:val="NumberedListLevel1ABC"/>
    <w:rsid w:val="00DD4B6C"/>
    <w:rPr>
      <w:rFonts w:eastAsia="Times New Roman" w:cs="Arial"/>
      <w:sz w:val="24"/>
      <w:szCs w:val="24"/>
      <w:lang w:eastAsia="en-AU"/>
    </w:rPr>
  </w:style>
  <w:style w:type="paragraph" w:customStyle="1" w:styleId="NumberedListLevel2abc">
    <w:name w:val="Numbered List Level 2 (  a)  b)  c)  )"/>
    <w:basedOn w:val="Normal"/>
    <w:link w:val="NumberedListLevel2abcChar"/>
    <w:qFormat/>
    <w:rsid w:val="00DD4B6C"/>
    <w:pPr>
      <w:numPr>
        <w:numId w:val="16"/>
      </w:numPr>
    </w:pPr>
  </w:style>
  <w:style w:type="character" w:customStyle="1" w:styleId="NumberedListLevel2abcChar">
    <w:name w:val="Numbered List Level 2 (  a)  b)  c)  ) Char"/>
    <w:basedOn w:val="DefaultParagraphFont"/>
    <w:link w:val="NumberedListLevel2abc"/>
    <w:rsid w:val="00DD4B6C"/>
    <w:rPr>
      <w:rFonts w:eastAsia="Times New Roman" w:cs="Times New Roman"/>
      <w:sz w:val="24"/>
      <w:szCs w:val="24"/>
      <w:lang w:eastAsia="en-AU"/>
    </w:rPr>
  </w:style>
  <w:style w:type="paragraph" w:customStyle="1" w:styleId="NumberedListLevel2111213">
    <w:name w:val="Numbered List Level 2 (1.1   1.2   1.3)"/>
    <w:basedOn w:val="Normal"/>
    <w:link w:val="NumberedListLevel2111213Char"/>
    <w:qFormat/>
    <w:rsid w:val="00DD4B6C"/>
    <w:pPr>
      <w:numPr>
        <w:ilvl w:val="1"/>
        <w:numId w:val="18"/>
      </w:numPr>
    </w:pPr>
    <w:rPr>
      <w:rFonts w:cs="Arial"/>
      <w:szCs w:val="22"/>
    </w:rPr>
  </w:style>
  <w:style w:type="character" w:customStyle="1" w:styleId="NumberedListLevel2111213Char">
    <w:name w:val="Numbered List Level 2 (1.1   1.2   1.3) Char"/>
    <w:basedOn w:val="DefaultParagraphFont"/>
    <w:link w:val="NumberedListLevel2111213"/>
    <w:rsid w:val="00DD4B6C"/>
    <w:rPr>
      <w:rFonts w:eastAsia="Times New Roman" w:cs="Arial"/>
      <w:sz w:val="24"/>
      <w:lang w:eastAsia="en-AU"/>
    </w:rPr>
  </w:style>
  <w:style w:type="paragraph" w:customStyle="1" w:styleId="NumberedListLevel3111112113">
    <w:name w:val="Numbered List Level 3 (1.1.1   1.1.2   1.1.3)"/>
    <w:basedOn w:val="Normal"/>
    <w:link w:val="NumberedListLevel3111112113Char"/>
    <w:qFormat/>
    <w:rsid w:val="00DD4B6C"/>
    <w:pPr>
      <w:numPr>
        <w:ilvl w:val="2"/>
        <w:numId w:val="18"/>
      </w:numPr>
      <w:tabs>
        <w:tab w:val="left" w:pos="8505"/>
      </w:tabs>
    </w:pPr>
    <w:rPr>
      <w:rFonts w:cs="Arial"/>
      <w:szCs w:val="22"/>
    </w:rPr>
  </w:style>
  <w:style w:type="character" w:customStyle="1" w:styleId="NumberedListLevel3111112113Char">
    <w:name w:val="Numbered List Level 3 (1.1.1   1.1.2   1.1.3) Char"/>
    <w:basedOn w:val="DefaultParagraphFont"/>
    <w:link w:val="NumberedListLevel3111112113"/>
    <w:rsid w:val="00DD4B6C"/>
    <w:rPr>
      <w:rFonts w:eastAsia="Times New Roman" w:cs="Arial"/>
      <w:sz w:val="24"/>
      <w:lang w:eastAsia="en-AU"/>
    </w:rPr>
  </w:style>
  <w:style w:type="paragraph" w:customStyle="1" w:styleId="NumberedListLevel3i">
    <w:name w:val="Numbered List Level 3 (i"/>
    <w:aliases w:val="ii,iii)"/>
    <w:basedOn w:val="Normal"/>
    <w:link w:val="NumberedListLevel3iChar"/>
    <w:qFormat/>
    <w:rsid w:val="00DD4B6C"/>
    <w:pPr>
      <w:numPr>
        <w:numId w:val="19"/>
      </w:numPr>
    </w:pPr>
  </w:style>
  <w:style w:type="character" w:customStyle="1" w:styleId="NumberedListLevel3iChar">
    <w:name w:val="Numbered List Level 3 (i Char"/>
    <w:aliases w:val="ii Char,iii) Char"/>
    <w:basedOn w:val="DefaultParagraphFont"/>
    <w:link w:val="NumberedListLevel3i"/>
    <w:rsid w:val="00DD4B6C"/>
    <w:rPr>
      <w:rFonts w:eastAsia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D4B6C"/>
    <w:rPr>
      <w:color w:val="808080"/>
    </w:rPr>
  </w:style>
  <w:style w:type="paragraph" w:customStyle="1" w:styleId="ProtectedConfidentialSecretTopSecret">
    <w:name w:val="Protected / Confidential / Secret / Top Secret"/>
    <w:basedOn w:val="Normal"/>
    <w:link w:val="ProtectedConfidentialSecretTopSecretChar"/>
    <w:qFormat/>
    <w:rsid w:val="00DD4B6C"/>
    <w:pPr>
      <w:spacing w:after="0"/>
      <w:jc w:val="center"/>
    </w:pPr>
    <w:rPr>
      <w:rFonts w:cstheme="minorHAnsi"/>
      <w:caps/>
      <w:color w:val="FF0000"/>
    </w:rPr>
  </w:style>
  <w:style w:type="character" w:customStyle="1" w:styleId="ProtectedConfidentialSecretTopSecretChar">
    <w:name w:val="Protected / Confidential / Secret / Top Secret Char"/>
    <w:basedOn w:val="DefaultParagraphFont"/>
    <w:link w:val="ProtectedConfidentialSecretTopSecret"/>
    <w:rsid w:val="00DD4B6C"/>
    <w:rPr>
      <w:rFonts w:eastAsia="Times New Roman" w:cstheme="minorHAnsi"/>
      <w:caps/>
      <w:color w:val="FF0000"/>
      <w:sz w:val="24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unhideWhenUsed/>
    <w:rsid w:val="00DD4B6C"/>
    <w:pPr>
      <w:spacing w:before="720" w:after="0"/>
    </w:pPr>
  </w:style>
  <w:style w:type="character" w:customStyle="1" w:styleId="SignatureChar">
    <w:name w:val="Signature Char"/>
    <w:basedOn w:val="DefaultParagraphFont"/>
    <w:link w:val="Signature"/>
    <w:uiPriority w:val="99"/>
    <w:rsid w:val="00DD4B6C"/>
    <w:rPr>
      <w:rFonts w:eastAsia="Times New Roman" w:cs="Times New Roman"/>
      <w:sz w:val="24"/>
      <w:szCs w:val="24"/>
      <w:lang w:eastAsia="en-AU"/>
    </w:rPr>
  </w:style>
  <w:style w:type="paragraph" w:customStyle="1" w:styleId="StaffLegalCommercial">
    <w:name w:val="Staff / Legal / Commercial"/>
    <w:basedOn w:val="Normal"/>
    <w:link w:val="StaffLegalCommercialChar"/>
    <w:qFormat/>
    <w:rsid w:val="00DD4B6C"/>
    <w:pPr>
      <w:spacing w:after="360"/>
      <w:jc w:val="center"/>
    </w:pPr>
    <w:rPr>
      <w:rFonts w:cstheme="minorHAnsi"/>
      <w:color w:val="FF0000"/>
    </w:rPr>
  </w:style>
  <w:style w:type="character" w:customStyle="1" w:styleId="StaffLegalCommercialChar">
    <w:name w:val="Staff / Legal / Commercial Char"/>
    <w:basedOn w:val="DefaultParagraphFont"/>
    <w:link w:val="StaffLegalCommercial"/>
    <w:rsid w:val="00DD4B6C"/>
    <w:rPr>
      <w:rFonts w:eastAsia="Times New Roman" w:cstheme="minorHAnsi"/>
      <w:color w:val="FF0000"/>
      <w:sz w:val="24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DD4B6C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DD4B6C"/>
    <w:rPr>
      <w:rFonts w:eastAsia="Times New Roman" w:cs="Times New Roman"/>
      <w:b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DD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03A9"/>
    <w:pPr>
      <w:spacing w:after="0"/>
    </w:pPr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3A9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6302E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6302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2E7"/>
    <w:pPr>
      <w:spacing w:after="15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30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3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1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5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57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1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8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54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07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49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90B19FAC4A3BC49904C50D2D2CFC396" ma:contentTypeVersion="" ma:contentTypeDescription="PDMS Document Site Content Type" ma:contentTypeScope="" ma:versionID="898f732e07ba8de22e940336e225014d">
  <xsd:schema xmlns:xsd="http://www.w3.org/2001/XMLSchema" xmlns:xs="http://www.w3.org/2001/XMLSchema" xmlns:p="http://schemas.microsoft.com/office/2006/metadata/properties" xmlns:ns2="77DC77D5-EA2E-4447-807A-E607D4DD6F49" targetNamespace="http://schemas.microsoft.com/office/2006/metadata/properties" ma:root="true" ma:fieldsID="7d778fd2fc611cdf63f456b6fea0130b" ns2:_="">
    <xsd:import namespace="77DC77D5-EA2E-4447-807A-E607D4DD6F4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77D5-EA2E-4447-807A-E607D4DD6F4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DC77D5-EA2E-4447-807A-E607D4DD6F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24A62-1B09-42C1-A874-DB087E40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77D5-EA2E-4447-807A-E607D4DD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91F81-EDC5-4074-B316-3AF94D213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2C832-9A17-4DE8-9EE5-78F12A2A5F24}">
  <ds:schemaRefs>
    <ds:schemaRef ds:uri="http://schemas.microsoft.com/office/2006/metadata/properties"/>
    <ds:schemaRef ds:uri="http://purl.org/dc/elements/1.1/"/>
    <ds:schemaRef ds:uri="77DC77D5-EA2E-4447-807A-E607D4DD6F49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56FE68-DD69-4FF0-AFEA-B0D8D2BB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7421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</dc:creator>
  <cp:lastModifiedBy>Symonds, Andrew</cp:lastModifiedBy>
  <cp:revision>2</cp:revision>
  <cp:lastPrinted>2016-11-30T01:31:00Z</cp:lastPrinted>
  <dcterms:created xsi:type="dcterms:W3CDTF">2018-06-14T04:59:00Z</dcterms:created>
  <dcterms:modified xsi:type="dcterms:W3CDTF">2018-06-14T04:59:00Z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0x010100266966F133664895A6EE3632470D45F500A90B19FAC4A3BC49904C50D2D2CFC396</vt:lpwstr>
  </property>
  <property fmtid="{D5CDD505-2E9C-101B-9397-08002B2CF9AE}" pid="3" name="TrimRevisionNumber">
    <vt:i4>3</vt:i4>
  </property>
  <property fmtid="{D5CDD505-2E9C-101B-9397-08002B2CF9AE}" pid="4" name="trimRootDocClassification">
    <vt:lpwstr/>
  </property>
  <property fmtid="{D5CDD505-2E9C-101B-9397-08002B2CF9AE}" pid="5" name="trimRootDocAssigneeLocation">
    <vt:lpwstr>55;#Metschke, Bernadette [Person - BMETSCHKE] [internal] [23089]|14c4c4ea-7d5b-42a0-88f0-64aed0c65d50</vt:lpwstr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uri">
    <vt:lpwstr>2948986</vt:lpwstr>
  </property>
  <property fmtid="{D5CDD505-2E9C-101B-9397-08002B2CF9AE}" pid="12" name="trimRootDocACLCanViewDocument_List">
    <vt:lpwstr/>
  </property>
  <property fmtid="{D5CDD505-2E9C-101B-9397-08002B2CF9AE}" pid="13" name="trimRootDocOwnerLocation">
    <vt:lpwstr>54;#Legal Practice Unit [Organization] [internal] [39804]|3601d318-3562-4026-bcf3-e3d37a91abed</vt:lpwstr>
  </property>
  <property fmtid="{D5CDD505-2E9C-101B-9397-08002B2CF9AE}" pid="14" name="trimRootDocACLCanContributeDocuments_List">
    <vt:lpwstr/>
  </property>
</Properties>
</file>