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CD401" w14:textId="34AD7E03" w:rsidR="00521C09" w:rsidRPr="00E479CD" w:rsidRDefault="00E479CD" w:rsidP="00790500">
      <w:r w:rsidRPr="0087603F">
        <w:rPr>
          <w:noProof/>
          <w:lang w:eastAsia="en-AU"/>
        </w:rPr>
        <w:drawing>
          <wp:inline distT="0" distB="0" distL="0" distR="0" wp14:anchorId="7EC8012B" wp14:editId="59E1C4C8">
            <wp:extent cx="1419225" cy="1104900"/>
            <wp:effectExtent l="0" t="0" r="9525" b="0"/>
            <wp:docPr id="25" name="Picture 2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DCE1BBA" w14:textId="77777777" w:rsidR="00E73966" w:rsidRDefault="00E73966" w:rsidP="00790500"/>
    <w:p w14:paraId="60F25048" w14:textId="65C0A007" w:rsidR="00521C09" w:rsidRPr="003D4A47" w:rsidRDefault="003D4A47" w:rsidP="00521C09">
      <w:pPr>
        <w:pStyle w:val="ShortT"/>
      </w:pPr>
      <w:r w:rsidRPr="003D4A47">
        <w:t>Carrier Licence Conditions (Telstra Corporation Limited) Declaration 1997 (Amendment No. 1 of 2018)</w:t>
      </w:r>
    </w:p>
    <w:p w14:paraId="5ED26FF0" w14:textId="77777777" w:rsidR="00E479CD" w:rsidRPr="003D4A47" w:rsidRDefault="00E479CD" w:rsidP="00E479CD"/>
    <w:p w14:paraId="47B5E741" w14:textId="2CECFE5F" w:rsidR="00E479CD" w:rsidRPr="003D4A47" w:rsidRDefault="003D4A47" w:rsidP="00E479CD">
      <w:pPr>
        <w:rPr>
          <w:i/>
          <w:sz w:val="28"/>
          <w:szCs w:val="26"/>
        </w:rPr>
      </w:pPr>
      <w:r w:rsidRPr="003D4A47">
        <w:rPr>
          <w:i/>
          <w:sz w:val="28"/>
          <w:szCs w:val="26"/>
        </w:rPr>
        <w:t>Telecommunications Act 1997</w:t>
      </w:r>
    </w:p>
    <w:p w14:paraId="4AFED304" w14:textId="77777777" w:rsidR="00521C09" w:rsidRPr="003D4A47" w:rsidRDefault="00521C09" w:rsidP="00521C09"/>
    <w:p w14:paraId="2CF219C5" w14:textId="77777777" w:rsidR="00E73966" w:rsidRPr="003D4A47" w:rsidRDefault="00E73966" w:rsidP="00521C09"/>
    <w:p w14:paraId="03E7D67F" w14:textId="48A10392" w:rsidR="002C3935" w:rsidRPr="003D4A47" w:rsidRDefault="002C3935" w:rsidP="002C3935">
      <w:pPr>
        <w:pStyle w:val="SignCoverPageStart"/>
        <w:spacing w:before="240"/>
      </w:pPr>
      <w:r w:rsidRPr="003D4A47">
        <w:t>I, MITCH FIFIELD, Minister for Communications, make</w:t>
      </w:r>
      <w:r w:rsidR="003D4A47" w:rsidRPr="003D4A47">
        <w:t xml:space="preserve"> </w:t>
      </w:r>
      <w:r w:rsidRPr="003D4A47">
        <w:t xml:space="preserve">the following </w:t>
      </w:r>
      <w:r w:rsidR="003D4A47" w:rsidRPr="003D4A47">
        <w:t>declaration</w:t>
      </w:r>
      <w:r w:rsidRPr="003D4A47">
        <w:t>.</w:t>
      </w:r>
    </w:p>
    <w:p w14:paraId="6E5CAB86" w14:textId="4D473AFE" w:rsidR="00914D92" w:rsidRPr="003D4A47" w:rsidRDefault="00914D92" w:rsidP="00BE2C51">
      <w:pPr>
        <w:keepNext/>
        <w:spacing w:before="720" w:line="240" w:lineRule="atLeast"/>
        <w:ind w:right="397"/>
        <w:jc w:val="both"/>
        <w:rPr>
          <w:sz w:val="24"/>
          <w:szCs w:val="24"/>
        </w:rPr>
      </w:pPr>
      <w:r w:rsidRPr="003D4A47">
        <w:rPr>
          <w:sz w:val="24"/>
          <w:szCs w:val="24"/>
        </w:rPr>
        <w:t xml:space="preserve">Dated </w:t>
      </w:r>
      <w:bookmarkStart w:id="0" w:name="BKCheck15B_2"/>
      <w:bookmarkEnd w:id="0"/>
      <w:r w:rsidR="00E1322A">
        <w:rPr>
          <w:sz w:val="24"/>
          <w:szCs w:val="24"/>
        </w:rPr>
        <w:t>15 June 2018</w:t>
      </w:r>
      <w:bookmarkStart w:id="1" w:name="_GoBack"/>
      <w:bookmarkEnd w:id="1"/>
    </w:p>
    <w:p w14:paraId="742D25A5" w14:textId="2C517890" w:rsidR="00914D92" w:rsidRPr="003D4A47" w:rsidRDefault="007F77CD" w:rsidP="00E00CCB">
      <w:pPr>
        <w:keepNext/>
        <w:tabs>
          <w:tab w:val="left" w:pos="3402"/>
        </w:tabs>
        <w:spacing w:before="960" w:line="300" w:lineRule="atLeast"/>
        <w:ind w:right="397"/>
        <w:rPr>
          <w:szCs w:val="22"/>
        </w:rPr>
      </w:pPr>
      <w:r w:rsidRPr="003D4A47">
        <w:rPr>
          <w:szCs w:val="22"/>
        </w:rPr>
        <w:t>MITCH FIFIELD</w:t>
      </w:r>
    </w:p>
    <w:p w14:paraId="0DEB5F4C" w14:textId="3EB1B171" w:rsidR="002C3935" w:rsidRPr="003D4A47" w:rsidRDefault="002C3935" w:rsidP="002C3935">
      <w:pPr>
        <w:pStyle w:val="SignCoverPageEnd"/>
      </w:pPr>
      <w:r w:rsidRPr="003D4A47">
        <w:t>Minister for Communications</w:t>
      </w:r>
    </w:p>
    <w:p w14:paraId="4C8E9131" w14:textId="6B705606" w:rsidR="00521C09" w:rsidRPr="003D4A47" w:rsidRDefault="00521C09" w:rsidP="00666B8A">
      <w:pPr>
        <w:pStyle w:val="Header"/>
        <w:keepNext w:val="0"/>
        <w:tabs>
          <w:tab w:val="clear" w:pos="4150"/>
          <w:tab w:val="clear" w:pos="8307"/>
        </w:tabs>
        <w:spacing w:line="80" w:lineRule="exact"/>
      </w:pPr>
      <w:r w:rsidRPr="003D4A47">
        <w:rPr>
          <w:rStyle w:val="CharChapNo"/>
        </w:rPr>
        <w:t xml:space="preserve"> </w:t>
      </w:r>
      <w:r w:rsidRPr="003D4A47">
        <w:rPr>
          <w:rStyle w:val="CharChapText"/>
        </w:rPr>
        <w:t xml:space="preserve"> </w:t>
      </w:r>
      <w:r w:rsidRPr="003D4A47">
        <w:rPr>
          <w:rStyle w:val="CharPartNo"/>
        </w:rPr>
        <w:t xml:space="preserve"> </w:t>
      </w:r>
      <w:r w:rsidRPr="003D4A47">
        <w:rPr>
          <w:rStyle w:val="CharPartText"/>
        </w:rPr>
        <w:t xml:space="preserve"> </w:t>
      </w:r>
      <w:r w:rsidRPr="003D4A47">
        <w:rPr>
          <w:rStyle w:val="CharDivNo"/>
        </w:rPr>
        <w:t xml:space="preserve"> </w:t>
      </w:r>
      <w:r w:rsidRPr="003D4A47">
        <w:rPr>
          <w:rStyle w:val="CharDivText"/>
        </w:rPr>
        <w:t xml:space="preserve"> </w:t>
      </w:r>
    </w:p>
    <w:p w14:paraId="36DF01B3" w14:textId="5113D729" w:rsidR="002C3935" w:rsidRPr="003D4A47" w:rsidRDefault="002C3935" w:rsidP="002C3935">
      <w:pPr>
        <w:pStyle w:val="ActHead5"/>
      </w:pPr>
      <w:bookmarkStart w:id="2" w:name="_Toc418067266"/>
      <w:bookmarkStart w:id="3" w:name="_Toc418067518"/>
      <w:bookmarkStart w:id="4" w:name="_Toc418067534"/>
      <w:bookmarkStart w:id="5" w:name="_Toc418067960"/>
      <w:bookmarkStart w:id="6" w:name="_Toc418165041"/>
      <w:bookmarkStart w:id="7" w:name="_Toc454803171"/>
      <w:bookmarkStart w:id="8" w:name="_Toc418067270"/>
      <w:bookmarkStart w:id="9" w:name="_Toc418067522"/>
      <w:bookmarkStart w:id="10" w:name="_Toc418067538"/>
      <w:bookmarkStart w:id="11" w:name="_Toc418067964"/>
      <w:bookmarkStart w:id="12" w:name="_Toc418165045"/>
      <w:r w:rsidRPr="003D4A47">
        <w:rPr>
          <w:rStyle w:val="CharSectno"/>
        </w:rPr>
        <w:t>1</w:t>
      </w:r>
      <w:r w:rsidRPr="003D4A47">
        <w:t xml:space="preserve">  Name</w:t>
      </w:r>
      <w:bookmarkEnd w:id="2"/>
      <w:bookmarkEnd w:id="3"/>
      <w:bookmarkEnd w:id="4"/>
      <w:bookmarkEnd w:id="5"/>
      <w:bookmarkEnd w:id="6"/>
      <w:bookmarkEnd w:id="7"/>
    </w:p>
    <w:p w14:paraId="24510B5E" w14:textId="1EA074D0" w:rsidR="002C3935" w:rsidRPr="003D4A47" w:rsidRDefault="002C3935" w:rsidP="002C3935">
      <w:pPr>
        <w:pStyle w:val="subsection"/>
      </w:pPr>
      <w:r w:rsidRPr="003D4A47">
        <w:tab/>
      </w:r>
      <w:r w:rsidRPr="003D4A47">
        <w:tab/>
        <w:t xml:space="preserve">This instrument is the </w:t>
      </w:r>
      <w:r w:rsidR="003D4A47" w:rsidRPr="003D4A47">
        <w:rPr>
          <w:i/>
        </w:rPr>
        <w:t>Carrier Licence Conditions (Telstra Corporation Limited) Declaration 1997 (Amendment No. 1 of 2018)</w:t>
      </w:r>
      <w:r w:rsidRPr="003D4A47">
        <w:t>.</w:t>
      </w:r>
    </w:p>
    <w:p w14:paraId="542DD8BC" w14:textId="77777777" w:rsidR="002C3935" w:rsidRDefault="002C3935" w:rsidP="002C3935">
      <w:pPr>
        <w:pStyle w:val="ActHead5"/>
      </w:pPr>
      <w:bookmarkStart w:id="13" w:name="_Toc485208921"/>
      <w:bookmarkStart w:id="14" w:name="_Toc418067267"/>
      <w:bookmarkStart w:id="15" w:name="_Toc418067519"/>
      <w:bookmarkStart w:id="16" w:name="_Toc418067535"/>
      <w:bookmarkStart w:id="17" w:name="_Toc418067961"/>
      <w:bookmarkStart w:id="18" w:name="_Toc418165042"/>
      <w:bookmarkStart w:id="19" w:name="_Toc454803173"/>
      <w:bookmarkStart w:id="20" w:name="_Toc418067268"/>
      <w:bookmarkStart w:id="21" w:name="_Toc418067520"/>
      <w:bookmarkStart w:id="22" w:name="_Toc418067536"/>
      <w:bookmarkStart w:id="23" w:name="_Toc418067962"/>
      <w:bookmarkStart w:id="24" w:name="_Toc418165043"/>
      <w:r w:rsidRPr="00695472">
        <w:rPr>
          <w:rStyle w:val="CharSectno"/>
        </w:rPr>
        <w:t>2</w:t>
      </w:r>
      <w:r w:rsidRPr="00695472">
        <w:t xml:space="preserve">  Commencement</w:t>
      </w:r>
      <w:bookmarkEnd w:id="13"/>
    </w:p>
    <w:p w14:paraId="03DD3318" w14:textId="23F8058C" w:rsidR="003D4A47" w:rsidRPr="003D4A47" w:rsidRDefault="003D4A47" w:rsidP="003D4A47">
      <w:pPr>
        <w:pStyle w:val="subsection"/>
      </w:pPr>
      <w:r>
        <w:tab/>
      </w:r>
      <w:r>
        <w:tab/>
        <w:t>This instrument commences on the day after it is registered.</w:t>
      </w:r>
    </w:p>
    <w:bookmarkEnd w:id="14"/>
    <w:bookmarkEnd w:id="15"/>
    <w:bookmarkEnd w:id="16"/>
    <w:bookmarkEnd w:id="17"/>
    <w:bookmarkEnd w:id="18"/>
    <w:p w14:paraId="3C97C81E" w14:textId="77777777" w:rsidR="002C3935" w:rsidRDefault="002C3935" w:rsidP="002C3935">
      <w:pPr>
        <w:pStyle w:val="ActHead5"/>
      </w:pPr>
      <w:r w:rsidRPr="0027210B">
        <w:rPr>
          <w:rStyle w:val="CharSectno"/>
        </w:rPr>
        <w:t>3</w:t>
      </w:r>
      <w:r>
        <w:t xml:space="preserve">  Authority</w:t>
      </w:r>
      <w:bookmarkEnd w:id="19"/>
    </w:p>
    <w:p w14:paraId="25E4E89D" w14:textId="2BF18606" w:rsidR="002C3935" w:rsidRPr="00E25D6E" w:rsidRDefault="002C3935" w:rsidP="002C3935">
      <w:pPr>
        <w:pStyle w:val="subsection"/>
      </w:pPr>
      <w:r>
        <w:tab/>
      </w:r>
      <w:r>
        <w:tab/>
        <w:t xml:space="preserve">This instrument is made under </w:t>
      </w:r>
      <w:r w:rsidR="003D4A47">
        <w:t xml:space="preserve">subsection 63(5) of the </w:t>
      </w:r>
      <w:r w:rsidR="003D4A47">
        <w:rPr>
          <w:i/>
        </w:rPr>
        <w:t>Telecommunications Act 1997</w:t>
      </w:r>
      <w:r>
        <w:t>.</w:t>
      </w:r>
    </w:p>
    <w:bookmarkEnd w:id="20"/>
    <w:bookmarkEnd w:id="21"/>
    <w:bookmarkEnd w:id="22"/>
    <w:bookmarkEnd w:id="23"/>
    <w:bookmarkEnd w:id="24"/>
    <w:p w14:paraId="61601D9A" w14:textId="1391D5BE" w:rsidR="000527F0" w:rsidRPr="002C3935" w:rsidRDefault="003D4A47" w:rsidP="000527F0">
      <w:pPr>
        <w:pStyle w:val="ActHead5"/>
        <w:rPr>
          <w:b w:val="0"/>
          <w:i/>
        </w:rPr>
      </w:pPr>
      <w:r>
        <w:rPr>
          <w:rStyle w:val="CharSectno"/>
        </w:rPr>
        <w:t>4</w:t>
      </w:r>
      <w:r w:rsidR="000527F0" w:rsidRPr="002C3935">
        <w:t xml:space="preserve">  </w:t>
      </w:r>
      <w:bookmarkEnd w:id="8"/>
      <w:bookmarkEnd w:id="9"/>
      <w:bookmarkEnd w:id="10"/>
      <w:bookmarkEnd w:id="11"/>
      <w:r w:rsidR="00286BB1" w:rsidRPr="002C3935">
        <w:t>Schedule</w:t>
      </w:r>
      <w:r w:rsidR="00532043" w:rsidRPr="002C3935">
        <w:t>s</w:t>
      </w:r>
      <w:bookmarkEnd w:id="12"/>
    </w:p>
    <w:p w14:paraId="0D4897B4" w14:textId="3CB66660" w:rsidR="00532043" w:rsidRDefault="000527F0" w:rsidP="00532043">
      <w:pPr>
        <w:pStyle w:val="subsection"/>
      </w:pPr>
      <w:r w:rsidRPr="002C3935">
        <w:tab/>
      </w:r>
      <w:r w:rsidRPr="002C3935">
        <w:tab/>
      </w:r>
      <w:r w:rsidR="00286BB1" w:rsidRPr="002C3935">
        <w:t>Each instrument</w:t>
      </w:r>
      <w:r w:rsidR="00DD355A" w:rsidRPr="002C3935">
        <w:t xml:space="preserve"> that is specified in a Schedule to this instrument</w:t>
      </w:r>
      <w:r w:rsidR="00532043" w:rsidRPr="002C3935">
        <w:t xml:space="preserve"> </w:t>
      </w:r>
      <w:r w:rsidR="00DD355A" w:rsidRPr="002C3935">
        <w:t>is amended or repealed as set out in the applicable items in the Schedule concerned, and any other item in a Schedule to this instrument</w:t>
      </w:r>
      <w:r w:rsidR="002C3935" w:rsidRPr="002C3935">
        <w:t xml:space="preserve"> </w:t>
      </w:r>
      <w:r w:rsidR="00DD355A" w:rsidRPr="002C3935">
        <w:t>has effect according to its terms.</w:t>
      </w:r>
      <w:bookmarkStart w:id="25" w:name="_Toc418067271"/>
      <w:bookmarkStart w:id="26" w:name="_Toc418067523"/>
      <w:bookmarkStart w:id="27" w:name="_Toc418067539"/>
      <w:bookmarkStart w:id="28" w:name="_Toc418067965"/>
      <w:bookmarkStart w:id="29" w:name="_Toc418165047"/>
    </w:p>
    <w:p w14:paraId="518824E4" w14:textId="77777777" w:rsidR="00AB637F" w:rsidRDefault="00AB637F" w:rsidP="00532043">
      <w:pPr>
        <w:pStyle w:val="subsection"/>
      </w:pPr>
    </w:p>
    <w:p w14:paraId="34F07B5B" w14:textId="77777777" w:rsidR="00532043" w:rsidRPr="00576B93" w:rsidRDefault="00532043" w:rsidP="00532043">
      <w:pPr>
        <w:rPr>
          <w:lang w:eastAsia="en-AU"/>
        </w:rPr>
        <w:sectPr w:rsidR="00532043" w:rsidRPr="00576B93" w:rsidSect="002C3935">
          <w:headerReference w:type="even" r:id="rId12"/>
          <w:headerReference w:type="default" r:id="rId13"/>
          <w:footerReference w:type="even" r:id="rId14"/>
          <w:footerReference w:type="default" r:id="rId15"/>
          <w:pgSz w:w="11907" w:h="16839"/>
          <w:pgMar w:top="1673" w:right="1797" w:bottom="1440" w:left="1797" w:header="720" w:footer="709" w:gutter="0"/>
          <w:pgNumType w:start="1"/>
          <w:cols w:space="708"/>
          <w:titlePg/>
          <w:docGrid w:linePitch="360"/>
        </w:sectPr>
      </w:pPr>
    </w:p>
    <w:p w14:paraId="318D3CF3" w14:textId="1CA95119" w:rsidR="00532043" w:rsidRPr="009C5E75" w:rsidRDefault="00532043" w:rsidP="00532043">
      <w:pPr>
        <w:pStyle w:val="ActHead1"/>
      </w:pPr>
      <w:r w:rsidRPr="009C5E75">
        <w:rPr>
          <w:rStyle w:val="CharChapNo"/>
        </w:rPr>
        <w:lastRenderedPageBreak/>
        <w:t>Schedule 1</w:t>
      </w:r>
      <w:r w:rsidRPr="009C5E75">
        <w:t>—</w:t>
      </w:r>
      <w:r w:rsidR="002C3935" w:rsidRPr="009C5E75">
        <w:rPr>
          <w:rStyle w:val="CharChapText"/>
        </w:rPr>
        <w:t>Amendments</w:t>
      </w:r>
    </w:p>
    <w:p w14:paraId="1267F9F1" w14:textId="7C603F55" w:rsidR="00532043" w:rsidRPr="009C5E75" w:rsidRDefault="00532043" w:rsidP="00532043">
      <w:pPr>
        <w:pStyle w:val="notemargin"/>
        <w:rPr>
          <w:rStyle w:val="HeaderChar"/>
        </w:rPr>
      </w:pPr>
      <w:r w:rsidRPr="009C5E75">
        <w:rPr>
          <w:rStyle w:val="CharPartNo"/>
        </w:rPr>
        <w:t xml:space="preserve"> </w:t>
      </w:r>
      <w:r w:rsidRPr="009C5E75">
        <w:rPr>
          <w:rStyle w:val="CharPartText"/>
        </w:rPr>
        <w:t xml:space="preserve"> </w:t>
      </w:r>
      <w:r w:rsidRPr="009C5E75">
        <w:rPr>
          <w:rStyle w:val="CharDivText"/>
        </w:rPr>
        <w:t xml:space="preserve"> </w:t>
      </w:r>
      <w:r w:rsidRPr="009C5E75">
        <w:rPr>
          <w:rStyle w:val="CharDivNo"/>
        </w:rPr>
        <w:t xml:space="preserve"> </w:t>
      </w:r>
    </w:p>
    <w:p w14:paraId="06C296D6" w14:textId="42BC3B40" w:rsidR="00532043" w:rsidRPr="009C5E75" w:rsidRDefault="003D4A47" w:rsidP="00532043">
      <w:pPr>
        <w:pStyle w:val="ActHead9"/>
      </w:pPr>
      <w:r w:rsidRPr="009C5E75">
        <w:t>Carrier Licence Conditions (Telstra Corporation Limited) Declaration 1997</w:t>
      </w:r>
    </w:p>
    <w:p w14:paraId="2612BFE0" w14:textId="4FE7C36D" w:rsidR="00532043" w:rsidRPr="009C5E75" w:rsidRDefault="00532043" w:rsidP="00532043">
      <w:pPr>
        <w:pStyle w:val="ItemHead"/>
      </w:pPr>
      <w:r w:rsidRPr="009C5E75">
        <w:t xml:space="preserve">1  </w:t>
      </w:r>
      <w:r w:rsidR="003D4A47" w:rsidRPr="009C5E75">
        <w:t>Subclause</w:t>
      </w:r>
      <w:r w:rsidR="0093745B">
        <w:t xml:space="preserve"> </w:t>
      </w:r>
      <w:r w:rsidR="003D4A47" w:rsidRPr="009C5E75">
        <w:t>11(1)</w:t>
      </w:r>
    </w:p>
    <w:p w14:paraId="75E358A3" w14:textId="6F042B0E" w:rsidR="00532043" w:rsidRPr="009C5E75" w:rsidRDefault="00532043" w:rsidP="00532043">
      <w:pPr>
        <w:pStyle w:val="Item"/>
      </w:pPr>
      <w:r w:rsidRPr="009C5E75">
        <w:t xml:space="preserve">Omit </w:t>
      </w:r>
      <w:r w:rsidR="007064A8" w:rsidRPr="009C5E75">
        <w:t>“</w:t>
      </w:r>
      <w:r w:rsidR="003D4A47" w:rsidRPr="009C5E75">
        <w:t>, on a monthly basis,</w:t>
      </w:r>
      <w:r w:rsidR="007064A8" w:rsidRPr="009C5E75">
        <w:t>”</w:t>
      </w:r>
      <w:r w:rsidRPr="009C5E75">
        <w:t>.</w:t>
      </w:r>
    </w:p>
    <w:p w14:paraId="5C7660AB" w14:textId="4CE92E8A" w:rsidR="00532043" w:rsidRPr="009C5E75" w:rsidRDefault="00532043" w:rsidP="00532043">
      <w:pPr>
        <w:pStyle w:val="ItemHead"/>
      </w:pPr>
      <w:r w:rsidRPr="009C5E75">
        <w:t xml:space="preserve">2  </w:t>
      </w:r>
      <w:r w:rsidR="003D4A47" w:rsidRPr="009C5E75">
        <w:t>Subclause</w:t>
      </w:r>
      <w:r w:rsidR="0093745B">
        <w:t xml:space="preserve"> </w:t>
      </w:r>
      <w:r w:rsidR="003D4A47" w:rsidRPr="009C5E75">
        <w:t>11(1)</w:t>
      </w:r>
    </w:p>
    <w:p w14:paraId="49B0739E" w14:textId="7DC003EB" w:rsidR="00532043" w:rsidRPr="009C5E75" w:rsidRDefault="003D4A47" w:rsidP="00532043">
      <w:pPr>
        <w:pStyle w:val="Item"/>
      </w:pPr>
      <w:r w:rsidRPr="009C5E75">
        <w:t>Omit all the words after “in respect of”</w:t>
      </w:r>
      <w:r w:rsidR="00532043" w:rsidRPr="009C5E75">
        <w:t>, substitute:</w:t>
      </w:r>
    </w:p>
    <w:p w14:paraId="4FE1F6D3" w14:textId="006F5259" w:rsidR="00532043" w:rsidRPr="009C5E75" w:rsidRDefault="003D4A47" w:rsidP="00532043">
      <w:pPr>
        <w:pStyle w:val="subsection"/>
      </w:pPr>
      <w:r w:rsidRPr="009C5E75">
        <w:tab/>
      </w:r>
      <w:r w:rsidR="00532043" w:rsidRPr="009C5E75">
        <w:tab/>
      </w:r>
      <w:r w:rsidRPr="009C5E75">
        <w:t>active services of the following kinds:</w:t>
      </w:r>
    </w:p>
    <w:p w14:paraId="13C6EB7F" w14:textId="77777777" w:rsidR="003D4A47" w:rsidRPr="009C5E75" w:rsidRDefault="003D4A47" w:rsidP="003D4A47">
      <w:pPr>
        <w:pStyle w:val="paragraph"/>
      </w:pPr>
      <w:r w:rsidRPr="009C5E75">
        <w:tab/>
        <w:t>(a)</w:t>
      </w:r>
      <w:r w:rsidRPr="009C5E75">
        <w:tab/>
        <w:t>standard active services;</w:t>
      </w:r>
    </w:p>
    <w:p w14:paraId="51453510" w14:textId="1DEBEDD8" w:rsidR="003D4A47" w:rsidRPr="009C5E75" w:rsidRDefault="003D4A47" w:rsidP="003D4A47">
      <w:pPr>
        <w:pStyle w:val="paragraph"/>
      </w:pPr>
      <w:r w:rsidRPr="009C5E75">
        <w:tab/>
        <w:t>(b)</w:t>
      </w:r>
      <w:r w:rsidRPr="009C5E75">
        <w:tab/>
        <w:t>active services supplied to in</w:t>
      </w:r>
      <w:r w:rsidR="00710BF3">
        <w:t xml:space="preserve"> </w:t>
      </w:r>
      <w:r w:rsidRPr="009C5E75">
        <w:t>train order premises;</w:t>
      </w:r>
    </w:p>
    <w:p w14:paraId="67117D0E" w14:textId="77777777" w:rsidR="003D4A47" w:rsidRPr="009C5E75" w:rsidRDefault="003D4A47" w:rsidP="003D4A47">
      <w:pPr>
        <w:pStyle w:val="paragraph"/>
      </w:pPr>
      <w:r w:rsidRPr="009C5E75">
        <w:tab/>
        <w:t>(c)</w:t>
      </w:r>
      <w:r w:rsidRPr="009C5E75">
        <w:tab/>
        <w:t>active services supplied to MDU common areas;</w:t>
      </w:r>
    </w:p>
    <w:p w14:paraId="24F75E8D" w14:textId="5F5E907B" w:rsidR="003D4A47" w:rsidRPr="009C5E75" w:rsidRDefault="003D4A47" w:rsidP="003D4A47">
      <w:pPr>
        <w:pStyle w:val="paragraph"/>
      </w:pPr>
      <w:r w:rsidRPr="009C5E75">
        <w:tab/>
        <w:t>(d)</w:t>
      </w:r>
      <w:r w:rsidRPr="009C5E75">
        <w:tab/>
        <w:t>active services that are Eligible Special Services of the kind mentioned in subparagraph (b)(i) of the</w:t>
      </w:r>
      <w:r w:rsidR="009B073C">
        <w:t xml:space="preserve"> definition of that expression;</w:t>
      </w:r>
    </w:p>
    <w:p w14:paraId="40F3003E" w14:textId="49D99D2B" w:rsidR="003D4A47" w:rsidRPr="009C5E75" w:rsidRDefault="003D4A47" w:rsidP="003D4A47">
      <w:pPr>
        <w:pStyle w:val="paragraph"/>
      </w:pPr>
      <w:r w:rsidRPr="009C5E75">
        <w:tab/>
        <w:t>(e)</w:t>
      </w:r>
      <w:r w:rsidRPr="009C5E75">
        <w:tab/>
        <w:t>active services that are Eligible Special Services of the kind mentioned in subparagraph (b)(ii) of the definition of that expression;</w:t>
      </w:r>
    </w:p>
    <w:p w14:paraId="455D2D21" w14:textId="3C6F5655" w:rsidR="003D4A47" w:rsidRPr="009C5E75" w:rsidRDefault="003D4A47" w:rsidP="003D4A47">
      <w:pPr>
        <w:pStyle w:val="paragraph"/>
      </w:pPr>
      <w:r w:rsidRPr="009C5E75">
        <w:tab/>
        <w:t>(f)</w:t>
      </w:r>
      <w:r w:rsidRPr="009C5E75">
        <w:tab/>
        <w:t>active services that are Eligible Special Services of the kind mentioned in subparagraph (b)(iii) of the definition of that expression;</w:t>
      </w:r>
    </w:p>
    <w:p w14:paraId="60A60F56" w14:textId="22992654" w:rsidR="003D4A47" w:rsidRPr="009C5E75" w:rsidRDefault="003D4A47" w:rsidP="003D4A47">
      <w:pPr>
        <w:pStyle w:val="paragraph"/>
      </w:pPr>
      <w:r w:rsidRPr="009C5E75">
        <w:tab/>
        <w:t>(g)</w:t>
      </w:r>
      <w:r w:rsidRPr="009C5E75">
        <w:tab/>
        <w:t>any other kind of active service (that is not mentioned above) that the licensee, at its discretion, has notified NBN Co in writing is to be a kind of active service;</w:t>
      </w:r>
    </w:p>
    <w:p w14:paraId="68602819" w14:textId="182B8815" w:rsidR="003D4A47" w:rsidRDefault="003D4A47" w:rsidP="003D4A47">
      <w:pPr>
        <w:pStyle w:val="subsection2"/>
      </w:pPr>
      <w:r w:rsidRPr="003D4A47">
        <w:t>in each case, in respect of each Report Date for that kind of active service, for use or disclosure by NB</w:t>
      </w:r>
      <w:r w:rsidR="009C5E75">
        <w:t>N Co for the Permitted Purposes.</w:t>
      </w:r>
    </w:p>
    <w:p w14:paraId="2E87E028" w14:textId="62B66CBB" w:rsidR="009C5E75" w:rsidRDefault="009C5E75" w:rsidP="009C5E75">
      <w:pPr>
        <w:pStyle w:val="ItemHead"/>
      </w:pPr>
      <w:r>
        <w:t>3</w:t>
      </w:r>
      <w:r w:rsidRPr="009C5E75">
        <w:t xml:space="preserve">  </w:t>
      </w:r>
      <w:r>
        <w:t>At the end of s</w:t>
      </w:r>
      <w:r w:rsidRPr="009C5E75">
        <w:t>ub</w:t>
      </w:r>
      <w:r>
        <w:t>paragraph</w:t>
      </w:r>
      <w:r w:rsidR="0093745B">
        <w:t xml:space="preserve"> </w:t>
      </w:r>
      <w:r w:rsidRPr="009C5E75">
        <w:t>11(</w:t>
      </w:r>
      <w:r>
        <w:t>2</w:t>
      </w:r>
      <w:r w:rsidRPr="009C5E75">
        <w:t>)</w:t>
      </w:r>
      <w:r>
        <w:t>(a)(iii)</w:t>
      </w:r>
    </w:p>
    <w:p w14:paraId="6E22DEC4" w14:textId="38A37F42" w:rsidR="009C5E75" w:rsidRDefault="009C5E75" w:rsidP="009C5E75">
      <w:pPr>
        <w:pStyle w:val="Item"/>
      </w:pPr>
      <w:r>
        <w:t>Add “</w:t>
      </w:r>
      <w:r w:rsidRPr="009C5E75">
        <w:t>(including any matter that this clause provides may be dealt with by way of written notice given by the licensee to NBN Co)</w:t>
      </w:r>
      <w:r>
        <w:t>”</w:t>
      </w:r>
      <w:bookmarkEnd w:id="25"/>
      <w:bookmarkEnd w:id="26"/>
      <w:bookmarkEnd w:id="27"/>
      <w:bookmarkEnd w:id="28"/>
      <w:bookmarkEnd w:id="29"/>
      <w:r w:rsidR="00710BF3">
        <w:t>.</w:t>
      </w:r>
    </w:p>
    <w:p w14:paraId="45034265" w14:textId="48A8AE57" w:rsidR="009C5E75" w:rsidRDefault="009C5E75" w:rsidP="009C5E75">
      <w:pPr>
        <w:pStyle w:val="ItemHead"/>
      </w:pPr>
      <w:r>
        <w:t>4</w:t>
      </w:r>
      <w:r w:rsidRPr="009C5E75">
        <w:t xml:space="preserve">  </w:t>
      </w:r>
      <w:r>
        <w:t>Paragraph 11(6)(b)</w:t>
      </w:r>
    </w:p>
    <w:p w14:paraId="0A350AE9" w14:textId="7FDA4AFC" w:rsidR="009C5E75" w:rsidRDefault="009C5E75" w:rsidP="009C5E75">
      <w:pPr>
        <w:pStyle w:val="Item"/>
      </w:pPr>
      <w:r>
        <w:t>Repeal the paragraph, substitute:</w:t>
      </w:r>
    </w:p>
    <w:p w14:paraId="0D7DA375" w14:textId="75A6EBA1" w:rsidR="009C5E75" w:rsidRDefault="009C5E75" w:rsidP="009C5E75">
      <w:pPr>
        <w:pStyle w:val="paragraph"/>
      </w:pPr>
      <w:r>
        <w:tab/>
        <w:t>(b)</w:t>
      </w:r>
      <w:r>
        <w:tab/>
        <w:t>for the purpose of identifying premises with active services that have not yet migrated to the NBN Co fixed</w:t>
      </w:r>
      <w:r w:rsidR="00EE7E47">
        <w:t>-</w:t>
      </w:r>
      <w:r>
        <w:t>line network by comparing the Eligible Premises contained in Specified Premises Location Info</w:t>
      </w:r>
      <w:r w:rsidR="000A41A8">
        <w:t>rmation with NBN Co records of:</w:t>
      </w:r>
    </w:p>
    <w:p w14:paraId="27F46844" w14:textId="77777777" w:rsidR="009C5E75" w:rsidRDefault="009C5E75" w:rsidP="009C5E75">
      <w:pPr>
        <w:pStyle w:val="paragraphsub"/>
      </w:pPr>
      <w:r>
        <w:tab/>
        <w:t>(i)</w:t>
      </w:r>
      <w:r>
        <w:tab/>
        <w:t>the premises in respect of which NBN Co has received a serviceable order for the provision to a retail service provider of an NBN Service but which are not yet NBN Connected;</w:t>
      </w:r>
    </w:p>
    <w:p w14:paraId="747BA5BF" w14:textId="6650CB59" w:rsidR="009C5E75" w:rsidRDefault="009C5E75" w:rsidP="009C5E75">
      <w:pPr>
        <w:pStyle w:val="paragraphsub"/>
      </w:pPr>
      <w:r>
        <w:tab/>
        <w:t>(ii)</w:t>
      </w:r>
      <w:r>
        <w:tab/>
        <w:t>premises which are not NBN Serviceable;</w:t>
      </w:r>
    </w:p>
    <w:p w14:paraId="4A30DCD9" w14:textId="6203CD5D" w:rsidR="009C5E75" w:rsidRDefault="00415766" w:rsidP="009C5E75">
      <w:pPr>
        <w:pStyle w:val="ItemHead"/>
      </w:pPr>
      <w:r>
        <w:t>5</w:t>
      </w:r>
      <w:r w:rsidR="009C5E75" w:rsidRPr="009C5E75">
        <w:t xml:space="preserve">  </w:t>
      </w:r>
      <w:r w:rsidR="009C5E75">
        <w:t>Subparagraph 11(6)(d)(ii)</w:t>
      </w:r>
    </w:p>
    <w:p w14:paraId="5F68A435" w14:textId="6A4F9A3E" w:rsidR="009C5E75" w:rsidRDefault="009C5E75" w:rsidP="009C5E75">
      <w:pPr>
        <w:pStyle w:val="Item"/>
      </w:pPr>
      <w:r>
        <w:t>Repeal the subparagraph, substitute:</w:t>
      </w:r>
    </w:p>
    <w:p w14:paraId="3991C424" w14:textId="77777777" w:rsidR="009C5E75" w:rsidRDefault="009C5E75" w:rsidP="009C5E75">
      <w:pPr>
        <w:pStyle w:val="paragraphsub"/>
      </w:pPr>
      <w:r>
        <w:tab/>
        <w:t>(ii)</w:t>
      </w:r>
      <w:r>
        <w:tab/>
        <w:t>to identify premises where any of the following:</w:t>
      </w:r>
    </w:p>
    <w:p w14:paraId="281E5FAA" w14:textId="461C445E" w:rsidR="009C5E75" w:rsidRDefault="009C5E75" w:rsidP="009C5E75">
      <w:pPr>
        <w:pStyle w:val="paragraphsub-sub"/>
      </w:pPr>
      <w:r>
        <w:tab/>
        <w:t>(A)</w:t>
      </w:r>
      <w:r>
        <w:tab/>
        <w:t>monitored or non</w:t>
      </w:r>
      <w:r w:rsidR="00E8302B">
        <w:t>-</w:t>
      </w:r>
      <w:r>
        <w:t xml:space="preserve">monitored medical alarm or pendant; </w:t>
      </w:r>
    </w:p>
    <w:p w14:paraId="3048B448" w14:textId="77777777" w:rsidR="009C5E75" w:rsidRDefault="009C5E75" w:rsidP="009C5E75">
      <w:pPr>
        <w:pStyle w:val="paragraphsub-sub"/>
      </w:pPr>
      <w:r>
        <w:tab/>
        <w:t>(B)</w:t>
      </w:r>
      <w:r>
        <w:tab/>
        <w:t>elevator phone;</w:t>
      </w:r>
    </w:p>
    <w:p w14:paraId="7038F87C" w14:textId="173770FA" w:rsidR="009C5E75" w:rsidRDefault="009C5E75" w:rsidP="009C5E75">
      <w:pPr>
        <w:pStyle w:val="paragraphsub-sub"/>
      </w:pPr>
      <w:r>
        <w:lastRenderedPageBreak/>
        <w:tab/>
        <w:t>(C)</w:t>
      </w:r>
      <w:r>
        <w:tab/>
        <w:t>monitored or non</w:t>
      </w:r>
      <w:r w:rsidR="00E8302B">
        <w:t>-</w:t>
      </w:r>
      <w:r>
        <w:t>monitored fire alarm;</w:t>
      </w:r>
    </w:p>
    <w:p w14:paraId="54A18E14" w14:textId="281A77E5" w:rsidR="009C5E75" w:rsidRDefault="009C5E75" w:rsidP="009C5E75">
      <w:pPr>
        <w:pStyle w:val="paragraphsub-sub"/>
      </w:pPr>
      <w:r>
        <w:tab/>
        <w:t>(D)</w:t>
      </w:r>
      <w:r>
        <w:tab/>
        <w:t>monitored or non</w:t>
      </w:r>
      <w:r w:rsidR="00E8302B">
        <w:t>-</w:t>
      </w:r>
      <w:r>
        <w:t>monitored security alarm;</w:t>
      </w:r>
    </w:p>
    <w:p w14:paraId="54D477CC" w14:textId="77777777" w:rsidR="009C5E75" w:rsidRDefault="009C5E75" w:rsidP="009C5E75">
      <w:pPr>
        <w:pStyle w:val="paragraphsub-sub"/>
      </w:pPr>
      <w:r>
        <w:tab/>
        <w:t>(E)</w:t>
      </w:r>
      <w:r>
        <w:tab/>
        <w:t xml:space="preserve">TTY devices (hearing impaired); </w:t>
      </w:r>
    </w:p>
    <w:p w14:paraId="7604A17A" w14:textId="77777777" w:rsidR="009C5E75" w:rsidRDefault="009C5E75" w:rsidP="009C5E75">
      <w:pPr>
        <w:pStyle w:val="paragraphsub-sub"/>
      </w:pPr>
      <w:r>
        <w:tab/>
        <w:t>(F)</w:t>
      </w:r>
      <w:r>
        <w:tab/>
        <w:t xml:space="preserve">EFTPOS machine; </w:t>
      </w:r>
    </w:p>
    <w:p w14:paraId="2AB3B364" w14:textId="77777777" w:rsidR="009C5E75" w:rsidRDefault="009C5E75" w:rsidP="009C5E75">
      <w:pPr>
        <w:pStyle w:val="paragraphsub-sub"/>
      </w:pPr>
      <w:r>
        <w:tab/>
        <w:t>(G)</w:t>
      </w:r>
      <w:r>
        <w:tab/>
        <w:t xml:space="preserve">automated teller machine; </w:t>
      </w:r>
    </w:p>
    <w:p w14:paraId="4AF5D6B9" w14:textId="4DC2C996" w:rsidR="009C5E75" w:rsidRDefault="009C5E75" w:rsidP="009C5E75">
      <w:pPr>
        <w:pStyle w:val="paragraphsub-sub"/>
      </w:pPr>
      <w:r>
        <w:tab/>
        <w:t>(H)</w:t>
      </w:r>
      <w:r>
        <w:tab/>
        <w:t>fax machine;</w:t>
      </w:r>
    </w:p>
    <w:p w14:paraId="543B576A" w14:textId="47E1D212" w:rsidR="009C5E75" w:rsidRDefault="009C5E75" w:rsidP="009C5E75">
      <w:pPr>
        <w:pStyle w:val="paragraphsub-sub"/>
      </w:pPr>
      <w:r>
        <w:tab/>
        <w:t>(I)</w:t>
      </w:r>
      <w:r>
        <w:tab/>
        <w:t>similar device or service to those listed above;</w:t>
      </w:r>
    </w:p>
    <w:p w14:paraId="0ADD20DB" w14:textId="6E127A47" w:rsidR="009C5E75" w:rsidRPr="009C5E75" w:rsidRDefault="009C5E75" w:rsidP="009C5E75">
      <w:pPr>
        <w:pStyle w:val="paragraphsub"/>
      </w:pPr>
      <w:r>
        <w:tab/>
      </w:r>
      <w:r>
        <w:tab/>
        <w:t>(other than a device or service that is being supplied using a special service or special service input) is used and which may cease to function if a Copper Service to that premises is disconnected; or</w:t>
      </w:r>
    </w:p>
    <w:p w14:paraId="0A5E5718" w14:textId="29070C61" w:rsidR="009C5E75" w:rsidRDefault="00415766" w:rsidP="009C5E75">
      <w:pPr>
        <w:pStyle w:val="ItemHead"/>
      </w:pPr>
      <w:r>
        <w:t>6</w:t>
      </w:r>
      <w:r w:rsidR="009C5E75" w:rsidRPr="009C5E75">
        <w:t xml:space="preserve">  </w:t>
      </w:r>
      <w:r w:rsidR="009C5E75">
        <w:t>Before paragraph 11(7)(a)</w:t>
      </w:r>
    </w:p>
    <w:p w14:paraId="066AEC7F" w14:textId="44EF5C92" w:rsidR="009C5E75" w:rsidRPr="009C5E75" w:rsidRDefault="009C5E75" w:rsidP="009C5E75">
      <w:pPr>
        <w:pStyle w:val="Item"/>
      </w:pPr>
      <w:r>
        <w:t>Insert:</w:t>
      </w:r>
    </w:p>
    <w:p w14:paraId="4495FC95" w14:textId="6D2F63FC" w:rsidR="009C5E75" w:rsidRDefault="009C5E75" w:rsidP="009C5E75">
      <w:pPr>
        <w:pStyle w:val="paragraph"/>
      </w:pPr>
      <w:r w:rsidRPr="009C5E75">
        <w:tab/>
        <w:t>(aa)</w:t>
      </w:r>
      <w:r w:rsidRPr="009C5E75">
        <w:tab/>
        <w:t>for any direct marketing or communications to a person in respect of disconnection of an Eligible Special Service provided to that person at premises using Specified Premises Location Information provided in respect of the Eligible Special Service before the date that is 18 months before the Special Service Disconnection Date for the SS Class in which that Eligible Special Service is included;</w:t>
      </w:r>
    </w:p>
    <w:p w14:paraId="1A6AB6BD" w14:textId="650779DF" w:rsidR="00415766" w:rsidRDefault="00415766" w:rsidP="00415766">
      <w:pPr>
        <w:pStyle w:val="ItemHead"/>
      </w:pPr>
      <w:r>
        <w:t>7</w:t>
      </w:r>
      <w:r w:rsidRPr="009C5E75">
        <w:t xml:space="preserve">  </w:t>
      </w:r>
      <w:r>
        <w:t>At the end of paragraph 11(7)(e)</w:t>
      </w:r>
    </w:p>
    <w:p w14:paraId="1CCB2FC2" w14:textId="34756671" w:rsidR="00415766" w:rsidRPr="00415766" w:rsidRDefault="00415766" w:rsidP="00415766">
      <w:pPr>
        <w:pStyle w:val="Item"/>
      </w:pPr>
      <w:r>
        <w:t>Add:</w:t>
      </w:r>
    </w:p>
    <w:p w14:paraId="40F49887" w14:textId="6B3139BE" w:rsidR="00415766" w:rsidRDefault="00415766" w:rsidP="00EE7E47">
      <w:pPr>
        <w:pStyle w:val="paragraphsub"/>
      </w:pPr>
      <w:r>
        <w:tab/>
        <w:t>or (iii)</w:t>
      </w:r>
      <w:r>
        <w:tab/>
        <w:t>NBN Co matching Specified Premises Location Information of the kind mentioned at paragraph (f) of the definition of that expression in respect of an Eligible Premises against the Special Service Disconnection Date for an Eligible Special Service at that Eligible Premises in NBN Co’s marketing campaign databases for the purposes of undertaking the activities described in paragraph (6)(d); or</w:t>
      </w:r>
    </w:p>
    <w:p w14:paraId="4E1B9B81" w14:textId="028C5B33" w:rsidR="009C5E75" w:rsidRDefault="00415766" w:rsidP="00EE7E47">
      <w:pPr>
        <w:pStyle w:val="paragraphsub"/>
      </w:pPr>
      <w:r>
        <w:tab/>
        <w:t>(iv)</w:t>
      </w:r>
      <w:r>
        <w:tab/>
        <w:t>as expressly provided for in paragraph (6)(b);</w:t>
      </w:r>
    </w:p>
    <w:p w14:paraId="42DC2950" w14:textId="0629B670" w:rsidR="00415766" w:rsidRDefault="00415766" w:rsidP="00415766">
      <w:pPr>
        <w:pStyle w:val="ItemHead"/>
      </w:pPr>
      <w:r>
        <w:t>8</w:t>
      </w:r>
      <w:r w:rsidRPr="009C5E75">
        <w:t xml:space="preserve">  </w:t>
      </w:r>
      <w:r>
        <w:t>Paragraph 11(7)(f)</w:t>
      </w:r>
    </w:p>
    <w:p w14:paraId="09489AC4" w14:textId="24C85519" w:rsidR="00415766" w:rsidRPr="00415766" w:rsidRDefault="00415766" w:rsidP="00415766">
      <w:pPr>
        <w:pStyle w:val="Item"/>
      </w:pPr>
      <w:r>
        <w:t>Repeal the paragraph, substitute:</w:t>
      </w:r>
    </w:p>
    <w:p w14:paraId="6008E510" w14:textId="14132956" w:rsidR="00415766" w:rsidRDefault="00415766" w:rsidP="00415766">
      <w:pPr>
        <w:pStyle w:val="paragraph"/>
      </w:pPr>
      <w:r>
        <w:tab/>
        <w:t>(f)</w:t>
      </w:r>
      <w:r>
        <w:tab/>
        <w:t>to compare or match with any other information provided by the licensee to NBN Co, whether or not in connection with the licensee’s obligations under the Definitive Agreements, except for any of the following:</w:t>
      </w:r>
    </w:p>
    <w:p w14:paraId="5048827C" w14:textId="77777777" w:rsidR="00415766" w:rsidRDefault="00415766" w:rsidP="00415766">
      <w:pPr>
        <w:pStyle w:val="paragraphsub"/>
      </w:pPr>
      <w:r>
        <w:tab/>
        <w:t>(i)</w:t>
      </w:r>
      <w:r>
        <w:tab/>
        <w:t>NBN Co comparing the Specified Premises Location Information of the kind mentioned at paragraph (e) of the definition of that expression with information in NBN Co’s medical alarm register, fire alarm register or the lift alarm register;</w:t>
      </w:r>
    </w:p>
    <w:p w14:paraId="08C2A990" w14:textId="77777777" w:rsidR="00415766" w:rsidRDefault="00415766" w:rsidP="00415766">
      <w:pPr>
        <w:pStyle w:val="paragraphsub"/>
      </w:pPr>
      <w:r>
        <w:tab/>
        <w:t>(ii)</w:t>
      </w:r>
      <w:r>
        <w:tab/>
        <w:t>NBN Co matching the Specified Premises Location Information against any of the following kinds of information in NBN Co’s marketing campaign databases, for the purposes of undertaking the activities described in paragraph (6)(d) only:</w:t>
      </w:r>
    </w:p>
    <w:p w14:paraId="2EEFBCF9" w14:textId="77777777" w:rsidR="00415766" w:rsidRDefault="00415766" w:rsidP="00415766">
      <w:pPr>
        <w:pStyle w:val="paragraphsub-sub"/>
      </w:pPr>
      <w:r>
        <w:tab/>
        <w:t>(A)</w:t>
      </w:r>
      <w:r>
        <w:tab/>
        <w:t>for each region, NBN Co’s list of retail service providers which are offering NBN based services in that particular region;</w:t>
      </w:r>
    </w:p>
    <w:p w14:paraId="3E31771F" w14:textId="77777777" w:rsidR="00415766" w:rsidRDefault="00415766" w:rsidP="00415766">
      <w:pPr>
        <w:pStyle w:val="paragraphsub-sub"/>
      </w:pPr>
      <w:r>
        <w:lastRenderedPageBreak/>
        <w:tab/>
        <w:t>(B)</w:t>
      </w:r>
      <w:r>
        <w:tab/>
        <w:t>NBN Co’s lists of excluded premises or SAMs placed on hold due to a lack of capacity or other operational reasons;</w:t>
      </w:r>
    </w:p>
    <w:p w14:paraId="0AB3B1DD" w14:textId="77777777" w:rsidR="00415766" w:rsidRDefault="00415766" w:rsidP="00415766">
      <w:pPr>
        <w:pStyle w:val="paragraphsub-sub"/>
      </w:pPr>
      <w:r>
        <w:tab/>
        <w:t>(C)</w:t>
      </w:r>
      <w:r>
        <w:tab/>
        <w:t>the list of premises in respect of which an order for an NBN Service has been made but the premises are not yet NBN Connected;</w:t>
      </w:r>
    </w:p>
    <w:p w14:paraId="2ABB1758" w14:textId="77777777" w:rsidR="00415766" w:rsidRDefault="00415766" w:rsidP="00415766">
      <w:pPr>
        <w:pStyle w:val="paragraphsub-sub"/>
      </w:pPr>
      <w:r>
        <w:tab/>
        <w:t>(D)</w:t>
      </w:r>
      <w:r>
        <w:tab/>
        <w:t>NBN Co information or information obtained from the licensee stating whether a premises is classified as business or residential and related profile information for those premises;</w:t>
      </w:r>
    </w:p>
    <w:p w14:paraId="667B5D50" w14:textId="7C7FDA31" w:rsidR="00415766" w:rsidRDefault="00415766" w:rsidP="00415766">
      <w:pPr>
        <w:pStyle w:val="paragraphsub"/>
      </w:pPr>
      <w:r>
        <w:tab/>
        <w:t>(iii)</w:t>
      </w:r>
      <w:r>
        <w:tab/>
        <w:t>NBN Co matching Specified Premises Location Information of the kind mentioned at paragraph (f) of the definition of that expression in respect of an Eligible Premises against the Special Service Disconnection Date for an Eligible Special Service at that Eligible Premises in NBN Co’s marketing campaign databases for the purposes of undertaking the activities</w:t>
      </w:r>
      <w:r w:rsidR="007C2965">
        <w:t xml:space="preserve"> described in paragraph (6)(d);</w:t>
      </w:r>
    </w:p>
    <w:p w14:paraId="1297947F" w14:textId="25B7B7CE" w:rsidR="00415766" w:rsidRDefault="00415766" w:rsidP="00415766">
      <w:pPr>
        <w:pStyle w:val="paragraphsub"/>
      </w:pPr>
      <w:r>
        <w:tab/>
        <w:t>(iv)</w:t>
      </w:r>
      <w:r>
        <w:tab/>
        <w:t>NBN Co comparing or matching Specified Premises Location Information provided by the licensee to NBN Co in an order for wholesale NBN Services only, for the purpose mentioned at paragraph (6)(b); or</w:t>
      </w:r>
    </w:p>
    <w:p w14:paraId="27602A00" w14:textId="6D66D768" w:rsidR="00415766" w:rsidRDefault="00415766" w:rsidP="00415766">
      <w:pPr>
        <w:pStyle w:val="ItemHead"/>
      </w:pPr>
      <w:r>
        <w:t>9</w:t>
      </w:r>
      <w:r w:rsidRPr="009C5E75">
        <w:t xml:space="preserve">  </w:t>
      </w:r>
      <w:r>
        <w:t>Sub-subparagraph 11(7)(g)(i)(A)</w:t>
      </w:r>
    </w:p>
    <w:p w14:paraId="1D629D0E" w14:textId="0CECA1C4" w:rsidR="00415766" w:rsidRDefault="00415766" w:rsidP="00415766">
      <w:pPr>
        <w:pStyle w:val="Item"/>
      </w:pPr>
      <w:r>
        <w:t>Omit “the commencement of the Amending Declaration (or the date that a legally binding agreement of the type referred to in subclause 11(2) is entered into where that is later)”, substitute “25 August 2015</w:t>
      </w:r>
      <w:r w:rsidR="0093745B">
        <w:t>,</w:t>
      </w:r>
      <w:r>
        <w:t>”.</w:t>
      </w:r>
    </w:p>
    <w:p w14:paraId="0D19D20C" w14:textId="1244019D" w:rsidR="00415766" w:rsidRDefault="00415766" w:rsidP="00415766">
      <w:pPr>
        <w:pStyle w:val="ItemHead"/>
      </w:pPr>
      <w:r>
        <w:t>10</w:t>
      </w:r>
      <w:r w:rsidRPr="009C5E75">
        <w:t xml:space="preserve">  </w:t>
      </w:r>
      <w:r>
        <w:t>Sub-subparagraph 11(7)(g)(i)(A)</w:t>
      </w:r>
    </w:p>
    <w:p w14:paraId="55FE9BEE" w14:textId="3E9E64A2" w:rsidR="00415766" w:rsidRDefault="00415766" w:rsidP="00415766">
      <w:pPr>
        <w:pStyle w:val="Item"/>
      </w:pPr>
      <w:r>
        <w:t>Omit “the Amending Declaration comes into effect”, substitute “22 August 2015”.</w:t>
      </w:r>
    </w:p>
    <w:p w14:paraId="5D876182" w14:textId="792E53F2" w:rsidR="00415766" w:rsidRDefault="00415766" w:rsidP="00415766">
      <w:pPr>
        <w:pStyle w:val="ItemHead"/>
      </w:pPr>
      <w:r>
        <w:t>11  Subclause 11(8)</w:t>
      </w:r>
    </w:p>
    <w:p w14:paraId="015753E5" w14:textId="1E5ADE1B" w:rsidR="00415766" w:rsidRDefault="00415766" w:rsidP="00415766">
      <w:pPr>
        <w:pStyle w:val="Item"/>
      </w:pPr>
      <w:r>
        <w:t>Insert:</w:t>
      </w:r>
    </w:p>
    <w:p w14:paraId="1B1A487D" w14:textId="77777777" w:rsidR="00415766" w:rsidRPr="002B54B5" w:rsidRDefault="00415766" w:rsidP="00415766">
      <w:pPr>
        <w:pStyle w:val="Definition"/>
        <w:rPr>
          <w:lang w:val="en-US"/>
        </w:rPr>
      </w:pPr>
      <w:r>
        <w:rPr>
          <w:b/>
          <w:i/>
          <w:lang w:val="en-US"/>
        </w:rPr>
        <w:t>access technology</w:t>
      </w:r>
      <w:r>
        <w:rPr>
          <w:lang w:val="en-US"/>
        </w:rPr>
        <w:t xml:space="preserve"> has the same meaning as in the </w:t>
      </w:r>
      <w:r>
        <w:rPr>
          <w:i/>
          <w:lang w:val="en-US"/>
        </w:rPr>
        <w:t>Telecommunications (Migration Plan Principles) Determination 2015</w:t>
      </w:r>
      <w:r>
        <w:rPr>
          <w:lang w:val="en-US"/>
        </w:rPr>
        <w:t>.</w:t>
      </w:r>
    </w:p>
    <w:p w14:paraId="1F0763B7" w14:textId="5D83C56A" w:rsidR="00415766" w:rsidRPr="00415766" w:rsidRDefault="00415766" w:rsidP="00415766">
      <w:pPr>
        <w:pStyle w:val="ItemHead"/>
      </w:pPr>
      <w:r>
        <w:t xml:space="preserve">12  Subclause 11(8) (paragraph (a) of the definition of </w:t>
      </w:r>
      <w:r>
        <w:rPr>
          <w:i/>
        </w:rPr>
        <w:t>active service</w:t>
      </w:r>
      <w:r>
        <w:t>)</w:t>
      </w:r>
    </w:p>
    <w:p w14:paraId="1B7DF535" w14:textId="3F681191" w:rsidR="00415766" w:rsidRDefault="00415766" w:rsidP="009A4586">
      <w:pPr>
        <w:pStyle w:val="Item"/>
        <w:tabs>
          <w:tab w:val="left" w:pos="3856"/>
        </w:tabs>
      </w:pPr>
      <w:r>
        <w:t>Omit “as at that Report Date”.</w:t>
      </w:r>
    </w:p>
    <w:p w14:paraId="7350A56B" w14:textId="2A00F84E" w:rsidR="009A4586" w:rsidRPr="00415766" w:rsidRDefault="009A4586" w:rsidP="009A4586">
      <w:pPr>
        <w:pStyle w:val="ItemHead"/>
      </w:pPr>
      <w:r>
        <w:t xml:space="preserve">13  Subclause 11(8) (paragraph (c) of the definition of </w:t>
      </w:r>
      <w:r>
        <w:rPr>
          <w:i/>
        </w:rPr>
        <w:t>active service</w:t>
      </w:r>
      <w:r>
        <w:t>)</w:t>
      </w:r>
    </w:p>
    <w:p w14:paraId="77E6E7DD" w14:textId="7355D8B8" w:rsidR="009A4586" w:rsidRPr="00415766" w:rsidRDefault="009A4586" w:rsidP="009A4586">
      <w:pPr>
        <w:pStyle w:val="Item"/>
        <w:tabs>
          <w:tab w:val="left" w:pos="3856"/>
        </w:tabs>
      </w:pPr>
      <w:r>
        <w:t>Omit “as at that Report Date,”.</w:t>
      </w:r>
    </w:p>
    <w:p w14:paraId="5D06011E" w14:textId="4F342ECD" w:rsidR="009A4586" w:rsidRDefault="009A4586" w:rsidP="009A4586">
      <w:pPr>
        <w:pStyle w:val="ItemHead"/>
      </w:pPr>
      <w:r>
        <w:t xml:space="preserve">14  Subclause 11(8) (definition of </w:t>
      </w:r>
      <w:r>
        <w:rPr>
          <w:i/>
        </w:rPr>
        <w:t>Amending Declaration</w:t>
      </w:r>
      <w:r>
        <w:t>)</w:t>
      </w:r>
    </w:p>
    <w:p w14:paraId="2C9BE802" w14:textId="24B0168B" w:rsidR="009A4586" w:rsidRPr="009A4586" w:rsidRDefault="009A4586" w:rsidP="009A4586">
      <w:pPr>
        <w:pStyle w:val="Item"/>
      </w:pPr>
      <w:r>
        <w:t>Omit “2015”, substitute “2018”.</w:t>
      </w:r>
    </w:p>
    <w:p w14:paraId="7AE3D49F" w14:textId="79C633E3" w:rsidR="009A4586" w:rsidRDefault="009A4586" w:rsidP="009A4586">
      <w:pPr>
        <w:pStyle w:val="ItemHead"/>
      </w:pPr>
      <w:r>
        <w:t>15  Subclause 11(8)</w:t>
      </w:r>
    </w:p>
    <w:p w14:paraId="1160D3C5" w14:textId="77777777" w:rsidR="009A4586" w:rsidRDefault="009A4586" w:rsidP="009A4586">
      <w:pPr>
        <w:pStyle w:val="Item"/>
      </w:pPr>
      <w:r>
        <w:t>Insert:</w:t>
      </w:r>
    </w:p>
    <w:p w14:paraId="29D15394" w14:textId="77777777" w:rsidR="009A4586" w:rsidRDefault="009A4586" w:rsidP="009A4586">
      <w:pPr>
        <w:pStyle w:val="Definition"/>
        <w:rPr>
          <w:lang w:val="en-US"/>
        </w:rPr>
      </w:pPr>
      <w:r>
        <w:rPr>
          <w:b/>
          <w:i/>
          <w:lang w:val="en-US"/>
        </w:rPr>
        <w:lastRenderedPageBreak/>
        <w:t>Changed Technology Extension Date</w:t>
      </w:r>
      <w:r>
        <w:rPr>
          <w:lang w:val="en-US"/>
        </w:rPr>
        <w:t>, for a special service or special service input, means the date by which the service or input is required to be disconnected, where the date was determined:</w:t>
      </w:r>
    </w:p>
    <w:p w14:paraId="5E802157" w14:textId="77777777" w:rsidR="009A4586" w:rsidRDefault="009A4586" w:rsidP="009A4586">
      <w:pPr>
        <w:pStyle w:val="paragraph"/>
        <w:rPr>
          <w:lang w:val="en-US"/>
        </w:rPr>
      </w:pPr>
      <w:r>
        <w:rPr>
          <w:lang w:val="en-US"/>
        </w:rPr>
        <w:tab/>
        <w:t>(a)</w:t>
      </w:r>
      <w:r>
        <w:rPr>
          <w:lang w:val="en-US"/>
        </w:rPr>
        <w:tab/>
        <w:t>as a result of either of the following:</w:t>
      </w:r>
    </w:p>
    <w:p w14:paraId="748BF8DE" w14:textId="77777777" w:rsidR="009A4586" w:rsidRDefault="009A4586" w:rsidP="009A4586">
      <w:pPr>
        <w:pStyle w:val="paragraphsub"/>
        <w:rPr>
          <w:lang w:val="en-US"/>
        </w:rPr>
      </w:pPr>
      <w:r>
        <w:rPr>
          <w:lang w:val="en-US"/>
        </w:rPr>
        <w:tab/>
        <w:t>(i)</w:t>
      </w:r>
      <w:r>
        <w:rPr>
          <w:lang w:val="en-US"/>
        </w:rPr>
        <w:tab/>
        <w:t>NBN Co having notified the licensee after the date that is 6 months before the disconnection date for the rollout region in which the premises is located of a change in access technology that NBN Co uses, or proposes to use, to make that premises NBN Serviceable;</w:t>
      </w:r>
    </w:p>
    <w:p w14:paraId="38D75CED" w14:textId="77777777" w:rsidR="009A4586" w:rsidRDefault="009A4586" w:rsidP="009A4586">
      <w:pPr>
        <w:pStyle w:val="paragraphsub"/>
        <w:rPr>
          <w:lang w:val="en-US"/>
        </w:rPr>
      </w:pPr>
      <w:r>
        <w:rPr>
          <w:lang w:val="en-US"/>
        </w:rPr>
        <w:tab/>
        <w:t>(ii)</w:t>
      </w:r>
      <w:r>
        <w:rPr>
          <w:lang w:val="en-US"/>
        </w:rPr>
        <w:tab/>
        <w:t>NBN Co having first notified the licensee after the date that is 6 months before the disconnection date for the rollout region in which the premises is located of the access technology that NBN Co uses, or proposes to use, to make that premises NBN Serviceable; and</w:t>
      </w:r>
    </w:p>
    <w:p w14:paraId="3914C8BD" w14:textId="77777777" w:rsidR="009A4586" w:rsidRPr="001413B0" w:rsidRDefault="009A4586" w:rsidP="009A4586">
      <w:pPr>
        <w:pStyle w:val="paragraph"/>
        <w:rPr>
          <w:lang w:val="en-US"/>
        </w:rPr>
      </w:pPr>
      <w:r>
        <w:rPr>
          <w:lang w:val="en-US"/>
        </w:rPr>
        <w:tab/>
        <w:t>(b)</w:t>
      </w:r>
      <w:r>
        <w:rPr>
          <w:lang w:val="en-US"/>
        </w:rPr>
        <w:tab/>
        <w:t xml:space="preserve">in accordance with provisions of the migration plan of the kind referred to in subsection 18(6) of the </w:t>
      </w:r>
      <w:r w:rsidRPr="006E45B1">
        <w:rPr>
          <w:i/>
          <w:lang w:val="en-US"/>
        </w:rPr>
        <w:t>Telecommunications (Migration Plan Principles) Determination 2015</w:t>
      </w:r>
      <w:r>
        <w:rPr>
          <w:lang w:val="en-US"/>
        </w:rPr>
        <w:t>.</w:t>
      </w:r>
    </w:p>
    <w:p w14:paraId="75E6AC0F" w14:textId="1BD5C27B" w:rsidR="009A4586" w:rsidRDefault="009A4586" w:rsidP="009A4586">
      <w:pPr>
        <w:pStyle w:val="ItemHead"/>
      </w:pPr>
      <w:r>
        <w:t xml:space="preserve">16  Subclause 11(8) (definition of </w:t>
      </w:r>
      <w:r>
        <w:rPr>
          <w:i/>
        </w:rPr>
        <w:t>Eligible Premises</w:t>
      </w:r>
      <w:r>
        <w:t>)</w:t>
      </w:r>
    </w:p>
    <w:p w14:paraId="7F0D6FF2" w14:textId="0200791E" w:rsidR="009A4586" w:rsidRPr="009A4586" w:rsidRDefault="009A4586" w:rsidP="009A4586">
      <w:pPr>
        <w:pStyle w:val="Item"/>
      </w:pPr>
      <w:r>
        <w:t>Repeal the definition, substitute:</w:t>
      </w:r>
    </w:p>
    <w:p w14:paraId="4F18A56F" w14:textId="40D3C677" w:rsidR="009A4586" w:rsidRDefault="009A4586" w:rsidP="009A4586">
      <w:pPr>
        <w:pStyle w:val="Definition"/>
      </w:pPr>
      <w:r w:rsidRPr="009A4586">
        <w:rPr>
          <w:b/>
          <w:i/>
        </w:rPr>
        <w:t>Eligible Premises</w:t>
      </w:r>
      <w:r>
        <w:t xml:space="preserve"> means, in respect of a Report Date for a kind of active service mentioned in paragraphs 11(1)(a) to (</w:t>
      </w:r>
      <w:r w:rsidR="00EE7E47">
        <w:t>g</w:t>
      </w:r>
      <w:r>
        <w:t>), a premises that, as at that Report Date:</w:t>
      </w:r>
    </w:p>
    <w:p w14:paraId="68399AF2" w14:textId="37B291C6" w:rsidR="009A4586" w:rsidRDefault="009A4586" w:rsidP="009A4586">
      <w:pPr>
        <w:pStyle w:val="paragraph"/>
      </w:pPr>
      <w:r>
        <w:tab/>
        <w:t>(a)</w:t>
      </w:r>
      <w:r>
        <w:tab/>
        <w:t>is in the fixed footprint list for a rollout region; and</w:t>
      </w:r>
    </w:p>
    <w:p w14:paraId="04FA1860" w14:textId="77777777" w:rsidR="009A4586" w:rsidRDefault="009A4586" w:rsidP="009A4586">
      <w:pPr>
        <w:pStyle w:val="paragraph"/>
      </w:pPr>
      <w:r>
        <w:tab/>
        <w:t>(b)</w:t>
      </w:r>
      <w:r>
        <w:tab/>
        <w:t>to the extent the Report Date is for a kind of active service that is an Eligible Special Service—is a premises in relation to which NBN Co has notified the licensee of the access technology that NBN Co has used, or proposes to use, to make the premises NBN Serviceable; and</w:t>
      </w:r>
    </w:p>
    <w:p w14:paraId="44267717" w14:textId="70C0BB91" w:rsidR="00415766" w:rsidRPr="00415766" w:rsidRDefault="009A4586" w:rsidP="009A4586">
      <w:pPr>
        <w:pStyle w:val="paragraph"/>
      </w:pPr>
      <w:r>
        <w:tab/>
        <w:t>(c)</w:t>
      </w:r>
      <w:r>
        <w:tab/>
        <w:t>that the licensee expects will be required to be disconnected in relation to an active service of that kind.</w:t>
      </w:r>
    </w:p>
    <w:p w14:paraId="2BD36F6F" w14:textId="7DFEFCBE" w:rsidR="009A4586" w:rsidRDefault="009A4586" w:rsidP="009A4586">
      <w:pPr>
        <w:pStyle w:val="ItemHead"/>
      </w:pPr>
      <w:r>
        <w:t>17  Subclause 11(8)</w:t>
      </w:r>
    </w:p>
    <w:p w14:paraId="6966D228" w14:textId="77777777" w:rsidR="009A4586" w:rsidRDefault="009A4586" w:rsidP="009A4586">
      <w:pPr>
        <w:pStyle w:val="Item"/>
      </w:pPr>
      <w:r>
        <w:t>Insert:</w:t>
      </w:r>
    </w:p>
    <w:p w14:paraId="4B7B51D1" w14:textId="77777777" w:rsidR="009A4586" w:rsidRDefault="009A4586" w:rsidP="009A4586">
      <w:pPr>
        <w:pStyle w:val="Definition"/>
      </w:pPr>
      <w:r w:rsidRPr="009A4586">
        <w:rPr>
          <w:b/>
          <w:i/>
        </w:rPr>
        <w:t>Eligible Special Service</w:t>
      </w:r>
      <w:r>
        <w:t xml:space="preserve"> means a special service or special service input that:</w:t>
      </w:r>
    </w:p>
    <w:p w14:paraId="54FEAD4B" w14:textId="77777777" w:rsidR="009A4586" w:rsidRDefault="009A4586" w:rsidP="009A4586">
      <w:pPr>
        <w:pStyle w:val="paragraph"/>
      </w:pPr>
      <w:r>
        <w:tab/>
        <w:t>(a)</w:t>
      </w:r>
      <w:r>
        <w:tab/>
        <w:t>is in an SS Class for which a Special Service Disconnection Date has been determined in accordance with a white paper covering that SS Class; and</w:t>
      </w:r>
    </w:p>
    <w:p w14:paraId="494B0570" w14:textId="77777777" w:rsidR="009A4586" w:rsidRDefault="009A4586" w:rsidP="009A4586">
      <w:pPr>
        <w:pStyle w:val="paragraph"/>
      </w:pPr>
      <w:r>
        <w:tab/>
        <w:t>(b)</w:t>
      </w:r>
      <w:r>
        <w:tab/>
        <w:t>the licensee expects will be required to be disconnected:</w:t>
      </w:r>
    </w:p>
    <w:p w14:paraId="5E1C88CE" w14:textId="77777777" w:rsidR="009A4586" w:rsidRDefault="009A4586" w:rsidP="009A4586">
      <w:pPr>
        <w:pStyle w:val="paragraphsub"/>
      </w:pPr>
      <w:r>
        <w:tab/>
        <w:t>(i)</w:t>
      </w:r>
      <w:r>
        <w:tab/>
        <w:t>by no later than the date that is 25 working days after the Special Services Disconnection Date for the SS Class; or</w:t>
      </w:r>
    </w:p>
    <w:p w14:paraId="07B92EFD" w14:textId="77777777" w:rsidR="009A4586" w:rsidRDefault="009A4586" w:rsidP="009A4586">
      <w:pPr>
        <w:pStyle w:val="paragraphsub"/>
      </w:pPr>
      <w:r>
        <w:tab/>
        <w:t>(ii)</w:t>
      </w:r>
      <w:r>
        <w:tab/>
        <w:t xml:space="preserve">in accordance with provisions of the migration plan of the kind referred to in subsection 18(6) of the </w:t>
      </w:r>
      <w:r w:rsidRPr="009A4586">
        <w:rPr>
          <w:i/>
        </w:rPr>
        <w:t>Telecommunications (Migration Plan Principles) Determination 2015</w:t>
      </w:r>
      <w:r>
        <w:t xml:space="preserve"> that relate to Changed Technology Extension Dates; or</w:t>
      </w:r>
    </w:p>
    <w:p w14:paraId="3E25975E" w14:textId="2D03F84A" w:rsidR="00415766" w:rsidRDefault="009A4586" w:rsidP="009A4586">
      <w:pPr>
        <w:pStyle w:val="paragraphsub"/>
      </w:pPr>
      <w:r>
        <w:tab/>
        <w:t>(iii)</w:t>
      </w:r>
      <w:r>
        <w:tab/>
        <w:t>if the service or input is supplied to a premises that is not an in</w:t>
      </w:r>
      <w:r w:rsidR="00710BF3">
        <w:t xml:space="preserve"> </w:t>
      </w:r>
      <w:r>
        <w:t xml:space="preserve">train order premises—following the disconnection date for the rollout region of the premises to which the service or input is </w:t>
      </w:r>
      <w:r>
        <w:lastRenderedPageBreak/>
        <w:t xml:space="preserve">supplied, in accordance with provisions of the migration plan of the kind referred to in paragraphs 12(6)(b) or (d) of the </w:t>
      </w:r>
      <w:r w:rsidRPr="009A4586">
        <w:rPr>
          <w:i/>
        </w:rPr>
        <w:t>Telecommunications (Migration Plan Principles) Determination 2015</w:t>
      </w:r>
      <w:r>
        <w:t>.</w:t>
      </w:r>
    </w:p>
    <w:p w14:paraId="1EA02C4C" w14:textId="77777777" w:rsidR="009A4586" w:rsidRPr="00F414E4" w:rsidRDefault="009A4586" w:rsidP="009A4586">
      <w:pPr>
        <w:pStyle w:val="Definition"/>
        <w:rPr>
          <w:lang w:val="en-US"/>
        </w:rPr>
      </w:pPr>
      <w:r>
        <w:rPr>
          <w:b/>
          <w:i/>
          <w:lang w:val="en-US"/>
        </w:rPr>
        <w:t>migration plan</w:t>
      </w:r>
      <w:r>
        <w:rPr>
          <w:lang w:val="en-US"/>
        </w:rPr>
        <w:t xml:space="preserve"> means the final migration plan in force at the commencement of the Amending Declaration, including as varied from time to time in accordance with section 577BF of the Act.</w:t>
      </w:r>
    </w:p>
    <w:p w14:paraId="01D026A6" w14:textId="77777777" w:rsidR="009A4586" w:rsidRPr="00F414E4" w:rsidRDefault="009A4586" w:rsidP="009A4586">
      <w:pPr>
        <w:pStyle w:val="Definition"/>
        <w:rPr>
          <w:lang w:val="en-US"/>
        </w:rPr>
      </w:pPr>
      <w:r>
        <w:rPr>
          <w:b/>
          <w:i/>
          <w:lang w:val="en-US"/>
        </w:rPr>
        <w:t>MDU common area</w:t>
      </w:r>
      <w:r>
        <w:rPr>
          <w:lang w:val="en-US"/>
        </w:rPr>
        <w:t xml:space="preserve"> has the same meaning as in the </w:t>
      </w:r>
      <w:r>
        <w:rPr>
          <w:i/>
          <w:lang w:val="en-US"/>
        </w:rPr>
        <w:t>Telecommunications (Migration Plan Principles) Determination 2015</w:t>
      </w:r>
      <w:r>
        <w:rPr>
          <w:lang w:val="en-US"/>
        </w:rPr>
        <w:t>.</w:t>
      </w:r>
    </w:p>
    <w:p w14:paraId="7B37F8C2" w14:textId="77777777" w:rsidR="009A4586" w:rsidRPr="002B54B5" w:rsidRDefault="009A4586" w:rsidP="009A4586">
      <w:pPr>
        <w:pStyle w:val="Definition"/>
        <w:rPr>
          <w:lang w:val="en-US"/>
        </w:rPr>
      </w:pPr>
      <w:r>
        <w:rPr>
          <w:b/>
          <w:i/>
          <w:lang w:val="en-US"/>
        </w:rPr>
        <w:t>NBN Serviceable</w:t>
      </w:r>
      <w:r>
        <w:rPr>
          <w:lang w:val="en-US"/>
        </w:rPr>
        <w:t xml:space="preserve"> has the same meaning as in the </w:t>
      </w:r>
      <w:r>
        <w:rPr>
          <w:i/>
          <w:lang w:val="en-US"/>
        </w:rPr>
        <w:t>Telecommunications (Migration Plan Principles) Determination 2015</w:t>
      </w:r>
      <w:r>
        <w:rPr>
          <w:lang w:val="en-US"/>
        </w:rPr>
        <w:t>.</w:t>
      </w:r>
    </w:p>
    <w:p w14:paraId="5051E06D" w14:textId="77777777" w:rsidR="009A4586" w:rsidRPr="00F414E4" w:rsidRDefault="009A4586" w:rsidP="009A4586">
      <w:pPr>
        <w:pStyle w:val="Definition"/>
        <w:rPr>
          <w:lang w:val="en-US"/>
        </w:rPr>
      </w:pPr>
      <w:r>
        <w:rPr>
          <w:b/>
          <w:i/>
          <w:lang w:val="en-US"/>
        </w:rPr>
        <w:t>premises</w:t>
      </w:r>
      <w:r>
        <w:rPr>
          <w:lang w:val="en-US"/>
        </w:rPr>
        <w:t xml:space="preserve"> has the same meaning as in the </w:t>
      </w:r>
      <w:r>
        <w:rPr>
          <w:i/>
        </w:rPr>
        <w:t>Telecommunications (Migration Plan Principles) Determination 2015</w:t>
      </w:r>
      <w:r>
        <w:t>.</w:t>
      </w:r>
    </w:p>
    <w:p w14:paraId="6C352F0A" w14:textId="454EFBCB" w:rsidR="009A4586" w:rsidRDefault="009A4586" w:rsidP="009A4586">
      <w:pPr>
        <w:pStyle w:val="ItemHead"/>
      </w:pPr>
      <w:r>
        <w:t xml:space="preserve">18  Subclause 11(8) (definition of </w:t>
      </w:r>
      <w:r>
        <w:rPr>
          <w:i/>
        </w:rPr>
        <w:t>region ready for service date</w:t>
      </w:r>
      <w:r>
        <w:t>)</w:t>
      </w:r>
    </w:p>
    <w:p w14:paraId="021E7F9B" w14:textId="58CABD35" w:rsidR="009A4586" w:rsidRDefault="009A4586" w:rsidP="009A4586">
      <w:pPr>
        <w:pStyle w:val="Item"/>
      </w:pPr>
      <w:r>
        <w:t>Repeal the definition.</w:t>
      </w:r>
    </w:p>
    <w:p w14:paraId="6B58F775" w14:textId="5A1C9374" w:rsidR="009A4586" w:rsidRDefault="009A4586" w:rsidP="009A4586">
      <w:pPr>
        <w:pStyle w:val="ItemHead"/>
      </w:pPr>
      <w:r>
        <w:t xml:space="preserve">19  Subclause 11(8) (definition of </w:t>
      </w:r>
      <w:r>
        <w:rPr>
          <w:i/>
        </w:rPr>
        <w:t>Report Date</w:t>
      </w:r>
      <w:r>
        <w:t>)</w:t>
      </w:r>
    </w:p>
    <w:p w14:paraId="1AB1B023" w14:textId="7854E60C" w:rsidR="00710BF3" w:rsidRPr="00710BF3" w:rsidRDefault="00710BF3" w:rsidP="00710BF3">
      <w:pPr>
        <w:pStyle w:val="Item"/>
      </w:pPr>
      <w:r>
        <w:t>Repeal the definition, substitute:</w:t>
      </w:r>
    </w:p>
    <w:p w14:paraId="20B9F797" w14:textId="15519EC9" w:rsidR="009A4586" w:rsidRDefault="009A4586" w:rsidP="009A4586">
      <w:pPr>
        <w:pStyle w:val="Definition"/>
      </w:pPr>
      <w:r w:rsidRPr="009A4586">
        <w:rPr>
          <w:b/>
          <w:i/>
        </w:rPr>
        <w:t>Report Date</w:t>
      </w:r>
      <w:r>
        <w:t>:</w:t>
      </w:r>
    </w:p>
    <w:p w14:paraId="195C1ED8" w14:textId="77455018" w:rsidR="009A4586" w:rsidRDefault="009A4586" w:rsidP="009A4586">
      <w:pPr>
        <w:pStyle w:val="paragraph"/>
      </w:pPr>
      <w:r>
        <w:tab/>
        <w:t>(a)</w:t>
      </w:r>
      <w:r>
        <w:tab/>
        <w:t>for standard active services and Eligible Special Services covered by subparagraph (b)(iii) of the definition of that expression—means each of the following dates that occurs in relation to a rollout region at any time during the period from and including the date on which the Amending Declaration commenced to the Rollout Completion Date:</w:t>
      </w:r>
    </w:p>
    <w:p w14:paraId="7E1806C7" w14:textId="31C8409B" w:rsidR="009A4586" w:rsidRDefault="0093745B" w:rsidP="009A4586">
      <w:pPr>
        <w:pStyle w:val="paragraphsub"/>
      </w:pPr>
      <w:r>
        <w:tab/>
        <w:t>(i)</w:t>
      </w:r>
      <w:r>
        <w:tab/>
        <w:t>each date</w:t>
      </w:r>
      <w:r w:rsidR="009A4586">
        <w:t xml:space="preserve"> that is 12, 9, 6, 5, 4, 3, 2 or 1 calendar months before the disconnection date for the rollout region;</w:t>
      </w:r>
    </w:p>
    <w:p w14:paraId="7AC8F6FA" w14:textId="56F1161F" w:rsidR="009A4586" w:rsidRDefault="009A4586" w:rsidP="009A4586">
      <w:pPr>
        <w:pStyle w:val="paragraphsub"/>
      </w:pPr>
      <w:r>
        <w:tab/>
        <w:t>(ii)</w:t>
      </w:r>
      <w:r>
        <w:tab/>
        <w:t xml:space="preserve">the disconnection date for the rollout region; </w:t>
      </w:r>
    </w:p>
    <w:p w14:paraId="0AB7CA3D" w14:textId="3740986A" w:rsidR="009A4586" w:rsidRDefault="009A4586" w:rsidP="009A4586">
      <w:pPr>
        <w:pStyle w:val="paragraphsub"/>
      </w:pPr>
      <w:r>
        <w:tab/>
        <w:t>(iii)</w:t>
      </w:r>
      <w:r>
        <w:tab/>
        <w:t>the date that is 25 working days after the disconnection date for the rollout region; and</w:t>
      </w:r>
    </w:p>
    <w:p w14:paraId="47D62B8D" w14:textId="4EA4F365" w:rsidR="009A4586" w:rsidRDefault="009A4586" w:rsidP="009A4586">
      <w:pPr>
        <w:pStyle w:val="paragraph"/>
      </w:pPr>
      <w:r>
        <w:tab/>
        <w:t>(b)</w:t>
      </w:r>
      <w:r>
        <w:tab/>
        <w:t>for active services supplied to an in</w:t>
      </w:r>
      <w:r w:rsidR="00710BF3">
        <w:t xml:space="preserve"> </w:t>
      </w:r>
      <w:r>
        <w:t>train order premises—means each date that is 60 or 120 working days after the disconnection date for a rollout region; and</w:t>
      </w:r>
    </w:p>
    <w:p w14:paraId="7E518C32" w14:textId="77777777" w:rsidR="009A4586" w:rsidRDefault="009A4586" w:rsidP="009A4586">
      <w:pPr>
        <w:pStyle w:val="paragraph"/>
      </w:pPr>
      <w:r>
        <w:tab/>
        <w:t>(c)</w:t>
      </w:r>
      <w:r>
        <w:tab/>
        <w:t>for active services supplied to an MDU common area—means each of the following dates that occurs in relation to a rollout region:</w:t>
      </w:r>
    </w:p>
    <w:p w14:paraId="197C616A" w14:textId="77777777" w:rsidR="009A4586" w:rsidRDefault="009A4586" w:rsidP="009A4586">
      <w:pPr>
        <w:pStyle w:val="paragraphsub"/>
      </w:pPr>
      <w:r>
        <w:tab/>
        <w:t>(i)</w:t>
      </w:r>
      <w:r>
        <w:tab/>
        <w:t>each 31 May and 30 November that occurs after the disconnection date for the rollout region, but before the first date that occurs for the rollout region under subparagraph (iii);</w:t>
      </w:r>
    </w:p>
    <w:p w14:paraId="53B1CDBD" w14:textId="77777777" w:rsidR="009A4586" w:rsidRDefault="009A4586" w:rsidP="009A4586">
      <w:pPr>
        <w:pStyle w:val="paragraphsub"/>
      </w:pPr>
      <w:r>
        <w:tab/>
        <w:t>(ii)</w:t>
      </w:r>
      <w:r>
        <w:tab/>
        <w:t>the date that is the later to occur of the date that is 24 months after the Rollout Completion Date and the date that is 20 working days after the disconnection date for the rollout region;</w:t>
      </w:r>
    </w:p>
    <w:p w14:paraId="672EA845" w14:textId="77777777" w:rsidR="009A4586" w:rsidRDefault="009A4586" w:rsidP="009A4586">
      <w:pPr>
        <w:pStyle w:val="paragraphsub"/>
      </w:pPr>
      <w:r>
        <w:tab/>
        <w:t>(iii)</w:t>
      </w:r>
      <w:r>
        <w:tab/>
        <w:t>each date that is 6, 5, 4, 3, 2 or 1 calendar months before the later date mentioned under subparagraph (ii) for the rollout region; and</w:t>
      </w:r>
    </w:p>
    <w:p w14:paraId="03FA4C64" w14:textId="77777777" w:rsidR="009A4586" w:rsidRDefault="009A4586" w:rsidP="009A4586">
      <w:pPr>
        <w:pStyle w:val="paragraph"/>
      </w:pPr>
      <w:r>
        <w:tab/>
        <w:t>(d)</w:t>
      </w:r>
      <w:r>
        <w:tab/>
        <w:t xml:space="preserve">for active services that are Eligible Special Services covered by subparagraph (b)(i) of the definition of that expression—means each </w:t>
      </w:r>
      <w:r>
        <w:lastRenderedPageBreak/>
        <w:t>date that is 24, 18, 12, 6, 5, 4, 3, 2 or 1 calendar months before the Special Service Disconnection Date for the SS Class of any of those active services; and</w:t>
      </w:r>
    </w:p>
    <w:p w14:paraId="34514C54" w14:textId="77777777" w:rsidR="009A4586" w:rsidRDefault="009A4586" w:rsidP="009A4586">
      <w:pPr>
        <w:pStyle w:val="paragraph"/>
      </w:pPr>
      <w:r>
        <w:tab/>
        <w:t>(e)</w:t>
      </w:r>
      <w:r>
        <w:tab/>
        <w:t>for active services that are Eligible Special Services covered by subparagraph (b)(ii) of the definition of that expression—means each date that is 6, 5, 4, 3, 2 or 1 calendar months before the Changed Technology Extension Date for any of those active services; and</w:t>
      </w:r>
    </w:p>
    <w:p w14:paraId="00BE466B" w14:textId="4423F4CC" w:rsidR="009A4586" w:rsidRDefault="009A4586" w:rsidP="009A4586">
      <w:pPr>
        <w:pStyle w:val="paragraph"/>
      </w:pPr>
      <w:r>
        <w:tab/>
        <w:t>(f)</w:t>
      </w:r>
      <w:r>
        <w:tab/>
        <w:t>in any case—also includes any other date which the licensee (at its discretion) notifies NBN Co in writing will be a Report Date for a specified kind of active service.</w:t>
      </w:r>
    </w:p>
    <w:p w14:paraId="7063A692" w14:textId="0D98BD56" w:rsidR="009A4586" w:rsidRDefault="00710BF3" w:rsidP="009A4586">
      <w:pPr>
        <w:pStyle w:val="ItemHead"/>
      </w:pPr>
      <w:r>
        <w:t>20</w:t>
      </w:r>
      <w:r w:rsidR="009A4586">
        <w:t xml:space="preserve">  Subclause 11(8)</w:t>
      </w:r>
    </w:p>
    <w:p w14:paraId="4E0A2E3C" w14:textId="77777777" w:rsidR="009A4586" w:rsidRDefault="009A4586" w:rsidP="009A4586">
      <w:pPr>
        <w:pStyle w:val="Item"/>
      </w:pPr>
      <w:r>
        <w:t>Insert:</w:t>
      </w:r>
    </w:p>
    <w:p w14:paraId="2DA9DD8C" w14:textId="77777777" w:rsidR="009A4586" w:rsidRDefault="009A4586" w:rsidP="009A4586">
      <w:pPr>
        <w:pStyle w:val="Definition"/>
        <w:rPr>
          <w:lang w:val="en-US"/>
        </w:rPr>
      </w:pPr>
      <w:r>
        <w:rPr>
          <w:b/>
          <w:i/>
          <w:lang w:val="en-US"/>
        </w:rPr>
        <w:t>Special Service Disconnection Date</w:t>
      </w:r>
      <w:r>
        <w:rPr>
          <w:lang w:val="en-US"/>
        </w:rPr>
        <w:t>, in relation to an SS Class, means the</w:t>
      </w:r>
      <w:r w:rsidRPr="00100C66">
        <w:rPr>
          <w:lang w:val="en-US"/>
        </w:rPr>
        <w:t xml:space="preserve"> </w:t>
      </w:r>
      <w:r>
        <w:rPr>
          <w:lang w:val="en-US"/>
        </w:rPr>
        <w:t xml:space="preserve">disconnection date for that SS Class determined in accordance with provisions of the migration plan of the kind referred to in subsection 18(6) of the </w:t>
      </w:r>
      <w:r w:rsidRPr="00C80827">
        <w:rPr>
          <w:i/>
          <w:lang w:val="en-US"/>
        </w:rPr>
        <w:t>Telecommunications (Migration Plan Principles) Determination 2015</w:t>
      </w:r>
      <w:r>
        <w:rPr>
          <w:lang w:val="en-US"/>
        </w:rPr>
        <w:t>.</w:t>
      </w:r>
    </w:p>
    <w:p w14:paraId="68A507E4" w14:textId="77777777" w:rsidR="009A4586" w:rsidRPr="0087467F" w:rsidRDefault="009A4586" w:rsidP="009A4586">
      <w:pPr>
        <w:pStyle w:val="Definition"/>
        <w:rPr>
          <w:i/>
          <w:lang w:val="en-US"/>
        </w:rPr>
      </w:pPr>
      <w:r w:rsidRPr="00E62EEB">
        <w:rPr>
          <w:b/>
          <w:i/>
          <w:lang w:val="en-US"/>
        </w:rPr>
        <w:t>special service input</w:t>
      </w:r>
      <w:r w:rsidRPr="00F414E4">
        <w:rPr>
          <w:lang w:val="en-US"/>
        </w:rPr>
        <w:t xml:space="preserve"> has the same meaning as in the </w:t>
      </w:r>
      <w:r w:rsidRPr="00F414E4">
        <w:rPr>
          <w:i/>
          <w:lang w:val="en-US"/>
        </w:rPr>
        <w:t>Telecommunications (Migration Plan Principles) Determination 2015</w:t>
      </w:r>
      <w:r w:rsidRPr="00F414E4">
        <w:rPr>
          <w:lang w:val="en-US"/>
        </w:rPr>
        <w:t>.</w:t>
      </w:r>
    </w:p>
    <w:p w14:paraId="6C001226" w14:textId="1C1F0F3A" w:rsidR="00710BF3" w:rsidRDefault="00710BF3" w:rsidP="00710BF3">
      <w:pPr>
        <w:pStyle w:val="ItemHead"/>
      </w:pPr>
      <w:r>
        <w:t xml:space="preserve">21  Subclause 11(8) (definition of </w:t>
      </w:r>
      <w:r>
        <w:rPr>
          <w:i/>
        </w:rPr>
        <w:t>Specified Premises Location Information</w:t>
      </w:r>
      <w:r>
        <w:t>)</w:t>
      </w:r>
    </w:p>
    <w:p w14:paraId="59C52334" w14:textId="77777777" w:rsidR="00710BF3" w:rsidRPr="00710BF3" w:rsidRDefault="00710BF3" w:rsidP="00710BF3">
      <w:pPr>
        <w:pStyle w:val="Item"/>
      </w:pPr>
      <w:r>
        <w:t>Repeal the definition, substitute:</w:t>
      </w:r>
    </w:p>
    <w:p w14:paraId="139B8642" w14:textId="67F535D2" w:rsidR="00710BF3" w:rsidRDefault="00710BF3" w:rsidP="00710BF3">
      <w:pPr>
        <w:pStyle w:val="Definition"/>
      </w:pPr>
      <w:r w:rsidRPr="00710BF3">
        <w:rPr>
          <w:b/>
          <w:i/>
        </w:rPr>
        <w:t>Specified Premises Location Information</w:t>
      </w:r>
      <w:r>
        <w:t>, in respect of a Report Date for a kind of active service mentioned in paragraphs 11(1)(a) to (g), for the active services of that kind that:</w:t>
      </w:r>
    </w:p>
    <w:p w14:paraId="507A5B1B" w14:textId="77777777" w:rsidR="00710BF3" w:rsidRDefault="00710BF3" w:rsidP="00710BF3">
      <w:pPr>
        <w:pStyle w:val="paragraph"/>
      </w:pPr>
      <w:r>
        <w:tab/>
        <w:t>(a)</w:t>
      </w:r>
      <w:r>
        <w:tab/>
        <w:t>if covered by paragraph 11(1)(d)—are in an SS Class with a relevant Special Service Disconnection Date for that Report Date; or</w:t>
      </w:r>
    </w:p>
    <w:p w14:paraId="0105FF71" w14:textId="77777777" w:rsidR="00710BF3" w:rsidRDefault="00710BF3" w:rsidP="00710BF3">
      <w:pPr>
        <w:pStyle w:val="paragraph"/>
      </w:pPr>
      <w:r>
        <w:tab/>
        <w:t>(b)</w:t>
      </w:r>
      <w:r>
        <w:tab/>
        <w:t>if covered by paragraph 11(1)(e)—have a relevant Changed Technology Extension Date for that Report Date; or</w:t>
      </w:r>
    </w:p>
    <w:p w14:paraId="5E25435A" w14:textId="77777777" w:rsidR="00710BF3" w:rsidRDefault="00710BF3" w:rsidP="00710BF3">
      <w:pPr>
        <w:pStyle w:val="paragraph"/>
      </w:pPr>
      <w:r>
        <w:tab/>
        <w:t>(c)</w:t>
      </w:r>
      <w:r>
        <w:tab/>
        <w:t>if not covered by those paragraphs—are supplied to an Eligible Premises in a relevant rollout region for that Report Date; or</w:t>
      </w:r>
    </w:p>
    <w:p w14:paraId="5695C177" w14:textId="77777777" w:rsidR="00710BF3" w:rsidRDefault="00710BF3" w:rsidP="00710BF3">
      <w:pPr>
        <w:pStyle w:val="paragraph"/>
      </w:pPr>
      <w:r>
        <w:tab/>
        <w:t>(d)</w:t>
      </w:r>
      <w:r>
        <w:tab/>
        <w:t>in any case—are services which the licensee (at its discretion) has otherwise notified NBN Co in writing will be covered by that Report Date;</w:t>
      </w:r>
    </w:p>
    <w:p w14:paraId="4A2BDB81" w14:textId="77777777" w:rsidR="00710BF3" w:rsidRDefault="00710BF3" w:rsidP="00710BF3">
      <w:pPr>
        <w:pStyle w:val="subsection2"/>
      </w:pPr>
      <w:r>
        <w:t>means the following information:</w:t>
      </w:r>
    </w:p>
    <w:p w14:paraId="0F90C593" w14:textId="1DAFC2F7" w:rsidR="00710BF3" w:rsidRDefault="00710BF3" w:rsidP="00710BF3">
      <w:pPr>
        <w:pStyle w:val="paragraph"/>
      </w:pPr>
      <w:r>
        <w:tab/>
        <w:t>(e)</w:t>
      </w:r>
      <w:r>
        <w:tab/>
        <w:t>the national broadband network location identification number for each Eligible Premises receiving an active service of that kind; and</w:t>
      </w:r>
    </w:p>
    <w:p w14:paraId="3FF8467C" w14:textId="4966F3F3" w:rsidR="00710BF3" w:rsidRDefault="00710BF3" w:rsidP="00710BF3">
      <w:pPr>
        <w:pStyle w:val="paragraph"/>
      </w:pPr>
      <w:r>
        <w:tab/>
        <w:t>(f)</w:t>
      </w:r>
      <w:r>
        <w:tab/>
        <w:t>for each of those active services that is an Eligible Special Service—the identity of the white paper for the SS Class in which the service is included that determined the Special Service Disconnection Date for that SS Class;</w:t>
      </w:r>
    </w:p>
    <w:p w14:paraId="32B4D1B9" w14:textId="577FF879" w:rsidR="00710BF3" w:rsidRDefault="00710BF3" w:rsidP="00710BF3">
      <w:pPr>
        <w:pStyle w:val="subsection2"/>
      </w:pPr>
      <w:r>
        <w:t>in each case, determined as at that Report Date where that information:</w:t>
      </w:r>
    </w:p>
    <w:p w14:paraId="5DDE7568" w14:textId="507CD089" w:rsidR="00710BF3" w:rsidRDefault="00710BF3" w:rsidP="00710BF3">
      <w:pPr>
        <w:pStyle w:val="paragraph"/>
      </w:pPr>
      <w:r>
        <w:tab/>
        <w:t>(g)</w:t>
      </w:r>
      <w:r>
        <w:tab/>
        <w:t>is within the licensee’s control as at that Report Date; and</w:t>
      </w:r>
    </w:p>
    <w:p w14:paraId="66EB6A8E" w14:textId="7DA61E3C" w:rsidR="009A4586" w:rsidRDefault="00710BF3" w:rsidP="00710BF3">
      <w:pPr>
        <w:pStyle w:val="paragraph"/>
      </w:pPr>
      <w:r>
        <w:tab/>
        <w:t>(h)</w:t>
      </w:r>
      <w:r>
        <w:tab/>
        <w:t xml:space="preserve">was given to the licensee by one of its wholesale customers, or derived from such information, and </w:t>
      </w:r>
      <w:r w:rsidR="0093745B">
        <w:t xml:space="preserve">the wholesale customer has not </w:t>
      </w:r>
      <w:r>
        <w:t xml:space="preserve">consented to the licensee disclosing that information to NBN Co for </w:t>
      </w:r>
      <w:r>
        <w:lastRenderedPageBreak/>
        <w:t>the Permitted Purposes (or any one or more of the Permitted Purposes).</w:t>
      </w:r>
    </w:p>
    <w:p w14:paraId="71F7A251" w14:textId="0BB2A851" w:rsidR="00710BF3" w:rsidRDefault="00710BF3" w:rsidP="00710BF3">
      <w:pPr>
        <w:pStyle w:val="ItemHead"/>
      </w:pPr>
      <w:r>
        <w:t>22  Subclause 11(8)</w:t>
      </w:r>
    </w:p>
    <w:p w14:paraId="5FEFDEE6" w14:textId="30EC7F2C" w:rsidR="00710BF3" w:rsidRDefault="00710BF3" w:rsidP="00710BF3">
      <w:pPr>
        <w:pStyle w:val="Item"/>
      </w:pPr>
      <w:r>
        <w:t>Insert:</w:t>
      </w:r>
    </w:p>
    <w:p w14:paraId="373CEB22" w14:textId="77777777" w:rsidR="00710BF3" w:rsidRDefault="00710BF3" w:rsidP="00710BF3">
      <w:pPr>
        <w:pStyle w:val="Definition"/>
      </w:pPr>
      <w:r w:rsidRPr="00710BF3">
        <w:rPr>
          <w:b/>
          <w:i/>
        </w:rPr>
        <w:t>SS Class</w:t>
      </w:r>
      <w:r>
        <w:t xml:space="preserve"> means any class comprised of:</w:t>
      </w:r>
    </w:p>
    <w:p w14:paraId="371551DB" w14:textId="77777777" w:rsidR="00710BF3" w:rsidRDefault="00710BF3" w:rsidP="00710BF3">
      <w:pPr>
        <w:pStyle w:val="paragraph"/>
      </w:pPr>
      <w:r>
        <w:tab/>
        <w:t>(a)</w:t>
      </w:r>
      <w:r>
        <w:tab/>
        <w:t xml:space="preserve">all special services that are included in an SS Class (within the meaning of the migration plan) that relates to one of the services described in the column headed “Access Service” in Table 2 of Schedule 1 to the </w:t>
      </w:r>
      <w:r w:rsidRPr="00710BF3">
        <w:rPr>
          <w:i/>
        </w:rPr>
        <w:t>Telecommunications (Migration Plan Principles) Determination 2015</w:t>
      </w:r>
      <w:r>
        <w:t>; and</w:t>
      </w:r>
    </w:p>
    <w:p w14:paraId="47F2194C" w14:textId="77777777" w:rsidR="00710BF3" w:rsidRDefault="00710BF3" w:rsidP="00710BF3">
      <w:pPr>
        <w:pStyle w:val="paragraph"/>
      </w:pPr>
      <w:r>
        <w:tab/>
        <w:t>(b)</w:t>
      </w:r>
      <w:r>
        <w:tab/>
        <w:t>all special service inputs that are used to supply any service that is equivalent to a special service mentioned in paragraph (a).</w:t>
      </w:r>
    </w:p>
    <w:p w14:paraId="2DC1512D" w14:textId="77777777" w:rsidR="00710BF3" w:rsidRDefault="00710BF3" w:rsidP="00710BF3">
      <w:pPr>
        <w:pStyle w:val="Definition"/>
      </w:pPr>
      <w:r w:rsidRPr="00710BF3">
        <w:rPr>
          <w:b/>
          <w:i/>
        </w:rPr>
        <w:t>standard active service</w:t>
      </w:r>
      <w:r>
        <w:t xml:space="preserve"> means an active service that is not:</w:t>
      </w:r>
    </w:p>
    <w:p w14:paraId="6C53F9A5" w14:textId="7204AE66" w:rsidR="00710BF3" w:rsidRDefault="00710BF3" w:rsidP="00710BF3">
      <w:pPr>
        <w:pStyle w:val="paragraph"/>
      </w:pPr>
      <w:r>
        <w:tab/>
        <w:t>(a)</w:t>
      </w:r>
      <w:r>
        <w:tab/>
        <w:t>supplied to an in train order premises; or</w:t>
      </w:r>
    </w:p>
    <w:p w14:paraId="6C9D2806" w14:textId="77777777" w:rsidR="00710BF3" w:rsidRDefault="00710BF3" w:rsidP="00710BF3">
      <w:pPr>
        <w:pStyle w:val="paragraph"/>
      </w:pPr>
      <w:r>
        <w:tab/>
        <w:t>(b)</w:t>
      </w:r>
      <w:r>
        <w:tab/>
        <w:t>supplied to an MDU common area; or</w:t>
      </w:r>
    </w:p>
    <w:p w14:paraId="64155C66" w14:textId="77777777" w:rsidR="00710BF3" w:rsidRDefault="00710BF3" w:rsidP="00710BF3">
      <w:pPr>
        <w:pStyle w:val="paragraph"/>
      </w:pPr>
      <w:r>
        <w:tab/>
        <w:t>(c)</w:t>
      </w:r>
      <w:r>
        <w:tab/>
        <w:t>a special service or special service input; or</w:t>
      </w:r>
    </w:p>
    <w:p w14:paraId="7BD78F5A" w14:textId="22869663" w:rsidR="00710BF3" w:rsidRDefault="00710BF3" w:rsidP="00710BF3">
      <w:pPr>
        <w:pStyle w:val="paragraph"/>
      </w:pPr>
      <w:r>
        <w:tab/>
        <w:t>(d)</w:t>
      </w:r>
      <w:r>
        <w:tab/>
        <w:t>an active service of a kind covered by paragraph 11(1)(g).</w:t>
      </w:r>
    </w:p>
    <w:p w14:paraId="7788A8EC" w14:textId="77777777" w:rsidR="00710BF3" w:rsidRDefault="00710BF3" w:rsidP="00710BF3">
      <w:pPr>
        <w:pStyle w:val="Definition"/>
      </w:pPr>
      <w:r w:rsidRPr="00710BF3">
        <w:rPr>
          <w:b/>
          <w:i/>
        </w:rPr>
        <w:t>white paper</w:t>
      </w:r>
      <w:r>
        <w:t>, in relation to an SS Class, means a white paper that:</w:t>
      </w:r>
    </w:p>
    <w:p w14:paraId="50C55C32" w14:textId="77777777" w:rsidR="00710BF3" w:rsidRDefault="00710BF3" w:rsidP="00710BF3">
      <w:pPr>
        <w:pStyle w:val="paragraph"/>
      </w:pPr>
      <w:r>
        <w:tab/>
        <w:t>(a)</w:t>
      </w:r>
      <w:r>
        <w:tab/>
        <w:t>was published by NBN Co in accordance with the migration plan; and</w:t>
      </w:r>
    </w:p>
    <w:p w14:paraId="3E6ECABF" w14:textId="77777777" w:rsidR="00710BF3" w:rsidRDefault="00710BF3" w:rsidP="00710BF3">
      <w:pPr>
        <w:pStyle w:val="paragraph"/>
      </w:pPr>
      <w:r>
        <w:tab/>
        <w:t>(b)</w:t>
      </w:r>
      <w:r>
        <w:tab/>
        <w:t>has not been successfully disputed in accordance with the migration plan; and</w:t>
      </w:r>
    </w:p>
    <w:p w14:paraId="14F88765" w14:textId="3B64E065" w:rsidR="00710BF3" w:rsidRPr="00710BF3" w:rsidRDefault="00710BF3" w:rsidP="00710BF3">
      <w:pPr>
        <w:pStyle w:val="paragraph"/>
      </w:pPr>
      <w:r>
        <w:tab/>
        <w:t>(c)</w:t>
      </w:r>
      <w:r>
        <w:tab/>
        <w:t>has determined the Special Service Disconnection Date for that SS Class for the purposes of the migration plan.</w:t>
      </w:r>
    </w:p>
    <w:sectPr w:rsidR="00710BF3" w:rsidRPr="00710BF3" w:rsidSect="002C3935">
      <w:headerReference w:type="even" r:id="rId16"/>
      <w:headerReference w:type="default" r:id="rId17"/>
      <w:footerReference w:type="even" r:id="rId18"/>
      <w:footerReference w:type="default" r:id="rId19"/>
      <w:headerReference w:type="first" r:id="rId20"/>
      <w:footerReference w:type="first" r:id="rId21"/>
      <w:pgSz w:w="11907" w:h="16839"/>
      <w:pgMar w:top="1673"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A5520" w14:textId="77777777" w:rsidR="00415766" w:rsidRDefault="00415766">
      <w:r>
        <w:separator/>
      </w:r>
    </w:p>
  </w:endnote>
  <w:endnote w:type="continuationSeparator" w:id="0">
    <w:p w14:paraId="45C8AEF8" w14:textId="77777777" w:rsidR="00415766" w:rsidRDefault="0041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15C9" w14:textId="77777777" w:rsidR="00415766" w:rsidRPr="00074661" w:rsidRDefault="00415766" w:rsidP="00F157AC">
    <w:pPr>
      <w:pBdr>
        <w:top w:val="single" w:sz="6" w:space="1" w:color="auto"/>
      </w:pBdr>
      <w:spacing w:line="0" w:lineRule="atLeast"/>
      <w:rPr>
        <w:rFonts w:cs="Times New Roman"/>
        <w:sz w:val="18"/>
        <w:szCs w:val="16"/>
      </w:rPr>
    </w:pPr>
  </w:p>
  <w:tbl>
    <w:tblPr>
      <w:tblStyle w:val="TableGrid"/>
      <w:tblW w:w="5000" w:type="pct"/>
      <w:tblLook w:val="04A0" w:firstRow="1" w:lastRow="0" w:firstColumn="1" w:lastColumn="0" w:noHBand="0" w:noVBand="1"/>
    </w:tblPr>
    <w:tblGrid>
      <w:gridCol w:w="1574"/>
      <w:gridCol w:w="6132"/>
      <w:gridCol w:w="607"/>
    </w:tblGrid>
    <w:tr w:rsidR="00415766" w14:paraId="0EAB51EC" w14:textId="77777777" w:rsidTr="00415766">
      <w:tc>
        <w:tcPr>
          <w:tcW w:w="947" w:type="pct"/>
          <w:tcBorders>
            <w:top w:val="nil"/>
            <w:left w:val="nil"/>
            <w:bottom w:val="nil"/>
            <w:right w:val="nil"/>
          </w:tcBorders>
        </w:tcPr>
        <w:p w14:paraId="056D2A03" w14:textId="7D112F67" w:rsidR="00415766" w:rsidRDefault="00415766" w:rsidP="007064A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B637F">
            <w:rPr>
              <w:i/>
              <w:noProof/>
              <w:sz w:val="18"/>
            </w:rPr>
            <w:t>2</w:t>
          </w:r>
          <w:r w:rsidRPr="00ED79B6">
            <w:rPr>
              <w:i/>
              <w:sz w:val="18"/>
            </w:rPr>
            <w:fldChar w:fldCharType="end"/>
          </w:r>
        </w:p>
      </w:tc>
      <w:tc>
        <w:tcPr>
          <w:tcW w:w="3688" w:type="pct"/>
          <w:tcBorders>
            <w:top w:val="nil"/>
            <w:left w:val="nil"/>
            <w:bottom w:val="nil"/>
            <w:right w:val="nil"/>
          </w:tcBorders>
        </w:tcPr>
        <w:p w14:paraId="47F17A40" w14:textId="05E6602C" w:rsidR="00415766" w:rsidRDefault="00415766" w:rsidP="007064A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AB637F">
            <w:rPr>
              <w:i/>
              <w:noProof/>
              <w:sz w:val="18"/>
            </w:rPr>
            <w:t>Carrier Licence Conditions (Telstra Corporation Limited) Declaration 1997 (Amendment No. 1 of 2018)</w:t>
          </w:r>
          <w:r>
            <w:rPr>
              <w:i/>
              <w:sz w:val="18"/>
            </w:rPr>
            <w:fldChar w:fldCharType="end"/>
          </w:r>
        </w:p>
      </w:tc>
      <w:tc>
        <w:tcPr>
          <w:tcW w:w="365" w:type="pct"/>
          <w:tcBorders>
            <w:top w:val="nil"/>
            <w:left w:val="nil"/>
            <w:bottom w:val="nil"/>
            <w:right w:val="nil"/>
          </w:tcBorders>
        </w:tcPr>
        <w:p w14:paraId="15EBB5D4" w14:textId="25CE7953" w:rsidR="00415766" w:rsidRDefault="00415766" w:rsidP="007064A8">
          <w:pPr>
            <w:spacing w:line="0" w:lineRule="atLeast"/>
            <w:jc w:val="right"/>
            <w:rPr>
              <w:sz w:val="18"/>
            </w:rPr>
          </w:pPr>
        </w:p>
      </w:tc>
    </w:tr>
  </w:tbl>
  <w:p w14:paraId="2468512E" w14:textId="77777777" w:rsidR="00415766" w:rsidRDefault="00415766" w:rsidP="004E58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C6857" w14:textId="77777777" w:rsidR="00415766" w:rsidRPr="002B0EA5" w:rsidRDefault="00415766" w:rsidP="00F157AC">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415766" w14:paraId="0F2C7CE1" w14:textId="77777777" w:rsidTr="00415766">
      <w:tc>
        <w:tcPr>
          <w:tcW w:w="947" w:type="pct"/>
          <w:tcBorders>
            <w:top w:val="nil"/>
            <w:left w:val="nil"/>
            <w:bottom w:val="nil"/>
            <w:right w:val="nil"/>
          </w:tcBorders>
        </w:tcPr>
        <w:p w14:paraId="6C5857F4" w14:textId="77777777" w:rsidR="00415766" w:rsidRDefault="00415766" w:rsidP="007064A8">
          <w:pPr>
            <w:spacing w:line="0" w:lineRule="atLeast"/>
            <w:rPr>
              <w:sz w:val="18"/>
            </w:rPr>
          </w:pPr>
        </w:p>
      </w:tc>
      <w:tc>
        <w:tcPr>
          <w:tcW w:w="3688" w:type="pct"/>
          <w:tcBorders>
            <w:top w:val="nil"/>
            <w:left w:val="nil"/>
            <w:bottom w:val="nil"/>
            <w:right w:val="nil"/>
          </w:tcBorders>
        </w:tcPr>
        <w:p w14:paraId="1433227B" w14:textId="77777777" w:rsidR="00415766" w:rsidRDefault="00415766" w:rsidP="007064A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AB637F">
            <w:rPr>
              <w:i/>
              <w:noProof/>
              <w:sz w:val="18"/>
            </w:rPr>
            <w:t>Carrier Licence Conditions (Telstra Corporation Limited) Declaration 1997 (Amendment No. 1 of 2018)</w:t>
          </w:r>
          <w:r>
            <w:rPr>
              <w:i/>
              <w:sz w:val="18"/>
            </w:rPr>
            <w:fldChar w:fldCharType="end"/>
          </w:r>
        </w:p>
      </w:tc>
      <w:tc>
        <w:tcPr>
          <w:tcW w:w="365" w:type="pct"/>
          <w:tcBorders>
            <w:top w:val="nil"/>
            <w:left w:val="nil"/>
            <w:bottom w:val="nil"/>
            <w:right w:val="nil"/>
          </w:tcBorders>
        </w:tcPr>
        <w:p w14:paraId="08BE7F76" w14:textId="77777777" w:rsidR="00415766" w:rsidRDefault="00415766" w:rsidP="007064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B637F">
            <w:rPr>
              <w:i/>
              <w:noProof/>
              <w:sz w:val="18"/>
            </w:rPr>
            <w:t>3</w:t>
          </w:r>
          <w:r w:rsidRPr="00ED79B6">
            <w:rPr>
              <w:i/>
              <w:sz w:val="18"/>
            </w:rPr>
            <w:fldChar w:fldCharType="end"/>
          </w:r>
        </w:p>
      </w:tc>
    </w:tr>
  </w:tbl>
  <w:p w14:paraId="3FC9A11B" w14:textId="77777777" w:rsidR="00415766" w:rsidRPr="00F157AC" w:rsidRDefault="00415766" w:rsidP="00F157A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EF7F4" w14:textId="77777777" w:rsidR="00415766" w:rsidRPr="00074661" w:rsidRDefault="00415766" w:rsidP="00BE2C51">
    <w:pPr>
      <w:pBdr>
        <w:top w:val="single" w:sz="6" w:space="1" w:color="auto"/>
      </w:pBdr>
      <w:spacing w:line="0" w:lineRule="atLeast"/>
      <w:rPr>
        <w:rFonts w:cs="Times New Roman"/>
        <w:sz w:val="18"/>
        <w:szCs w:val="16"/>
      </w:rPr>
    </w:pPr>
  </w:p>
  <w:tbl>
    <w:tblPr>
      <w:tblStyle w:val="TableGrid"/>
      <w:tblW w:w="5000" w:type="pct"/>
      <w:tblLook w:val="04A0" w:firstRow="1" w:lastRow="0" w:firstColumn="1" w:lastColumn="0" w:noHBand="0" w:noVBand="1"/>
    </w:tblPr>
    <w:tblGrid>
      <w:gridCol w:w="1574"/>
      <w:gridCol w:w="6132"/>
      <w:gridCol w:w="607"/>
    </w:tblGrid>
    <w:tr w:rsidR="00415766" w14:paraId="5C6ADB8F" w14:textId="77777777" w:rsidTr="00415766">
      <w:tc>
        <w:tcPr>
          <w:tcW w:w="947" w:type="pct"/>
          <w:tcBorders>
            <w:top w:val="nil"/>
            <w:left w:val="nil"/>
            <w:bottom w:val="nil"/>
            <w:right w:val="nil"/>
          </w:tcBorders>
        </w:tcPr>
        <w:p w14:paraId="010FDAC4" w14:textId="77777777" w:rsidR="00415766" w:rsidRDefault="00415766" w:rsidP="007064A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322A">
            <w:rPr>
              <w:i/>
              <w:noProof/>
              <w:sz w:val="18"/>
            </w:rPr>
            <w:t>2</w:t>
          </w:r>
          <w:r w:rsidRPr="00ED79B6">
            <w:rPr>
              <w:i/>
              <w:sz w:val="18"/>
            </w:rPr>
            <w:fldChar w:fldCharType="end"/>
          </w:r>
        </w:p>
      </w:tc>
      <w:tc>
        <w:tcPr>
          <w:tcW w:w="3688" w:type="pct"/>
          <w:tcBorders>
            <w:top w:val="nil"/>
            <w:left w:val="nil"/>
            <w:bottom w:val="nil"/>
            <w:right w:val="nil"/>
          </w:tcBorders>
        </w:tcPr>
        <w:p w14:paraId="58483D69" w14:textId="77777777" w:rsidR="00415766" w:rsidRDefault="00415766" w:rsidP="007064A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1322A">
            <w:rPr>
              <w:i/>
              <w:noProof/>
              <w:sz w:val="18"/>
            </w:rPr>
            <w:t>Carrier Licence Conditions (Telstra Corporation Limited) Declaration 1997 (Amendment No. 1 of 2018)</w:t>
          </w:r>
          <w:r>
            <w:rPr>
              <w:i/>
              <w:sz w:val="18"/>
            </w:rPr>
            <w:fldChar w:fldCharType="end"/>
          </w:r>
        </w:p>
      </w:tc>
      <w:tc>
        <w:tcPr>
          <w:tcW w:w="365" w:type="pct"/>
          <w:tcBorders>
            <w:top w:val="nil"/>
            <w:left w:val="nil"/>
            <w:bottom w:val="nil"/>
            <w:right w:val="nil"/>
          </w:tcBorders>
        </w:tcPr>
        <w:p w14:paraId="6668C56D" w14:textId="77777777" w:rsidR="00415766" w:rsidRDefault="00415766" w:rsidP="007064A8">
          <w:pPr>
            <w:spacing w:line="0" w:lineRule="atLeast"/>
            <w:jc w:val="right"/>
            <w:rPr>
              <w:sz w:val="18"/>
            </w:rPr>
          </w:pPr>
        </w:p>
      </w:tc>
    </w:tr>
  </w:tbl>
  <w:p w14:paraId="56E92311" w14:textId="77777777" w:rsidR="00415766" w:rsidRDefault="00415766" w:rsidP="000527F0">
    <w:pPr>
      <w:rPr>
        <w:rFonts w:cs="Times New Roman"/>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54D46" w14:textId="77777777" w:rsidR="00415766" w:rsidRPr="002B0EA5" w:rsidRDefault="00415766" w:rsidP="00BE2C51">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415766" w14:paraId="7350523A" w14:textId="77777777" w:rsidTr="00415766">
      <w:tc>
        <w:tcPr>
          <w:tcW w:w="947" w:type="pct"/>
          <w:tcBorders>
            <w:top w:val="nil"/>
            <w:left w:val="nil"/>
            <w:bottom w:val="nil"/>
            <w:right w:val="nil"/>
          </w:tcBorders>
        </w:tcPr>
        <w:p w14:paraId="5752B555" w14:textId="77777777" w:rsidR="00415766" w:rsidRDefault="00415766" w:rsidP="007064A8">
          <w:pPr>
            <w:spacing w:line="0" w:lineRule="atLeast"/>
            <w:rPr>
              <w:sz w:val="18"/>
            </w:rPr>
          </w:pPr>
        </w:p>
      </w:tc>
      <w:tc>
        <w:tcPr>
          <w:tcW w:w="3688" w:type="pct"/>
          <w:tcBorders>
            <w:top w:val="nil"/>
            <w:left w:val="nil"/>
            <w:bottom w:val="nil"/>
            <w:right w:val="nil"/>
          </w:tcBorders>
        </w:tcPr>
        <w:p w14:paraId="1B036F19" w14:textId="77777777" w:rsidR="00415766" w:rsidRDefault="00415766" w:rsidP="007064A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1322A">
            <w:rPr>
              <w:i/>
              <w:noProof/>
              <w:sz w:val="18"/>
            </w:rPr>
            <w:t>Carrier Licence Conditions (Telstra Corporation Limited) Declaration 1997 (Amendment No. 1 of 2018)</w:t>
          </w:r>
          <w:r>
            <w:rPr>
              <w:i/>
              <w:sz w:val="18"/>
            </w:rPr>
            <w:fldChar w:fldCharType="end"/>
          </w:r>
        </w:p>
      </w:tc>
      <w:tc>
        <w:tcPr>
          <w:tcW w:w="365" w:type="pct"/>
          <w:tcBorders>
            <w:top w:val="nil"/>
            <w:left w:val="nil"/>
            <w:bottom w:val="nil"/>
            <w:right w:val="nil"/>
          </w:tcBorders>
        </w:tcPr>
        <w:p w14:paraId="6DC9D72A" w14:textId="77777777" w:rsidR="00415766" w:rsidRDefault="00415766" w:rsidP="007064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322A">
            <w:rPr>
              <w:i/>
              <w:noProof/>
              <w:sz w:val="18"/>
            </w:rPr>
            <w:t>7</w:t>
          </w:r>
          <w:r w:rsidRPr="00ED79B6">
            <w:rPr>
              <w:i/>
              <w:sz w:val="18"/>
            </w:rPr>
            <w:fldChar w:fldCharType="end"/>
          </w:r>
        </w:p>
      </w:tc>
    </w:tr>
  </w:tbl>
  <w:p w14:paraId="0D0AF73A" w14:textId="77777777" w:rsidR="00415766" w:rsidRDefault="00415766" w:rsidP="00074661">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653DE" w14:textId="77777777" w:rsidR="00415766" w:rsidRPr="002B0EA5" w:rsidRDefault="00415766" w:rsidP="00E00CCB">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415766" w14:paraId="28C1D5A4" w14:textId="77777777" w:rsidTr="00BE2C51">
      <w:tc>
        <w:tcPr>
          <w:tcW w:w="1383" w:type="dxa"/>
        </w:tcPr>
        <w:p w14:paraId="273C2A5E" w14:textId="77777777" w:rsidR="00415766" w:rsidRDefault="00415766" w:rsidP="00E00CC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Pr>
              <w:i/>
              <w:sz w:val="18"/>
            </w:rPr>
            <w:t xml:space="preserve"> </w:t>
          </w:r>
          <w:r w:rsidRPr="007A1328">
            <w:rPr>
              <w:i/>
              <w:sz w:val="18"/>
            </w:rPr>
            <w:fldChar w:fldCharType="end"/>
          </w:r>
        </w:p>
      </w:tc>
      <w:tc>
        <w:tcPr>
          <w:tcW w:w="5387" w:type="dxa"/>
        </w:tcPr>
        <w:p w14:paraId="4A320CE6" w14:textId="0A5E8C23" w:rsidR="00415766" w:rsidRDefault="00415766" w:rsidP="006D264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 xml:space="preserve"> (Spectrum Re-allocation) Declaration No. 1 of 2015</w:t>
          </w:r>
          <w:r w:rsidRPr="007A1328">
            <w:rPr>
              <w:i/>
              <w:sz w:val="18"/>
            </w:rPr>
            <w:fldChar w:fldCharType="end"/>
          </w:r>
        </w:p>
      </w:tc>
      <w:tc>
        <w:tcPr>
          <w:tcW w:w="533" w:type="dxa"/>
        </w:tcPr>
        <w:p w14:paraId="7D25A898" w14:textId="77777777" w:rsidR="00415766" w:rsidRDefault="00415766" w:rsidP="00E00CC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15766" w14:paraId="0A913957" w14:textId="77777777" w:rsidTr="00BE2C51">
      <w:tc>
        <w:tcPr>
          <w:tcW w:w="7303" w:type="dxa"/>
          <w:gridSpan w:val="3"/>
        </w:tcPr>
        <w:p w14:paraId="2F2DC953" w14:textId="77777777" w:rsidR="00415766" w:rsidRDefault="00415766" w:rsidP="00E00CCB">
          <w:pPr>
            <w:rPr>
              <w:sz w:val="18"/>
            </w:rPr>
          </w:pPr>
        </w:p>
      </w:tc>
    </w:tr>
  </w:tbl>
  <w:p w14:paraId="00517D53" w14:textId="77777777" w:rsidR="00415766" w:rsidRDefault="00415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10200" w14:textId="77777777" w:rsidR="00415766" w:rsidRDefault="00415766">
      <w:r>
        <w:separator/>
      </w:r>
    </w:p>
  </w:footnote>
  <w:footnote w:type="continuationSeparator" w:id="0">
    <w:p w14:paraId="31223077" w14:textId="77777777" w:rsidR="00415766" w:rsidRDefault="00415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916EC" w14:textId="77777777" w:rsidR="00415766" w:rsidRDefault="00415766" w:rsidP="00BE2C5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FB10C70" w14:textId="77777777" w:rsidR="00415766" w:rsidRDefault="00415766" w:rsidP="00BE2C5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6370114" w14:textId="77777777" w:rsidR="00415766" w:rsidRPr="007A1328" w:rsidRDefault="00415766" w:rsidP="00BE2C5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7310E52" w14:textId="77777777" w:rsidR="00415766" w:rsidRPr="007A1328" w:rsidRDefault="00415766" w:rsidP="00BE2C51">
    <w:pPr>
      <w:rPr>
        <w:b/>
        <w:sz w:val="24"/>
      </w:rPr>
    </w:pPr>
  </w:p>
  <w:p w14:paraId="7FFF2026" w14:textId="77777777" w:rsidR="00415766" w:rsidRPr="007A1328" w:rsidRDefault="00415766" w:rsidP="00BE2C5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B637F">
      <w:rPr>
        <w:noProof/>
        <w:sz w:val="24"/>
      </w:rPr>
      <w:t>4</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F069B" w14:textId="77777777" w:rsidR="00415766" w:rsidRPr="007A1328" w:rsidRDefault="00415766" w:rsidP="00F7748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58D5E9E" w14:textId="77777777" w:rsidR="00415766" w:rsidRPr="007A1328" w:rsidRDefault="00415766" w:rsidP="00F7748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B73CC68" w14:textId="77777777" w:rsidR="00415766" w:rsidRPr="007A1328" w:rsidRDefault="00415766" w:rsidP="00F7748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4759909" w14:textId="77777777" w:rsidR="00415766" w:rsidRPr="007A1328" w:rsidRDefault="00415766" w:rsidP="00F7748A">
    <w:pPr>
      <w:jc w:val="right"/>
      <w:rPr>
        <w:b/>
        <w:sz w:val="24"/>
      </w:rPr>
    </w:pPr>
  </w:p>
  <w:p w14:paraId="4E7CAD6F" w14:textId="77777777" w:rsidR="00415766" w:rsidRPr="007A1328" w:rsidRDefault="00415766" w:rsidP="00BE2C5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B637F">
      <w:rPr>
        <w:noProof/>
        <w:sz w:val="24"/>
      </w:rPr>
      <w:t>4</w:t>
    </w:r>
    <w:r w:rsidRPr="007A1328">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7BE39" w14:textId="77777777" w:rsidR="00415766" w:rsidRDefault="00415766" w:rsidP="00BE2C5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1322A">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1322A">
      <w:rPr>
        <w:noProof/>
        <w:sz w:val="20"/>
      </w:rPr>
      <w:t>Amendments</w:t>
    </w:r>
    <w:r>
      <w:rPr>
        <w:sz w:val="20"/>
      </w:rPr>
      <w:fldChar w:fldCharType="end"/>
    </w:r>
  </w:p>
  <w:p w14:paraId="376971BD" w14:textId="77777777" w:rsidR="00415766" w:rsidRDefault="00415766" w:rsidP="00BE2C5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33D4230" w14:textId="77777777" w:rsidR="00415766" w:rsidRPr="007A1328" w:rsidRDefault="00415766" w:rsidP="00BE2C5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021262C" w14:textId="77777777" w:rsidR="00415766" w:rsidRPr="007A1328" w:rsidRDefault="00415766" w:rsidP="00BE2C51">
    <w:pPr>
      <w:rPr>
        <w:b/>
        <w:sz w:val="24"/>
      </w:rPr>
    </w:pPr>
  </w:p>
  <w:p w14:paraId="52C22DB1" w14:textId="34A806BE" w:rsidR="00415766" w:rsidRPr="007A1328" w:rsidRDefault="00415766" w:rsidP="004976A6">
    <w:pPr>
      <w:pBdr>
        <w:bottom w:val="single" w:sz="6" w:space="1" w:color="auto"/>
      </w:pBdr>
      <w:spacing w:after="120"/>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45701" w14:textId="77777777" w:rsidR="00415766" w:rsidRPr="007A1328" w:rsidRDefault="00415766" w:rsidP="00BE2C5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1322A">
      <w:rPr>
        <w:noProof/>
        <w:sz w:val="20"/>
      </w:rPr>
      <w:t>Amendments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1322A">
      <w:rPr>
        <w:b/>
        <w:noProof/>
        <w:sz w:val="20"/>
      </w:rPr>
      <w:t>Schedule 1</w:t>
    </w:r>
    <w:r>
      <w:rPr>
        <w:b/>
        <w:sz w:val="20"/>
      </w:rPr>
      <w:fldChar w:fldCharType="end"/>
    </w:r>
  </w:p>
  <w:p w14:paraId="169A81BB" w14:textId="77777777" w:rsidR="00415766" w:rsidRPr="007A1328" w:rsidRDefault="00415766" w:rsidP="00BE2C5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06F9789" w14:textId="77777777" w:rsidR="00415766" w:rsidRPr="007A1328" w:rsidRDefault="00415766" w:rsidP="00BE2C5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41529E1" w14:textId="77777777" w:rsidR="00415766" w:rsidRPr="007A1328" w:rsidRDefault="00415766" w:rsidP="00BE2C51">
    <w:pPr>
      <w:jc w:val="right"/>
      <w:rPr>
        <w:b/>
        <w:sz w:val="24"/>
      </w:rPr>
    </w:pPr>
  </w:p>
  <w:p w14:paraId="0AF45EAE" w14:textId="2C3713EB" w:rsidR="00415766" w:rsidRPr="007A1328" w:rsidRDefault="00415766" w:rsidP="004976A6">
    <w:pPr>
      <w:pBdr>
        <w:bottom w:val="single" w:sz="6" w:space="1" w:color="auto"/>
      </w:pBdr>
      <w:spacing w:after="120"/>
      <w:jc w:val="right"/>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66ACE" w14:textId="77777777" w:rsidR="00415766" w:rsidRDefault="00415766" w:rsidP="00F157A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29C26E4" w14:textId="77777777" w:rsidR="00415766" w:rsidRDefault="00415766" w:rsidP="00F157A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B8CF2AA" w14:textId="77777777" w:rsidR="00415766" w:rsidRPr="007A1328" w:rsidRDefault="00415766" w:rsidP="00F157A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9462493" w14:textId="77777777" w:rsidR="00415766" w:rsidRPr="007A1328" w:rsidRDefault="00415766" w:rsidP="00F157AC">
    <w:pPr>
      <w:rPr>
        <w:b/>
        <w:sz w:val="24"/>
      </w:rPr>
    </w:pPr>
  </w:p>
  <w:p w14:paraId="62F5D372" w14:textId="77777777" w:rsidR="00415766" w:rsidRPr="007A1328" w:rsidRDefault="00415766" w:rsidP="00F157AC">
    <w:pPr>
      <w:pBdr>
        <w:bottom w:val="single" w:sz="6" w:space="1" w:color="auto"/>
      </w:pBdr>
      <w:spacing w:after="12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00E7F14"/>
    <w:multiLevelType w:val="hybridMultilevel"/>
    <w:tmpl w:val="C95C54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92A68EC"/>
    <w:multiLevelType w:val="hybridMultilevel"/>
    <w:tmpl w:val="1D7ED334"/>
    <w:lvl w:ilvl="0" w:tplc="36581C12">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2957D8"/>
    <w:multiLevelType w:val="hybridMultilevel"/>
    <w:tmpl w:val="A198DC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0"/>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6"/>
  </w:num>
  <w:num w:numId="16">
    <w:abstractNumId w:val="14"/>
  </w:num>
  <w:num w:numId="17">
    <w:abstractNumId w:val="18"/>
  </w:num>
  <w:num w:numId="18">
    <w:abstractNumId w:val="1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90"/>
    <w:rsid w:val="00001E7A"/>
    <w:rsid w:val="00002328"/>
    <w:rsid w:val="000047FD"/>
    <w:rsid w:val="000056EE"/>
    <w:rsid w:val="00007819"/>
    <w:rsid w:val="00010203"/>
    <w:rsid w:val="00012A4E"/>
    <w:rsid w:val="00013A38"/>
    <w:rsid w:val="0001739E"/>
    <w:rsid w:val="00020180"/>
    <w:rsid w:val="00022695"/>
    <w:rsid w:val="00023FD2"/>
    <w:rsid w:val="000265BC"/>
    <w:rsid w:val="00031EFC"/>
    <w:rsid w:val="0003434D"/>
    <w:rsid w:val="0003498B"/>
    <w:rsid w:val="00036586"/>
    <w:rsid w:val="0004081D"/>
    <w:rsid w:val="000472C2"/>
    <w:rsid w:val="00050C80"/>
    <w:rsid w:val="000510B9"/>
    <w:rsid w:val="0005136F"/>
    <w:rsid w:val="00051C9B"/>
    <w:rsid w:val="000527F0"/>
    <w:rsid w:val="000551A3"/>
    <w:rsid w:val="00055E25"/>
    <w:rsid w:val="000617C7"/>
    <w:rsid w:val="000620C5"/>
    <w:rsid w:val="00065A0E"/>
    <w:rsid w:val="0006722F"/>
    <w:rsid w:val="00071791"/>
    <w:rsid w:val="000721B0"/>
    <w:rsid w:val="000727F9"/>
    <w:rsid w:val="000729E4"/>
    <w:rsid w:val="00074661"/>
    <w:rsid w:val="00074D5E"/>
    <w:rsid w:val="000753EE"/>
    <w:rsid w:val="00075B3D"/>
    <w:rsid w:val="00076B35"/>
    <w:rsid w:val="00077634"/>
    <w:rsid w:val="00080E25"/>
    <w:rsid w:val="000824EA"/>
    <w:rsid w:val="00083CC7"/>
    <w:rsid w:val="00085877"/>
    <w:rsid w:val="00086090"/>
    <w:rsid w:val="00086E1D"/>
    <w:rsid w:val="00090414"/>
    <w:rsid w:val="0009067F"/>
    <w:rsid w:val="00092802"/>
    <w:rsid w:val="00095CC4"/>
    <w:rsid w:val="00097B55"/>
    <w:rsid w:val="000A3C52"/>
    <w:rsid w:val="000A41A8"/>
    <w:rsid w:val="000B0A20"/>
    <w:rsid w:val="000B26C3"/>
    <w:rsid w:val="000B52F3"/>
    <w:rsid w:val="000B68A5"/>
    <w:rsid w:val="000C12AB"/>
    <w:rsid w:val="000C2AB1"/>
    <w:rsid w:val="000C56FE"/>
    <w:rsid w:val="000C5AE2"/>
    <w:rsid w:val="000C78B5"/>
    <w:rsid w:val="000D112D"/>
    <w:rsid w:val="000D363E"/>
    <w:rsid w:val="000D44F8"/>
    <w:rsid w:val="000D7167"/>
    <w:rsid w:val="000D736B"/>
    <w:rsid w:val="000E081D"/>
    <w:rsid w:val="000E470D"/>
    <w:rsid w:val="000F140F"/>
    <w:rsid w:val="000F3758"/>
    <w:rsid w:val="00102347"/>
    <w:rsid w:val="00102ADD"/>
    <w:rsid w:val="001066E6"/>
    <w:rsid w:val="00110F98"/>
    <w:rsid w:val="0011161E"/>
    <w:rsid w:val="0011172E"/>
    <w:rsid w:val="00111E48"/>
    <w:rsid w:val="0011314E"/>
    <w:rsid w:val="00114286"/>
    <w:rsid w:val="00117290"/>
    <w:rsid w:val="00121B18"/>
    <w:rsid w:val="00122CA1"/>
    <w:rsid w:val="0012560F"/>
    <w:rsid w:val="00126C80"/>
    <w:rsid w:val="00126D00"/>
    <w:rsid w:val="00133419"/>
    <w:rsid w:val="00134204"/>
    <w:rsid w:val="001363F5"/>
    <w:rsid w:val="00137EF4"/>
    <w:rsid w:val="00143B92"/>
    <w:rsid w:val="00145C33"/>
    <w:rsid w:val="0014660D"/>
    <w:rsid w:val="001509A9"/>
    <w:rsid w:val="001510F9"/>
    <w:rsid w:val="00152824"/>
    <w:rsid w:val="00153593"/>
    <w:rsid w:val="001544DD"/>
    <w:rsid w:val="00154AA0"/>
    <w:rsid w:val="00156A5A"/>
    <w:rsid w:val="00157E82"/>
    <w:rsid w:val="00160A6A"/>
    <w:rsid w:val="00160EE0"/>
    <w:rsid w:val="0016552E"/>
    <w:rsid w:val="001661B3"/>
    <w:rsid w:val="0017150E"/>
    <w:rsid w:val="00171A0A"/>
    <w:rsid w:val="00172DC9"/>
    <w:rsid w:val="0017420C"/>
    <w:rsid w:val="00176457"/>
    <w:rsid w:val="0017669E"/>
    <w:rsid w:val="00176BCE"/>
    <w:rsid w:val="00180CD3"/>
    <w:rsid w:val="00182100"/>
    <w:rsid w:val="001840EA"/>
    <w:rsid w:val="00190D22"/>
    <w:rsid w:val="00191B57"/>
    <w:rsid w:val="001A062E"/>
    <w:rsid w:val="001A1AA1"/>
    <w:rsid w:val="001A25BD"/>
    <w:rsid w:val="001A26AC"/>
    <w:rsid w:val="001A284D"/>
    <w:rsid w:val="001A2921"/>
    <w:rsid w:val="001A2B82"/>
    <w:rsid w:val="001A4737"/>
    <w:rsid w:val="001A745A"/>
    <w:rsid w:val="001B2B49"/>
    <w:rsid w:val="001B4168"/>
    <w:rsid w:val="001B6479"/>
    <w:rsid w:val="001B65FC"/>
    <w:rsid w:val="001B680B"/>
    <w:rsid w:val="001B750D"/>
    <w:rsid w:val="001C2D2D"/>
    <w:rsid w:val="001C48B6"/>
    <w:rsid w:val="001C52FA"/>
    <w:rsid w:val="001C5A60"/>
    <w:rsid w:val="001C6C78"/>
    <w:rsid w:val="001C6E23"/>
    <w:rsid w:val="001D1730"/>
    <w:rsid w:val="001D49E7"/>
    <w:rsid w:val="001D7DD2"/>
    <w:rsid w:val="001E1FF9"/>
    <w:rsid w:val="001E551F"/>
    <w:rsid w:val="001E6E32"/>
    <w:rsid w:val="001F0F35"/>
    <w:rsid w:val="001F1819"/>
    <w:rsid w:val="001F204C"/>
    <w:rsid w:val="001F24CF"/>
    <w:rsid w:val="001F3D0A"/>
    <w:rsid w:val="001F4C6D"/>
    <w:rsid w:val="0020253A"/>
    <w:rsid w:val="0020488A"/>
    <w:rsid w:val="0020650F"/>
    <w:rsid w:val="002125DA"/>
    <w:rsid w:val="00220EDA"/>
    <w:rsid w:val="00221EB1"/>
    <w:rsid w:val="00222DA1"/>
    <w:rsid w:val="00223A7F"/>
    <w:rsid w:val="002250FB"/>
    <w:rsid w:val="00226223"/>
    <w:rsid w:val="002271DC"/>
    <w:rsid w:val="00230352"/>
    <w:rsid w:val="00236609"/>
    <w:rsid w:val="00240CD1"/>
    <w:rsid w:val="00245159"/>
    <w:rsid w:val="00253EE7"/>
    <w:rsid w:val="00254B2F"/>
    <w:rsid w:val="00254C12"/>
    <w:rsid w:val="00260641"/>
    <w:rsid w:val="00262431"/>
    <w:rsid w:val="00265E15"/>
    <w:rsid w:val="00265ED0"/>
    <w:rsid w:val="002673BD"/>
    <w:rsid w:val="00270826"/>
    <w:rsid w:val="0027106F"/>
    <w:rsid w:val="0027210B"/>
    <w:rsid w:val="00272310"/>
    <w:rsid w:val="0027467B"/>
    <w:rsid w:val="00275065"/>
    <w:rsid w:val="002757D6"/>
    <w:rsid w:val="0028215C"/>
    <w:rsid w:val="00283099"/>
    <w:rsid w:val="00286BB1"/>
    <w:rsid w:val="002870C2"/>
    <w:rsid w:val="002937F9"/>
    <w:rsid w:val="00293C63"/>
    <w:rsid w:val="002957A9"/>
    <w:rsid w:val="00296435"/>
    <w:rsid w:val="0029646C"/>
    <w:rsid w:val="00296E69"/>
    <w:rsid w:val="002A57A4"/>
    <w:rsid w:val="002B2A9A"/>
    <w:rsid w:val="002B63A3"/>
    <w:rsid w:val="002C0290"/>
    <w:rsid w:val="002C0E89"/>
    <w:rsid w:val="002C0F7D"/>
    <w:rsid w:val="002C3935"/>
    <w:rsid w:val="002C40A0"/>
    <w:rsid w:val="002C42F1"/>
    <w:rsid w:val="002C77BC"/>
    <w:rsid w:val="002C79E4"/>
    <w:rsid w:val="002C7F8D"/>
    <w:rsid w:val="002D35D3"/>
    <w:rsid w:val="002D497D"/>
    <w:rsid w:val="002D658C"/>
    <w:rsid w:val="002E2FE3"/>
    <w:rsid w:val="002E3A9B"/>
    <w:rsid w:val="002E4402"/>
    <w:rsid w:val="002F05DB"/>
    <w:rsid w:val="002F0CE6"/>
    <w:rsid w:val="002F11AE"/>
    <w:rsid w:val="002F149C"/>
    <w:rsid w:val="002F5E03"/>
    <w:rsid w:val="002F7F66"/>
    <w:rsid w:val="00302D1D"/>
    <w:rsid w:val="00304F86"/>
    <w:rsid w:val="0030627F"/>
    <w:rsid w:val="00307011"/>
    <w:rsid w:val="003073E4"/>
    <w:rsid w:val="00312BF2"/>
    <w:rsid w:val="003229AA"/>
    <w:rsid w:val="00323901"/>
    <w:rsid w:val="003242D2"/>
    <w:rsid w:val="00325C10"/>
    <w:rsid w:val="003269CD"/>
    <w:rsid w:val="00327AAB"/>
    <w:rsid w:val="0033106A"/>
    <w:rsid w:val="00332345"/>
    <w:rsid w:val="003328BD"/>
    <w:rsid w:val="003332AF"/>
    <w:rsid w:val="00336768"/>
    <w:rsid w:val="003367C2"/>
    <w:rsid w:val="00336865"/>
    <w:rsid w:val="00336E26"/>
    <w:rsid w:val="003412DC"/>
    <w:rsid w:val="00341C71"/>
    <w:rsid w:val="00343A1B"/>
    <w:rsid w:val="00343EA6"/>
    <w:rsid w:val="00344037"/>
    <w:rsid w:val="00347380"/>
    <w:rsid w:val="00347ABE"/>
    <w:rsid w:val="00351600"/>
    <w:rsid w:val="003526D3"/>
    <w:rsid w:val="003567D5"/>
    <w:rsid w:val="003570F6"/>
    <w:rsid w:val="00363C3E"/>
    <w:rsid w:val="0036497C"/>
    <w:rsid w:val="00364DB8"/>
    <w:rsid w:val="00365485"/>
    <w:rsid w:val="00365707"/>
    <w:rsid w:val="00366209"/>
    <w:rsid w:val="00366F9B"/>
    <w:rsid w:val="003722D5"/>
    <w:rsid w:val="00374DBE"/>
    <w:rsid w:val="0037528D"/>
    <w:rsid w:val="00376918"/>
    <w:rsid w:val="00377C91"/>
    <w:rsid w:val="00382AB6"/>
    <w:rsid w:val="00385A57"/>
    <w:rsid w:val="00386521"/>
    <w:rsid w:val="0038715C"/>
    <w:rsid w:val="00390E65"/>
    <w:rsid w:val="00393A96"/>
    <w:rsid w:val="00395FAC"/>
    <w:rsid w:val="00396732"/>
    <w:rsid w:val="003A0BD7"/>
    <w:rsid w:val="003A0C0D"/>
    <w:rsid w:val="003A271A"/>
    <w:rsid w:val="003A29E3"/>
    <w:rsid w:val="003A3291"/>
    <w:rsid w:val="003A34CC"/>
    <w:rsid w:val="003A358A"/>
    <w:rsid w:val="003A3951"/>
    <w:rsid w:val="003A4C15"/>
    <w:rsid w:val="003B55ED"/>
    <w:rsid w:val="003C1016"/>
    <w:rsid w:val="003C41F2"/>
    <w:rsid w:val="003C6D45"/>
    <w:rsid w:val="003C700C"/>
    <w:rsid w:val="003C71FC"/>
    <w:rsid w:val="003D0A16"/>
    <w:rsid w:val="003D1F25"/>
    <w:rsid w:val="003D20DD"/>
    <w:rsid w:val="003D4A47"/>
    <w:rsid w:val="003D5B35"/>
    <w:rsid w:val="003E1CCB"/>
    <w:rsid w:val="003E5662"/>
    <w:rsid w:val="003E64C5"/>
    <w:rsid w:val="003F18D4"/>
    <w:rsid w:val="003F1A97"/>
    <w:rsid w:val="003F1AF9"/>
    <w:rsid w:val="003F3B63"/>
    <w:rsid w:val="003F7349"/>
    <w:rsid w:val="00402693"/>
    <w:rsid w:val="00402E52"/>
    <w:rsid w:val="00403373"/>
    <w:rsid w:val="00403AE4"/>
    <w:rsid w:val="0040581C"/>
    <w:rsid w:val="00405873"/>
    <w:rsid w:val="00406A94"/>
    <w:rsid w:val="004070A9"/>
    <w:rsid w:val="00411455"/>
    <w:rsid w:val="004120B2"/>
    <w:rsid w:val="004134F6"/>
    <w:rsid w:val="00414DE1"/>
    <w:rsid w:val="00415766"/>
    <w:rsid w:val="00416A06"/>
    <w:rsid w:val="004207D7"/>
    <w:rsid w:val="00420E93"/>
    <w:rsid w:val="00423C02"/>
    <w:rsid w:val="00424431"/>
    <w:rsid w:val="0042496B"/>
    <w:rsid w:val="00425581"/>
    <w:rsid w:val="00427249"/>
    <w:rsid w:val="00440DE0"/>
    <w:rsid w:val="00441257"/>
    <w:rsid w:val="00442444"/>
    <w:rsid w:val="00442DED"/>
    <w:rsid w:val="004454CF"/>
    <w:rsid w:val="0044728E"/>
    <w:rsid w:val="00447FF1"/>
    <w:rsid w:val="0045063A"/>
    <w:rsid w:val="00454D0B"/>
    <w:rsid w:val="00456454"/>
    <w:rsid w:val="00460549"/>
    <w:rsid w:val="00463B3D"/>
    <w:rsid w:val="004709E2"/>
    <w:rsid w:val="00471344"/>
    <w:rsid w:val="0047221D"/>
    <w:rsid w:val="004742DF"/>
    <w:rsid w:val="00477B83"/>
    <w:rsid w:val="00480BB9"/>
    <w:rsid w:val="004825F7"/>
    <w:rsid w:val="00482B0A"/>
    <w:rsid w:val="00485A89"/>
    <w:rsid w:val="00487A4B"/>
    <w:rsid w:val="004906FD"/>
    <w:rsid w:val="00490E26"/>
    <w:rsid w:val="004920F7"/>
    <w:rsid w:val="00492AF6"/>
    <w:rsid w:val="00495EBA"/>
    <w:rsid w:val="00495FD3"/>
    <w:rsid w:val="004976A6"/>
    <w:rsid w:val="00497DA1"/>
    <w:rsid w:val="004A7D5D"/>
    <w:rsid w:val="004B088C"/>
    <w:rsid w:val="004B0996"/>
    <w:rsid w:val="004B1E60"/>
    <w:rsid w:val="004B3683"/>
    <w:rsid w:val="004B717C"/>
    <w:rsid w:val="004C0190"/>
    <w:rsid w:val="004C3A75"/>
    <w:rsid w:val="004C6D83"/>
    <w:rsid w:val="004D0718"/>
    <w:rsid w:val="004D25B2"/>
    <w:rsid w:val="004D2CCB"/>
    <w:rsid w:val="004D460F"/>
    <w:rsid w:val="004E01BE"/>
    <w:rsid w:val="004E1500"/>
    <w:rsid w:val="004E3375"/>
    <w:rsid w:val="004E3516"/>
    <w:rsid w:val="004E58FF"/>
    <w:rsid w:val="004E6561"/>
    <w:rsid w:val="004E6672"/>
    <w:rsid w:val="004E70BA"/>
    <w:rsid w:val="004E74FC"/>
    <w:rsid w:val="004F0A32"/>
    <w:rsid w:val="004F10E6"/>
    <w:rsid w:val="004F586F"/>
    <w:rsid w:val="004F6F63"/>
    <w:rsid w:val="00502C8A"/>
    <w:rsid w:val="005069EE"/>
    <w:rsid w:val="00507C08"/>
    <w:rsid w:val="00512C3B"/>
    <w:rsid w:val="0051543A"/>
    <w:rsid w:val="005160A0"/>
    <w:rsid w:val="005171AD"/>
    <w:rsid w:val="00517E9B"/>
    <w:rsid w:val="0052120B"/>
    <w:rsid w:val="0052196C"/>
    <w:rsid w:val="00521C09"/>
    <w:rsid w:val="00524BE1"/>
    <w:rsid w:val="00524C2B"/>
    <w:rsid w:val="00525F42"/>
    <w:rsid w:val="0052732A"/>
    <w:rsid w:val="00532043"/>
    <w:rsid w:val="0053273C"/>
    <w:rsid w:val="00532F03"/>
    <w:rsid w:val="00535BFA"/>
    <w:rsid w:val="005430FE"/>
    <w:rsid w:val="00553BBD"/>
    <w:rsid w:val="00553CCE"/>
    <w:rsid w:val="005547EB"/>
    <w:rsid w:val="005548F9"/>
    <w:rsid w:val="00555098"/>
    <w:rsid w:val="00560D28"/>
    <w:rsid w:val="00561460"/>
    <w:rsid w:val="00564001"/>
    <w:rsid w:val="00564FF3"/>
    <w:rsid w:val="0056559C"/>
    <w:rsid w:val="005665B2"/>
    <w:rsid w:val="00571FCD"/>
    <w:rsid w:val="005732A7"/>
    <w:rsid w:val="00574A09"/>
    <w:rsid w:val="00574CAE"/>
    <w:rsid w:val="00577475"/>
    <w:rsid w:val="00580E49"/>
    <w:rsid w:val="00581353"/>
    <w:rsid w:val="005818B9"/>
    <w:rsid w:val="00584A71"/>
    <w:rsid w:val="005867F2"/>
    <w:rsid w:val="00590B66"/>
    <w:rsid w:val="005914FF"/>
    <w:rsid w:val="0059382B"/>
    <w:rsid w:val="00594F6A"/>
    <w:rsid w:val="00596B78"/>
    <w:rsid w:val="005A04A5"/>
    <w:rsid w:val="005A0F53"/>
    <w:rsid w:val="005A2A56"/>
    <w:rsid w:val="005A388A"/>
    <w:rsid w:val="005A5E49"/>
    <w:rsid w:val="005A7398"/>
    <w:rsid w:val="005B045D"/>
    <w:rsid w:val="005B19A9"/>
    <w:rsid w:val="005B2816"/>
    <w:rsid w:val="005C2096"/>
    <w:rsid w:val="005C20BB"/>
    <w:rsid w:val="005C3553"/>
    <w:rsid w:val="005C5586"/>
    <w:rsid w:val="005C70B1"/>
    <w:rsid w:val="005C713B"/>
    <w:rsid w:val="005C7760"/>
    <w:rsid w:val="005C7BB8"/>
    <w:rsid w:val="005D40F1"/>
    <w:rsid w:val="005D491C"/>
    <w:rsid w:val="005D5651"/>
    <w:rsid w:val="005D68FA"/>
    <w:rsid w:val="005D6F22"/>
    <w:rsid w:val="005E3C9E"/>
    <w:rsid w:val="005E42DE"/>
    <w:rsid w:val="005E5309"/>
    <w:rsid w:val="005E5BF6"/>
    <w:rsid w:val="005E6D7C"/>
    <w:rsid w:val="005E703B"/>
    <w:rsid w:val="005E73DD"/>
    <w:rsid w:val="005F17D7"/>
    <w:rsid w:val="005F5365"/>
    <w:rsid w:val="005F667E"/>
    <w:rsid w:val="005F7A59"/>
    <w:rsid w:val="005F7AA9"/>
    <w:rsid w:val="006045DF"/>
    <w:rsid w:val="0060499E"/>
    <w:rsid w:val="006060C4"/>
    <w:rsid w:val="00610CB1"/>
    <w:rsid w:val="00612688"/>
    <w:rsid w:val="006133D2"/>
    <w:rsid w:val="0062109B"/>
    <w:rsid w:val="006228F8"/>
    <w:rsid w:val="00625EBE"/>
    <w:rsid w:val="00626972"/>
    <w:rsid w:val="00630C62"/>
    <w:rsid w:val="006334F8"/>
    <w:rsid w:val="00641CB9"/>
    <w:rsid w:val="00642014"/>
    <w:rsid w:val="0064304E"/>
    <w:rsid w:val="00645165"/>
    <w:rsid w:val="00645A49"/>
    <w:rsid w:val="00647421"/>
    <w:rsid w:val="006503AC"/>
    <w:rsid w:val="0065051F"/>
    <w:rsid w:val="00651A97"/>
    <w:rsid w:val="006548E6"/>
    <w:rsid w:val="00657009"/>
    <w:rsid w:val="00657047"/>
    <w:rsid w:val="0065794A"/>
    <w:rsid w:val="00662035"/>
    <w:rsid w:val="00666109"/>
    <w:rsid w:val="00666B8A"/>
    <w:rsid w:val="006671F5"/>
    <w:rsid w:val="00670D11"/>
    <w:rsid w:val="00672003"/>
    <w:rsid w:val="00672979"/>
    <w:rsid w:val="00675602"/>
    <w:rsid w:val="00675DB2"/>
    <w:rsid w:val="00680DF0"/>
    <w:rsid w:val="00686152"/>
    <w:rsid w:val="00686485"/>
    <w:rsid w:val="00691AD5"/>
    <w:rsid w:val="006A1BED"/>
    <w:rsid w:val="006A4638"/>
    <w:rsid w:val="006A4BA5"/>
    <w:rsid w:val="006B0CD9"/>
    <w:rsid w:val="006B141F"/>
    <w:rsid w:val="006B28EE"/>
    <w:rsid w:val="006B3F9E"/>
    <w:rsid w:val="006B6FE0"/>
    <w:rsid w:val="006C31CA"/>
    <w:rsid w:val="006C4BED"/>
    <w:rsid w:val="006C53D2"/>
    <w:rsid w:val="006C795D"/>
    <w:rsid w:val="006D0603"/>
    <w:rsid w:val="006D18DE"/>
    <w:rsid w:val="006D2642"/>
    <w:rsid w:val="006E1327"/>
    <w:rsid w:val="006E15A7"/>
    <w:rsid w:val="006E23CD"/>
    <w:rsid w:val="006E6AF8"/>
    <w:rsid w:val="006F2504"/>
    <w:rsid w:val="006F4850"/>
    <w:rsid w:val="006F53B0"/>
    <w:rsid w:val="00700F97"/>
    <w:rsid w:val="007014F3"/>
    <w:rsid w:val="0070264A"/>
    <w:rsid w:val="007037DD"/>
    <w:rsid w:val="00703B4D"/>
    <w:rsid w:val="007064A8"/>
    <w:rsid w:val="00707B9F"/>
    <w:rsid w:val="00710BF3"/>
    <w:rsid w:val="00711354"/>
    <w:rsid w:val="00711719"/>
    <w:rsid w:val="00712FD6"/>
    <w:rsid w:val="00714984"/>
    <w:rsid w:val="00715B04"/>
    <w:rsid w:val="00717563"/>
    <w:rsid w:val="00725A68"/>
    <w:rsid w:val="00730AB3"/>
    <w:rsid w:val="00732425"/>
    <w:rsid w:val="00732741"/>
    <w:rsid w:val="00733D1E"/>
    <w:rsid w:val="00733ED9"/>
    <w:rsid w:val="0073521A"/>
    <w:rsid w:val="007352EF"/>
    <w:rsid w:val="00735B24"/>
    <w:rsid w:val="0073761F"/>
    <w:rsid w:val="00741706"/>
    <w:rsid w:val="00742BE4"/>
    <w:rsid w:val="00743F86"/>
    <w:rsid w:val="0074530F"/>
    <w:rsid w:val="007507CB"/>
    <w:rsid w:val="00750F54"/>
    <w:rsid w:val="00751293"/>
    <w:rsid w:val="00755DC6"/>
    <w:rsid w:val="007576E3"/>
    <w:rsid w:val="00757D9D"/>
    <w:rsid w:val="007600AC"/>
    <w:rsid w:val="00761E10"/>
    <w:rsid w:val="007640FB"/>
    <w:rsid w:val="00767850"/>
    <w:rsid w:val="00772F15"/>
    <w:rsid w:val="007755B6"/>
    <w:rsid w:val="00776570"/>
    <w:rsid w:val="0077765E"/>
    <w:rsid w:val="007803FF"/>
    <w:rsid w:val="0078324E"/>
    <w:rsid w:val="00783980"/>
    <w:rsid w:val="00785DFE"/>
    <w:rsid w:val="00787D5F"/>
    <w:rsid w:val="00787E97"/>
    <w:rsid w:val="00790500"/>
    <w:rsid w:val="007916FB"/>
    <w:rsid w:val="00792C57"/>
    <w:rsid w:val="00792D08"/>
    <w:rsid w:val="007952D3"/>
    <w:rsid w:val="0079643C"/>
    <w:rsid w:val="0079710F"/>
    <w:rsid w:val="00797C09"/>
    <w:rsid w:val="007A0273"/>
    <w:rsid w:val="007A1349"/>
    <w:rsid w:val="007A18FD"/>
    <w:rsid w:val="007A3567"/>
    <w:rsid w:val="007A7801"/>
    <w:rsid w:val="007B0E83"/>
    <w:rsid w:val="007B21CD"/>
    <w:rsid w:val="007B5948"/>
    <w:rsid w:val="007C012A"/>
    <w:rsid w:val="007C0378"/>
    <w:rsid w:val="007C18C3"/>
    <w:rsid w:val="007C23A0"/>
    <w:rsid w:val="007C27A1"/>
    <w:rsid w:val="007C2965"/>
    <w:rsid w:val="007C378E"/>
    <w:rsid w:val="007C49D9"/>
    <w:rsid w:val="007C6BF9"/>
    <w:rsid w:val="007C7ED2"/>
    <w:rsid w:val="007D1730"/>
    <w:rsid w:val="007D2042"/>
    <w:rsid w:val="007D4230"/>
    <w:rsid w:val="007D4D7B"/>
    <w:rsid w:val="007E21C3"/>
    <w:rsid w:val="007E5662"/>
    <w:rsid w:val="007F3623"/>
    <w:rsid w:val="007F6065"/>
    <w:rsid w:val="007F6B43"/>
    <w:rsid w:val="007F77CD"/>
    <w:rsid w:val="00800EE9"/>
    <w:rsid w:val="00802693"/>
    <w:rsid w:val="00804C62"/>
    <w:rsid w:val="00805B1D"/>
    <w:rsid w:val="0081295B"/>
    <w:rsid w:val="00812E73"/>
    <w:rsid w:val="00813B6F"/>
    <w:rsid w:val="008200F1"/>
    <w:rsid w:val="00820E6A"/>
    <w:rsid w:val="00826D3D"/>
    <w:rsid w:val="0083232E"/>
    <w:rsid w:val="00833881"/>
    <w:rsid w:val="00834026"/>
    <w:rsid w:val="00836F81"/>
    <w:rsid w:val="00837950"/>
    <w:rsid w:val="008405E8"/>
    <w:rsid w:val="008421EA"/>
    <w:rsid w:val="008529D0"/>
    <w:rsid w:val="00855B7C"/>
    <w:rsid w:val="00861B2D"/>
    <w:rsid w:val="008621D6"/>
    <w:rsid w:val="00871BD1"/>
    <w:rsid w:val="00872D79"/>
    <w:rsid w:val="008800E2"/>
    <w:rsid w:val="00880302"/>
    <w:rsid w:val="008847E0"/>
    <w:rsid w:val="00884A91"/>
    <w:rsid w:val="00884AF0"/>
    <w:rsid w:val="00885A66"/>
    <w:rsid w:val="008901CD"/>
    <w:rsid w:val="00890231"/>
    <w:rsid w:val="00890489"/>
    <w:rsid w:val="00890765"/>
    <w:rsid w:val="00890A16"/>
    <w:rsid w:val="008911A6"/>
    <w:rsid w:val="008965FC"/>
    <w:rsid w:val="00896DB8"/>
    <w:rsid w:val="008A0AE3"/>
    <w:rsid w:val="008A0D3A"/>
    <w:rsid w:val="008A0EF2"/>
    <w:rsid w:val="008A1B60"/>
    <w:rsid w:val="008A3D32"/>
    <w:rsid w:val="008A5870"/>
    <w:rsid w:val="008A5DD5"/>
    <w:rsid w:val="008A6DDA"/>
    <w:rsid w:val="008B02F9"/>
    <w:rsid w:val="008B09DB"/>
    <w:rsid w:val="008B7DD7"/>
    <w:rsid w:val="008C117F"/>
    <w:rsid w:val="008C15A7"/>
    <w:rsid w:val="008C1D70"/>
    <w:rsid w:val="008C23F1"/>
    <w:rsid w:val="008C2B87"/>
    <w:rsid w:val="008C38FE"/>
    <w:rsid w:val="008C628F"/>
    <w:rsid w:val="008C6FFC"/>
    <w:rsid w:val="008D027A"/>
    <w:rsid w:val="008D1223"/>
    <w:rsid w:val="008D2C3B"/>
    <w:rsid w:val="008D2F4A"/>
    <w:rsid w:val="008D3896"/>
    <w:rsid w:val="008D3FB6"/>
    <w:rsid w:val="008D64ED"/>
    <w:rsid w:val="008D6FBE"/>
    <w:rsid w:val="008E02E5"/>
    <w:rsid w:val="008E0640"/>
    <w:rsid w:val="008E1131"/>
    <w:rsid w:val="008E45F9"/>
    <w:rsid w:val="008E74ED"/>
    <w:rsid w:val="008E7D39"/>
    <w:rsid w:val="008F5EC2"/>
    <w:rsid w:val="00901DA5"/>
    <w:rsid w:val="00902FB5"/>
    <w:rsid w:val="0090335E"/>
    <w:rsid w:val="009042F5"/>
    <w:rsid w:val="00905A06"/>
    <w:rsid w:val="00906D49"/>
    <w:rsid w:val="009070F5"/>
    <w:rsid w:val="00911EFF"/>
    <w:rsid w:val="009123E3"/>
    <w:rsid w:val="009125B8"/>
    <w:rsid w:val="00913ECD"/>
    <w:rsid w:val="009149F1"/>
    <w:rsid w:val="00914CC9"/>
    <w:rsid w:val="00914D92"/>
    <w:rsid w:val="00915994"/>
    <w:rsid w:val="00916FDB"/>
    <w:rsid w:val="00922335"/>
    <w:rsid w:val="00923493"/>
    <w:rsid w:val="00924C24"/>
    <w:rsid w:val="0093033C"/>
    <w:rsid w:val="00930C1D"/>
    <w:rsid w:val="009356C5"/>
    <w:rsid w:val="009360BD"/>
    <w:rsid w:val="0093745B"/>
    <w:rsid w:val="00942C0F"/>
    <w:rsid w:val="009437DF"/>
    <w:rsid w:val="00944599"/>
    <w:rsid w:val="00946AE0"/>
    <w:rsid w:val="00950B11"/>
    <w:rsid w:val="0095322A"/>
    <w:rsid w:val="009553F5"/>
    <w:rsid w:val="00960E91"/>
    <w:rsid w:val="009635A5"/>
    <w:rsid w:val="00966987"/>
    <w:rsid w:val="009669B2"/>
    <w:rsid w:val="00966D2A"/>
    <w:rsid w:val="009676B9"/>
    <w:rsid w:val="00970DE9"/>
    <w:rsid w:val="009746D4"/>
    <w:rsid w:val="009746D8"/>
    <w:rsid w:val="00982FFF"/>
    <w:rsid w:val="00983F35"/>
    <w:rsid w:val="00985B59"/>
    <w:rsid w:val="0098641C"/>
    <w:rsid w:val="00987DF2"/>
    <w:rsid w:val="009901D6"/>
    <w:rsid w:val="00992087"/>
    <w:rsid w:val="00992710"/>
    <w:rsid w:val="00992DAC"/>
    <w:rsid w:val="0099319B"/>
    <w:rsid w:val="009955A7"/>
    <w:rsid w:val="00995E3E"/>
    <w:rsid w:val="00996B0A"/>
    <w:rsid w:val="009A4586"/>
    <w:rsid w:val="009A4BDC"/>
    <w:rsid w:val="009A57A5"/>
    <w:rsid w:val="009A595E"/>
    <w:rsid w:val="009B073C"/>
    <w:rsid w:val="009B10B3"/>
    <w:rsid w:val="009B242B"/>
    <w:rsid w:val="009B252C"/>
    <w:rsid w:val="009B32D7"/>
    <w:rsid w:val="009B3986"/>
    <w:rsid w:val="009C5E75"/>
    <w:rsid w:val="009E104B"/>
    <w:rsid w:val="009E2539"/>
    <w:rsid w:val="009E3171"/>
    <w:rsid w:val="009E3974"/>
    <w:rsid w:val="009E39CE"/>
    <w:rsid w:val="009E5220"/>
    <w:rsid w:val="009E6F97"/>
    <w:rsid w:val="009F3211"/>
    <w:rsid w:val="009F3F34"/>
    <w:rsid w:val="009F46E7"/>
    <w:rsid w:val="009F4998"/>
    <w:rsid w:val="009F61D3"/>
    <w:rsid w:val="00A01333"/>
    <w:rsid w:val="00A01FB2"/>
    <w:rsid w:val="00A07733"/>
    <w:rsid w:val="00A12816"/>
    <w:rsid w:val="00A1281A"/>
    <w:rsid w:val="00A12B40"/>
    <w:rsid w:val="00A143DD"/>
    <w:rsid w:val="00A162E6"/>
    <w:rsid w:val="00A16B04"/>
    <w:rsid w:val="00A17D1D"/>
    <w:rsid w:val="00A20966"/>
    <w:rsid w:val="00A2158C"/>
    <w:rsid w:val="00A240E5"/>
    <w:rsid w:val="00A26EC4"/>
    <w:rsid w:val="00A30816"/>
    <w:rsid w:val="00A30A15"/>
    <w:rsid w:val="00A31BE9"/>
    <w:rsid w:val="00A33BCC"/>
    <w:rsid w:val="00A3491E"/>
    <w:rsid w:val="00A37E7E"/>
    <w:rsid w:val="00A40509"/>
    <w:rsid w:val="00A40923"/>
    <w:rsid w:val="00A41806"/>
    <w:rsid w:val="00A420BB"/>
    <w:rsid w:val="00A42213"/>
    <w:rsid w:val="00A428C2"/>
    <w:rsid w:val="00A43AF6"/>
    <w:rsid w:val="00A45C77"/>
    <w:rsid w:val="00A4716C"/>
    <w:rsid w:val="00A5794C"/>
    <w:rsid w:val="00A60B79"/>
    <w:rsid w:val="00A611D5"/>
    <w:rsid w:val="00A64421"/>
    <w:rsid w:val="00A64D50"/>
    <w:rsid w:val="00A650BA"/>
    <w:rsid w:val="00A65E59"/>
    <w:rsid w:val="00A67535"/>
    <w:rsid w:val="00A67927"/>
    <w:rsid w:val="00A715A3"/>
    <w:rsid w:val="00A7238F"/>
    <w:rsid w:val="00A725A4"/>
    <w:rsid w:val="00A72DDC"/>
    <w:rsid w:val="00A91F48"/>
    <w:rsid w:val="00A92A3F"/>
    <w:rsid w:val="00A939BC"/>
    <w:rsid w:val="00A9492D"/>
    <w:rsid w:val="00A955D9"/>
    <w:rsid w:val="00AA04DF"/>
    <w:rsid w:val="00AA097C"/>
    <w:rsid w:val="00AA2200"/>
    <w:rsid w:val="00AA43E4"/>
    <w:rsid w:val="00AA64FB"/>
    <w:rsid w:val="00AB0406"/>
    <w:rsid w:val="00AB3442"/>
    <w:rsid w:val="00AB3647"/>
    <w:rsid w:val="00AB370F"/>
    <w:rsid w:val="00AB3AB7"/>
    <w:rsid w:val="00AB492E"/>
    <w:rsid w:val="00AB539C"/>
    <w:rsid w:val="00AB637F"/>
    <w:rsid w:val="00AC0714"/>
    <w:rsid w:val="00AC260E"/>
    <w:rsid w:val="00AC2749"/>
    <w:rsid w:val="00AC3EF3"/>
    <w:rsid w:val="00AC4206"/>
    <w:rsid w:val="00AC5561"/>
    <w:rsid w:val="00AC6723"/>
    <w:rsid w:val="00AC7CC2"/>
    <w:rsid w:val="00AD1409"/>
    <w:rsid w:val="00AD2C1D"/>
    <w:rsid w:val="00AD2FDA"/>
    <w:rsid w:val="00AD318A"/>
    <w:rsid w:val="00AD365D"/>
    <w:rsid w:val="00AD3862"/>
    <w:rsid w:val="00AD3BA7"/>
    <w:rsid w:val="00AD4C82"/>
    <w:rsid w:val="00AD56FF"/>
    <w:rsid w:val="00AD6369"/>
    <w:rsid w:val="00AD7490"/>
    <w:rsid w:val="00AE3BDB"/>
    <w:rsid w:val="00AE5649"/>
    <w:rsid w:val="00AF319F"/>
    <w:rsid w:val="00AF77CA"/>
    <w:rsid w:val="00B022E4"/>
    <w:rsid w:val="00B02301"/>
    <w:rsid w:val="00B02802"/>
    <w:rsid w:val="00B0347E"/>
    <w:rsid w:val="00B07D2B"/>
    <w:rsid w:val="00B11FF4"/>
    <w:rsid w:val="00B1270A"/>
    <w:rsid w:val="00B12ACE"/>
    <w:rsid w:val="00B15265"/>
    <w:rsid w:val="00B20DCA"/>
    <w:rsid w:val="00B23D22"/>
    <w:rsid w:val="00B25390"/>
    <w:rsid w:val="00B267A3"/>
    <w:rsid w:val="00B2730F"/>
    <w:rsid w:val="00B30277"/>
    <w:rsid w:val="00B312AC"/>
    <w:rsid w:val="00B32109"/>
    <w:rsid w:val="00B341F1"/>
    <w:rsid w:val="00B35329"/>
    <w:rsid w:val="00B37210"/>
    <w:rsid w:val="00B4067E"/>
    <w:rsid w:val="00B41A08"/>
    <w:rsid w:val="00B423E1"/>
    <w:rsid w:val="00B425A5"/>
    <w:rsid w:val="00B4372D"/>
    <w:rsid w:val="00B440EB"/>
    <w:rsid w:val="00B44A30"/>
    <w:rsid w:val="00B50B2D"/>
    <w:rsid w:val="00B534EC"/>
    <w:rsid w:val="00B564FE"/>
    <w:rsid w:val="00B56B8D"/>
    <w:rsid w:val="00B602AB"/>
    <w:rsid w:val="00B61209"/>
    <w:rsid w:val="00B64636"/>
    <w:rsid w:val="00B64D46"/>
    <w:rsid w:val="00B65B18"/>
    <w:rsid w:val="00B65D30"/>
    <w:rsid w:val="00B6604D"/>
    <w:rsid w:val="00B664EF"/>
    <w:rsid w:val="00B70432"/>
    <w:rsid w:val="00B74EBD"/>
    <w:rsid w:val="00B750D0"/>
    <w:rsid w:val="00B75420"/>
    <w:rsid w:val="00B75D7B"/>
    <w:rsid w:val="00B76F60"/>
    <w:rsid w:val="00B779A9"/>
    <w:rsid w:val="00B82EAA"/>
    <w:rsid w:val="00B83763"/>
    <w:rsid w:val="00B83997"/>
    <w:rsid w:val="00B91BFB"/>
    <w:rsid w:val="00B922ED"/>
    <w:rsid w:val="00B947B5"/>
    <w:rsid w:val="00B94967"/>
    <w:rsid w:val="00BA0D5A"/>
    <w:rsid w:val="00BA3AA3"/>
    <w:rsid w:val="00BA454E"/>
    <w:rsid w:val="00BA4CD6"/>
    <w:rsid w:val="00BA4E2C"/>
    <w:rsid w:val="00BA56DA"/>
    <w:rsid w:val="00BA5A9A"/>
    <w:rsid w:val="00BA5F5A"/>
    <w:rsid w:val="00BA61EE"/>
    <w:rsid w:val="00BA761C"/>
    <w:rsid w:val="00BA7815"/>
    <w:rsid w:val="00BB4AFF"/>
    <w:rsid w:val="00BB626D"/>
    <w:rsid w:val="00BC3295"/>
    <w:rsid w:val="00BC3D9E"/>
    <w:rsid w:val="00BC63F3"/>
    <w:rsid w:val="00BD0739"/>
    <w:rsid w:val="00BD12AB"/>
    <w:rsid w:val="00BD1A10"/>
    <w:rsid w:val="00BD3F1E"/>
    <w:rsid w:val="00BD4BF4"/>
    <w:rsid w:val="00BE2C51"/>
    <w:rsid w:val="00BE63CA"/>
    <w:rsid w:val="00BF039D"/>
    <w:rsid w:val="00BF12B8"/>
    <w:rsid w:val="00BF45FB"/>
    <w:rsid w:val="00BF65E6"/>
    <w:rsid w:val="00BF6D49"/>
    <w:rsid w:val="00C00E04"/>
    <w:rsid w:val="00C01793"/>
    <w:rsid w:val="00C01E41"/>
    <w:rsid w:val="00C02DBF"/>
    <w:rsid w:val="00C03332"/>
    <w:rsid w:val="00C040AB"/>
    <w:rsid w:val="00C0430D"/>
    <w:rsid w:val="00C06014"/>
    <w:rsid w:val="00C071C9"/>
    <w:rsid w:val="00C07B1D"/>
    <w:rsid w:val="00C13C8E"/>
    <w:rsid w:val="00C143E8"/>
    <w:rsid w:val="00C1732D"/>
    <w:rsid w:val="00C17668"/>
    <w:rsid w:val="00C2242E"/>
    <w:rsid w:val="00C24C71"/>
    <w:rsid w:val="00C24D82"/>
    <w:rsid w:val="00C25CE4"/>
    <w:rsid w:val="00C26338"/>
    <w:rsid w:val="00C2651E"/>
    <w:rsid w:val="00C321EA"/>
    <w:rsid w:val="00C33891"/>
    <w:rsid w:val="00C33E69"/>
    <w:rsid w:val="00C34B2A"/>
    <w:rsid w:val="00C35C14"/>
    <w:rsid w:val="00C47091"/>
    <w:rsid w:val="00C47468"/>
    <w:rsid w:val="00C50FB8"/>
    <w:rsid w:val="00C5123D"/>
    <w:rsid w:val="00C5142A"/>
    <w:rsid w:val="00C534C8"/>
    <w:rsid w:val="00C54244"/>
    <w:rsid w:val="00C55B9C"/>
    <w:rsid w:val="00C5685E"/>
    <w:rsid w:val="00C56C15"/>
    <w:rsid w:val="00C60711"/>
    <w:rsid w:val="00C63BD4"/>
    <w:rsid w:val="00C63FE9"/>
    <w:rsid w:val="00C65016"/>
    <w:rsid w:val="00C70AEF"/>
    <w:rsid w:val="00C70FAF"/>
    <w:rsid w:val="00C73929"/>
    <w:rsid w:val="00C757B2"/>
    <w:rsid w:val="00C77407"/>
    <w:rsid w:val="00C82B39"/>
    <w:rsid w:val="00C82D38"/>
    <w:rsid w:val="00C839E5"/>
    <w:rsid w:val="00C83FC3"/>
    <w:rsid w:val="00C84977"/>
    <w:rsid w:val="00C85260"/>
    <w:rsid w:val="00C861D2"/>
    <w:rsid w:val="00C87D72"/>
    <w:rsid w:val="00C92281"/>
    <w:rsid w:val="00C92CDA"/>
    <w:rsid w:val="00C9472B"/>
    <w:rsid w:val="00C95A4E"/>
    <w:rsid w:val="00C96597"/>
    <w:rsid w:val="00C969F3"/>
    <w:rsid w:val="00C97211"/>
    <w:rsid w:val="00CA12A7"/>
    <w:rsid w:val="00CA1EB2"/>
    <w:rsid w:val="00CA2653"/>
    <w:rsid w:val="00CA2747"/>
    <w:rsid w:val="00CB2099"/>
    <w:rsid w:val="00CB418B"/>
    <w:rsid w:val="00CC0028"/>
    <w:rsid w:val="00CC0106"/>
    <w:rsid w:val="00CC0728"/>
    <w:rsid w:val="00CC1069"/>
    <w:rsid w:val="00CC1B36"/>
    <w:rsid w:val="00CC4EF4"/>
    <w:rsid w:val="00CC5842"/>
    <w:rsid w:val="00CC5A7E"/>
    <w:rsid w:val="00CC60E7"/>
    <w:rsid w:val="00CC7753"/>
    <w:rsid w:val="00CD0141"/>
    <w:rsid w:val="00CD0C0E"/>
    <w:rsid w:val="00CD11C3"/>
    <w:rsid w:val="00CD2143"/>
    <w:rsid w:val="00CD22C1"/>
    <w:rsid w:val="00CD5C01"/>
    <w:rsid w:val="00CE142D"/>
    <w:rsid w:val="00CE233A"/>
    <w:rsid w:val="00CF2F05"/>
    <w:rsid w:val="00CF5D22"/>
    <w:rsid w:val="00CF60F8"/>
    <w:rsid w:val="00CF689A"/>
    <w:rsid w:val="00D035FA"/>
    <w:rsid w:val="00D061BC"/>
    <w:rsid w:val="00D06F31"/>
    <w:rsid w:val="00D10555"/>
    <w:rsid w:val="00D1206A"/>
    <w:rsid w:val="00D222D8"/>
    <w:rsid w:val="00D27EAA"/>
    <w:rsid w:val="00D30298"/>
    <w:rsid w:val="00D304D1"/>
    <w:rsid w:val="00D33DA9"/>
    <w:rsid w:val="00D34D9F"/>
    <w:rsid w:val="00D358ED"/>
    <w:rsid w:val="00D36966"/>
    <w:rsid w:val="00D40E4E"/>
    <w:rsid w:val="00D4327E"/>
    <w:rsid w:val="00D43C47"/>
    <w:rsid w:val="00D4502B"/>
    <w:rsid w:val="00D467F6"/>
    <w:rsid w:val="00D50A88"/>
    <w:rsid w:val="00D50AA7"/>
    <w:rsid w:val="00D50D04"/>
    <w:rsid w:val="00D51A6A"/>
    <w:rsid w:val="00D52499"/>
    <w:rsid w:val="00D52833"/>
    <w:rsid w:val="00D53BE1"/>
    <w:rsid w:val="00D608D7"/>
    <w:rsid w:val="00D61C41"/>
    <w:rsid w:val="00D62311"/>
    <w:rsid w:val="00D62BB9"/>
    <w:rsid w:val="00D67BFF"/>
    <w:rsid w:val="00D72203"/>
    <w:rsid w:val="00D72818"/>
    <w:rsid w:val="00D72D29"/>
    <w:rsid w:val="00D74F65"/>
    <w:rsid w:val="00D76D58"/>
    <w:rsid w:val="00D81D67"/>
    <w:rsid w:val="00D85BB3"/>
    <w:rsid w:val="00D86D2A"/>
    <w:rsid w:val="00D873E7"/>
    <w:rsid w:val="00D90763"/>
    <w:rsid w:val="00D93293"/>
    <w:rsid w:val="00D9415C"/>
    <w:rsid w:val="00D9574F"/>
    <w:rsid w:val="00D96034"/>
    <w:rsid w:val="00D96FAA"/>
    <w:rsid w:val="00D97C6A"/>
    <w:rsid w:val="00D97F3C"/>
    <w:rsid w:val="00DA39B1"/>
    <w:rsid w:val="00DA47F9"/>
    <w:rsid w:val="00DB1780"/>
    <w:rsid w:val="00DB2833"/>
    <w:rsid w:val="00DB3B4C"/>
    <w:rsid w:val="00DB6AD2"/>
    <w:rsid w:val="00DB6EFB"/>
    <w:rsid w:val="00DB78AA"/>
    <w:rsid w:val="00DB7978"/>
    <w:rsid w:val="00DC13C7"/>
    <w:rsid w:val="00DC2F75"/>
    <w:rsid w:val="00DC6778"/>
    <w:rsid w:val="00DC686D"/>
    <w:rsid w:val="00DC7046"/>
    <w:rsid w:val="00DD0F30"/>
    <w:rsid w:val="00DD355A"/>
    <w:rsid w:val="00DD3616"/>
    <w:rsid w:val="00DE0A50"/>
    <w:rsid w:val="00DE0B13"/>
    <w:rsid w:val="00DE2A58"/>
    <w:rsid w:val="00DE6E03"/>
    <w:rsid w:val="00DF5C3D"/>
    <w:rsid w:val="00DF6D67"/>
    <w:rsid w:val="00DF7A67"/>
    <w:rsid w:val="00E00CCB"/>
    <w:rsid w:val="00E0170F"/>
    <w:rsid w:val="00E01972"/>
    <w:rsid w:val="00E046CD"/>
    <w:rsid w:val="00E0550F"/>
    <w:rsid w:val="00E06384"/>
    <w:rsid w:val="00E115EE"/>
    <w:rsid w:val="00E12D64"/>
    <w:rsid w:val="00E1322A"/>
    <w:rsid w:val="00E1335F"/>
    <w:rsid w:val="00E147C5"/>
    <w:rsid w:val="00E14C28"/>
    <w:rsid w:val="00E212D0"/>
    <w:rsid w:val="00E21C9C"/>
    <w:rsid w:val="00E22161"/>
    <w:rsid w:val="00E2352B"/>
    <w:rsid w:val="00E2378E"/>
    <w:rsid w:val="00E26242"/>
    <w:rsid w:val="00E26CDE"/>
    <w:rsid w:val="00E26F1E"/>
    <w:rsid w:val="00E3021A"/>
    <w:rsid w:val="00E30BFD"/>
    <w:rsid w:val="00E326F4"/>
    <w:rsid w:val="00E34B83"/>
    <w:rsid w:val="00E36DF4"/>
    <w:rsid w:val="00E371BB"/>
    <w:rsid w:val="00E42448"/>
    <w:rsid w:val="00E42DB0"/>
    <w:rsid w:val="00E476B6"/>
    <w:rsid w:val="00E479CD"/>
    <w:rsid w:val="00E47D47"/>
    <w:rsid w:val="00E51B0C"/>
    <w:rsid w:val="00E51FF8"/>
    <w:rsid w:val="00E529BC"/>
    <w:rsid w:val="00E537B4"/>
    <w:rsid w:val="00E61DD6"/>
    <w:rsid w:val="00E62BED"/>
    <w:rsid w:val="00E73966"/>
    <w:rsid w:val="00E73A1B"/>
    <w:rsid w:val="00E76310"/>
    <w:rsid w:val="00E7672E"/>
    <w:rsid w:val="00E8302B"/>
    <w:rsid w:val="00E83CB5"/>
    <w:rsid w:val="00E85474"/>
    <w:rsid w:val="00E876A1"/>
    <w:rsid w:val="00E87CFE"/>
    <w:rsid w:val="00E91A76"/>
    <w:rsid w:val="00E924EE"/>
    <w:rsid w:val="00E94FEE"/>
    <w:rsid w:val="00E95A6B"/>
    <w:rsid w:val="00EA0056"/>
    <w:rsid w:val="00EA14B9"/>
    <w:rsid w:val="00EA2A2D"/>
    <w:rsid w:val="00EB00FD"/>
    <w:rsid w:val="00EB0254"/>
    <w:rsid w:val="00EB0B7B"/>
    <w:rsid w:val="00EB1707"/>
    <w:rsid w:val="00EB256F"/>
    <w:rsid w:val="00EB31CA"/>
    <w:rsid w:val="00EB5B57"/>
    <w:rsid w:val="00EB7BDE"/>
    <w:rsid w:val="00EC0C5E"/>
    <w:rsid w:val="00EC1470"/>
    <w:rsid w:val="00EC18DC"/>
    <w:rsid w:val="00EC6938"/>
    <w:rsid w:val="00ED148F"/>
    <w:rsid w:val="00ED153A"/>
    <w:rsid w:val="00ED310D"/>
    <w:rsid w:val="00ED3249"/>
    <w:rsid w:val="00ED3B47"/>
    <w:rsid w:val="00EE54A3"/>
    <w:rsid w:val="00EE7017"/>
    <w:rsid w:val="00EE7651"/>
    <w:rsid w:val="00EE7E47"/>
    <w:rsid w:val="00EF2A15"/>
    <w:rsid w:val="00EF2F9D"/>
    <w:rsid w:val="00EF4880"/>
    <w:rsid w:val="00EF4F03"/>
    <w:rsid w:val="00EF54E6"/>
    <w:rsid w:val="00F00C4C"/>
    <w:rsid w:val="00F02FB6"/>
    <w:rsid w:val="00F03BA0"/>
    <w:rsid w:val="00F04553"/>
    <w:rsid w:val="00F057F6"/>
    <w:rsid w:val="00F07689"/>
    <w:rsid w:val="00F10055"/>
    <w:rsid w:val="00F10548"/>
    <w:rsid w:val="00F126D4"/>
    <w:rsid w:val="00F1343A"/>
    <w:rsid w:val="00F13B15"/>
    <w:rsid w:val="00F1449F"/>
    <w:rsid w:val="00F157AC"/>
    <w:rsid w:val="00F15ED1"/>
    <w:rsid w:val="00F17941"/>
    <w:rsid w:val="00F21027"/>
    <w:rsid w:val="00F27877"/>
    <w:rsid w:val="00F3058D"/>
    <w:rsid w:val="00F33606"/>
    <w:rsid w:val="00F35903"/>
    <w:rsid w:val="00F3623A"/>
    <w:rsid w:val="00F3797F"/>
    <w:rsid w:val="00F37E3B"/>
    <w:rsid w:val="00F41EA3"/>
    <w:rsid w:val="00F4594E"/>
    <w:rsid w:val="00F45A0E"/>
    <w:rsid w:val="00F46935"/>
    <w:rsid w:val="00F4771F"/>
    <w:rsid w:val="00F504C6"/>
    <w:rsid w:val="00F5332E"/>
    <w:rsid w:val="00F54B0B"/>
    <w:rsid w:val="00F54EC9"/>
    <w:rsid w:val="00F55371"/>
    <w:rsid w:val="00F57858"/>
    <w:rsid w:val="00F60524"/>
    <w:rsid w:val="00F60AAA"/>
    <w:rsid w:val="00F61562"/>
    <w:rsid w:val="00F72662"/>
    <w:rsid w:val="00F738AB"/>
    <w:rsid w:val="00F7544B"/>
    <w:rsid w:val="00F7748A"/>
    <w:rsid w:val="00F77F9B"/>
    <w:rsid w:val="00F8004D"/>
    <w:rsid w:val="00F80AF7"/>
    <w:rsid w:val="00F81BE7"/>
    <w:rsid w:val="00F8464C"/>
    <w:rsid w:val="00F85736"/>
    <w:rsid w:val="00F8632C"/>
    <w:rsid w:val="00F87B42"/>
    <w:rsid w:val="00F94F72"/>
    <w:rsid w:val="00F96701"/>
    <w:rsid w:val="00FA2260"/>
    <w:rsid w:val="00FA33E4"/>
    <w:rsid w:val="00FA61AA"/>
    <w:rsid w:val="00FA6DE7"/>
    <w:rsid w:val="00FB2A3E"/>
    <w:rsid w:val="00FB515C"/>
    <w:rsid w:val="00FC1CF1"/>
    <w:rsid w:val="00FD0E8A"/>
    <w:rsid w:val="00FD189C"/>
    <w:rsid w:val="00FD212A"/>
    <w:rsid w:val="00FD41B2"/>
    <w:rsid w:val="00FD4915"/>
    <w:rsid w:val="00FD4B3A"/>
    <w:rsid w:val="00FD4C92"/>
    <w:rsid w:val="00FE03CA"/>
    <w:rsid w:val="00FE6284"/>
    <w:rsid w:val="00FE79D3"/>
    <w:rsid w:val="00FF0611"/>
    <w:rsid w:val="00FF16E6"/>
    <w:rsid w:val="00FF20D1"/>
    <w:rsid w:val="00FF5B0A"/>
    <w:rsid w:val="00FF7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4C6A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53B0"/>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6F53B0"/>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6F53B0"/>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6F53B0"/>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521C09"/>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F53B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6F53B0"/>
  </w:style>
  <w:style w:type="character" w:customStyle="1" w:styleId="CharAmSchText">
    <w:name w:val="CharAmSchText"/>
    <w:basedOn w:val="OPCCharBase"/>
    <w:uiPriority w:val="1"/>
    <w:qFormat/>
    <w:rsid w:val="006F53B0"/>
  </w:style>
  <w:style w:type="character" w:customStyle="1" w:styleId="CharChapNo">
    <w:name w:val="CharChapNo"/>
    <w:basedOn w:val="OPCCharBase"/>
    <w:qFormat/>
    <w:rsid w:val="006F53B0"/>
  </w:style>
  <w:style w:type="character" w:customStyle="1" w:styleId="CharChapText">
    <w:name w:val="CharChapText"/>
    <w:basedOn w:val="OPCCharBase"/>
    <w:qFormat/>
    <w:rsid w:val="006F53B0"/>
  </w:style>
  <w:style w:type="character" w:customStyle="1" w:styleId="CharDivNo">
    <w:name w:val="CharDivNo"/>
    <w:basedOn w:val="OPCCharBase"/>
    <w:qFormat/>
    <w:rsid w:val="006F53B0"/>
  </w:style>
  <w:style w:type="character" w:customStyle="1" w:styleId="CharDivText">
    <w:name w:val="CharDivText"/>
    <w:basedOn w:val="OPCCharBase"/>
    <w:qFormat/>
    <w:rsid w:val="006F53B0"/>
  </w:style>
  <w:style w:type="character" w:customStyle="1" w:styleId="CharPartNo">
    <w:name w:val="CharPartNo"/>
    <w:basedOn w:val="OPCCharBase"/>
    <w:qFormat/>
    <w:rsid w:val="006F53B0"/>
  </w:style>
  <w:style w:type="character" w:customStyle="1" w:styleId="CharPartText">
    <w:name w:val="CharPartText"/>
    <w:basedOn w:val="OPCCharBase"/>
    <w:qFormat/>
    <w:rsid w:val="006F53B0"/>
  </w:style>
  <w:style w:type="character" w:customStyle="1" w:styleId="OPCCharBase">
    <w:name w:val="OPCCharBase"/>
    <w:uiPriority w:val="1"/>
    <w:qFormat/>
    <w:rsid w:val="006F53B0"/>
  </w:style>
  <w:style w:type="paragraph" w:customStyle="1" w:styleId="OPCParaBase">
    <w:name w:val="OPCParaBase"/>
    <w:qFormat/>
    <w:rsid w:val="006F53B0"/>
    <w:pPr>
      <w:spacing w:line="260" w:lineRule="atLeast"/>
    </w:pPr>
    <w:rPr>
      <w:sz w:val="22"/>
    </w:rPr>
  </w:style>
  <w:style w:type="character" w:customStyle="1" w:styleId="CharSectno">
    <w:name w:val="CharSectno"/>
    <w:basedOn w:val="OPCCharBase"/>
    <w:qFormat/>
    <w:rsid w:val="006F53B0"/>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6F53B0"/>
    <w:pPr>
      <w:spacing w:line="240" w:lineRule="auto"/>
      <w:ind w:left="1134"/>
    </w:pPr>
    <w:rPr>
      <w:sz w:val="20"/>
    </w:rPr>
  </w:style>
  <w:style w:type="paragraph" w:customStyle="1" w:styleId="ShortT">
    <w:name w:val="ShortT"/>
    <w:basedOn w:val="OPCParaBase"/>
    <w:next w:val="Normal"/>
    <w:qFormat/>
    <w:rsid w:val="006F53B0"/>
    <w:pPr>
      <w:spacing w:line="240" w:lineRule="auto"/>
    </w:pPr>
    <w:rPr>
      <w:b/>
      <w:sz w:val="40"/>
    </w:rPr>
  </w:style>
  <w:style w:type="paragraph" w:customStyle="1" w:styleId="Penalty">
    <w:name w:val="Penalty"/>
    <w:basedOn w:val="OPCParaBase"/>
    <w:rsid w:val="006F53B0"/>
    <w:pPr>
      <w:tabs>
        <w:tab w:val="left" w:pos="2977"/>
      </w:tabs>
      <w:spacing w:before="180" w:line="240" w:lineRule="auto"/>
      <w:ind w:left="1985" w:hanging="851"/>
    </w:pPr>
  </w:style>
  <w:style w:type="paragraph" w:customStyle="1" w:styleId="ActHead1">
    <w:name w:val="ActHead 1"/>
    <w:aliases w:val="c"/>
    <w:basedOn w:val="OPCParaBase"/>
    <w:next w:val="Normal"/>
    <w:qFormat/>
    <w:rsid w:val="006F53B0"/>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6F53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F53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F53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F53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86BB1"/>
    <w:pPr>
      <w:keepLines/>
      <w:tabs>
        <w:tab w:val="right" w:leader="dot" w:pos="7088"/>
      </w:tabs>
      <w:spacing w:before="40" w:line="240" w:lineRule="auto"/>
      <w:ind w:left="1985" w:right="567" w:hanging="567"/>
    </w:pPr>
    <w:rPr>
      <w:kern w:val="28"/>
      <w:sz w:val="18"/>
    </w:rPr>
  </w:style>
  <w:style w:type="paragraph" w:styleId="TOC6">
    <w:name w:val="toc 6"/>
    <w:basedOn w:val="OPCParaBase"/>
    <w:next w:val="Normal"/>
    <w:uiPriority w:val="39"/>
    <w:unhideWhenUsed/>
    <w:rsid w:val="006F53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F53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F53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F53B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6F53B0"/>
    <w:pPr>
      <w:spacing w:line="240" w:lineRule="auto"/>
    </w:pPr>
    <w:rPr>
      <w:sz w:val="20"/>
    </w:rPr>
  </w:style>
  <w:style w:type="paragraph" w:customStyle="1" w:styleId="ActHead2">
    <w:name w:val="ActHead 2"/>
    <w:aliases w:val="p"/>
    <w:basedOn w:val="OPCParaBase"/>
    <w:next w:val="ActHead3"/>
    <w:qFormat/>
    <w:rsid w:val="006F53B0"/>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6F53B0"/>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ActHead3">
    <w:name w:val="ActHead 3"/>
    <w:aliases w:val="d"/>
    <w:basedOn w:val="OPCParaBase"/>
    <w:next w:val="ActHead4"/>
    <w:qFormat/>
    <w:rsid w:val="006F53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F53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F53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F53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F53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F53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F53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F53B0"/>
  </w:style>
  <w:style w:type="paragraph" w:customStyle="1" w:styleId="Blocks">
    <w:name w:val="Blocks"/>
    <w:aliases w:val="bb"/>
    <w:basedOn w:val="OPCParaBase"/>
    <w:qFormat/>
    <w:rsid w:val="006F53B0"/>
    <w:pPr>
      <w:spacing w:line="240" w:lineRule="auto"/>
    </w:pPr>
    <w:rPr>
      <w:sz w:val="24"/>
    </w:rPr>
  </w:style>
  <w:style w:type="paragraph" w:customStyle="1" w:styleId="BoxText">
    <w:name w:val="BoxText"/>
    <w:aliases w:val="bt"/>
    <w:basedOn w:val="OPCParaBase"/>
    <w:qFormat/>
    <w:rsid w:val="006F53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F53B0"/>
    <w:rPr>
      <w:b/>
    </w:rPr>
  </w:style>
  <w:style w:type="paragraph" w:customStyle="1" w:styleId="BoxHeadItalic">
    <w:name w:val="BoxHeadItalic"/>
    <w:aliases w:val="bhi"/>
    <w:basedOn w:val="BoxText"/>
    <w:next w:val="BoxStep"/>
    <w:qFormat/>
    <w:rsid w:val="006F53B0"/>
    <w:rPr>
      <w:i/>
    </w:rPr>
  </w:style>
  <w:style w:type="paragraph" w:customStyle="1" w:styleId="BoxList">
    <w:name w:val="BoxList"/>
    <w:aliases w:val="bl"/>
    <w:basedOn w:val="BoxText"/>
    <w:qFormat/>
    <w:rsid w:val="006F53B0"/>
    <w:pPr>
      <w:ind w:left="1559" w:hanging="425"/>
    </w:pPr>
  </w:style>
  <w:style w:type="paragraph" w:customStyle="1" w:styleId="BoxNote">
    <w:name w:val="BoxNote"/>
    <w:aliases w:val="bn"/>
    <w:basedOn w:val="BoxText"/>
    <w:qFormat/>
    <w:rsid w:val="006F53B0"/>
    <w:pPr>
      <w:tabs>
        <w:tab w:val="left" w:pos="1985"/>
      </w:tabs>
      <w:spacing w:before="122" w:line="198" w:lineRule="exact"/>
      <w:ind w:left="2948" w:hanging="1814"/>
    </w:pPr>
    <w:rPr>
      <w:sz w:val="18"/>
    </w:rPr>
  </w:style>
  <w:style w:type="paragraph" w:customStyle="1" w:styleId="BoxPara">
    <w:name w:val="BoxPara"/>
    <w:aliases w:val="bp"/>
    <w:basedOn w:val="BoxText"/>
    <w:qFormat/>
    <w:rsid w:val="006F53B0"/>
    <w:pPr>
      <w:tabs>
        <w:tab w:val="right" w:pos="2268"/>
      </w:tabs>
      <w:ind w:left="2552" w:hanging="1418"/>
    </w:pPr>
  </w:style>
  <w:style w:type="paragraph" w:customStyle="1" w:styleId="BoxStep">
    <w:name w:val="BoxStep"/>
    <w:aliases w:val="bs"/>
    <w:basedOn w:val="BoxText"/>
    <w:qFormat/>
    <w:rsid w:val="006F53B0"/>
    <w:pPr>
      <w:ind w:left="1985" w:hanging="851"/>
    </w:pPr>
  </w:style>
  <w:style w:type="character" w:customStyle="1" w:styleId="CharAmPartNo">
    <w:name w:val="CharAmPartNo"/>
    <w:basedOn w:val="OPCCharBase"/>
    <w:uiPriority w:val="1"/>
    <w:qFormat/>
    <w:rsid w:val="006F53B0"/>
  </w:style>
  <w:style w:type="character" w:customStyle="1" w:styleId="CharAmPartText">
    <w:name w:val="CharAmPartText"/>
    <w:basedOn w:val="OPCCharBase"/>
    <w:uiPriority w:val="1"/>
    <w:qFormat/>
    <w:rsid w:val="006F53B0"/>
  </w:style>
  <w:style w:type="character" w:customStyle="1" w:styleId="CharBoldItalic">
    <w:name w:val="CharBoldItalic"/>
    <w:basedOn w:val="OPCCharBase"/>
    <w:uiPriority w:val="1"/>
    <w:qFormat/>
    <w:rsid w:val="006F53B0"/>
    <w:rPr>
      <w:b/>
      <w:i/>
    </w:rPr>
  </w:style>
  <w:style w:type="character" w:customStyle="1" w:styleId="CharItalic">
    <w:name w:val="CharItalic"/>
    <w:basedOn w:val="OPCCharBase"/>
    <w:uiPriority w:val="1"/>
    <w:qFormat/>
    <w:rsid w:val="006F53B0"/>
    <w:rPr>
      <w:i/>
    </w:rPr>
  </w:style>
  <w:style w:type="character" w:customStyle="1" w:styleId="CharSubdNo">
    <w:name w:val="CharSubdNo"/>
    <w:basedOn w:val="OPCCharBase"/>
    <w:uiPriority w:val="1"/>
    <w:qFormat/>
    <w:rsid w:val="006F53B0"/>
  </w:style>
  <w:style w:type="character" w:customStyle="1" w:styleId="CharSubdText">
    <w:name w:val="CharSubdText"/>
    <w:basedOn w:val="OPCCharBase"/>
    <w:uiPriority w:val="1"/>
    <w:qFormat/>
    <w:rsid w:val="006F53B0"/>
  </w:style>
  <w:style w:type="paragraph" w:customStyle="1" w:styleId="CTA--">
    <w:name w:val="CTA --"/>
    <w:basedOn w:val="OPCParaBase"/>
    <w:next w:val="Normal"/>
    <w:rsid w:val="006F53B0"/>
    <w:pPr>
      <w:spacing w:before="60" w:line="240" w:lineRule="atLeast"/>
      <w:ind w:left="142" w:hanging="142"/>
    </w:pPr>
    <w:rPr>
      <w:sz w:val="20"/>
    </w:rPr>
  </w:style>
  <w:style w:type="paragraph" w:customStyle="1" w:styleId="CTA-">
    <w:name w:val="CTA -"/>
    <w:basedOn w:val="OPCParaBase"/>
    <w:rsid w:val="006F53B0"/>
    <w:pPr>
      <w:spacing w:before="60" w:line="240" w:lineRule="atLeast"/>
      <w:ind w:left="85" w:hanging="85"/>
    </w:pPr>
    <w:rPr>
      <w:sz w:val="20"/>
    </w:rPr>
  </w:style>
  <w:style w:type="paragraph" w:customStyle="1" w:styleId="CTA---">
    <w:name w:val="CTA ---"/>
    <w:basedOn w:val="OPCParaBase"/>
    <w:next w:val="Normal"/>
    <w:rsid w:val="006F53B0"/>
    <w:pPr>
      <w:spacing w:before="60" w:line="240" w:lineRule="atLeast"/>
      <w:ind w:left="198" w:hanging="198"/>
    </w:pPr>
    <w:rPr>
      <w:sz w:val="20"/>
    </w:rPr>
  </w:style>
  <w:style w:type="paragraph" w:customStyle="1" w:styleId="CTA----">
    <w:name w:val="CTA ----"/>
    <w:basedOn w:val="OPCParaBase"/>
    <w:next w:val="Normal"/>
    <w:rsid w:val="006F53B0"/>
    <w:pPr>
      <w:spacing w:before="60" w:line="240" w:lineRule="atLeast"/>
      <w:ind w:left="255" w:hanging="255"/>
    </w:pPr>
    <w:rPr>
      <w:sz w:val="20"/>
    </w:rPr>
  </w:style>
  <w:style w:type="paragraph" w:customStyle="1" w:styleId="CTA1a">
    <w:name w:val="CTA 1(a)"/>
    <w:basedOn w:val="OPCParaBase"/>
    <w:rsid w:val="006F53B0"/>
    <w:pPr>
      <w:tabs>
        <w:tab w:val="right" w:pos="414"/>
      </w:tabs>
      <w:spacing w:before="40" w:line="240" w:lineRule="atLeast"/>
      <w:ind w:left="675" w:hanging="675"/>
    </w:pPr>
    <w:rPr>
      <w:sz w:val="20"/>
    </w:rPr>
  </w:style>
  <w:style w:type="paragraph" w:customStyle="1" w:styleId="CTA1ai">
    <w:name w:val="CTA 1(a)(i)"/>
    <w:basedOn w:val="OPCParaBase"/>
    <w:rsid w:val="006F53B0"/>
    <w:pPr>
      <w:tabs>
        <w:tab w:val="right" w:pos="1004"/>
      </w:tabs>
      <w:spacing w:before="40" w:line="240" w:lineRule="atLeast"/>
      <w:ind w:left="1253" w:hanging="1253"/>
    </w:pPr>
    <w:rPr>
      <w:sz w:val="20"/>
    </w:rPr>
  </w:style>
  <w:style w:type="paragraph" w:customStyle="1" w:styleId="CTA2a">
    <w:name w:val="CTA 2(a)"/>
    <w:basedOn w:val="OPCParaBase"/>
    <w:rsid w:val="006F53B0"/>
    <w:pPr>
      <w:tabs>
        <w:tab w:val="right" w:pos="482"/>
      </w:tabs>
      <w:spacing w:before="40" w:line="240" w:lineRule="atLeast"/>
      <w:ind w:left="748" w:hanging="748"/>
    </w:pPr>
    <w:rPr>
      <w:sz w:val="20"/>
    </w:rPr>
  </w:style>
  <w:style w:type="paragraph" w:customStyle="1" w:styleId="CTA2ai">
    <w:name w:val="CTA 2(a)(i)"/>
    <w:basedOn w:val="OPCParaBase"/>
    <w:rsid w:val="006F53B0"/>
    <w:pPr>
      <w:tabs>
        <w:tab w:val="right" w:pos="1089"/>
      </w:tabs>
      <w:spacing w:before="40" w:line="240" w:lineRule="atLeast"/>
      <w:ind w:left="1327" w:hanging="1327"/>
    </w:pPr>
    <w:rPr>
      <w:sz w:val="20"/>
    </w:rPr>
  </w:style>
  <w:style w:type="paragraph" w:customStyle="1" w:styleId="CTA3a">
    <w:name w:val="CTA 3(a)"/>
    <w:basedOn w:val="OPCParaBase"/>
    <w:rsid w:val="006F53B0"/>
    <w:pPr>
      <w:tabs>
        <w:tab w:val="right" w:pos="556"/>
      </w:tabs>
      <w:spacing w:before="40" w:line="240" w:lineRule="atLeast"/>
      <w:ind w:left="805" w:hanging="805"/>
    </w:pPr>
    <w:rPr>
      <w:sz w:val="20"/>
    </w:rPr>
  </w:style>
  <w:style w:type="paragraph" w:customStyle="1" w:styleId="CTA3ai">
    <w:name w:val="CTA 3(a)(i)"/>
    <w:basedOn w:val="OPCParaBase"/>
    <w:rsid w:val="006F53B0"/>
    <w:pPr>
      <w:tabs>
        <w:tab w:val="right" w:pos="1140"/>
      </w:tabs>
      <w:spacing w:before="40" w:line="240" w:lineRule="atLeast"/>
      <w:ind w:left="1361" w:hanging="1361"/>
    </w:pPr>
    <w:rPr>
      <w:sz w:val="20"/>
    </w:rPr>
  </w:style>
  <w:style w:type="paragraph" w:customStyle="1" w:styleId="CTA4a">
    <w:name w:val="CTA 4(a)"/>
    <w:basedOn w:val="OPCParaBase"/>
    <w:rsid w:val="006F53B0"/>
    <w:pPr>
      <w:tabs>
        <w:tab w:val="right" w:pos="624"/>
      </w:tabs>
      <w:spacing w:before="40" w:line="240" w:lineRule="atLeast"/>
      <w:ind w:left="873" w:hanging="873"/>
    </w:pPr>
    <w:rPr>
      <w:sz w:val="20"/>
    </w:rPr>
  </w:style>
  <w:style w:type="paragraph" w:customStyle="1" w:styleId="CTA4ai">
    <w:name w:val="CTA 4(a)(i)"/>
    <w:basedOn w:val="OPCParaBase"/>
    <w:rsid w:val="006F53B0"/>
    <w:pPr>
      <w:tabs>
        <w:tab w:val="right" w:pos="1213"/>
      </w:tabs>
      <w:spacing w:before="40" w:line="240" w:lineRule="atLeast"/>
      <w:ind w:left="1452" w:hanging="1452"/>
    </w:pPr>
    <w:rPr>
      <w:sz w:val="20"/>
    </w:rPr>
  </w:style>
  <w:style w:type="paragraph" w:customStyle="1" w:styleId="CTACAPS">
    <w:name w:val="CTA CAPS"/>
    <w:basedOn w:val="OPCParaBase"/>
    <w:rsid w:val="006F53B0"/>
    <w:pPr>
      <w:spacing w:before="60" w:line="240" w:lineRule="atLeast"/>
    </w:pPr>
    <w:rPr>
      <w:sz w:val="20"/>
    </w:rPr>
  </w:style>
  <w:style w:type="paragraph" w:customStyle="1" w:styleId="CTAright">
    <w:name w:val="CTA right"/>
    <w:basedOn w:val="OPCParaBase"/>
    <w:rsid w:val="006F53B0"/>
    <w:pPr>
      <w:spacing w:before="60" w:line="240" w:lineRule="auto"/>
      <w:jc w:val="right"/>
    </w:pPr>
    <w:rPr>
      <w:sz w:val="20"/>
    </w:rPr>
  </w:style>
  <w:style w:type="paragraph" w:customStyle="1" w:styleId="subsection">
    <w:name w:val="subsection"/>
    <w:aliases w:val="ss"/>
    <w:basedOn w:val="OPCParaBase"/>
    <w:link w:val="subsectionChar"/>
    <w:rsid w:val="006F53B0"/>
    <w:pPr>
      <w:tabs>
        <w:tab w:val="right" w:pos="1021"/>
      </w:tabs>
      <w:spacing w:before="180" w:line="240" w:lineRule="auto"/>
      <w:ind w:left="1134" w:hanging="1134"/>
    </w:pPr>
  </w:style>
  <w:style w:type="paragraph" w:customStyle="1" w:styleId="Definition">
    <w:name w:val="Definition"/>
    <w:aliases w:val="dd"/>
    <w:basedOn w:val="OPCParaBase"/>
    <w:rsid w:val="006F53B0"/>
    <w:pPr>
      <w:spacing w:before="180" w:line="240" w:lineRule="auto"/>
      <w:ind w:left="1134"/>
    </w:pPr>
  </w:style>
  <w:style w:type="character" w:customStyle="1" w:styleId="HeaderChar">
    <w:name w:val="Header Char"/>
    <w:basedOn w:val="DefaultParagraphFont"/>
    <w:link w:val="Header"/>
    <w:rsid w:val="006F53B0"/>
    <w:rPr>
      <w:sz w:val="16"/>
    </w:rPr>
  </w:style>
  <w:style w:type="paragraph" w:customStyle="1" w:styleId="House">
    <w:name w:val="House"/>
    <w:basedOn w:val="OPCParaBase"/>
    <w:rsid w:val="006F53B0"/>
    <w:pPr>
      <w:spacing w:line="240" w:lineRule="auto"/>
    </w:pPr>
    <w:rPr>
      <w:sz w:val="28"/>
    </w:rPr>
  </w:style>
  <w:style w:type="paragraph" w:customStyle="1" w:styleId="Item">
    <w:name w:val="Item"/>
    <w:aliases w:val="i"/>
    <w:basedOn w:val="OPCParaBase"/>
    <w:next w:val="ItemHead"/>
    <w:rsid w:val="006F53B0"/>
    <w:pPr>
      <w:keepLines/>
      <w:spacing w:before="80" w:line="240" w:lineRule="auto"/>
      <w:ind w:left="709"/>
    </w:pPr>
  </w:style>
  <w:style w:type="paragraph" w:customStyle="1" w:styleId="ItemHead">
    <w:name w:val="ItemHead"/>
    <w:aliases w:val="ih"/>
    <w:basedOn w:val="OPCParaBase"/>
    <w:next w:val="Item"/>
    <w:rsid w:val="006F53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F53B0"/>
    <w:pPr>
      <w:spacing w:line="240" w:lineRule="auto"/>
    </w:pPr>
    <w:rPr>
      <w:b/>
      <w:sz w:val="32"/>
    </w:rPr>
  </w:style>
  <w:style w:type="paragraph" w:customStyle="1" w:styleId="notedraft">
    <w:name w:val="note(draft)"/>
    <w:aliases w:val="nd"/>
    <w:basedOn w:val="OPCParaBase"/>
    <w:rsid w:val="006F53B0"/>
    <w:pPr>
      <w:spacing w:before="240" w:line="240" w:lineRule="auto"/>
      <w:ind w:left="284" w:hanging="284"/>
    </w:pPr>
    <w:rPr>
      <w:i/>
      <w:sz w:val="24"/>
    </w:rPr>
  </w:style>
  <w:style w:type="paragraph" w:customStyle="1" w:styleId="notemargin">
    <w:name w:val="note(margin)"/>
    <w:aliases w:val="nm"/>
    <w:basedOn w:val="OPCParaBase"/>
    <w:rsid w:val="006F53B0"/>
    <w:pPr>
      <w:tabs>
        <w:tab w:val="left" w:pos="709"/>
      </w:tabs>
      <w:spacing w:before="122" w:line="198" w:lineRule="exact"/>
      <w:ind w:left="709" w:hanging="709"/>
    </w:pPr>
    <w:rPr>
      <w:sz w:val="18"/>
    </w:rPr>
  </w:style>
  <w:style w:type="paragraph" w:customStyle="1" w:styleId="notepara">
    <w:name w:val="note(para)"/>
    <w:aliases w:val="na"/>
    <w:basedOn w:val="OPCParaBase"/>
    <w:rsid w:val="006F53B0"/>
    <w:pPr>
      <w:spacing w:before="40" w:line="198" w:lineRule="exact"/>
      <w:ind w:left="2354" w:hanging="369"/>
    </w:pPr>
    <w:rPr>
      <w:sz w:val="18"/>
    </w:rPr>
  </w:style>
  <w:style w:type="paragraph" w:customStyle="1" w:styleId="noteParlAmend">
    <w:name w:val="note(ParlAmend)"/>
    <w:aliases w:val="npp"/>
    <w:basedOn w:val="OPCParaBase"/>
    <w:next w:val="ParlAmend"/>
    <w:rsid w:val="006F53B0"/>
    <w:pPr>
      <w:spacing w:line="240" w:lineRule="auto"/>
      <w:jc w:val="right"/>
    </w:pPr>
    <w:rPr>
      <w:rFonts w:ascii="Arial" w:hAnsi="Arial"/>
      <w:b/>
      <w:i/>
    </w:rPr>
  </w:style>
  <w:style w:type="paragraph" w:customStyle="1" w:styleId="notetext">
    <w:name w:val="note(text)"/>
    <w:aliases w:val="n"/>
    <w:basedOn w:val="OPCParaBase"/>
    <w:link w:val="notetextChar"/>
    <w:rsid w:val="006F53B0"/>
    <w:pPr>
      <w:spacing w:before="122" w:line="198" w:lineRule="exact"/>
      <w:ind w:left="1985" w:hanging="851"/>
    </w:pPr>
    <w:rPr>
      <w:sz w:val="18"/>
    </w:rPr>
  </w:style>
  <w:style w:type="paragraph" w:customStyle="1" w:styleId="Page1">
    <w:name w:val="Page1"/>
    <w:basedOn w:val="OPCParaBase"/>
    <w:rsid w:val="006F53B0"/>
    <w:pPr>
      <w:spacing w:before="5600" w:line="240" w:lineRule="auto"/>
    </w:pPr>
    <w:rPr>
      <w:b/>
      <w:sz w:val="32"/>
    </w:rPr>
  </w:style>
  <w:style w:type="paragraph" w:customStyle="1" w:styleId="paragraphsub">
    <w:name w:val="paragraph(sub)"/>
    <w:aliases w:val="aa,paragraph(sub"/>
    <w:basedOn w:val="OPCParaBase"/>
    <w:rsid w:val="006F53B0"/>
    <w:pPr>
      <w:tabs>
        <w:tab w:val="right" w:pos="1985"/>
      </w:tabs>
      <w:spacing w:before="40" w:line="240" w:lineRule="auto"/>
      <w:ind w:left="2098" w:hanging="2098"/>
    </w:pPr>
  </w:style>
  <w:style w:type="paragraph" w:customStyle="1" w:styleId="paragraphsub-sub">
    <w:name w:val="paragraph(sub-sub)"/>
    <w:aliases w:val="aaa"/>
    <w:basedOn w:val="OPCParaBase"/>
    <w:rsid w:val="006F53B0"/>
    <w:pPr>
      <w:tabs>
        <w:tab w:val="right" w:pos="2722"/>
      </w:tabs>
      <w:spacing w:before="40" w:line="240" w:lineRule="auto"/>
      <w:ind w:left="2835" w:hanging="2835"/>
    </w:pPr>
  </w:style>
  <w:style w:type="paragraph" w:customStyle="1" w:styleId="paragraph">
    <w:name w:val="paragraph"/>
    <w:aliases w:val="a"/>
    <w:basedOn w:val="OPCParaBase"/>
    <w:rsid w:val="006F53B0"/>
    <w:pPr>
      <w:tabs>
        <w:tab w:val="right" w:pos="1531"/>
      </w:tabs>
      <w:spacing w:before="40" w:line="240" w:lineRule="auto"/>
      <w:ind w:left="1644" w:hanging="1644"/>
    </w:pPr>
  </w:style>
  <w:style w:type="paragraph" w:customStyle="1" w:styleId="ParlAmend">
    <w:name w:val="ParlAmend"/>
    <w:aliases w:val="pp"/>
    <w:basedOn w:val="OPCParaBase"/>
    <w:rsid w:val="006F53B0"/>
    <w:pPr>
      <w:spacing w:before="240" w:line="240" w:lineRule="atLeast"/>
      <w:ind w:hanging="567"/>
    </w:pPr>
    <w:rPr>
      <w:sz w:val="24"/>
    </w:rPr>
  </w:style>
  <w:style w:type="paragraph" w:customStyle="1" w:styleId="Portfolio">
    <w:name w:val="Portfolio"/>
    <w:basedOn w:val="OPCParaBase"/>
    <w:rsid w:val="006F53B0"/>
    <w:pPr>
      <w:spacing w:line="240" w:lineRule="auto"/>
    </w:pPr>
    <w:rPr>
      <w:i/>
      <w:sz w:val="20"/>
    </w:rPr>
  </w:style>
  <w:style w:type="paragraph" w:customStyle="1" w:styleId="Preamble">
    <w:name w:val="Preamble"/>
    <w:basedOn w:val="OPCParaBase"/>
    <w:next w:val="Normal"/>
    <w:rsid w:val="006F53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F53B0"/>
    <w:pPr>
      <w:spacing w:line="240" w:lineRule="auto"/>
    </w:pPr>
    <w:rPr>
      <w:i/>
      <w:sz w:val="20"/>
    </w:rPr>
  </w:style>
  <w:style w:type="paragraph" w:customStyle="1" w:styleId="Session">
    <w:name w:val="Session"/>
    <w:basedOn w:val="OPCParaBase"/>
    <w:rsid w:val="006F53B0"/>
    <w:pPr>
      <w:spacing w:line="240" w:lineRule="auto"/>
    </w:pPr>
    <w:rPr>
      <w:sz w:val="28"/>
    </w:rPr>
  </w:style>
  <w:style w:type="paragraph" w:customStyle="1" w:styleId="Sponsor">
    <w:name w:val="Sponsor"/>
    <w:basedOn w:val="OPCParaBase"/>
    <w:rsid w:val="006F53B0"/>
    <w:pPr>
      <w:spacing w:line="240" w:lineRule="auto"/>
    </w:pPr>
    <w:rPr>
      <w:i/>
    </w:rPr>
  </w:style>
  <w:style w:type="paragraph" w:customStyle="1" w:styleId="Subitem">
    <w:name w:val="Subitem"/>
    <w:aliases w:val="iss"/>
    <w:basedOn w:val="OPCParaBase"/>
    <w:rsid w:val="006F53B0"/>
    <w:pPr>
      <w:spacing w:before="180" w:line="240" w:lineRule="auto"/>
      <w:ind w:left="709" w:hanging="709"/>
    </w:pPr>
  </w:style>
  <w:style w:type="paragraph" w:customStyle="1" w:styleId="SubitemHead">
    <w:name w:val="SubitemHead"/>
    <w:aliases w:val="issh"/>
    <w:basedOn w:val="OPCParaBase"/>
    <w:rsid w:val="006F53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F53B0"/>
    <w:pPr>
      <w:spacing w:before="40" w:line="240" w:lineRule="auto"/>
      <w:ind w:left="1134"/>
    </w:pPr>
  </w:style>
  <w:style w:type="paragraph" w:customStyle="1" w:styleId="SubsectionHead">
    <w:name w:val="SubsectionHead"/>
    <w:aliases w:val="ssh"/>
    <w:basedOn w:val="OPCParaBase"/>
    <w:next w:val="subsection"/>
    <w:rsid w:val="006F53B0"/>
    <w:pPr>
      <w:keepNext/>
      <w:keepLines/>
      <w:spacing w:before="240" w:line="240" w:lineRule="auto"/>
      <w:ind w:left="1134"/>
    </w:pPr>
    <w:rPr>
      <w:i/>
    </w:rPr>
  </w:style>
  <w:style w:type="paragraph" w:customStyle="1" w:styleId="Tablea">
    <w:name w:val="Table(a)"/>
    <w:aliases w:val="ta"/>
    <w:basedOn w:val="OPCParaBase"/>
    <w:rsid w:val="006F53B0"/>
    <w:pPr>
      <w:spacing w:before="60" w:line="240" w:lineRule="auto"/>
      <w:ind w:left="284" w:hanging="284"/>
    </w:pPr>
    <w:rPr>
      <w:sz w:val="20"/>
    </w:rPr>
  </w:style>
  <w:style w:type="paragraph" w:customStyle="1" w:styleId="TableAA">
    <w:name w:val="Table(AA)"/>
    <w:aliases w:val="taaa"/>
    <w:basedOn w:val="OPCParaBase"/>
    <w:rsid w:val="006F53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F53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F53B0"/>
    <w:pPr>
      <w:spacing w:before="60" w:line="240" w:lineRule="atLeast"/>
    </w:pPr>
    <w:rPr>
      <w:sz w:val="20"/>
    </w:rPr>
  </w:style>
  <w:style w:type="paragraph" w:customStyle="1" w:styleId="TLPBoxTextnote">
    <w:name w:val="TLPBoxText(note"/>
    <w:aliases w:val="right)"/>
    <w:basedOn w:val="OPCParaBase"/>
    <w:rsid w:val="006F53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F53B0"/>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F53B0"/>
    <w:pPr>
      <w:spacing w:before="122" w:line="198" w:lineRule="exact"/>
      <w:ind w:left="1985" w:hanging="851"/>
      <w:jc w:val="right"/>
    </w:pPr>
    <w:rPr>
      <w:sz w:val="18"/>
    </w:rPr>
  </w:style>
  <w:style w:type="paragraph" w:customStyle="1" w:styleId="TLPTableBullet">
    <w:name w:val="TLPTableBullet"/>
    <w:aliases w:val="ttb"/>
    <w:basedOn w:val="OPCParaBase"/>
    <w:rsid w:val="006F53B0"/>
    <w:pPr>
      <w:spacing w:line="240" w:lineRule="exact"/>
      <w:ind w:left="284" w:hanging="284"/>
    </w:pPr>
    <w:rPr>
      <w:sz w:val="20"/>
    </w:rPr>
  </w:style>
  <w:style w:type="paragraph" w:customStyle="1" w:styleId="TofSectsGroupHeading">
    <w:name w:val="TofSects(GroupHeading)"/>
    <w:basedOn w:val="OPCParaBase"/>
    <w:next w:val="TofSectsSection"/>
    <w:rsid w:val="006F53B0"/>
    <w:pPr>
      <w:keepLines/>
      <w:spacing w:before="240" w:after="120" w:line="240" w:lineRule="auto"/>
      <w:ind w:left="794"/>
    </w:pPr>
    <w:rPr>
      <w:b/>
      <w:kern w:val="28"/>
      <w:sz w:val="20"/>
    </w:rPr>
  </w:style>
  <w:style w:type="paragraph" w:customStyle="1" w:styleId="TofSectsHeading">
    <w:name w:val="TofSects(Heading)"/>
    <w:basedOn w:val="OPCParaBase"/>
    <w:rsid w:val="006F53B0"/>
    <w:pPr>
      <w:spacing w:before="240" w:after="120" w:line="240" w:lineRule="auto"/>
    </w:pPr>
    <w:rPr>
      <w:b/>
      <w:sz w:val="24"/>
    </w:rPr>
  </w:style>
  <w:style w:type="paragraph" w:customStyle="1" w:styleId="TofSectsSection">
    <w:name w:val="TofSects(Section)"/>
    <w:basedOn w:val="OPCParaBase"/>
    <w:rsid w:val="006F53B0"/>
    <w:pPr>
      <w:keepLines/>
      <w:spacing w:before="40" w:line="240" w:lineRule="auto"/>
      <w:ind w:left="1588" w:hanging="794"/>
    </w:pPr>
    <w:rPr>
      <w:kern w:val="28"/>
      <w:sz w:val="18"/>
    </w:rPr>
  </w:style>
  <w:style w:type="paragraph" w:customStyle="1" w:styleId="TofSectsSubdiv">
    <w:name w:val="TofSects(Subdiv)"/>
    <w:basedOn w:val="OPCParaBase"/>
    <w:rsid w:val="006F53B0"/>
    <w:pPr>
      <w:keepLines/>
      <w:spacing w:before="80" w:line="240" w:lineRule="auto"/>
      <w:ind w:left="1588" w:hanging="794"/>
    </w:pPr>
    <w:rPr>
      <w:kern w:val="28"/>
    </w:rPr>
  </w:style>
  <w:style w:type="paragraph" w:customStyle="1" w:styleId="WRStyle">
    <w:name w:val="WR Style"/>
    <w:aliases w:val="WR"/>
    <w:basedOn w:val="OPCParaBase"/>
    <w:rsid w:val="006F53B0"/>
    <w:pPr>
      <w:spacing w:before="240" w:line="240" w:lineRule="auto"/>
      <w:ind w:left="284" w:hanging="284"/>
    </w:pPr>
    <w:rPr>
      <w:b/>
      <w:i/>
      <w:kern w:val="28"/>
      <w:sz w:val="24"/>
    </w:rPr>
  </w:style>
  <w:style w:type="numbering" w:customStyle="1" w:styleId="OPCBodyList">
    <w:name w:val="OPCBodyList"/>
    <w:uiPriority w:val="99"/>
    <w:rsid w:val="00521C09"/>
    <w:pPr>
      <w:numPr>
        <w:numId w:val="18"/>
      </w:numPr>
    </w:pPr>
  </w:style>
  <w:style w:type="paragraph" w:customStyle="1" w:styleId="noteToPara">
    <w:name w:val="noteToPara"/>
    <w:aliases w:val="ntp"/>
    <w:basedOn w:val="OPCParaBase"/>
    <w:rsid w:val="006F53B0"/>
    <w:pPr>
      <w:spacing w:before="122" w:line="198" w:lineRule="exact"/>
      <w:ind w:left="2353" w:hanging="709"/>
    </w:pPr>
    <w:rPr>
      <w:sz w:val="18"/>
    </w:rPr>
  </w:style>
  <w:style w:type="character" w:customStyle="1" w:styleId="FooterChar">
    <w:name w:val="Footer Char"/>
    <w:basedOn w:val="DefaultParagraphFont"/>
    <w:link w:val="Footer"/>
    <w:rsid w:val="006F53B0"/>
    <w:rPr>
      <w:sz w:val="22"/>
      <w:szCs w:val="24"/>
    </w:rPr>
  </w:style>
  <w:style w:type="character" w:customStyle="1" w:styleId="BalloonTextChar">
    <w:name w:val="Balloon Text Char"/>
    <w:basedOn w:val="DefaultParagraphFont"/>
    <w:link w:val="BalloonText"/>
    <w:uiPriority w:val="99"/>
    <w:rsid w:val="006F53B0"/>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6F53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F53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F53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F53B0"/>
    <w:pPr>
      <w:tabs>
        <w:tab w:val="right" w:pos="1412"/>
      </w:tabs>
      <w:spacing w:before="60" w:line="240" w:lineRule="auto"/>
      <w:ind w:left="1525" w:hanging="1525"/>
    </w:pPr>
    <w:rPr>
      <w:sz w:val="20"/>
    </w:rPr>
  </w:style>
  <w:style w:type="table" w:customStyle="1" w:styleId="CFlag">
    <w:name w:val="CFlag"/>
    <w:basedOn w:val="TableNormal"/>
    <w:uiPriority w:val="99"/>
    <w:rsid w:val="006F53B0"/>
    <w:tblPr/>
  </w:style>
  <w:style w:type="paragraph" w:customStyle="1" w:styleId="InstNo">
    <w:name w:val="InstNo"/>
    <w:basedOn w:val="OPCParaBase"/>
    <w:next w:val="Normal"/>
    <w:rsid w:val="006F53B0"/>
    <w:rPr>
      <w:b/>
      <w:sz w:val="28"/>
      <w:szCs w:val="32"/>
    </w:rPr>
  </w:style>
  <w:style w:type="paragraph" w:customStyle="1" w:styleId="TerritoryT">
    <w:name w:val="TerritoryT"/>
    <w:basedOn w:val="OPCParaBase"/>
    <w:next w:val="Normal"/>
    <w:rsid w:val="006F53B0"/>
    <w:rPr>
      <w:b/>
      <w:sz w:val="32"/>
    </w:rPr>
  </w:style>
  <w:style w:type="paragraph" w:customStyle="1" w:styleId="LegislationMadeUnder">
    <w:name w:val="LegislationMadeUnder"/>
    <w:basedOn w:val="OPCParaBase"/>
    <w:next w:val="Normal"/>
    <w:rsid w:val="006F53B0"/>
    <w:rPr>
      <w:i/>
      <w:sz w:val="32"/>
      <w:szCs w:val="32"/>
    </w:rPr>
  </w:style>
  <w:style w:type="paragraph" w:customStyle="1" w:styleId="SignCoverPageEnd">
    <w:name w:val="SignCoverPageEnd"/>
    <w:basedOn w:val="OPCParaBase"/>
    <w:next w:val="Normal"/>
    <w:rsid w:val="006F53B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F53B0"/>
    <w:pPr>
      <w:pBdr>
        <w:top w:val="single" w:sz="4" w:space="1" w:color="auto"/>
      </w:pBdr>
      <w:spacing w:before="360"/>
      <w:ind w:right="397"/>
      <w:jc w:val="both"/>
    </w:pPr>
  </w:style>
  <w:style w:type="paragraph" w:customStyle="1" w:styleId="NotesHeading2">
    <w:name w:val="NotesHeading 2"/>
    <w:basedOn w:val="OPCParaBase"/>
    <w:next w:val="Normal"/>
    <w:rsid w:val="006F53B0"/>
    <w:rPr>
      <w:b/>
      <w:sz w:val="28"/>
      <w:szCs w:val="28"/>
    </w:rPr>
  </w:style>
  <w:style w:type="paragraph" w:customStyle="1" w:styleId="NotesHeading1">
    <w:name w:val="NotesHeading 1"/>
    <w:basedOn w:val="OPCParaBase"/>
    <w:next w:val="Normal"/>
    <w:rsid w:val="006F53B0"/>
    <w:rPr>
      <w:b/>
      <w:sz w:val="28"/>
      <w:szCs w:val="28"/>
    </w:rPr>
  </w:style>
  <w:style w:type="paragraph" w:customStyle="1" w:styleId="CompiledActNo">
    <w:name w:val="CompiledActNo"/>
    <w:basedOn w:val="OPCParaBase"/>
    <w:next w:val="Normal"/>
    <w:rsid w:val="006F53B0"/>
    <w:rPr>
      <w:b/>
      <w:sz w:val="24"/>
      <w:szCs w:val="24"/>
    </w:rPr>
  </w:style>
  <w:style w:type="paragraph" w:customStyle="1" w:styleId="ENotesHeading1">
    <w:name w:val="ENotesHeading 1"/>
    <w:aliases w:val="Enh1"/>
    <w:basedOn w:val="OPCParaBase"/>
    <w:next w:val="Normal"/>
    <w:rsid w:val="006F53B0"/>
    <w:pPr>
      <w:spacing w:before="120"/>
      <w:outlineLvl w:val="1"/>
    </w:pPr>
    <w:rPr>
      <w:b/>
      <w:sz w:val="28"/>
      <w:szCs w:val="28"/>
    </w:rPr>
  </w:style>
  <w:style w:type="paragraph" w:customStyle="1" w:styleId="ENotesHeading2">
    <w:name w:val="ENotesHeading 2"/>
    <w:aliases w:val="Enh2"/>
    <w:basedOn w:val="OPCParaBase"/>
    <w:next w:val="Normal"/>
    <w:rsid w:val="006F53B0"/>
    <w:pPr>
      <w:spacing w:before="120" w:after="120"/>
      <w:outlineLvl w:val="2"/>
    </w:pPr>
    <w:rPr>
      <w:b/>
      <w:sz w:val="24"/>
      <w:szCs w:val="28"/>
    </w:rPr>
  </w:style>
  <w:style w:type="paragraph" w:customStyle="1" w:styleId="ENotesHeading3">
    <w:name w:val="ENotesHeading 3"/>
    <w:aliases w:val="Enh3"/>
    <w:basedOn w:val="OPCParaBase"/>
    <w:next w:val="Normal"/>
    <w:rsid w:val="006F53B0"/>
    <w:pPr>
      <w:keepNext/>
      <w:spacing w:before="120" w:line="240" w:lineRule="auto"/>
      <w:outlineLvl w:val="4"/>
    </w:pPr>
    <w:rPr>
      <w:b/>
      <w:szCs w:val="24"/>
    </w:rPr>
  </w:style>
  <w:style w:type="paragraph" w:customStyle="1" w:styleId="ENotesText">
    <w:name w:val="ENotesText"/>
    <w:aliases w:val="Ent"/>
    <w:basedOn w:val="OPCParaBase"/>
    <w:next w:val="Normal"/>
    <w:rsid w:val="006F53B0"/>
    <w:pPr>
      <w:spacing w:before="120"/>
    </w:pPr>
  </w:style>
  <w:style w:type="paragraph" w:customStyle="1" w:styleId="CompiledMadeUnder">
    <w:name w:val="CompiledMadeUnder"/>
    <w:basedOn w:val="OPCParaBase"/>
    <w:next w:val="Normal"/>
    <w:rsid w:val="006F53B0"/>
    <w:rPr>
      <w:i/>
      <w:sz w:val="24"/>
      <w:szCs w:val="24"/>
    </w:rPr>
  </w:style>
  <w:style w:type="paragraph" w:customStyle="1" w:styleId="Paragraphsub-sub-sub">
    <w:name w:val="Paragraph(sub-sub-sub)"/>
    <w:aliases w:val="aaaa"/>
    <w:basedOn w:val="OPCParaBase"/>
    <w:rsid w:val="006F53B0"/>
    <w:pPr>
      <w:tabs>
        <w:tab w:val="right" w:pos="3402"/>
      </w:tabs>
      <w:spacing w:before="40" w:line="240" w:lineRule="auto"/>
      <w:ind w:left="3402" w:hanging="3402"/>
    </w:pPr>
  </w:style>
  <w:style w:type="paragraph" w:customStyle="1" w:styleId="TableTextEndNotes">
    <w:name w:val="TableTextEndNotes"/>
    <w:aliases w:val="Tten"/>
    <w:basedOn w:val="Normal"/>
    <w:rsid w:val="006F53B0"/>
    <w:pPr>
      <w:spacing w:before="60" w:line="240" w:lineRule="auto"/>
    </w:pPr>
    <w:rPr>
      <w:rFonts w:cs="Arial"/>
      <w:sz w:val="20"/>
      <w:szCs w:val="22"/>
    </w:rPr>
  </w:style>
  <w:style w:type="paragraph" w:customStyle="1" w:styleId="SubPartCASA">
    <w:name w:val="SubPart(CASA)"/>
    <w:aliases w:val="csp"/>
    <w:basedOn w:val="OPCParaBase"/>
    <w:next w:val="ActHead3"/>
    <w:rsid w:val="006F53B0"/>
    <w:pPr>
      <w:keepNext/>
      <w:keepLines/>
      <w:spacing w:before="280"/>
      <w:outlineLvl w:val="1"/>
    </w:pPr>
    <w:rPr>
      <w:b/>
      <w:kern w:val="28"/>
      <w:sz w:val="32"/>
    </w:rPr>
  </w:style>
  <w:style w:type="paragraph" w:customStyle="1" w:styleId="TableHeading">
    <w:name w:val="TableHeading"/>
    <w:aliases w:val="th"/>
    <w:basedOn w:val="OPCParaBase"/>
    <w:next w:val="Tabletext"/>
    <w:rsid w:val="006F53B0"/>
    <w:pPr>
      <w:keepNext/>
      <w:spacing w:before="60" w:line="240" w:lineRule="atLeast"/>
    </w:pPr>
    <w:rPr>
      <w:b/>
      <w:sz w:val="20"/>
    </w:rPr>
  </w:style>
  <w:style w:type="paragraph" w:customStyle="1" w:styleId="NoteToSubpara">
    <w:name w:val="NoteToSubpara"/>
    <w:aliases w:val="nts"/>
    <w:basedOn w:val="OPCParaBase"/>
    <w:rsid w:val="006F53B0"/>
    <w:pPr>
      <w:spacing w:before="40" w:line="198" w:lineRule="exact"/>
      <w:ind w:left="2835" w:hanging="709"/>
    </w:pPr>
    <w:rPr>
      <w:sz w:val="18"/>
    </w:rPr>
  </w:style>
  <w:style w:type="paragraph" w:customStyle="1" w:styleId="ENoteTableHeading">
    <w:name w:val="ENoteTableHeading"/>
    <w:aliases w:val="enth"/>
    <w:basedOn w:val="OPCParaBase"/>
    <w:rsid w:val="006F53B0"/>
    <w:pPr>
      <w:keepNext/>
      <w:spacing w:before="60" w:line="240" w:lineRule="atLeast"/>
    </w:pPr>
    <w:rPr>
      <w:rFonts w:ascii="Arial" w:hAnsi="Arial"/>
      <w:b/>
      <w:sz w:val="16"/>
    </w:rPr>
  </w:style>
  <w:style w:type="paragraph" w:customStyle="1" w:styleId="ENoteTTi">
    <w:name w:val="ENoteTTi"/>
    <w:aliases w:val="entti"/>
    <w:basedOn w:val="OPCParaBase"/>
    <w:rsid w:val="006F53B0"/>
    <w:pPr>
      <w:keepNext/>
      <w:spacing w:before="60" w:line="240" w:lineRule="atLeast"/>
      <w:ind w:left="170"/>
    </w:pPr>
    <w:rPr>
      <w:sz w:val="16"/>
    </w:rPr>
  </w:style>
  <w:style w:type="paragraph" w:customStyle="1" w:styleId="ENoteTTIndentHeading">
    <w:name w:val="ENoteTTIndentHeading"/>
    <w:aliases w:val="enTTHi"/>
    <w:basedOn w:val="OPCParaBase"/>
    <w:rsid w:val="006F53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F53B0"/>
    <w:pPr>
      <w:spacing w:before="60" w:line="240" w:lineRule="atLeast"/>
    </w:pPr>
    <w:rPr>
      <w:sz w:val="16"/>
    </w:rPr>
  </w:style>
  <w:style w:type="paragraph" w:customStyle="1" w:styleId="MadeunderText">
    <w:name w:val="MadeunderText"/>
    <w:basedOn w:val="OPCParaBase"/>
    <w:next w:val="CompiledMadeUnder"/>
    <w:rsid w:val="006F53B0"/>
    <w:pPr>
      <w:spacing w:before="240"/>
    </w:pPr>
    <w:rPr>
      <w:sz w:val="24"/>
      <w:szCs w:val="24"/>
    </w:rPr>
  </w:style>
  <w:style w:type="character" w:customStyle="1" w:styleId="CharSubPartTextCASA">
    <w:name w:val="CharSubPartText(CASA)"/>
    <w:basedOn w:val="OPCCharBase"/>
    <w:uiPriority w:val="1"/>
    <w:rsid w:val="006F53B0"/>
  </w:style>
  <w:style w:type="character" w:customStyle="1" w:styleId="CharSubPartNoCASA">
    <w:name w:val="CharSubPartNo(CASA)"/>
    <w:basedOn w:val="OPCCharBase"/>
    <w:uiPriority w:val="1"/>
    <w:rsid w:val="006F53B0"/>
  </w:style>
  <w:style w:type="paragraph" w:customStyle="1" w:styleId="ENoteTTIndentHeadingSub">
    <w:name w:val="ENoteTTIndentHeadingSub"/>
    <w:aliases w:val="enTTHis"/>
    <w:basedOn w:val="OPCParaBase"/>
    <w:rsid w:val="006F53B0"/>
    <w:pPr>
      <w:keepNext/>
      <w:spacing w:before="60" w:line="240" w:lineRule="atLeast"/>
      <w:ind w:left="340"/>
    </w:pPr>
    <w:rPr>
      <w:b/>
      <w:sz w:val="16"/>
    </w:rPr>
  </w:style>
  <w:style w:type="paragraph" w:customStyle="1" w:styleId="ENoteTTiSub">
    <w:name w:val="ENoteTTiSub"/>
    <w:aliases w:val="enttis"/>
    <w:basedOn w:val="OPCParaBase"/>
    <w:rsid w:val="006F53B0"/>
    <w:pPr>
      <w:keepNext/>
      <w:spacing w:before="60" w:line="240" w:lineRule="atLeast"/>
      <w:ind w:left="340"/>
    </w:pPr>
    <w:rPr>
      <w:sz w:val="16"/>
    </w:rPr>
  </w:style>
  <w:style w:type="paragraph" w:customStyle="1" w:styleId="SubDivisionMigration">
    <w:name w:val="SubDivisionMigration"/>
    <w:aliases w:val="sdm"/>
    <w:basedOn w:val="OPCParaBase"/>
    <w:rsid w:val="006F53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F53B0"/>
    <w:pPr>
      <w:keepNext/>
      <w:keepLines/>
      <w:spacing w:before="240" w:line="240" w:lineRule="auto"/>
      <w:ind w:left="1134" w:hanging="1134"/>
    </w:pPr>
    <w:rPr>
      <w:b/>
      <w:sz w:val="28"/>
    </w:rPr>
  </w:style>
  <w:style w:type="paragraph" w:styleId="TOCHeading">
    <w:name w:val="TOC Heading"/>
    <w:basedOn w:val="Heading1"/>
    <w:next w:val="Normal"/>
    <w:uiPriority w:val="39"/>
    <w:unhideWhenUsed/>
    <w:qFormat/>
    <w:rsid w:val="004976A6"/>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character" w:customStyle="1" w:styleId="subsectionChar">
    <w:name w:val="subsection Char"/>
    <w:aliases w:val="ss Char"/>
    <w:basedOn w:val="DefaultParagraphFont"/>
    <w:link w:val="subsection"/>
    <w:locked/>
    <w:rsid w:val="002C3935"/>
    <w:rPr>
      <w:sz w:val="22"/>
    </w:rPr>
  </w:style>
  <w:style w:type="character" w:customStyle="1" w:styleId="notetextChar">
    <w:name w:val="note(text) Char"/>
    <w:aliases w:val="n Char"/>
    <w:basedOn w:val="DefaultParagraphFont"/>
    <w:link w:val="notetext"/>
    <w:rsid w:val="002C393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245246">
      <w:bodyDiv w:val="1"/>
      <w:marLeft w:val="0"/>
      <w:marRight w:val="0"/>
      <w:marTop w:val="0"/>
      <w:marBottom w:val="0"/>
      <w:divBdr>
        <w:top w:val="none" w:sz="0" w:space="0" w:color="auto"/>
        <w:left w:val="none" w:sz="0" w:space="0" w:color="auto"/>
        <w:bottom w:val="none" w:sz="0" w:space="0" w:color="auto"/>
        <w:right w:val="none" w:sz="0" w:space="0" w:color="auto"/>
      </w:divBdr>
    </w:div>
    <w:div w:id="175728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E4C118E5E944AAE21DA935605227B" ma:contentTypeVersion="0" ma:contentTypeDescription="Create a new document." ma:contentTypeScope="" ma:versionID="0af819ee0f8bd191f44f97030d1477a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8417C-1988-48E3-9D32-78F98F2CD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112FF1-3077-439C-960A-B09D8547AAF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7C3399C-7D77-43D9-B917-FC4D5F1B2922}">
  <ds:schemaRefs>
    <ds:schemaRef ds:uri="http://schemas.microsoft.com/sharepoint/v3/contenttype/forms"/>
  </ds:schemaRefs>
</ds:datastoreItem>
</file>

<file path=customXml/itemProps4.xml><?xml version="1.0" encoding="utf-8"?>
<ds:datastoreItem xmlns:ds="http://schemas.openxmlformats.org/officeDocument/2006/customXml" ds:itemID="{32278E6D-7FD7-43F8-BA9A-F88D3867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8</Pages>
  <Words>2546</Words>
  <Characters>13271</Characters>
  <Application>Microsoft Office Word</Application>
  <DocSecurity>4</DocSecurity>
  <PresentationFormat/>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15786</CharactersWithSpaces>
  <SharedDoc>false</SharedDoc>
  <HyperlinkBase/>
  <HLinks>
    <vt:vector size="6" baseType="variant">
      <vt:variant>
        <vt:i4>6160468</vt:i4>
      </vt:variant>
      <vt:variant>
        <vt:i4>3</vt:i4>
      </vt:variant>
      <vt:variant>
        <vt:i4>0</vt:i4>
      </vt:variant>
      <vt:variant>
        <vt:i4>5</vt:i4>
      </vt:variant>
      <vt:variant>
        <vt:lpwstr>http://www.comlaw.gov.au/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cp:lastPrinted>2012-12-05T04:21:00Z</cp:lastPrinted>
  <dcterms:created xsi:type="dcterms:W3CDTF">2018-06-18T01:54:00Z</dcterms:created>
  <dcterms:modified xsi:type="dcterms:W3CDTF">2018-06-18T01:54:00Z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0</vt:lpwstr>
  </property>
  <property fmtid="{D5CDD505-2E9C-101B-9397-08002B2CF9AE}" pid="3" name="IndexMatter">
    <vt:lpwstr> </vt:lpwstr>
  </property>
  <property fmtid="{D5CDD505-2E9C-101B-9397-08002B2CF9AE}" pid="4" name="Converted">
    <vt:bool>true</vt:bool>
  </property>
  <property fmtid="{D5CDD505-2E9C-101B-9397-08002B2CF9AE}" pid="5" name="Header">
    <vt:lpwstr>Section</vt:lpwstr>
  </property>
  <property fmtid="{D5CDD505-2E9C-101B-9397-08002B2CF9AE}" pid="6" name="ActNo">
    <vt:lpwstr> </vt:lpwstr>
  </property>
  <property fmtid="{D5CDD505-2E9C-101B-9397-08002B2CF9AE}" pid="7" name="ShortT">
    <vt:lpwstr> </vt:lpwstr>
  </property>
  <property fmtid="{D5CDD505-2E9C-101B-9397-08002B2CF9AE}" pid="8" name="Class">
    <vt:lpwstr> </vt:lpwstr>
  </property>
  <property fmtid="{D5CDD505-2E9C-101B-9397-08002B2CF9AE}" pid="9" name="DocType">
    <vt:lpwstr>NEW</vt:lpwstr>
  </property>
  <property fmtid="{D5CDD505-2E9C-101B-9397-08002B2CF9AE}" pid="10" name="Exco">
    <vt:lpwstr>No</vt:lpwstr>
  </property>
  <property fmtid="{D5CDD505-2E9C-101B-9397-08002B2CF9AE}" pid="11" name="Authority">
    <vt:lpwstr/>
  </property>
  <property fmtid="{D5CDD505-2E9C-101B-9397-08002B2CF9AE}" pid="12" name="DateMade">
    <vt:lpwstr> </vt:lpwstr>
  </property>
  <property fmtid="{D5CDD505-2E9C-101B-9397-08002B2CF9AE}" pid="13" name="CounterSign">
    <vt:lpwstr/>
  </property>
  <property fmtid="{D5CDD505-2E9C-101B-9397-08002B2CF9AE}" pid="14" name="ExcoDate">
    <vt:lpwstr> </vt:lpwstr>
  </property>
  <property fmtid="{D5CDD505-2E9C-101B-9397-08002B2CF9AE}" pid="15" name="ContentTypeId">
    <vt:lpwstr>0x010100E7AE4C118E5E944AAE21DA935605227B</vt:lpwstr>
  </property>
  <property fmtid="{D5CDD505-2E9C-101B-9397-08002B2CF9AE}" pid="16" name="TrimRevisionNumber">
    <vt:i4>1</vt:i4>
  </property>
</Properties>
</file>