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87E40" w:rsidRDefault="00193461" w:rsidP="0020300C">
      <w:pPr>
        <w:rPr>
          <w:sz w:val="28"/>
        </w:rPr>
      </w:pPr>
      <w:r w:rsidRPr="00387E40">
        <w:rPr>
          <w:noProof/>
          <w:lang w:eastAsia="en-AU"/>
        </w:rPr>
        <w:drawing>
          <wp:inline distT="0" distB="0" distL="0" distR="0" wp14:anchorId="2007BF64" wp14:editId="6446174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87E40" w:rsidRDefault="0048364F" w:rsidP="0048364F">
      <w:pPr>
        <w:rPr>
          <w:sz w:val="19"/>
        </w:rPr>
      </w:pPr>
    </w:p>
    <w:p w:rsidR="0048364F" w:rsidRPr="00387E40" w:rsidRDefault="00776811" w:rsidP="0048364F">
      <w:pPr>
        <w:pStyle w:val="ShortT"/>
      </w:pPr>
      <w:r w:rsidRPr="00387E40">
        <w:t>Marine Safety (Domestic Commercial Vessel) National Law Amendment (Cost Recovery) Regulations</w:t>
      </w:r>
      <w:r w:rsidR="00387E40" w:rsidRPr="00387E40">
        <w:t> </w:t>
      </w:r>
      <w:r w:rsidRPr="00387E40">
        <w:t>2018</w:t>
      </w:r>
    </w:p>
    <w:p w:rsidR="00C86D8A" w:rsidRPr="00387E40" w:rsidRDefault="00C86D8A" w:rsidP="00D37EE8">
      <w:pPr>
        <w:pStyle w:val="SignCoverPageStart"/>
        <w:spacing w:before="240"/>
        <w:rPr>
          <w:szCs w:val="22"/>
        </w:rPr>
      </w:pPr>
      <w:r w:rsidRPr="00387E40">
        <w:rPr>
          <w:szCs w:val="22"/>
        </w:rPr>
        <w:t xml:space="preserve">I, General the Honourable Sir Peter Cosgrove AK MC (Ret’d), </w:t>
      </w:r>
      <w:r w:rsidR="00387E40" w:rsidRPr="00387E40">
        <w:rPr>
          <w:szCs w:val="22"/>
        </w:rPr>
        <w:t>Governor</w:t>
      </w:r>
      <w:r w:rsidR="00387E40">
        <w:rPr>
          <w:szCs w:val="22"/>
        </w:rPr>
        <w:noBreakHyphen/>
      </w:r>
      <w:r w:rsidR="00387E40" w:rsidRPr="00387E40">
        <w:rPr>
          <w:szCs w:val="22"/>
        </w:rPr>
        <w:t>General</w:t>
      </w:r>
      <w:r w:rsidRPr="00387E40">
        <w:rPr>
          <w:szCs w:val="22"/>
        </w:rPr>
        <w:t xml:space="preserve"> of the Commonwealth of Australia, acting with the advice of the Federal Executive Council</w:t>
      </w:r>
      <w:r w:rsidR="00B875DB" w:rsidRPr="00387E40">
        <w:rPr>
          <w:szCs w:val="22"/>
        </w:rPr>
        <w:t>, make the following regulation</w:t>
      </w:r>
      <w:r w:rsidR="00786CB5" w:rsidRPr="00387E40">
        <w:rPr>
          <w:szCs w:val="22"/>
        </w:rPr>
        <w:t>s</w:t>
      </w:r>
      <w:r w:rsidRPr="00387E40">
        <w:rPr>
          <w:szCs w:val="22"/>
        </w:rPr>
        <w:t>.</w:t>
      </w:r>
    </w:p>
    <w:p w:rsidR="00C86D8A" w:rsidRPr="00387E40" w:rsidRDefault="00C86D8A" w:rsidP="00D37EE8">
      <w:pPr>
        <w:keepNext/>
        <w:spacing w:before="720" w:line="240" w:lineRule="atLeast"/>
        <w:ind w:right="397"/>
        <w:jc w:val="both"/>
        <w:rPr>
          <w:szCs w:val="22"/>
        </w:rPr>
      </w:pPr>
      <w:r w:rsidRPr="00387E40">
        <w:rPr>
          <w:szCs w:val="22"/>
        </w:rPr>
        <w:t xml:space="preserve">Dated </w:t>
      </w:r>
      <w:r w:rsidRPr="00387E40">
        <w:rPr>
          <w:szCs w:val="22"/>
        </w:rPr>
        <w:fldChar w:fldCharType="begin"/>
      </w:r>
      <w:r w:rsidRPr="00387E40">
        <w:rPr>
          <w:szCs w:val="22"/>
        </w:rPr>
        <w:instrText xml:space="preserve"> DOCPROPERTY  DateMade </w:instrText>
      </w:r>
      <w:r w:rsidRPr="00387E40">
        <w:rPr>
          <w:szCs w:val="22"/>
        </w:rPr>
        <w:fldChar w:fldCharType="separate"/>
      </w:r>
      <w:r w:rsidR="00893B61">
        <w:rPr>
          <w:szCs w:val="22"/>
        </w:rPr>
        <w:t>21 June 2018</w:t>
      </w:r>
      <w:r w:rsidRPr="00387E40">
        <w:rPr>
          <w:szCs w:val="22"/>
        </w:rPr>
        <w:fldChar w:fldCharType="end"/>
      </w:r>
    </w:p>
    <w:p w:rsidR="00C86D8A" w:rsidRPr="00387E40" w:rsidRDefault="00C86D8A" w:rsidP="00D37EE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87E40">
        <w:rPr>
          <w:szCs w:val="22"/>
        </w:rPr>
        <w:t>Peter Cosgrove</w:t>
      </w:r>
    </w:p>
    <w:p w:rsidR="00C86D8A" w:rsidRPr="00387E40" w:rsidRDefault="00387E40" w:rsidP="00D37EE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87E40">
        <w:rPr>
          <w:szCs w:val="22"/>
        </w:rPr>
        <w:t>Governor</w:t>
      </w:r>
      <w:r>
        <w:rPr>
          <w:szCs w:val="22"/>
        </w:rPr>
        <w:noBreakHyphen/>
      </w:r>
      <w:r w:rsidRPr="00387E40">
        <w:rPr>
          <w:szCs w:val="22"/>
        </w:rPr>
        <w:t>General</w:t>
      </w:r>
    </w:p>
    <w:p w:rsidR="00C86D8A" w:rsidRPr="00387E40" w:rsidRDefault="00C86D8A" w:rsidP="00D37EE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87E40">
        <w:rPr>
          <w:szCs w:val="22"/>
        </w:rPr>
        <w:t>By His Excellency’s Command</w:t>
      </w:r>
    </w:p>
    <w:p w:rsidR="00C86D8A" w:rsidRPr="00387E40" w:rsidRDefault="00DA112F" w:rsidP="00D37EE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87E40">
        <w:rPr>
          <w:szCs w:val="22"/>
        </w:rPr>
        <w:t>Michael McCormack</w:t>
      </w:r>
    </w:p>
    <w:p w:rsidR="00C86D8A" w:rsidRPr="00387E40" w:rsidRDefault="00C86D8A" w:rsidP="00D37EE8">
      <w:pPr>
        <w:pStyle w:val="SignCoverPageEnd"/>
        <w:rPr>
          <w:szCs w:val="22"/>
        </w:rPr>
      </w:pPr>
      <w:r w:rsidRPr="00387E40">
        <w:rPr>
          <w:szCs w:val="22"/>
        </w:rPr>
        <w:t>Deputy Prime Minister and Minister for Infrastructure and Transport</w:t>
      </w:r>
    </w:p>
    <w:p w:rsidR="00C86D8A" w:rsidRPr="00387E40" w:rsidRDefault="00C86D8A" w:rsidP="00D37EE8"/>
    <w:p w:rsidR="0048364F" w:rsidRPr="00387E40" w:rsidRDefault="0048364F" w:rsidP="0048364F">
      <w:pPr>
        <w:pStyle w:val="Header"/>
        <w:tabs>
          <w:tab w:val="clear" w:pos="4150"/>
          <w:tab w:val="clear" w:pos="8307"/>
        </w:tabs>
      </w:pPr>
      <w:r w:rsidRPr="00387E40">
        <w:rPr>
          <w:rStyle w:val="CharAmSchNo"/>
        </w:rPr>
        <w:t xml:space="preserve"> </w:t>
      </w:r>
      <w:r w:rsidRPr="00387E40">
        <w:rPr>
          <w:rStyle w:val="CharAmSchText"/>
        </w:rPr>
        <w:t xml:space="preserve"> </w:t>
      </w:r>
    </w:p>
    <w:p w:rsidR="0048364F" w:rsidRPr="00387E40" w:rsidRDefault="0048364F" w:rsidP="0048364F">
      <w:pPr>
        <w:pStyle w:val="Header"/>
        <w:tabs>
          <w:tab w:val="clear" w:pos="4150"/>
          <w:tab w:val="clear" w:pos="8307"/>
        </w:tabs>
      </w:pPr>
      <w:r w:rsidRPr="00387E40">
        <w:rPr>
          <w:rStyle w:val="CharAmPartNo"/>
        </w:rPr>
        <w:t xml:space="preserve"> </w:t>
      </w:r>
      <w:r w:rsidRPr="00387E40">
        <w:rPr>
          <w:rStyle w:val="CharAmPartText"/>
        </w:rPr>
        <w:t xml:space="preserve"> </w:t>
      </w:r>
    </w:p>
    <w:p w:rsidR="0048364F" w:rsidRPr="00387E40" w:rsidRDefault="0048364F" w:rsidP="0048364F">
      <w:pPr>
        <w:sectPr w:rsidR="0048364F" w:rsidRPr="00387E40" w:rsidSect="002529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87E40" w:rsidRDefault="0048364F" w:rsidP="00842500">
      <w:pPr>
        <w:rPr>
          <w:sz w:val="36"/>
        </w:rPr>
      </w:pPr>
      <w:r w:rsidRPr="00387E40">
        <w:rPr>
          <w:sz w:val="36"/>
        </w:rPr>
        <w:lastRenderedPageBreak/>
        <w:t>Contents</w:t>
      </w:r>
    </w:p>
    <w:p w:rsidR="0080269A" w:rsidRPr="00387E40" w:rsidRDefault="008026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7E40">
        <w:fldChar w:fldCharType="begin"/>
      </w:r>
      <w:r w:rsidRPr="00387E40">
        <w:instrText xml:space="preserve"> TOC \o "1-9" </w:instrText>
      </w:r>
      <w:r w:rsidRPr="00387E40">
        <w:fldChar w:fldCharType="separate"/>
      </w:r>
      <w:r w:rsidRPr="00387E40">
        <w:rPr>
          <w:noProof/>
        </w:rPr>
        <w:t>1</w:t>
      </w:r>
      <w:r w:rsidRPr="00387E40">
        <w:rPr>
          <w:noProof/>
        </w:rPr>
        <w:tab/>
        <w:t>Name</w:t>
      </w:r>
      <w:r w:rsidRPr="00387E40">
        <w:rPr>
          <w:noProof/>
        </w:rPr>
        <w:tab/>
      </w:r>
      <w:r w:rsidRPr="00387E40">
        <w:rPr>
          <w:noProof/>
        </w:rPr>
        <w:fldChar w:fldCharType="begin"/>
      </w:r>
      <w:r w:rsidRPr="00387E40">
        <w:rPr>
          <w:noProof/>
        </w:rPr>
        <w:instrText xml:space="preserve"> PAGEREF _Toc515000497 \h </w:instrText>
      </w:r>
      <w:r w:rsidRPr="00387E40">
        <w:rPr>
          <w:noProof/>
        </w:rPr>
      </w:r>
      <w:r w:rsidRPr="00387E40">
        <w:rPr>
          <w:noProof/>
        </w:rPr>
        <w:fldChar w:fldCharType="separate"/>
      </w:r>
      <w:r w:rsidR="00893B61">
        <w:rPr>
          <w:noProof/>
        </w:rPr>
        <w:t>1</w:t>
      </w:r>
      <w:r w:rsidRPr="00387E40">
        <w:rPr>
          <w:noProof/>
        </w:rPr>
        <w:fldChar w:fldCharType="end"/>
      </w:r>
    </w:p>
    <w:p w:rsidR="0080269A" w:rsidRPr="00387E40" w:rsidRDefault="008026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7E40">
        <w:rPr>
          <w:noProof/>
        </w:rPr>
        <w:t>2</w:t>
      </w:r>
      <w:r w:rsidRPr="00387E40">
        <w:rPr>
          <w:noProof/>
        </w:rPr>
        <w:tab/>
        <w:t>Commencement</w:t>
      </w:r>
      <w:r w:rsidRPr="00387E40">
        <w:rPr>
          <w:noProof/>
        </w:rPr>
        <w:tab/>
      </w:r>
      <w:r w:rsidRPr="00387E40">
        <w:rPr>
          <w:noProof/>
        </w:rPr>
        <w:fldChar w:fldCharType="begin"/>
      </w:r>
      <w:r w:rsidRPr="00387E40">
        <w:rPr>
          <w:noProof/>
        </w:rPr>
        <w:instrText xml:space="preserve"> PAGEREF _Toc515000498 \h </w:instrText>
      </w:r>
      <w:r w:rsidRPr="00387E40">
        <w:rPr>
          <w:noProof/>
        </w:rPr>
      </w:r>
      <w:r w:rsidRPr="00387E40">
        <w:rPr>
          <w:noProof/>
        </w:rPr>
        <w:fldChar w:fldCharType="separate"/>
      </w:r>
      <w:r w:rsidR="00893B61">
        <w:rPr>
          <w:noProof/>
        </w:rPr>
        <w:t>1</w:t>
      </w:r>
      <w:r w:rsidRPr="00387E40">
        <w:rPr>
          <w:noProof/>
        </w:rPr>
        <w:fldChar w:fldCharType="end"/>
      </w:r>
    </w:p>
    <w:p w:rsidR="0080269A" w:rsidRPr="00387E40" w:rsidRDefault="008026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7E40">
        <w:rPr>
          <w:noProof/>
        </w:rPr>
        <w:t>3</w:t>
      </w:r>
      <w:r w:rsidRPr="00387E40">
        <w:rPr>
          <w:noProof/>
        </w:rPr>
        <w:tab/>
        <w:t>Authority</w:t>
      </w:r>
      <w:r w:rsidRPr="00387E40">
        <w:rPr>
          <w:noProof/>
        </w:rPr>
        <w:tab/>
      </w:r>
      <w:r w:rsidRPr="00387E40">
        <w:rPr>
          <w:noProof/>
        </w:rPr>
        <w:fldChar w:fldCharType="begin"/>
      </w:r>
      <w:r w:rsidRPr="00387E40">
        <w:rPr>
          <w:noProof/>
        </w:rPr>
        <w:instrText xml:space="preserve"> PAGEREF _Toc515000499 \h </w:instrText>
      </w:r>
      <w:r w:rsidRPr="00387E40">
        <w:rPr>
          <w:noProof/>
        </w:rPr>
      </w:r>
      <w:r w:rsidRPr="00387E40">
        <w:rPr>
          <w:noProof/>
        </w:rPr>
        <w:fldChar w:fldCharType="separate"/>
      </w:r>
      <w:r w:rsidR="00893B61">
        <w:rPr>
          <w:noProof/>
        </w:rPr>
        <w:t>1</w:t>
      </w:r>
      <w:r w:rsidRPr="00387E40">
        <w:rPr>
          <w:noProof/>
        </w:rPr>
        <w:fldChar w:fldCharType="end"/>
      </w:r>
    </w:p>
    <w:p w:rsidR="0080269A" w:rsidRPr="00387E40" w:rsidRDefault="008026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87E40">
        <w:rPr>
          <w:noProof/>
        </w:rPr>
        <w:t>4</w:t>
      </w:r>
      <w:r w:rsidRPr="00387E40">
        <w:rPr>
          <w:noProof/>
        </w:rPr>
        <w:tab/>
        <w:t>Schedules</w:t>
      </w:r>
      <w:r w:rsidRPr="00387E40">
        <w:rPr>
          <w:noProof/>
        </w:rPr>
        <w:tab/>
      </w:r>
      <w:r w:rsidRPr="00387E40">
        <w:rPr>
          <w:noProof/>
        </w:rPr>
        <w:fldChar w:fldCharType="begin"/>
      </w:r>
      <w:r w:rsidRPr="00387E40">
        <w:rPr>
          <w:noProof/>
        </w:rPr>
        <w:instrText xml:space="preserve"> PAGEREF _Toc515000500 \h </w:instrText>
      </w:r>
      <w:r w:rsidRPr="00387E40">
        <w:rPr>
          <w:noProof/>
        </w:rPr>
      </w:r>
      <w:r w:rsidRPr="00387E40">
        <w:rPr>
          <w:noProof/>
        </w:rPr>
        <w:fldChar w:fldCharType="separate"/>
      </w:r>
      <w:r w:rsidR="00893B61">
        <w:rPr>
          <w:noProof/>
        </w:rPr>
        <w:t>1</w:t>
      </w:r>
      <w:r w:rsidRPr="00387E40">
        <w:rPr>
          <w:noProof/>
        </w:rPr>
        <w:fldChar w:fldCharType="end"/>
      </w:r>
    </w:p>
    <w:p w:rsidR="0080269A" w:rsidRPr="00387E40" w:rsidRDefault="0080269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87E40">
        <w:rPr>
          <w:noProof/>
        </w:rPr>
        <w:t>Schedule</w:t>
      </w:r>
      <w:r w:rsidR="00387E40" w:rsidRPr="00387E40">
        <w:rPr>
          <w:noProof/>
        </w:rPr>
        <w:t> </w:t>
      </w:r>
      <w:r w:rsidRPr="00387E40">
        <w:rPr>
          <w:noProof/>
        </w:rPr>
        <w:t>1—Amendments</w:t>
      </w:r>
      <w:r w:rsidRPr="00387E40">
        <w:rPr>
          <w:b w:val="0"/>
          <w:noProof/>
          <w:sz w:val="18"/>
        </w:rPr>
        <w:tab/>
      </w:r>
      <w:r w:rsidRPr="00387E40">
        <w:rPr>
          <w:b w:val="0"/>
          <w:noProof/>
          <w:sz w:val="18"/>
        </w:rPr>
        <w:fldChar w:fldCharType="begin"/>
      </w:r>
      <w:r w:rsidRPr="00387E40">
        <w:rPr>
          <w:b w:val="0"/>
          <w:noProof/>
          <w:sz w:val="18"/>
        </w:rPr>
        <w:instrText xml:space="preserve"> PAGEREF _Toc515000501 \h </w:instrText>
      </w:r>
      <w:r w:rsidRPr="00387E40">
        <w:rPr>
          <w:b w:val="0"/>
          <w:noProof/>
          <w:sz w:val="18"/>
        </w:rPr>
      </w:r>
      <w:r w:rsidRPr="00387E40">
        <w:rPr>
          <w:b w:val="0"/>
          <w:noProof/>
          <w:sz w:val="18"/>
        </w:rPr>
        <w:fldChar w:fldCharType="separate"/>
      </w:r>
      <w:r w:rsidR="00893B61">
        <w:rPr>
          <w:b w:val="0"/>
          <w:noProof/>
          <w:sz w:val="18"/>
        </w:rPr>
        <w:t>2</w:t>
      </w:r>
      <w:r w:rsidRPr="00387E40">
        <w:rPr>
          <w:b w:val="0"/>
          <w:noProof/>
          <w:sz w:val="18"/>
        </w:rPr>
        <w:fldChar w:fldCharType="end"/>
      </w:r>
    </w:p>
    <w:p w:rsidR="0080269A" w:rsidRPr="00387E40" w:rsidRDefault="0080269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87E40">
        <w:rPr>
          <w:noProof/>
        </w:rPr>
        <w:t>Marine Safety (Domestic Commercial Vessel) National Law Regulation</w:t>
      </w:r>
      <w:r w:rsidR="00387E40" w:rsidRPr="00387E40">
        <w:rPr>
          <w:noProof/>
        </w:rPr>
        <w:t> </w:t>
      </w:r>
      <w:r w:rsidRPr="00387E40">
        <w:rPr>
          <w:noProof/>
        </w:rPr>
        <w:t>2013</w:t>
      </w:r>
      <w:r w:rsidRPr="00387E40">
        <w:rPr>
          <w:i w:val="0"/>
          <w:noProof/>
          <w:sz w:val="18"/>
        </w:rPr>
        <w:tab/>
      </w:r>
      <w:r w:rsidRPr="00387E40">
        <w:rPr>
          <w:i w:val="0"/>
          <w:noProof/>
          <w:sz w:val="18"/>
        </w:rPr>
        <w:fldChar w:fldCharType="begin"/>
      </w:r>
      <w:r w:rsidRPr="00387E40">
        <w:rPr>
          <w:i w:val="0"/>
          <w:noProof/>
          <w:sz w:val="18"/>
        </w:rPr>
        <w:instrText xml:space="preserve"> PAGEREF _Toc515000502 \h </w:instrText>
      </w:r>
      <w:r w:rsidRPr="00387E40">
        <w:rPr>
          <w:i w:val="0"/>
          <w:noProof/>
          <w:sz w:val="18"/>
        </w:rPr>
      </w:r>
      <w:r w:rsidRPr="00387E40">
        <w:rPr>
          <w:i w:val="0"/>
          <w:noProof/>
          <w:sz w:val="18"/>
        </w:rPr>
        <w:fldChar w:fldCharType="separate"/>
      </w:r>
      <w:r w:rsidR="00893B61">
        <w:rPr>
          <w:i w:val="0"/>
          <w:noProof/>
          <w:sz w:val="18"/>
        </w:rPr>
        <w:t>2</w:t>
      </w:r>
      <w:r w:rsidRPr="00387E40">
        <w:rPr>
          <w:i w:val="0"/>
          <w:noProof/>
          <w:sz w:val="18"/>
        </w:rPr>
        <w:fldChar w:fldCharType="end"/>
      </w:r>
    </w:p>
    <w:p w:rsidR="0048364F" w:rsidRPr="00387E40" w:rsidRDefault="0080269A" w:rsidP="0048364F">
      <w:r w:rsidRPr="00387E40">
        <w:fldChar w:fldCharType="end"/>
      </w:r>
    </w:p>
    <w:p w:rsidR="0048364F" w:rsidRPr="00387E40" w:rsidRDefault="0048364F" w:rsidP="0048364F">
      <w:pPr>
        <w:sectPr w:rsidR="0048364F" w:rsidRPr="00387E40" w:rsidSect="0025295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87E40" w:rsidRDefault="0048364F" w:rsidP="0048364F">
      <w:pPr>
        <w:pStyle w:val="ActHead5"/>
      </w:pPr>
      <w:bookmarkStart w:id="0" w:name="_Toc515000497"/>
      <w:r w:rsidRPr="00387E40">
        <w:rPr>
          <w:rStyle w:val="CharSectno"/>
        </w:rPr>
        <w:lastRenderedPageBreak/>
        <w:t>1</w:t>
      </w:r>
      <w:r w:rsidRPr="00387E40">
        <w:t xml:space="preserve">  </w:t>
      </w:r>
      <w:r w:rsidR="004F676E" w:rsidRPr="00387E40">
        <w:t>Name</w:t>
      </w:r>
      <w:bookmarkEnd w:id="0"/>
    </w:p>
    <w:p w:rsidR="0048364F" w:rsidRPr="00387E40" w:rsidRDefault="0048364F" w:rsidP="0048364F">
      <w:pPr>
        <w:pStyle w:val="subsection"/>
      </w:pPr>
      <w:r w:rsidRPr="00387E40">
        <w:tab/>
      </w:r>
      <w:r w:rsidRPr="00387E40">
        <w:tab/>
      </w:r>
      <w:r w:rsidR="00776811" w:rsidRPr="00387E40">
        <w:t>This instrument is</w:t>
      </w:r>
      <w:r w:rsidRPr="00387E40">
        <w:t xml:space="preserve"> the </w:t>
      </w:r>
      <w:r w:rsidR="00414ADE" w:rsidRPr="00387E40">
        <w:rPr>
          <w:i/>
        </w:rPr>
        <w:fldChar w:fldCharType="begin"/>
      </w:r>
      <w:r w:rsidR="00414ADE" w:rsidRPr="00387E40">
        <w:rPr>
          <w:i/>
        </w:rPr>
        <w:instrText xml:space="preserve"> STYLEREF  ShortT </w:instrText>
      </w:r>
      <w:r w:rsidR="00414ADE" w:rsidRPr="00387E40">
        <w:rPr>
          <w:i/>
        </w:rPr>
        <w:fldChar w:fldCharType="separate"/>
      </w:r>
      <w:r w:rsidR="00893B61">
        <w:rPr>
          <w:i/>
          <w:noProof/>
        </w:rPr>
        <w:t>Marine Safety (Domestic Commercial Vessel) National Law Amendment (Cost Recovery) Regulations 2018</w:t>
      </w:r>
      <w:r w:rsidR="00414ADE" w:rsidRPr="00387E40">
        <w:rPr>
          <w:i/>
        </w:rPr>
        <w:fldChar w:fldCharType="end"/>
      </w:r>
      <w:r w:rsidRPr="00387E40">
        <w:t>.</w:t>
      </w:r>
    </w:p>
    <w:p w:rsidR="004F676E" w:rsidRPr="00387E40" w:rsidRDefault="0048364F" w:rsidP="005452CC">
      <w:pPr>
        <w:pStyle w:val="ActHead5"/>
      </w:pPr>
      <w:bookmarkStart w:id="1" w:name="_Toc515000498"/>
      <w:r w:rsidRPr="00387E40">
        <w:rPr>
          <w:rStyle w:val="CharSectno"/>
        </w:rPr>
        <w:t>2</w:t>
      </w:r>
      <w:r w:rsidRPr="00387E40">
        <w:t xml:space="preserve">  Commencement</w:t>
      </w:r>
      <w:bookmarkEnd w:id="1"/>
    </w:p>
    <w:p w:rsidR="005452CC" w:rsidRPr="00387E40" w:rsidRDefault="005452CC" w:rsidP="00D37EE8">
      <w:pPr>
        <w:pStyle w:val="subsection"/>
      </w:pPr>
      <w:r w:rsidRPr="00387E40">
        <w:tab/>
        <w:t>(1)</w:t>
      </w:r>
      <w:r w:rsidRPr="00387E40">
        <w:tab/>
        <w:t xml:space="preserve">Each provision of </w:t>
      </w:r>
      <w:r w:rsidR="00776811" w:rsidRPr="00387E40">
        <w:t>this instrument</w:t>
      </w:r>
      <w:r w:rsidRPr="00387E40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87E40" w:rsidRDefault="005452CC" w:rsidP="00D37EE8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87E40" w:rsidTr="00D37EE8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387E40" w:rsidRDefault="005452CC" w:rsidP="00D37EE8">
            <w:pPr>
              <w:pStyle w:val="TableHeading"/>
            </w:pPr>
            <w:r w:rsidRPr="00387E40">
              <w:t>Commencement information</w:t>
            </w:r>
          </w:p>
        </w:tc>
      </w:tr>
      <w:tr w:rsidR="005452CC" w:rsidRPr="00387E40" w:rsidTr="00D37EE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387E40" w:rsidRDefault="005452CC" w:rsidP="00D37EE8">
            <w:pPr>
              <w:pStyle w:val="TableHeading"/>
            </w:pPr>
            <w:r w:rsidRPr="00387E4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387E40" w:rsidRDefault="005452CC" w:rsidP="00D37EE8">
            <w:pPr>
              <w:pStyle w:val="TableHeading"/>
            </w:pPr>
            <w:r w:rsidRPr="00387E4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387E40" w:rsidRDefault="005452CC" w:rsidP="00D37EE8">
            <w:pPr>
              <w:pStyle w:val="TableHeading"/>
            </w:pPr>
            <w:r w:rsidRPr="00387E40">
              <w:t>Column 3</w:t>
            </w:r>
          </w:p>
        </w:tc>
      </w:tr>
      <w:tr w:rsidR="005452CC" w:rsidRPr="00387E40" w:rsidTr="00EB1203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387E40" w:rsidRDefault="005452CC" w:rsidP="00D37EE8">
            <w:pPr>
              <w:pStyle w:val="TableHeading"/>
            </w:pPr>
            <w:r w:rsidRPr="00387E4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387E40" w:rsidRDefault="005452CC" w:rsidP="00D37EE8">
            <w:pPr>
              <w:pStyle w:val="TableHeading"/>
            </w:pPr>
            <w:r w:rsidRPr="00387E4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387E40" w:rsidRDefault="005452CC" w:rsidP="00D37EE8">
            <w:pPr>
              <w:pStyle w:val="TableHeading"/>
            </w:pPr>
            <w:r w:rsidRPr="00387E40">
              <w:t>Date/Details</w:t>
            </w:r>
          </w:p>
        </w:tc>
      </w:tr>
      <w:tr w:rsidR="005452CC" w:rsidRPr="00387E40" w:rsidTr="00EB1203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387E40" w:rsidRDefault="005452CC" w:rsidP="00EB1203">
            <w:pPr>
              <w:pStyle w:val="Tabletext"/>
            </w:pPr>
            <w:r w:rsidRPr="00387E40">
              <w:t xml:space="preserve">1.  </w:t>
            </w:r>
            <w:r w:rsidR="00EB1203" w:rsidRPr="00387E4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387E40" w:rsidRDefault="005452CC" w:rsidP="005452CC">
            <w:pPr>
              <w:pStyle w:val="Tabletext"/>
            </w:pPr>
            <w:r w:rsidRPr="00387E40">
              <w:t xml:space="preserve">The day after </w:t>
            </w:r>
            <w:r w:rsidR="00776811" w:rsidRPr="00387E40">
              <w:t>this instrument is</w:t>
            </w:r>
            <w:r w:rsidRPr="00387E4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452CC" w:rsidRPr="00387E40" w:rsidRDefault="006627D5">
            <w:pPr>
              <w:pStyle w:val="Tabletext"/>
            </w:pPr>
            <w:r>
              <w:t>23 June 2018</w:t>
            </w:r>
            <w:bookmarkStart w:id="2" w:name="_GoBack"/>
            <w:bookmarkEnd w:id="2"/>
          </w:p>
        </w:tc>
      </w:tr>
    </w:tbl>
    <w:p w:rsidR="005452CC" w:rsidRPr="00387E40" w:rsidRDefault="005452CC" w:rsidP="00D37EE8">
      <w:pPr>
        <w:pStyle w:val="notetext"/>
      </w:pPr>
      <w:r w:rsidRPr="00387E40">
        <w:rPr>
          <w:snapToGrid w:val="0"/>
          <w:lang w:eastAsia="en-US"/>
        </w:rPr>
        <w:t>Note:</w:t>
      </w:r>
      <w:r w:rsidRPr="00387E40">
        <w:rPr>
          <w:snapToGrid w:val="0"/>
          <w:lang w:eastAsia="en-US"/>
        </w:rPr>
        <w:tab/>
        <w:t xml:space="preserve">This table relates only to the provisions of </w:t>
      </w:r>
      <w:r w:rsidR="00776811" w:rsidRPr="00387E40">
        <w:rPr>
          <w:snapToGrid w:val="0"/>
          <w:lang w:eastAsia="en-US"/>
        </w:rPr>
        <w:t>this instrument</w:t>
      </w:r>
      <w:r w:rsidRPr="00387E40">
        <w:t xml:space="preserve"> </w:t>
      </w:r>
      <w:r w:rsidRPr="00387E40">
        <w:rPr>
          <w:snapToGrid w:val="0"/>
          <w:lang w:eastAsia="en-US"/>
        </w:rPr>
        <w:t xml:space="preserve">as originally made. It will not be amended to deal with any later amendments of </w:t>
      </w:r>
      <w:r w:rsidR="00776811" w:rsidRPr="00387E40">
        <w:rPr>
          <w:snapToGrid w:val="0"/>
          <w:lang w:eastAsia="en-US"/>
        </w:rPr>
        <w:t>this instrument</w:t>
      </w:r>
      <w:r w:rsidRPr="00387E40">
        <w:rPr>
          <w:snapToGrid w:val="0"/>
          <w:lang w:eastAsia="en-US"/>
        </w:rPr>
        <w:t>.</w:t>
      </w:r>
    </w:p>
    <w:p w:rsidR="005452CC" w:rsidRPr="00387E40" w:rsidRDefault="005452CC" w:rsidP="00D37EE8">
      <w:pPr>
        <w:pStyle w:val="subsection"/>
      </w:pPr>
      <w:r w:rsidRPr="00387E40">
        <w:tab/>
        <w:t>(2)</w:t>
      </w:r>
      <w:r w:rsidRPr="00387E40">
        <w:tab/>
        <w:t xml:space="preserve">Any information in column 3 of the table is not part of </w:t>
      </w:r>
      <w:r w:rsidR="00776811" w:rsidRPr="00387E40">
        <w:t>this instrument</w:t>
      </w:r>
      <w:r w:rsidRPr="00387E40">
        <w:t xml:space="preserve">. Information may be inserted in this column, or information in it may be edited, in any published version of </w:t>
      </w:r>
      <w:r w:rsidR="00776811" w:rsidRPr="00387E40">
        <w:t>this instrument</w:t>
      </w:r>
      <w:r w:rsidRPr="00387E40">
        <w:t>.</w:t>
      </w:r>
    </w:p>
    <w:p w:rsidR="00BF6650" w:rsidRPr="00387E40" w:rsidRDefault="00BF6650" w:rsidP="00BF6650">
      <w:pPr>
        <w:pStyle w:val="ActHead5"/>
      </w:pPr>
      <w:bookmarkStart w:id="3" w:name="_Toc515000499"/>
      <w:r w:rsidRPr="00387E40">
        <w:rPr>
          <w:rStyle w:val="CharSectno"/>
        </w:rPr>
        <w:t>3</w:t>
      </w:r>
      <w:r w:rsidRPr="00387E40">
        <w:t xml:space="preserve">  Authority</w:t>
      </w:r>
      <w:bookmarkEnd w:id="3"/>
    </w:p>
    <w:p w:rsidR="00BF6650" w:rsidRPr="00387E40" w:rsidRDefault="00BF6650" w:rsidP="00BF6650">
      <w:pPr>
        <w:pStyle w:val="subsection"/>
      </w:pPr>
      <w:r w:rsidRPr="00387E40">
        <w:tab/>
      </w:r>
      <w:r w:rsidRPr="00387E40">
        <w:tab/>
      </w:r>
      <w:r w:rsidR="00776811" w:rsidRPr="00387E40">
        <w:t>This instrument is</w:t>
      </w:r>
      <w:r w:rsidRPr="00387E40">
        <w:t xml:space="preserve"> made under the </w:t>
      </w:r>
      <w:r w:rsidR="00F762BE" w:rsidRPr="00387E40">
        <w:rPr>
          <w:i/>
        </w:rPr>
        <w:t>Marine Safety (Domestic Commercial Vessel) National Law Act 2012</w:t>
      </w:r>
      <w:r w:rsidR="00546FA3" w:rsidRPr="00387E40">
        <w:rPr>
          <w:i/>
        </w:rPr>
        <w:t>.</w:t>
      </w:r>
    </w:p>
    <w:p w:rsidR="00557C7A" w:rsidRPr="00387E40" w:rsidRDefault="00BF6650" w:rsidP="00557C7A">
      <w:pPr>
        <w:pStyle w:val="ActHead5"/>
      </w:pPr>
      <w:bookmarkStart w:id="4" w:name="_Toc515000500"/>
      <w:r w:rsidRPr="00387E40">
        <w:rPr>
          <w:rStyle w:val="CharSectno"/>
        </w:rPr>
        <w:t>4</w:t>
      </w:r>
      <w:r w:rsidR="00557C7A" w:rsidRPr="00387E40">
        <w:t xml:space="preserve">  </w:t>
      </w:r>
      <w:r w:rsidR="00083F48" w:rsidRPr="00387E40">
        <w:t>Schedules</w:t>
      </w:r>
      <w:bookmarkEnd w:id="4"/>
    </w:p>
    <w:p w:rsidR="00557C7A" w:rsidRPr="00387E40" w:rsidRDefault="00557C7A" w:rsidP="00557C7A">
      <w:pPr>
        <w:pStyle w:val="subsection"/>
      </w:pPr>
      <w:r w:rsidRPr="00387E40">
        <w:tab/>
      </w:r>
      <w:r w:rsidRPr="00387E40">
        <w:tab/>
      </w:r>
      <w:r w:rsidR="00083F48" w:rsidRPr="00387E40">
        <w:t xml:space="preserve">Each </w:t>
      </w:r>
      <w:r w:rsidR="00160BD7" w:rsidRPr="00387E40">
        <w:t>instrument</w:t>
      </w:r>
      <w:r w:rsidR="00083F48" w:rsidRPr="00387E40">
        <w:t xml:space="preserve"> that is specified in a Schedule to </w:t>
      </w:r>
      <w:r w:rsidR="00776811" w:rsidRPr="00387E40">
        <w:t>this instrument</w:t>
      </w:r>
      <w:r w:rsidR="00083F48" w:rsidRPr="00387E40">
        <w:t xml:space="preserve"> is amended or repealed as set out in the applicable items in the Schedule concerned, and any other item in a Schedule to </w:t>
      </w:r>
      <w:r w:rsidR="00776811" w:rsidRPr="00387E40">
        <w:t>this instrument</w:t>
      </w:r>
      <w:r w:rsidR="00083F48" w:rsidRPr="00387E40">
        <w:t xml:space="preserve"> has effect according to its terms.</w:t>
      </w:r>
    </w:p>
    <w:p w:rsidR="0048364F" w:rsidRPr="00387E40" w:rsidRDefault="0048364F" w:rsidP="009C5989">
      <w:pPr>
        <w:pStyle w:val="ActHead6"/>
        <w:pageBreakBefore/>
      </w:pPr>
      <w:bookmarkStart w:id="5" w:name="_Toc515000501"/>
      <w:bookmarkStart w:id="6" w:name="opcAmSched"/>
      <w:bookmarkStart w:id="7" w:name="opcCurrentFind"/>
      <w:r w:rsidRPr="00387E40">
        <w:rPr>
          <w:rStyle w:val="CharAmSchNo"/>
        </w:rPr>
        <w:t>Schedule</w:t>
      </w:r>
      <w:r w:rsidR="00387E40" w:rsidRPr="00387E40">
        <w:rPr>
          <w:rStyle w:val="CharAmSchNo"/>
        </w:rPr>
        <w:t> </w:t>
      </w:r>
      <w:r w:rsidRPr="00387E40">
        <w:rPr>
          <w:rStyle w:val="CharAmSchNo"/>
        </w:rPr>
        <w:t>1</w:t>
      </w:r>
      <w:r w:rsidRPr="00387E40">
        <w:t>—</w:t>
      </w:r>
      <w:r w:rsidR="00460499" w:rsidRPr="00387E40">
        <w:rPr>
          <w:rStyle w:val="CharAmSchText"/>
        </w:rPr>
        <w:t>Amendments</w:t>
      </w:r>
      <w:bookmarkEnd w:id="5"/>
    </w:p>
    <w:bookmarkEnd w:id="6"/>
    <w:bookmarkEnd w:id="7"/>
    <w:p w:rsidR="0004044E" w:rsidRPr="00387E40" w:rsidRDefault="0004044E" w:rsidP="0004044E">
      <w:pPr>
        <w:pStyle w:val="Header"/>
      </w:pPr>
      <w:r w:rsidRPr="00387E40">
        <w:rPr>
          <w:rStyle w:val="CharAmPartNo"/>
        </w:rPr>
        <w:t xml:space="preserve"> </w:t>
      </w:r>
      <w:r w:rsidRPr="00387E40">
        <w:rPr>
          <w:rStyle w:val="CharAmPartText"/>
        </w:rPr>
        <w:t xml:space="preserve"> </w:t>
      </w:r>
    </w:p>
    <w:p w:rsidR="00EB1203" w:rsidRPr="00387E40" w:rsidRDefault="00EB1203" w:rsidP="00EB1203">
      <w:pPr>
        <w:pStyle w:val="ActHead9"/>
      </w:pPr>
      <w:bookmarkStart w:id="8" w:name="_Toc515000502"/>
      <w:r w:rsidRPr="00387E40">
        <w:t>Marine Safety (Domestic Commercial Vessel) National Law Regulation</w:t>
      </w:r>
      <w:r w:rsidR="00387E40" w:rsidRPr="00387E40">
        <w:t> </w:t>
      </w:r>
      <w:r w:rsidRPr="00387E40">
        <w:t>2013</w:t>
      </w:r>
      <w:bookmarkEnd w:id="8"/>
    </w:p>
    <w:p w:rsidR="00EF65E6" w:rsidRPr="00387E40" w:rsidRDefault="00842500" w:rsidP="00904032">
      <w:pPr>
        <w:pStyle w:val="ItemHead"/>
      </w:pPr>
      <w:r w:rsidRPr="00387E40">
        <w:t>1</w:t>
      </w:r>
      <w:r w:rsidR="00EF65E6" w:rsidRPr="00387E40">
        <w:t xml:space="preserve">  Section</w:t>
      </w:r>
      <w:r w:rsidR="00387E40" w:rsidRPr="00387E40">
        <w:t> </w:t>
      </w:r>
      <w:r w:rsidR="00EF65E6" w:rsidRPr="00387E40">
        <w:t>50 (heading)</w:t>
      </w:r>
    </w:p>
    <w:p w:rsidR="00EF65E6" w:rsidRPr="00387E40" w:rsidRDefault="00EF65E6" w:rsidP="00EF65E6">
      <w:pPr>
        <w:pStyle w:val="Item"/>
      </w:pPr>
      <w:r w:rsidRPr="00387E40">
        <w:t>Repeal the heading, substitute:</w:t>
      </w:r>
    </w:p>
    <w:p w:rsidR="00EF65E6" w:rsidRPr="00387E40" w:rsidRDefault="00EF65E6" w:rsidP="00EF65E6">
      <w:pPr>
        <w:pStyle w:val="ActHead5"/>
      </w:pPr>
      <w:bookmarkStart w:id="9" w:name="_Toc515000503"/>
      <w:r w:rsidRPr="00387E40">
        <w:rPr>
          <w:rStyle w:val="CharSectno"/>
        </w:rPr>
        <w:t>50</w:t>
      </w:r>
      <w:r w:rsidRPr="00387E40">
        <w:t xml:space="preserve">  Fees relating to accreditation of marine surveyors</w:t>
      </w:r>
      <w:bookmarkEnd w:id="9"/>
    </w:p>
    <w:p w:rsidR="00EF65E6" w:rsidRPr="00387E40" w:rsidRDefault="00842500" w:rsidP="00EF65E6">
      <w:pPr>
        <w:pStyle w:val="ItemHead"/>
      </w:pPr>
      <w:r w:rsidRPr="00387E40">
        <w:t>2</w:t>
      </w:r>
      <w:r w:rsidR="00EF65E6" w:rsidRPr="00387E40">
        <w:t xml:space="preserve">  After subsection</w:t>
      </w:r>
      <w:r w:rsidR="00387E40" w:rsidRPr="00387E40">
        <w:t> </w:t>
      </w:r>
      <w:r w:rsidR="00EF65E6" w:rsidRPr="00387E40">
        <w:t>50(2)</w:t>
      </w:r>
    </w:p>
    <w:p w:rsidR="00EF65E6" w:rsidRPr="00387E40" w:rsidRDefault="000843FE" w:rsidP="00EF65E6">
      <w:pPr>
        <w:pStyle w:val="Item"/>
      </w:pPr>
      <w:r w:rsidRPr="00387E40">
        <w:t>Insert</w:t>
      </w:r>
      <w:r w:rsidR="00EF65E6" w:rsidRPr="00387E40">
        <w:t>:</w:t>
      </w:r>
    </w:p>
    <w:p w:rsidR="000843FE" w:rsidRPr="00387E40" w:rsidRDefault="000843FE" w:rsidP="000843FE">
      <w:pPr>
        <w:pStyle w:val="subsection"/>
      </w:pPr>
      <w:r w:rsidRPr="00387E40">
        <w:tab/>
        <w:t>(2A)</w:t>
      </w:r>
      <w:r w:rsidRPr="00387E40">
        <w:tab/>
        <w:t xml:space="preserve">For </w:t>
      </w:r>
      <w:r w:rsidR="00842500" w:rsidRPr="00387E40">
        <w:t xml:space="preserve">the purposes of </w:t>
      </w:r>
      <w:r w:rsidRPr="00387E40">
        <w:t>subsection</w:t>
      </w:r>
      <w:r w:rsidR="00387E40" w:rsidRPr="00387E40">
        <w:t> </w:t>
      </w:r>
      <w:r w:rsidRPr="00387E40">
        <w:t>150(1) of the National Law, the fees set out in the following table for providing a service mentioned in the table are prescribed.</w:t>
      </w:r>
    </w:p>
    <w:p w:rsidR="000843FE" w:rsidRPr="00387E40" w:rsidRDefault="000843FE" w:rsidP="000843FE">
      <w:pPr>
        <w:pStyle w:val="Tabletext"/>
      </w:pPr>
    </w:p>
    <w:tbl>
      <w:tblPr>
        <w:tblW w:w="0" w:type="auto"/>
        <w:tblInd w:w="113" w:type="dxa"/>
        <w:tblBorders>
          <w:top w:val="single" w:sz="1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0843FE" w:rsidRPr="00387E40" w:rsidTr="00D43C10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843FE" w:rsidRPr="00387E40" w:rsidRDefault="000843FE" w:rsidP="00630AF1">
            <w:pPr>
              <w:pStyle w:val="TableHeading"/>
            </w:pPr>
            <w:r w:rsidRPr="00387E40">
              <w:t>Fees relating to accreditation of marine surveyors</w:t>
            </w:r>
          </w:p>
        </w:tc>
      </w:tr>
      <w:tr w:rsidR="000843FE" w:rsidRPr="00387E40" w:rsidTr="00D43C1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843FE" w:rsidRPr="00387E40" w:rsidRDefault="000843FE" w:rsidP="00D43C10">
            <w:pPr>
              <w:pStyle w:val="TableHeading"/>
            </w:pPr>
            <w:r w:rsidRPr="00387E40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843FE" w:rsidRPr="00387E40" w:rsidRDefault="000843FE" w:rsidP="00D43C10">
            <w:pPr>
              <w:pStyle w:val="TableHeading"/>
            </w:pPr>
            <w:r w:rsidRPr="00387E40">
              <w:t>Service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843FE" w:rsidRPr="00387E40" w:rsidRDefault="000843FE" w:rsidP="00D43C10">
            <w:pPr>
              <w:pStyle w:val="TableHeading"/>
            </w:pPr>
            <w:r w:rsidRPr="00387E40">
              <w:t>Amount (excluding GST)</w:t>
            </w:r>
          </w:p>
        </w:tc>
      </w:tr>
      <w:tr w:rsidR="000843FE" w:rsidRPr="00387E40" w:rsidTr="00B13DA0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843FE" w:rsidRPr="00387E40" w:rsidRDefault="000843FE" w:rsidP="00D43C10">
            <w:pPr>
              <w:pStyle w:val="Tabletext"/>
            </w:pPr>
            <w:r w:rsidRPr="00387E40">
              <w:t>1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843FE" w:rsidRPr="00387E40" w:rsidRDefault="000843FE" w:rsidP="000843FE">
            <w:pPr>
              <w:pStyle w:val="Tabletext"/>
            </w:pPr>
            <w:r w:rsidRPr="00387E40">
              <w:t>Replacing a lost or stolen accreditation card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843FE" w:rsidRPr="00387E40" w:rsidRDefault="000843FE" w:rsidP="000843FE">
            <w:pPr>
              <w:pStyle w:val="Tabletext"/>
            </w:pPr>
            <w:r w:rsidRPr="00387E40">
              <w:t>$48</w:t>
            </w:r>
          </w:p>
        </w:tc>
      </w:tr>
      <w:tr w:rsidR="000843FE" w:rsidRPr="00387E40" w:rsidTr="00B13DA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843FE" w:rsidRPr="00387E40" w:rsidRDefault="000843FE" w:rsidP="00D43C10">
            <w:pPr>
              <w:pStyle w:val="Tabletext"/>
            </w:pPr>
            <w:r w:rsidRPr="00387E40">
              <w:t>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843FE" w:rsidRPr="00387E40" w:rsidRDefault="000843FE" w:rsidP="00D43C10">
            <w:pPr>
              <w:pStyle w:val="Tabletext"/>
            </w:pPr>
            <w:r w:rsidRPr="00387E40">
              <w:t>Assessing an application under section</w:t>
            </w:r>
            <w:r w:rsidR="00387E40" w:rsidRPr="00387E40">
              <w:t> </w:t>
            </w:r>
            <w:r w:rsidRPr="00387E40">
              <w:t xml:space="preserve">42 </w:t>
            </w:r>
            <w:r w:rsidR="00786CB5" w:rsidRPr="00387E40">
              <w:t xml:space="preserve">of this instrument </w:t>
            </w:r>
            <w:r w:rsidRPr="00387E40">
              <w:t xml:space="preserve">for a variation of </w:t>
            </w:r>
            <w:r w:rsidR="000E2E46" w:rsidRPr="00387E40">
              <w:t xml:space="preserve">an </w:t>
            </w:r>
            <w:r w:rsidRPr="00387E40">
              <w:t>accreditation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843FE" w:rsidRPr="00387E40" w:rsidRDefault="000E2E46" w:rsidP="00D43C10">
            <w:pPr>
              <w:pStyle w:val="Tabletext"/>
            </w:pPr>
            <w:r w:rsidRPr="00387E40">
              <w:t>$271</w:t>
            </w:r>
          </w:p>
        </w:tc>
      </w:tr>
    </w:tbl>
    <w:p w:rsidR="000843FE" w:rsidRPr="00387E40" w:rsidRDefault="00DE1A06" w:rsidP="00DE1A06">
      <w:pPr>
        <w:pStyle w:val="notetext"/>
      </w:pPr>
      <w:r w:rsidRPr="00387E40">
        <w:t>Note:</w:t>
      </w:r>
      <w:r w:rsidRPr="00387E40">
        <w:tab/>
        <w:t>Fees are indexed under section</w:t>
      </w:r>
      <w:r w:rsidR="00387E40" w:rsidRPr="00387E40">
        <w:t> </w:t>
      </w:r>
      <w:r w:rsidRPr="00387E40">
        <w:t>52.</w:t>
      </w:r>
    </w:p>
    <w:p w:rsidR="00A677DC" w:rsidRPr="00387E40" w:rsidRDefault="00C2421E" w:rsidP="00A677DC">
      <w:pPr>
        <w:pStyle w:val="ItemHead"/>
      </w:pPr>
      <w:r w:rsidRPr="00387E40">
        <w:t>3</w:t>
      </w:r>
      <w:r w:rsidR="00A677DC" w:rsidRPr="00387E40">
        <w:t xml:space="preserve">  Subsection</w:t>
      </w:r>
      <w:r w:rsidR="00387E40" w:rsidRPr="00387E40">
        <w:t> </w:t>
      </w:r>
      <w:r w:rsidR="00A677DC" w:rsidRPr="00387E40">
        <w:t>50(3)</w:t>
      </w:r>
    </w:p>
    <w:p w:rsidR="00A677DC" w:rsidRPr="00387E40" w:rsidRDefault="00A677DC" w:rsidP="00A677DC">
      <w:pPr>
        <w:pStyle w:val="Item"/>
      </w:pPr>
      <w:r w:rsidRPr="00387E40">
        <w:t>After “renewal”, insert “or variation”.</w:t>
      </w:r>
    </w:p>
    <w:p w:rsidR="0084172C" w:rsidRPr="00387E40" w:rsidRDefault="00C2421E" w:rsidP="00904032">
      <w:pPr>
        <w:pStyle w:val="ItemHead"/>
      </w:pPr>
      <w:r w:rsidRPr="00387E40">
        <w:t>4</w:t>
      </w:r>
      <w:r w:rsidR="00904032" w:rsidRPr="00387E40">
        <w:t xml:space="preserve">  After section</w:t>
      </w:r>
      <w:r w:rsidR="00387E40" w:rsidRPr="00387E40">
        <w:t> </w:t>
      </w:r>
      <w:r w:rsidR="00904032" w:rsidRPr="00387E40">
        <w:t>50</w:t>
      </w:r>
    </w:p>
    <w:p w:rsidR="00904032" w:rsidRPr="00387E40" w:rsidRDefault="00904032" w:rsidP="00904032">
      <w:pPr>
        <w:pStyle w:val="Item"/>
      </w:pPr>
      <w:r w:rsidRPr="00387E40">
        <w:t>Insert:</w:t>
      </w:r>
    </w:p>
    <w:p w:rsidR="00630AF1" w:rsidRPr="00387E40" w:rsidRDefault="00904032" w:rsidP="00904032">
      <w:pPr>
        <w:pStyle w:val="ActHead5"/>
      </w:pPr>
      <w:bookmarkStart w:id="10" w:name="_Toc515000504"/>
      <w:r w:rsidRPr="00387E40">
        <w:rPr>
          <w:rStyle w:val="CharSectno"/>
        </w:rPr>
        <w:t>50</w:t>
      </w:r>
      <w:r w:rsidR="000D771A" w:rsidRPr="00387E40">
        <w:rPr>
          <w:rStyle w:val="CharSectno"/>
        </w:rPr>
        <w:t>A</w:t>
      </w:r>
      <w:r w:rsidRPr="00387E40">
        <w:t xml:space="preserve">  </w:t>
      </w:r>
      <w:r w:rsidR="00630AF1" w:rsidRPr="00387E40">
        <w:t>Fees relating to unique identifiers</w:t>
      </w:r>
      <w:bookmarkEnd w:id="10"/>
    </w:p>
    <w:p w:rsidR="00630AF1" w:rsidRPr="00387E40" w:rsidRDefault="00630AF1" w:rsidP="00630AF1">
      <w:pPr>
        <w:pStyle w:val="subsection"/>
      </w:pPr>
      <w:r w:rsidRPr="00387E40">
        <w:tab/>
      </w:r>
      <w:r w:rsidR="006816DB" w:rsidRPr="00387E40">
        <w:t>(1)</w:t>
      </w:r>
      <w:r w:rsidRPr="00387E40">
        <w:tab/>
        <w:t>For the purposes of subsection</w:t>
      </w:r>
      <w:r w:rsidR="00387E40" w:rsidRPr="00387E40">
        <w:t> </w:t>
      </w:r>
      <w:r w:rsidRPr="00387E40">
        <w:t>150(1) of the National Law, a fee of $159 for assessing an application under section</w:t>
      </w:r>
      <w:r w:rsidR="00387E40" w:rsidRPr="00387E40">
        <w:t> </w:t>
      </w:r>
      <w:r w:rsidRPr="00387E40">
        <w:t>30 of the National Law for a unique identifier for a domestic commercial vessel is prescribed.</w:t>
      </w:r>
    </w:p>
    <w:p w:rsidR="00630AF1" w:rsidRPr="00387E40" w:rsidRDefault="00630AF1" w:rsidP="00630AF1">
      <w:pPr>
        <w:pStyle w:val="notetext"/>
      </w:pPr>
      <w:r w:rsidRPr="00387E40">
        <w:t>Note:</w:t>
      </w:r>
      <w:r w:rsidRPr="00387E40">
        <w:tab/>
        <w:t>Fees are indexed under section</w:t>
      </w:r>
      <w:r w:rsidR="00387E40" w:rsidRPr="00387E40">
        <w:t> </w:t>
      </w:r>
      <w:r w:rsidRPr="00387E40">
        <w:t>52.</w:t>
      </w:r>
    </w:p>
    <w:p w:rsidR="006816DB" w:rsidRPr="00387E40" w:rsidRDefault="006816DB" w:rsidP="006816DB">
      <w:pPr>
        <w:pStyle w:val="subsection"/>
      </w:pPr>
      <w:r w:rsidRPr="00387E40">
        <w:tab/>
        <w:t>(2)</w:t>
      </w:r>
      <w:r w:rsidRPr="00387E40">
        <w:tab/>
        <w:t>If an application for a unique identifier for a domestic commercial vessel is not accompanied by the prescribed fee, the National Regulator is not required to deal with the application unless and until the fee is paid.</w:t>
      </w:r>
    </w:p>
    <w:p w:rsidR="00904032" w:rsidRPr="00387E40" w:rsidRDefault="00630AF1" w:rsidP="00904032">
      <w:pPr>
        <w:pStyle w:val="ActHead5"/>
      </w:pPr>
      <w:bookmarkStart w:id="11" w:name="_Toc515000505"/>
      <w:r w:rsidRPr="00387E40">
        <w:rPr>
          <w:rStyle w:val="CharSectno"/>
        </w:rPr>
        <w:t>50B</w:t>
      </w:r>
      <w:r w:rsidRPr="00387E40">
        <w:t xml:space="preserve">  </w:t>
      </w:r>
      <w:r w:rsidR="00904032" w:rsidRPr="00387E40">
        <w:t>Fees</w:t>
      </w:r>
      <w:r w:rsidR="009025CE" w:rsidRPr="00387E40">
        <w:t xml:space="preserve"> relating to </w:t>
      </w:r>
      <w:r w:rsidR="00904032" w:rsidRPr="00387E40">
        <w:t>certificates</w:t>
      </w:r>
      <w:bookmarkEnd w:id="11"/>
    </w:p>
    <w:p w:rsidR="007D6408" w:rsidRPr="00387E40" w:rsidRDefault="007D6408" w:rsidP="007D6408">
      <w:pPr>
        <w:pStyle w:val="subsection"/>
      </w:pPr>
      <w:r w:rsidRPr="00387E40">
        <w:tab/>
        <w:t>(1)</w:t>
      </w:r>
      <w:r w:rsidRPr="00387E40">
        <w:tab/>
        <w:t xml:space="preserve">For </w:t>
      </w:r>
      <w:r w:rsidR="00842500" w:rsidRPr="00387E40">
        <w:t xml:space="preserve">the purposes of </w:t>
      </w:r>
      <w:r w:rsidRPr="00387E40">
        <w:t>subsection</w:t>
      </w:r>
      <w:r w:rsidR="00387E40" w:rsidRPr="00387E40">
        <w:t> </w:t>
      </w:r>
      <w:r w:rsidRPr="00387E40">
        <w:t>150(1) of the National Law, the fees set out in the following table for providing a service mentioned in the table are prescribed.</w:t>
      </w:r>
    </w:p>
    <w:p w:rsidR="007D6408" w:rsidRPr="00387E40" w:rsidRDefault="007D6408" w:rsidP="007D6408">
      <w:pPr>
        <w:pStyle w:val="Tabletext"/>
      </w:pPr>
    </w:p>
    <w:tbl>
      <w:tblPr>
        <w:tblW w:w="0" w:type="auto"/>
        <w:tblInd w:w="113" w:type="dxa"/>
        <w:tblBorders>
          <w:top w:val="single" w:sz="1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7D6408" w:rsidRPr="00387E40" w:rsidTr="00D37EE8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D6408" w:rsidRPr="00387E40" w:rsidRDefault="007D6408" w:rsidP="006816DB">
            <w:pPr>
              <w:pStyle w:val="TableHeading"/>
            </w:pPr>
            <w:r w:rsidRPr="00387E40">
              <w:t xml:space="preserve">Fees relating </w:t>
            </w:r>
            <w:r w:rsidR="006816DB" w:rsidRPr="00387E40">
              <w:t xml:space="preserve">to </w:t>
            </w:r>
            <w:r w:rsidR="00C26885" w:rsidRPr="00387E40">
              <w:t>certificates</w:t>
            </w:r>
          </w:p>
        </w:tc>
      </w:tr>
      <w:tr w:rsidR="007D6408" w:rsidRPr="00387E40" w:rsidTr="000D771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6408" w:rsidRPr="00387E40" w:rsidRDefault="007D6408" w:rsidP="00D37EE8">
            <w:pPr>
              <w:pStyle w:val="TableHeading"/>
            </w:pPr>
            <w:r w:rsidRPr="00387E40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6408" w:rsidRPr="00387E40" w:rsidRDefault="007D6408" w:rsidP="00D37EE8">
            <w:pPr>
              <w:pStyle w:val="TableHeading"/>
            </w:pPr>
            <w:r w:rsidRPr="00387E40">
              <w:t>Service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6408" w:rsidRPr="00387E40" w:rsidRDefault="007D6408" w:rsidP="00D37EE8">
            <w:pPr>
              <w:pStyle w:val="TableHeading"/>
            </w:pPr>
            <w:r w:rsidRPr="00387E40">
              <w:t>Amount (excluding GST)</w:t>
            </w:r>
          </w:p>
        </w:tc>
      </w:tr>
      <w:tr w:rsidR="000D771A" w:rsidRPr="00387E40" w:rsidTr="000D771A">
        <w:tc>
          <w:tcPr>
            <w:tcW w:w="714" w:type="dxa"/>
            <w:tcBorders>
              <w:top w:val="single" w:sz="2" w:space="0" w:color="auto"/>
            </w:tcBorders>
            <w:shd w:val="clear" w:color="auto" w:fill="auto"/>
          </w:tcPr>
          <w:p w:rsidR="000D771A" w:rsidRPr="00387E40" w:rsidRDefault="00630AF1" w:rsidP="00D37EE8">
            <w:pPr>
              <w:pStyle w:val="Tabletext"/>
            </w:pPr>
            <w:r w:rsidRPr="00387E40">
              <w:t>1</w:t>
            </w:r>
          </w:p>
        </w:tc>
        <w:tc>
          <w:tcPr>
            <w:tcW w:w="3799" w:type="dxa"/>
            <w:tcBorders>
              <w:top w:val="single" w:sz="2" w:space="0" w:color="auto"/>
            </w:tcBorders>
            <w:shd w:val="clear" w:color="auto" w:fill="auto"/>
          </w:tcPr>
          <w:p w:rsidR="000D771A" w:rsidRPr="00387E40" w:rsidRDefault="000D771A" w:rsidP="00DE1A06">
            <w:pPr>
              <w:pStyle w:val="Tabletext"/>
            </w:pPr>
            <w:r w:rsidRPr="00387E40">
              <w:t>Assessing an application under section</w:t>
            </w:r>
            <w:r w:rsidR="00387E40" w:rsidRPr="00387E40">
              <w:t> </w:t>
            </w:r>
            <w:r w:rsidRPr="00387E40">
              <w:t>3</w:t>
            </w:r>
            <w:r w:rsidR="00C26885" w:rsidRPr="00387E40">
              <w:t>7</w:t>
            </w:r>
            <w:r w:rsidRPr="00387E40">
              <w:t xml:space="preserve"> of the National Law for a certificate of survey</w:t>
            </w:r>
          </w:p>
        </w:tc>
        <w:tc>
          <w:tcPr>
            <w:tcW w:w="3799" w:type="dxa"/>
            <w:tcBorders>
              <w:top w:val="single" w:sz="2" w:space="0" w:color="auto"/>
            </w:tcBorders>
            <w:shd w:val="clear" w:color="auto" w:fill="auto"/>
          </w:tcPr>
          <w:p w:rsidR="000D771A" w:rsidRPr="00387E40" w:rsidRDefault="000D771A" w:rsidP="00E47776">
            <w:pPr>
              <w:pStyle w:val="Tabletext"/>
            </w:pPr>
            <w:r w:rsidRPr="00387E40">
              <w:t>$</w:t>
            </w:r>
            <w:r w:rsidR="00E47776" w:rsidRPr="00387E40">
              <w:t>366</w:t>
            </w:r>
          </w:p>
        </w:tc>
      </w:tr>
      <w:tr w:rsidR="000D771A" w:rsidRPr="00387E40" w:rsidTr="00D37EE8">
        <w:tc>
          <w:tcPr>
            <w:tcW w:w="714" w:type="dxa"/>
            <w:shd w:val="clear" w:color="auto" w:fill="auto"/>
          </w:tcPr>
          <w:p w:rsidR="000D771A" w:rsidRPr="00387E40" w:rsidRDefault="00630AF1" w:rsidP="00D37EE8">
            <w:pPr>
              <w:pStyle w:val="Tabletext"/>
            </w:pPr>
            <w:r w:rsidRPr="00387E40">
              <w:t>2</w:t>
            </w:r>
          </w:p>
        </w:tc>
        <w:tc>
          <w:tcPr>
            <w:tcW w:w="3799" w:type="dxa"/>
            <w:shd w:val="clear" w:color="auto" w:fill="auto"/>
          </w:tcPr>
          <w:p w:rsidR="000D771A" w:rsidRPr="00387E40" w:rsidRDefault="000D771A" w:rsidP="00C26885">
            <w:pPr>
              <w:pStyle w:val="Tabletext"/>
            </w:pPr>
            <w:r w:rsidRPr="00387E40">
              <w:t>Assessing an application under section</w:t>
            </w:r>
            <w:r w:rsidR="00387E40" w:rsidRPr="00387E40">
              <w:t> </w:t>
            </w:r>
            <w:r w:rsidRPr="00387E40">
              <w:t xml:space="preserve">39 of the National Law for </w:t>
            </w:r>
            <w:r w:rsidR="00C26885" w:rsidRPr="00387E40">
              <w:t>a</w:t>
            </w:r>
            <w:r w:rsidRPr="00387E40">
              <w:t xml:space="preserve"> variation of a certificate of survey</w:t>
            </w:r>
          </w:p>
        </w:tc>
        <w:tc>
          <w:tcPr>
            <w:tcW w:w="3799" w:type="dxa"/>
            <w:shd w:val="clear" w:color="auto" w:fill="auto"/>
          </w:tcPr>
          <w:p w:rsidR="000D771A" w:rsidRPr="00387E40" w:rsidRDefault="000D771A" w:rsidP="00D37EE8">
            <w:pPr>
              <w:pStyle w:val="Tabletext"/>
            </w:pPr>
            <w:r w:rsidRPr="00387E40">
              <w:t>$190</w:t>
            </w:r>
          </w:p>
        </w:tc>
      </w:tr>
      <w:tr w:rsidR="000D771A" w:rsidRPr="00387E40" w:rsidTr="00D37EE8">
        <w:tc>
          <w:tcPr>
            <w:tcW w:w="714" w:type="dxa"/>
            <w:shd w:val="clear" w:color="auto" w:fill="auto"/>
          </w:tcPr>
          <w:p w:rsidR="000D771A" w:rsidRPr="00387E40" w:rsidRDefault="00630AF1" w:rsidP="00D37EE8">
            <w:pPr>
              <w:pStyle w:val="Tabletext"/>
            </w:pPr>
            <w:r w:rsidRPr="00387E40">
              <w:t>3</w:t>
            </w:r>
          </w:p>
        </w:tc>
        <w:tc>
          <w:tcPr>
            <w:tcW w:w="3799" w:type="dxa"/>
            <w:shd w:val="clear" w:color="auto" w:fill="auto"/>
          </w:tcPr>
          <w:p w:rsidR="000D771A" w:rsidRPr="00387E40" w:rsidRDefault="000D771A" w:rsidP="00DE1A06">
            <w:pPr>
              <w:pStyle w:val="Tabletext"/>
            </w:pPr>
            <w:r w:rsidRPr="00387E40">
              <w:t>Assessing an application under section</w:t>
            </w:r>
            <w:r w:rsidR="00387E40" w:rsidRPr="00387E40">
              <w:t> </w:t>
            </w:r>
            <w:r w:rsidRPr="00387E40">
              <w:t xml:space="preserve">39 of the National Law for </w:t>
            </w:r>
            <w:r w:rsidR="00DE1A06" w:rsidRPr="00387E40">
              <w:t>a</w:t>
            </w:r>
            <w:r w:rsidRPr="00387E40">
              <w:t xml:space="preserve"> suspension or revocation of a certificate of survey</w:t>
            </w:r>
          </w:p>
        </w:tc>
        <w:tc>
          <w:tcPr>
            <w:tcW w:w="3799" w:type="dxa"/>
            <w:shd w:val="clear" w:color="auto" w:fill="auto"/>
          </w:tcPr>
          <w:p w:rsidR="000D771A" w:rsidRPr="00387E40" w:rsidRDefault="000D771A" w:rsidP="00D37EE8">
            <w:pPr>
              <w:pStyle w:val="Tabletext"/>
            </w:pPr>
            <w:r w:rsidRPr="00387E40">
              <w:t>$208</w:t>
            </w:r>
          </w:p>
        </w:tc>
      </w:tr>
      <w:tr w:rsidR="000D771A" w:rsidRPr="00387E40" w:rsidTr="00D37EE8">
        <w:tc>
          <w:tcPr>
            <w:tcW w:w="714" w:type="dxa"/>
            <w:shd w:val="clear" w:color="auto" w:fill="auto"/>
          </w:tcPr>
          <w:p w:rsidR="000D771A" w:rsidRPr="00387E40" w:rsidRDefault="00630AF1" w:rsidP="00D37EE8">
            <w:pPr>
              <w:pStyle w:val="Tabletext"/>
            </w:pPr>
            <w:r w:rsidRPr="00387E40">
              <w:t>4</w:t>
            </w:r>
          </w:p>
        </w:tc>
        <w:tc>
          <w:tcPr>
            <w:tcW w:w="3799" w:type="dxa"/>
            <w:shd w:val="clear" w:color="auto" w:fill="auto"/>
          </w:tcPr>
          <w:p w:rsidR="000D771A" w:rsidRPr="00387E40" w:rsidRDefault="000D771A" w:rsidP="00DE1A06">
            <w:pPr>
              <w:pStyle w:val="Tabletext"/>
            </w:pPr>
            <w:r w:rsidRPr="00387E40">
              <w:t>Assessing an application</w:t>
            </w:r>
            <w:r w:rsidR="00B24191" w:rsidRPr="00387E40">
              <w:t xml:space="preserve"> </w:t>
            </w:r>
            <w:r w:rsidRPr="00387E40">
              <w:t xml:space="preserve">under </w:t>
            </w:r>
            <w:r w:rsidR="00DE1A06" w:rsidRPr="00387E40">
              <w:t>a</w:t>
            </w:r>
            <w:r w:rsidR="00B45731" w:rsidRPr="00387E40">
              <w:t xml:space="preserve"> Marine Order</w:t>
            </w:r>
            <w:r w:rsidRPr="00387E40">
              <w:rPr>
                <w:i/>
              </w:rPr>
              <w:t xml:space="preserve"> </w:t>
            </w:r>
            <w:r w:rsidRPr="00387E40">
              <w:t xml:space="preserve">for </w:t>
            </w:r>
            <w:r w:rsidR="00DE1A06" w:rsidRPr="00387E40">
              <w:t>a</w:t>
            </w:r>
            <w:r w:rsidRPr="00387E40">
              <w:t xml:space="preserve"> renewal of a certificate of survey</w:t>
            </w:r>
          </w:p>
        </w:tc>
        <w:tc>
          <w:tcPr>
            <w:tcW w:w="3799" w:type="dxa"/>
            <w:shd w:val="clear" w:color="auto" w:fill="auto"/>
          </w:tcPr>
          <w:p w:rsidR="000D771A" w:rsidRPr="00387E40" w:rsidRDefault="000D771A" w:rsidP="00E47776">
            <w:pPr>
              <w:pStyle w:val="Tabletext"/>
            </w:pPr>
            <w:r w:rsidRPr="00387E40">
              <w:t>$</w:t>
            </w:r>
            <w:r w:rsidR="00E47776" w:rsidRPr="00387E40">
              <w:t>206</w:t>
            </w:r>
          </w:p>
        </w:tc>
      </w:tr>
      <w:tr w:rsidR="000D771A" w:rsidRPr="00387E40" w:rsidTr="00D37EE8">
        <w:tc>
          <w:tcPr>
            <w:tcW w:w="714" w:type="dxa"/>
            <w:shd w:val="clear" w:color="auto" w:fill="auto"/>
          </w:tcPr>
          <w:p w:rsidR="000D771A" w:rsidRPr="00387E40" w:rsidRDefault="00630AF1" w:rsidP="00D37EE8">
            <w:pPr>
              <w:pStyle w:val="Tabletext"/>
            </w:pPr>
            <w:r w:rsidRPr="00387E40">
              <w:t>5</w:t>
            </w:r>
          </w:p>
        </w:tc>
        <w:tc>
          <w:tcPr>
            <w:tcW w:w="3799" w:type="dxa"/>
            <w:shd w:val="clear" w:color="auto" w:fill="auto"/>
          </w:tcPr>
          <w:p w:rsidR="000D771A" w:rsidRPr="00387E40" w:rsidRDefault="000D771A" w:rsidP="00DE1A06">
            <w:pPr>
              <w:pStyle w:val="Tabletext"/>
            </w:pPr>
            <w:r w:rsidRPr="00387E40">
              <w:t>Assessing an application under section</w:t>
            </w:r>
            <w:r w:rsidR="00387E40" w:rsidRPr="00387E40">
              <w:t> </w:t>
            </w:r>
            <w:r w:rsidRPr="00387E40">
              <w:t>47 of the National Law for a certificate of operation</w:t>
            </w:r>
            <w:r w:rsidR="00C26885" w:rsidRPr="00387E40">
              <w:t xml:space="preserve"> for one or more domestic commercial vessels</w:t>
            </w:r>
          </w:p>
        </w:tc>
        <w:tc>
          <w:tcPr>
            <w:tcW w:w="3799" w:type="dxa"/>
            <w:shd w:val="clear" w:color="auto" w:fill="auto"/>
          </w:tcPr>
          <w:p w:rsidR="000D771A" w:rsidRPr="00387E40" w:rsidRDefault="000D771A" w:rsidP="00024038">
            <w:pPr>
              <w:pStyle w:val="Tabletext"/>
            </w:pPr>
            <w:r w:rsidRPr="00387E40">
              <w:t>$194</w:t>
            </w:r>
          </w:p>
        </w:tc>
      </w:tr>
      <w:tr w:rsidR="000D771A" w:rsidRPr="00387E40" w:rsidTr="00D37EE8">
        <w:tc>
          <w:tcPr>
            <w:tcW w:w="714" w:type="dxa"/>
            <w:shd w:val="clear" w:color="auto" w:fill="auto"/>
          </w:tcPr>
          <w:p w:rsidR="000D771A" w:rsidRPr="00387E40" w:rsidRDefault="00630AF1" w:rsidP="00D37EE8">
            <w:pPr>
              <w:pStyle w:val="Tabletext"/>
            </w:pPr>
            <w:r w:rsidRPr="00387E40">
              <w:t>6</w:t>
            </w:r>
          </w:p>
        </w:tc>
        <w:tc>
          <w:tcPr>
            <w:tcW w:w="3799" w:type="dxa"/>
            <w:shd w:val="clear" w:color="auto" w:fill="auto"/>
          </w:tcPr>
          <w:p w:rsidR="000D771A" w:rsidRPr="00387E40" w:rsidRDefault="000D771A" w:rsidP="002D69CB">
            <w:pPr>
              <w:pStyle w:val="Tabletext"/>
            </w:pPr>
            <w:r w:rsidRPr="00387E40">
              <w:t>Assessing an application under section</w:t>
            </w:r>
            <w:r w:rsidR="00387E40" w:rsidRPr="00387E40">
              <w:t> </w:t>
            </w:r>
            <w:r w:rsidRPr="00387E40">
              <w:t xml:space="preserve">49 of the National Law for </w:t>
            </w:r>
            <w:r w:rsidR="002D69CB" w:rsidRPr="00387E40">
              <w:t>a</w:t>
            </w:r>
            <w:r w:rsidRPr="00387E40">
              <w:t xml:space="preserve"> variation of a certificate of operation</w:t>
            </w:r>
          </w:p>
        </w:tc>
        <w:tc>
          <w:tcPr>
            <w:tcW w:w="3799" w:type="dxa"/>
            <w:shd w:val="clear" w:color="auto" w:fill="auto"/>
          </w:tcPr>
          <w:p w:rsidR="000D771A" w:rsidRPr="00387E40" w:rsidRDefault="000D771A" w:rsidP="00024038">
            <w:pPr>
              <w:pStyle w:val="Tabletext"/>
            </w:pPr>
            <w:r w:rsidRPr="00387E40">
              <w:t>$181</w:t>
            </w:r>
          </w:p>
        </w:tc>
      </w:tr>
      <w:tr w:rsidR="000D771A" w:rsidRPr="00387E40" w:rsidTr="00D37EE8">
        <w:tc>
          <w:tcPr>
            <w:tcW w:w="714" w:type="dxa"/>
            <w:shd w:val="clear" w:color="auto" w:fill="auto"/>
          </w:tcPr>
          <w:p w:rsidR="000D771A" w:rsidRPr="00387E40" w:rsidRDefault="00630AF1" w:rsidP="00D37EE8">
            <w:pPr>
              <w:pStyle w:val="Tabletext"/>
            </w:pPr>
            <w:r w:rsidRPr="00387E40">
              <w:t>7</w:t>
            </w:r>
          </w:p>
        </w:tc>
        <w:tc>
          <w:tcPr>
            <w:tcW w:w="3799" w:type="dxa"/>
            <w:shd w:val="clear" w:color="auto" w:fill="auto"/>
          </w:tcPr>
          <w:p w:rsidR="000D771A" w:rsidRPr="00387E40" w:rsidRDefault="000D771A" w:rsidP="00DE1A06">
            <w:pPr>
              <w:pStyle w:val="Tabletext"/>
            </w:pPr>
            <w:r w:rsidRPr="00387E40">
              <w:t>Assessing an application under section</w:t>
            </w:r>
            <w:r w:rsidR="00387E40" w:rsidRPr="00387E40">
              <w:t> </w:t>
            </w:r>
            <w:r w:rsidRPr="00387E40">
              <w:t xml:space="preserve">49 of the National Law for </w:t>
            </w:r>
            <w:r w:rsidR="00DE1A06" w:rsidRPr="00387E40">
              <w:t>a</w:t>
            </w:r>
            <w:r w:rsidRPr="00387E40">
              <w:t xml:space="preserve"> suspension or revocation of a certificate of operation</w:t>
            </w:r>
          </w:p>
        </w:tc>
        <w:tc>
          <w:tcPr>
            <w:tcW w:w="3799" w:type="dxa"/>
            <w:shd w:val="clear" w:color="auto" w:fill="auto"/>
          </w:tcPr>
          <w:p w:rsidR="000D771A" w:rsidRPr="00387E40" w:rsidRDefault="000D771A" w:rsidP="00D37EE8">
            <w:pPr>
              <w:pStyle w:val="Tabletext"/>
            </w:pPr>
            <w:r w:rsidRPr="00387E40">
              <w:t>$208</w:t>
            </w:r>
          </w:p>
        </w:tc>
      </w:tr>
      <w:tr w:rsidR="000D771A" w:rsidRPr="00387E40" w:rsidTr="00D37EE8">
        <w:tc>
          <w:tcPr>
            <w:tcW w:w="714" w:type="dxa"/>
            <w:shd w:val="clear" w:color="auto" w:fill="auto"/>
          </w:tcPr>
          <w:p w:rsidR="000D771A" w:rsidRPr="00387E40" w:rsidRDefault="00630AF1" w:rsidP="00D43C10">
            <w:pPr>
              <w:pStyle w:val="Tabletext"/>
            </w:pPr>
            <w:r w:rsidRPr="00387E40">
              <w:t>8</w:t>
            </w:r>
          </w:p>
        </w:tc>
        <w:tc>
          <w:tcPr>
            <w:tcW w:w="3799" w:type="dxa"/>
            <w:shd w:val="clear" w:color="auto" w:fill="auto"/>
          </w:tcPr>
          <w:p w:rsidR="000D771A" w:rsidRPr="00387E40" w:rsidRDefault="000D771A" w:rsidP="00DE1A06">
            <w:pPr>
              <w:pStyle w:val="Tabletext"/>
            </w:pPr>
            <w:r w:rsidRPr="00387E40">
              <w:t>Assessing an application</w:t>
            </w:r>
            <w:r w:rsidR="00B24191" w:rsidRPr="00387E40">
              <w:t xml:space="preserve"> </w:t>
            </w:r>
            <w:r w:rsidRPr="00387E40">
              <w:t xml:space="preserve">under </w:t>
            </w:r>
            <w:r w:rsidR="00DE1A06" w:rsidRPr="00387E40">
              <w:t>a Marine Order</w:t>
            </w:r>
            <w:r w:rsidRPr="00387E40">
              <w:t xml:space="preserve"> for </w:t>
            </w:r>
            <w:r w:rsidR="00DE1A06" w:rsidRPr="00387E40">
              <w:t>a</w:t>
            </w:r>
            <w:r w:rsidRPr="00387E40">
              <w:t xml:space="preserve"> renewal of a certificate of operation</w:t>
            </w:r>
          </w:p>
        </w:tc>
        <w:tc>
          <w:tcPr>
            <w:tcW w:w="3799" w:type="dxa"/>
            <w:shd w:val="clear" w:color="auto" w:fill="auto"/>
          </w:tcPr>
          <w:p w:rsidR="000D771A" w:rsidRPr="00387E40" w:rsidRDefault="000D771A" w:rsidP="00B753D9">
            <w:pPr>
              <w:pStyle w:val="Tabletext"/>
            </w:pPr>
            <w:r w:rsidRPr="00387E40">
              <w:t>$194</w:t>
            </w:r>
          </w:p>
        </w:tc>
      </w:tr>
      <w:tr w:rsidR="000D771A" w:rsidRPr="00387E40" w:rsidTr="00D37EE8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0D771A" w:rsidRPr="00387E40" w:rsidRDefault="00630AF1" w:rsidP="00D37EE8">
            <w:pPr>
              <w:pStyle w:val="Tabletext"/>
            </w:pPr>
            <w:r w:rsidRPr="00387E40">
              <w:t>9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0D771A" w:rsidRPr="00387E40" w:rsidRDefault="000D771A" w:rsidP="00D37EE8">
            <w:pPr>
              <w:pStyle w:val="Tabletext"/>
            </w:pPr>
            <w:r w:rsidRPr="00387E40">
              <w:t>Assessing an application under section</w:t>
            </w:r>
            <w:r w:rsidR="00387E40" w:rsidRPr="00387E40">
              <w:t> </w:t>
            </w:r>
            <w:r w:rsidRPr="00387E40">
              <w:t>59</w:t>
            </w:r>
            <w:r w:rsidR="008D3C70" w:rsidRPr="00387E40">
              <w:t xml:space="preserve"> of the National Law</w:t>
            </w:r>
            <w:r w:rsidRPr="00387E40">
              <w:t xml:space="preserve"> for a certificate of competency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2103B1" w:rsidRPr="00387E40" w:rsidRDefault="002103B1" w:rsidP="001A3EF5">
            <w:pPr>
              <w:pStyle w:val="Tabletext"/>
            </w:pPr>
            <w:r w:rsidRPr="00387E40">
              <w:t>Either:</w:t>
            </w:r>
          </w:p>
          <w:p w:rsidR="000D771A" w:rsidRPr="00387E40" w:rsidRDefault="002103B1" w:rsidP="002103B1">
            <w:pPr>
              <w:pStyle w:val="Tablea"/>
            </w:pPr>
            <w:r w:rsidRPr="00387E40">
              <w:t xml:space="preserve">(a) </w:t>
            </w:r>
            <w:r w:rsidR="000D771A" w:rsidRPr="00387E40">
              <w:t xml:space="preserve">for a certificate of competency mentioned in </w:t>
            </w:r>
            <w:r w:rsidR="00387E40" w:rsidRPr="00387E40">
              <w:t>subsection (</w:t>
            </w:r>
            <w:r w:rsidR="000D771A" w:rsidRPr="00387E40">
              <w:t>2)—$151</w:t>
            </w:r>
          </w:p>
          <w:p w:rsidR="000D771A" w:rsidRPr="00387E40" w:rsidRDefault="002103B1" w:rsidP="002103B1">
            <w:pPr>
              <w:pStyle w:val="Tablea"/>
            </w:pPr>
            <w:r w:rsidRPr="00387E40">
              <w:t xml:space="preserve">(b) </w:t>
            </w:r>
            <w:r w:rsidR="000D771A" w:rsidRPr="00387E40">
              <w:t xml:space="preserve">for a certificate of competency mentioned in </w:t>
            </w:r>
            <w:r w:rsidR="00387E40" w:rsidRPr="00387E40">
              <w:t>subsection (</w:t>
            </w:r>
            <w:r w:rsidR="000D771A" w:rsidRPr="00387E40">
              <w:t>3)—$259</w:t>
            </w:r>
          </w:p>
        </w:tc>
      </w:tr>
      <w:tr w:rsidR="000D771A" w:rsidRPr="00387E40" w:rsidTr="00B753D9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D771A" w:rsidRPr="00387E40" w:rsidRDefault="000D771A" w:rsidP="00630AF1">
            <w:pPr>
              <w:pStyle w:val="Tabletext"/>
            </w:pPr>
            <w:r w:rsidRPr="00387E40">
              <w:t>1</w:t>
            </w:r>
            <w:r w:rsidR="00630AF1" w:rsidRPr="00387E40">
              <w:t>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D771A" w:rsidRPr="00387E40" w:rsidRDefault="000D771A" w:rsidP="00C24AEB">
            <w:pPr>
              <w:pStyle w:val="Tabletext"/>
            </w:pPr>
            <w:r w:rsidRPr="00387E40">
              <w:t xml:space="preserve">Assessing an application under </w:t>
            </w:r>
            <w:r w:rsidR="00C24AEB" w:rsidRPr="00387E40">
              <w:t>a Marine Order</w:t>
            </w:r>
            <w:r w:rsidRPr="00387E40">
              <w:t xml:space="preserve"> for </w:t>
            </w:r>
            <w:r w:rsidR="00DE1A06" w:rsidRPr="00387E40">
              <w:t>a</w:t>
            </w:r>
            <w:r w:rsidRPr="00387E40">
              <w:t xml:space="preserve"> renewal of a certificate of competency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2103B1" w:rsidRPr="00387E40" w:rsidRDefault="002103B1" w:rsidP="008A56ED">
            <w:pPr>
              <w:pStyle w:val="Tabletext"/>
            </w:pPr>
            <w:r w:rsidRPr="00387E40">
              <w:t>Either:</w:t>
            </w:r>
          </w:p>
          <w:p w:rsidR="000D771A" w:rsidRPr="00387E40" w:rsidRDefault="002103B1" w:rsidP="002103B1">
            <w:pPr>
              <w:pStyle w:val="Tablea"/>
            </w:pPr>
            <w:r w:rsidRPr="00387E40">
              <w:t>(a) for a</w:t>
            </w:r>
            <w:r w:rsidR="000D771A" w:rsidRPr="00387E40">
              <w:t xml:space="preserve"> renewal of a certificate of competency mentioned in </w:t>
            </w:r>
            <w:r w:rsidR="00387E40" w:rsidRPr="00387E40">
              <w:t>subsection (</w:t>
            </w:r>
            <w:r w:rsidR="000D771A" w:rsidRPr="00387E40">
              <w:t>2)—$138</w:t>
            </w:r>
          </w:p>
          <w:p w:rsidR="000D771A" w:rsidRPr="00387E40" w:rsidRDefault="002103B1" w:rsidP="002103B1">
            <w:pPr>
              <w:pStyle w:val="Tablea"/>
            </w:pPr>
            <w:r w:rsidRPr="00387E40">
              <w:t xml:space="preserve">(b) </w:t>
            </w:r>
            <w:r w:rsidR="000D771A" w:rsidRPr="00387E40">
              <w:t xml:space="preserve">for </w:t>
            </w:r>
            <w:r w:rsidRPr="00387E40">
              <w:t>a</w:t>
            </w:r>
            <w:r w:rsidR="000D771A" w:rsidRPr="00387E40">
              <w:t xml:space="preserve"> renewal of a certificate of competency mentioned in </w:t>
            </w:r>
            <w:r w:rsidR="00387E40" w:rsidRPr="00387E40">
              <w:t>subsection (</w:t>
            </w:r>
            <w:r w:rsidR="000D771A" w:rsidRPr="00387E40">
              <w:t>3)—$219</w:t>
            </w:r>
          </w:p>
        </w:tc>
      </w:tr>
      <w:tr w:rsidR="00823E0D" w:rsidRPr="00387E40" w:rsidTr="00B2419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3E0D" w:rsidRPr="00387E40" w:rsidRDefault="00DE75E3" w:rsidP="00630AF1">
            <w:pPr>
              <w:pStyle w:val="Tabletext"/>
            </w:pPr>
            <w:r w:rsidRPr="00387E40">
              <w:t>11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3E0D" w:rsidRPr="00387E40" w:rsidRDefault="00823E0D" w:rsidP="00974FB2">
            <w:pPr>
              <w:pStyle w:val="Tabletext"/>
            </w:pPr>
            <w:r w:rsidRPr="00387E40">
              <w:t xml:space="preserve">Assessing an application under </w:t>
            </w:r>
            <w:r w:rsidR="00974FB2" w:rsidRPr="00387E40">
              <w:t>section</w:t>
            </w:r>
            <w:r w:rsidR="00387E40" w:rsidRPr="00387E40">
              <w:t> </w:t>
            </w:r>
            <w:r w:rsidR="00974FB2" w:rsidRPr="00387E40">
              <w:t xml:space="preserve">61 of the National Law </w:t>
            </w:r>
            <w:r w:rsidR="00DE75E3" w:rsidRPr="00387E40">
              <w:t>for a variation of a certificate of competency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3E0D" w:rsidRPr="00387E40" w:rsidRDefault="008F2313" w:rsidP="00B24191">
            <w:pPr>
              <w:pStyle w:val="Tablea"/>
            </w:pPr>
            <w:r w:rsidRPr="00387E40">
              <w:t>$138</w:t>
            </w:r>
          </w:p>
        </w:tc>
      </w:tr>
      <w:tr w:rsidR="00823E0D" w:rsidRPr="00387E40" w:rsidTr="00B2419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3E0D" w:rsidRPr="00387E40" w:rsidRDefault="00607411" w:rsidP="00630AF1">
            <w:pPr>
              <w:pStyle w:val="Tabletext"/>
            </w:pPr>
            <w:r w:rsidRPr="00387E40">
              <w:t>12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3E0D" w:rsidRPr="00387E40" w:rsidRDefault="00B13DA0" w:rsidP="0011269B">
            <w:pPr>
              <w:pStyle w:val="Tabletext"/>
            </w:pPr>
            <w:r w:rsidRPr="00387E40">
              <w:t xml:space="preserve">Conducting </w:t>
            </w:r>
            <w:r w:rsidR="00194BB0" w:rsidRPr="00387E40">
              <w:t>an assessment</w:t>
            </w:r>
            <w:r w:rsidRPr="00387E40">
              <w:t xml:space="preserve"> </w:t>
            </w:r>
            <w:r w:rsidR="0011269B" w:rsidRPr="00387E40">
              <w:t xml:space="preserve">under a Marine Order </w:t>
            </w:r>
            <w:r w:rsidR="00C511BD" w:rsidRPr="00387E40">
              <w:t xml:space="preserve">of an applicant’s experience and competence </w:t>
            </w:r>
            <w:r w:rsidR="0011269B" w:rsidRPr="00387E40">
              <w:t>in connection with</w:t>
            </w:r>
            <w:r w:rsidR="0050458F" w:rsidRPr="00387E40">
              <w:t xml:space="preserve"> the issue</w:t>
            </w:r>
            <w:r w:rsidR="00974FB2" w:rsidRPr="00387E40">
              <w:t xml:space="preserve"> of a certificate of competency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3E0D" w:rsidRPr="00387E40" w:rsidRDefault="0050458F" w:rsidP="00B24191">
            <w:pPr>
              <w:pStyle w:val="Tablea"/>
            </w:pPr>
            <w:r w:rsidRPr="00387E40">
              <w:t>$340</w:t>
            </w:r>
          </w:p>
        </w:tc>
      </w:tr>
      <w:tr w:rsidR="00823E0D" w:rsidRPr="00387E40" w:rsidTr="00B2419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3E0D" w:rsidRPr="00387E40" w:rsidRDefault="00823E0D" w:rsidP="00B13DA0">
            <w:pPr>
              <w:pStyle w:val="Tabletext"/>
            </w:pPr>
            <w:r w:rsidRPr="00387E40">
              <w:t>1</w:t>
            </w:r>
            <w:r w:rsidR="00B13DA0" w:rsidRPr="00387E40">
              <w:t>3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3E0D" w:rsidRPr="00387E40" w:rsidRDefault="00823E0D" w:rsidP="00B24191">
            <w:pPr>
              <w:pStyle w:val="Tabletext"/>
            </w:pPr>
            <w:r w:rsidRPr="00387E40">
              <w:t>Replacing a certificate of survey or a certificate of operation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23E0D" w:rsidRPr="00387E40" w:rsidRDefault="00823E0D" w:rsidP="00B24191">
            <w:pPr>
              <w:pStyle w:val="Tablea"/>
            </w:pPr>
            <w:r w:rsidRPr="00387E40">
              <w:t>$37</w:t>
            </w:r>
          </w:p>
        </w:tc>
      </w:tr>
      <w:tr w:rsidR="00823E0D" w:rsidRPr="00387E40" w:rsidTr="00D37EE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23E0D" w:rsidRPr="00387E40" w:rsidRDefault="00823E0D" w:rsidP="00B13DA0">
            <w:pPr>
              <w:pStyle w:val="Tabletext"/>
            </w:pPr>
            <w:r w:rsidRPr="00387E40">
              <w:t>1</w:t>
            </w:r>
            <w:r w:rsidR="00B13DA0" w:rsidRPr="00387E40">
              <w:t>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23E0D" w:rsidRPr="00387E40" w:rsidRDefault="00823E0D" w:rsidP="006D489C">
            <w:pPr>
              <w:pStyle w:val="Tabletext"/>
            </w:pPr>
            <w:r w:rsidRPr="00387E40">
              <w:t>Replacing a lost or stolen certificate of competency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23E0D" w:rsidRPr="00387E40" w:rsidRDefault="00823E0D" w:rsidP="008A56ED">
            <w:pPr>
              <w:pStyle w:val="Tabletext"/>
            </w:pPr>
            <w:r w:rsidRPr="00387E40">
              <w:t>$138</w:t>
            </w:r>
          </w:p>
        </w:tc>
      </w:tr>
    </w:tbl>
    <w:p w:rsidR="00B26F1F" w:rsidRPr="00387E40" w:rsidRDefault="00B26F1F" w:rsidP="00B26F1F">
      <w:pPr>
        <w:pStyle w:val="notetext"/>
      </w:pPr>
      <w:r w:rsidRPr="00387E40">
        <w:t>Note:</w:t>
      </w:r>
      <w:r w:rsidRPr="00387E40">
        <w:tab/>
        <w:t>Fees are indexed under section</w:t>
      </w:r>
      <w:r w:rsidR="00387E40" w:rsidRPr="00387E40">
        <w:t> </w:t>
      </w:r>
      <w:r w:rsidRPr="00387E40">
        <w:t>52.</w:t>
      </w:r>
    </w:p>
    <w:p w:rsidR="007D6408" w:rsidRPr="00387E40" w:rsidRDefault="003C5E1C" w:rsidP="003C5E1C">
      <w:pPr>
        <w:pStyle w:val="subsection"/>
      </w:pPr>
      <w:r w:rsidRPr="00387E40">
        <w:tab/>
        <w:t>(2)</w:t>
      </w:r>
      <w:r w:rsidRPr="00387E40">
        <w:tab/>
      </w:r>
      <w:r w:rsidR="00546495" w:rsidRPr="00387E40">
        <w:t>For the purposes of items</w:t>
      </w:r>
      <w:r w:rsidR="00387E40" w:rsidRPr="00387E40">
        <w:t> </w:t>
      </w:r>
      <w:r w:rsidR="00630AF1" w:rsidRPr="00387E40">
        <w:t>9</w:t>
      </w:r>
      <w:r w:rsidR="00546495" w:rsidRPr="00387E40">
        <w:t xml:space="preserve"> and </w:t>
      </w:r>
      <w:r w:rsidR="002D69CB" w:rsidRPr="00387E40">
        <w:t>1</w:t>
      </w:r>
      <w:r w:rsidR="00B45731" w:rsidRPr="00387E40">
        <w:t>0</w:t>
      </w:r>
      <w:r w:rsidR="00546495" w:rsidRPr="00387E40">
        <w:t xml:space="preserve"> of the table, the </w:t>
      </w:r>
      <w:r w:rsidR="00695CC1" w:rsidRPr="00387E40">
        <w:t xml:space="preserve">certificates of competency are the following certificates described in </w:t>
      </w:r>
      <w:r w:rsidR="002103B1" w:rsidRPr="00387E40">
        <w:t>a Marine Order</w:t>
      </w:r>
      <w:r w:rsidRPr="00387E40">
        <w:t>:</w:t>
      </w:r>
    </w:p>
    <w:p w:rsidR="003C5E1C" w:rsidRPr="00387E40" w:rsidRDefault="003C5E1C" w:rsidP="003C5E1C">
      <w:pPr>
        <w:pStyle w:val="paragraph"/>
      </w:pPr>
      <w:r w:rsidRPr="00387E40">
        <w:tab/>
        <w:t>(a)</w:t>
      </w:r>
      <w:r w:rsidRPr="00387E40">
        <w:tab/>
      </w:r>
      <w:r w:rsidR="00695CC1" w:rsidRPr="00387E40">
        <w:t>Master &lt;24 m NC</w:t>
      </w:r>
      <w:r w:rsidRPr="00387E40">
        <w:t>;</w:t>
      </w:r>
    </w:p>
    <w:p w:rsidR="003C5E1C" w:rsidRPr="00387E40" w:rsidRDefault="003C5E1C" w:rsidP="003C5E1C">
      <w:pPr>
        <w:pStyle w:val="paragraph"/>
      </w:pPr>
      <w:r w:rsidRPr="00387E40">
        <w:tab/>
        <w:t>(b)</w:t>
      </w:r>
      <w:r w:rsidRPr="00387E40">
        <w:tab/>
      </w:r>
      <w:r w:rsidR="00695CC1" w:rsidRPr="00387E40">
        <w:t>Master (I</w:t>
      </w:r>
      <w:r w:rsidRPr="00387E40">
        <w:t xml:space="preserve">nland </w:t>
      </w:r>
      <w:r w:rsidR="00695CC1" w:rsidRPr="00387E40">
        <w:t>W</w:t>
      </w:r>
      <w:r w:rsidRPr="00387E40">
        <w:t>aters)</w:t>
      </w:r>
      <w:r w:rsidR="00695CC1" w:rsidRPr="00387E40">
        <w:t>;</w:t>
      </w:r>
    </w:p>
    <w:p w:rsidR="003C5E1C" w:rsidRPr="00387E40" w:rsidRDefault="003C5E1C" w:rsidP="003C5E1C">
      <w:pPr>
        <w:pStyle w:val="paragraph"/>
      </w:pPr>
      <w:r w:rsidRPr="00387E40">
        <w:tab/>
        <w:t>(c)</w:t>
      </w:r>
      <w:r w:rsidRPr="00387E40">
        <w:tab/>
      </w:r>
      <w:r w:rsidR="00695CC1" w:rsidRPr="00387E40">
        <w:t>C</w:t>
      </w:r>
      <w:r w:rsidRPr="00387E40">
        <w:t xml:space="preserve">oxswain </w:t>
      </w:r>
      <w:r w:rsidR="002103B1" w:rsidRPr="00387E40">
        <w:t>G</w:t>
      </w:r>
      <w:r w:rsidRPr="00387E40">
        <w:t xml:space="preserve">rade 1 </w:t>
      </w:r>
      <w:r w:rsidR="00695CC1" w:rsidRPr="00387E40">
        <w:t>(NC);</w:t>
      </w:r>
    </w:p>
    <w:p w:rsidR="00695CC1" w:rsidRPr="00387E40" w:rsidRDefault="00695CC1" w:rsidP="003C5E1C">
      <w:pPr>
        <w:pStyle w:val="paragraph"/>
      </w:pPr>
      <w:r w:rsidRPr="00387E40">
        <w:tab/>
        <w:t>(d)</w:t>
      </w:r>
      <w:r w:rsidRPr="00387E40">
        <w:tab/>
        <w:t>Coxswain Grade 2 NC;</w:t>
      </w:r>
    </w:p>
    <w:p w:rsidR="003C5E1C" w:rsidRPr="00387E40" w:rsidRDefault="003C5E1C" w:rsidP="003C5E1C">
      <w:pPr>
        <w:pStyle w:val="paragraph"/>
      </w:pPr>
      <w:r w:rsidRPr="00387E40">
        <w:tab/>
        <w:t>(</w:t>
      </w:r>
      <w:r w:rsidR="00695CC1" w:rsidRPr="00387E40">
        <w:t>e</w:t>
      </w:r>
      <w:r w:rsidRPr="00387E40">
        <w:t>)</w:t>
      </w:r>
      <w:r w:rsidRPr="00387E40">
        <w:tab/>
      </w:r>
      <w:r w:rsidR="00695CC1" w:rsidRPr="00387E40">
        <w:t>M</w:t>
      </w:r>
      <w:r w:rsidRPr="00387E40">
        <w:t xml:space="preserve">arine </w:t>
      </w:r>
      <w:r w:rsidR="00695CC1" w:rsidRPr="00387E40">
        <w:t>E</w:t>
      </w:r>
      <w:r w:rsidRPr="00387E40">
        <w:t xml:space="preserve">ngine </w:t>
      </w:r>
      <w:r w:rsidR="00695CC1" w:rsidRPr="00387E40">
        <w:t>D</w:t>
      </w:r>
      <w:r w:rsidRPr="00387E40">
        <w:t xml:space="preserve">river </w:t>
      </w:r>
      <w:r w:rsidR="00695CC1" w:rsidRPr="00387E40">
        <w:t>G</w:t>
      </w:r>
      <w:r w:rsidRPr="00387E40">
        <w:t xml:space="preserve">rade 2 </w:t>
      </w:r>
      <w:r w:rsidR="00695CC1" w:rsidRPr="00387E40">
        <w:t>(NC);</w:t>
      </w:r>
    </w:p>
    <w:p w:rsidR="00695CC1" w:rsidRPr="00387E40" w:rsidRDefault="00695CC1" w:rsidP="003C5E1C">
      <w:pPr>
        <w:pStyle w:val="paragraph"/>
      </w:pPr>
      <w:r w:rsidRPr="00387E40">
        <w:tab/>
        <w:t>(f)</w:t>
      </w:r>
      <w:r w:rsidRPr="00387E40">
        <w:tab/>
        <w:t>Marine Engine Driver Grade 3 (NC);</w:t>
      </w:r>
    </w:p>
    <w:p w:rsidR="003C5E1C" w:rsidRPr="00387E40" w:rsidRDefault="003C5E1C" w:rsidP="003C5E1C">
      <w:pPr>
        <w:pStyle w:val="paragraph"/>
      </w:pPr>
      <w:r w:rsidRPr="00387E40">
        <w:tab/>
        <w:t>(</w:t>
      </w:r>
      <w:r w:rsidR="00695CC1" w:rsidRPr="00387E40">
        <w:t>g</w:t>
      </w:r>
      <w:r w:rsidRPr="00387E40">
        <w:t>)</w:t>
      </w:r>
      <w:r w:rsidRPr="00387E40">
        <w:tab/>
      </w:r>
      <w:r w:rsidR="00695CC1" w:rsidRPr="00387E40">
        <w:t>G</w:t>
      </w:r>
      <w:r w:rsidR="00546495" w:rsidRPr="00387E40">
        <w:t xml:space="preserve">eneral </w:t>
      </w:r>
      <w:r w:rsidR="00695CC1" w:rsidRPr="00387E40">
        <w:t>P</w:t>
      </w:r>
      <w:r w:rsidR="00546495" w:rsidRPr="00387E40">
        <w:t xml:space="preserve">urpose </w:t>
      </w:r>
      <w:r w:rsidR="00695CC1" w:rsidRPr="00387E40">
        <w:t>H</w:t>
      </w:r>
      <w:r w:rsidR="00546495" w:rsidRPr="00387E40">
        <w:t>and (</w:t>
      </w:r>
      <w:r w:rsidR="00695CC1" w:rsidRPr="00387E40">
        <w:t>NC</w:t>
      </w:r>
      <w:r w:rsidR="00546495" w:rsidRPr="00387E40">
        <w:t>).</w:t>
      </w:r>
    </w:p>
    <w:p w:rsidR="00546495" w:rsidRPr="00387E40" w:rsidRDefault="00546495" w:rsidP="00546495">
      <w:pPr>
        <w:pStyle w:val="subsection"/>
      </w:pPr>
      <w:r w:rsidRPr="00387E40">
        <w:tab/>
        <w:t>(3)</w:t>
      </w:r>
      <w:r w:rsidRPr="00387E40">
        <w:tab/>
        <w:t>For the purposes of items</w:t>
      </w:r>
      <w:r w:rsidR="00387E40" w:rsidRPr="00387E40">
        <w:t> </w:t>
      </w:r>
      <w:r w:rsidR="00630AF1" w:rsidRPr="00387E40">
        <w:t>9</w:t>
      </w:r>
      <w:r w:rsidRPr="00387E40">
        <w:t xml:space="preserve"> and </w:t>
      </w:r>
      <w:r w:rsidR="002D69CB" w:rsidRPr="00387E40">
        <w:t>1</w:t>
      </w:r>
      <w:r w:rsidR="00630AF1" w:rsidRPr="00387E40">
        <w:t>0</w:t>
      </w:r>
      <w:r w:rsidRPr="00387E40">
        <w:t xml:space="preserve"> of the table, the </w:t>
      </w:r>
      <w:r w:rsidR="00695CC1" w:rsidRPr="00387E40">
        <w:t xml:space="preserve">certificates of competency are the following certificates described in </w:t>
      </w:r>
      <w:r w:rsidR="002103B1" w:rsidRPr="00387E40">
        <w:t>a Marine Order</w:t>
      </w:r>
      <w:r w:rsidRPr="00387E40">
        <w:t>:</w:t>
      </w:r>
    </w:p>
    <w:p w:rsidR="00546495" w:rsidRPr="00387E40" w:rsidRDefault="00546495" w:rsidP="00546495">
      <w:pPr>
        <w:pStyle w:val="paragraph"/>
      </w:pPr>
      <w:r w:rsidRPr="00387E40">
        <w:tab/>
        <w:t>(a)</w:t>
      </w:r>
      <w:r w:rsidRPr="00387E40">
        <w:tab/>
      </w:r>
      <w:r w:rsidR="00695CC1" w:rsidRPr="00387E40">
        <w:t>M</w:t>
      </w:r>
      <w:r w:rsidRPr="00387E40">
        <w:t xml:space="preserve">aster </w:t>
      </w:r>
      <w:r w:rsidR="00695CC1" w:rsidRPr="00387E40">
        <w:t>&lt;35 m NC</w:t>
      </w:r>
      <w:r w:rsidRPr="00387E40">
        <w:t>;</w:t>
      </w:r>
    </w:p>
    <w:p w:rsidR="00546495" w:rsidRPr="00387E40" w:rsidRDefault="00546495" w:rsidP="00546495">
      <w:pPr>
        <w:pStyle w:val="paragraph"/>
      </w:pPr>
      <w:r w:rsidRPr="00387E40">
        <w:tab/>
        <w:t>(b)</w:t>
      </w:r>
      <w:r w:rsidRPr="00387E40">
        <w:tab/>
      </w:r>
      <w:r w:rsidR="00695CC1" w:rsidRPr="00387E40">
        <w:t xml:space="preserve">Master &lt; </w:t>
      </w:r>
      <w:r w:rsidRPr="00387E40">
        <w:t xml:space="preserve">80 </w:t>
      </w:r>
      <w:r w:rsidR="00695CC1" w:rsidRPr="00387E40">
        <w:t>m</w:t>
      </w:r>
      <w:r w:rsidRPr="00387E40">
        <w:t xml:space="preserve"> </w:t>
      </w:r>
      <w:r w:rsidR="00695CC1" w:rsidRPr="00387E40">
        <w:t>NC;</w:t>
      </w:r>
    </w:p>
    <w:p w:rsidR="00546495" w:rsidRPr="00387E40" w:rsidRDefault="00546495" w:rsidP="00546495">
      <w:pPr>
        <w:pStyle w:val="paragraph"/>
      </w:pPr>
      <w:r w:rsidRPr="00387E40">
        <w:tab/>
        <w:t>(c)</w:t>
      </w:r>
      <w:r w:rsidRPr="00387E40">
        <w:tab/>
      </w:r>
      <w:r w:rsidR="00695CC1" w:rsidRPr="00387E40">
        <w:t>M</w:t>
      </w:r>
      <w:r w:rsidRPr="00387E40">
        <w:t xml:space="preserve">ate </w:t>
      </w:r>
      <w:r w:rsidR="00695CC1" w:rsidRPr="00387E40">
        <w:t>&lt;</w:t>
      </w:r>
      <w:r w:rsidRPr="00387E40">
        <w:t xml:space="preserve"> 80 </w:t>
      </w:r>
      <w:r w:rsidR="00695CC1" w:rsidRPr="00387E40">
        <w:t>m</w:t>
      </w:r>
      <w:r w:rsidRPr="00387E40">
        <w:t xml:space="preserve"> </w:t>
      </w:r>
      <w:r w:rsidR="00695CC1" w:rsidRPr="00387E40">
        <w:t>NC;</w:t>
      </w:r>
    </w:p>
    <w:p w:rsidR="00546495" w:rsidRPr="00387E40" w:rsidRDefault="00546495" w:rsidP="00546495">
      <w:pPr>
        <w:pStyle w:val="paragraph"/>
      </w:pPr>
      <w:r w:rsidRPr="00387E40">
        <w:tab/>
        <w:t>(d)</w:t>
      </w:r>
      <w:r w:rsidRPr="00387E40">
        <w:tab/>
      </w:r>
      <w:r w:rsidR="00695CC1" w:rsidRPr="00387E40">
        <w:t>M</w:t>
      </w:r>
      <w:r w:rsidRPr="00387E40">
        <w:t xml:space="preserve">arine </w:t>
      </w:r>
      <w:r w:rsidR="00695CC1" w:rsidRPr="00387E40">
        <w:t>E</w:t>
      </w:r>
      <w:r w:rsidRPr="00387E40">
        <w:t xml:space="preserve">ngine </w:t>
      </w:r>
      <w:r w:rsidR="00695CC1" w:rsidRPr="00387E40">
        <w:t>D</w:t>
      </w:r>
      <w:r w:rsidRPr="00387E40">
        <w:t xml:space="preserve">river </w:t>
      </w:r>
      <w:r w:rsidR="00695CC1" w:rsidRPr="00387E40">
        <w:t>G</w:t>
      </w:r>
      <w:r w:rsidRPr="00387E40">
        <w:t>rade 1 (</w:t>
      </w:r>
      <w:r w:rsidR="00695CC1" w:rsidRPr="00387E40">
        <w:t>NC</w:t>
      </w:r>
      <w:r w:rsidRPr="00387E40">
        <w:t>)</w:t>
      </w:r>
      <w:r w:rsidR="00695CC1" w:rsidRPr="00387E40">
        <w:t>;</w:t>
      </w:r>
    </w:p>
    <w:p w:rsidR="00546495" w:rsidRPr="00387E40" w:rsidRDefault="00546495" w:rsidP="00546495">
      <w:pPr>
        <w:pStyle w:val="paragraph"/>
      </w:pPr>
      <w:r w:rsidRPr="00387E40">
        <w:tab/>
        <w:t>(e)</w:t>
      </w:r>
      <w:r w:rsidRPr="00387E40">
        <w:tab/>
      </w:r>
      <w:r w:rsidR="00695CC1" w:rsidRPr="00387E40">
        <w:t>E</w:t>
      </w:r>
      <w:r w:rsidRPr="00387E40">
        <w:t xml:space="preserve">ngineer </w:t>
      </w:r>
      <w:r w:rsidR="00695CC1" w:rsidRPr="00387E40">
        <w:t>C</w:t>
      </w:r>
      <w:r w:rsidRPr="00387E40">
        <w:t>lass 3 (</w:t>
      </w:r>
      <w:r w:rsidR="00695CC1" w:rsidRPr="00387E40">
        <w:t>NC</w:t>
      </w:r>
      <w:r w:rsidRPr="00387E40">
        <w:t>).</w:t>
      </w:r>
    </w:p>
    <w:p w:rsidR="006816DB" w:rsidRPr="00387E40" w:rsidRDefault="006816DB" w:rsidP="006816DB">
      <w:pPr>
        <w:pStyle w:val="subsection"/>
      </w:pPr>
      <w:r w:rsidRPr="00387E40">
        <w:tab/>
        <w:t>(4)</w:t>
      </w:r>
      <w:r w:rsidRPr="00387E40">
        <w:tab/>
        <w:t xml:space="preserve">If an application </w:t>
      </w:r>
      <w:r w:rsidR="00AF07C5" w:rsidRPr="00387E40">
        <w:t>for the issue, variation, suspension, revocation, renewal or replacement of</w:t>
      </w:r>
      <w:r w:rsidRPr="00387E40">
        <w:t xml:space="preserve"> a </w:t>
      </w:r>
      <w:r w:rsidR="00AF07C5" w:rsidRPr="00387E40">
        <w:t>certificate is</w:t>
      </w:r>
      <w:r w:rsidRPr="00387E40">
        <w:t xml:space="preserve"> not accompanied by the prescribed fee, the National Regulator is not required to deal with the application unless and until the fee is paid.</w:t>
      </w:r>
    </w:p>
    <w:p w:rsidR="00607411" w:rsidRPr="00387E40" w:rsidRDefault="00607411" w:rsidP="00607411">
      <w:pPr>
        <w:pStyle w:val="ActHead5"/>
      </w:pPr>
      <w:bookmarkStart w:id="12" w:name="_Toc515000506"/>
      <w:r w:rsidRPr="00387E40">
        <w:rPr>
          <w:rStyle w:val="CharSectno"/>
        </w:rPr>
        <w:t>50C</w:t>
      </w:r>
      <w:r w:rsidRPr="00387E40">
        <w:t xml:space="preserve">  Fees relating to </w:t>
      </w:r>
      <w:r w:rsidR="00E71ECA" w:rsidRPr="00387E40">
        <w:t xml:space="preserve">approvals under </w:t>
      </w:r>
      <w:r w:rsidRPr="00387E40">
        <w:t>exemptions</w:t>
      </w:r>
      <w:r w:rsidR="00E71ECA" w:rsidRPr="00387E40">
        <w:t xml:space="preserve"> granted on initiative of National Regu</w:t>
      </w:r>
      <w:r w:rsidR="00010150" w:rsidRPr="00387E40">
        <w:t>l</w:t>
      </w:r>
      <w:r w:rsidR="00E71ECA" w:rsidRPr="00387E40">
        <w:t>ator</w:t>
      </w:r>
      <w:bookmarkEnd w:id="12"/>
    </w:p>
    <w:p w:rsidR="00607411" w:rsidRPr="00387E40" w:rsidRDefault="00607411" w:rsidP="00607411">
      <w:pPr>
        <w:pStyle w:val="subsection"/>
      </w:pPr>
      <w:r w:rsidRPr="00387E40">
        <w:tab/>
      </w:r>
      <w:r w:rsidR="00D018A7" w:rsidRPr="00387E40">
        <w:t>(1)</w:t>
      </w:r>
      <w:r w:rsidR="009F48F6" w:rsidRPr="00387E40">
        <w:tab/>
      </w:r>
      <w:r w:rsidRPr="00387E40">
        <w:t>For the purposes of subsection</w:t>
      </w:r>
      <w:r w:rsidR="00387E40" w:rsidRPr="00387E40">
        <w:t> </w:t>
      </w:r>
      <w:r w:rsidRPr="00387E40">
        <w:t xml:space="preserve">150(1) of the National Law, the fees set out in the following table </w:t>
      </w:r>
      <w:r w:rsidR="00E71ECA" w:rsidRPr="00387E40">
        <w:t>are prescribed for assessing an application for an approval under an exemption granted on the National Regulator’s</w:t>
      </w:r>
      <w:r w:rsidR="00010150" w:rsidRPr="00387E40">
        <w:t xml:space="preserve"> </w:t>
      </w:r>
      <w:r w:rsidR="00E71ECA" w:rsidRPr="00387E40">
        <w:t>initiative under paragraph</w:t>
      </w:r>
      <w:r w:rsidR="00387E40" w:rsidRPr="00387E40">
        <w:t> </w:t>
      </w:r>
      <w:r w:rsidR="00E71ECA" w:rsidRPr="00387E40">
        <w:t>143(4)(b) of the National Law.</w:t>
      </w:r>
    </w:p>
    <w:p w:rsidR="00607411" w:rsidRPr="00387E40" w:rsidRDefault="00607411" w:rsidP="00607411">
      <w:pPr>
        <w:pStyle w:val="Tabletext"/>
      </w:pPr>
    </w:p>
    <w:tbl>
      <w:tblPr>
        <w:tblW w:w="0" w:type="auto"/>
        <w:tblInd w:w="113" w:type="dxa"/>
        <w:tblBorders>
          <w:top w:val="single" w:sz="1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235"/>
        <w:gridCol w:w="2363"/>
      </w:tblGrid>
      <w:tr w:rsidR="00607411" w:rsidRPr="00387E40" w:rsidTr="006D489C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07411" w:rsidRPr="00387E40" w:rsidRDefault="00607411" w:rsidP="00010150">
            <w:pPr>
              <w:pStyle w:val="TableHeading"/>
            </w:pPr>
            <w:r w:rsidRPr="00387E40">
              <w:t xml:space="preserve">Fees relating to </w:t>
            </w:r>
            <w:r w:rsidR="00010150" w:rsidRPr="00387E40">
              <w:t>approvals under</w:t>
            </w:r>
            <w:r w:rsidR="00E71ECA" w:rsidRPr="00387E40">
              <w:t xml:space="preserve"> </w:t>
            </w:r>
            <w:r w:rsidRPr="00387E40">
              <w:t>exemptions</w:t>
            </w:r>
          </w:p>
        </w:tc>
      </w:tr>
      <w:tr w:rsidR="00607411" w:rsidRPr="00387E40" w:rsidTr="0069568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07411" w:rsidRPr="00387E40" w:rsidRDefault="00607411" w:rsidP="006D489C">
            <w:pPr>
              <w:pStyle w:val="TableHeading"/>
            </w:pPr>
            <w:r w:rsidRPr="00387E40">
              <w:t>Item</w:t>
            </w:r>
          </w:p>
        </w:tc>
        <w:tc>
          <w:tcPr>
            <w:tcW w:w="52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07411" w:rsidRPr="00387E40" w:rsidRDefault="00E71ECA" w:rsidP="006D489C">
            <w:pPr>
              <w:pStyle w:val="TableHeading"/>
            </w:pPr>
            <w:r w:rsidRPr="00387E40">
              <w:t>Exemption</w:t>
            </w:r>
          </w:p>
        </w:tc>
        <w:tc>
          <w:tcPr>
            <w:tcW w:w="23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07411" w:rsidRPr="00387E40" w:rsidRDefault="00607411" w:rsidP="006D489C">
            <w:pPr>
              <w:pStyle w:val="TableHeading"/>
            </w:pPr>
            <w:r w:rsidRPr="00387E40">
              <w:t>Amount (excluding GST)</w:t>
            </w:r>
          </w:p>
        </w:tc>
      </w:tr>
      <w:tr w:rsidR="0011269B" w:rsidRPr="00387E40" w:rsidTr="00695685">
        <w:tc>
          <w:tcPr>
            <w:tcW w:w="714" w:type="dxa"/>
            <w:tcBorders>
              <w:top w:val="single" w:sz="2" w:space="0" w:color="auto"/>
            </w:tcBorders>
            <w:shd w:val="clear" w:color="auto" w:fill="auto"/>
          </w:tcPr>
          <w:p w:rsidR="0011269B" w:rsidRPr="00387E40" w:rsidRDefault="0011269B" w:rsidP="006D489C">
            <w:pPr>
              <w:pStyle w:val="Tabletext"/>
            </w:pPr>
            <w:r w:rsidRPr="00387E40">
              <w:t>1</w:t>
            </w:r>
          </w:p>
        </w:tc>
        <w:tc>
          <w:tcPr>
            <w:tcW w:w="5235" w:type="dxa"/>
            <w:tcBorders>
              <w:top w:val="single" w:sz="2" w:space="0" w:color="auto"/>
            </w:tcBorders>
            <w:shd w:val="clear" w:color="auto" w:fill="auto"/>
          </w:tcPr>
          <w:p w:rsidR="00294985" w:rsidRPr="00387E40" w:rsidRDefault="0011269B" w:rsidP="006172DA">
            <w:pPr>
              <w:pStyle w:val="Tabletext"/>
            </w:pPr>
            <w:r w:rsidRPr="00387E40">
              <w:rPr>
                <w:i/>
              </w:rPr>
              <w:t>Marine Safety (Certi</w:t>
            </w:r>
            <w:r w:rsidR="00294985" w:rsidRPr="00387E40">
              <w:rPr>
                <w:i/>
              </w:rPr>
              <w:t xml:space="preserve">ficates of survey) </w:t>
            </w:r>
            <w:r w:rsidR="005E1006" w:rsidRPr="00387E40">
              <w:rPr>
                <w:i/>
              </w:rPr>
              <w:t>Exemption</w:t>
            </w:r>
            <w:r w:rsidR="006172DA" w:rsidRPr="00387E40">
              <w:rPr>
                <w:i/>
              </w:rPr>
              <w:t xml:space="preserve"> 2017</w:t>
            </w:r>
            <w:r w:rsidR="005E1006" w:rsidRPr="00387E40">
              <w:rPr>
                <w:i/>
              </w:rPr>
              <w:t xml:space="preserve"> </w:t>
            </w:r>
            <w:r w:rsidR="00294985" w:rsidRPr="00387E40">
              <w:rPr>
                <w:i/>
              </w:rPr>
              <w:t>(No.</w:t>
            </w:r>
            <w:r w:rsidR="00387E40" w:rsidRPr="00387E40">
              <w:rPr>
                <w:i/>
              </w:rPr>
              <w:t> </w:t>
            </w:r>
            <w:r w:rsidR="00294985" w:rsidRPr="00387E40">
              <w:rPr>
                <w:i/>
              </w:rPr>
              <w:t>2)</w:t>
            </w:r>
            <w:r w:rsidR="00026DB2" w:rsidRPr="00387E40">
              <w:t xml:space="preserve"> (also known as </w:t>
            </w:r>
            <w:r w:rsidR="005E1006" w:rsidRPr="00387E40">
              <w:t>E</w:t>
            </w:r>
            <w:r w:rsidR="00026DB2" w:rsidRPr="00387E40">
              <w:t>xemption 2)</w:t>
            </w:r>
          </w:p>
        </w:tc>
        <w:tc>
          <w:tcPr>
            <w:tcW w:w="2363" w:type="dxa"/>
            <w:tcBorders>
              <w:top w:val="single" w:sz="2" w:space="0" w:color="auto"/>
            </w:tcBorders>
            <w:shd w:val="clear" w:color="auto" w:fill="auto"/>
          </w:tcPr>
          <w:p w:rsidR="0011269B" w:rsidRPr="00387E40" w:rsidRDefault="0011269B" w:rsidP="00E03F9F">
            <w:pPr>
              <w:pStyle w:val="Tabletext"/>
            </w:pPr>
            <w:r w:rsidRPr="00387E40">
              <w:t>$183</w:t>
            </w:r>
          </w:p>
        </w:tc>
      </w:tr>
      <w:tr w:rsidR="0011269B" w:rsidRPr="00387E40" w:rsidTr="00194BB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1269B" w:rsidRPr="00387E40" w:rsidRDefault="0011269B" w:rsidP="006D489C">
            <w:pPr>
              <w:pStyle w:val="Tabletext"/>
            </w:pPr>
            <w:r w:rsidRPr="00387E40">
              <w:t>2</w:t>
            </w:r>
          </w:p>
        </w:tc>
        <w:tc>
          <w:tcPr>
            <w:tcW w:w="5235" w:type="dxa"/>
            <w:tcBorders>
              <w:bottom w:val="single" w:sz="2" w:space="0" w:color="auto"/>
            </w:tcBorders>
            <w:shd w:val="clear" w:color="auto" w:fill="auto"/>
          </w:tcPr>
          <w:p w:rsidR="00294985" w:rsidRPr="00387E40" w:rsidRDefault="0011269B" w:rsidP="005E1006">
            <w:pPr>
              <w:pStyle w:val="Tabletext"/>
            </w:pPr>
            <w:r w:rsidRPr="00387E40">
              <w:rPr>
                <w:i/>
              </w:rPr>
              <w:t>Marine Safety (Periodic survey, equipment certificati</w:t>
            </w:r>
            <w:r w:rsidR="00294985" w:rsidRPr="00387E40">
              <w:rPr>
                <w:i/>
              </w:rPr>
              <w:t xml:space="preserve">on and compass adjustment) </w:t>
            </w:r>
            <w:r w:rsidR="005E1006" w:rsidRPr="00387E40">
              <w:rPr>
                <w:i/>
              </w:rPr>
              <w:t xml:space="preserve">Exemption </w:t>
            </w:r>
            <w:r w:rsidR="00294985" w:rsidRPr="00387E40">
              <w:rPr>
                <w:i/>
              </w:rPr>
              <w:t>2017</w:t>
            </w:r>
            <w:r w:rsidR="00026DB2" w:rsidRPr="00387E40">
              <w:t xml:space="preserve"> (also known as </w:t>
            </w:r>
            <w:r w:rsidR="005E1006" w:rsidRPr="00387E40">
              <w:t>E</w:t>
            </w:r>
            <w:r w:rsidR="00026DB2" w:rsidRPr="00387E40">
              <w:t>xemption 6)</w:t>
            </w:r>
          </w:p>
        </w:tc>
        <w:tc>
          <w:tcPr>
            <w:tcW w:w="2363" w:type="dxa"/>
            <w:tcBorders>
              <w:bottom w:val="single" w:sz="2" w:space="0" w:color="auto"/>
            </w:tcBorders>
            <w:shd w:val="clear" w:color="auto" w:fill="auto"/>
          </w:tcPr>
          <w:p w:rsidR="0011269B" w:rsidRPr="00387E40" w:rsidRDefault="0011269B" w:rsidP="00E03F9F">
            <w:pPr>
              <w:pStyle w:val="Tabletext"/>
            </w:pPr>
            <w:r w:rsidRPr="00387E40">
              <w:t>$224</w:t>
            </w:r>
          </w:p>
        </w:tc>
      </w:tr>
      <w:tr w:rsidR="0011269B" w:rsidRPr="00387E40" w:rsidTr="00194BB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1269B" w:rsidRPr="00387E40" w:rsidRDefault="0011269B" w:rsidP="006D489C">
            <w:pPr>
              <w:pStyle w:val="Tabletext"/>
            </w:pPr>
            <w:r w:rsidRPr="00387E40">
              <w:t>3</w:t>
            </w:r>
          </w:p>
        </w:tc>
        <w:tc>
          <w:tcPr>
            <w:tcW w:w="5235" w:type="dxa"/>
            <w:tcBorders>
              <w:bottom w:val="single" w:sz="2" w:space="0" w:color="auto"/>
            </w:tcBorders>
            <w:shd w:val="clear" w:color="auto" w:fill="auto"/>
          </w:tcPr>
          <w:p w:rsidR="00294985" w:rsidRPr="00387E40" w:rsidRDefault="0011269B" w:rsidP="005E1006">
            <w:pPr>
              <w:pStyle w:val="Tabletext"/>
            </w:pPr>
            <w:r w:rsidRPr="00387E40">
              <w:rPr>
                <w:i/>
              </w:rPr>
              <w:t xml:space="preserve">Marine Safety (Temporary </w:t>
            </w:r>
            <w:r w:rsidR="00294985" w:rsidRPr="00387E40">
              <w:rPr>
                <w:i/>
              </w:rPr>
              <w:t xml:space="preserve">operations) </w:t>
            </w:r>
            <w:r w:rsidR="005E1006" w:rsidRPr="00387E40">
              <w:rPr>
                <w:i/>
              </w:rPr>
              <w:t xml:space="preserve">Exemption </w:t>
            </w:r>
            <w:r w:rsidR="00294985" w:rsidRPr="00387E40">
              <w:rPr>
                <w:i/>
              </w:rPr>
              <w:t>2016</w:t>
            </w:r>
            <w:r w:rsidR="00026DB2" w:rsidRPr="00387E40">
              <w:t xml:space="preserve"> (also known as </w:t>
            </w:r>
            <w:r w:rsidR="005E1006" w:rsidRPr="00387E40">
              <w:t>E</w:t>
            </w:r>
            <w:r w:rsidR="00026DB2" w:rsidRPr="00387E40">
              <w:t>xemption 7)</w:t>
            </w:r>
          </w:p>
        </w:tc>
        <w:tc>
          <w:tcPr>
            <w:tcW w:w="2363" w:type="dxa"/>
            <w:tcBorders>
              <w:bottom w:val="single" w:sz="2" w:space="0" w:color="auto"/>
            </w:tcBorders>
            <w:shd w:val="clear" w:color="auto" w:fill="auto"/>
          </w:tcPr>
          <w:p w:rsidR="0011269B" w:rsidRPr="00387E40" w:rsidRDefault="0011269B" w:rsidP="00E03F9F">
            <w:pPr>
              <w:pStyle w:val="Tabletext"/>
            </w:pPr>
            <w:r w:rsidRPr="00387E40">
              <w:t>$289</w:t>
            </w:r>
          </w:p>
        </w:tc>
      </w:tr>
      <w:tr w:rsidR="0011269B" w:rsidRPr="00387E40" w:rsidTr="00194BB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1269B" w:rsidRPr="00387E40" w:rsidRDefault="0011269B" w:rsidP="006D489C">
            <w:pPr>
              <w:pStyle w:val="Tabletext"/>
            </w:pPr>
            <w:r w:rsidRPr="00387E40">
              <w:t>4</w:t>
            </w:r>
          </w:p>
        </w:tc>
        <w:tc>
          <w:tcPr>
            <w:tcW w:w="52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94985" w:rsidRPr="00387E40" w:rsidRDefault="0011269B" w:rsidP="005E1006">
            <w:pPr>
              <w:pStyle w:val="Tabletext"/>
            </w:pPr>
            <w:r w:rsidRPr="00387E40">
              <w:rPr>
                <w:i/>
              </w:rPr>
              <w:t>Marine Safety (Clas</w:t>
            </w:r>
            <w:r w:rsidR="00294985" w:rsidRPr="00387E40">
              <w:rPr>
                <w:i/>
              </w:rPr>
              <w:t xml:space="preserve">s C restricted operations) </w:t>
            </w:r>
            <w:r w:rsidR="005E1006" w:rsidRPr="00387E40">
              <w:rPr>
                <w:i/>
              </w:rPr>
              <w:t xml:space="preserve">Exemption </w:t>
            </w:r>
            <w:r w:rsidR="00294985" w:rsidRPr="00387E40">
              <w:rPr>
                <w:i/>
              </w:rPr>
              <w:t>2017</w:t>
            </w:r>
            <w:r w:rsidR="00026DB2" w:rsidRPr="00387E40">
              <w:t xml:space="preserve"> (also known as </w:t>
            </w:r>
            <w:r w:rsidR="005E1006" w:rsidRPr="00387E40">
              <w:t>E</w:t>
            </w:r>
            <w:r w:rsidR="00026DB2" w:rsidRPr="00387E40">
              <w:t>xemption 40)</w:t>
            </w:r>
          </w:p>
        </w:tc>
        <w:tc>
          <w:tcPr>
            <w:tcW w:w="23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1269B" w:rsidRPr="00387E40" w:rsidRDefault="0011269B" w:rsidP="00E03F9F">
            <w:pPr>
              <w:pStyle w:val="Tabletext"/>
            </w:pPr>
            <w:r w:rsidRPr="00387E40">
              <w:t>$315</w:t>
            </w:r>
          </w:p>
        </w:tc>
      </w:tr>
    </w:tbl>
    <w:p w:rsidR="00607411" w:rsidRPr="00387E40" w:rsidRDefault="00607411" w:rsidP="00607411">
      <w:pPr>
        <w:pStyle w:val="notetext"/>
      </w:pPr>
      <w:r w:rsidRPr="00387E40">
        <w:t>Note:</w:t>
      </w:r>
      <w:r w:rsidRPr="00387E40">
        <w:tab/>
        <w:t>Fees are indexed under section</w:t>
      </w:r>
      <w:r w:rsidR="00387E40" w:rsidRPr="00387E40">
        <w:t> </w:t>
      </w:r>
      <w:r w:rsidRPr="00387E40">
        <w:t>52.</w:t>
      </w:r>
    </w:p>
    <w:p w:rsidR="00BB37ED" w:rsidRPr="00387E40" w:rsidRDefault="00D018A7" w:rsidP="00D018A7">
      <w:pPr>
        <w:pStyle w:val="subsection"/>
      </w:pPr>
      <w:r w:rsidRPr="00387E40">
        <w:tab/>
      </w:r>
      <w:r w:rsidR="00BB37ED" w:rsidRPr="00387E40">
        <w:t>(2)</w:t>
      </w:r>
      <w:r w:rsidR="00BB37ED" w:rsidRPr="00387E40">
        <w:tab/>
        <w:t xml:space="preserve">If an exemption (the </w:t>
      </w:r>
      <w:r w:rsidR="00BB37ED" w:rsidRPr="00387E40">
        <w:rPr>
          <w:b/>
          <w:i/>
        </w:rPr>
        <w:t>replacement exemption</w:t>
      </w:r>
      <w:r w:rsidR="00BB37ED" w:rsidRPr="00387E40">
        <w:t>) granted under paragraph</w:t>
      </w:r>
      <w:r w:rsidR="00387E40" w:rsidRPr="00387E40">
        <w:t> </w:t>
      </w:r>
      <w:r w:rsidR="00BB37ED" w:rsidRPr="00387E40">
        <w:t xml:space="preserve">143(4)(b) of the National Law on the National Regulator’s initiative is expressed to replace an exemption (the </w:t>
      </w:r>
      <w:r w:rsidR="00BB37ED" w:rsidRPr="00387E40">
        <w:rPr>
          <w:b/>
          <w:i/>
        </w:rPr>
        <w:t>old exemption</w:t>
      </w:r>
      <w:r w:rsidR="00BB37ED" w:rsidRPr="00387E40">
        <w:t xml:space="preserve">) that is referred to in an item of the table in </w:t>
      </w:r>
      <w:r w:rsidR="00387E40" w:rsidRPr="00387E40">
        <w:t>subsection (</w:t>
      </w:r>
      <w:r w:rsidR="00BB37ED" w:rsidRPr="00387E40">
        <w:t>1) (including because of a previous application of this subsection) then the item has affect as if it referred to the replacement exemption instead of the old exemption.</w:t>
      </w:r>
    </w:p>
    <w:p w:rsidR="00D018A7" w:rsidRPr="00387E40" w:rsidRDefault="00BB37ED" w:rsidP="00D018A7">
      <w:pPr>
        <w:pStyle w:val="subsection"/>
      </w:pPr>
      <w:r w:rsidRPr="00387E40">
        <w:tab/>
      </w:r>
      <w:r w:rsidR="00D018A7" w:rsidRPr="00387E40">
        <w:t>(</w:t>
      </w:r>
      <w:r w:rsidRPr="00387E40">
        <w:t>3</w:t>
      </w:r>
      <w:r w:rsidR="00D018A7" w:rsidRPr="00387E40">
        <w:t>)</w:t>
      </w:r>
      <w:r w:rsidR="00D018A7" w:rsidRPr="00387E40">
        <w:tab/>
        <w:t>If an application</w:t>
      </w:r>
      <w:r w:rsidR="00E71ECA" w:rsidRPr="00387E40">
        <w:t xml:space="preserve"> </w:t>
      </w:r>
      <w:r w:rsidR="0008764F" w:rsidRPr="00387E40">
        <w:t xml:space="preserve">referred to </w:t>
      </w:r>
      <w:r w:rsidR="00E71ECA" w:rsidRPr="00387E40">
        <w:t xml:space="preserve">in </w:t>
      </w:r>
      <w:r w:rsidR="00387E40" w:rsidRPr="00387E40">
        <w:t>subsection (</w:t>
      </w:r>
      <w:r w:rsidR="00E71ECA" w:rsidRPr="00387E40">
        <w:t>1)</w:t>
      </w:r>
      <w:r w:rsidR="0008764F" w:rsidRPr="00387E40">
        <w:t xml:space="preserve"> </w:t>
      </w:r>
      <w:r w:rsidR="00D018A7" w:rsidRPr="00387E40">
        <w:t>is not accompanied by the prescribed fee, the National Regulator is not required to deal with the application unless and until the fee is paid.</w:t>
      </w:r>
    </w:p>
    <w:p w:rsidR="008D1EFB" w:rsidRPr="00387E40" w:rsidRDefault="00C2421E" w:rsidP="00921E9E">
      <w:pPr>
        <w:pStyle w:val="ItemHead"/>
      </w:pPr>
      <w:r w:rsidRPr="00387E40">
        <w:t>5</w:t>
      </w:r>
      <w:r w:rsidR="008D1EFB" w:rsidRPr="00387E40">
        <w:t xml:space="preserve">  Paragraph 52(1)(c)</w:t>
      </w:r>
    </w:p>
    <w:p w:rsidR="008D1EFB" w:rsidRPr="00387E40" w:rsidRDefault="008D1EFB" w:rsidP="008D1EFB">
      <w:pPr>
        <w:pStyle w:val="Item"/>
      </w:pPr>
      <w:r w:rsidRPr="00387E40">
        <w:t>Repeal the paragraph, substitute:</w:t>
      </w:r>
    </w:p>
    <w:p w:rsidR="00C1708B" w:rsidRPr="00387E40" w:rsidRDefault="008D1EFB" w:rsidP="008D1EFB">
      <w:pPr>
        <w:pStyle w:val="paragraph"/>
      </w:pPr>
      <w:r w:rsidRPr="00387E40">
        <w:tab/>
      </w:r>
      <w:r w:rsidR="00630AF1" w:rsidRPr="00387E40">
        <w:t>(c)</w:t>
      </w:r>
      <w:r w:rsidR="00630AF1" w:rsidRPr="00387E40">
        <w:tab/>
      </w:r>
      <w:r w:rsidR="00C1708B" w:rsidRPr="00387E40">
        <w:t>the table in subsection</w:t>
      </w:r>
      <w:r w:rsidR="00387E40" w:rsidRPr="00387E40">
        <w:t> </w:t>
      </w:r>
      <w:r w:rsidR="00C1708B" w:rsidRPr="00387E40">
        <w:t>50(2A);</w:t>
      </w:r>
    </w:p>
    <w:p w:rsidR="00630AF1" w:rsidRPr="00387E40" w:rsidRDefault="00C1708B" w:rsidP="008D1EFB">
      <w:pPr>
        <w:pStyle w:val="paragraph"/>
      </w:pPr>
      <w:r w:rsidRPr="00387E40">
        <w:tab/>
        <w:t>(d)</w:t>
      </w:r>
      <w:r w:rsidRPr="00387E40">
        <w:tab/>
      </w:r>
      <w:r w:rsidR="00630AF1" w:rsidRPr="00387E40">
        <w:t>section</w:t>
      </w:r>
      <w:r w:rsidR="00387E40" w:rsidRPr="00387E40">
        <w:t> </w:t>
      </w:r>
      <w:r w:rsidR="00630AF1" w:rsidRPr="00387E40">
        <w:t>50A;</w:t>
      </w:r>
    </w:p>
    <w:p w:rsidR="008D1EFB" w:rsidRPr="00387E40" w:rsidRDefault="00630AF1" w:rsidP="008D1EFB">
      <w:pPr>
        <w:pStyle w:val="paragraph"/>
      </w:pPr>
      <w:r w:rsidRPr="00387E40">
        <w:tab/>
      </w:r>
      <w:r w:rsidR="008D1EFB" w:rsidRPr="00387E40">
        <w:t>(</w:t>
      </w:r>
      <w:r w:rsidR="00E50E8A" w:rsidRPr="00387E40">
        <w:t>e</w:t>
      </w:r>
      <w:r w:rsidR="00253793" w:rsidRPr="00387E40">
        <w:t>)</w:t>
      </w:r>
      <w:r w:rsidR="00253793" w:rsidRPr="00387E40">
        <w:tab/>
        <w:t>the tables in subsection</w:t>
      </w:r>
      <w:r w:rsidR="00EB1590" w:rsidRPr="00387E40">
        <w:t>s</w:t>
      </w:r>
      <w:r w:rsidR="00387E40" w:rsidRPr="00387E40">
        <w:t> </w:t>
      </w:r>
      <w:r w:rsidR="008D1EFB" w:rsidRPr="00387E40">
        <w:t>50</w:t>
      </w:r>
      <w:r w:rsidRPr="00387E40">
        <w:t>B</w:t>
      </w:r>
      <w:r w:rsidR="008D1EFB" w:rsidRPr="00387E40">
        <w:t>(1)</w:t>
      </w:r>
      <w:r w:rsidR="00253793" w:rsidRPr="00387E40">
        <w:t>, 50C</w:t>
      </w:r>
      <w:r w:rsidR="00C820A7" w:rsidRPr="00387E40">
        <w:t>(1)</w:t>
      </w:r>
      <w:r w:rsidR="008D1EFB" w:rsidRPr="00387E40">
        <w:t xml:space="preserve"> and 51(1).</w:t>
      </w:r>
    </w:p>
    <w:p w:rsidR="00E1179E" w:rsidRPr="00387E40" w:rsidRDefault="00C2421E" w:rsidP="00921E9E">
      <w:pPr>
        <w:pStyle w:val="ItemHead"/>
      </w:pPr>
      <w:r w:rsidRPr="00387E40">
        <w:t>6</w:t>
      </w:r>
      <w:r w:rsidR="00E1179E" w:rsidRPr="00387E40">
        <w:t xml:space="preserve">  Part</w:t>
      </w:r>
      <w:r w:rsidR="00387E40" w:rsidRPr="00387E40">
        <w:t> </w:t>
      </w:r>
      <w:r w:rsidR="00E1179E" w:rsidRPr="00387E40">
        <w:t>5 (heading)</w:t>
      </w:r>
    </w:p>
    <w:p w:rsidR="00E1179E" w:rsidRPr="00387E40" w:rsidRDefault="00E1179E" w:rsidP="00E1179E">
      <w:pPr>
        <w:pStyle w:val="Item"/>
      </w:pPr>
      <w:r w:rsidRPr="00387E40">
        <w:t>Repeal the heading, substitute:</w:t>
      </w:r>
    </w:p>
    <w:p w:rsidR="00E1179E" w:rsidRPr="00387E40" w:rsidRDefault="00E1179E" w:rsidP="00E1179E">
      <w:pPr>
        <w:pStyle w:val="ActHead2"/>
      </w:pPr>
      <w:bookmarkStart w:id="13" w:name="_Toc515000507"/>
      <w:r w:rsidRPr="00387E40">
        <w:rPr>
          <w:rStyle w:val="CharPartNo"/>
        </w:rPr>
        <w:t>Part</w:t>
      </w:r>
      <w:r w:rsidR="00387E40" w:rsidRPr="00387E40">
        <w:rPr>
          <w:rStyle w:val="CharPartNo"/>
        </w:rPr>
        <w:t> </w:t>
      </w:r>
      <w:r w:rsidRPr="00387E40">
        <w:rPr>
          <w:rStyle w:val="CharPartNo"/>
        </w:rPr>
        <w:t>5</w:t>
      </w:r>
      <w:r w:rsidRPr="00387E40">
        <w:t>—</w:t>
      </w:r>
      <w:r w:rsidRPr="00387E40">
        <w:rPr>
          <w:rStyle w:val="CharPartText"/>
        </w:rPr>
        <w:t>Application and transitional provisions</w:t>
      </w:r>
      <w:bookmarkEnd w:id="13"/>
    </w:p>
    <w:p w:rsidR="00E1179E" w:rsidRPr="00387E40" w:rsidRDefault="00E1179E" w:rsidP="00E1179E">
      <w:pPr>
        <w:pStyle w:val="ActHead3"/>
      </w:pPr>
      <w:bookmarkStart w:id="14" w:name="_Toc515000508"/>
      <w:r w:rsidRPr="00387E40">
        <w:rPr>
          <w:rStyle w:val="CharDivNo"/>
        </w:rPr>
        <w:t>Division</w:t>
      </w:r>
      <w:r w:rsidR="00387E40" w:rsidRPr="00387E40">
        <w:rPr>
          <w:rStyle w:val="CharDivNo"/>
        </w:rPr>
        <w:t> </w:t>
      </w:r>
      <w:r w:rsidRPr="00387E40">
        <w:rPr>
          <w:rStyle w:val="CharDivNo"/>
        </w:rPr>
        <w:t>1</w:t>
      </w:r>
      <w:r w:rsidRPr="00387E40">
        <w:t>—</w:t>
      </w:r>
      <w:r w:rsidRPr="00387E40">
        <w:rPr>
          <w:rStyle w:val="CharDivText"/>
        </w:rPr>
        <w:t>Application of amendments made by the Marine Safety (Domestic Commercial Vessel) National Law Amendment (Cost Recovery) Regulation</w:t>
      </w:r>
      <w:r w:rsidR="00387E40" w:rsidRPr="00387E40">
        <w:rPr>
          <w:rStyle w:val="CharDivText"/>
        </w:rPr>
        <w:t> </w:t>
      </w:r>
      <w:r w:rsidRPr="00387E40">
        <w:rPr>
          <w:rStyle w:val="CharDivText"/>
        </w:rPr>
        <w:t>2016</w:t>
      </w:r>
      <w:bookmarkEnd w:id="14"/>
    </w:p>
    <w:p w:rsidR="00FA24A9" w:rsidRPr="00387E40" w:rsidRDefault="00C2421E" w:rsidP="00921E9E">
      <w:pPr>
        <w:pStyle w:val="ItemHead"/>
      </w:pPr>
      <w:r w:rsidRPr="00387E40">
        <w:t>7</w:t>
      </w:r>
      <w:r w:rsidR="00921E9E" w:rsidRPr="00387E40">
        <w:t xml:space="preserve">  At the end of the </w:t>
      </w:r>
      <w:r w:rsidR="00E1179E" w:rsidRPr="00387E40">
        <w:t>instrument</w:t>
      </w:r>
    </w:p>
    <w:p w:rsidR="00921E9E" w:rsidRPr="00387E40" w:rsidRDefault="00921E9E" w:rsidP="00921E9E">
      <w:pPr>
        <w:pStyle w:val="Item"/>
      </w:pPr>
      <w:r w:rsidRPr="00387E40">
        <w:t>Add:</w:t>
      </w:r>
    </w:p>
    <w:p w:rsidR="00921E9E" w:rsidRPr="00387E40" w:rsidRDefault="00E1179E" w:rsidP="00E1179E">
      <w:pPr>
        <w:pStyle w:val="ActHead3"/>
      </w:pPr>
      <w:bookmarkStart w:id="15" w:name="f_Check_Lines_above"/>
      <w:bookmarkStart w:id="16" w:name="_Toc515000509"/>
      <w:bookmarkEnd w:id="15"/>
      <w:r w:rsidRPr="00387E40">
        <w:rPr>
          <w:rStyle w:val="CharDivNo"/>
        </w:rPr>
        <w:t>Division</w:t>
      </w:r>
      <w:r w:rsidR="00387E40" w:rsidRPr="00387E40">
        <w:rPr>
          <w:rStyle w:val="CharDivNo"/>
        </w:rPr>
        <w:t> </w:t>
      </w:r>
      <w:r w:rsidRPr="00387E40">
        <w:rPr>
          <w:rStyle w:val="CharDivNo"/>
        </w:rPr>
        <w:t>2</w:t>
      </w:r>
      <w:r w:rsidR="00921E9E" w:rsidRPr="00387E40">
        <w:t>—</w:t>
      </w:r>
      <w:r w:rsidR="00921E9E" w:rsidRPr="00387E40">
        <w:rPr>
          <w:rStyle w:val="CharDivText"/>
        </w:rPr>
        <w:t>Application of amendments made by the Marine Safety (Domestic Commercial Vessel) National Law Amendment (Cost Recovery) Regulations</w:t>
      </w:r>
      <w:r w:rsidR="00387E40" w:rsidRPr="00387E40">
        <w:rPr>
          <w:rStyle w:val="CharDivText"/>
        </w:rPr>
        <w:t> </w:t>
      </w:r>
      <w:r w:rsidR="00921E9E" w:rsidRPr="00387E40">
        <w:rPr>
          <w:rStyle w:val="CharDivText"/>
        </w:rPr>
        <w:t>2018</w:t>
      </w:r>
      <w:bookmarkEnd w:id="16"/>
    </w:p>
    <w:p w:rsidR="00842500" w:rsidRPr="00387E40" w:rsidRDefault="00842500" w:rsidP="00842500">
      <w:pPr>
        <w:pStyle w:val="Header"/>
      </w:pPr>
      <w:r w:rsidRPr="00387E40">
        <w:rPr>
          <w:rStyle w:val="CharSubdNo"/>
        </w:rPr>
        <w:t xml:space="preserve"> </w:t>
      </w:r>
      <w:r w:rsidRPr="00387E40">
        <w:rPr>
          <w:rStyle w:val="CharSubdText"/>
        </w:rPr>
        <w:t xml:space="preserve"> </w:t>
      </w:r>
    </w:p>
    <w:p w:rsidR="00921E9E" w:rsidRPr="00387E40" w:rsidRDefault="00921E9E" w:rsidP="00921E9E">
      <w:pPr>
        <w:pStyle w:val="ActHead5"/>
      </w:pPr>
      <w:bookmarkStart w:id="17" w:name="_Toc515000510"/>
      <w:r w:rsidRPr="00387E40">
        <w:rPr>
          <w:rStyle w:val="CharSectno"/>
        </w:rPr>
        <w:t>54</w:t>
      </w:r>
      <w:r w:rsidRPr="00387E40">
        <w:t xml:space="preserve">  Application of amendments</w:t>
      </w:r>
      <w:bookmarkEnd w:id="17"/>
    </w:p>
    <w:p w:rsidR="00FD1A45" w:rsidRPr="00387E40" w:rsidRDefault="00FD1A45" w:rsidP="00FD1A45">
      <w:pPr>
        <w:pStyle w:val="SubsectionHead"/>
      </w:pPr>
      <w:r w:rsidRPr="00387E40">
        <w:t>Applications and requests</w:t>
      </w:r>
    </w:p>
    <w:p w:rsidR="00921E9E" w:rsidRPr="00387E40" w:rsidRDefault="00FD1A45" w:rsidP="00921E9E">
      <w:pPr>
        <w:pStyle w:val="subsection"/>
      </w:pPr>
      <w:r w:rsidRPr="00387E40">
        <w:tab/>
        <w:t>(1)</w:t>
      </w:r>
      <w:r w:rsidRPr="00387E40">
        <w:tab/>
      </w:r>
      <w:r w:rsidR="00921E9E" w:rsidRPr="00387E40">
        <w:t xml:space="preserve">The amendments made by the </w:t>
      </w:r>
      <w:r w:rsidR="00921E9E" w:rsidRPr="00387E40">
        <w:rPr>
          <w:i/>
        </w:rPr>
        <w:t>Marine Safety (Domestic Commercial Vessel) National Law Amendment (Cost Recovery) Regulation</w:t>
      </w:r>
      <w:r w:rsidR="00EF65E6" w:rsidRPr="00387E40">
        <w:rPr>
          <w:i/>
        </w:rPr>
        <w:t>s</w:t>
      </w:r>
      <w:r w:rsidR="00387E40" w:rsidRPr="00387E40">
        <w:rPr>
          <w:i/>
        </w:rPr>
        <w:t> </w:t>
      </w:r>
      <w:r w:rsidR="00921E9E" w:rsidRPr="00387E40">
        <w:rPr>
          <w:i/>
        </w:rPr>
        <w:t>2018</w:t>
      </w:r>
      <w:r w:rsidR="00921E9E" w:rsidRPr="00387E40">
        <w:t xml:space="preserve"> apply in relation to applications and requests made on or after 1</w:t>
      </w:r>
      <w:r w:rsidR="00387E40" w:rsidRPr="00387E40">
        <w:t> </w:t>
      </w:r>
      <w:r w:rsidR="00921E9E" w:rsidRPr="00387E40">
        <w:t>July 2018.</w:t>
      </w:r>
    </w:p>
    <w:p w:rsidR="00FD1A45" w:rsidRPr="00387E40" w:rsidRDefault="00FD1A45" w:rsidP="00FD1A45">
      <w:pPr>
        <w:pStyle w:val="SubsectionHead"/>
      </w:pPr>
      <w:r w:rsidRPr="00387E40">
        <w:t>Annual indexation</w:t>
      </w:r>
    </w:p>
    <w:p w:rsidR="00680766" w:rsidRPr="00387E40" w:rsidRDefault="00FD1A45" w:rsidP="007D494E">
      <w:pPr>
        <w:pStyle w:val="subsection"/>
      </w:pPr>
      <w:r w:rsidRPr="00387E40">
        <w:tab/>
        <w:t>(2)</w:t>
      </w:r>
      <w:r w:rsidRPr="00387E40">
        <w:tab/>
      </w:r>
      <w:r w:rsidR="00EB1590" w:rsidRPr="00387E40">
        <w:t>S</w:t>
      </w:r>
      <w:r w:rsidRPr="00387E40">
        <w:t>ection</w:t>
      </w:r>
      <w:r w:rsidR="00387E40" w:rsidRPr="00387E40">
        <w:t> </w:t>
      </w:r>
      <w:r w:rsidRPr="00387E40">
        <w:t>52</w:t>
      </w:r>
      <w:r w:rsidR="00EB1590" w:rsidRPr="00387E40">
        <w:t>, as amended by the</w:t>
      </w:r>
      <w:r w:rsidRPr="00387E40">
        <w:t xml:space="preserve"> </w:t>
      </w:r>
      <w:r w:rsidRPr="00387E40">
        <w:rPr>
          <w:i/>
        </w:rPr>
        <w:t>Marine Safety (Domestic Commercial Vessel) National Law Amendment (Cost Recovery) Regulations</w:t>
      </w:r>
      <w:r w:rsidR="00387E40" w:rsidRPr="00387E40">
        <w:rPr>
          <w:i/>
        </w:rPr>
        <w:t> </w:t>
      </w:r>
      <w:r w:rsidRPr="00387E40">
        <w:rPr>
          <w:i/>
        </w:rPr>
        <w:t>2018</w:t>
      </w:r>
      <w:r w:rsidR="00EB1590" w:rsidRPr="00387E40">
        <w:rPr>
          <w:i/>
        </w:rPr>
        <w:t>,</w:t>
      </w:r>
      <w:r w:rsidRPr="00387E40">
        <w:t xml:space="preserve"> </w:t>
      </w:r>
      <w:r w:rsidR="009935F5" w:rsidRPr="00387E40">
        <w:t>applies</w:t>
      </w:r>
      <w:r w:rsidR="00CB6A54" w:rsidRPr="00387E40">
        <w:t xml:space="preserve"> in relation to</w:t>
      </w:r>
      <w:r w:rsidR="00EB1590" w:rsidRPr="00387E40">
        <w:t xml:space="preserve"> indexation days occurring on or after </w:t>
      </w:r>
      <w:r w:rsidRPr="00387E40">
        <w:t>1</w:t>
      </w:r>
      <w:r w:rsidR="00387E40" w:rsidRPr="00387E40">
        <w:t> </w:t>
      </w:r>
      <w:r w:rsidRPr="00387E40">
        <w:t>July 2019.</w:t>
      </w:r>
    </w:p>
    <w:sectPr w:rsidR="00680766" w:rsidRPr="00387E40" w:rsidSect="0025295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10" w:rsidRDefault="00D43C10" w:rsidP="0048364F">
      <w:pPr>
        <w:spacing w:line="240" w:lineRule="auto"/>
      </w:pPr>
      <w:r>
        <w:separator/>
      </w:r>
    </w:p>
  </w:endnote>
  <w:endnote w:type="continuationSeparator" w:id="0">
    <w:p w:rsidR="00D43C10" w:rsidRDefault="00D43C1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Pr="0025295A" w:rsidRDefault="0025295A" w:rsidP="002529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5295A">
      <w:rPr>
        <w:i/>
        <w:sz w:val="18"/>
      </w:rPr>
      <w:t>OPC63121 -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Default="00D43C10" w:rsidP="00E97334"/>
  <w:p w:rsidR="00D43C10" w:rsidRPr="0025295A" w:rsidRDefault="0025295A" w:rsidP="0025295A">
    <w:pPr>
      <w:rPr>
        <w:rFonts w:cs="Times New Roman"/>
        <w:i/>
        <w:sz w:val="18"/>
      </w:rPr>
    </w:pPr>
    <w:r w:rsidRPr="0025295A">
      <w:rPr>
        <w:rFonts w:cs="Times New Roman"/>
        <w:i/>
        <w:sz w:val="18"/>
      </w:rPr>
      <w:t>OPC63121 -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Pr="0025295A" w:rsidRDefault="0025295A" w:rsidP="002529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5295A">
      <w:rPr>
        <w:i/>
        <w:sz w:val="18"/>
      </w:rPr>
      <w:t>OPC63121 -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Pr="00E33C1C" w:rsidRDefault="00D43C1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3C10" w:rsidTr="00387E4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43C10" w:rsidRDefault="00D43C10" w:rsidP="00D37E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2DD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43C10" w:rsidRDefault="00D43C10" w:rsidP="00D37E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3B61">
            <w:rPr>
              <w:i/>
              <w:sz w:val="18"/>
            </w:rPr>
            <w:t>Marine Safety (Domestic Commercial Vessel) National Law Amendment (Cost Recovery)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43C10" w:rsidRDefault="00D43C10" w:rsidP="00D37EE8">
          <w:pPr>
            <w:spacing w:line="0" w:lineRule="atLeast"/>
            <w:jc w:val="right"/>
            <w:rPr>
              <w:sz w:val="18"/>
            </w:rPr>
          </w:pPr>
        </w:p>
      </w:tc>
    </w:tr>
  </w:tbl>
  <w:p w:rsidR="00D43C10" w:rsidRPr="0025295A" w:rsidRDefault="0025295A" w:rsidP="0025295A">
    <w:pPr>
      <w:rPr>
        <w:rFonts w:cs="Times New Roman"/>
        <w:i/>
        <w:sz w:val="18"/>
      </w:rPr>
    </w:pPr>
    <w:r w:rsidRPr="0025295A">
      <w:rPr>
        <w:rFonts w:cs="Times New Roman"/>
        <w:i/>
        <w:sz w:val="18"/>
      </w:rPr>
      <w:t>OPC63121 -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Pr="00E33C1C" w:rsidRDefault="00D43C1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43C10" w:rsidTr="00387E4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43C10" w:rsidRDefault="00D43C10" w:rsidP="00D37E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43C10" w:rsidRDefault="00D43C10" w:rsidP="00D37E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3B61">
            <w:rPr>
              <w:i/>
              <w:sz w:val="18"/>
            </w:rPr>
            <w:t>Marine Safety (Domestic Commercial Vessel) National Law Amendment (Cost Recovery)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43C10" w:rsidRDefault="00D43C10" w:rsidP="00D37E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27D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43C10" w:rsidRPr="0025295A" w:rsidRDefault="0025295A" w:rsidP="0025295A">
    <w:pPr>
      <w:rPr>
        <w:rFonts w:cs="Times New Roman"/>
        <w:i/>
        <w:sz w:val="18"/>
      </w:rPr>
    </w:pPr>
    <w:r w:rsidRPr="0025295A">
      <w:rPr>
        <w:rFonts w:cs="Times New Roman"/>
        <w:i/>
        <w:sz w:val="18"/>
      </w:rPr>
      <w:t>OPC63121 -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Pr="00E33C1C" w:rsidRDefault="00D43C1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3C10" w:rsidTr="00387E4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43C10" w:rsidRDefault="00D43C10" w:rsidP="00D37E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27D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43C10" w:rsidRDefault="00D43C10" w:rsidP="00D37E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3B61">
            <w:rPr>
              <w:i/>
              <w:sz w:val="18"/>
            </w:rPr>
            <w:t>Marine Safety (Domestic Commercial Vessel) National Law Amendment (Cost Recovery)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43C10" w:rsidRDefault="00D43C10" w:rsidP="00D37EE8">
          <w:pPr>
            <w:spacing w:line="0" w:lineRule="atLeast"/>
            <w:jc w:val="right"/>
            <w:rPr>
              <w:sz w:val="18"/>
            </w:rPr>
          </w:pPr>
        </w:p>
      </w:tc>
    </w:tr>
  </w:tbl>
  <w:p w:rsidR="00D43C10" w:rsidRPr="0025295A" w:rsidRDefault="0025295A" w:rsidP="0025295A">
    <w:pPr>
      <w:rPr>
        <w:rFonts w:cs="Times New Roman"/>
        <w:i/>
        <w:sz w:val="18"/>
      </w:rPr>
    </w:pPr>
    <w:r w:rsidRPr="0025295A">
      <w:rPr>
        <w:rFonts w:cs="Times New Roman"/>
        <w:i/>
        <w:sz w:val="18"/>
      </w:rPr>
      <w:t>OPC63121 -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Pr="00E33C1C" w:rsidRDefault="00D43C1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3C10" w:rsidTr="00D37E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43C10" w:rsidRDefault="00D43C10" w:rsidP="00D37E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43C10" w:rsidRDefault="00D43C10" w:rsidP="00D37E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3B61">
            <w:rPr>
              <w:i/>
              <w:sz w:val="18"/>
            </w:rPr>
            <w:t>Marine Safety (Domestic Commercial Vessel) National Law Amendment (Cost Recovery)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43C10" w:rsidRDefault="00D43C10" w:rsidP="00D37E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27D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43C10" w:rsidRPr="0025295A" w:rsidRDefault="0025295A" w:rsidP="0025295A">
    <w:pPr>
      <w:rPr>
        <w:rFonts w:cs="Times New Roman"/>
        <w:i/>
        <w:sz w:val="18"/>
      </w:rPr>
    </w:pPr>
    <w:r w:rsidRPr="0025295A">
      <w:rPr>
        <w:rFonts w:cs="Times New Roman"/>
        <w:i/>
        <w:sz w:val="18"/>
      </w:rPr>
      <w:t>OPC63121 -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Pr="00E33C1C" w:rsidRDefault="00D43C1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3C10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43C10" w:rsidRDefault="00D43C10" w:rsidP="00D37E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43C10" w:rsidRDefault="00D43C10" w:rsidP="00D37E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3B61">
            <w:rPr>
              <w:i/>
              <w:sz w:val="18"/>
            </w:rPr>
            <w:t>Marine Safety (Domestic Commercial Vessel) National Law Amendment (Cost Recovery)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43C10" w:rsidRDefault="00D43C10" w:rsidP="00D37E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2DD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43C10" w:rsidRPr="0025295A" w:rsidRDefault="0025295A" w:rsidP="0025295A">
    <w:pPr>
      <w:rPr>
        <w:rFonts w:cs="Times New Roman"/>
        <w:i/>
        <w:sz w:val="18"/>
      </w:rPr>
    </w:pPr>
    <w:r w:rsidRPr="0025295A">
      <w:rPr>
        <w:rFonts w:cs="Times New Roman"/>
        <w:i/>
        <w:sz w:val="18"/>
      </w:rPr>
      <w:t>OPC63121 -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10" w:rsidRDefault="00D43C10" w:rsidP="0048364F">
      <w:pPr>
        <w:spacing w:line="240" w:lineRule="auto"/>
      </w:pPr>
      <w:r>
        <w:separator/>
      </w:r>
    </w:p>
  </w:footnote>
  <w:footnote w:type="continuationSeparator" w:id="0">
    <w:p w:rsidR="00D43C10" w:rsidRDefault="00D43C1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Pr="005F1388" w:rsidRDefault="00D43C1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Pr="005F1388" w:rsidRDefault="00D43C1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Pr="005F1388" w:rsidRDefault="00D43C1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Pr="00ED79B6" w:rsidRDefault="00D43C1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Pr="00ED79B6" w:rsidRDefault="00D43C1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Pr="00ED79B6" w:rsidRDefault="00D43C1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Pr="00A961C4" w:rsidRDefault="00D43C1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627D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627D5">
      <w:rPr>
        <w:noProof/>
        <w:sz w:val="20"/>
      </w:rPr>
      <w:t>Amendments</w:t>
    </w:r>
    <w:r>
      <w:rPr>
        <w:sz w:val="20"/>
      </w:rPr>
      <w:fldChar w:fldCharType="end"/>
    </w:r>
  </w:p>
  <w:p w:rsidR="00D43C10" w:rsidRPr="00A961C4" w:rsidRDefault="00D43C1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43C10" w:rsidRPr="00A961C4" w:rsidRDefault="00D43C1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Pr="00A961C4" w:rsidRDefault="00D43C1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43C10" w:rsidRPr="00A961C4" w:rsidRDefault="00D43C1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43C10" w:rsidRPr="00A961C4" w:rsidRDefault="00D43C1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10" w:rsidRPr="00A961C4" w:rsidRDefault="00D43C10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11"/>
    <w:rsid w:val="00000263"/>
    <w:rsid w:val="00010150"/>
    <w:rsid w:val="00010A07"/>
    <w:rsid w:val="000113BC"/>
    <w:rsid w:val="000136AF"/>
    <w:rsid w:val="00013E6C"/>
    <w:rsid w:val="00024038"/>
    <w:rsid w:val="00026DB2"/>
    <w:rsid w:val="00027139"/>
    <w:rsid w:val="0004044E"/>
    <w:rsid w:val="000443E9"/>
    <w:rsid w:val="000452EE"/>
    <w:rsid w:val="0005120E"/>
    <w:rsid w:val="00054577"/>
    <w:rsid w:val="000614BF"/>
    <w:rsid w:val="0007169C"/>
    <w:rsid w:val="00077593"/>
    <w:rsid w:val="00083F48"/>
    <w:rsid w:val="000843FE"/>
    <w:rsid w:val="00086A19"/>
    <w:rsid w:val="0008764F"/>
    <w:rsid w:val="000A7DF9"/>
    <w:rsid w:val="000D05EF"/>
    <w:rsid w:val="000D5485"/>
    <w:rsid w:val="000D771A"/>
    <w:rsid w:val="000E2E46"/>
    <w:rsid w:val="000F21C1"/>
    <w:rsid w:val="00101549"/>
    <w:rsid w:val="00105D72"/>
    <w:rsid w:val="0010745C"/>
    <w:rsid w:val="0011269B"/>
    <w:rsid w:val="00117277"/>
    <w:rsid w:val="00135E54"/>
    <w:rsid w:val="00160BD7"/>
    <w:rsid w:val="001643C9"/>
    <w:rsid w:val="00165568"/>
    <w:rsid w:val="00166082"/>
    <w:rsid w:val="00166C2F"/>
    <w:rsid w:val="001716C9"/>
    <w:rsid w:val="00184261"/>
    <w:rsid w:val="001933DA"/>
    <w:rsid w:val="00193461"/>
    <w:rsid w:val="001939E1"/>
    <w:rsid w:val="00193C5F"/>
    <w:rsid w:val="00194BB0"/>
    <w:rsid w:val="00195382"/>
    <w:rsid w:val="001A340F"/>
    <w:rsid w:val="001A3B9F"/>
    <w:rsid w:val="001A3EF5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03B1"/>
    <w:rsid w:val="00220A0C"/>
    <w:rsid w:val="00223E4A"/>
    <w:rsid w:val="002302EA"/>
    <w:rsid w:val="00240749"/>
    <w:rsid w:val="002468D7"/>
    <w:rsid w:val="00251F31"/>
    <w:rsid w:val="0025295A"/>
    <w:rsid w:val="00253793"/>
    <w:rsid w:val="00285CDD"/>
    <w:rsid w:val="00291167"/>
    <w:rsid w:val="0029132F"/>
    <w:rsid w:val="00294985"/>
    <w:rsid w:val="00297ECB"/>
    <w:rsid w:val="002C152A"/>
    <w:rsid w:val="002D043A"/>
    <w:rsid w:val="002D69CB"/>
    <w:rsid w:val="002D71A5"/>
    <w:rsid w:val="00315D56"/>
    <w:rsid w:val="0031713F"/>
    <w:rsid w:val="00321913"/>
    <w:rsid w:val="00324EE6"/>
    <w:rsid w:val="003316DC"/>
    <w:rsid w:val="00332E0D"/>
    <w:rsid w:val="0034033B"/>
    <w:rsid w:val="003415D3"/>
    <w:rsid w:val="00346335"/>
    <w:rsid w:val="003521E7"/>
    <w:rsid w:val="00352B0F"/>
    <w:rsid w:val="003561B0"/>
    <w:rsid w:val="00367960"/>
    <w:rsid w:val="0037329C"/>
    <w:rsid w:val="00385B4F"/>
    <w:rsid w:val="00387E40"/>
    <w:rsid w:val="003A15AC"/>
    <w:rsid w:val="003A56EB"/>
    <w:rsid w:val="003B0627"/>
    <w:rsid w:val="003C5E1C"/>
    <w:rsid w:val="003C5F2B"/>
    <w:rsid w:val="003C785A"/>
    <w:rsid w:val="003D0BFE"/>
    <w:rsid w:val="003D5700"/>
    <w:rsid w:val="003F0F5A"/>
    <w:rsid w:val="00400A30"/>
    <w:rsid w:val="004022CA"/>
    <w:rsid w:val="004116CD"/>
    <w:rsid w:val="00414ADE"/>
    <w:rsid w:val="00415BF3"/>
    <w:rsid w:val="00424CA9"/>
    <w:rsid w:val="004257BB"/>
    <w:rsid w:val="004261D9"/>
    <w:rsid w:val="0044291A"/>
    <w:rsid w:val="0045226D"/>
    <w:rsid w:val="00454DBA"/>
    <w:rsid w:val="00454F90"/>
    <w:rsid w:val="00460499"/>
    <w:rsid w:val="00474835"/>
    <w:rsid w:val="004819C7"/>
    <w:rsid w:val="0048364F"/>
    <w:rsid w:val="00490F2E"/>
    <w:rsid w:val="00496DB3"/>
    <w:rsid w:val="00496F97"/>
    <w:rsid w:val="004A53EA"/>
    <w:rsid w:val="004E3170"/>
    <w:rsid w:val="004F1FAC"/>
    <w:rsid w:val="004F2D02"/>
    <w:rsid w:val="004F676E"/>
    <w:rsid w:val="005021A5"/>
    <w:rsid w:val="0050458F"/>
    <w:rsid w:val="00516B8D"/>
    <w:rsid w:val="005265EC"/>
    <w:rsid w:val="0052686F"/>
    <w:rsid w:val="0052756C"/>
    <w:rsid w:val="00530230"/>
    <w:rsid w:val="00530CC9"/>
    <w:rsid w:val="00537FBC"/>
    <w:rsid w:val="00541D73"/>
    <w:rsid w:val="00543469"/>
    <w:rsid w:val="005452CC"/>
    <w:rsid w:val="00546495"/>
    <w:rsid w:val="00546FA3"/>
    <w:rsid w:val="00554243"/>
    <w:rsid w:val="00557C7A"/>
    <w:rsid w:val="00562A58"/>
    <w:rsid w:val="00567F9A"/>
    <w:rsid w:val="00581211"/>
    <w:rsid w:val="00584811"/>
    <w:rsid w:val="00593AA6"/>
    <w:rsid w:val="00594161"/>
    <w:rsid w:val="005943E0"/>
    <w:rsid w:val="00594749"/>
    <w:rsid w:val="005A482B"/>
    <w:rsid w:val="005B4067"/>
    <w:rsid w:val="005C36E0"/>
    <w:rsid w:val="005C3F41"/>
    <w:rsid w:val="005D168D"/>
    <w:rsid w:val="005D5EA1"/>
    <w:rsid w:val="005E1006"/>
    <w:rsid w:val="005E61D3"/>
    <w:rsid w:val="005F7738"/>
    <w:rsid w:val="00600219"/>
    <w:rsid w:val="00606CAC"/>
    <w:rsid w:val="00607411"/>
    <w:rsid w:val="00613EAD"/>
    <w:rsid w:val="006158AC"/>
    <w:rsid w:val="006172DA"/>
    <w:rsid w:val="00630AF1"/>
    <w:rsid w:val="00640402"/>
    <w:rsid w:val="00640F78"/>
    <w:rsid w:val="00646E7B"/>
    <w:rsid w:val="00655D6A"/>
    <w:rsid w:val="00656DE9"/>
    <w:rsid w:val="006627D5"/>
    <w:rsid w:val="00677CC2"/>
    <w:rsid w:val="00680766"/>
    <w:rsid w:val="006816DB"/>
    <w:rsid w:val="00685F42"/>
    <w:rsid w:val="006866A1"/>
    <w:rsid w:val="0069207B"/>
    <w:rsid w:val="0069326B"/>
    <w:rsid w:val="00695685"/>
    <w:rsid w:val="00695CC1"/>
    <w:rsid w:val="006A16FC"/>
    <w:rsid w:val="006A4309"/>
    <w:rsid w:val="006B0E55"/>
    <w:rsid w:val="006B7006"/>
    <w:rsid w:val="006C7F8C"/>
    <w:rsid w:val="006D7AB9"/>
    <w:rsid w:val="006E0FCD"/>
    <w:rsid w:val="00700B2C"/>
    <w:rsid w:val="00710DB2"/>
    <w:rsid w:val="00713084"/>
    <w:rsid w:val="0072080A"/>
    <w:rsid w:val="00720FC2"/>
    <w:rsid w:val="00731E00"/>
    <w:rsid w:val="00732E9D"/>
    <w:rsid w:val="0073491A"/>
    <w:rsid w:val="007440B7"/>
    <w:rsid w:val="00747993"/>
    <w:rsid w:val="00752DDE"/>
    <w:rsid w:val="00756E11"/>
    <w:rsid w:val="007634AD"/>
    <w:rsid w:val="007715C9"/>
    <w:rsid w:val="00774EDD"/>
    <w:rsid w:val="007757EC"/>
    <w:rsid w:val="00776811"/>
    <w:rsid w:val="00786CB5"/>
    <w:rsid w:val="0078715B"/>
    <w:rsid w:val="007A115D"/>
    <w:rsid w:val="007A35E6"/>
    <w:rsid w:val="007A6863"/>
    <w:rsid w:val="007C66C5"/>
    <w:rsid w:val="007C760A"/>
    <w:rsid w:val="007D45C1"/>
    <w:rsid w:val="007D494E"/>
    <w:rsid w:val="007D6408"/>
    <w:rsid w:val="007E7D4A"/>
    <w:rsid w:val="007F48ED"/>
    <w:rsid w:val="007F7947"/>
    <w:rsid w:val="0080269A"/>
    <w:rsid w:val="00812F45"/>
    <w:rsid w:val="008168E3"/>
    <w:rsid w:val="00823E0D"/>
    <w:rsid w:val="008364B3"/>
    <w:rsid w:val="0084172C"/>
    <w:rsid w:val="00842500"/>
    <w:rsid w:val="00846C24"/>
    <w:rsid w:val="00856A31"/>
    <w:rsid w:val="008754D0"/>
    <w:rsid w:val="00877D48"/>
    <w:rsid w:val="0088345B"/>
    <w:rsid w:val="00893B61"/>
    <w:rsid w:val="008A16A5"/>
    <w:rsid w:val="008A56ED"/>
    <w:rsid w:val="008C2B5D"/>
    <w:rsid w:val="008D0EE0"/>
    <w:rsid w:val="008D1EFB"/>
    <w:rsid w:val="008D3C70"/>
    <w:rsid w:val="008D5B99"/>
    <w:rsid w:val="008D7A27"/>
    <w:rsid w:val="008E4702"/>
    <w:rsid w:val="008E5983"/>
    <w:rsid w:val="008E69AA"/>
    <w:rsid w:val="008F2313"/>
    <w:rsid w:val="008F4F1C"/>
    <w:rsid w:val="009025CE"/>
    <w:rsid w:val="00904032"/>
    <w:rsid w:val="00921E9E"/>
    <w:rsid w:val="00922764"/>
    <w:rsid w:val="00932377"/>
    <w:rsid w:val="00943102"/>
    <w:rsid w:val="0094523D"/>
    <w:rsid w:val="009559E6"/>
    <w:rsid w:val="00966D46"/>
    <w:rsid w:val="00974FB2"/>
    <w:rsid w:val="00976A63"/>
    <w:rsid w:val="00983419"/>
    <w:rsid w:val="0098795C"/>
    <w:rsid w:val="009935F5"/>
    <w:rsid w:val="009B6623"/>
    <w:rsid w:val="009C3431"/>
    <w:rsid w:val="009C5989"/>
    <w:rsid w:val="009D08DA"/>
    <w:rsid w:val="009E164F"/>
    <w:rsid w:val="009E3443"/>
    <w:rsid w:val="009F48F6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74AE"/>
    <w:rsid w:val="00A677DC"/>
    <w:rsid w:val="00A70A74"/>
    <w:rsid w:val="00AA0343"/>
    <w:rsid w:val="00AA2A5C"/>
    <w:rsid w:val="00AB2856"/>
    <w:rsid w:val="00AB3615"/>
    <w:rsid w:val="00AB78E9"/>
    <w:rsid w:val="00AD1EF5"/>
    <w:rsid w:val="00AD298C"/>
    <w:rsid w:val="00AD3467"/>
    <w:rsid w:val="00AD5641"/>
    <w:rsid w:val="00AE0F9B"/>
    <w:rsid w:val="00AE25CC"/>
    <w:rsid w:val="00AF07C5"/>
    <w:rsid w:val="00AF55FF"/>
    <w:rsid w:val="00B02265"/>
    <w:rsid w:val="00B032D8"/>
    <w:rsid w:val="00B13DA0"/>
    <w:rsid w:val="00B16437"/>
    <w:rsid w:val="00B24191"/>
    <w:rsid w:val="00B26F1F"/>
    <w:rsid w:val="00B30524"/>
    <w:rsid w:val="00B33B3C"/>
    <w:rsid w:val="00B40D74"/>
    <w:rsid w:val="00B45731"/>
    <w:rsid w:val="00B52663"/>
    <w:rsid w:val="00B56DCB"/>
    <w:rsid w:val="00B704FF"/>
    <w:rsid w:val="00B753D9"/>
    <w:rsid w:val="00B770D2"/>
    <w:rsid w:val="00B82425"/>
    <w:rsid w:val="00B845E7"/>
    <w:rsid w:val="00B875DB"/>
    <w:rsid w:val="00BA47A3"/>
    <w:rsid w:val="00BA5026"/>
    <w:rsid w:val="00BA5122"/>
    <w:rsid w:val="00BB37ED"/>
    <w:rsid w:val="00BB6E79"/>
    <w:rsid w:val="00BE3B31"/>
    <w:rsid w:val="00BE719A"/>
    <w:rsid w:val="00BE720A"/>
    <w:rsid w:val="00BF4895"/>
    <w:rsid w:val="00BF6650"/>
    <w:rsid w:val="00C067E5"/>
    <w:rsid w:val="00C164CA"/>
    <w:rsid w:val="00C1708B"/>
    <w:rsid w:val="00C2421E"/>
    <w:rsid w:val="00C24AEB"/>
    <w:rsid w:val="00C26885"/>
    <w:rsid w:val="00C30E05"/>
    <w:rsid w:val="00C42BF8"/>
    <w:rsid w:val="00C460AE"/>
    <w:rsid w:val="00C50043"/>
    <w:rsid w:val="00C50A0F"/>
    <w:rsid w:val="00C511BD"/>
    <w:rsid w:val="00C7573B"/>
    <w:rsid w:val="00C76CF3"/>
    <w:rsid w:val="00C820A7"/>
    <w:rsid w:val="00C86D8A"/>
    <w:rsid w:val="00CA7844"/>
    <w:rsid w:val="00CA7F90"/>
    <w:rsid w:val="00CB1928"/>
    <w:rsid w:val="00CB58EF"/>
    <w:rsid w:val="00CB6A54"/>
    <w:rsid w:val="00CD2C6F"/>
    <w:rsid w:val="00CE7D64"/>
    <w:rsid w:val="00CF0BB2"/>
    <w:rsid w:val="00D018A7"/>
    <w:rsid w:val="00D13441"/>
    <w:rsid w:val="00D243A3"/>
    <w:rsid w:val="00D3200B"/>
    <w:rsid w:val="00D33440"/>
    <w:rsid w:val="00D37EE8"/>
    <w:rsid w:val="00D43C10"/>
    <w:rsid w:val="00D52EFE"/>
    <w:rsid w:val="00D56A0D"/>
    <w:rsid w:val="00D57AE3"/>
    <w:rsid w:val="00D63EF6"/>
    <w:rsid w:val="00D66518"/>
    <w:rsid w:val="00D70DFB"/>
    <w:rsid w:val="00D71EEA"/>
    <w:rsid w:val="00D735CD"/>
    <w:rsid w:val="00D766DF"/>
    <w:rsid w:val="00D84B81"/>
    <w:rsid w:val="00D921ED"/>
    <w:rsid w:val="00D95891"/>
    <w:rsid w:val="00D97E99"/>
    <w:rsid w:val="00DA112F"/>
    <w:rsid w:val="00DB5CB4"/>
    <w:rsid w:val="00DE149E"/>
    <w:rsid w:val="00DE1A06"/>
    <w:rsid w:val="00DE75E3"/>
    <w:rsid w:val="00DF51D3"/>
    <w:rsid w:val="00E05704"/>
    <w:rsid w:val="00E074C1"/>
    <w:rsid w:val="00E1179E"/>
    <w:rsid w:val="00E12F1A"/>
    <w:rsid w:val="00E21CFB"/>
    <w:rsid w:val="00E22935"/>
    <w:rsid w:val="00E26350"/>
    <w:rsid w:val="00E47776"/>
    <w:rsid w:val="00E50E8A"/>
    <w:rsid w:val="00E54292"/>
    <w:rsid w:val="00E60191"/>
    <w:rsid w:val="00E71ECA"/>
    <w:rsid w:val="00E72ACD"/>
    <w:rsid w:val="00E72B42"/>
    <w:rsid w:val="00E7472D"/>
    <w:rsid w:val="00E74DC7"/>
    <w:rsid w:val="00E86D1A"/>
    <w:rsid w:val="00E87699"/>
    <w:rsid w:val="00E92E27"/>
    <w:rsid w:val="00E9586B"/>
    <w:rsid w:val="00E97334"/>
    <w:rsid w:val="00EA0D36"/>
    <w:rsid w:val="00EA2A21"/>
    <w:rsid w:val="00EB1203"/>
    <w:rsid w:val="00EB1590"/>
    <w:rsid w:val="00EC33D9"/>
    <w:rsid w:val="00ED4928"/>
    <w:rsid w:val="00EE3133"/>
    <w:rsid w:val="00EE6190"/>
    <w:rsid w:val="00EE6C73"/>
    <w:rsid w:val="00EF2E3A"/>
    <w:rsid w:val="00EF6402"/>
    <w:rsid w:val="00EF65E6"/>
    <w:rsid w:val="00F00DFB"/>
    <w:rsid w:val="00F025DF"/>
    <w:rsid w:val="00F047E2"/>
    <w:rsid w:val="00F04D57"/>
    <w:rsid w:val="00F078DC"/>
    <w:rsid w:val="00F13E86"/>
    <w:rsid w:val="00F24AB6"/>
    <w:rsid w:val="00F25E54"/>
    <w:rsid w:val="00F32FCB"/>
    <w:rsid w:val="00F377E5"/>
    <w:rsid w:val="00F40E75"/>
    <w:rsid w:val="00F52C94"/>
    <w:rsid w:val="00F576F5"/>
    <w:rsid w:val="00F628C5"/>
    <w:rsid w:val="00F6709F"/>
    <w:rsid w:val="00F677A9"/>
    <w:rsid w:val="00F732EA"/>
    <w:rsid w:val="00F7346D"/>
    <w:rsid w:val="00F762BE"/>
    <w:rsid w:val="00F84CF5"/>
    <w:rsid w:val="00F8612E"/>
    <w:rsid w:val="00F90C3A"/>
    <w:rsid w:val="00FA24A9"/>
    <w:rsid w:val="00FA420B"/>
    <w:rsid w:val="00FC0045"/>
    <w:rsid w:val="00FC5C48"/>
    <w:rsid w:val="00FD1A4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7E4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E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E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E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E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E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E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E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E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E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7E40"/>
  </w:style>
  <w:style w:type="paragraph" w:customStyle="1" w:styleId="OPCParaBase">
    <w:name w:val="OPCParaBase"/>
    <w:qFormat/>
    <w:rsid w:val="00387E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7E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7E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7E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7E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7E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7E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7E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7E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7E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7E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7E40"/>
  </w:style>
  <w:style w:type="paragraph" w:customStyle="1" w:styleId="Blocks">
    <w:name w:val="Blocks"/>
    <w:aliases w:val="bb"/>
    <w:basedOn w:val="OPCParaBase"/>
    <w:qFormat/>
    <w:rsid w:val="00387E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7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7E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7E40"/>
    <w:rPr>
      <w:i/>
    </w:rPr>
  </w:style>
  <w:style w:type="paragraph" w:customStyle="1" w:styleId="BoxList">
    <w:name w:val="BoxList"/>
    <w:aliases w:val="bl"/>
    <w:basedOn w:val="BoxText"/>
    <w:qFormat/>
    <w:rsid w:val="00387E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7E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7E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7E40"/>
    <w:pPr>
      <w:ind w:left="1985" w:hanging="851"/>
    </w:pPr>
  </w:style>
  <w:style w:type="character" w:customStyle="1" w:styleId="CharAmPartNo">
    <w:name w:val="CharAmPartNo"/>
    <w:basedOn w:val="OPCCharBase"/>
    <w:qFormat/>
    <w:rsid w:val="00387E40"/>
  </w:style>
  <w:style w:type="character" w:customStyle="1" w:styleId="CharAmPartText">
    <w:name w:val="CharAmPartText"/>
    <w:basedOn w:val="OPCCharBase"/>
    <w:qFormat/>
    <w:rsid w:val="00387E40"/>
  </w:style>
  <w:style w:type="character" w:customStyle="1" w:styleId="CharAmSchNo">
    <w:name w:val="CharAmSchNo"/>
    <w:basedOn w:val="OPCCharBase"/>
    <w:qFormat/>
    <w:rsid w:val="00387E40"/>
  </w:style>
  <w:style w:type="character" w:customStyle="1" w:styleId="CharAmSchText">
    <w:name w:val="CharAmSchText"/>
    <w:basedOn w:val="OPCCharBase"/>
    <w:qFormat/>
    <w:rsid w:val="00387E40"/>
  </w:style>
  <w:style w:type="character" w:customStyle="1" w:styleId="CharBoldItalic">
    <w:name w:val="CharBoldItalic"/>
    <w:basedOn w:val="OPCCharBase"/>
    <w:uiPriority w:val="1"/>
    <w:qFormat/>
    <w:rsid w:val="00387E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7E40"/>
  </w:style>
  <w:style w:type="character" w:customStyle="1" w:styleId="CharChapText">
    <w:name w:val="CharChapText"/>
    <w:basedOn w:val="OPCCharBase"/>
    <w:uiPriority w:val="1"/>
    <w:qFormat/>
    <w:rsid w:val="00387E40"/>
  </w:style>
  <w:style w:type="character" w:customStyle="1" w:styleId="CharDivNo">
    <w:name w:val="CharDivNo"/>
    <w:basedOn w:val="OPCCharBase"/>
    <w:uiPriority w:val="1"/>
    <w:qFormat/>
    <w:rsid w:val="00387E40"/>
  </w:style>
  <w:style w:type="character" w:customStyle="1" w:styleId="CharDivText">
    <w:name w:val="CharDivText"/>
    <w:basedOn w:val="OPCCharBase"/>
    <w:uiPriority w:val="1"/>
    <w:qFormat/>
    <w:rsid w:val="00387E40"/>
  </w:style>
  <w:style w:type="character" w:customStyle="1" w:styleId="CharItalic">
    <w:name w:val="CharItalic"/>
    <w:basedOn w:val="OPCCharBase"/>
    <w:uiPriority w:val="1"/>
    <w:qFormat/>
    <w:rsid w:val="00387E40"/>
    <w:rPr>
      <w:i/>
    </w:rPr>
  </w:style>
  <w:style w:type="character" w:customStyle="1" w:styleId="CharPartNo">
    <w:name w:val="CharPartNo"/>
    <w:basedOn w:val="OPCCharBase"/>
    <w:uiPriority w:val="1"/>
    <w:qFormat/>
    <w:rsid w:val="00387E40"/>
  </w:style>
  <w:style w:type="character" w:customStyle="1" w:styleId="CharPartText">
    <w:name w:val="CharPartText"/>
    <w:basedOn w:val="OPCCharBase"/>
    <w:uiPriority w:val="1"/>
    <w:qFormat/>
    <w:rsid w:val="00387E40"/>
  </w:style>
  <w:style w:type="character" w:customStyle="1" w:styleId="CharSectno">
    <w:name w:val="CharSectno"/>
    <w:basedOn w:val="OPCCharBase"/>
    <w:qFormat/>
    <w:rsid w:val="00387E40"/>
  </w:style>
  <w:style w:type="character" w:customStyle="1" w:styleId="CharSubdNo">
    <w:name w:val="CharSubdNo"/>
    <w:basedOn w:val="OPCCharBase"/>
    <w:uiPriority w:val="1"/>
    <w:qFormat/>
    <w:rsid w:val="00387E40"/>
  </w:style>
  <w:style w:type="character" w:customStyle="1" w:styleId="CharSubdText">
    <w:name w:val="CharSubdText"/>
    <w:basedOn w:val="OPCCharBase"/>
    <w:uiPriority w:val="1"/>
    <w:qFormat/>
    <w:rsid w:val="00387E40"/>
  </w:style>
  <w:style w:type="paragraph" w:customStyle="1" w:styleId="CTA--">
    <w:name w:val="CTA --"/>
    <w:basedOn w:val="OPCParaBase"/>
    <w:next w:val="Normal"/>
    <w:rsid w:val="00387E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7E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7E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7E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7E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7E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7E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7E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7E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7E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7E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7E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7E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7E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87E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7E4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7E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7E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7E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7E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7E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7E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7E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7E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7E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7E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7E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7E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7E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7E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7E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7E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7E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7E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7E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7E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7E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7E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7E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7E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7E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7E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7E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7E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7E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7E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7E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7E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7E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7E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7E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7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7E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7E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7E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87E40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87E40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87E40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87E4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7E4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87E4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7E4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7E4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87E4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7E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7E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7E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7E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7E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7E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7E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7E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7E40"/>
    <w:rPr>
      <w:sz w:val="16"/>
    </w:rPr>
  </w:style>
  <w:style w:type="table" w:customStyle="1" w:styleId="CFlag">
    <w:name w:val="CFlag"/>
    <w:basedOn w:val="TableNormal"/>
    <w:uiPriority w:val="99"/>
    <w:rsid w:val="00387E4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7E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7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7E4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7E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7E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7E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7E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7E4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87E40"/>
    <w:pPr>
      <w:spacing w:before="120"/>
    </w:pPr>
  </w:style>
  <w:style w:type="paragraph" w:customStyle="1" w:styleId="CompiledActNo">
    <w:name w:val="CompiledActNo"/>
    <w:basedOn w:val="OPCParaBase"/>
    <w:next w:val="Normal"/>
    <w:rsid w:val="00387E4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7E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7E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87E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7E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7E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7E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87E4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7E4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7E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7E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7E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7E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7E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7E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7E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7E4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7E40"/>
  </w:style>
  <w:style w:type="character" w:customStyle="1" w:styleId="CharSubPartNoCASA">
    <w:name w:val="CharSubPartNo(CASA)"/>
    <w:basedOn w:val="OPCCharBase"/>
    <w:uiPriority w:val="1"/>
    <w:rsid w:val="00387E40"/>
  </w:style>
  <w:style w:type="paragraph" w:customStyle="1" w:styleId="ENoteTTIndentHeadingSub">
    <w:name w:val="ENoteTTIndentHeadingSub"/>
    <w:aliases w:val="enTTHis"/>
    <w:basedOn w:val="OPCParaBase"/>
    <w:rsid w:val="00387E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7E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7E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7E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7E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7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7E40"/>
    <w:rPr>
      <w:sz w:val="22"/>
    </w:rPr>
  </w:style>
  <w:style w:type="paragraph" w:customStyle="1" w:styleId="SOTextNote">
    <w:name w:val="SO TextNote"/>
    <w:aliases w:val="sont"/>
    <w:basedOn w:val="SOText"/>
    <w:qFormat/>
    <w:rsid w:val="00387E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7E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7E40"/>
    <w:rPr>
      <w:sz w:val="22"/>
    </w:rPr>
  </w:style>
  <w:style w:type="paragraph" w:customStyle="1" w:styleId="FileName">
    <w:name w:val="FileName"/>
    <w:basedOn w:val="Normal"/>
    <w:rsid w:val="00387E40"/>
  </w:style>
  <w:style w:type="paragraph" w:customStyle="1" w:styleId="TableHeading">
    <w:name w:val="TableHeading"/>
    <w:aliases w:val="th"/>
    <w:basedOn w:val="OPCParaBase"/>
    <w:next w:val="Tabletext"/>
    <w:rsid w:val="00387E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7E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7E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7E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7E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7E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7E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7E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7E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7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7E4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7E4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7E4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7E4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7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E4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E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E4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E4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E4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E4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E4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7E4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E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E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E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E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E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E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E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E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E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87E40"/>
  </w:style>
  <w:style w:type="paragraph" w:customStyle="1" w:styleId="OPCParaBase">
    <w:name w:val="OPCParaBase"/>
    <w:qFormat/>
    <w:rsid w:val="00387E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87E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87E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87E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87E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87E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87E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87E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87E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87E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87E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87E40"/>
  </w:style>
  <w:style w:type="paragraph" w:customStyle="1" w:styleId="Blocks">
    <w:name w:val="Blocks"/>
    <w:aliases w:val="bb"/>
    <w:basedOn w:val="OPCParaBase"/>
    <w:qFormat/>
    <w:rsid w:val="00387E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87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87E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87E40"/>
    <w:rPr>
      <w:i/>
    </w:rPr>
  </w:style>
  <w:style w:type="paragraph" w:customStyle="1" w:styleId="BoxList">
    <w:name w:val="BoxList"/>
    <w:aliases w:val="bl"/>
    <w:basedOn w:val="BoxText"/>
    <w:qFormat/>
    <w:rsid w:val="00387E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87E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87E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87E40"/>
    <w:pPr>
      <w:ind w:left="1985" w:hanging="851"/>
    </w:pPr>
  </w:style>
  <w:style w:type="character" w:customStyle="1" w:styleId="CharAmPartNo">
    <w:name w:val="CharAmPartNo"/>
    <w:basedOn w:val="OPCCharBase"/>
    <w:qFormat/>
    <w:rsid w:val="00387E40"/>
  </w:style>
  <w:style w:type="character" w:customStyle="1" w:styleId="CharAmPartText">
    <w:name w:val="CharAmPartText"/>
    <w:basedOn w:val="OPCCharBase"/>
    <w:qFormat/>
    <w:rsid w:val="00387E40"/>
  </w:style>
  <w:style w:type="character" w:customStyle="1" w:styleId="CharAmSchNo">
    <w:name w:val="CharAmSchNo"/>
    <w:basedOn w:val="OPCCharBase"/>
    <w:qFormat/>
    <w:rsid w:val="00387E40"/>
  </w:style>
  <w:style w:type="character" w:customStyle="1" w:styleId="CharAmSchText">
    <w:name w:val="CharAmSchText"/>
    <w:basedOn w:val="OPCCharBase"/>
    <w:qFormat/>
    <w:rsid w:val="00387E40"/>
  </w:style>
  <w:style w:type="character" w:customStyle="1" w:styleId="CharBoldItalic">
    <w:name w:val="CharBoldItalic"/>
    <w:basedOn w:val="OPCCharBase"/>
    <w:uiPriority w:val="1"/>
    <w:qFormat/>
    <w:rsid w:val="00387E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387E40"/>
  </w:style>
  <w:style w:type="character" w:customStyle="1" w:styleId="CharChapText">
    <w:name w:val="CharChapText"/>
    <w:basedOn w:val="OPCCharBase"/>
    <w:uiPriority w:val="1"/>
    <w:qFormat/>
    <w:rsid w:val="00387E40"/>
  </w:style>
  <w:style w:type="character" w:customStyle="1" w:styleId="CharDivNo">
    <w:name w:val="CharDivNo"/>
    <w:basedOn w:val="OPCCharBase"/>
    <w:uiPriority w:val="1"/>
    <w:qFormat/>
    <w:rsid w:val="00387E40"/>
  </w:style>
  <w:style w:type="character" w:customStyle="1" w:styleId="CharDivText">
    <w:name w:val="CharDivText"/>
    <w:basedOn w:val="OPCCharBase"/>
    <w:uiPriority w:val="1"/>
    <w:qFormat/>
    <w:rsid w:val="00387E40"/>
  </w:style>
  <w:style w:type="character" w:customStyle="1" w:styleId="CharItalic">
    <w:name w:val="CharItalic"/>
    <w:basedOn w:val="OPCCharBase"/>
    <w:uiPriority w:val="1"/>
    <w:qFormat/>
    <w:rsid w:val="00387E40"/>
    <w:rPr>
      <w:i/>
    </w:rPr>
  </w:style>
  <w:style w:type="character" w:customStyle="1" w:styleId="CharPartNo">
    <w:name w:val="CharPartNo"/>
    <w:basedOn w:val="OPCCharBase"/>
    <w:uiPriority w:val="1"/>
    <w:qFormat/>
    <w:rsid w:val="00387E40"/>
  </w:style>
  <w:style w:type="character" w:customStyle="1" w:styleId="CharPartText">
    <w:name w:val="CharPartText"/>
    <w:basedOn w:val="OPCCharBase"/>
    <w:uiPriority w:val="1"/>
    <w:qFormat/>
    <w:rsid w:val="00387E40"/>
  </w:style>
  <w:style w:type="character" w:customStyle="1" w:styleId="CharSectno">
    <w:name w:val="CharSectno"/>
    <w:basedOn w:val="OPCCharBase"/>
    <w:qFormat/>
    <w:rsid w:val="00387E40"/>
  </w:style>
  <w:style w:type="character" w:customStyle="1" w:styleId="CharSubdNo">
    <w:name w:val="CharSubdNo"/>
    <w:basedOn w:val="OPCCharBase"/>
    <w:uiPriority w:val="1"/>
    <w:qFormat/>
    <w:rsid w:val="00387E40"/>
  </w:style>
  <w:style w:type="character" w:customStyle="1" w:styleId="CharSubdText">
    <w:name w:val="CharSubdText"/>
    <w:basedOn w:val="OPCCharBase"/>
    <w:uiPriority w:val="1"/>
    <w:qFormat/>
    <w:rsid w:val="00387E40"/>
  </w:style>
  <w:style w:type="paragraph" w:customStyle="1" w:styleId="CTA--">
    <w:name w:val="CTA --"/>
    <w:basedOn w:val="OPCParaBase"/>
    <w:next w:val="Normal"/>
    <w:rsid w:val="00387E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87E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87E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87E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87E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87E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87E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87E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87E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87E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87E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87E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87E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87E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87E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87E4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87E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87E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87E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87E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87E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87E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87E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87E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87E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87E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87E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87E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87E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87E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87E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87E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87E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87E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87E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87E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87E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87E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87E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87E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87E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87E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87E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87E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87E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87E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87E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87E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87E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87E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87E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87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87E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87E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87E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87E40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87E40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87E40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87E4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87E4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87E4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87E4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87E4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87E4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87E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87E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87E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87E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87E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87E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87E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87E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87E40"/>
    <w:rPr>
      <w:sz w:val="16"/>
    </w:rPr>
  </w:style>
  <w:style w:type="table" w:customStyle="1" w:styleId="CFlag">
    <w:name w:val="CFlag"/>
    <w:basedOn w:val="TableNormal"/>
    <w:uiPriority w:val="99"/>
    <w:rsid w:val="00387E4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7E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7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87E4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87E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87E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87E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87E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87E4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87E40"/>
    <w:pPr>
      <w:spacing w:before="120"/>
    </w:pPr>
  </w:style>
  <w:style w:type="paragraph" w:customStyle="1" w:styleId="CompiledActNo">
    <w:name w:val="CompiledActNo"/>
    <w:basedOn w:val="OPCParaBase"/>
    <w:next w:val="Normal"/>
    <w:rsid w:val="00387E4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87E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87E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87E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87E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87E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87E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87E4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87E4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87E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87E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87E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87E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87E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87E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87E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87E4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87E40"/>
  </w:style>
  <w:style w:type="character" w:customStyle="1" w:styleId="CharSubPartNoCASA">
    <w:name w:val="CharSubPartNo(CASA)"/>
    <w:basedOn w:val="OPCCharBase"/>
    <w:uiPriority w:val="1"/>
    <w:rsid w:val="00387E40"/>
  </w:style>
  <w:style w:type="paragraph" w:customStyle="1" w:styleId="ENoteTTIndentHeadingSub">
    <w:name w:val="ENoteTTIndentHeadingSub"/>
    <w:aliases w:val="enTTHis"/>
    <w:basedOn w:val="OPCParaBase"/>
    <w:rsid w:val="00387E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87E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87E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87E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87E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87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87E40"/>
    <w:rPr>
      <w:sz w:val="22"/>
    </w:rPr>
  </w:style>
  <w:style w:type="paragraph" w:customStyle="1" w:styleId="SOTextNote">
    <w:name w:val="SO TextNote"/>
    <w:aliases w:val="sont"/>
    <w:basedOn w:val="SOText"/>
    <w:qFormat/>
    <w:rsid w:val="00387E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87E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87E40"/>
    <w:rPr>
      <w:sz w:val="22"/>
    </w:rPr>
  </w:style>
  <w:style w:type="paragraph" w:customStyle="1" w:styleId="FileName">
    <w:name w:val="FileName"/>
    <w:basedOn w:val="Normal"/>
    <w:rsid w:val="00387E40"/>
  </w:style>
  <w:style w:type="paragraph" w:customStyle="1" w:styleId="TableHeading">
    <w:name w:val="TableHeading"/>
    <w:aliases w:val="th"/>
    <w:basedOn w:val="OPCParaBase"/>
    <w:next w:val="Tabletext"/>
    <w:rsid w:val="00387E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87E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87E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87E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87E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87E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87E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87E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87E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87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87E4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87E4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87E4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87E4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7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E4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E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E4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E4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E4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E4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E4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1368</Words>
  <Characters>7802</Characters>
  <Application>Microsoft Office Word</Application>
  <DocSecurity>4</DocSecurity>
  <PresentationFormat/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 Safety (Domestic Commercial Vessel) National Law Amendment (Cost Recovery) Regulations 2018</vt:lpstr>
    </vt:vector>
  </TitlesOfParts>
  <LinksUpToDate>false</LinksUpToDate>
  <CharactersWithSpaces>9152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2018-03-16T01:42:00Z</cp:lastPrinted>
  <dcterms:created xsi:type="dcterms:W3CDTF">2018-06-21T22:44:00Z</dcterms:created>
  <dcterms:modified xsi:type="dcterms:W3CDTF">2018-06-21T22:44:00Z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Marine Safety (Domestic Commercial Vessel) National Law Amendment (Cost Recovery)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21 June 2018</vt:lpwstr>
  </property>
  <property fmtid="{D5CDD505-2E9C-101B-9397-08002B2CF9AE}" pid="10" name="ID">
    <vt:lpwstr>OPC63121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June 2018</vt:lpwstr>
  </property>
</Properties>
</file>