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6DDA" w14:textId="77777777" w:rsidR="00F109D4" w:rsidRPr="0018611A" w:rsidRDefault="00F109D4" w:rsidP="00647BB7">
      <w:pPr>
        <w:pStyle w:val="Heading1"/>
        <w:spacing w:after="360"/>
        <w:rPr>
          <w:rFonts w:ascii="Times New Roman" w:hAnsi="Times New Roman"/>
        </w:rPr>
      </w:pPr>
      <w:bookmarkStart w:id="0" w:name="_GoBack"/>
      <w:bookmarkEnd w:id="0"/>
      <w:r w:rsidRPr="0018611A">
        <w:rPr>
          <w:rFonts w:ascii="Times New Roman" w:hAnsi="Times New Roman"/>
        </w:rPr>
        <w:t>EXPLANATORY STATEMENT</w:t>
      </w:r>
    </w:p>
    <w:p w14:paraId="27311006" w14:textId="643B42B7" w:rsidR="007662C7" w:rsidRPr="003E1CE3" w:rsidRDefault="00F109D4" w:rsidP="003E1CE3">
      <w:pPr>
        <w:pStyle w:val="Heading2"/>
        <w:jc w:val="center"/>
      </w:pPr>
      <w:r w:rsidRPr="00503E44">
        <w:t xml:space="preserve">Issued by authority of the </w:t>
      </w:r>
      <w:r w:rsidR="00C10940" w:rsidRPr="00C10940">
        <w:t>Minister for Revenue and Financial Services</w:t>
      </w:r>
    </w:p>
    <w:p w14:paraId="1C30CE49" w14:textId="35760EF8" w:rsidR="00400E9A" w:rsidRDefault="00C10940" w:rsidP="00400E9A">
      <w:pPr>
        <w:spacing w:before="0" w:after="240"/>
        <w:rPr>
          <w:i/>
        </w:rPr>
      </w:pPr>
      <w:r w:rsidRPr="00C10940">
        <w:t xml:space="preserve">Subject </w:t>
      </w:r>
      <w:r w:rsidRPr="00400E9A">
        <w:rPr>
          <w:i/>
        </w:rPr>
        <w:t>-</w:t>
      </w:r>
      <w:r w:rsidRPr="00C10940">
        <w:rPr>
          <w:i/>
        </w:rPr>
        <w:t xml:space="preserve"> </w:t>
      </w:r>
      <w:r w:rsidR="00400E9A">
        <w:rPr>
          <w:i/>
        </w:rPr>
        <w:tab/>
      </w:r>
      <w:r w:rsidR="00246B50" w:rsidRPr="00246B50">
        <w:rPr>
          <w:i/>
        </w:rPr>
        <w:t>Superannuation (Resolution of Complaints) Act 1993</w:t>
      </w:r>
    </w:p>
    <w:p w14:paraId="05AEE8F8" w14:textId="17667760" w:rsidR="00246B50" w:rsidRPr="00246B50" w:rsidRDefault="00246B50" w:rsidP="00400E9A">
      <w:pPr>
        <w:spacing w:before="0" w:after="240"/>
        <w:ind w:left="720" w:firstLine="720"/>
        <w:rPr>
          <w:i/>
        </w:rPr>
      </w:pPr>
      <w:r w:rsidRPr="00246B50">
        <w:rPr>
          <w:i/>
        </w:rPr>
        <w:t xml:space="preserve">Superannuation (Resolution of Complaints) </w:t>
      </w:r>
      <w:r>
        <w:rPr>
          <w:i/>
        </w:rPr>
        <w:t>Regulations</w:t>
      </w:r>
      <w:r w:rsidRPr="00246B50">
        <w:rPr>
          <w:i/>
        </w:rPr>
        <w:t xml:space="preserve"> </w:t>
      </w:r>
      <w:r>
        <w:rPr>
          <w:i/>
        </w:rPr>
        <w:t>2018</w:t>
      </w:r>
    </w:p>
    <w:p w14:paraId="22E39F28" w14:textId="77777777" w:rsidR="00400E9A" w:rsidRPr="00400E9A" w:rsidRDefault="00400E9A" w:rsidP="00400E9A">
      <w:pPr>
        <w:spacing w:before="240"/>
      </w:pPr>
      <w:r w:rsidRPr="00400E9A">
        <w:t xml:space="preserve">The </w:t>
      </w:r>
      <w:r w:rsidRPr="00400E9A">
        <w:rPr>
          <w:i/>
          <w:iCs/>
        </w:rPr>
        <w:t>Superannuation (Resolution of Complaints) Act 1993</w:t>
      </w:r>
      <w:r w:rsidRPr="00400E9A">
        <w:t xml:space="preserve"> establishes the Superannuation Complaints Tribunal.</w:t>
      </w:r>
    </w:p>
    <w:p w14:paraId="3E4643DC" w14:textId="0A93A0AA" w:rsidR="00F109D4" w:rsidRDefault="00C55D29" w:rsidP="00647BB7">
      <w:pPr>
        <w:spacing w:before="240"/>
      </w:pPr>
      <w:r w:rsidRPr="00503E44">
        <w:t xml:space="preserve">Section </w:t>
      </w:r>
      <w:r w:rsidR="00246B50">
        <w:t>68</w:t>
      </w:r>
      <w:r w:rsidR="005E4BAC">
        <w:t xml:space="preserve"> </w:t>
      </w:r>
      <w:r w:rsidR="00F109D4" w:rsidRPr="00503E44">
        <w:t xml:space="preserve">of the </w:t>
      </w:r>
      <w:r w:rsidR="00246B50" w:rsidRPr="00246B50">
        <w:rPr>
          <w:i/>
        </w:rPr>
        <w:t>Superannuation (Resolution of Complaints) Act 1993</w:t>
      </w:r>
      <w:r w:rsidR="00F109D4" w:rsidRPr="00503E44">
        <w:t xml:space="preserve"> (the Act) provides that the Governor-General may make regulations prescribing matters required or permitted by the Act to be prescribed, or necessary or convenient to be prescribed</w:t>
      </w:r>
      <w:r w:rsidR="00F372ED">
        <w:t>,</w:t>
      </w:r>
      <w:r w:rsidR="00F109D4" w:rsidRPr="00503E44">
        <w:t xml:space="preserve"> for carrying out or giving effect to the Act.</w:t>
      </w:r>
    </w:p>
    <w:p w14:paraId="28A6210C" w14:textId="0B8511CD" w:rsidR="00F109D4" w:rsidRDefault="00512FA9" w:rsidP="00512FA9">
      <w:pPr>
        <w:spacing w:before="240"/>
      </w:pPr>
      <w:r w:rsidRPr="00512FA9">
        <w:t xml:space="preserve">The purpose of the </w:t>
      </w:r>
      <w:r w:rsidRPr="00512FA9">
        <w:rPr>
          <w:i/>
        </w:rPr>
        <w:t>Superannuation (Resolution of Complaints) Regulations 2018</w:t>
      </w:r>
      <w:r w:rsidRPr="00512FA9">
        <w:t xml:space="preserve"> (</w:t>
      </w:r>
      <w:r w:rsidR="0018611A">
        <w:t>the</w:t>
      </w:r>
      <w:r w:rsidR="006F78B5">
        <w:t> </w:t>
      </w:r>
      <w:r w:rsidR="0018611A">
        <w:t xml:space="preserve">proposed </w:t>
      </w:r>
      <w:r w:rsidRPr="00512FA9">
        <w:t>Regulation</w:t>
      </w:r>
      <w:r w:rsidR="00060966">
        <w:t>s</w:t>
      </w:r>
      <w:r w:rsidRPr="00512FA9">
        <w:t xml:space="preserve">) is to remake the </w:t>
      </w:r>
      <w:r w:rsidRPr="00512FA9">
        <w:rPr>
          <w:i/>
        </w:rPr>
        <w:t xml:space="preserve">Superannuation (Resolution of Complaints) Regulations </w:t>
      </w:r>
      <w:r>
        <w:rPr>
          <w:i/>
        </w:rPr>
        <w:t>1994</w:t>
      </w:r>
      <w:r w:rsidRPr="00512FA9">
        <w:t xml:space="preserve"> (</w:t>
      </w:r>
      <w:r w:rsidR="0018611A">
        <w:t xml:space="preserve">the </w:t>
      </w:r>
      <w:r w:rsidRPr="00512FA9">
        <w:t>former Regulations).</w:t>
      </w:r>
      <w:r w:rsidR="005F1D5B" w:rsidRPr="005F1D5B">
        <w:t xml:space="preserve"> The </w:t>
      </w:r>
      <w:r w:rsidR="005F1D5B" w:rsidRPr="005F1D5B">
        <w:rPr>
          <w:i/>
          <w:iCs/>
        </w:rPr>
        <w:t>Legislation Act 2003</w:t>
      </w:r>
      <w:r w:rsidR="005F1D5B" w:rsidRPr="005F1D5B">
        <w:t xml:space="preserve"> provides that all legislative instruments, other than exempt instruments, </w:t>
      </w:r>
      <w:r w:rsidR="005F1D5B" w:rsidRPr="0015271B">
        <w:t xml:space="preserve">progressively ‘sunset’ according to the timetable set out in the </w:t>
      </w:r>
      <w:r w:rsidR="005F1D5B" w:rsidRPr="0015271B">
        <w:rPr>
          <w:i/>
          <w:iCs/>
        </w:rPr>
        <w:t>Legislation Act 2003</w:t>
      </w:r>
      <w:r w:rsidR="005F1D5B" w:rsidRPr="0015271B">
        <w:t xml:space="preserve">. Legislative instruments registered on the Federal Register of Legislation (previously known as the Federal Register of Legislative Instruments) on </w:t>
      </w:r>
      <w:r w:rsidR="0015271B" w:rsidRPr="0015271B">
        <w:t>1 January 2005</w:t>
      </w:r>
      <w:r w:rsidR="005F1D5B" w:rsidRPr="0015271B">
        <w:t>, such as the</w:t>
      </w:r>
      <w:r w:rsidR="0015271B" w:rsidRPr="0015271B">
        <w:t xml:space="preserve"> </w:t>
      </w:r>
      <w:r w:rsidR="0015271B" w:rsidRPr="0015271B">
        <w:rPr>
          <w:iCs/>
        </w:rPr>
        <w:t>former Regulations</w:t>
      </w:r>
      <w:r w:rsidR="005F1D5B" w:rsidRPr="0015271B">
        <w:t>,</w:t>
      </w:r>
      <w:r w:rsidR="005F1D5B" w:rsidRPr="0015271B">
        <w:rPr>
          <w:i/>
          <w:iCs/>
        </w:rPr>
        <w:t xml:space="preserve"> </w:t>
      </w:r>
      <w:r w:rsidR="005F1D5B" w:rsidRPr="0015271B">
        <w:t>sunset on 1 October 201</w:t>
      </w:r>
      <w:r w:rsidR="0015271B" w:rsidRPr="0015271B">
        <w:t>8</w:t>
      </w:r>
      <w:r w:rsidR="005F1D5B" w:rsidRPr="005F1D5B">
        <w:t xml:space="preserve">. When a legislative instrument sunsets, it is automatically repealed under section 50 of the </w:t>
      </w:r>
      <w:r w:rsidR="005F1D5B">
        <w:rPr>
          <w:i/>
          <w:iCs/>
        </w:rPr>
        <w:t>Legislation Act </w:t>
      </w:r>
      <w:r w:rsidR="005F1D5B" w:rsidRPr="005F1D5B">
        <w:rPr>
          <w:i/>
          <w:iCs/>
        </w:rPr>
        <w:t>2003</w:t>
      </w:r>
      <w:r w:rsidR="005F1D5B" w:rsidRPr="005F1D5B">
        <w:t>.</w:t>
      </w:r>
    </w:p>
    <w:p w14:paraId="084E7FD6" w14:textId="653E5484" w:rsidR="00F109D4" w:rsidRDefault="0020670C" w:rsidP="00647BB7">
      <w:pPr>
        <w:spacing w:before="240"/>
      </w:pPr>
      <w:r w:rsidRPr="0020670C">
        <w:t>The Regulation</w:t>
      </w:r>
      <w:r>
        <w:t>s</w:t>
      </w:r>
      <w:r w:rsidRPr="0020670C">
        <w:t xml:space="preserve"> remake the</w:t>
      </w:r>
      <w:r>
        <w:t xml:space="preserve"> former Regulations with minor formatting changes to bring the provisions into line with current drafting conventions. </w:t>
      </w:r>
    </w:p>
    <w:p w14:paraId="04A648A3" w14:textId="77777777" w:rsidR="0018611A" w:rsidRDefault="0018611A" w:rsidP="0018611A">
      <w:pPr>
        <w:spacing w:before="240"/>
      </w:pPr>
      <w:r>
        <w:t>D</w:t>
      </w:r>
      <w:r w:rsidRPr="007D7517">
        <w:t>etails of the Regulation</w:t>
      </w:r>
      <w:r>
        <w:t>s</w:t>
      </w:r>
      <w:r w:rsidRPr="007D7517">
        <w:t xml:space="preserve"> are set out in the </w:t>
      </w:r>
      <w:r w:rsidRPr="007D7517">
        <w:rPr>
          <w:u w:val="single"/>
        </w:rPr>
        <w:t>Attachment</w:t>
      </w:r>
      <w:r w:rsidRPr="007D7517">
        <w:t>.</w:t>
      </w:r>
    </w:p>
    <w:p w14:paraId="646964A8" w14:textId="2E158B14" w:rsidR="009D14C4" w:rsidRDefault="008629E0" w:rsidP="009D14C4">
      <w:pPr>
        <w:spacing w:before="240"/>
      </w:pPr>
      <w:r>
        <w:t xml:space="preserve">The </w:t>
      </w:r>
      <w:r w:rsidR="009D14C4" w:rsidRPr="002B0D26">
        <w:t>Act</w:t>
      </w:r>
      <w:r w:rsidR="009D14C4">
        <w:t xml:space="preserve"> specif</w:t>
      </w:r>
      <w:r>
        <w:t>ies no</w:t>
      </w:r>
      <w:r w:rsidR="009D14C4" w:rsidRPr="002B0D26">
        <w:t xml:space="preserve"> conditions that need to be satisfied before the power to make the Regulation</w:t>
      </w:r>
      <w:r w:rsidR="009D14C4">
        <w:t>s</w:t>
      </w:r>
      <w:r w:rsidR="009D14C4" w:rsidRPr="002B0D26">
        <w:t xml:space="preserve"> may be exercised. </w:t>
      </w:r>
    </w:p>
    <w:p w14:paraId="11342B9B" w14:textId="5B235AE7" w:rsidR="00082331" w:rsidRPr="002B0D26" w:rsidRDefault="00082331" w:rsidP="00082331">
      <w:pPr>
        <w:spacing w:before="240"/>
      </w:pPr>
      <w:r w:rsidRPr="00CB5716">
        <w:t>An exposure draft of the Regulation</w:t>
      </w:r>
      <w:r>
        <w:t>s</w:t>
      </w:r>
      <w:r w:rsidRPr="00CB5716">
        <w:t xml:space="preserve"> was not released for public consultation </w:t>
      </w:r>
      <w:r w:rsidR="00232D1D">
        <w:t xml:space="preserve">as </w:t>
      </w:r>
      <w:r w:rsidRPr="00CB5716">
        <w:t>the Regulation</w:t>
      </w:r>
      <w:r>
        <w:t>s do</w:t>
      </w:r>
      <w:r w:rsidRPr="00CB5716">
        <w:t xml:space="preserve"> not make </w:t>
      </w:r>
      <w:r>
        <w:t>any</w:t>
      </w:r>
      <w:r w:rsidRPr="00CB5716">
        <w:t xml:space="preserve"> substantive change</w:t>
      </w:r>
      <w:r>
        <w:t>s</w:t>
      </w:r>
      <w:r w:rsidRPr="00CB5716">
        <w:t xml:space="preserve"> to the </w:t>
      </w:r>
      <w:r>
        <w:rPr>
          <w:iCs/>
        </w:rPr>
        <w:t>former R</w:t>
      </w:r>
      <w:r w:rsidRPr="00CB5716">
        <w:rPr>
          <w:iCs/>
        </w:rPr>
        <w:t>egulations.</w:t>
      </w:r>
      <w:r>
        <w:rPr>
          <w:i/>
          <w:iCs/>
        </w:rPr>
        <w:t xml:space="preserve"> </w:t>
      </w:r>
    </w:p>
    <w:p w14:paraId="55DAEF5A" w14:textId="3F7EEA45" w:rsidR="00300E0A" w:rsidRPr="002B0D26" w:rsidRDefault="00300E0A" w:rsidP="002B0D26">
      <w:pPr>
        <w:spacing w:before="240"/>
      </w:pPr>
      <w:r>
        <w:t xml:space="preserve">No Regulations Impact Statement (RIS) has been prepared because under the Office of Best Practice Regulation guidelines no RIS is required if the remade Regulations do not make significant changes to the former </w:t>
      </w:r>
      <w:r w:rsidR="001B2B9C">
        <w:t>r</w:t>
      </w:r>
      <w:r>
        <w:t>egulations.</w:t>
      </w:r>
    </w:p>
    <w:p w14:paraId="3D59DCAA" w14:textId="77777777" w:rsidR="00082331" w:rsidRDefault="00082331" w:rsidP="00082331">
      <w:pPr>
        <w:spacing w:before="240"/>
      </w:pPr>
      <w:r w:rsidRPr="00060966">
        <w:t>The Regulation</w:t>
      </w:r>
      <w:r>
        <w:t>s are</w:t>
      </w:r>
      <w:r w:rsidRPr="00060966">
        <w:t xml:space="preserve"> a legislative instrument for the purposes of the</w:t>
      </w:r>
      <w:r>
        <w:rPr>
          <w:i/>
          <w:iCs/>
        </w:rPr>
        <w:t xml:space="preserve"> Legislation Act </w:t>
      </w:r>
      <w:r w:rsidRPr="00060966">
        <w:rPr>
          <w:i/>
          <w:iCs/>
        </w:rPr>
        <w:t>2003</w:t>
      </w:r>
      <w:r w:rsidRPr="00060966">
        <w:t>.</w:t>
      </w:r>
    </w:p>
    <w:p w14:paraId="31212361" w14:textId="3F25264D" w:rsidR="009143A0" w:rsidRPr="00647BB7" w:rsidRDefault="0018611A" w:rsidP="00647BB7">
      <w:pPr>
        <w:spacing w:before="240"/>
        <w:rPr>
          <w:i/>
        </w:rPr>
      </w:pPr>
      <w:r>
        <w:t>The Regulations commence</w:t>
      </w:r>
      <w:r w:rsidR="00232D1D">
        <w:t>d</w:t>
      </w:r>
      <w:r w:rsidR="00F109D4" w:rsidRPr="00503E44">
        <w:t xml:space="preserve"> on </w:t>
      </w:r>
      <w:r w:rsidR="00A52496" w:rsidRPr="00A52496">
        <w:t xml:space="preserve">the day after </w:t>
      </w:r>
      <w:r w:rsidR="00232D1D">
        <w:t>it is</w:t>
      </w:r>
      <w:r w:rsidR="008122B3" w:rsidRPr="008122B3">
        <w:t xml:space="preserve"> registered on the Federal Register of Legislation</w:t>
      </w:r>
      <w:r w:rsidR="00A52496">
        <w:t>.</w:t>
      </w:r>
    </w:p>
    <w:p w14:paraId="7C34816F" w14:textId="77777777" w:rsidR="0018611A" w:rsidRDefault="00837C82" w:rsidP="0018611A">
      <w:pPr>
        <w:spacing w:before="0" w:after="0"/>
        <w:jc w:val="right"/>
        <w:rPr>
          <w:i/>
        </w:rPr>
      </w:pPr>
      <w:r w:rsidRPr="00837C82">
        <w:t xml:space="preserve">Authority: </w:t>
      </w:r>
      <w:r w:rsidRPr="00837C82">
        <w:tab/>
        <w:t>Section 68 of the</w:t>
      </w:r>
      <w:r w:rsidRPr="00837C82">
        <w:rPr>
          <w:i/>
        </w:rPr>
        <w:t xml:space="preserve"> </w:t>
      </w:r>
    </w:p>
    <w:p w14:paraId="3005CFED" w14:textId="055676C4" w:rsidR="00837C82" w:rsidRPr="00837C82" w:rsidRDefault="00837C82" w:rsidP="0018611A">
      <w:pPr>
        <w:spacing w:before="0" w:after="0"/>
        <w:jc w:val="right"/>
      </w:pPr>
      <w:r w:rsidRPr="00837C82">
        <w:rPr>
          <w:i/>
        </w:rPr>
        <w:t>Superannuation (Resolution of Complaints) Act 1993</w:t>
      </w:r>
    </w:p>
    <w:p w14:paraId="53AF5ECD" w14:textId="77777777" w:rsidR="00E4438C" w:rsidRPr="00462095" w:rsidRDefault="00E4438C" w:rsidP="003E1CE3">
      <w:pPr>
        <w:pStyle w:val="Heading3"/>
      </w:pPr>
      <w:r w:rsidRPr="00462095">
        <w:lastRenderedPageBreak/>
        <w:t>Statement of Compatibility with Human Rights</w:t>
      </w:r>
    </w:p>
    <w:p w14:paraId="09D4BEC2"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1A6DB9D" w14:textId="63F41E91" w:rsidR="00E4438C" w:rsidRPr="00987BB9" w:rsidRDefault="00987BB9" w:rsidP="003E1CE3">
      <w:pPr>
        <w:pStyle w:val="Heading3"/>
        <w:jc w:val="center"/>
        <w:rPr>
          <w:i/>
        </w:rPr>
      </w:pPr>
      <w:r w:rsidRPr="00987BB9">
        <w:rPr>
          <w:i/>
        </w:rPr>
        <w:t>Superannuation (Resolution of Complaints) Regulations 2018</w:t>
      </w:r>
    </w:p>
    <w:p w14:paraId="3943E649" w14:textId="30B01244" w:rsidR="00E4438C" w:rsidRPr="00647BB7" w:rsidRDefault="00E4438C" w:rsidP="00647BB7">
      <w:pPr>
        <w:spacing w:before="240"/>
      </w:pPr>
      <w:r w:rsidRPr="00647BB7">
        <w:t>Th</w:t>
      </w:r>
      <w:r w:rsidR="00837C82">
        <w:t xml:space="preserve">e Regulations are </w:t>
      </w:r>
      <w:r w:rsidRPr="00647BB7">
        <w:t xml:space="preserve">compatible with the human rights and freedoms recognised or declared in the international instruments listed in section 3 of the </w:t>
      </w:r>
      <w:r w:rsidRPr="00647BB7">
        <w:rPr>
          <w:i/>
        </w:rPr>
        <w:t>Human Rights (Parliamentary Scrutiny) Act 2011</w:t>
      </w:r>
      <w:r w:rsidRPr="00647BB7">
        <w:t>.</w:t>
      </w:r>
    </w:p>
    <w:p w14:paraId="7CE64699" w14:textId="6C2F4C05" w:rsidR="00E4438C" w:rsidRPr="00647BB7" w:rsidRDefault="00E4438C" w:rsidP="003E1CE3">
      <w:pPr>
        <w:pStyle w:val="Heading3"/>
      </w:pPr>
      <w:r w:rsidRPr="00647BB7">
        <w:t xml:space="preserve">Overview of the </w:t>
      </w:r>
      <w:r w:rsidR="00837C82">
        <w:t>Regulations</w:t>
      </w:r>
    </w:p>
    <w:p w14:paraId="1125A410" w14:textId="24D8290D" w:rsidR="00DE0B88" w:rsidRPr="00DE0B88" w:rsidRDefault="00DE0B88" w:rsidP="00DE0B88">
      <w:pPr>
        <w:spacing w:before="240"/>
      </w:pPr>
      <w:r w:rsidRPr="00DE0B88">
        <w:t xml:space="preserve">The purpose of the </w:t>
      </w:r>
      <w:r w:rsidRPr="00DE0B88">
        <w:rPr>
          <w:i/>
        </w:rPr>
        <w:t>Superannuation (Resolution of Complaints) Regulations 2018</w:t>
      </w:r>
      <w:r w:rsidRPr="00DE0B88">
        <w:t xml:space="preserve"> (</w:t>
      </w:r>
      <w:r w:rsidR="0018611A">
        <w:t xml:space="preserve">the </w:t>
      </w:r>
      <w:r w:rsidRPr="00DE0B88">
        <w:t xml:space="preserve">Regulations) is to remake the </w:t>
      </w:r>
      <w:r w:rsidRPr="00DE0B88">
        <w:rPr>
          <w:i/>
        </w:rPr>
        <w:t>Superannuation (Resolution of Complaints) Regulations 1994</w:t>
      </w:r>
      <w:r w:rsidRPr="00DE0B88">
        <w:t xml:space="preserve"> (</w:t>
      </w:r>
      <w:r w:rsidR="0018611A">
        <w:t xml:space="preserve">the </w:t>
      </w:r>
      <w:r w:rsidRPr="00DE0B88">
        <w:t xml:space="preserve">former Regulations). The </w:t>
      </w:r>
      <w:r w:rsidRPr="00DE0B88">
        <w:rPr>
          <w:i/>
          <w:iCs/>
        </w:rPr>
        <w:t>Legislation Act 2003</w:t>
      </w:r>
      <w:r w:rsidRPr="00DE0B88">
        <w:t xml:space="preserve"> provides that all legislative instruments, other than exempt instruments, progressively ‘sunset’ according to the timetable set out in the </w:t>
      </w:r>
      <w:r w:rsidRPr="00DE0B88">
        <w:rPr>
          <w:i/>
          <w:iCs/>
        </w:rPr>
        <w:t>Legislation Act 2003</w:t>
      </w:r>
      <w:r w:rsidRPr="00DE0B88">
        <w:t xml:space="preserve">. Legislative instruments registered on the Federal Register of Legislation (previously known as the Federal Register of Legislative Instruments) on 1 January 2005, such as the </w:t>
      </w:r>
      <w:r w:rsidRPr="00DE0B88">
        <w:rPr>
          <w:iCs/>
        </w:rPr>
        <w:t>former Regulations</w:t>
      </w:r>
      <w:r w:rsidRPr="00DE0B88">
        <w:t>,</w:t>
      </w:r>
      <w:r w:rsidRPr="00DE0B88">
        <w:rPr>
          <w:i/>
          <w:iCs/>
        </w:rPr>
        <w:t xml:space="preserve"> </w:t>
      </w:r>
      <w:r w:rsidRPr="00DE0B88">
        <w:t xml:space="preserve">sunset on 1 October 2018. When a legislative instrument sunsets, it is automatically repealed under section 50 of the </w:t>
      </w:r>
      <w:r w:rsidRPr="00DE0B88">
        <w:rPr>
          <w:i/>
          <w:iCs/>
        </w:rPr>
        <w:t>Legislation Act 2003</w:t>
      </w:r>
      <w:r w:rsidRPr="00DE0B88">
        <w:t>.</w:t>
      </w:r>
    </w:p>
    <w:p w14:paraId="6C13C3D7" w14:textId="77777777" w:rsidR="00DE0B88" w:rsidRPr="00DE0B88" w:rsidRDefault="00DE0B88" w:rsidP="00DE0B88">
      <w:pPr>
        <w:spacing w:before="240"/>
      </w:pPr>
      <w:r w:rsidRPr="00DE0B88">
        <w:t xml:space="preserve">The Regulations remake the former Regulations with minor formatting changes to bring the provisions into line with current drafting conventions. </w:t>
      </w:r>
    </w:p>
    <w:p w14:paraId="175FD119" w14:textId="77777777" w:rsidR="00E4438C" w:rsidRPr="00647BB7" w:rsidRDefault="00E4438C" w:rsidP="003E1CE3">
      <w:pPr>
        <w:pStyle w:val="Heading3"/>
      </w:pPr>
      <w:r w:rsidRPr="00647BB7">
        <w:t>Human rights implications</w:t>
      </w:r>
    </w:p>
    <w:p w14:paraId="51E57536" w14:textId="5653E9F6" w:rsidR="00E4438C" w:rsidRPr="00647BB7" w:rsidRDefault="00E4438C" w:rsidP="00647BB7">
      <w:pPr>
        <w:spacing w:before="240"/>
      </w:pPr>
      <w:r w:rsidRPr="00647BB7">
        <w:t>Th</w:t>
      </w:r>
      <w:r w:rsidR="00837C82">
        <w:t>e Regulations</w:t>
      </w:r>
      <w:r w:rsidRPr="00647BB7">
        <w:t xml:space="preserve"> do not engage any of the applicable rights or freedoms.</w:t>
      </w:r>
    </w:p>
    <w:p w14:paraId="6ACE7D3E" w14:textId="77777777" w:rsidR="00E4438C" w:rsidRPr="00647BB7" w:rsidRDefault="00E4438C" w:rsidP="003E1CE3">
      <w:pPr>
        <w:pStyle w:val="Heading3"/>
      </w:pPr>
      <w:r w:rsidRPr="00647BB7">
        <w:t>Conclusion</w:t>
      </w:r>
    </w:p>
    <w:p w14:paraId="0EA7B18E" w14:textId="44BA1484" w:rsidR="00E4438C" w:rsidRPr="00647BB7" w:rsidRDefault="00837C82" w:rsidP="00647BB7">
      <w:pPr>
        <w:spacing w:before="240"/>
      </w:pPr>
      <w:r>
        <w:t>The</w:t>
      </w:r>
      <w:r w:rsidR="00E4438C" w:rsidRPr="00647BB7">
        <w:t xml:space="preserve"> </w:t>
      </w:r>
      <w:r>
        <w:t>Regulations are</w:t>
      </w:r>
      <w:r w:rsidR="00E4438C" w:rsidRPr="00647BB7">
        <w:t xml:space="preserve"> compatible with human rights as it does not raise any human rights issues.</w:t>
      </w:r>
    </w:p>
    <w:p w14:paraId="2E478025" w14:textId="77777777" w:rsidR="00BD747F" w:rsidRDefault="00BD747F" w:rsidP="00647BB7">
      <w:pPr>
        <w:spacing w:before="240"/>
      </w:pPr>
    </w:p>
    <w:p w14:paraId="0770A681" w14:textId="3FE96005" w:rsidR="00337906" w:rsidRDefault="00337906" w:rsidP="00647BB7">
      <w:pPr>
        <w:spacing w:before="240"/>
      </w:pPr>
    </w:p>
    <w:p w14:paraId="39139935" w14:textId="77777777" w:rsidR="00337906" w:rsidRDefault="00337906" w:rsidP="00647BB7">
      <w:pPr>
        <w:spacing w:before="240"/>
      </w:pPr>
    </w:p>
    <w:p w14:paraId="7BE492EB" w14:textId="77777777" w:rsidR="00337906" w:rsidRDefault="00337906" w:rsidP="00647BB7">
      <w:pPr>
        <w:spacing w:before="240"/>
      </w:pPr>
    </w:p>
    <w:p w14:paraId="5E99041F" w14:textId="77777777" w:rsidR="00337906" w:rsidRDefault="00337906" w:rsidP="00647BB7">
      <w:pPr>
        <w:spacing w:before="240"/>
      </w:pPr>
    </w:p>
    <w:p w14:paraId="0D326A0B" w14:textId="77777777" w:rsidR="00337906" w:rsidRDefault="00337906" w:rsidP="00647BB7">
      <w:pPr>
        <w:spacing w:before="240"/>
      </w:pPr>
    </w:p>
    <w:p w14:paraId="215022C4" w14:textId="77777777" w:rsidR="00337906" w:rsidRDefault="00337906" w:rsidP="00647BB7">
      <w:pPr>
        <w:spacing w:before="240"/>
      </w:pPr>
    </w:p>
    <w:p w14:paraId="5ADB9AD7" w14:textId="77777777" w:rsidR="00337906" w:rsidRDefault="00337906" w:rsidP="00647BB7">
      <w:pPr>
        <w:spacing w:before="240"/>
      </w:pPr>
    </w:p>
    <w:p w14:paraId="4B67CCD4" w14:textId="77777777" w:rsidR="00BD747F" w:rsidRDefault="00BD747F" w:rsidP="00647BB7">
      <w:pPr>
        <w:spacing w:before="240"/>
      </w:pPr>
    </w:p>
    <w:p w14:paraId="52535BFE" w14:textId="23E0F602" w:rsidR="009143A0" w:rsidRPr="00C317BD" w:rsidRDefault="00BD747F" w:rsidP="00C317BD">
      <w:pPr>
        <w:spacing w:before="240"/>
        <w:jc w:val="right"/>
        <w:rPr>
          <w:b/>
          <w:u w:val="single"/>
        </w:rPr>
      </w:pPr>
      <w:r w:rsidRPr="00C317BD">
        <w:rPr>
          <w:b/>
          <w:u w:val="single"/>
        </w:rPr>
        <w:lastRenderedPageBreak/>
        <w:t>ATTACHMENT</w:t>
      </w:r>
    </w:p>
    <w:p w14:paraId="6829BA67" w14:textId="45F2B9A0" w:rsidR="00BD747F" w:rsidRPr="00C317BD" w:rsidRDefault="00BD747F" w:rsidP="00647BB7">
      <w:pPr>
        <w:spacing w:before="240"/>
        <w:rPr>
          <w:b/>
          <w:i/>
          <w:u w:val="single"/>
        </w:rPr>
      </w:pPr>
      <w:r w:rsidRPr="00C317BD">
        <w:rPr>
          <w:b/>
          <w:u w:val="single"/>
        </w:rPr>
        <w:t xml:space="preserve">Details of the </w:t>
      </w:r>
      <w:r w:rsidRPr="00C317BD">
        <w:rPr>
          <w:b/>
          <w:i/>
          <w:u w:val="single"/>
        </w:rPr>
        <w:t>Superannuation (Resolution of Complaints) Regulations 2018</w:t>
      </w:r>
    </w:p>
    <w:p w14:paraId="68F2CEC1" w14:textId="52DEDC77" w:rsidR="00BD747F" w:rsidRDefault="00922C2D" w:rsidP="00647BB7">
      <w:pPr>
        <w:spacing w:before="240"/>
      </w:pPr>
      <w:r w:rsidRPr="00922C2D">
        <w:t xml:space="preserve">All references are to the </w:t>
      </w:r>
      <w:r w:rsidRPr="00922C2D">
        <w:rPr>
          <w:i/>
        </w:rPr>
        <w:t>Superannuation (Resolution of Complaints) Regulations 2018</w:t>
      </w:r>
      <w:r>
        <w:rPr>
          <w:i/>
        </w:rPr>
        <w:t xml:space="preserve"> </w:t>
      </w:r>
      <w:r w:rsidRPr="00922C2D">
        <w:t>(the Regulations) unless otherwise stated.</w:t>
      </w:r>
      <w:r>
        <w:rPr>
          <w:i/>
        </w:rPr>
        <w:t xml:space="preserve"> </w:t>
      </w:r>
      <w:r w:rsidR="00796919" w:rsidRPr="00796919">
        <w:t>The Regulation</w:t>
      </w:r>
      <w:r>
        <w:t>s make</w:t>
      </w:r>
      <w:r w:rsidR="00796919" w:rsidRPr="00796919">
        <w:t xml:space="preserve"> improvements to the</w:t>
      </w:r>
      <w:r w:rsidR="00796919">
        <w:t xml:space="preserve"> former Regulations by reformatting and restructuring provisions </w:t>
      </w:r>
      <w:r w:rsidR="00796919" w:rsidRPr="00796919">
        <w:t>to take account of modern instrument drafting techniques such as the greater use of tables.</w:t>
      </w:r>
      <w:r w:rsidR="00796919">
        <w:t xml:space="preserve"> </w:t>
      </w:r>
      <w:r w:rsidR="00796919" w:rsidRPr="00796919">
        <w:t>The Regulation</w:t>
      </w:r>
      <w:r w:rsidR="00977041">
        <w:t>s</w:t>
      </w:r>
      <w:r w:rsidR="00796919" w:rsidRPr="00796919">
        <w:t xml:space="preserve"> also simplif</w:t>
      </w:r>
      <w:r w:rsidR="00977041">
        <w:t>y</w:t>
      </w:r>
      <w:r w:rsidR="00796919" w:rsidRPr="00796919">
        <w:t xml:space="preserve"> and update language in accordance with standard drafting practices.</w:t>
      </w:r>
    </w:p>
    <w:p w14:paraId="3D996BCE" w14:textId="77777777" w:rsidR="00DB6815" w:rsidRPr="00DB6815" w:rsidRDefault="00DB6815" w:rsidP="00DB6815">
      <w:pPr>
        <w:spacing w:before="240"/>
      </w:pPr>
      <w:r w:rsidRPr="00DB6815">
        <w:rPr>
          <w:u w:val="single"/>
        </w:rPr>
        <w:t>Section 1 - Name of Regulations</w:t>
      </w:r>
    </w:p>
    <w:p w14:paraId="251242D7" w14:textId="6DC553A3" w:rsidR="00DB6815" w:rsidRPr="00DB6815" w:rsidRDefault="00DB6815" w:rsidP="00DB6815">
      <w:pPr>
        <w:spacing w:before="240"/>
      </w:pPr>
      <w:r w:rsidRPr="00DB6815">
        <w:t>This section provides that the title of the Regulations is the</w:t>
      </w:r>
      <w:r w:rsidRPr="00DB6815">
        <w:rPr>
          <w:i/>
          <w:noProof/>
          <w:sz w:val="22"/>
        </w:rPr>
        <w:t xml:space="preserve"> </w:t>
      </w:r>
      <w:r w:rsidRPr="00DB6815">
        <w:rPr>
          <w:i/>
        </w:rPr>
        <w:t>Superannuation (Resolution of Complaints) Regulations 2018</w:t>
      </w:r>
      <w:r w:rsidRPr="0018611A">
        <w:t>.</w:t>
      </w:r>
    </w:p>
    <w:p w14:paraId="402A0E2B" w14:textId="77777777" w:rsidR="00DB6815" w:rsidRPr="00DB6815" w:rsidRDefault="00DB6815" w:rsidP="00DB6815">
      <w:pPr>
        <w:spacing w:before="240"/>
        <w:rPr>
          <w:u w:val="single"/>
        </w:rPr>
      </w:pPr>
      <w:r w:rsidRPr="00DB6815">
        <w:rPr>
          <w:u w:val="single"/>
        </w:rPr>
        <w:t>Section 2 - Commencement</w:t>
      </w:r>
    </w:p>
    <w:p w14:paraId="7082C82A" w14:textId="537E9116" w:rsidR="00DB6815" w:rsidRDefault="00DB6815" w:rsidP="00DB6815">
      <w:pPr>
        <w:spacing w:before="240"/>
      </w:pPr>
      <w:r w:rsidRPr="00DB6815">
        <w:t>This section provides for the Regulations to commence the day after registration.</w:t>
      </w:r>
    </w:p>
    <w:p w14:paraId="53AA444C" w14:textId="77777777" w:rsidR="00DB6815" w:rsidRPr="00DB6815" w:rsidRDefault="00DB6815" w:rsidP="00DB6815">
      <w:pPr>
        <w:spacing w:before="240"/>
      </w:pPr>
      <w:r w:rsidRPr="00DB6815">
        <w:rPr>
          <w:u w:val="single"/>
        </w:rPr>
        <w:t>Section 3 - Authority</w:t>
      </w:r>
    </w:p>
    <w:p w14:paraId="776D4A13" w14:textId="0345145B" w:rsidR="00DB6815" w:rsidRPr="00DB6815" w:rsidRDefault="00DB6815" w:rsidP="00DB6815">
      <w:pPr>
        <w:spacing w:before="240"/>
      </w:pPr>
      <w:r w:rsidRPr="00DB6815">
        <w:t xml:space="preserve">This section provides that the </w:t>
      </w:r>
      <w:r w:rsidRPr="00DB6815">
        <w:rPr>
          <w:iCs/>
        </w:rPr>
        <w:t>Regulations are</w:t>
      </w:r>
      <w:r w:rsidRPr="00DB6815">
        <w:rPr>
          <w:i/>
          <w:iCs/>
        </w:rPr>
        <w:t xml:space="preserve"> </w:t>
      </w:r>
      <w:r w:rsidRPr="00DB6815">
        <w:t>made under the</w:t>
      </w:r>
      <w:r w:rsidRPr="00DB6815">
        <w:rPr>
          <w:rFonts w:eastAsia="Calibri"/>
          <w:i/>
          <w:szCs w:val="24"/>
        </w:rPr>
        <w:t xml:space="preserve"> </w:t>
      </w:r>
      <w:r w:rsidRPr="00DB6815">
        <w:rPr>
          <w:i/>
        </w:rPr>
        <w:t>Superannuation (Resolution of Complaints) Act 1993</w:t>
      </w:r>
      <w:r>
        <w:rPr>
          <w:i/>
        </w:rPr>
        <w:t>.</w:t>
      </w:r>
    </w:p>
    <w:p w14:paraId="1D145C6A" w14:textId="77777777" w:rsidR="00DB6815" w:rsidRPr="00DB6815" w:rsidRDefault="00DB6815" w:rsidP="00DB6815">
      <w:pPr>
        <w:spacing w:before="240"/>
        <w:rPr>
          <w:u w:val="single"/>
        </w:rPr>
      </w:pPr>
      <w:r w:rsidRPr="00DB6815">
        <w:rPr>
          <w:u w:val="single"/>
        </w:rPr>
        <w:t>Section 4 - Schedule(s)</w:t>
      </w:r>
    </w:p>
    <w:p w14:paraId="38101EE1" w14:textId="0F8B0B86" w:rsidR="00DB6815" w:rsidRDefault="00DB6815" w:rsidP="00DB6815">
      <w:pPr>
        <w:spacing w:before="240"/>
      </w:pPr>
      <w:r w:rsidRPr="00DB6815">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6EF6DD0C" w14:textId="52146109" w:rsidR="00DD3917" w:rsidRDefault="00DD3917" w:rsidP="00DB6815">
      <w:pPr>
        <w:spacing w:before="240"/>
        <w:rPr>
          <w:u w:val="single"/>
        </w:rPr>
      </w:pPr>
      <w:r w:rsidRPr="00DD3917">
        <w:rPr>
          <w:u w:val="single"/>
        </w:rPr>
        <w:t xml:space="preserve">Section 5 </w:t>
      </w:r>
      <w:r>
        <w:rPr>
          <w:u w:val="single"/>
        </w:rPr>
        <w:t>–</w:t>
      </w:r>
      <w:r w:rsidRPr="00DD3917">
        <w:rPr>
          <w:u w:val="single"/>
        </w:rPr>
        <w:t xml:space="preserve"> Definitions</w:t>
      </w:r>
    </w:p>
    <w:p w14:paraId="686767E8" w14:textId="56E80BDA" w:rsidR="00DD3917" w:rsidRPr="00D369E3" w:rsidRDefault="00D369E3" w:rsidP="00DB6815">
      <w:pPr>
        <w:spacing w:before="240"/>
      </w:pPr>
      <w:r w:rsidRPr="00D369E3">
        <w:t xml:space="preserve">This section remakes </w:t>
      </w:r>
      <w:r w:rsidR="00141578">
        <w:t xml:space="preserve">the interpretation section of </w:t>
      </w:r>
      <w:r w:rsidR="00141578" w:rsidRPr="00BA4166">
        <w:t>the former Regulations (</w:t>
      </w:r>
      <w:r w:rsidRPr="00BA4166">
        <w:t xml:space="preserve">former regulation </w:t>
      </w:r>
      <w:r w:rsidR="00141578" w:rsidRPr="00BA4166">
        <w:t>3)</w:t>
      </w:r>
      <w:r w:rsidRPr="00BA4166">
        <w:t>.</w:t>
      </w:r>
    </w:p>
    <w:p w14:paraId="5ED3740C" w14:textId="5E5B1200" w:rsidR="008620C9" w:rsidRPr="008620C9" w:rsidRDefault="008620C9" w:rsidP="00647BB7">
      <w:pPr>
        <w:spacing w:before="240"/>
        <w:rPr>
          <w:u w:val="single"/>
        </w:rPr>
      </w:pPr>
      <w:r w:rsidRPr="008620C9">
        <w:rPr>
          <w:u w:val="single"/>
        </w:rPr>
        <w:t>Section 6</w:t>
      </w:r>
      <w:r w:rsidR="00922C2D">
        <w:rPr>
          <w:u w:val="single"/>
        </w:rPr>
        <w:t xml:space="preserve"> -</w:t>
      </w:r>
      <w:r w:rsidRPr="008620C9">
        <w:rPr>
          <w:u w:val="single"/>
        </w:rPr>
        <w:t xml:space="preserve"> Exempt public sector superannuation schemes taken to be regulated super funds</w:t>
      </w:r>
    </w:p>
    <w:p w14:paraId="2CDEDCFB" w14:textId="417229DF" w:rsidR="008620C9" w:rsidRDefault="002610DA" w:rsidP="00647BB7">
      <w:pPr>
        <w:spacing w:before="240"/>
      </w:pPr>
      <w:r>
        <w:t>This section remakes r</w:t>
      </w:r>
      <w:r w:rsidR="008620C9">
        <w:t>egulation</w:t>
      </w:r>
      <w:r w:rsidR="00A37883">
        <w:t xml:space="preserve"> 4A and Schedule 1 </w:t>
      </w:r>
      <w:r w:rsidR="008620C9">
        <w:t>of the forme</w:t>
      </w:r>
      <w:r w:rsidR="00A37883">
        <w:t>r Regulations</w:t>
      </w:r>
      <w:r w:rsidR="008620C9">
        <w:t>. The provisions have been restructured into a table format to reflect modern instrument drafting techniques.</w:t>
      </w:r>
    </w:p>
    <w:p w14:paraId="38B4BA20" w14:textId="0AB4E7A7" w:rsidR="00796919" w:rsidRDefault="00796919" w:rsidP="00796919">
      <w:pPr>
        <w:spacing w:before="240"/>
        <w:rPr>
          <w:u w:val="single"/>
        </w:rPr>
      </w:pPr>
      <w:r w:rsidRPr="00796919">
        <w:rPr>
          <w:u w:val="single"/>
        </w:rPr>
        <w:t xml:space="preserve">Section 7 </w:t>
      </w:r>
      <w:r w:rsidR="00922C2D">
        <w:rPr>
          <w:u w:val="single"/>
        </w:rPr>
        <w:t xml:space="preserve">- </w:t>
      </w:r>
      <w:r w:rsidRPr="00796919">
        <w:rPr>
          <w:u w:val="single"/>
        </w:rPr>
        <w:t>Persons to be treated as beneficiaries, members etc</w:t>
      </w:r>
    </w:p>
    <w:p w14:paraId="577F8788" w14:textId="3A71B48B" w:rsidR="00893A7F" w:rsidRDefault="00893A7F" w:rsidP="00796919">
      <w:pPr>
        <w:spacing w:before="240"/>
      </w:pPr>
      <w:r w:rsidRPr="00893A7F">
        <w:t xml:space="preserve">This section remakes </w:t>
      </w:r>
      <w:r w:rsidRPr="004918F5">
        <w:t xml:space="preserve">former regulation </w:t>
      </w:r>
      <w:r w:rsidR="004918F5" w:rsidRPr="004918F5">
        <w:t>4B</w:t>
      </w:r>
      <w:r w:rsidRPr="004918F5">
        <w:t>, with</w:t>
      </w:r>
      <w:r>
        <w:t xml:space="preserve"> minor formatting changes and updated language.</w:t>
      </w:r>
    </w:p>
    <w:p w14:paraId="4626885B" w14:textId="0B4314A6" w:rsidR="0018611A" w:rsidRDefault="0018611A" w:rsidP="00796919">
      <w:pPr>
        <w:spacing w:before="240"/>
        <w:rPr>
          <w:u w:val="single"/>
        </w:rPr>
      </w:pPr>
    </w:p>
    <w:p w14:paraId="1E14490C" w14:textId="77777777" w:rsidR="0018611A" w:rsidRPr="00796919" w:rsidRDefault="0018611A" w:rsidP="00796919">
      <w:pPr>
        <w:spacing w:before="240"/>
        <w:rPr>
          <w:u w:val="single"/>
        </w:rPr>
      </w:pPr>
    </w:p>
    <w:p w14:paraId="7BC66950" w14:textId="54192496" w:rsidR="00796919" w:rsidRDefault="00796919" w:rsidP="00647BB7">
      <w:pPr>
        <w:spacing w:before="240"/>
        <w:rPr>
          <w:u w:val="single"/>
        </w:rPr>
      </w:pPr>
      <w:r w:rsidRPr="00796919">
        <w:rPr>
          <w:u w:val="single"/>
        </w:rPr>
        <w:lastRenderedPageBreak/>
        <w:t xml:space="preserve">Section 8 </w:t>
      </w:r>
      <w:r w:rsidR="00922C2D">
        <w:rPr>
          <w:u w:val="single"/>
        </w:rPr>
        <w:t xml:space="preserve">- </w:t>
      </w:r>
      <w:r w:rsidRPr="00796919">
        <w:rPr>
          <w:u w:val="single"/>
        </w:rPr>
        <w:t>Payment of death benefits—period for objections and complaints</w:t>
      </w:r>
    </w:p>
    <w:p w14:paraId="36A3408A" w14:textId="0E6F7F3C" w:rsidR="00893A7F" w:rsidRPr="00893A7F" w:rsidRDefault="00893A7F" w:rsidP="00796919">
      <w:pPr>
        <w:spacing w:before="240"/>
      </w:pPr>
      <w:r w:rsidRPr="00893A7F">
        <w:t xml:space="preserve">This section remakes former regulation </w:t>
      </w:r>
      <w:r w:rsidR="006C3E0F">
        <w:t>5</w:t>
      </w:r>
      <w:r w:rsidRPr="00893A7F">
        <w:t xml:space="preserve">, </w:t>
      </w:r>
      <w:r>
        <w:t>restructuring the provision to improve readability as well as making</w:t>
      </w:r>
      <w:r w:rsidRPr="00893A7F">
        <w:t xml:space="preserve"> minor formatting changes</w:t>
      </w:r>
      <w:r>
        <w:t>.</w:t>
      </w:r>
    </w:p>
    <w:p w14:paraId="49C18AD0" w14:textId="3BE8555C" w:rsidR="00796919" w:rsidRDefault="00796919" w:rsidP="00796919">
      <w:pPr>
        <w:spacing w:before="240"/>
        <w:rPr>
          <w:u w:val="single"/>
        </w:rPr>
      </w:pPr>
      <w:r w:rsidRPr="00DB6815">
        <w:rPr>
          <w:u w:val="single"/>
        </w:rPr>
        <w:t>Section 9</w:t>
      </w:r>
      <w:r w:rsidR="00922C2D">
        <w:rPr>
          <w:u w:val="single"/>
        </w:rPr>
        <w:t xml:space="preserve"> -</w:t>
      </w:r>
      <w:r w:rsidRPr="00DB6815">
        <w:rPr>
          <w:u w:val="single"/>
        </w:rPr>
        <w:t xml:space="preserve"> Statement of amount or amounts in respect of person’s contributed amounts—period to make complaint</w:t>
      </w:r>
    </w:p>
    <w:p w14:paraId="76D0F462" w14:textId="00EFAADC" w:rsidR="006600A5" w:rsidRPr="006600A5" w:rsidRDefault="006600A5" w:rsidP="00796919">
      <w:pPr>
        <w:spacing w:before="240"/>
      </w:pPr>
      <w:r w:rsidRPr="006600A5">
        <w:t xml:space="preserve">This section remakes former </w:t>
      </w:r>
      <w:r w:rsidRPr="00147813">
        <w:t xml:space="preserve">regulation </w:t>
      </w:r>
      <w:r w:rsidR="00147813" w:rsidRPr="00147813">
        <w:t>5A</w:t>
      </w:r>
      <w:r w:rsidRPr="00147813">
        <w:t>, with</w:t>
      </w:r>
      <w:r w:rsidRPr="006600A5">
        <w:t xml:space="preserve"> minor formatting changes.</w:t>
      </w:r>
    </w:p>
    <w:p w14:paraId="1EC56E27" w14:textId="4568E745" w:rsidR="00796919" w:rsidRDefault="00796919" w:rsidP="00796919">
      <w:pPr>
        <w:spacing w:before="240"/>
        <w:rPr>
          <w:u w:val="single"/>
        </w:rPr>
      </w:pPr>
      <w:r w:rsidRPr="00DB6815">
        <w:rPr>
          <w:u w:val="single"/>
        </w:rPr>
        <w:t xml:space="preserve">Section 10 </w:t>
      </w:r>
      <w:r w:rsidR="00922C2D">
        <w:rPr>
          <w:u w:val="single"/>
        </w:rPr>
        <w:t xml:space="preserve">- </w:t>
      </w:r>
      <w:r w:rsidRPr="00DB6815">
        <w:rPr>
          <w:u w:val="single"/>
        </w:rPr>
        <w:t>Complaint handling bodies</w:t>
      </w:r>
    </w:p>
    <w:p w14:paraId="28C00D0D" w14:textId="03D923BD" w:rsidR="003C1852" w:rsidRPr="007641C4" w:rsidRDefault="003C1852" w:rsidP="003C1852">
      <w:pPr>
        <w:spacing w:before="240"/>
      </w:pPr>
      <w:r w:rsidRPr="003C1852">
        <w:t>This section ensures that</w:t>
      </w:r>
      <w:r>
        <w:t xml:space="preserve"> amendments made to the former Regulations by the</w:t>
      </w:r>
      <w:r w:rsidRPr="003C1852">
        <w:rPr>
          <w:rFonts w:eastAsia="Calibri"/>
          <w:i/>
          <w:iCs/>
          <w:szCs w:val="24"/>
        </w:rPr>
        <w:t xml:space="preserve"> </w:t>
      </w:r>
      <w:r w:rsidRPr="003C1852">
        <w:rPr>
          <w:i/>
          <w:iCs/>
        </w:rPr>
        <w:t>Treasury Laws Amendment (Putting Consumers First—Establishment of the Australian Financial Complaints Authority) Regulations 2018</w:t>
      </w:r>
      <w:r w:rsidR="007641C4">
        <w:rPr>
          <w:i/>
          <w:iCs/>
        </w:rPr>
        <w:t xml:space="preserve"> </w:t>
      </w:r>
      <w:r w:rsidR="007641C4" w:rsidRPr="007641C4">
        <w:rPr>
          <w:iCs/>
        </w:rPr>
        <w:t>(</w:t>
      </w:r>
      <w:r w:rsidR="0018611A">
        <w:rPr>
          <w:iCs/>
        </w:rPr>
        <w:t xml:space="preserve">the </w:t>
      </w:r>
      <w:r w:rsidR="007641C4" w:rsidRPr="007641C4">
        <w:rPr>
          <w:iCs/>
        </w:rPr>
        <w:t>AFCA regulations) apply at the time</w:t>
      </w:r>
      <w:r w:rsidR="00770199">
        <w:rPr>
          <w:iCs/>
        </w:rPr>
        <w:t>s</w:t>
      </w:r>
      <w:r w:rsidR="007641C4" w:rsidRPr="007641C4">
        <w:rPr>
          <w:iCs/>
        </w:rPr>
        <w:t xml:space="preserve"> set out in the AFCA regulations.</w:t>
      </w:r>
      <w:r w:rsidR="00770199">
        <w:rPr>
          <w:iCs/>
        </w:rPr>
        <w:t xml:space="preserve"> That is, this section ensures that the transitional application rules included in the AFCA regulations are still effective following the remaking of the Regulations.</w:t>
      </w:r>
    </w:p>
    <w:p w14:paraId="528D7114" w14:textId="64DC6C18" w:rsidR="00796919" w:rsidRPr="00DB6815" w:rsidRDefault="00796919" w:rsidP="00647BB7">
      <w:pPr>
        <w:spacing w:before="240"/>
        <w:rPr>
          <w:u w:val="single"/>
        </w:rPr>
      </w:pPr>
      <w:r w:rsidRPr="00DB6815">
        <w:rPr>
          <w:u w:val="single"/>
        </w:rPr>
        <w:t xml:space="preserve">Section 11 </w:t>
      </w:r>
      <w:r w:rsidR="00922C2D">
        <w:rPr>
          <w:u w:val="single"/>
        </w:rPr>
        <w:t xml:space="preserve">- </w:t>
      </w:r>
      <w:r w:rsidRPr="00DB6815">
        <w:rPr>
          <w:u w:val="single"/>
        </w:rPr>
        <w:t>Method of calculation of interest</w:t>
      </w:r>
    </w:p>
    <w:p w14:paraId="657AAB97" w14:textId="1E3F5298" w:rsidR="00770199" w:rsidRPr="00770199" w:rsidRDefault="00770199" w:rsidP="00770199">
      <w:pPr>
        <w:spacing w:before="240"/>
        <w:rPr>
          <w:u w:val="single"/>
        </w:rPr>
      </w:pPr>
      <w:bookmarkStart w:id="1" w:name="_Toc510606227"/>
      <w:bookmarkStart w:id="2" w:name="opcCurrentFind"/>
      <w:bookmarkStart w:id="3" w:name="opcAmSched"/>
      <w:r w:rsidRPr="006600A5">
        <w:t xml:space="preserve">This section remakes </w:t>
      </w:r>
      <w:r w:rsidRPr="00E25D32">
        <w:t xml:space="preserve">former regulation </w:t>
      </w:r>
      <w:r w:rsidR="00E25D32" w:rsidRPr="00E25D32">
        <w:t>7</w:t>
      </w:r>
      <w:r w:rsidRPr="00E25D32">
        <w:t>, with minor formatting changes and updated language.</w:t>
      </w:r>
    </w:p>
    <w:p w14:paraId="48A346E5" w14:textId="77777777" w:rsidR="00796919" w:rsidRPr="00DB6815" w:rsidRDefault="00796919" w:rsidP="00796919">
      <w:pPr>
        <w:spacing w:before="240"/>
        <w:rPr>
          <w:u w:val="single"/>
        </w:rPr>
      </w:pPr>
      <w:r w:rsidRPr="00DB6815">
        <w:rPr>
          <w:u w:val="single"/>
        </w:rPr>
        <w:t>Schedule 1—Repeals</w:t>
      </w:r>
      <w:bookmarkEnd w:id="1"/>
      <w:bookmarkEnd w:id="2"/>
      <w:bookmarkEnd w:id="3"/>
    </w:p>
    <w:p w14:paraId="5A5EF39A" w14:textId="616A84D7" w:rsidR="00796919" w:rsidRPr="00957883" w:rsidRDefault="00957883" w:rsidP="00647BB7">
      <w:pPr>
        <w:spacing w:before="240"/>
      </w:pPr>
      <w:r w:rsidRPr="00957883">
        <w:t>This section repeals the former Regulations.</w:t>
      </w:r>
    </w:p>
    <w:sectPr w:rsidR="00796919" w:rsidRPr="00957883"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2F0EF" w14:textId="77777777" w:rsidR="00881A75" w:rsidRDefault="00881A75" w:rsidP="00954679">
      <w:pPr>
        <w:spacing w:before="0" w:after="0"/>
      </w:pPr>
      <w:r>
        <w:separator/>
      </w:r>
    </w:p>
  </w:endnote>
  <w:endnote w:type="continuationSeparator" w:id="0">
    <w:p w14:paraId="644BB444" w14:textId="77777777" w:rsidR="00881A75" w:rsidRDefault="00881A75"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E141360"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27ECB">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27ECB">
              <w:rPr>
                <w:bCs/>
                <w:noProof/>
              </w:rPr>
              <w:t>4</w:t>
            </w:r>
            <w:r w:rsidRPr="00954679">
              <w:rPr>
                <w:bCs/>
                <w:szCs w:val="24"/>
              </w:rPr>
              <w:fldChar w:fldCharType="end"/>
            </w:r>
          </w:p>
        </w:sdtContent>
      </w:sdt>
    </w:sdtContent>
  </w:sdt>
  <w:p w14:paraId="73381793"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CFD15" w14:textId="77777777" w:rsidR="00881A75" w:rsidRDefault="00881A75" w:rsidP="00954679">
      <w:pPr>
        <w:spacing w:before="0" w:after="0"/>
      </w:pPr>
      <w:r>
        <w:separator/>
      </w:r>
    </w:p>
  </w:footnote>
  <w:footnote w:type="continuationSeparator" w:id="0">
    <w:p w14:paraId="149579DA" w14:textId="77777777" w:rsidR="00881A75" w:rsidRDefault="00881A75"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75"/>
    <w:rsid w:val="00000281"/>
    <w:rsid w:val="000044E3"/>
    <w:rsid w:val="00016EA2"/>
    <w:rsid w:val="0003032A"/>
    <w:rsid w:val="00060966"/>
    <w:rsid w:val="00082331"/>
    <w:rsid w:val="00095211"/>
    <w:rsid w:val="000A5ECF"/>
    <w:rsid w:val="000C10DF"/>
    <w:rsid w:val="000D4838"/>
    <w:rsid w:val="00113B45"/>
    <w:rsid w:val="00133F6C"/>
    <w:rsid w:val="001378FE"/>
    <w:rsid w:val="00141578"/>
    <w:rsid w:val="00147813"/>
    <w:rsid w:val="0015271B"/>
    <w:rsid w:val="0018611A"/>
    <w:rsid w:val="001B2B9C"/>
    <w:rsid w:val="001C28F2"/>
    <w:rsid w:val="001D468F"/>
    <w:rsid w:val="001E6A74"/>
    <w:rsid w:val="001F41D0"/>
    <w:rsid w:val="0020670C"/>
    <w:rsid w:val="00220F16"/>
    <w:rsid w:val="00232D1D"/>
    <w:rsid w:val="00246B50"/>
    <w:rsid w:val="00246E15"/>
    <w:rsid w:val="0025172F"/>
    <w:rsid w:val="00254C5B"/>
    <w:rsid w:val="002610DA"/>
    <w:rsid w:val="002B0D26"/>
    <w:rsid w:val="002F7E1C"/>
    <w:rsid w:val="00300E0A"/>
    <w:rsid w:val="003342CD"/>
    <w:rsid w:val="00335042"/>
    <w:rsid w:val="00337906"/>
    <w:rsid w:val="00362B70"/>
    <w:rsid w:val="00387797"/>
    <w:rsid w:val="0039143B"/>
    <w:rsid w:val="00392BBA"/>
    <w:rsid w:val="003954FD"/>
    <w:rsid w:val="003A42AE"/>
    <w:rsid w:val="003C1852"/>
    <w:rsid w:val="003E1CE3"/>
    <w:rsid w:val="00400E9A"/>
    <w:rsid w:val="00424832"/>
    <w:rsid w:val="00462095"/>
    <w:rsid w:val="00472414"/>
    <w:rsid w:val="004918F5"/>
    <w:rsid w:val="004B3C0F"/>
    <w:rsid w:val="004C05E4"/>
    <w:rsid w:val="004E39E1"/>
    <w:rsid w:val="004F06F9"/>
    <w:rsid w:val="00503E44"/>
    <w:rsid w:val="00512FA9"/>
    <w:rsid w:val="00515283"/>
    <w:rsid w:val="00532381"/>
    <w:rsid w:val="00533926"/>
    <w:rsid w:val="0055675D"/>
    <w:rsid w:val="00566E8F"/>
    <w:rsid w:val="00581260"/>
    <w:rsid w:val="005833BE"/>
    <w:rsid w:val="005D7D5A"/>
    <w:rsid w:val="005E4BAC"/>
    <w:rsid w:val="005F1D5B"/>
    <w:rsid w:val="0060130D"/>
    <w:rsid w:val="00604709"/>
    <w:rsid w:val="00617F8C"/>
    <w:rsid w:val="0064129F"/>
    <w:rsid w:val="00647BB7"/>
    <w:rsid w:val="006600A5"/>
    <w:rsid w:val="006743AC"/>
    <w:rsid w:val="00680297"/>
    <w:rsid w:val="006A0786"/>
    <w:rsid w:val="006C3E0F"/>
    <w:rsid w:val="006F2E91"/>
    <w:rsid w:val="006F78B5"/>
    <w:rsid w:val="00736F61"/>
    <w:rsid w:val="007641C4"/>
    <w:rsid w:val="007662C7"/>
    <w:rsid w:val="00770199"/>
    <w:rsid w:val="00776306"/>
    <w:rsid w:val="00787BC2"/>
    <w:rsid w:val="00796919"/>
    <w:rsid w:val="007B1F10"/>
    <w:rsid w:val="007D7517"/>
    <w:rsid w:val="007E018D"/>
    <w:rsid w:val="007F1B71"/>
    <w:rsid w:val="00807E7D"/>
    <w:rsid w:val="008122B3"/>
    <w:rsid w:val="00831675"/>
    <w:rsid w:val="00837C82"/>
    <w:rsid w:val="008620C9"/>
    <w:rsid w:val="008629E0"/>
    <w:rsid w:val="00881A75"/>
    <w:rsid w:val="0088467C"/>
    <w:rsid w:val="00893A7F"/>
    <w:rsid w:val="00894579"/>
    <w:rsid w:val="00897F87"/>
    <w:rsid w:val="008A5B67"/>
    <w:rsid w:val="008C3533"/>
    <w:rsid w:val="008D16F7"/>
    <w:rsid w:val="008E1427"/>
    <w:rsid w:val="00910826"/>
    <w:rsid w:val="009143A0"/>
    <w:rsid w:val="00922C2D"/>
    <w:rsid w:val="00954679"/>
    <w:rsid w:val="00957883"/>
    <w:rsid w:val="00977041"/>
    <w:rsid w:val="00987BB9"/>
    <w:rsid w:val="009D14C4"/>
    <w:rsid w:val="009E2F86"/>
    <w:rsid w:val="00A00B43"/>
    <w:rsid w:val="00A12209"/>
    <w:rsid w:val="00A21D2C"/>
    <w:rsid w:val="00A36DF3"/>
    <w:rsid w:val="00A37883"/>
    <w:rsid w:val="00A453A8"/>
    <w:rsid w:val="00A52496"/>
    <w:rsid w:val="00A532DD"/>
    <w:rsid w:val="00A80BCF"/>
    <w:rsid w:val="00A8369C"/>
    <w:rsid w:val="00AA1689"/>
    <w:rsid w:val="00AB53F2"/>
    <w:rsid w:val="00AC1D15"/>
    <w:rsid w:val="00B07B0C"/>
    <w:rsid w:val="00B25563"/>
    <w:rsid w:val="00B26D48"/>
    <w:rsid w:val="00B30834"/>
    <w:rsid w:val="00B42EE1"/>
    <w:rsid w:val="00B92478"/>
    <w:rsid w:val="00BA297E"/>
    <w:rsid w:val="00BA4166"/>
    <w:rsid w:val="00BD61A2"/>
    <w:rsid w:val="00BD747F"/>
    <w:rsid w:val="00BE484D"/>
    <w:rsid w:val="00C10940"/>
    <w:rsid w:val="00C30C68"/>
    <w:rsid w:val="00C317BD"/>
    <w:rsid w:val="00C37E05"/>
    <w:rsid w:val="00C55D29"/>
    <w:rsid w:val="00C82BF8"/>
    <w:rsid w:val="00CA0BE9"/>
    <w:rsid w:val="00CA138D"/>
    <w:rsid w:val="00CB5716"/>
    <w:rsid w:val="00CC7641"/>
    <w:rsid w:val="00D13794"/>
    <w:rsid w:val="00D24052"/>
    <w:rsid w:val="00D24386"/>
    <w:rsid w:val="00D31575"/>
    <w:rsid w:val="00D34626"/>
    <w:rsid w:val="00D369E3"/>
    <w:rsid w:val="00D4257A"/>
    <w:rsid w:val="00D62665"/>
    <w:rsid w:val="00DB6815"/>
    <w:rsid w:val="00DC0CDE"/>
    <w:rsid w:val="00DC4D72"/>
    <w:rsid w:val="00DC6C57"/>
    <w:rsid w:val="00DD3917"/>
    <w:rsid w:val="00DE0B88"/>
    <w:rsid w:val="00E0624D"/>
    <w:rsid w:val="00E13189"/>
    <w:rsid w:val="00E25D32"/>
    <w:rsid w:val="00E260B3"/>
    <w:rsid w:val="00E27ECB"/>
    <w:rsid w:val="00E41B05"/>
    <w:rsid w:val="00E4438C"/>
    <w:rsid w:val="00E457F3"/>
    <w:rsid w:val="00EB7E71"/>
    <w:rsid w:val="00EF669C"/>
    <w:rsid w:val="00F109D4"/>
    <w:rsid w:val="00F12115"/>
    <w:rsid w:val="00F372ED"/>
    <w:rsid w:val="00F47585"/>
    <w:rsid w:val="00F75079"/>
    <w:rsid w:val="00F85E6F"/>
    <w:rsid w:val="00FA1F27"/>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7896">
      <w:bodyDiv w:val="1"/>
      <w:marLeft w:val="0"/>
      <w:marRight w:val="0"/>
      <w:marTop w:val="0"/>
      <w:marBottom w:val="0"/>
      <w:divBdr>
        <w:top w:val="none" w:sz="0" w:space="0" w:color="auto"/>
        <w:left w:val="none" w:sz="0" w:space="0" w:color="auto"/>
        <w:bottom w:val="none" w:sz="0" w:space="0" w:color="auto"/>
        <w:right w:val="none" w:sz="0" w:space="0" w:color="auto"/>
      </w:divBdr>
    </w:div>
    <w:div w:id="1136217998">
      <w:bodyDiv w:val="1"/>
      <w:marLeft w:val="0"/>
      <w:marRight w:val="0"/>
      <w:marTop w:val="0"/>
      <w:marBottom w:val="0"/>
      <w:divBdr>
        <w:top w:val="none" w:sz="0" w:space="0" w:color="auto"/>
        <w:left w:val="none" w:sz="0" w:space="0" w:color="auto"/>
        <w:bottom w:val="none" w:sz="0" w:space="0" w:color="auto"/>
        <w:right w:val="none" w:sz="0" w:space="0" w:color="auto"/>
      </w:divBdr>
    </w:div>
    <w:div w:id="1263565320">
      <w:bodyDiv w:val="1"/>
      <w:marLeft w:val="0"/>
      <w:marRight w:val="0"/>
      <w:marTop w:val="0"/>
      <w:marBottom w:val="0"/>
      <w:divBdr>
        <w:top w:val="none" w:sz="0" w:space="0" w:color="auto"/>
        <w:left w:val="none" w:sz="0" w:space="0" w:color="auto"/>
        <w:bottom w:val="none" w:sz="0" w:space="0" w:color="auto"/>
        <w:right w:val="none" w:sz="0" w:space="0" w:color="auto"/>
      </w:divBdr>
    </w:div>
    <w:div w:id="14804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2018RG-111-8972</_dlc_DocId>
    <_dlc_DocIdUrl xmlns="9f7bc583-7cbe-45b9-a2bd-8bbb6543b37e">
      <Url>http://tweb/sites/rg/ldp/lmu/_layouts/15/DocIdRedir.aspx?ID=2018RG-111-8972</Url>
      <Description>2018RG-111-8972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940" ma:contentTypeDescription=" " ma:contentTypeScope="" ma:versionID="061a3fb02ee5850f79352e16aa1a22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9f7bc583-7cbe-45b9-a2bd-8bbb6543b37e"/>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7F43AEF9-5E28-467C-94DD-B7FC555E1D69}">
  <ds:schemaRefs>
    <ds:schemaRef ds:uri="http://schemas.microsoft.com/sharepoint/events"/>
  </ds:schemaRefs>
</ds:datastoreItem>
</file>

<file path=customXml/itemProps5.xml><?xml version="1.0" encoding="utf-8"?>
<ds:datastoreItem xmlns:ds="http://schemas.openxmlformats.org/officeDocument/2006/customXml" ds:itemID="{0589F170-21E2-4373-9D34-ED6DBD44AEF2}"/>
</file>

<file path=customXml/itemProps6.xml><?xml version="1.0" encoding="utf-8"?>
<ds:datastoreItem xmlns:ds="http://schemas.openxmlformats.org/officeDocument/2006/customXml" ds:itemID="{595079BD-C4DE-413B-A866-B8FCC496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4</Pages>
  <Words>963</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5</cp:revision>
  <cp:lastPrinted>2018-06-07T02:01:00Z</cp:lastPrinted>
  <dcterms:created xsi:type="dcterms:W3CDTF">2018-05-24T01:55:00Z</dcterms:created>
  <dcterms:modified xsi:type="dcterms:W3CDTF">2018-06-07T02:01:00Z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2083912508</vt:i4>
  </property>
  <property fmtid="{D5CDD505-2E9C-101B-9397-08002B2CF9AE}" pid="3" name="_NewReviewCycle">
    <vt:lpwstr/>
  </property>
  <property fmtid="{D5CDD505-2E9C-101B-9397-08002B2CF9AE}" pid="4" name="_EmailSubject">
    <vt:lpwstr>June 21 Exco: sunsetting superannuation resolution complaint regulations [DLM=For-Official-Use-Only]</vt:lpwstr>
  </property>
  <property fmtid="{D5CDD505-2E9C-101B-9397-08002B2CF9AE}" pid="5" name="_AuthorEmail">
    <vt:lpwstr>Angela.Van@TREASURY.GOV.AU</vt:lpwstr>
  </property>
  <property fmtid="{D5CDD505-2E9C-101B-9397-08002B2CF9AE}" pid="6" name="_AuthorEmailDisplayName">
    <vt:lpwstr>Van, Angela</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118099f5-c158-4552-af9d-880025ce6549</vt:lpwstr>
  </property>
  <property fmtid="{D5CDD505-2E9C-101B-9397-08002B2CF9AE}" pid="10" name="_PreviousAdHocReviewCycleID">
    <vt:i4>1865725193</vt:i4>
  </property>
  <property fmtid="{D5CDD505-2E9C-101B-9397-08002B2CF9AE}" pid="11" name="RecordPoint_WorkflowType">
    <vt:lpwstr>ActiveSubmitStub</vt:lpwstr>
  </property>
  <property fmtid="{D5CDD505-2E9C-101B-9397-08002B2CF9AE}" pid="12" name="RecordPoint_SubmissionCompleted">
    <vt:lpwstr>2018-06-07T12:16:26.9386234+10:00</vt:lpwstr>
  </property>
  <property fmtid="{D5CDD505-2E9C-101B-9397-08002B2CF9AE}" pid="13" name="RecordPoint_ActiveItemUniqueId">
    <vt:lpwstr>{118099f5-c158-4552-af9d-880025ce6549}</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R0001706214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