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00D4B"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1CEE4C3E" w14:textId="77777777" w:rsidR="00C05CD6" w:rsidRDefault="00C05CD6" w:rsidP="00B82037">
      <w:pPr>
        <w:pStyle w:val="Heading2"/>
        <w:keepNext w:val="0"/>
        <w:keepLines w:val="0"/>
        <w:jc w:val="center"/>
        <w:rPr>
          <w:rFonts w:ascii="Times New Roman" w:eastAsia="Times New Roman" w:hAnsi="Times New Roman" w:cs="Times New Roman"/>
          <w:i/>
          <w:sz w:val="24"/>
          <w:szCs w:val="24"/>
          <w:lang w:eastAsia="en-AU"/>
        </w:rPr>
      </w:pPr>
      <w:r w:rsidRPr="00C05CD6">
        <w:rPr>
          <w:rFonts w:ascii="Times New Roman" w:eastAsia="Times New Roman" w:hAnsi="Times New Roman" w:cs="Times New Roman"/>
          <w:i/>
          <w:sz w:val="24"/>
          <w:szCs w:val="24"/>
          <w:lang w:eastAsia="en-AU"/>
        </w:rPr>
        <w:t>Family Assistance (Immunisation and Vaccination) (Education) Determination 2018</w:t>
      </w:r>
    </w:p>
    <w:p w14:paraId="0857BE2A" w14:textId="2FC4689E" w:rsidR="002A1E02" w:rsidRDefault="002A1E02" w:rsidP="00486000">
      <w:pPr>
        <w:pStyle w:val="Heading2"/>
        <w:keepNext w:val="0"/>
        <w:keepLines w:val="0"/>
        <w:rPr>
          <w:rFonts w:eastAsia="Times New Roman"/>
          <w:lang w:eastAsia="en-AU"/>
        </w:rPr>
      </w:pPr>
      <w:r w:rsidRPr="009C6520">
        <w:rPr>
          <w:rFonts w:eastAsia="Times New Roman"/>
          <w:lang w:eastAsia="en-AU"/>
        </w:rPr>
        <w:t>Summary</w:t>
      </w:r>
    </w:p>
    <w:p w14:paraId="0556CB64" w14:textId="366ED21C" w:rsidR="004016AF" w:rsidRDefault="004016AF" w:rsidP="00A213F0">
      <w:pPr>
        <w:spacing w:after="240"/>
        <w:jc w:val="both"/>
        <w:rPr>
          <w:rFonts w:eastAsiaTheme="minorEastAsia"/>
          <w:szCs w:val="24"/>
        </w:rPr>
      </w:pPr>
      <w:r w:rsidRPr="004016AF">
        <w:rPr>
          <w:rFonts w:eastAsiaTheme="minorEastAsia"/>
          <w:szCs w:val="24"/>
        </w:rPr>
        <w:t xml:space="preserve">The </w:t>
      </w:r>
      <w:r w:rsidR="00C05CD6" w:rsidRPr="00C05CD6">
        <w:rPr>
          <w:rFonts w:eastAsiaTheme="minorEastAsia"/>
          <w:i/>
          <w:szCs w:val="24"/>
        </w:rPr>
        <w:t xml:space="preserve">Family Assistance (Immunisation and Vaccination) (Education) Determination 2018 </w:t>
      </w:r>
      <w:r>
        <w:rPr>
          <w:rFonts w:eastAsiaTheme="minorEastAsia"/>
          <w:szCs w:val="24"/>
        </w:rPr>
        <w:t xml:space="preserve">(the </w:t>
      </w:r>
      <w:r w:rsidR="00C05CD6">
        <w:rPr>
          <w:rFonts w:eastAsiaTheme="minorEastAsia"/>
          <w:szCs w:val="24"/>
        </w:rPr>
        <w:t>Determination) is</w:t>
      </w:r>
      <w:r w:rsidRPr="004016AF">
        <w:rPr>
          <w:rFonts w:eastAsiaTheme="minorEastAsia"/>
          <w:szCs w:val="24"/>
        </w:rPr>
        <w:t xml:space="preserve"> made under </w:t>
      </w:r>
      <w:r w:rsidR="00C05CD6" w:rsidRPr="00C05CD6">
        <w:rPr>
          <w:rFonts w:eastAsiaTheme="minorEastAsia"/>
          <w:szCs w:val="24"/>
        </w:rPr>
        <w:t xml:space="preserve">section 4 and subsection 6(7) of the </w:t>
      </w:r>
      <w:r w:rsidR="00C05CD6" w:rsidRPr="00C05CD6">
        <w:rPr>
          <w:rFonts w:eastAsiaTheme="minorEastAsia"/>
          <w:i/>
          <w:szCs w:val="24"/>
        </w:rPr>
        <w:t>A New Tax System (Family Assistance) Act 1999</w:t>
      </w:r>
      <w:r w:rsidR="00C05CD6">
        <w:rPr>
          <w:rFonts w:eastAsiaTheme="minorEastAsia"/>
          <w:szCs w:val="24"/>
        </w:rPr>
        <w:t xml:space="preserve"> </w:t>
      </w:r>
      <w:r>
        <w:rPr>
          <w:rFonts w:eastAsiaTheme="minorEastAsia"/>
          <w:szCs w:val="24"/>
        </w:rPr>
        <w:t>(</w:t>
      </w:r>
      <w:r w:rsidRPr="004016AF">
        <w:rPr>
          <w:rFonts w:eastAsiaTheme="minorEastAsia"/>
          <w:szCs w:val="24"/>
        </w:rPr>
        <w:t>the</w:t>
      </w:r>
      <w:r w:rsidR="00017207">
        <w:rPr>
          <w:rFonts w:eastAsiaTheme="minorEastAsia"/>
          <w:szCs w:val="24"/>
        </w:rPr>
        <w:t xml:space="preserve"> </w:t>
      </w:r>
      <w:r w:rsidR="00B12355">
        <w:rPr>
          <w:rFonts w:eastAsiaTheme="minorEastAsia"/>
          <w:szCs w:val="24"/>
        </w:rPr>
        <w:t xml:space="preserve">Assistance </w:t>
      </w:r>
      <w:r>
        <w:rPr>
          <w:rFonts w:eastAsiaTheme="minorEastAsia"/>
          <w:szCs w:val="24"/>
        </w:rPr>
        <w:t xml:space="preserve">Act). </w:t>
      </w:r>
    </w:p>
    <w:p w14:paraId="7386EC78" w14:textId="3A8780FB" w:rsidR="0020212C" w:rsidRDefault="00C850A5" w:rsidP="00A213F0">
      <w:pPr>
        <w:spacing w:after="240"/>
        <w:jc w:val="both"/>
        <w:rPr>
          <w:rFonts w:eastAsiaTheme="minorEastAsia"/>
          <w:szCs w:val="24"/>
        </w:rPr>
      </w:pPr>
      <w:r>
        <w:rPr>
          <w:rFonts w:eastAsiaTheme="minorEastAsia"/>
          <w:szCs w:val="24"/>
        </w:rPr>
        <w:t>At the</w:t>
      </w:r>
      <w:r w:rsidR="00B52B88">
        <w:rPr>
          <w:rFonts w:eastAsiaTheme="minorEastAsia"/>
          <w:szCs w:val="24"/>
        </w:rPr>
        <w:t xml:space="preserve"> time of making the</w:t>
      </w:r>
      <w:r>
        <w:rPr>
          <w:rFonts w:eastAsiaTheme="minorEastAsia"/>
          <w:szCs w:val="24"/>
        </w:rPr>
        <w:t xml:space="preserve"> Determination,</w:t>
      </w:r>
      <w:r w:rsidR="00570D34">
        <w:rPr>
          <w:rFonts w:eastAsiaTheme="minorEastAsia"/>
          <w:szCs w:val="24"/>
        </w:rPr>
        <w:t xml:space="preserve"> t</w:t>
      </w:r>
      <w:r w:rsidR="0020212C">
        <w:rPr>
          <w:rFonts w:eastAsiaTheme="minorEastAsia"/>
          <w:szCs w:val="24"/>
        </w:rPr>
        <w:t>he</w:t>
      </w:r>
      <w:r w:rsidR="00820F04" w:rsidRPr="00820F04">
        <w:rPr>
          <w:rFonts w:eastAsiaTheme="minorEastAsia"/>
          <w:szCs w:val="24"/>
        </w:rPr>
        <w:t xml:space="preserve"> </w:t>
      </w:r>
      <w:proofErr w:type="gramStart"/>
      <w:r w:rsidR="00B12355">
        <w:rPr>
          <w:rFonts w:eastAsiaTheme="minorEastAsia"/>
          <w:szCs w:val="24"/>
        </w:rPr>
        <w:t xml:space="preserve">Assistance </w:t>
      </w:r>
      <w:r w:rsidR="00820F04" w:rsidRPr="00820F04">
        <w:rPr>
          <w:rFonts w:eastAsiaTheme="minorEastAsia"/>
          <w:szCs w:val="24"/>
        </w:rPr>
        <w:t xml:space="preserve">Act </w:t>
      </w:r>
      <w:r w:rsidR="006000AD">
        <w:rPr>
          <w:rFonts w:eastAsiaTheme="minorEastAsia"/>
          <w:szCs w:val="24"/>
        </w:rPr>
        <w:t>wa</w:t>
      </w:r>
      <w:r w:rsidR="00820F04" w:rsidRPr="00820F04">
        <w:rPr>
          <w:rFonts w:eastAsiaTheme="minorEastAsia"/>
          <w:szCs w:val="24"/>
        </w:rPr>
        <w:t>s administered jointly by the Minister for Social Services and the Minis</w:t>
      </w:r>
      <w:r w:rsidR="0020212C">
        <w:rPr>
          <w:rFonts w:eastAsiaTheme="minorEastAsia"/>
          <w:szCs w:val="24"/>
        </w:rPr>
        <w:t>ter</w:t>
      </w:r>
      <w:proofErr w:type="gramEnd"/>
      <w:r w:rsidR="0020212C">
        <w:rPr>
          <w:rFonts w:eastAsiaTheme="minorEastAsia"/>
          <w:szCs w:val="24"/>
        </w:rPr>
        <w:t xml:space="preserve"> for Education and Training</w:t>
      </w:r>
      <w:r w:rsidR="007C1CB2">
        <w:rPr>
          <w:rFonts w:eastAsiaTheme="minorEastAsia"/>
          <w:szCs w:val="24"/>
        </w:rPr>
        <w:t xml:space="preserve">. This Determination is made by </w:t>
      </w:r>
      <w:r w:rsidR="0020212C" w:rsidRPr="00820F04">
        <w:rPr>
          <w:rFonts w:eastAsiaTheme="minorEastAsia"/>
          <w:szCs w:val="24"/>
        </w:rPr>
        <w:t>the Minister for Education and Training</w:t>
      </w:r>
      <w:r w:rsidR="0020212C">
        <w:rPr>
          <w:rFonts w:eastAsiaTheme="minorEastAsia"/>
          <w:szCs w:val="24"/>
        </w:rPr>
        <w:t xml:space="preserve"> </w:t>
      </w:r>
      <w:r w:rsidR="007C1CB2">
        <w:rPr>
          <w:rFonts w:eastAsiaTheme="minorEastAsia"/>
          <w:szCs w:val="24"/>
        </w:rPr>
        <w:t>and relates</w:t>
      </w:r>
      <w:r w:rsidR="00251836">
        <w:rPr>
          <w:rFonts w:eastAsiaTheme="minorEastAsia"/>
          <w:szCs w:val="24"/>
        </w:rPr>
        <w:t xml:space="preserve"> to his </w:t>
      </w:r>
      <w:r w:rsidR="007C1CB2">
        <w:rPr>
          <w:rFonts w:eastAsiaTheme="minorEastAsia"/>
          <w:szCs w:val="24"/>
        </w:rPr>
        <w:t xml:space="preserve">portfolio </w:t>
      </w:r>
      <w:r w:rsidR="00251836">
        <w:rPr>
          <w:rFonts w:eastAsiaTheme="minorEastAsia"/>
          <w:szCs w:val="24"/>
        </w:rPr>
        <w:t xml:space="preserve">responsibility for </w:t>
      </w:r>
      <w:proofErr w:type="gramStart"/>
      <w:r w:rsidR="008E77FA">
        <w:rPr>
          <w:rFonts w:eastAsiaTheme="minorEastAsia"/>
          <w:szCs w:val="24"/>
        </w:rPr>
        <w:t>child care</w:t>
      </w:r>
      <w:proofErr w:type="gramEnd"/>
      <w:r w:rsidR="008E77FA">
        <w:rPr>
          <w:rFonts w:eastAsiaTheme="minorEastAsia"/>
          <w:szCs w:val="24"/>
        </w:rPr>
        <w:t xml:space="preserve"> payments under the family assistance law. </w:t>
      </w:r>
      <w:r w:rsidR="00A213F0">
        <w:rPr>
          <w:rFonts w:eastAsiaTheme="minorEastAsia"/>
          <w:szCs w:val="24"/>
        </w:rPr>
        <w:t xml:space="preserve">The Minister for Social Services </w:t>
      </w:r>
      <w:r w:rsidR="004C1F3D">
        <w:rPr>
          <w:rFonts w:eastAsiaTheme="minorEastAsia"/>
          <w:szCs w:val="24"/>
        </w:rPr>
        <w:t xml:space="preserve">is proposing to make </w:t>
      </w:r>
      <w:r w:rsidR="00A213F0">
        <w:rPr>
          <w:rFonts w:eastAsiaTheme="minorEastAsia"/>
          <w:szCs w:val="24"/>
        </w:rPr>
        <w:t xml:space="preserve">an equivalent instrument for </w:t>
      </w:r>
      <w:proofErr w:type="gramStart"/>
      <w:r w:rsidR="00A213F0">
        <w:rPr>
          <w:rFonts w:eastAsiaTheme="minorEastAsia"/>
          <w:szCs w:val="24"/>
        </w:rPr>
        <w:t>family tax benefit purposes</w:t>
      </w:r>
      <w:proofErr w:type="gramEnd"/>
      <w:r w:rsidR="00A213F0">
        <w:rPr>
          <w:rFonts w:eastAsiaTheme="minorEastAsia"/>
          <w:szCs w:val="24"/>
        </w:rPr>
        <w:t>.</w:t>
      </w:r>
    </w:p>
    <w:p w14:paraId="658BF71B" w14:textId="7805F1FD" w:rsidR="00A213F0" w:rsidRDefault="00A213F0" w:rsidP="00A213F0">
      <w:pPr>
        <w:spacing w:after="240"/>
        <w:jc w:val="both"/>
        <w:rPr>
          <w:rFonts w:eastAsiaTheme="minorEastAsia"/>
          <w:szCs w:val="24"/>
        </w:rPr>
      </w:pPr>
      <w:r>
        <w:rPr>
          <w:rFonts w:eastAsiaTheme="minorEastAsia"/>
          <w:szCs w:val="24"/>
        </w:rPr>
        <w:t xml:space="preserve">The Determination revokes the </w:t>
      </w:r>
      <w:r w:rsidRPr="00606505">
        <w:rPr>
          <w:rFonts w:eastAsiaTheme="minorEastAsia"/>
          <w:i/>
          <w:szCs w:val="24"/>
        </w:rPr>
        <w:t xml:space="preserve">Child Care Benefit (Vaccination Schedules) (Education) Determination 2015 </w:t>
      </w:r>
      <w:r>
        <w:rPr>
          <w:rFonts w:eastAsiaTheme="minorEastAsia"/>
          <w:szCs w:val="24"/>
        </w:rPr>
        <w:t>(previous Vaccination Schedules)</w:t>
      </w:r>
      <w:r w:rsidR="00475905">
        <w:rPr>
          <w:rFonts w:eastAsiaTheme="minorEastAsia"/>
          <w:szCs w:val="24"/>
        </w:rPr>
        <w:t xml:space="preserve"> on 2 July 2018</w:t>
      </w:r>
      <w:r>
        <w:rPr>
          <w:rFonts w:eastAsiaTheme="minorEastAsia"/>
          <w:szCs w:val="24"/>
        </w:rPr>
        <w:t xml:space="preserve"> and </w:t>
      </w:r>
      <w:r w:rsidR="00EB21EA">
        <w:rPr>
          <w:rFonts w:eastAsiaTheme="minorEastAsia"/>
          <w:szCs w:val="24"/>
        </w:rPr>
        <w:t xml:space="preserve">replaces </w:t>
      </w:r>
      <w:r>
        <w:rPr>
          <w:rFonts w:eastAsiaTheme="minorEastAsia"/>
          <w:szCs w:val="24"/>
        </w:rPr>
        <w:t xml:space="preserve">the </w:t>
      </w:r>
      <w:r w:rsidRPr="00C62B34">
        <w:rPr>
          <w:rFonts w:eastAsiaTheme="minorEastAsia"/>
          <w:i/>
          <w:szCs w:val="24"/>
        </w:rPr>
        <w:t>Family Assistance (Meeting the Immunisation Requirements) Principles 2015</w:t>
      </w:r>
      <w:r>
        <w:rPr>
          <w:rFonts w:eastAsiaTheme="minorEastAsia"/>
          <w:szCs w:val="24"/>
        </w:rPr>
        <w:t xml:space="preserve"> (previous Immunisation Principles).</w:t>
      </w:r>
    </w:p>
    <w:p w14:paraId="2DA43D71" w14:textId="03EC0836" w:rsidR="00C62B34" w:rsidRDefault="00114054" w:rsidP="00A213F0">
      <w:pPr>
        <w:spacing w:after="240"/>
        <w:jc w:val="both"/>
        <w:rPr>
          <w:rFonts w:eastAsiaTheme="minorEastAsia"/>
          <w:szCs w:val="24"/>
        </w:rPr>
      </w:pPr>
      <w:r>
        <w:rPr>
          <w:rFonts w:eastAsiaTheme="minorEastAsia"/>
          <w:szCs w:val="24"/>
        </w:rPr>
        <w:t>Part 2</w:t>
      </w:r>
      <w:r w:rsidR="00A213F0">
        <w:rPr>
          <w:rFonts w:eastAsiaTheme="minorEastAsia"/>
          <w:szCs w:val="24"/>
        </w:rPr>
        <w:t xml:space="preserve"> of the Determination sets out</w:t>
      </w:r>
      <w:r>
        <w:rPr>
          <w:rFonts w:eastAsiaTheme="minorEastAsia"/>
          <w:szCs w:val="24"/>
        </w:rPr>
        <w:t xml:space="preserve"> the </w:t>
      </w:r>
      <w:r w:rsidR="00C05CD6" w:rsidRPr="00C05CD6">
        <w:rPr>
          <w:rFonts w:eastAsiaTheme="minorEastAsia"/>
          <w:szCs w:val="24"/>
        </w:rPr>
        <w:t xml:space="preserve">decision-making principles that the Secretary </w:t>
      </w:r>
      <w:r w:rsidR="00C05CD6">
        <w:rPr>
          <w:rFonts w:eastAsiaTheme="minorEastAsia"/>
          <w:szCs w:val="24"/>
        </w:rPr>
        <w:t xml:space="preserve">(or delegate) </w:t>
      </w:r>
      <w:r w:rsidR="00C62B34">
        <w:rPr>
          <w:rFonts w:eastAsiaTheme="minorEastAsia"/>
          <w:szCs w:val="24"/>
        </w:rPr>
        <w:t>of the Department of Educatio</w:t>
      </w:r>
      <w:r w:rsidR="00003F85">
        <w:rPr>
          <w:rFonts w:eastAsiaTheme="minorEastAsia"/>
          <w:szCs w:val="24"/>
        </w:rPr>
        <w:t xml:space="preserve">n and Training </w:t>
      </w:r>
      <w:r w:rsidR="00C05CD6" w:rsidRPr="00C05CD6">
        <w:rPr>
          <w:rFonts w:eastAsiaTheme="minorEastAsia"/>
          <w:szCs w:val="24"/>
        </w:rPr>
        <w:t xml:space="preserve">must comply with when making a determination under subsection 6(6) of the </w:t>
      </w:r>
      <w:r w:rsidR="00B12355">
        <w:rPr>
          <w:rFonts w:eastAsiaTheme="minorEastAsia"/>
          <w:szCs w:val="24"/>
        </w:rPr>
        <w:t xml:space="preserve">Assistance </w:t>
      </w:r>
      <w:r w:rsidR="00C05CD6">
        <w:rPr>
          <w:rFonts w:eastAsiaTheme="minorEastAsia"/>
          <w:szCs w:val="24"/>
        </w:rPr>
        <w:t xml:space="preserve">Act </w:t>
      </w:r>
      <w:r w:rsidR="00C05CD6" w:rsidRPr="00C05CD6">
        <w:rPr>
          <w:rFonts w:eastAsiaTheme="minorEastAsia"/>
          <w:szCs w:val="24"/>
        </w:rPr>
        <w:t>that a child meets</w:t>
      </w:r>
      <w:r w:rsidR="00C05CD6">
        <w:rPr>
          <w:rFonts w:eastAsiaTheme="minorEastAsia"/>
          <w:szCs w:val="24"/>
        </w:rPr>
        <w:t xml:space="preserve"> the immunisation requirements</w:t>
      </w:r>
      <w:r w:rsidR="00423FBB">
        <w:rPr>
          <w:rFonts w:eastAsiaTheme="minorEastAsia"/>
          <w:szCs w:val="24"/>
        </w:rPr>
        <w:t xml:space="preserve">. </w:t>
      </w:r>
      <w:r>
        <w:rPr>
          <w:rFonts w:eastAsiaTheme="minorEastAsia"/>
          <w:szCs w:val="24"/>
        </w:rPr>
        <w:t>Part 3</w:t>
      </w:r>
      <w:r w:rsidR="00251836">
        <w:rPr>
          <w:rFonts w:eastAsiaTheme="minorEastAsia"/>
          <w:szCs w:val="24"/>
        </w:rPr>
        <w:t xml:space="preserve"> sets out</w:t>
      </w:r>
      <w:r>
        <w:rPr>
          <w:rFonts w:eastAsiaTheme="minorEastAsia"/>
          <w:szCs w:val="24"/>
        </w:rPr>
        <w:t xml:space="preserve"> the</w:t>
      </w:r>
      <w:r w:rsidR="00C05CD6">
        <w:rPr>
          <w:rFonts w:eastAsiaTheme="minorEastAsia"/>
          <w:szCs w:val="24"/>
        </w:rPr>
        <w:t xml:space="preserve"> </w:t>
      </w:r>
      <w:r w:rsidR="00C05CD6" w:rsidRPr="00C05CD6">
        <w:rPr>
          <w:rFonts w:eastAsiaTheme="minorEastAsia"/>
          <w:szCs w:val="24"/>
        </w:rPr>
        <w:t xml:space="preserve">vaccination schedules for the purposes of </w:t>
      </w:r>
      <w:r w:rsidR="00144429">
        <w:rPr>
          <w:rFonts w:eastAsiaTheme="minorEastAsia"/>
          <w:szCs w:val="24"/>
        </w:rPr>
        <w:t xml:space="preserve">meeting the </w:t>
      </w:r>
      <w:r w:rsidR="00C05CD6" w:rsidRPr="00C05CD6">
        <w:rPr>
          <w:rFonts w:eastAsiaTheme="minorEastAsia"/>
          <w:szCs w:val="24"/>
        </w:rPr>
        <w:t xml:space="preserve">immunisation requirements for eligibility for </w:t>
      </w:r>
      <w:r w:rsidR="00A213F0">
        <w:rPr>
          <w:rFonts w:eastAsiaTheme="minorEastAsia"/>
          <w:szCs w:val="24"/>
        </w:rPr>
        <w:t>C</w:t>
      </w:r>
      <w:r w:rsidR="00C05CD6" w:rsidRPr="00C05CD6">
        <w:rPr>
          <w:rFonts w:eastAsiaTheme="minorEastAsia"/>
          <w:szCs w:val="24"/>
        </w:rPr>
        <w:t xml:space="preserve">hild </w:t>
      </w:r>
      <w:r w:rsidR="00A213F0">
        <w:rPr>
          <w:rFonts w:eastAsiaTheme="minorEastAsia"/>
          <w:szCs w:val="24"/>
        </w:rPr>
        <w:t>C</w:t>
      </w:r>
      <w:r w:rsidR="00C05CD6" w:rsidRPr="00C05CD6">
        <w:rPr>
          <w:rFonts w:eastAsiaTheme="minorEastAsia"/>
          <w:szCs w:val="24"/>
        </w:rPr>
        <w:t xml:space="preserve">are </w:t>
      </w:r>
      <w:r w:rsidR="00361549">
        <w:rPr>
          <w:rFonts w:eastAsiaTheme="minorEastAsia"/>
          <w:szCs w:val="24"/>
        </w:rPr>
        <w:t>S</w:t>
      </w:r>
      <w:r w:rsidR="00C05CD6">
        <w:rPr>
          <w:rFonts w:eastAsiaTheme="minorEastAsia"/>
          <w:szCs w:val="24"/>
        </w:rPr>
        <w:t>ubsidy</w:t>
      </w:r>
      <w:r w:rsidR="00BE720F">
        <w:rPr>
          <w:rFonts w:eastAsiaTheme="minorEastAsia"/>
          <w:szCs w:val="24"/>
        </w:rPr>
        <w:t xml:space="preserve"> (CCS)</w:t>
      </w:r>
      <w:r w:rsidR="00251836">
        <w:rPr>
          <w:rFonts w:eastAsiaTheme="minorEastAsia"/>
          <w:szCs w:val="24"/>
        </w:rPr>
        <w:t xml:space="preserve"> or </w:t>
      </w:r>
      <w:r w:rsidR="00A213F0">
        <w:rPr>
          <w:rFonts w:eastAsiaTheme="minorEastAsia"/>
          <w:szCs w:val="24"/>
        </w:rPr>
        <w:t>A</w:t>
      </w:r>
      <w:r w:rsidR="00251836">
        <w:rPr>
          <w:rFonts w:eastAsiaTheme="minorEastAsia"/>
          <w:szCs w:val="24"/>
        </w:rPr>
        <w:t xml:space="preserve">dditional </w:t>
      </w:r>
      <w:r w:rsidR="00A213F0">
        <w:rPr>
          <w:rFonts w:eastAsiaTheme="minorEastAsia"/>
          <w:szCs w:val="24"/>
        </w:rPr>
        <w:t>C</w:t>
      </w:r>
      <w:r w:rsidR="00251836">
        <w:rPr>
          <w:rFonts w:eastAsiaTheme="minorEastAsia"/>
          <w:szCs w:val="24"/>
        </w:rPr>
        <w:t xml:space="preserve">hild </w:t>
      </w:r>
      <w:r w:rsidR="00A213F0">
        <w:rPr>
          <w:rFonts w:eastAsiaTheme="minorEastAsia"/>
          <w:szCs w:val="24"/>
        </w:rPr>
        <w:t>C</w:t>
      </w:r>
      <w:r w:rsidR="000E2250">
        <w:rPr>
          <w:rFonts w:eastAsiaTheme="minorEastAsia"/>
          <w:szCs w:val="24"/>
        </w:rPr>
        <w:t>a</w:t>
      </w:r>
      <w:r w:rsidR="00251836">
        <w:rPr>
          <w:rFonts w:eastAsiaTheme="minorEastAsia"/>
          <w:szCs w:val="24"/>
        </w:rPr>
        <w:t xml:space="preserve">re </w:t>
      </w:r>
      <w:r w:rsidR="00A213F0">
        <w:rPr>
          <w:rFonts w:eastAsiaTheme="minorEastAsia"/>
          <w:szCs w:val="24"/>
        </w:rPr>
        <w:t>S</w:t>
      </w:r>
      <w:r w:rsidR="00251836">
        <w:rPr>
          <w:rFonts w:eastAsiaTheme="minorEastAsia"/>
          <w:szCs w:val="24"/>
        </w:rPr>
        <w:t>ubsidy</w:t>
      </w:r>
      <w:r w:rsidR="00BE720F">
        <w:rPr>
          <w:rFonts w:eastAsiaTheme="minorEastAsia"/>
          <w:szCs w:val="24"/>
        </w:rPr>
        <w:t xml:space="preserve"> (ACCS)</w:t>
      </w:r>
      <w:r w:rsidR="00251836">
        <w:rPr>
          <w:rFonts w:eastAsiaTheme="minorEastAsia"/>
          <w:szCs w:val="24"/>
        </w:rPr>
        <w:t xml:space="preserve"> once those payments commence on 2 July 2018</w:t>
      </w:r>
      <w:r w:rsidR="00C05CD6" w:rsidRPr="00C05CD6">
        <w:rPr>
          <w:rFonts w:eastAsiaTheme="minorEastAsia"/>
          <w:szCs w:val="24"/>
        </w:rPr>
        <w:t>.</w:t>
      </w:r>
    </w:p>
    <w:p w14:paraId="5B4E69B8" w14:textId="5FE46478" w:rsidR="005C23DC" w:rsidRDefault="00132321" w:rsidP="00A213F0">
      <w:pPr>
        <w:spacing w:after="240"/>
        <w:jc w:val="both"/>
        <w:rPr>
          <w:rFonts w:eastAsiaTheme="minorEastAsia"/>
          <w:szCs w:val="24"/>
        </w:rPr>
      </w:pPr>
      <w:r>
        <w:rPr>
          <w:rFonts w:eastAsiaTheme="minorEastAsia"/>
          <w:szCs w:val="24"/>
        </w:rPr>
        <w:t xml:space="preserve">The Determination largely replicates the content of the previous </w:t>
      </w:r>
      <w:r w:rsidR="00CF3815">
        <w:rPr>
          <w:rFonts w:eastAsiaTheme="minorEastAsia"/>
          <w:szCs w:val="24"/>
        </w:rPr>
        <w:t>Immunisation Principles and previous Vaccination Schedules</w:t>
      </w:r>
      <w:r w:rsidR="003D5B28">
        <w:rPr>
          <w:rFonts w:eastAsiaTheme="minorEastAsia"/>
          <w:szCs w:val="24"/>
        </w:rPr>
        <w:t>. H</w:t>
      </w:r>
      <w:r w:rsidR="00CF3815">
        <w:rPr>
          <w:rFonts w:eastAsiaTheme="minorEastAsia"/>
          <w:szCs w:val="24"/>
        </w:rPr>
        <w:t>owever</w:t>
      </w:r>
      <w:r w:rsidR="003D5B28">
        <w:rPr>
          <w:rFonts w:eastAsiaTheme="minorEastAsia"/>
          <w:szCs w:val="24"/>
        </w:rPr>
        <w:t>,</w:t>
      </w:r>
      <w:r w:rsidR="00CF3815">
        <w:rPr>
          <w:rFonts w:eastAsiaTheme="minorEastAsia"/>
          <w:szCs w:val="24"/>
        </w:rPr>
        <w:t xml:space="preserve"> section</w:t>
      </w:r>
      <w:r w:rsidR="005C23DC">
        <w:rPr>
          <w:rFonts w:eastAsiaTheme="minorEastAsia"/>
          <w:szCs w:val="24"/>
        </w:rPr>
        <w:t>s</w:t>
      </w:r>
      <w:r w:rsidR="00CF3815">
        <w:rPr>
          <w:rFonts w:eastAsiaTheme="minorEastAsia"/>
          <w:szCs w:val="24"/>
        </w:rPr>
        <w:t xml:space="preserve"> 14 </w:t>
      </w:r>
      <w:r w:rsidR="005C23DC">
        <w:rPr>
          <w:rFonts w:eastAsiaTheme="minorEastAsia"/>
          <w:szCs w:val="24"/>
        </w:rPr>
        <w:t xml:space="preserve">and 15 </w:t>
      </w:r>
      <w:r w:rsidR="0059232F">
        <w:rPr>
          <w:rFonts w:eastAsiaTheme="minorEastAsia"/>
          <w:szCs w:val="24"/>
        </w:rPr>
        <w:t>of the Determination specify</w:t>
      </w:r>
      <w:r w:rsidR="00CF3815">
        <w:rPr>
          <w:rFonts w:eastAsiaTheme="minorEastAsia"/>
          <w:szCs w:val="24"/>
        </w:rPr>
        <w:t xml:space="preserve"> other circumstance</w:t>
      </w:r>
      <w:r w:rsidR="005C23DC">
        <w:rPr>
          <w:rFonts w:eastAsiaTheme="minorEastAsia"/>
          <w:szCs w:val="24"/>
        </w:rPr>
        <w:t>s</w:t>
      </w:r>
      <w:r w:rsidR="00CF3815">
        <w:rPr>
          <w:rFonts w:eastAsiaTheme="minorEastAsia"/>
          <w:szCs w:val="24"/>
        </w:rPr>
        <w:t xml:space="preserve"> </w:t>
      </w:r>
      <w:r>
        <w:rPr>
          <w:rFonts w:eastAsiaTheme="minorEastAsia"/>
          <w:szCs w:val="24"/>
        </w:rPr>
        <w:t>in which</w:t>
      </w:r>
      <w:r w:rsidR="00CF3815">
        <w:rPr>
          <w:rFonts w:eastAsiaTheme="minorEastAsia"/>
          <w:szCs w:val="24"/>
        </w:rPr>
        <w:t xml:space="preserve"> the imm</w:t>
      </w:r>
      <w:r w:rsidR="003D5B28">
        <w:rPr>
          <w:rFonts w:eastAsiaTheme="minorEastAsia"/>
          <w:szCs w:val="24"/>
        </w:rPr>
        <w:t xml:space="preserve">unisation requirements </w:t>
      </w:r>
      <w:proofErr w:type="gramStart"/>
      <w:r w:rsidR="00B0528A">
        <w:rPr>
          <w:rFonts w:eastAsiaTheme="minorEastAsia"/>
          <w:szCs w:val="24"/>
        </w:rPr>
        <w:t>may be</w:t>
      </w:r>
      <w:r w:rsidR="003D5B28">
        <w:rPr>
          <w:rFonts w:eastAsiaTheme="minorEastAsia"/>
          <w:szCs w:val="24"/>
        </w:rPr>
        <w:t xml:space="preserve"> me</w:t>
      </w:r>
      <w:r w:rsidR="00AE28AD">
        <w:rPr>
          <w:rFonts w:eastAsiaTheme="minorEastAsia"/>
          <w:szCs w:val="24"/>
        </w:rPr>
        <w:t>t</w:t>
      </w:r>
      <w:proofErr w:type="gramEnd"/>
      <w:r w:rsidR="00AE28AD">
        <w:rPr>
          <w:rFonts w:eastAsiaTheme="minorEastAsia"/>
          <w:szCs w:val="24"/>
        </w:rPr>
        <w:t xml:space="preserve"> </w:t>
      </w:r>
      <w:r w:rsidR="004C1F3D">
        <w:rPr>
          <w:rFonts w:eastAsiaTheme="minorEastAsia"/>
          <w:szCs w:val="24"/>
        </w:rPr>
        <w:t>(subject to a decision by the Secretary under subsection 6(6) of the Assistance Act).</w:t>
      </w:r>
    </w:p>
    <w:p w14:paraId="699A95E8" w14:textId="7B6C0136" w:rsidR="00BE720F" w:rsidRPr="00A213F0" w:rsidRDefault="005C23DC" w:rsidP="00A213F0">
      <w:pPr>
        <w:jc w:val="both"/>
      </w:pPr>
      <w:r>
        <w:rPr>
          <w:rFonts w:eastAsiaTheme="minorEastAsia"/>
          <w:szCs w:val="24"/>
        </w:rPr>
        <w:t xml:space="preserve">The Determination also </w:t>
      </w:r>
      <w:r w:rsidR="00913E20">
        <w:rPr>
          <w:rFonts w:eastAsiaTheme="minorEastAsia"/>
          <w:szCs w:val="24"/>
        </w:rPr>
        <w:t>specifies</w:t>
      </w:r>
      <w:r w:rsidR="001C546D">
        <w:rPr>
          <w:rFonts w:eastAsiaTheme="minorEastAsia"/>
          <w:szCs w:val="24"/>
        </w:rPr>
        <w:t xml:space="preserve"> </w:t>
      </w:r>
      <w:r w:rsidR="00092B64">
        <w:rPr>
          <w:rFonts w:eastAsiaTheme="minorEastAsia"/>
          <w:szCs w:val="24"/>
        </w:rPr>
        <w:t xml:space="preserve">a </w:t>
      </w:r>
      <w:r w:rsidR="001C546D">
        <w:rPr>
          <w:rFonts w:eastAsiaTheme="minorEastAsia"/>
          <w:szCs w:val="24"/>
        </w:rPr>
        <w:t>standard vaccination schedule (S</w:t>
      </w:r>
      <w:r>
        <w:rPr>
          <w:rFonts w:eastAsiaTheme="minorEastAsia"/>
          <w:szCs w:val="24"/>
        </w:rPr>
        <w:t>chedule 4</w:t>
      </w:r>
      <w:r w:rsidR="001C546D">
        <w:rPr>
          <w:rFonts w:eastAsiaTheme="minorEastAsia"/>
          <w:szCs w:val="24"/>
        </w:rPr>
        <w:t>)</w:t>
      </w:r>
      <w:r>
        <w:rPr>
          <w:rFonts w:eastAsiaTheme="minorEastAsia"/>
          <w:szCs w:val="24"/>
        </w:rPr>
        <w:t xml:space="preserve"> for children born on or after 1 January 2017</w:t>
      </w:r>
      <w:r w:rsidR="00092B64">
        <w:rPr>
          <w:rFonts w:eastAsiaTheme="minorEastAsia"/>
          <w:szCs w:val="24"/>
        </w:rPr>
        <w:t>. Schedule 4</w:t>
      </w:r>
      <w:r w:rsidR="00B12355">
        <w:rPr>
          <w:rFonts w:eastAsiaTheme="minorEastAsia"/>
          <w:szCs w:val="24"/>
        </w:rPr>
        <w:t xml:space="preserve"> </w:t>
      </w:r>
      <w:r w:rsidR="001C546D">
        <w:rPr>
          <w:rFonts w:eastAsiaTheme="minorEastAsia"/>
          <w:szCs w:val="24"/>
        </w:rPr>
        <w:t>takes into account</w:t>
      </w:r>
      <w:r>
        <w:rPr>
          <w:rFonts w:eastAsiaTheme="minorEastAsia"/>
          <w:szCs w:val="24"/>
        </w:rPr>
        <w:t xml:space="preserve"> the amendments made by the </w:t>
      </w:r>
      <w:r w:rsidR="00CD773B">
        <w:rPr>
          <w:rFonts w:eastAsiaTheme="minorEastAsia"/>
          <w:szCs w:val="24"/>
        </w:rPr>
        <w:t>Minister for</w:t>
      </w:r>
      <w:r>
        <w:rPr>
          <w:rFonts w:eastAsiaTheme="minorEastAsia"/>
          <w:szCs w:val="24"/>
        </w:rPr>
        <w:t xml:space="preserve"> Health to the </w:t>
      </w:r>
      <w:r w:rsidRPr="00907CAD">
        <w:rPr>
          <w:rFonts w:eastAsiaTheme="minorEastAsia"/>
          <w:i/>
          <w:szCs w:val="24"/>
        </w:rPr>
        <w:t>National Health (Immunisation Program — Designated Vaccines) Determination 2014 (No. 1)</w:t>
      </w:r>
      <w:r w:rsidR="006000AD" w:rsidRPr="006000AD">
        <w:rPr>
          <w:rFonts w:eastAsiaTheme="minorEastAsia"/>
          <w:szCs w:val="24"/>
        </w:rPr>
        <w:t>,</w:t>
      </w:r>
      <w:r w:rsidR="00CD773B">
        <w:rPr>
          <w:rFonts w:eastAsiaTheme="minorEastAsia"/>
          <w:i/>
          <w:szCs w:val="24"/>
        </w:rPr>
        <w:t xml:space="preserve"> </w:t>
      </w:r>
      <w:r w:rsidR="00092B64">
        <w:rPr>
          <w:rFonts w:eastAsiaTheme="minorEastAsia"/>
          <w:szCs w:val="24"/>
        </w:rPr>
        <w:t>in</w:t>
      </w:r>
      <w:r w:rsidR="006000AD">
        <w:rPr>
          <w:rFonts w:eastAsiaTheme="minorEastAsia"/>
          <w:szCs w:val="24"/>
        </w:rPr>
        <w:t>cluding by</w:t>
      </w:r>
      <w:r w:rsidR="00CD773B">
        <w:rPr>
          <w:rFonts w:eastAsiaTheme="minorEastAsia"/>
          <w:szCs w:val="24"/>
        </w:rPr>
        <w:t xml:space="preserve"> the </w:t>
      </w:r>
      <w:r w:rsidR="00CD773B" w:rsidRPr="00475905">
        <w:rPr>
          <w:rFonts w:eastAsiaTheme="minorEastAsia"/>
          <w:i/>
          <w:szCs w:val="24"/>
        </w:rPr>
        <w:t>National Health (Immunisation Program – Designated Vaccines) Vari</w:t>
      </w:r>
      <w:r w:rsidR="00092B64" w:rsidRPr="00475905">
        <w:rPr>
          <w:rFonts w:eastAsiaTheme="minorEastAsia"/>
          <w:i/>
          <w:szCs w:val="24"/>
        </w:rPr>
        <w:t>ation Determination (No.1) 2018</w:t>
      </w:r>
      <w:r>
        <w:rPr>
          <w:rFonts w:eastAsiaTheme="minorEastAsia"/>
          <w:i/>
          <w:szCs w:val="24"/>
        </w:rPr>
        <w:t>.</w:t>
      </w:r>
      <w:r w:rsidR="001C546D">
        <w:rPr>
          <w:rFonts w:eastAsiaTheme="minorEastAsia"/>
          <w:szCs w:val="24"/>
        </w:rPr>
        <w:t xml:space="preserve"> </w:t>
      </w:r>
      <w:r>
        <w:rPr>
          <w:rFonts w:eastAsiaTheme="minorEastAsia"/>
          <w:szCs w:val="24"/>
        </w:rPr>
        <w:t xml:space="preserve">Section 15 </w:t>
      </w:r>
      <w:r w:rsidR="00BC323C">
        <w:rPr>
          <w:rFonts w:eastAsiaTheme="minorEastAsia"/>
          <w:szCs w:val="24"/>
        </w:rPr>
        <w:t xml:space="preserve">of the Determination </w:t>
      </w:r>
      <w:r w:rsidR="001C546D">
        <w:rPr>
          <w:rFonts w:eastAsiaTheme="minorEastAsia"/>
          <w:szCs w:val="24"/>
        </w:rPr>
        <w:t xml:space="preserve">provides a circumstance for a child to meet the immunisation requirements </w:t>
      </w:r>
      <w:r>
        <w:rPr>
          <w:rFonts w:eastAsiaTheme="minorEastAsia"/>
          <w:szCs w:val="24"/>
        </w:rPr>
        <w:t>where a child born between 1</w:t>
      </w:r>
      <w:r w:rsidR="00B12355">
        <w:rPr>
          <w:rFonts w:eastAsiaTheme="minorEastAsia"/>
          <w:szCs w:val="24"/>
        </w:rPr>
        <w:t> </w:t>
      </w:r>
      <w:r>
        <w:rPr>
          <w:rFonts w:eastAsiaTheme="minorEastAsia"/>
          <w:szCs w:val="24"/>
        </w:rPr>
        <w:t>January 2017 and 1 February 2018 has already received the vaccinations in accordance wi</w:t>
      </w:r>
      <w:r w:rsidR="001C546D">
        <w:rPr>
          <w:rFonts w:eastAsiaTheme="minorEastAsia"/>
          <w:szCs w:val="24"/>
        </w:rPr>
        <w:t>th Schedule 3 to</w:t>
      </w:r>
      <w:r>
        <w:rPr>
          <w:rFonts w:eastAsiaTheme="minorEastAsia"/>
          <w:szCs w:val="24"/>
        </w:rPr>
        <w:t xml:space="preserve"> the Determination, prior to the </w:t>
      </w:r>
      <w:r w:rsidR="007B2A61">
        <w:rPr>
          <w:rFonts w:eastAsiaTheme="minorEastAsia"/>
          <w:szCs w:val="24"/>
        </w:rPr>
        <w:t xml:space="preserve">commencement </w:t>
      </w:r>
      <w:r w:rsidR="001C546D">
        <w:rPr>
          <w:rFonts w:eastAsiaTheme="minorEastAsia"/>
          <w:szCs w:val="24"/>
        </w:rPr>
        <w:t xml:space="preserve">of Schedule 4. </w:t>
      </w:r>
    </w:p>
    <w:p w14:paraId="6143BB0C" w14:textId="77777777" w:rsidR="002A1E02" w:rsidRDefault="002A1E02" w:rsidP="00486000">
      <w:pPr>
        <w:pStyle w:val="Heading2"/>
        <w:keepNext w:val="0"/>
        <w:keepLines w:val="0"/>
        <w:rPr>
          <w:rFonts w:eastAsia="Times New Roman"/>
          <w:lang w:eastAsia="en-AU"/>
        </w:rPr>
      </w:pPr>
      <w:r w:rsidRPr="00BC582A">
        <w:rPr>
          <w:rFonts w:eastAsia="Times New Roman"/>
          <w:lang w:eastAsia="en-AU"/>
        </w:rPr>
        <w:t>Background</w:t>
      </w:r>
    </w:p>
    <w:p w14:paraId="1B5286A3" w14:textId="7F579A63" w:rsidR="00B1190D" w:rsidRDefault="00B1190D" w:rsidP="00A213F0">
      <w:pPr>
        <w:spacing w:after="240"/>
        <w:jc w:val="both"/>
        <w:rPr>
          <w:szCs w:val="24"/>
        </w:rPr>
      </w:pPr>
      <w:r w:rsidRPr="00C62B34">
        <w:rPr>
          <w:szCs w:val="24"/>
        </w:rPr>
        <w:t xml:space="preserve">The </w:t>
      </w:r>
      <w:r w:rsidRPr="00900A07">
        <w:rPr>
          <w:i/>
          <w:szCs w:val="24"/>
        </w:rPr>
        <w:t>Family Assistance Legislation Amendment (Jobs for Families Child Care Package) Act 2017</w:t>
      </w:r>
      <w:r>
        <w:rPr>
          <w:szCs w:val="24"/>
        </w:rPr>
        <w:t xml:space="preserve"> </w:t>
      </w:r>
      <w:r w:rsidR="00BE720F">
        <w:rPr>
          <w:szCs w:val="24"/>
        </w:rPr>
        <w:t>(</w:t>
      </w:r>
      <w:r w:rsidR="003F73BC">
        <w:rPr>
          <w:szCs w:val="24"/>
        </w:rPr>
        <w:t>the Amendment</w:t>
      </w:r>
      <w:r w:rsidR="00BE720F">
        <w:rPr>
          <w:szCs w:val="24"/>
        </w:rPr>
        <w:t xml:space="preserve"> Act) </w:t>
      </w:r>
      <w:r>
        <w:rPr>
          <w:szCs w:val="24"/>
        </w:rPr>
        <w:t>amends the family assistance law to give</w:t>
      </w:r>
      <w:r w:rsidRPr="00900A07">
        <w:rPr>
          <w:szCs w:val="24"/>
        </w:rPr>
        <w:t xml:space="preserve"> effect to the legislative elements of the Australian Government’s new ch</w:t>
      </w:r>
      <w:r>
        <w:rPr>
          <w:szCs w:val="24"/>
        </w:rPr>
        <w:t xml:space="preserve">ild care package (the package), </w:t>
      </w:r>
      <w:r w:rsidRPr="00900A07">
        <w:rPr>
          <w:szCs w:val="24"/>
        </w:rPr>
        <w:t xml:space="preserve">including the new </w:t>
      </w:r>
      <w:r>
        <w:rPr>
          <w:szCs w:val="24"/>
        </w:rPr>
        <w:t>CCS and the ACCS commencing from 2</w:t>
      </w:r>
      <w:r w:rsidRPr="00C62B34">
        <w:rPr>
          <w:szCs w:val="24"/>
        </w:rPr>
        <w:t xml:space="preserve"> J</w:t>
      </w:r>
      <w:r>
        <w:rPr>
          <w:szCs w:val="24"/>
        </w:rPr>
        <w:t xml:space="preserve">uly 2018. </w:t>
      </w:r>
      <w:r w:rsidRPr="00900A07">
        <w:rPr>
          <w:szCs w:val="24"/>
        </w:rPr>
        <w:t xml:space="preserve">The centrepiece of </w:t>
      </w:r>
      <w:r>
        <w:rPr>
          <w:szCs w:val="24"/>
        </w:rPr>
        <w:t>the package is the CCS, which replaces</w:t>
      </w:r>
      <w:r w:rsidRPr="00900A07">
        <w:rPr>
          <w:szCs w:val="24"/>
        </w:rPr>
        <w:t xml:space="preserve"> the existing Child Care Benefit (CCB) and Child Care Rebate (CCR).</w:t>
      </w:r>
    </w:p>
    <w:p w14:paraId="4803E219" w14:textId="6803C3D8" w:rsidR="00B1190D" w:rsidRDefault="00251836" w:rsidP="00A213F0">
      <w:pPr>
        <w:spacing w:after="240"/>
        <w:jc w:val="both"/>
        <w:rPr>
          <w:szCs w:val="24"/>
        </w:rPr>
      </w:pPr>
      <w:r>
        <w:rPr>
          <w:szCs w:val="24"/>
        </w:rPr>
        <w:t>Prior to those</w:t>
      </w:r>
      <w:r w:rsidR="00B1190D" w:rsidRPr="00C62B34">
        <w:rPr>
          <w:szCs w:val="24"/>
        </w:rPr>
        <w:t xml:space="preserve"> amendments, </w:t>
      </w:r>
      <w:r w:rsidR="00B1190D">
        <w:rPr>
          <w:szCs w:val="24"/>
        </w:rPr>
        <w:t>the</w:t>
      </w:r>
      <w:r w:rsidR="00743458">
        <w:rPr>
          <w:szCs w:val="24"/>
        </w:rPr>
        <w:t xml:space="preserve"> </w:t>
      </w:r>
      <w:r w:rsidR="00816FD4">
        <w:rPr>
          <w:szCs w:val="24"/>
        </w:rPr>
        <w:t>previous Immunisation Principles</w:t>
      </w:r>
      <w:r w:rsidR="00743458">
        <w:t xml:space="preserve"> </w:t>
      </w:r>
      <w:r w:rsidR="00816FD4">
        <w:t xml:space="preserve">and </w:t>
      </w:r>
      <w:r w:rsidR="002862C5">
        <w:t xml:space="preserve">the previous Vaccination </w:t>
      </w:r>
      <w:r w:rsidR="00816FD4">
        <w:t>Schedules</w:t>
      </w:r>
      <w:r w:rsidR="002862C5">
        <w:t xml:space="preserve"> </w:t>
      </w:r>
      <w:r w:rsidR="00743458">
        <w:rPr>
          <w:szCs w:val="24"/>
        </w:rPr>
        <w:t xml:space="preserve">operated with respect to CCB and CCR. This </w:t>
      </w:r>
      <w:r w:rsidR="00B72A81">
        <w:rPr>
          <w:szCs w:val="24"/>
        </w:rPr>
        <w:t xml:space="preserve">Determination </w:t>
      </w:r>
      <w:r w:rsidR="00743458">
        <w:rPr>
          <w:szCs w:val="24"/>
        </w:rPr>
        <w:t>replace</w:t>
      </w:r>
      <w:r w:rsidR="002D0878">
        <w:rPr>
          <w:szCs w:val="24"/>
        </w:rPr>
        <w:t>s</w:t>
      </w:r>
      <w:r w:rsidR="00743458">
        <w:rPr>
          <w:szCs w:val="24"/>
        </w:rPr>
        <w:t xml:space="preserve"> both of those instruments for the purposes of eligibility for CCS </w:t>
      </w:r>
      <w:r w:rsidR="00272962">
        <w:rPr>
          <w:szCs w:val="24"/>
        </w:rPr>
        <w:t xml:space="preserve">and </w:t>
      </w:r>
      <w:r w:rsidR="00743458">
        <w:rPr>
          <w:szCs w:val="24"/>
        </w:rPr>
        <w:t xml:space="preserve">ACCS after the key amendments to the family assistance law made by the </w:t>
      </w:r>
      <w:r w:rsidR="003F73BC">
        <w:rPr>
          <w:szCs w:val="24"/>
        </w:rPr>
        <w:t>Amendment</w:t>
      </w:r>
      <w:r w:rsidR="00BE720F" w:rsidRPr="00BE720F">
        <w:rPr>
          <w:szCs w:val="24"/>
        </w:rPr>
        <w:t xml:space="preserve"> Act</w:t>
      </w:r>
      <w:r w:rsidR="00743458">
        <w:rPr>
          <w:i/>
          <w:szCs w:val="24"/>
        </w:rPr>
        <w:t xml:space="preserve"> </w:t>
      </w:r>
      <w:r w:rsidR="00743458">
        <w:rPr>
          <w:szCs w:val="24"/>
        </w:rPr>
        <w:t>commence on 2</w:t>
      </w:r>
      <w:r w:rsidR="00BE720F">
        <w:rPr>
          <w:szCs w:val="24"/>
        </w:rPr>
        <w:t> </w:t>
      </w:r>
      <w:r w:rsidR="00743458">
        <w:rPr>
          <w:szCs w:val="24"/>
        </w:rPr>
        <w:t>July 2018</w:t>
      </w:r>
      <w:r w:rsidR="00F90F23">
        <w:rPr>
          <w:szCs w:val="24"/>
        </w:rPr>
        <w:t xml:space="preserve">. </w:t>
      </w:r>
    </w:p>
    <w:p w14:paraId="1A5AAC4A" w14:textId="60CC625E" w:rsidR="00743458" w:rsidRDefault="00743458" w:rsidP="00A213F0">
      <w:pPr>
        <w:spacing w:after="240"/>
        <w:jc w:val="both"/>
        <w:rPr>
          <w:szCs w:val="24"/>
        </w:rPr>
      </w:pPr>
      <w:r>
        <w:rPr>
          <w:szCs w:val="24"/>
        </w:rPr>
        <w:lastRenderedPageBreak/>
        <w:t xml:space="preserve">The </w:t>
      </w:r>
      <w:r w:rsidR="00B72A81">
        <w:rPr>
          <w:szCs w:val="24"/>
        </w:rPr>
        <w:t xml:space="preserve">Determination </w:t>
      </w:r>
      <w:r>
        <w:rPr>
          <w:szCs w:val="24"/>
        </w:rPr>
        <w:t xml:space="preserve">is part of the No Jab No Pay measures introduced into law by the Government through the </w:t>
      </w:r>
      <w:r w:rsidRPr="00272962">
        <w:rPr>
          <w:i/>
          <w:szCs w:val="24"/>
        </w:rPr>
        <w:t>Social Services Legislation Amendment (No Jab, No Pay) Act 2015</w:t>
      </w:r>
      <w:r>
        <w:rPr>
          <w:szCs w:val="24"/>
        </w:rPr>
        <w:t xml:space="preserve"> from 1 January 2016.</w:t>
      </w:r>
    </w:p>
    <w:p w14:paraId="1133D24E" w14:textId="1055157B" w:rsidR="008E77FA" w:rsidRDefault="008E77FA" w:rsidP="00A213F0">
      <w:pPr>
        <w:spacing w:after="240"/>
        <w:jc w:val="both"/>
        <w:rPr>
          <w:szCs w:val="24"/>
        </w:rPr>
      </w:pPr>
      <w:r>
        <w:rPr>
          <w:szCs w:val="24"/>
        </w:rPr>
        <w:t>U</w:t>
      </w:r>
      <w:r w:rsidR="003C6B59">
        <w:rPr>
          <w:szCs w:val="24"/>
        </w:rPr>
        <w:t>nder Division 3</w:t>
      </w:r>
      <w:r>
        <w:rPr>
          <w:szCs w:val="24"/>
        </w:rPr>
        <w:t xml:space="preserve"> of Part 3</w:t>
      </w:r>
      <w:r w:rsidR="003C6B59">
        <w:rPr>
          <w:szCs w:val="24"/>
        </w:rPr>
        <w:t>A</w:t>
      </w:r>
      <w:r w:rsidR="00C62B34" w:rsidRPr="00C62B34">
        <w:rPr>
          <w:szCs w:val="24"/>
        </w:rPr>
        <w:t xml:space="preserve"> of the</w:t>
      </w:r>
      <w:r w:rsidR="004C1F3D">
        <w:rPr>
          <w:szCs w:val="24"/>
        </w:rPr>
        <w:t xml:space="preserve"> Assistance</w:t>
      </w:r>
      <w:r w:rsidR="00C62B34" w:rsidRPr="00C62B34">
        <w:rPr>
          <w:szCs w:val="24"/>
        </w:rPr>
        <w:t xml:space="preserve"> Act</w:t>
      </w:r>
      <w:r w:rsidR="003C6B59">
        <w:rPr>
          <w:szCs w:val="24"/>
        </w:rPr>
        <w:t xml:space="preserve"> </w:t>
      </w:r>
      <w:r w:rsidR="00743458">
        <w:rPr>
          <w:szCs w:val="24"/>
        </w:rPr>
        <w:t>(as amended from 2 July 2018)</w:t>
      </w:r>
      <w:r>
        <w:rPr>
          <w:szCs w:val="24"/>
        </w:rPr>
        <w:t>,</w:t>
      </w:r>
      <w:r w:rsidR="00C62B34" w:rsidRPr="00C62B34">
        <w:rPr>
          <w:szCs w:val="24"/>
        </w:rPr>
        <w:t xml:space="preserve"> an individual</w:t>
      </w:r>
      <w:r w:rsidR="00E904D3">
        <w:rPr>
          <w:szCs w:val="24"/>
        </w:rPr>
        <w:t xml:space="preserve"> is not eligible for </w:t>
      </w:r>
      <w:r w:rsidR="003938FD">
        <w:rPr>
          <w:szCs w:val="24"/>
        </w:rPr>
        <w:t>CCS</w:t>
      </w:r>
      <w:r w:rsidR="00E904D3">
        <w:rPr>
          <w:szCs w:val="24"/>
        </w:rPr>
        <w:t xml:space="preserve"> </w:t>
      </w:r>
      <w:r w:rsidR="003C6B59">
        <w:rPr>
          <w:szCs w:val="24"/>
        </w:rPr>
        <w:t xml:space="preserve">for care provided to a child </w:t>
      </w:r>
      <w:r w:rsidR="00C62B34" w:rsidRPr="00C62B34">
        <w:rPr>
          <w:szCs w:val="24"/>
        </w:rPr>
        <w:t xml:space="preserve">unless the child meets the </w:t>
      </w:r>
      <w:r w:rsidR="00743458">
        <w:rPr>
          <w:szCs w:val="24"/>
        </w:rPr>
        <w:t>“</w:t>
      </w:r>
      <w:r w:rsidR="00C62B34" w:rsidRPr="00C62B34">
        <w:rPr>
          <w:szCs w:val="24"/>
        </w:rPr>
        <w:t>immunisation requirements</w:t>
      </w:r>
      <w:r w:rsidR="00743458">
        <w:rPr>
          <w:szCs w:val="24"/>
        </w:rPr>
        <w:t>” as referred to in subparagraph 85BA(1)(a)(iii)</w:t>
      </w:r>
      <w:r w:rsidR="00A213F0">
        <w:rPr>
          <w:szCs w:val="24"/>
        </w:rPr>
        <w:t xml:space="preserve"> of the </w:t>
      </w:r>
      <w:r w:rsidR="00B12355">
        <w:rPr>
          <w:szCs w:val="24"/>
        </w:rPr>
        <w:t xml:space="preserve">Assistance </w:t>
      </w:r>
      <w:r w:rsidR="00A213F0">
        <w:rPr>
          <w:szCs w:val="24"/>
        </w:rPr>
        <w:t>Act</w:t>
      </w:r>
      <w:r w:rsidR="00C62B34" w:rsidRPr="00C62B34">
        <w:rPr>
          <w:szCs w:val="24"/>
        </w:rPr>
        <w:t xml:space="preserve">. Section 6 of the </w:t>
      </w:r>
      <w:r w:rsidR="00C850A5">
        <w:rPr>
          <w:szCs w:val="24"/>
        </w:rPr>
        <w:t xml:space="preserve">Assistance </w:t>
      </w:r>
      <w:r w:rsidR="00C62B34" w:rsidRPr="00C62B34">
        <w:rPr>
          <w:szCs w:val="24"/>
        </w:rPr>
        <w:t xml:space="preserve">Act </w:t>
      </w:r>
      <w:r w:rsidR="00743458">
        <w:rPr>
          <w:szCs w:val="24"/>
        </w:rPr>
        <w:t>sets out</w:t>
      </w:r>
      <w:r w:rsidR="00C62B34" w:rsidRPr="00C62B34">
        <w:rPr>
          <w:szCs w:val="24"/>
        </w:rPr>
        <w:t xml:space="preserve"> </w:t>
      </w:r>
      <w:r w:rsidR="003938FD">
        <w:rPr>
          <w:szCs w:val="24"/>
        </w:rPr>
        <w:t>th</w:t>
      </w:r>
      <w:r w:rsidR="00743458">
        <w:rPr>
          <w:szCs w:val="24"/>
        </w:rPr>
        <w:t>os</w:t>
      </w:r>
      <w:r w:rsidR="003938FD">
        <w:rPr>
          <w:szCs w:val="24"/>
        </w:rPr>
        <w:t xml:space="preserve">e immunisation requirements. </w:t>
      </w:r>
    </w:p>
    <w:p w14:paraId="322D1AC6" w14:textId="4DEB48BE" w:rsidR="00C62B34" w:rsidRPr="00C62B34" w:rsidRDefault="00700FA9" w:rsidP="00A213F0">
      <w:pPr>
        <w:spacing w:after="240"/>
        <w:jc w:val="both"/>
        <w:rPr>
          <w:szCs w:val="24"/>
        </w:rPr>
      </w:pPr>
      <w:r>
        <w:rPr>
          <w:szCs w:val="24"/>
        </w:rPr>
        <w:t xml:space="preserve">Subsection 6(2) of the </w:t>
      </w:r>
      <w:r w:rsidR="00C850A5">
        <w:rPr>
          <w:szCs w:val="24"/>
        </w:rPr>
        <w:t xml:space="preserve">Assistance </w:t>
      </w:r>
      <w:r>
        <w:rPr>
          <w:szCs w:val="24"/>
        </w:rPr>
        <w:t xml:space="preserve">Act provides that </w:t>
      </w:r>
      <w:r w:rsidR="00C62B34" w:rsidRPr="00C62B34">
        <w:rPr>
          <w:szCs w:val="24"/>
        </w:rPr>
        <w:t xml:space="preserve">a child </w:t>
      </w:r>
      <w:proofErr w:type="gramStart"/>
      <w:r w:rsidR="00C62B34" w:rsidRPr="00C62B34">
        <w:rPr>
          <w:szCs w:val="24"/>
        </w:rPr>
        <w:t>meets</w:t>
      </w:r>
      <w:proofErr w:type="gramEnd"/>
      <w:r w:rsidR="00C62B34" w:rsidRPr="00C62B34">
        <w:rPr>
          <w:szCs w:val="24"/>
        </w:rPr>
        <w:t xml:space="preserve"> the immunisation requirements i</w:t>
      </w:r>
      <w:r w:rsidR="003938FD">
        <w:rPr>
          <w:szCs w:val="24"/>
        </w:rPr>
        <w:t>f the child has been immunised.</w:t>
      </w:r>
      <w:r w:rsidR="008E77FA">
        <w:rPr>
          <w:szCs w:val="24"/>
        </w:rPr>
        <w:t xml:space="preserve"> </w:t>
      </w:r>
      <w:r w:rsidR="00C62B34" w:rsidRPr="003938FD">
        <w:rPr>
          <w:b/>
          <w:i/>
          <w:szCs w:val="24"/>
        </w:rPr>
        <w:t>Immunised</w:t>
      </w:r>
      <w:r w:rsidR="00C62B34" w:rsidRPr="00C62B34">
        <w:rPr>
          <w:szCs w:val="24"/>
        </w:rPr>
        <w:t xml:space="preserve"> is defined in subsection 3(1) of the </w:t>
      </w:r>
      <w:r w:rsidR="00B12355">
        <w:rPr>
          <w:szCs w:val="24"/>
        </w:rPr>
        <w:t xml:space="preserve">Assistance </w:t>
      </w:r>
      <w:r w:rsidR="00C62B34" w:rsidRPr="00C62B34">
        <w:rPr>
          <w:szCs w:val="24"/>
        </w:rPr>
        <w:t>Act as meaning immunised in accordance with a standard or catch up vaccination schedule determin</w:t>
      </w:r>
      <w:r w:rsidR="008E77FA">
        <w:rPr>
          <w:szCs w:val="24"/>
        </w:rPr>
        <w:t xml:space="preserve">ed under section 4 of the </w:t>
      </w:r>
      <w:r w:rsidR="00B12355">
        <w:rPr>
          <w:szCs w:val="24"/>
        </w:rPr>
        <w:t xml:space="preserve">Assistance </w:t>
      </w:r>
      <w:r w:rsidR="008E77FA">
        <w:rPr>
          <w:szCs w:val="24"/>
        </w:rPr>
        <w:t xml:space="preserve">Act. </w:t>
      </w:r>
      <w:r w:rsidR="00C62B34" w:rsidRPr="00C62B34">
        <w:rPr>
          <w:szCs w:val="24"/>
        </w:rPr>
        <w:t xml:space="preserve">Under section 4 of the </w:t>
      </w:r>
      <w:r w:rsidR="00B12355">
        <w:rPr>
          <w:szCs w:val="24"/>
        </w:rPr>
        <w:t xml:space="preserve">Assistance </w:t>
      </w:r>
      <w:r w:rsidR="00C62B34" w:rsidRPr="00C62B34">
        <w:rPr>
          <w:szCs w:val="24"/>
        </w:rPr>
        <w:t xml:space="preserve">Act, the Minister </w:t>
      </w:r>
      <w:proofErr w:type="gramStart"/>
      <w:r w:rsidR="00C62B34" w:rsidRPr="00C62B34">
        <w:rPr>
          <w:szCs w:val="24"/>
        </w:rPr>
        <w:t>must, by legislative instrument, determine</w:t>
      </w:r>
      <w:proofErr w:type="gramEnd"/>
      <w:r w:rsidR="00C62B34" w:rsidRPr="00C62B34">
        <w:rPr>
          <w:szCs w:val="24"/>
        </w:rPr>
        <w:t xml:space="preserve"> one or more of each of those schedules.</w:t>
      </w:r>
    </w:p>
    <w:p w14:paraId="1E7D5213" w14:textId="749574B1" w:rsidR="00C62B34" w:rsidRPr="00C62B34" w:rsidRDefault="004B5587" w:rsidP="00A213F0">
      <w:pPr>
        <w:spacing w:after="240"/>
        <w:jc w:val="both"/>
        <w:rPr>
          <w:szCs w:val="24"/>
        </w:rPr>
      </w:pPr>
      <w:r>
        <w:rPr>
          <w:szCs w:val="24"/>
        </w:rPr>
        <w:t>Part 3 of the</w:t>
      </w:r>
      <w:r w:rsidR="003938FD">
        <w:rPr>
          <w:szCs w:val="24"/>
        </w:rPr>
        <w:t xml:space="preserve"> Determination </w:t>
      </w:r>
      <w:r>
        <w:rPr>
          <w:szCs w:val="24"/>
        </w:rPr>
        <w:t xml:space="preserve">provides for the </w:t>
      </w:r>
      <w:r w:rsidR="00C62B34" w:rsidRPr="00C62B34">
        <w:rPr>
          <w:szCs w:val="24"/>
        </w:rPr>
        <w:t>standard vaccination schedules and catch up vaccination schedules for the p</w:t>
      </w:r>
      <w:r>
        <w:rPr>
          <w:szCs w:val="24"/>
        </w:rPr>
        <w:t xml:space="preserve">urposes of section 4 of the </w:t>
      </w:r>
      <w:r w:rsidR="00B12355">
        <w:rPr>
          <w:szCs w:val="24"/>
        </w:rPr>
        <w:t xml:space="preserve">Assistance </w:t>
      </w:r>
      <w:r>
        <w:rPr>
          <w:szCs w:val="24"/>
        </w:rPr>
        <w:t xml:space="preserve">Act, </w:t>
      </w:r>
      <w:r w:rsidR="00D411B5">
        <w:rPr>
          <w:szCs w:val="24"/>
        </w:rPr>
        <w:t>and</w:t>
      </w:r>
      <w:r>
        <w:rPr>
          <w:szCs w:val="24"/>
        </w:rPr>
        <w:t xml:space="preserve"> replaces the previous Vaccination </w:t>
      </w:r>
      <w:proofErr w:type="gramStart"/>
      <w:r w:rsidR="00A270B0">
        <w:rPr>
          <w:szCs w:val="24"/>
        </w:rPr>
        <w:t>Schedules</w:t>
      </w:r>
      <w:r w:rsidR="00E904D3">
        <w:rPr>
          <w:szCs w:val="24"/>
        </w:rPr>
        <w:t xml:space="preserve"> which</w:t>
      </w:r>
      <w:proofErr w:type="gramEnd"/>
      <w:r w:rsidR="00E904D3">
        <w:rPr>
          <w:szCs w:val="24"/>
        </w:rPr>
        <w:t xml:space="preserve"> </w:t>
      </w:r>
      <w:r w:rsidR="00D411B5">
        <w:rPr>
          <w:szCs w:val="24"/>
        </w:rPr>
        <w:t>are</w:t>
      </w:r>
      <w:r>
        <w:rPr>
          <w:szCs w:val="24"/>
        </w:rPr>
        <w:t xml:space="preserve"> revoked under section 4 of the Determination. </w:t>
      </w:r>
    </w:p>
    <w:p w14:paraId="2F660FC3" w14:textId="38FC73B4" w:rsidR="00551586" w:rsidRDefault="00700FA9" w:rsidP="00A213F0">
      <w:pPr>
        <w:spacing w:after="240"/>
        <w:jc w:val="both"/>
        <w:rPr>
          <w:szCs w:val="24"/>
        </w:rPr>
      </w:pPr>
      <w:r w:rsidRPr="008E77FA">
        <w:rPr>
          <w:szCs w:val="24"/>
        </w:rPr>
        <w:t xml:space="preserve">Subsection 6(6) of the </w:t>
      </w:r>
      <w:r w:rsidR="00C850A5">
        <w:rPr>
          <w:szCs w:val="24"/>
        </w:rPr>
        <w:t xml:space="preserve">Assistance </w:t>
      </w:r>
      <w:r w:rsidRPr="008E77FA">
        <w:rPr>
          <w:szCs w:val="24"/>
        </w:rPr>
        <w:t xml:space="preserve">Act provides that a child </w:t>
      </w:r>
      <w:proofErr w:type="gramStart"/>
      <w:r w:rsidRPr="008E77FA">
        <w:rPr>
          <w:szCs w:val="24"/>
        </w:rPr>
        <w:t>meets</w:t>
      </w:r>
      <w:proofErr w:type="gramEnd"/>
      <w:r w:rsidRPr="008E77FA">
        <w:rPr>
          <w:szCs w:val="24"/>
        </w:rPr>
        <w:t xml:space="preserve"> the immunisation requirements if the Secretary determines in writing that the child meets the immunisation requirements. In making a determination under subsection </w:t>
      </w:r>
      <w:proofErr w:type="gramStart"/>
      <w:r w:rsidRPr="008E77FA">
        <w:rPr>
          <w:szCs w:val="24"/>
        </w:rPr>
        <w:t>6(6)</w:t>
      </w:r>
      <w:proofErr w:type="gramEnd"/>
      <w:r w:rsidRPr="008E77FA">
        <w:rPr>
          <w:szCs w:val="24"/>
        </w:rPr>
        <w:t xml:space="preserve"> the Secretary must comply with any decision-making principles made by the Minister for the purposes of subsection 6(7).</w:t>
      </w:r>
    </w:p>
    <w:p w14:paraId="41552E25" w14:textId="5D543DDA" w:rsidR="00551586" w:rsidRPr="00551586" w:rsidRDefault="00551586" w:rsidP="00A213F0">
      <w:pPr>
        <w:spacing w:after="240"/>
        <w:jc w:val="both"/>
        <w:rPr>
          <w:szCs w:val="24"/>
        </w:rPr>
      </w:pPr>
      <w:proofErr w:type="gramStart"/>
      <w:r w:rsidRPr="00551586">
        <w:rPr>
          <w:szCs w:val="24"/>
        </w:rPr>
        <w:t xml:space="preserve">When the Australian Government introduced the No Jab, No Pay policy through amendments </w:t>
      </w:r>
      <w:r w:rsidRPr="00F93A8D">
        <w:rPr>
          <w:szCs w:val="24"/>
        </w:rPr>
        <w:t>to the Act (through the</w:t>
      </w:r>
      <w:r w:rsidRPr="00E56685">
        <w:rPr>
          <w:i/>
          <w:szCs w:val="24"/>
        </w:rPr>
        <w:t xml:space="preserve"> Social Services Legislation Amendment (No Jab, No Pay) Act 2015</w:t>
      </w:r>
      <w:r w:rsidRPr="00551586">
        <w:rPr>
          <w:szCs w:val="24"/>
        </w:rPr>
        <w:t xml:space="preserve">), it recognised that there were going to be a small number of special circumstances in which it was not possible for particular children to be immunised in accordance with the standard or </w:t>
      </w:r>
      <w:r w:rsidR="009D4D9A">
        <w:rPr>
          <w:szCs w:val="24"/>
        </w:rPr>
        <w:t>catch-up vaccination schedules.</w:t>
      </w:r>
      <w:proofErr w:type="gramEnd"/>
    </w:p>
    <w:p w14:paraId="2A8A82A0" w14:textId="3AC81A1C" w:rsidR="00551586" w:rsidRPr="00551586" w:rsidRDefault="009D4D9A" w:rsidP="00A213F0">
      <w:pPr>
        <w:spacing w:after="240"/>
        <w:jc w:val="both"/>
        <w:rPr>
          <w:szCs w:val="24"/>
        </w:rPr>
      </w:pPr>
      <w:r>
        <w:rPr>
          <w:szCs w:val="24"/>
        </w:rPr>
        <w:t xml:space="preserve">The objective of Part 2 of the Determination </w:t>
      </w:r>
      <w:r w:rsidR="00551586" w:rsidRPr="00551586">
        <w:rPr>
          <w:szCs w:val="24"/>
        </w:rPr>
        <w:t xml:space="preserve">is to </w:t>
      </w:r>
      <w:r w:rsidR="00D411B5">
        <w:rPr>
          <w:szCs w:val="24"/>
        </w:rPr>
        <w:t>enable the</w:t>
      </w:r>
      <w:r w:rsidR="00551586" w:rsidRPr="00551586">
        <w:rPr>
          <w:szCs w:val="24"/>
        </w:rPr>
        <w:t xml:space="preserve"> Secretary, in appropriate circumstances, to determine that a child meets the immunisation requirements even if the child is not immunised. If the Secretary makes such a determina</w:t>
      </w:r>
      <w:r w:rsidR="00114054">
        <w:rPr>
          <w:szCs w:val="24"/>
        </w:rPr>
        <w:t>tion after having regard to the Determination</w:t>
      </w:r>
      <w:r w:rsidR="00551586" w:rsidRPr="00551586">
        <w:rPr>
          <w:szCs w:val="24"/>
        </w:rPr>
        <w:t xml:space="preserve">, then a parent or </w:t>
      </w:r>
      <w:r w:rsidR="002862C5">
        <w:rPr>
          <w:szCs w:val="24"/>
        </w:rPr>
        <w:t>guardian</w:t>
      </w:r>
      <w:r w:rsidR="002862C5" w:rsidRPr="00551586">
        <w:rPr>
          <w:szCs w:val="24"/>
        </w:rPr>
        <w:t xml:space="preserve"> </w:t>
      </w:r>
      <w:r w:rsidR="00551586" w:rsidRPr="00551586">
        <w:rPr>
          <w:szCs w:val="24"/>
        </w:rPr>
        <w:t xml:space="preserve">of the child </w:t>
      </w:r>
      <w:r w:rsidR="008D48E1">
        <w:rPr>
          <w:szCs w:val="24"/>
        </w:rPr>
        <w:t>may</w:t>
      </w:r>
      <w:r w:rsidR="008D48E1" w:rsidRPr="00551586">
        <w:rPr>
          <w:szCs w:val="24"/>
        </w:rPr>
        <w:t xml:space="preserve"> </w:t>
      </w:r>
      <w:r w:rsidR="00551586" w:rsidRPr="00551586">
        <w:rPr>
          <w:szCs w:val="24"/>
        </w:rPr>
        <w:t xml:space="preserve">remain eligible for </w:t>
      </w:r>
      <w:r>
        <w:rPr>
          <w:szCs w:val="24"/>
        </w:rPr>
        <w:t xml:space="preserve">CCS or </w:t>
      </w:r>
      <w:r w:rsidR="00AE28AD">
        <w:rPr>
          <w:szCs w:val="24"/>
        </w:rPr>
        <w:t xml:space="preserve">ACCS, and </w:t>
      </w:r>
      <w:r w:rsidR="00114054">
        <w:rPr>
          <w:szCs w:val="24"/>
        </w:rPr>
        <w:t xml:space="preserve">an approved provider providing care for the child </w:t>
      </w:r>
      <w:r w:rsidR="008D48E1">
        <w:rPr>
          <w:szCs w:val="24"/>
        </w:rPr>
        <w:t>may</w:t>
      </w:r>
      <w:r w:rsidR="00114054">
        <w:rPr>
          <w:szCs w:val="24"/>
        </w:rPr>
        <w:t xml:space="preserve"> be eligible for </w:t>
      </w:r>
      <w:r>
        <w:rPr>
          <w:szCs w:val="24"/>
        </w:rPr>
        <w:t xml:space="preserve">ACCS (child wellbeing). </w:t>
      </w:r>
    </w:p>
    <w:p w14:paraId="055005FB" w14:textId="299E8282" w:rsidR="00A213F0" w:rsidRDefault="009D4D9A" w:rsidP="00A213F0">
      <w:pPr>
        <w:spacing w:after="240"/>
        <w:jc w:val="both"/>
        <w:rPr>
          <w:lang w:eastAsia="en-AU"/>
        </w:rPr>
      </w:pPr>
      <w:r>
        <w:rPr>
          <w:szCs w:val="24"/>
        </w:rPr>
        <w:t>Part 2</w:t>
      </w:r>
      <w:r w:rsidR="00551586" w:rsidRPr="00551586">
        <w:rPr>
          <w:szCs w:val="24"/>
        </w:rPr>
        <w:t xml:space="preserve"> </w:t>
      </w:r>
      <w:r w:rsidR="00144429" w:rsidRPr="00551586">
        <w:rPr>
          <w:szCs w:val="24"/>
        </w:rPr>
        <w:t>ensure</w:t>
      </w:r>
      <w:r w:rsidR="00F62563">
        <w:rPr>
          <w:szCs w:val="24"/>
        </w:rPr>
        <w:t>s</w:t>
      </w:r>
      <w:r w:rsidR="00144429" w:rsidRPr="00551586">
        <w:rPr>
          <w:szCs w:val="24"/>
        </w:rPr>
        <w:t xml:space="preserve"> that individuals</w:t>
      </w:r>
      <w:r w:rsidR="00F62563">
        <w:rPr>
          <w:szCs w:val="24"/>
        </w:rPr>
        <w:t>,</w:t>
      </w:r>
      <w:r w:rsidR="00144429" w:rsidRPr="00551586">
        <w:rPr>
          <w:szCs w:val="24"/>
        </w:rPr>
        <w:t xml:space="preserve"> in very limited, legitimate and demonstrated circumstances</w:t>
      </w:r>
      <w:r w:rsidR="004C1F3D">
        <w:rPr>
          <w:szCs w:val="24"/>
        </w:rPr>
        <w:t xml:space="preserve"> </w:t>
      </w:r>
      <w:r w:rsidR="008D48E1">
        <w:rPr>
          <w:szCs w:val="24"/>
        </w:rPr>
        <w:t>may</w:t>
      </w:r>
      <w:r w:rsidR="004C1F3D">
        <w:rPr>
          <w:szCs w:val="24"/>
        </w:rPr>
        <w:t xml:space="preserve"> remain eligible for CCS or ACCS notwithstanding </w:t>
      </w:r>
      <w:r w:rsidR="00144429" w:rsidRPr="00551586">
        <w:rPr>
          <w:szCs w:val="24"/>
        </w:rPr>
        <w:t xml:space="preserve">their </w:t>
      </w:r>
      <w:r w:rsidR="00144429">
        <w:rPr>
          <w:szCs w:val="24"/>
        </w:rPr>
        <w:t xml:space="preserve">inability to vaccinate </w:t>
      </w:r>
      <w:r w:rsidR="004C1F3D">
        <w:rPr>
          <w:szCs w:val="24"/>
        </w:rPr>
        <w:t>their</w:t>
      </w:r>
      <w:r w:rsidR="00144429">
        <w:rPr>
          <w:szCs w:val="24"/>
        </w:rPr>
        <w:t xml:space="preserve"> child. It </w:t>
      </w:r>
      <w:r w:rsidR="00551586" w:rsidRPr="00551586">
        <w:rPr>
          <w:szCs w:val="24"/>
        </w:rPr>
        <w:t>ensure</w:t>
      </w:r>
      <w:r w:rsidR="00F62563">
        <w:rPr>
          <w:szCs w:val="24"/>
        </w:rPr>
        <w:t>s</w:t>
      </w:r>
      <w:r w:rsidR="00551586" w:rsidRPr="00551586">
        <w:rPr>
          <w:szCs w:val="24"/>
        </w:rPr>
        <w:t xml:space="preserve"> that only parents and </w:t>
      </w:r>
      <w:r w:rsidR="002862C5">
        <w:rPr>
          <w:szCs w:val="24"/>
        </w:rPr>
        <w:t>guardians</w:t>
      </w:r>
      <w:r w:rsidR="002862C5" w:rsidRPr="00551586">
        <w:rPr>
          <w:szCs w:val="24"/>
        </w:rPr>
        <w:t xml:space="preserve"> </w:t>
      </w:r>
      <w:r w:rsidR="00551586" w:rsidRPr="00551586">
        <w:rPr>
          <w:szCs w:val="24"/>
        </w:rPr>
        <w:t>with a desire but genuine inability to vaccinate</w:t>
      </w:r>
      <w:r w:rsidR="008D48E1">
        <w:rPr>
          <w:szCs w:val="24"/>
        </w:rPr>
        <w:t xml:space="preserve"> their </w:t>
      </w:r>
      <w:proofErr w:type="gramStart"/>
      <w:r w:rsidR="008D48E1">
        <w:rPr>
          <w:szCs w:val="24"/>
        </w:rPr>
        <w:t>child</w:t>
      </w:r>
      <w:proofErr w:type="gramEnd"/>
      <w:r w:rsidR="00551586" w:rsidRPr="00551586">
        <w:rPr>
          <w:szCs w:val="24"/>
        </w:rPr>
        <w:t xml:space="preserve"> are able to continue to meet the immunisation requirements.</w:t>
      </w:r>
      <w:r w:rsidR="00B60DE2">
        <w:rPr>
          <w:szCs w:val="24"/>
        </w:rPr>
        <w:t xml:space="preserve"> </w:t>
      </w:r>
      <w:r w:rsidR="00551586" w:rsidRPr="00551586">
        <w:rPr>
          <w:szCs w:val="24"/>
        </w:rPr>
        <w:t>I</w:t>
      </w:r>
      <w:r w:rsidR="00D82722">
        <w:rPr>
          <w:szCs w:val="24"/>
        </w:rPr>
        <w:t xml:space="preserve">n administering </w:t>
      </w:r>
      <w:r w:rsidR="00B60DE2">
        <w:rPr>
          <w:szCs w:val="24"/>
        </w:rPr>
        <w:t>Part 2 of the Determination</w:t>
      </w:r>
      <w:r w:rsidR="00551586" w:rsidRPr="00551586">
        <w:rPr>
          <w:szCs w:val="24"/>
        </w:rPr>
        <w:t xml:space="preserve">, the circumstances of each decision </w:t>
      </w:r>
      <w:proofErr w:type="gramStart"/>
      <w:r w:rsidR="004C1F3D">
        <w:rPr>
          <w:szCs w:val="24"/>
        </w:rPr>
        <w:t>will be</w:t>
      </w:r>
      <w:r w:rsidR="004C1F3D" w:rsidRPr="00551586">
        <w:rPr>
          <w:szCs w:val="24"/>
        </w:rPr>
        <w:t xml:space="preserve"> </w:t>
      </w:r>
      <w:r w:rsidR="00551586" w:rsidRPr="00551586">
        <w:rPr>
          <w:szCs w:val="24"/>
        </w:rPr>
        <w:t>reviewed</w:t>
      </w:r>
      <w:proofErr w:type="gramEnd"/>
      <w:r w:rsidR="00551586" w:rsidRPr="00551586">
        <w:rPr>
          <w:szCs w:val="24"/>
        </w:rPr>
        <w:t xml:space="preserve"> at the end of a period</w:t>
      </w:r>
      <w:r w:rsidR="00F375C0">
        <w:rPr>
          <w:szCs w:val="24"/>
        </w:rPr>
        <w:t xml:space="preserve"> referred in section 8 of the Determination, as</w:t>
      </w:r>
      <w:r w:rsidR="00551586" w:rsidRPr="00551586">
        <w:rPr>
          <w:szCs w:val="24"/>
        </w:rPr>
        <w:t xml:space="preserve"> determined by the decision maker on a case-by-case basis. </w:t>
      </w:r>
    </w:p>
    <w:p w14:paraId="0BA6D500" w14:textId="425656E2" w:rsidR="00454584" w:rsidRPr="00A52EF9" w:rsidRDefault="00454584" w:rsidP="00A52EF9">
      <w:pPr>
        <w:pStyle w:val="Heading2"/>
        <w:rPr>
          <w:rFonts w:eastAsia="Times New Roman"/>
          <w:lang w:eastAsia="en-AU"/>
        </w:rPr>
      </w:pPr>
      <w:r w:rsidRPr="00A52EF9">
        <w:rPr>
          <w:rFonts w:eastAsia="Times New Roman"/>
          <w:lang w:eastAsia="en-AU"/>
        </w:rPr>
        <w:t>Consultation</w:t>
      </w:r>
    </w:p>
    <w:p w14:paraId="6553C0D4" w14:textId="3F70A09B" w:rsidR="00EB03E2" w:rsidRDefault="00B72A81" w:rsidP="00C86722">
      <w:pPr>
        <w:spacing w:after="240"/>
        <w:jc w:val="both"/>
      </w:pPr>
      <w:r w:rsidRPr="00A213F0">
        <w:t>T</w:t>
      </w:r>
      <w:r w:rsidR="00EB03E2">
        <w:t xml:space="preserve">he Department of Health, the Department of Social Services and the Department of Human Services </w:t>
      </w:r>
      <w:proofErr w:type="gramStart"/>
      <w:r w:rsidR="00EB03E2">
        <w:t>were consulted</w:t>
      </w:r>
      <w:proofErr w:type="gramEnd"/>
      <w:r w:rsidR="00EB03E2">
        <w:t xml:space="preserve"> during the drafting of the Determination. </w:t>
      </w:r>
      <w:r w:rsidR="00C86722">
        <w:rPr>
          <w:lang w:eastAsia="en-AU"/>
        </w:rPr>
        <w:t>These consultations</w:t>
      </w:r>
      <w:r w:rsidR="00C86722" w:rsidRPr="009B0102">
        <w:rPr>
          <w:lang w:eastAsia="en-AU"/>
        </w:rPr>
        <w:t xml:space="preserve"> </w:t>
      </w:r>
      <w:r w:rsidR="00C86722">
        <w:rPr>
          <w:lang w:eastAsia="en-AU"/>
        </w:rPr>
        <w:t>ensure that</w:t>
      </w:r>
      <w:r w:rsidR="00C86722" w:rsidRPr="009B0102">
        <w:rPr>
          <w:lang w:eastAsia="en-AU"/>
        </w:rPr>
        <w:t xml:space="preserve"> the Determination has been made in accordance with</w:t>
      </w:r>
      <w:r w:rsidR="00C86722">
        <w:rPr>
          <w:lang w:eastAsia="en-AU"/>
        </w:rPr>
        <w:t xml:space="preserve"> the amendment</w:t>
      </w:r>
      <w:r w:rsidR="008D48E1">
        <w:rPr>
          <w:lang w:eastAsia="en-AU"/>
        </w:rPr>
        <w:t>s</w:t>
      </w:r>
      <w:r w:rsidR="00C86722">
        <w:rPr>
          <w:lang w:eastAsia="en-AU"/>
        </w:rPr>
        <w:t xml:space="preserve"> to the </w:t>
      </w:r>
      <w:r w:rsidR="00C86722" w:rsidRPr="009B0102">
        <w:rPr>
          <w:i/>
          <w:lang w:eastAsia="en-AU"/>
        </w:rPr>
        <w:t xml:space="preserve">National Health (Immunisation Program — Designated Vaccines) Determination 2014 (No. 1) </w:t>
      </w:r>
      <w:r w:rsidR="00C86722">
        <w:rPr>
          <w:lang w:eastAsia="en-AU"/>
        </w:rPr>
        <w:t>in relation to the vaccination schedules, and that the Department of Human Services</w:t>
      </w:r>
      <w:r w:rsidR="009561C2">
        <w:rPr>
          <w:lang w:eastAsia="en-AU"/>
        </w:rPr>
        <w:t xml:space="preserve"> has ample time to implement </w:t>
      </w:r>
      <w:r w:rsidR="00C86722">
        <w:rPr>
          <w:lang w:eastAsia="en-AU"/>
        </w:rPr>
        <w:t>systemic</w:t>
      </w:r>
      <w:r w:rsidR="009561C2">
        <w:rPr>
          <w:lang w:eastAsia="en-AU"/>
        </w:rPr>
        <w:t xml:space="preserve"> and administrative processes</w:t>
      </w:r>
      <w:r w:rsidR="007C3A46">
        <w:rPr>
          <w:lang w:eastAsia="en-AU"/>
        </w:rPr>
        <w:t xml:space="preserve"> to implement these changes</w:t>
      </w:r>
      <w:r w:rsidR="00C86722">
        <w:rPr>
          <w:lang w:eastAsia="en-AU"/>
        </w:rPr>
        <w:t xml:space="preserve">. </w:t>
      </w:r>
      <w:r w:rsidR="00DA6BF7">
        <w:rPr>
          <w:lang w:eastAsia="en-AU"/>
        </w:rPr>
        <w:t>These consultations also ensure that the Determination is consistent with whole of government approach towards the No Jab No Pay measures.</w:t>
      </w:r>
    </w:p>
    <w:p w14:paraId="48AE8026" w14:textId="4AE619B6" w:rsidR="00A56EDB" w:rsidRPr="00A213F0" w:rsidRDefault="00EB03E2" w:rsidP="00C86722">
      <w:pPr>
        <w:spacing w:after="240"/>
        <w:jc w:val="both"/>
      </w:pPr>
      <w:r>
        <w:t xml:space="preserve">Targeted consultation was undertaken with </w:t>
      </w:r>
      <w:proofErr w:type="gramStart"/>
      <w:r>
        <w:t>child care</w:t>
      </w:r>
      <w:proofErr w:type="gramEnd"/>
      <w:r>
        <w:t xml:space="preserve"> stakeholders</w:t>
      </w:r>
      <w:r w:rsidR="003F73BC">
        <w:t>,</w:t>
      </w:r>
      <w:r w:rsidR="00D70E15">
        <w:t xml:space="preserve"> </w:t>
      </w:r>
      <w:r w:rsidR="003F73BC">
        <w:t>including child care providers,</w:t>
      </w:r>
      <w:r>
        <w:t xml:space="preserve"> advising of the review of the previous Immunisation Principles and the previous Vaccination Schedules to support the</w:t>
      </w:r>
      <w:r w:rsidR="00D70E15">
        <w:t xml:space="preserve"> implementation of the</w:t>
      </w:r>
      <w:r>
        <w:t xml:space="preserve"> package and CCS.</w:t>
      </w:r>
      <w:r w:rsidR="00B12355">
        <w:t xml:space="preserve"> </w:t>
      </w:r>
    </w:p>
    <w:p w14:paraId="0C056F95" w14:textId="656D8A9A" w:rsidR="002A1E02" w:rsidRDefault="002A1E02" w:rsidP="00C86722">
      <w:pPr>
        <w:pStyle w:val="Heading2"/>
        <w:jc w:val="both"/>
        <w:rPr>
          <w:rFonts w:eastAsia="Times New Roman"/>
          <w:lang w:eastAsia="en-AU"/>
        </w:rPr>
      </w:pPr>
      <w:r w:rsidRPr="00847406">
        <w:rPr>
          <w:rFonts w:eastAsia="Times New Roman"/>
          <w:lang w:eastAsia="en-AU"/>
        </w:rPr>
        <w:t>Regulat</w:t>
      </w:r>
      <w:r w:rsidR="003F73BC">
        <w:rPr>
          <w:rFonts w:eastAsia="Times New Roman"/>
          <w:lang w:eastAsia="en-AU"/>
        </w:rPr>
        <w:t>ion</w:t>
      </w:r>
      <w:r w:rsidRPr="00847406">
        <w:rPr>
          <w:rFonts w:eastAsia="Times New Roman"/>
          <w:lang w:eastAsia="en-AU"/>
        </w:rPr>
        <w:t xml:space="preserve"> Impact Statement</w:t>
      </w:r>
    </w:p>
    <w:p w14:paraId="4D4BFD9F" w14:textId="27CFF1EC" w:rsidR="00B12355" w:rsidRDefault="00D062F0" w:rsidP="00C86722">
      <w:pPr>
        <w:jc w:val="both"/>
      </w:pPr>
      <w:r>
        <w:t>Th</w:t>
      </w:r>
      <w:r w:rsidR="008429F3">
        <w:t xml:space="preserve">is </w:t>
      </w:r>
      <w:r w:rsidR="00B72A81">
        <w:t>D</w:t>
      </w:r>
      <w:r>
        <w:t xml:space="preserve">etermination </w:t>
      </w:r>
      <w:r w:rsidR="00B72A81">
        <w:t>is machinery</w:t>
      </w:r>
      <w:r>
        <w:t xml:space="preserve"> in nature</w:t>
      </w:r>
      <w:r w:rsidR="00EB03E2">
        <w:t xml:space="preserve"> </w:t>
      </w:r>
      <w:r w:rsidR="008429F3">
        <w:t>as it largely replicates existing measures in the previous Vaccination Schedules and previous Immunisation Principles</w:t>
      </w:r>
      <w:r w:rsidR="00EB03E2">
        <w:t xml:space="preserve"> and </w:t>
      </w:r>
      <w:r>
        <w:t xml:space="preserve">will not </w:t>
      </w:r>
      <w:proofErr w:type="gramStart"/>
      <w:r>
        <w:t>impact on</w:t>
      </w:r>
      <w:proofErr w:type="gramEnd"/>
      <w:r>
        <w:t xml:space="preserve"> business activity and will have no or minimal compliance costs or competition impact. </w:t>
      </w:r>
    </w:p>
    <w:p w14:paraId="6C47C648" w14:textId="77777777" w:rsidR="00B12355" w:rsidRDefault="00B12355" w:rsidP="00C86722">
      <w:pPr>
        <w:jc w:val="both"/>
      </w:pPr>
    </w:p>
    <w:p w14:paraId="14FFF6E4" w14:textId="3BC7C70D" w:rsidR="00A56EDB" w:rsidRDefault="00B12355" w:rsidP="00C86722">
      <w:pPr>
        <w:jc w:val="both"/>
      </w:pPr>
      <w:r>
        <w:t xml:space="preserve">To reduce red tape, the requirements for CCS from the </w:t>
      </w:r>
      <w:r w:rsidR="00AD38BF">
        <w:t>p</w:t>
      </w:r>
      <w:r>
        <w:t xml:space="preserve">revious Immunisation Principles and the </w:t>
      </w:r>
      <w:r w:rsidR="00AD38BF">
        <w:t>p</w:t>
      </w:r>
      <w:r>
        <w:t xml:space="preserve">revious Vaccination Schedules </w:t>
      </w:r>
      <w:proofErr w:type="gramStart"/>
      <w:r>
        <w:t>were combined</w:t>
      </w:r>
      <w:proofErr w:type="gramEnd"/>
      <w:r>
        <w:t xml:space="preserve"> into one legislative instrument rather than two. </w:t>
      </w:r>
    </w:p>
    <w:p w14:paraId="139216B4" w14:textId="77777777" w:rsidR="00604EDB" w:rsidRDefault="00604EDB" w:rsidP="00C86722">
      <w:pPr>
        <w:jc w:val="both"/>
      </w:pPr>
    </w:p>
    <w:p w14:paraId="1F673C7D" w14:textId="0266A9E3" w:rsidR="00A56EDB" w:rsidRDefault="00604EDB" w:rsidP="00C86722">
      <w:pPr>
        <w:jc w:val="both"/>
      </w:pPr>
      <w:r>
        <w:t>The Office of Best Practice Regulation (</w:t>
      </w:r>
      <w:r w:rsidR="00B72A81">
        <w:t>OBPR</w:t>
      </w:r>
      <w:r>
        <w:t>)</w:t>
      </w:r>
      <w:r w:rsidR="00B72A81">
        <w:t xml:space="preserve"> assessed and determined a R</w:t>
      </w:r>
      <w:r w:rsidR="00C86722">
        <w:t>egulat</w:t>
      </w:r>
      <w:r w:rsidR="003F73BC">
        <w:t>ion</w:t>
      </w:r>
      <w:r w:rsidR="00C86722">
        <w:t xml:space="preserve"> </w:t>
      </w:r>
      <w:r w:rsidR="00B72A81">
        <w:t>I</w:t>
      </w:r>
      <w:r w:rsidR="00C86722">
        <w:t xml:space="preserve">mpact </w:t>
      </w:r>
      <w:r w:rsidR="00B72A81">
        <w:t>S</w:t>
      </w:r>
      <w:r w:rsidR="00C86722">
        <w:t>tatement</w:t>
      </w:r>
      <w:r w:rsidR="00B72A81">
        <w:t xml:space="preserve"> is not required for the Determination</w:t>
      </w:r>
      <w:r w:rsidR="008429F3">
        <w:t xml:space="preserve"> </w:t>
      </w:r>
      <w:r>
        <w:t>(OBPR </w:t>
      </w:r>
      <w:r w:rsidR="00B72A81">
        <w:t>reference:  22401).</w:t>
      </w:r>
    </w:p>
    <w:p w14:paraId="718E5667" w14:textId="77777777" w:rsidR="002A1E02" w:rsidRDefault="002A1E02" w:rsidP="00C86722">
      <w:pPr>
        <w:pStyle w:val="Heading2"/>
        <w:jc w:val="both"/>
        <w:rPr>
          <w:rFonts w:eastAsia="Times New Roman"/>
          <w:lang w:eastAsia="en-AU"/>
        </w:rPr>
      </w:pPr>
      <w:r w:rsidRPr="009C6520">
        <w:rPr>
          <w:rFonts w:eastAsia="Times New Roman"/>
          <w:lang w:eastAsia="en-AU"/>
        </w:rPr>
        <w:t>Authority</w:t>
      </w:r>
    </w:p>
    <w:p w14:paraId="6861B05D" w14:textId="38C46FE3" w:rsidR="00A52EF9" w:rsidRPr="007F0E62" w:rsidRDefault="00451AD6" w:rsidP="00C86722">
      <w:pPr>
        <w:jc w:val="both"/>
        <w:rPr>
          <w:u w:val="single"/>
          <w:lang w:eastAsia="en-AU"/>
        </w:rPr>
      </w:pPr>
      <w:r>
        <w:rPr>
          <w:lang w:eastAsia="en-AU"/>
        </w:rPr>
        <w:t>The</w:t>
      </w:r>
      <w:r w:rsidR="00A56EDB" w:rsidRPr="00A56EDB">
        <w:t xml:space="preserve"> </w:t>
      </w:r>
      <w:r w:rsidR="00A56EDB" w:rsidRPr="007F0E62">
        <w:rPr>
          <w:lang w:eastAsia="en-AU"/>
        </w:rPr>
        <w:t>Determination</w:t>
      </w:r>
      <w:r w:rsidR="00A56EDB" w:rsidRPr="00A56EDB">
        <w:rPr>
          <w:i/>
          <w:lang w:eastAsia="en-AU"/>
        </w:rPr>
        <w:t xml:space="preserve"> </w:t>
      </w:r>
      <w:proofErr w:type="gramStart"/>
      <w:r>
        <w:t>is made</w:t>
      </w:r>
      <w:proofErr w:type="gramEnd"/>
      <w:r>
        <w:t xml:space="preserve"> under</w:t>
      </w:r>
      <w:r w:rsidR="00A56EDB" w:rsidRPr="00A56EDB">
        <w:t xml:space="preserve"> section 4 and subsection 6(7) of the</w:t>
      </w:r>
      <w:r w:rsidR="00BB449A">
        <w:t xml:space="preserve"> Assistance Act</w:t>
      </w:r>
      <w:r w:rsidR="00A56EDB" w:rsidRPr="00A56EDB">
        <w:t>.</w:t>
      </w:r>
      <w:r w:rsidR="00735AEC" w:rsidRPr="00735AEC">
        <w:t xml:space="preserve"> </w:t>
      </w:r>
      <w:r w:rsidR="00BB449A">
        <w:t xml:space="preserve">In revoking the old Vaccination Schedules, section 4 also relies on subsection 33(3) of the </w:t>
      </w:r>
      <w:r w:rsidR="00BB449A" w:rsidRPr="009468F5">
        <w:rPr>
          <w:i/>
        </w:rPr>
        <w:t>Acts Interpretation Act 1901</w:t>
      </w:r>
      <w:r w:rsidR="00BB449A" w:rsidRPr="009468F5">
        <w:t xml:space="preserve">, which clarifies that a power to make an instrument is to </w:t>
      </w:r>
      <w:proofErr w:type="gramStart"/>
      <w:r w:rsidR="00BB449A" w:rsidRPr="009468F5">
        <w:t>be construed</w:t>
      </w:r>
      <w:proofErr w:type="gramEnd"/>
      <w:r w:rsidR="00BB449A" w:rsidRPr="009468F5">
        <w:t xml:space="preserve"> as a power to revoke.</w:t>
      </w:r>
    </w:p>
    <w:p w14:paraId="15DEF6C0" w14:textId="60243713" w:rsidR="002A1E02" w:rsidRPr="009C6520" w:rsidRDefault="002A1E02" w:rsidP="00790D7A">
      <w:pPr>
        <w:pStyle w:val="Heading2"/>
        <w:rPr>
          <w:rFonts w:eastAsia="Times New Roman"/>
          <w:lang w:eastAsia="en-AU"/>
        </w:rPr>
      </w:pPr>
      <w:r w:rsidRPr="009C6520">
        <w:rPr>
          <w:rFonts w:eastAsia="Times New Roman"/>
          <w:lang w:eastAsia="en-AU"/>
        </w:rPr>
        <w:t>Explanation of Provisions</w:t>
      </w:r>
    </w:p>
    <w:p w14:paraId="0DF3425D" w14:textId="1B378CAB" w:rsidR="00B05CF0" w:rsidRPr="009468F5" w:rsidRDefault="00761EBC" w:rsidP="00FD2789">
      <w:pPr>
        <w:keepNext/>
        <w:keepLines/>
        <w:spacing w:before="120"/>
        <w:outlineLvl w:val="2"/>
        <w:rPr>
          <w:b/>
          <w:bCs/>
        </w:rPr>
      </w:pPr>
      <w:r w:rsidRPr="009468F5">
        <w:rPr>
          <w:b/>
          <w:bCs/>
        </w:rPr>
        <w:t>Part 1</w:t>
      </w:r>
      <w:r w:rsidRPr="009468F5">
        <w:rPr>
          <w:b/>
          <w:bCs/>
        </w:rPr>
        <w:tab/>
      </w:r>
      <w:r w:rsidRPr="009468F5">
        <w:rPr>
          <w:b/>
          <w:bCs/>
        </w:rPr>
        <w:tab/>
      </w:r>
      <w:r w:rsidR="00B05CF0" w:rsidRPr="009468F5">
        <w:rPr>
          <w:b/>
          <w:bCs/>
        </w:rPr>
        <w:t>Preliminary</w:t>
      </w:r>
    </w:p>
    <w:p w14:paraId="25ACF31A" w14:textId="348B8494" w:rsidR="00451AD6" w:rsidRDefault="002B417A" w:rsidP="00900BE2">
      <w:pPr>
        <w:keepNext/>
        <w:keepLines/>
        <w:spacing w:before="120"/>
        <w:jc w:val="both"/>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3C7689">
        <w:t xml:space="preserve">Determination </w:t>
      </w:r>
      <w:r w:rsidR="00451AD6">
        <w:t xml:space="preserve">is the </w:t>
      </w:r>
      <w:r w:rsidR="00984CC0" w:rsidRPr="00984CC0">
        <w:rPr>
          <w:rFonts w:eastAsiaTheme="minorEastAsia"/>
          <w:i/>
          <w:szCs w:val="24"/>
        </w:rPr>
        <w:t>Family Assistance (Immunisation and Vaccination) (Education) Determination 2018</w:t>
      </w:r>
      <w:r w:rsidR="00451AD6" w:rsidRPr="00984CC0">
        <w:rPr>
          <w:rFonts w:eastAsiaTheme="minorEastAsia"/>
          <w:i/>
          <w:szCs w:val="24"/>
        </w:rPr>
        <w:t>.</w:t>
      </w:r>
    </w:p>
    <w:p w14:paraId="76F6EDA1" w14:textId="692DEC3C" w:rsidR="00451AD6" w:rsidRDefault="00451AD6" w:rsidP="00900BE2">
      <w:pPr>
        <w:keepNext/>
        <w:keepLines/>
        <w:spacing w:before="120"/>
        <w:jc w:val="both"/>
        <w:outlineLvl w:val="2"/>
      </w:pPr>
      <w:r w:rsidRPr="00451AD6">
        <w:rPr>
          <w:b/>
        </w:rPr>
        <w:t>S</w:t>
      </w:r>
      <w:r w:rsidR="00276C24" w:rsidRPr="00451AD6">
        <w:rPr>
          <w:b/>
        </w:rPr>
        <w:t>ection 2</w:t>
      </w:r>
      <w:r w:rsidR="00276C24">
        <w:t xml:space="preserve"> </w:t>
      </w:r>
      <w:r>
        <w:t>provides that the</w:t>
      </w:r>
      <w:r w:rsidR="00276C24">
        <w:t xml:space="preserve"> </w:t>
      </w:r>
      <w:r w:rsidR="003C7689">
        <w:t xml:space="preserve">Determination </w:t>
      </w:r>
      <w:proofErr w:type="gramStart"/>
      <w:r>
        <w:t>commences</w:t>
      </w:r>
      <w:proofErr w:type="gramEnd"/>
      <w:r w:rsidR="00276C24" w:rsidRPr="00451AD6">
        <w:t xml:space="preserve"> on </w:t>
      </w:r>
      <w:r w:rsidR="00984CC0">
        <w:t>2</w:t>
      </w:r>
      <w:r w:rsidR="00A52EF9">
        <w:t xml:space="preserve"> July 2018</w:t>
      </w:r>
      <w:r w:rsidR="00887F46">
        <w:t>.</w:t>
      </w:r>
    </w:p>
    <w:p w14:paraId="41769B54" w14:textId="24EF556C" w:rsidR="00EB78F6" w:rsidRPr="005F15CC" w:rsidRDefault="00EB78F6" w:rsidP="00900BE2">
      <w:pPr>
        <w:keepNext/>
        <w:keepLines/>
        <w:spacing w:before="120"/>
        <w:jc w:val="both"/>
        <w:outlineLvl w:val="2"/>
        <w:rPr>
          <w:i/>
        </w:rPr>
      </w:pPr>
      <w:r>
        <w:rPr>
          <w:b/>
        </w:rPr>
        <w:t>Section 3</w:t>
      </w:r>
      <w:r>
        <w:t xml:space="preserve"> </w:t>
      </w:r>
      <w:r w:rsidRPr="00EB78F6">
        <w:t xml:space="preserve">sets out the authority for the </w:t>
      </w:r>
      <w:r w:rsidR="00334222">
        <w:t>Determination, being</w:t>
      </w:r>
      <w:r w:rsidR="0013063B">
        <w:t xml:space="preserve"> </w:t>
      </w:r>
      <w:r w:rsidRPr="00EB78F6">
        <w:t>section 4 and subsection 6(7) of the</w:t>
      </w:r>
      <w:r w:rsidR="00BB449A">
        <w:t xml:space="preserve"> Assistance Act</w:t>
      </w:r>
      <w:r>
        <w:t>.</w:t>
      </w:r>
      <w:r w:rsidR="00735AEC">
        <w:t xml:space="preserve"> </w:t>
      </w:r>
    </w:p>
    <w:p w14:paraId="4555B084" w14:textId="56573A5B" w:rsidR="00EB78F6" w:rsidRPr="00EB78F6" w:rsidRDefault="00EB78F6" w:rsidP="00900BE2">
      <w:pPr>
        <w:keepNext/>
        <w:keepLines/>
        <w:spacing w:before="120"/>
        <w:jc w:val="both"/>
        <w:outlineLvl w:val="2"/>
        <w:rPr>
          <w:i/>
        </w:rPr>
      </w:pPr>
      <w:r w:rsidRPr="00451AD6">
        <w:rPr>
          <w:b/>
        </w:rPr>
        <w:t>S</w:t>
      </w:r>
      <w:r>
        <w:rPr>
          <w:b/>
        </w:rPr>
        <w:t>ection 4</w:t>
      </w:r>
      <w:r>
        <w:t xml:space="preserve"> revokes the </w:t>
      </w:r>
      <w:r w:rsidRPr="00EB78F6">
        <w:rPr>
          <w:i/>
        </w:rPr>
        <w:t>Child Care Benefit (Vaccination Schedules) (Education) Determination 2015</w:t>
      </w:r>
      <w:r>
        <w:rPr>
          <w:i/>
        </w:rPr>
        <w:t>.</w:t>
      </w:r>
    </w:p>
    <w:p w14:paraId="224A16E0" w14:textId="41018301" w:rsidR="00CE544D" w:rsidRDefault="00EB78F6" w:rsidP="00900BE2">
      <w:pPr>
        <w:keepNext/>
        <w:keepLines/>
        <w:spacing w:before="120"/>
        <w:jc w:val="both"/>
        <w:outlineLvl w:val="2"/>
      </w:pPr>
      <w:r>
        <w:rPr>
          <w:b/>
        </w:rPr>
        <w:t>Section 5</w:t>
      </w:r>
      <w:r w:rsidR="00276C24">
        <w:t xml:space="preserve"> </w:t>
      </w:r>
      <w:r w:rsidR="00CE544D">
        <w:t xml:space="preserve">is an application provision that clarifies that the </w:t>
      </w:r>
      <w:r w:rsidR="00604EDB">
        <w:t xml:space="preserve">Determination </w:t>
      </w:r>
      <w:r w:rsidR="00B05CF0">
        <w:t>applies</w:t>
      </w:r>
      <w:r w:rsidR="00CE544D">
        <w:t xml:space="preserve"> </w:t>
      </w:r>
      <w:r w:rsidRPr="00EB78F6">
        <w:t xml:space="preserve">in relation to working out whether an individual, or an approved </w:t>
      </w:r>
      <w:proofErr w:type="gramStart"/>
      <w:r w:rsidRPr="00EB78F6">
        <w:t>child care</w:t>
      </w:r>
      <w:proofErr w:type="gramEnd"/>
      <w:r w:rsidRPr="00EB78F6">
        <w:t xml:space="preserve"> provider, is eligible for CCS or ACCS for a session of care provided to a child on a day on or after 2</w:t>
      </w:r>
      <w:r w:rsidR="00604EDB">
        <w:t> </w:t>
      </w:r>
      <w:r w:rsidRPr="00EB78F6">
        <w:t>July</w:t>
      </w:r>
      <w:r w:rsidR="00604EDB">
        <w:t> </w:t>
      </w:r>
      <w:r w:rsidRPr="00EB78F6">
        <w:t>2018</w:t>
      </w:r>
      <w:r>
        <w:t>.</w:t>
      </w:r>
      <w:r w:rsidR="00D5036D">
        <w:t xml:space="preserve"> </w:t>
      </w:r>
    </w:p>
    <w:p w14:paraId="02654B3E" w14:textId="6B688907" w:rsidR="00DA00F4" w:rsidRPr="007E1C15" w:rsidRDefault="007E1C15" w:rsidP="00900BE2">
      <w:pPr>
        <w:spacing w:before="120"/>
        <w:jc w:val="both"/>
        <w:outlineLvl w:val="2"/>
      </w:pPr>
      <w:r>
        <w:rPr>
          <w:b/>
        </w:rPr>
        <w:t>Section 6</w:t>
      </w:r>
      <w:r w:rsidR="00276C24">
        <w:t xml:space="preserve"> </w:t>
      </w:r>
      <w:r w:rsidR="0013063B">
        <w:t xml:space="preserve">specifies </w:t>
      </w:r>
      <w:r>
        <w:t xml:space="preserve">the purpose of the </w:t>
      </w:r>
      <w:r w:rsidR="00604EDB">
        <w:t>Determination</w:t>
      </w:r>
      <w:r>
        <w:t>. The purpose of Part 2</w:t>
      </w:r>
      <w:r w:rsidR="000039DC">
        <w:t xml:space="preserve"> is</w:t>
      </w:r>
      <w:r w:rsidRPr="007E1C15">
        <w:t xml:space="preserve"> to set out </w:t>
      </w:r>
      <w:r>
        <w:t xml:space="preserve">the </w:t>
      </w:r>
      <w:r w:rsidRPr="007E1C15">
        <w:t xml:space="preserve">decision-making principles that the Secretary must comply with when making a determination under subsection 6(6) of the </w:t>
      </w:r>
      <w:r w:rsidR="00F56DF7">
        <w:t xml:space="preserve">Assistance </w:t>
      </w:r>
      <w:r w:rsidRPr="007E1C15">
        <w:t>Act that a child meets the immunisation requirements.</w:t>
      </w:r>
      <w:r>
        <w:t xml:space="preserve"> The purpose of Part 3 is to set out the vaccination schedules for the immunisation of children, which </w:t>
      </w:r>
      <w:r w:rsidR="00BB449A">
        <w:t xml:space="preserve">are </w:t>
      </w:r>
      <w:r>
        <w:t xml:space="preserve">relevant to determining an individual’s eligibility for CCS </w:t>
      </w:r>
      <w:r w:rsidR="00DF61B3">
        <w:t xml:space="preserve">or ACCS, </w:t>
      </w:r>
      <w:r>
        <w:t xml:space="preserve">and an approved </w:t>
      </w:r>
      <w:proofErr w:type="gramStart"/>
      <w:r>
        <w:t>child care</w:t>
      </w:r>
      <w:proofErr w:type="gramEnd"/>
      <w:r>
        <w:t xml:space="preserve"> provider’s eligibility for ACCS (child wellbeing). </w:t>
      </w:r>
    </w:p>
    <w:p w14:paraId="0888F28C" w14:textId="5C37018F" w:rsidR="00761EBC" w:rsidRDefault="007E1C15" w:rsidP="00900BE2">
      <w:pPr>
        <w:spacing w:before="120"/>
        <w:jc w:val="both"/>
        <w:outlineLvl w:val="2"/>
        <w:rPr>
          <w:rFonts w:ascii="Arial" w:hAnsi="Arial" w:cs="Arial"/>
          <w:b/>
          <w:bCs/>
          <w:sz w:val="22"/>
        </w:rPr>
      </w:pPr>
      <w:r>
        <w:rPr>
          <w:b/>
        </w:rPr>
        <w:t>Section 7</w:t>
      </w:r>
      <w:r w:rsidR="00DA00F4">
        <w:t xml:space="preserve"> </w:t>
      </w:r>
      <w:r w:rsidR="00B3648B">
        <w:t xml:space="preserve">provides </w:t>
      </w:r>
      <w:r>
        <w:t xml:space="preserve">definitions of certain terms used in the </w:t>
      </w:r>
      <w:r w:rsidR="00604EDB">
        <w:t>Determination</w:t>
      </w:r>
      <w:r>
        <w:t>.</w:t>
      </w:r>
    </w:p>
    <w:p w14:paraId="76E76475" w14:textId="77777777" w:rsidR="0002483E" w:rsidRPr="009468F5" w:rsidRDefault="00761EBC" w:rsidP="0002483E">
      <w:pPr>
        <w:keepNext/>
        <w:keepLines/>
        <w:spacing w:before="120"/>
        <w:outlineLvl w:val="2"/>
        <w:rPr>
          <w:b/>
          <w:bCs/>
        </w:rPr>
      </w:pPr>
      <w:r w:rsidRPr="009468F5">
        <w:rPr>
          <w:b/>
          <w:bCs/>
        </w:rPr>
        <w:t>Part 2</w:t>
      </w:r>
      <w:r w:rsidRPr="009468F5">
        <w:rPr>
          <w:b/>
          <w:bCs/>
        </w:rPr>
        <w:tab/>
      </w:r>
      <w:r w:rsidRPr="009468F5">
        <w:rPr>
          <w:b/>
          <w:bCs/>
        </w:rPr>
        <w:tab/>
      </w:r>
      <w:r w:rsidR="0002483E" w:rsidRPr="009468F5">
        <w:rPr>
          <w:b/>
          <w:bCs/>
        </w:rPr>
        <w:t xml:space="preserve">Immunisation requirements  </w:t>
      </w:r>
    </w:p>
    <w:p w14:paraId="1EBB2FD3" w14:textId="1394FD61" w:rsidR="00C50A8A" w:rsidRPr="00C50A8A" w:rsidRDefault="00C50A8A" w:rsidP="009A68A4">
      <w:pPr>
        <w:keepNext/>
        <w:keepLines/>
        <w:spacing w:before="120"/>
        <w:jc w:val="both"/>
        <w:outlineLvl w:val="2"/>
      </w:pPr>
      <w:r w:rsidRPr="00C50A8A">
        <w:t xml:space="preserve">Part 2 sets out </w:t>
      </w:r>
      <w:r w:rsidR="0002483E">
        <w:t xml:space="preserve">the decision-making principles </w:t>
      </w:r>
      <w:r w:rsidR="00BB449A">
        <w:t xml:space="preserve">based upon which </w:t>
      </w:r>
      <w:r w:rsidR="0002483E">
        <w:t xml:space="preserve">the Secretary may make a determination under subsection 6(6) of the </w:t>
      </w:r>
      <w:r w:rsidR="00F56DF7">
        <w:t xml:space="preserve">Assistance </w:t>
      </w:r>
      <w:r w:rsidR="0002483E">
        <w:t xml:space="preserve">Act that a child meets the immunisation requirements. </w:t>
      </w:r>
    </w:p>
    <w:p w14:paraId="4F386A03" w14:textId="36544390" w:rsidR="00C50A8A" w:rsidRDefault="0002483E" w:rsidP="009A68A4">
      <w:pPr>
        <w:spacing w:before="120"/>
        <w:jc w:val="both"/>
        <w:outlineLvl w:val="2"/>
      </w:pPr>
      <w:r>
        <w:rPr>
          <w:b/>
        </w:rPr>
        <w:t>Section 8</w:t>
      </w:r>
      <w:r w:rsidR="00F223D6" w:rsidRPr="00F223D6">
        <w:t xml:space="preserve"> </w:t>
      </w:r>
      <w:r w:rsidR="00C50A8A">
        <w:t xml:space="preserve">provides </w:t>
      </w:r>
      <w:r w:rsidR="009A68A4">
        <w:t xml:space="preserve">the general decision-making principles under this Part. </w:t>
      </w:r>
    </w:p>
    <w:p w14:paraId="23A38640" w14:textId="720B85AB" w:rsidR="009A68A4" w:rsidRDefault="009A68A4" w:rsidP="009A68A4">
      <w:pPr>
        <w:spacing w:before="120"/>
        <w:jc w:val="both"/>
        <w:outlineLvl w:val="2"/>
      </w:pPr>
      <w:r>
        <w:t>Subsection 8(1) provides that the Secretary may make a determination under subsection 6(6) of the</w:t>
      </w:r>
      <w:r w:rsidR="00F56DF7">
        <w:t xml:space="preserve"> </w:t>
      </w:r>
      <w:r w:rsidR="00F56DF7">
        <w:rPr>
          <w:szCs w:val="24"/>
        </w:rPr>
        <w:t>Assistance</w:t>
      </w:r>
      <w:r>
        <w:t xml:space="preserve"> Act that a child meets the immunisation requirements only if the requirements in one of section</w:t>
      </w:r>
      <w:r w:rsidR="0034532F">
        <w:t>s</w:t>
      </w:r>
      <w:r>
        <w:t xml:space="preserve"> 9, 10, 11, 12, 13</w:t>
      </w:r>
      <w:r w:rsidR="00E9751D">
        <w:t>,</w:t>
      </w:r>
      <w:r>
        <w:t xml:space="preserve"> 14</w:t>
      </w:r>
      <w:r w:rsidR="00E9751D">
        <w:t xml:space="preserve"> or 15</w:t>
      </w:r>
      <w:r>
        <w:t xml:space="preserve"> of the </w:t>
      </w:r>
      <w:r w:rsidR="00BD5F4F">
        <w:t xml:space="preserve">Determination </w:t>
      </w:r>
      <w:proofErr w:type="gramStart"/>
      <w:r w:rsidR="006545C0">
        <w:t>are</w:t>
      </w:r>
      <w:r>
        <w:t xml:space="preserve"> met</w:t>
      </w:r>
      <w:proofErr w:type="gramEnd"/>
      <w:r>
        <w:t>. This means that sections 9, 10, 11, 12, 13</w:t>
      </w:r>
      <w:r w:rsidR="00E9751D">
        <w:t>,</w:t>
      </w:r>
      <w:r>
        <w:t xml:space="preserve"> 14</w:t>
      </w:r>
      <w:r w:rsidR="00E9751D">
        <w:t xml:space="preserve"> and 15</w:t>
      </w:r>
      <w:r>
        <w:t xml:space="preserve"> are an exhaustive statement of the circumstances in which the Secretary may make a determination under subsection 6(6) of the </w:t>
      </w:r>
      <w:r w:rsidR="00F56DF7">
        <w:rPr>
          <w:szCs w:val="24"/>
        </w:rPr>
        <w:t xml:space="preserve">Assistance </w:t>
      </w:r>
      <w:r>
        <w:t xml:space="preserve">Act. To avoid doubt, </w:t>
      </w:r>
      <w:r w:rsidR="00236BA7">
        <w:t>subsection 8(</w:t>
      </w:r>
      <w:r w:rsidR="00604B0F">
        <w:t>1</w:t>
      </w:r>
      <w:r w:rsidR="00236BA7">
        <w:t>) means</w:t>
      </w:r>
      <w:r w:rsidR="00604B0F">
        <w:t xml:space="preserve"> </w:t>
      </w:r>
      <w:r w:rsidR="00B27B13">
        <w:t>that</w:t>
      </w:r>
      <w:r w:rsidR="00236BA7">
        <w:t xml:space="preserve"> </w:t>
      </w:r>
      <w:r>
        <w:t xml:space="preserve">it will not be possible for the Secretary to make a determination under subsection 6(6) of the </w:t>
      </w:r>
      <w:r w:rsidR="00B27B13">
        <w:t xml:space="preserve">Assistance </w:t>
      </w:r>
      <w:r>
        <w:t>Act on the basis that an individual has a conscientious</w:t>
      </w:r>
      <w:r w:rsidR="006545C0">
        <w:t>, ethical or religious</w:t>
      </w:r>
      <w:r>
        <w:t xml:space="preserve"> objection to a child being immunised. </w:t>
      </w:r>
    </w:p>
    <w:p w14:paraId="40E1A09A" w14:textId="676A240D" w:rsidR="00604B0F" w:rsidRDefault="00B52B88" w:rsidP="00604B0F">
      <w:pPr>
        <w:spacing w:before="120"/>
        <w:jc w:val="both"/>
        <w:outlineLvl w:val="2"/>
      </w:pPr>
      <w:r>
        <w:t>Subsection 8</w:t>
      </w:r>
      <w:r w:rsidR="00604B0F" w:rsidRPr="00604B0F">
        <w:t>(2) provides that if the Secretary, when making a determination under subsection 6(6) of the</w:t>
      </w:r>
      <w:r w:rsidR="00BE6501">
        <w:t xml:space="preserve"> Assistance</w:t>
      </w:r>
      <w:r w:rsidR="00604B0F" w:rsidRPr="00604B0F">
        <w:t xml:space="preserve"> Act, is satisfied that the child is likely to meet the usual immunisatio</w:t>
      </w:r>
      <w:r w:rsidR="006000AD">
        <w:t>n requirements (see subsection 7</w:t>
      </w:r>
      <w:r w:rsidR="00604B0F" w:rsidRPr="00604B0F">
        <w:t>(2) of the Determination) within a particular time, then the Secretary’s determination must not apply for longer than that time period.</w:t>
      </w:r>
      <w:r w:rsidR="00604B0F">
        <w:t xml:space="preserve"> </w:t>
      </w:r>
    </w:p>
    <w:p w14:paraId="36A456F7" w14:textId="350CA76C" w:rsidR="00604B0F" w:rsidRPr="00604B0F" w:rsidRDefault="00604B0F" w:rsidP="00604B0F">
      <w:pPr>
        <w:spacing w:before="120"/>
        <w:jc w:val="both"/>
        <w:outlineLvl w:val="2"/>
      </w:pPr>
      <w:r w:rsidRPr="00604B0F">
        <w:t xml:space="preserve">This requirement reflects the current policy that determinations under subsection 6(6) should be for the minimum reasonable period, and the reasons for their issue </w:t>
      </w:r>
      <w:proofErr w:type="gramStart"/>
      <w:r w:rsidRPr="00604B0F">
        <w:t>should be reviewed</w:t>
      </w:r>
      <w:proofErr w:type="gramEnd"/>
      <w:r w:rsidRPr="00604B0F">
        <w:t xml:space="preserve"> reasonably reg</w:t>
      </w:r>
      <w:r>
        <w:t>ularly. The note to subsection 8</w:t>
      </w:r>
      <w:r w:rsidRPr="00604B0F">
        <w:t>(2) clarifies that when a time-limited determination expires, the Secretary is able to issue another determination if the circumstances still justify the issue of a determination.</w:t>
      </w:r>
    </w:p>
    <w:p w14:paraId="739AC631" w14:textId="648025A3" w:rsidR="009A68A4" w:rsidRDefault="009A68A4" w:rsidP="009A68A4">
      <w:pPr>
        <w:spacing w:before="120"/>
        <w:jc w:val="both"/>
        <w:outlineLvl w:val="2"/>
      </w:pPr>
      <w:r>
        <w:t>Subsection 8(</w:t>
      </w:r>
      <w:r w:rsidR="006545C0">
        <w:t>3</w:t>
      </w:r>
      <w:r>
        <w:t xml:space="preserve">) provides that any determination the Secretary makes under subsection 6(6) of the </w:t>
      </w:r>
      <w:r w:rsidR="00F56DF7">
        <w:rPr>
          <w:szCs w:val="24"/>
        </w:rPr>
        <w:t xml:space="preserve">Assistance </w:t>
      </w:r>
      <w:r>
        <w:t>Act</w:t>
      </w:r>
      <w:r w:rsidR="00B27B13">
        <w:t>,</w:t>
      </w:r>
      <w:r>
        <w:t xml:space="preserve"> because the Secretary is satisfied that the requirements in section 11 of the </w:t>
      </w:r>
      <w:r w:rsidR="006640EE">
        <w:t xml:space="preserve">Determination </w:t>
      </w:r>
      <w:r>
        <w:t>(in relation to a permanent humanitarian visa holder) are met, must be made for no longer than 6 months after the child’s first entry into Australia.</w:t>
      </w:r>
    </w:p>
    <w:p w14:paraId="43E4BEC2" w14:textId="3F13D5D3" w:rsidR="00FB0ED1" w:rsidRDefault="009A68A4" w:rsidP="00FB0ED1">
      <w:pPr>
        <w:spacing w:before="120"/>
        <w:jc w:val="both"/>
        <w:outlineLvl w:val="2"/>
      </w:pPr>
      <w:r>
        <w:t>Subsection 8(</w:t>
      </w:r>
      <w:r w:rsidR="006545C0">
        <w:t>4</w:t>
      </w:r>
      <w:r>
        <w:t xml:space="preserve">) provides that if, while a determination under subsection 6(6) of the </w:t>
      </w:r>
      <w:r w:rsidR="00F56DF7">
        <w:rPr>
          <w:szCs w:val="24"/>
        </w:rPr>
        <w:t xml:space="preserve">Assistance </w:t>
      </w:r>
      <w:r>
        <w:t xml:space="preserve">Act is in force, the Secretary is satisfied that the child meets the usual immunisation </w:t>
      </w:r>
      <w:proofErr w:type="gramStart"/>
      <w:r>
        <w:t>requirements,</w:t>
      </w:r>
      <w:proofErr w:type="gramEnd"/>
      <w:r>
        <w:t xml:space="preserve"> the Secretary must revoke the determination. The usual immunisation requirements are the immunisation requirements mentioned in subsection</w:t>
      </w:r>
      <w:r w:rsidR="00A52EF9">
        <w:t>s</w:t>
      </w:r>
      <w:r>
        <w:t xml:space="preserve"> 6(2), (3), (4) </w:t>
      </w:r>
      <w:r w:rsidR="00604B0F">
        <w:t>or</w:t>
      </w:r>
      <w:r>
        <w:t xml:space="preserve"> (5) of the </w:t>
      </w:r>
      <w:r w:rsidR="00F56DF7">
        <w:rPr>
          <w:szCs w:val="24"/>
        </w:rPr>
        <w:t xml:space="preserve">Assistance </w:t>
      </w:r>
      <w:r>
        <w:t xml:space="preserve">Act (see subsection 7(2) of the </w:t>
      </w:r>
      <w:r w:rsidR="006640EE">
        <w:t>Determination</w:t>
      </w:r>
      <w:r>
        <w:t xml:space="preserve">).  </w:t>
      </w:r>
    </w:p>
    <w:p w14:paraId="32226389" w14:textId="5D4A7C54" w:rsidR="00AF288A" w:rsidRDefault="00CC5453" w:rsidP="006640EE">
      <w:pPr>
        <w:spacing w:before="120"/>
        <w:jc w:val="both"/>
        <w:outlineLvl w:val="2"/>
      </w:pPr>
      <w:r>
        <w:rPr>
          <w:b/>
        </w:rPr>
        <w:t>Section 9</w:t>
      </w:r>
      <w:r>
        <w:t xml:space="preserve"> </w:t>
      </w:r>
      <w:r w:rsidR="00AF288A">
        <w:t>provides that the Secretary may make a determination that a child meets the immunisation requirements if, in certain circumstances, the child is in the care of an individual who does not have legal authority to make decisions about the medical treatment of the child. The circumstances are where:</w:t>
      </w:r>
    </w:p>
    <w:p w14:paraId="69DF88C5" w14:textId="68E7F2EF" w:rsidR="00AF288A" w:rsidRDefault="00AF288A">
      <w:pPr>
        <w:pStyle w:val="ListParagraph"/>
        <w:numPr>
          <w:ilvl w:val="0"/>
          <w:numId w:val="26"/>
        </w:numPr>
        <w:spacing w:before="120"/>
        <w:jc w:val="both"/>
        <w:outlineLvl w:val="2"/>
      </w:pPr>
      <w:r>
        <w:t>if the child is aged unde</w:t>
      </w:r>
      <w:r w:rsidR="00A228BA">
        <w:t>r 14</w:t>
      </w:r>
      <w:r>
        <w:t xml:space="preserve"> years – a person (other than the child) with legal authority to make decisions about medical treatment of the child either refuses to consent to the child being immunised, or does not provide consent to the child being immunised within a reasonable period of time</w:t>
      </w:r>
      <w:r w:rsidR="00BB449A">
        <w:t>;</w:t>
      </w:r>
    </w:p>
    <w:p w14:paraId="602DA071" w14:textId="41E3A19C" w:rsidR="00DA6BF7" w:rsidRDefault="00A228BA" w:rsidP="00DA6BF7">
      <w:pPr>
        <w:pStyle w:val="ListParagraph"/>
        <w:numPr>
          <w:ilvl w:val="0"/>
          <w:numId w:val="26"/>
        </w:numPr>
        <w:spacing w:before="120"/>
        <w:jc w:val="both"/>
        <w:outlineLvl w:val="2"/>
      </w:pPr>
      <w:proofErr w:type="gramStart"/>
      <w:r>
        <w:t>if</w:t>
      </w:r>
      <w:proofErr w:type="gramEnd"/>
      <w:r>
        <w:t xml:space="preserve"> the child is aged at least 14</w:t>
      </w:r>
      <w:r w:rsidR="00AF288A">
        <w:t xml:space="preserve"> years – the child refuses to consent to being immunised, or does not provide consent to being immunised within a reasonable period of time</w:t>
      </w:r>
      <w:r w:rsidR="00BB449A">
        <w:t>.</w:t>
      </w:r>
    </w:p>
    <w:p w14:paraId="6608ED70" w14:textId="76FEDE49" w:rsidR="00DA6BF7" w:rsidRDefault="00FB0ED1" w:rsidP="00DA6BF7">
      <w:pPr>
        <w:spacing w:before="120"/>
        <w:jc w:val="both"/>
        <w:outlineLvl w:val="2"/>
      </w:pPr>
      <w:proofErr w:type="gramStart"/>
      <w:r>
        <w:t>Section 9 will enable the Secretary to determine that a child meets the immunisation requirements where the child is in the care of a person who does not have the authority to consent to the child being immunised but where the person with that authority has refused to consent to immunisation, or has failed to provide consent within a reasonable period.</w:t>
      </w:r>
      <w:proofErr w:type="gramEnd"/>
      <w:r w:rsidR="006545C0">
        <w:t xml:space="preserve"> It </w:t>
      </w:r>
      <w:proofErr w:type="gramStart"/>
      <w:r w:rsidR="006545C0">
        <w:t>is anticipated</w:t>
      </w:r>
      <w:proofErr w:type="gramEnd"/>
      <w:r w:rsidR="006545C0">
        <w:t xml:space="preserve"> that this provision will only apply in very limited and rare cases, as most children are in the care of a parent or guardian who have the legal authority to </w:t>
      </w:r>
      <w:r w:rsidR="00840081">
        <w:t xml:space="preserve">make </w:t>
      </w:r>
      <w:r w:rsidR="006545C0">
        <w:t>decisions about the medical treatment of their child.</w:t>
      </w:r>
    </w:p>
    <w:p w14:paraId="4C1D9B26" w14:textId="60F06851" w:rsidR="00DA6BF7" w:rsidRDefault="00A52EF9" w:rsidP="00DA6BF7">
      <w:pPr>
        <w:spacing w:before="120"/>
        <w:jc w:val="both"/>
        <w:outlineLvl w:val="2"/>
      </w:pPr>
      <w:r w:rsidRPr="00DA6BF7">
        <w:rPr>
          <w:b/>
        </w:rPr>
        <w:t>Section 10</w:t>
      </w:r>
      <w:r>
        <w:t xml:space="preserve"> provides that the Secretary may make a determination that a child meets the immunisation requirements if there is a risk that certain persons would be subject to family violence if action </w:t>
      </w:r>
      <w:proofErr w:type="gramStart"/>
      <w:r>
        <w:t>w</w:t>
      </w:r>
      <w:r w:rsidR="00BB449A">
        <w:t>as</w:t>
      </w:r>
      <w:proofErr w:type="gramEnd"/>
      <w:r>
        <w:t xml:space="preserve"> taken to enable the child to meet the usual immunisation requirements. The persons are:</w:t>
      </w:r>
      <w:r w:rsidR="00DA6BF7" w:rsidRPr="00DA6BF7">
        <w:t xml:space="preserve"> </w:t>
      </w:r>
    </w:p>
    <w:p w14:paraId="3073E433" w14:textId="77777777" w:rsidR="00DA6BF7" w:rsidRDefault="00DA6BF7" w:rsidP="00DA6BF7">
      <w:pPr>
        <w:pStyle w:val="ListParagraph"/>
        <w:keepNext/>
        <w:keepLines/>
        <w:numPr>
          <w:ilvl w:val="0"/>
          <w:numId w:val="35"/>
        </w:numPr>
        <w:spacing w:before="120"/>
        <w:jc w:val="both"/>
        <w:outlineLvl w:val="2"/>
      </w:pPr>
      <w:r>
        <w:t>the individual whose eligibility for CCS is being assessed, or the individual who has care of a child where the child must meet the immunisation requirements for FTB Part A supplement; or</w:t>
      </w:r>
    </w:p>
    <w:p w14:paraId="69063EE2" w14:textId="77777777" w:rsidR="00DA6BF7" w:rsidRDefault="00DA6BF7" w:rsidP="00DA6BF7">
      <w:pPr>
        <w:pStyle w:val="ListParagraph"/>
        <w:keepNext/>
        <w:keepLines/>
        <w:numPr>
          <w:ilvl w:val="0"/>
          <w:numId w:val="27"/>
        </w:numPr>
        <w:spacing w:before="120"/>
        <w:jc w:val="both"/>
        <w:outlineLvl w:val="2"/>
      </w:pPr>
      <w:r>
        <w:t>the child; or</w:t>
      </w:r>
    </w:p>
    <w:p w14:paraId="2FA75372" w14:textId="77777777" w:rsidR="00DA6BF7" w:rsidRDefault="00DA6BF7" w:rsidP="00DA6BF7">
      <w:pPr>
        <w:pStyle w:val="ListParagraph"/>
        <w:keepNext/>
        <w:keepLines/>
        <w:numPr>
          <w:ilvl w:val="0"/>
          <w:numId w:val="27"/>
        </w:numPr>
        <w:spacing w:before="120"/>
        <w:jc w:val="both"/>
        <w:outlineLvl w:val="2"/>
      </w:pPr>
      <w:proofErr w:type="gramStart"/>
      <w:r>
        <w:t>a</w:t>
      </w:r>
      <w:proofErr w:type="gramEnd"/>
      <w:r>
        <w:t xml:space="preserve"> member of the immediate family of the individual or the child.  </w:t>
      </w:r>
    </w:p>
    <w:p w14:paraId="4528B182" w14:textId="77777777" w:rsidR="00DA6BF7" w:rsidRDefault="00DA6BF7" w:rsidP="00DA6BF7">
      <w:pPr>
        <w:keepNext/>
        <w:keepLines/>
        <w:spacing w:before="120"/>
        <w:jc w:val="both"/>
        <w:outlineLvl w:val="2"/>
      </w:pPr>
      <w:r w:rsidRPr="00DA6BF7">
        <w:rPr>
          <w:b/>
          <w:i/>
        </w:rPr>
        <w:t>Member of the immediate family</w:t>
      </w:r>
      <w:r>
        <w:t xml:space="preserve"> </w:t>
      </w:r>
      <w:proofErr w:type="gramStart"/>
      <w:r>
        <w:t>is defined</w:t>
      </w:r>
      <w:proofErr w:type="gramEnd"/>
      <w:r>
        <w:t xml:space="preserve"> in section 7 to mean a partner, child, parent, grandparent, grandchild or sibling of the individual or FTB child.</w:t>
      </w:r>
    </w:p>
    <w:p w14:paraId="452EA37D" w14:textId="01DEE87C" w:rsidR="00DA6BF7" w:rsidRDefault="00DA6BF7" w:rsidP="00DA6BF7">
      <w:pPr>
        <w:keepNext/>
        <w:keepLines/>
        <w:spacing w:before="120"/>
        <w:jc w:val="both"/>
        <w:outlineLvl w:val="2"/>
      </w:pPr>
      <w:r w:rsidRPr="00DA6BF7">
        <w:rPr>
          <w:b/>
          <w:i/>
        </w:rPr>
        <w:t>Family violence</w:t>
      </w:r>
      <w:r>
        <w:t xml:space="preserve"> is defined in section 7 to have the same meaning as in section 4AB of the </w:t>
      </w:r>
      <w:r w:rsidRPr="00DA6BF7">
        <w:rPr>
          <w:i/>
        </w:rPr>
        <w:t>Family Law Act 1975</w:t>
      </w:r>
      <w:r>
        <w:t xml:space="preserve">, which </w:t>
      </w:r>
      <w:r w:rsidR="001C3D16">
        <w:t>defines this term as</w:t>
      </w:r>
      <w:r>
        <w:t xml:space="preserve"> ‘violent, threatening or other behaviour by a person that coerces or controls a member of the person’s family (</w:t>
      </w:r>
      <w:r w:rsidRPr="00EB701E">
        <w:t>the family member), or causes the family member to be fearful’. Examples of behaviour that</w:t>
      </w:r>
      <w:r>
        <w:t xml:space="preserve"> may constitute family violence are also set out in section 4AB of that Act.</w:t>
      </w:r>
    </w:p>
    <w:p w14:paraId="69A38243" w14:textId="77777777" w:rsidR="00DA6BF7" w:rsidRDefault="00DA6BF7" w:rsidP="00DA6BF7">
      <w:pPr>
        <w:keepNext/>
        <w:keepLines/>
        <w:spacing w:before="120"/>
        <w:jc w:val="both"/>
        <w:outlineLvl w:val="2"/>
      </w:pPr>
      <w:r>
        <w:rPr>
          <w:b/>
        </w:rPr>
        <w:t>Section 11</w:t>
      </w:r>
      <w:r>
        <w:t xml:space="preserve"> provides that the Secretary may make a determination that a child meets the immunisation requirements if the individual, whose eligibility for CCS </w:t>
      </w:r>
      <w:proofErr w:type="gramStart"/>
      <w:r>
        <w:t>is being assessed</w:t>
      </w:r>
      <w:proofErr w:type="gramEnd"/>
      <w:r>
        <w:t>, is the holder of a permanent humanitarian visa where no more than 6 months have passed since the child’s first entry to Australia.</w:t>
      </w:r>
    </w:p>
    <w:p w14:paraId="356AF95A" w14:textId="1AF99B5F" w:rsidR="00EB701E" w:rsidRDefault="00EB701E" w:rsidP="00900BE2">
      <w:pPr>
        <w:keepNext/>
        <w:keepLines/>
        <w:spacing w:before="120"/>
        <w:jc w:val="both"/>
        <w:outlineLvl w:val="2"/>
      </w:pPr>
      <w:r w:rsidRPr="00FB0ED1">
        <w:rPr>
          <w:b/>
          <w:i/>
        </w:rPr>
        <w:t>Permanent humanitarian</w:t>
      </w:r>
      <w:r>
        <w:t xml:space="preserve"> visa </w:t>
      </w:r>
      <w:proofErr w:type="gramStart"/>
      <w:r>
        <w:t>is defined</w:t>
      </w:r>
      <w:proofErr w:type="gramEnd"/>
      <w:r>
        <w:t xml:space="preserve"> in section 4 to have the same meaning as in regulation 1.03 of the </w:t>
      </w:r>
      <w:r w:rsidRPr="00BE2CC5">
        <w:rPr>
          <w:i/>
        </w:rPr>
        <w:t>Migration Regulations 1994</w:t>
      </w:r>
      <w:r w:rsidR="00BE2CC5">
        <w:t xml:space="preserve">. </w:t>
      </w:r>
      <w:r>
        <w:t xml:space="preserve">Under that regulation, </w:t>
      </w:r>
      <w:r w:rsidRPr="00FB0ED1">
        <w:rPr>
          <w:b/>
          <w:i/>
        </w:rPr>
        <w:t>permanent humanitarian visa</w:t>
      </w:r>
      <w:r>
        <w:t xml:space="preserve"> means:</w:t>
      </w:r>
    </w:p>
    <w:p w14:paraId="0AAB8216" w14:textId="2491BEED" w:rsidR="00EB701E" w:rsidRDefault="00EB701E" w:rsidP="00900BE2">
      <w:pPr>
        <w:pStyle w:val="ListParagraph"/>
        <w:keepNext/>
        <w:keepLines/>
        <w:numPr>
          <w:ilvl w:val="0"/>
          <w:numId w:val="28"/>
        </w:numPr>
        <w:spacing w:before="120"/>
        <w:jc w:val="both"/>
        <w:outlineLvl w:val="2"/>
      </w:pPr>
      <w:r>
        <w:t xml:space="preserve">a Subclass 200, 201, 202, 203, 204, 209, 210, 211, 212, 213, 215, 216, 217 or 866 visa; or </w:t>
      </w:r>
    </w:p>
    <w:p w14:paraId="50BE5BFC" w14:textId="7E4EF7D4" w:rsidR="00EB701E" w:rsidRDefault="00EB701E" w:rsidP="00900BE2">
      <w:pPr>
        <w:pStyle w:val="ListParagraph"/>
        <w:keepNext/>
        <w:keepLines/>
        <w:numPr>
          <w:ilvl w:val="0"/>
          <w:numId w:val="28"/>
        </w:numPr>
        <w:spacing w:before="120"/>
        <w:jc w:val="both"/>
        <w:outlineLvl w:val="2"/>
      </w:pPr>
      <w:r>
        <w:t xml:space="preserve">a Resolution of Status (Class CD) visa; or </w:t>
      </w:r>
    </w:p>
    <w:p w14:paraId="549096B4" w14:textId="4A2C33CF" w:rsidR="00EB701E" w:rsidRDefault="00EB701E" w:rsidP="00900BE2">
      <w:pPr>
        <w:pStyle w:val="ListParagraph"/>
        <w:keepNext/>
        <w:keepLines/>
        <w:numPr>
          <w:ilvl w:val="0"/>
          <w:numId w:val="28"/>
        </w:numPr>
        <w:spacing w:before="120"/>
        <w:jc w:val="both"/>
        <w:outlineLvl w:val="2"/>
      </w:pPr>
      <w:r>
        <w:t xml:space="preserve">a Group 1.3 or Group 1.5 (Permanent resident (refugee and humanitarian)) visa or entry permit within the meaning of the </w:t>
      </w:r>
      <w:r w:rsidRPr="00EA4DAF">
        <w:rPr>
          <w:i/>
        </w:rPr>
        <w:t>Migration (1993) Regulations</w:t>
      </w:r>
      <w:r>
        <w:t xml:space="preserve">; or </w:t>
      </w:r>
    </w:p>
    <w:p w14:paraId="718D45CF" w14:textId="1999B416" w:rsidR="00EB701E" w:rsidRDefault="00EB701E" w:rsidP="00900BE2">
      <w:pPr>
        <w:pStyle w:val="ListParagraph"/>
        <w:keepNext/>
        <w:keepLines/>
        <w:numPr>
          <w:ilvl w:val="0"/>
          <w:numId w:val="28"/>
        </w:numPr>
        <w:spacing w:before="120"/>
        <w:jc w:val="both"/>
        <w:outlineLvl w:val="2"/>
      </w:pPr>
      <w:r>
        <w:t xml:space="preserve">a humanitarian visa, or equivalent entry permit, within the meaning of the </w:t>
      </w:r>
      <w:r w:rsidRPr="00EA4DAF">
        <w:rPr>
          <w:i/>
        </w:rPr>
        <w:t>Migration (1989) Regulations</w:t>
      </w:r>
      <w:r>
        <w:t xml:space="preserve">; or </w:t>
      </w:r>
    </w:p>
    <w:p w14:paraId="6E8F6360" w14:textId="0F9F62FC" w:rsidR="00EB701E" w:rsidRDefault="00EB701E" w:rsidP="00900BE2">
      <w:pPr>
        <w:pStyle w:val="ListParagraph"/>
        <w:keepNext/>
        <w:keepLines/>
        <w:numPr>
          <w:ilvl w:val="0"/>
          <w:numId w:val="28"/>
        </w:numPr>
        <w:spacing w:before="120"/>
        <w:jc w:val="both"/>
        <w:outlineLvl w:val="2"/>
      </w:pPr>
      <w:proofErr w:type="gramStart"/>
      <w:r>
        <w:t>certain</w:t>
      </w:r>
      <w:proofErr w:type="gramEnd"/>
      <w:r>
        <w:t xml:space="preserve"> transitional (permanent) visas, within the meaning of the </w:t>
      </w:r>
      <w:r w:rsidRPr="00EA4DAF">
        <w:rPr>
          <w:i/>
        </w:rPr>
        <w:t>Migration Reform (Transitional Provisions) Regulations</w:t>
      </w:r>
      <w:r>
        <w:t xml:space="preserve">.  </w:t>
      </w:r>
    </w:p>
    <w:p w14:paraId="7A955CBA" w14:textId="4105B7C8" w:rsidR="00813439" w:rsidRDefault="00EB701E" w:rsidP="00900BE2">
      <w:pPr>
        <w:keepNext/>
        <w:keepLines/>
        <w:spacing w:before="120"/>
        <w:jc w:val="both"/>
        <w:outlineLvl w:val="2"/>
      </w:pPr>
      <w:r>
        <w:t xml:space="preserve">A determination made </w:t>
      </w:r>
      <w:r w:rsidR="00AA748F">
        <w:t>under section 11</w:t>
      </w:r>
      <w:r>
        <w:t xml:space="preserve"> can only be in force for a maximum of </w:t>
      </w:r>
      <w:r w:rsidR="00446DDE">
        <w:t>6</w:t>
      </w:r>
      <w:r>
        <w:t xml:space="preserve"> months after the child first enters Australia (see subsection 7(2) of the </w:t>
      </w:r>
      <w:r w:rsidR="00446DDE">
        <w:t>Determination</w:t>
      </w:r>
      <w:r>
        <w:t>).</w:t>
      </w:r>
    </w:p>
    <w:p w14:paraId="35D44330" w14:textId="20D13113" w:rsidR="00132321" w:rsidRDefault="00813439" w:rsidP="00900BE2">
      <w:pPr>
        <w:keepNext/>
        <w:keepLines/>
        <w:spacing w:before="120"/>
        <w:jc w:val="both"/>
        <w:outlineLvl w:val="2"/>
        <w:rPr>
          <w:b/>
        </w:rPr>
      </w:pPr>
      <w:r w:rsidRPr="00FB0ED1">
        <w:rPr>
          <w:b/>
        </w:rPr>
        <w:t>S</w:t>
      </w:r>
      <w:r w:rsidR="00EB701E" w:rsidRPr="00FB0ED1">
        <w:rPr>
          <w:b/>
        </w:rPr>
        <w:t>ection 12</w:t>
      </w:r>
      <w:r w:rsidRPr="00FB0ED1">
        <w:rPr>
          <w:b/>
        </w:rPr>
        <w:t xml:space="preserve"> </w:t>
      </w:r>
      <w:r w:rsidR="00FB0ED1" w:rsidRPr="00FB0ED1">
        <w:t>provides that the Secretary may make a determination that a child meets the immunisation requirements if the child is at ris</w:t>
      </w:r>
      <w:r w:rsidR="00AA748F">
        <w:t xml:space="preserve">k of serious abuse or neglect. </w:t>
      </w:r>
      <w:proofErr w:type="gramStart"/>
      <w:r w:rsidR="00FB0ED1" w:rsidRPr="00FB0ED1">
        <w:t xml:space="preserve">This exemption </w:t>
      </w:r>
      <w:r w:rsidR="006545C0">
        <w:t>can only apply</w:t>
      </w:r>
      <w:r w:rsidR="006545C0" w:rsidRPr="00FB0ED1">
        <w:t xml:space="preserve"> </w:t>
      </w:r>
      <w:r w:rsidR="00FB0ED1" w:rsidRPr="00FB0ED1">
        <w:t>where</w:t>
      </w:r>
      <w:r w:rsidR="00C24B73">
        <w:t>,</w:t>
      </w:r>
      <w:r w:rsidR="00FB0ED1" w:rsidRPr="00FB0ED1">
        <w:t xml:space="preserve"> </w:t>
      </w:r>
      <w:r w:rsidR="0064070B">
        <w:t>but for the immunisation requirements</w:t>
      </w:r>
      <w:r w:rsidR="00C24B73">
        <w:t>,</w:t>
      </w:r>
      <w:r w:rsidR="0064070B" w:rsidRPr="00FB0ED1" w:rsidDel="0064070B">
        <w:t xml:space="preserve"> </w:t>
      </w:r>
      <w:r w:rsidR="0064070B">
        <w:t>an individual would have been</w:t>
      </w:r>
      <w:r w:rsidR="00FB0ED1" w:rsidRPr="00FB0ED1">
        <w:t xml:space="preserve"> </w:t>
      </w:r>
      <w:r w:rsidR="006545C0">
        <w:t xml:space="preserve">eligible for </w:t>
      </w:r>
      <w:r w:rsidR="0064070B">
        <w:t>A</w:t>
      </w:r>
      <w:r w:rsidR="006545C0">
        <w:t>CCS</w:t>
      </w:r>
      <w:r w:rsidR="0064070B">
        <w:t xml:space="preserve"> or an approved provider would have been eligible for ACCS (child wellbeing)</w:t>
      </w:r>
      <w:r w:rsidR="006545C0">
        <w:t xml:space="preserve"> </w:t>
      </w:r>
      <w:r w:rsidR="00FB0ED1" w:rsidRPr="00FB0ED1">
        <w:t>in respect of the child</w:t>
      </w:r>
      <w:r w:rsidR="0064070B">
        <w:t xml:space="preserve">, </w:t>
      </w:r>
      <w:r w:rsidR="00FB0ED1" w:rsidRPr="00FB0ED1">
        <w:t>and</w:t>
      </w:r>
      <w:r w:rsidR="006545C0">
        <w:t xml:space="preserve"> where</w:t>
      </w:r>
      <w:r w:rsidR="00FB0ED1" w:rsidRPr="00FB0ED1">
        <w:t xml:space="preserve"> </w:t>
      </w:r>
      <w:r w:rsidR="00402594">
        <w:t xml:space="preserve">the Secretary </w:t>
      </w:r>
      <w:r w:rsidR="006545C0">
        <w:t>is</w:t>
      </w:r>
      <w:r w:rsidR="00402594">
        <w:t xml:space="preserve"> satisfied that </w:t>
      </w:r>
      <w:r w:rsidR="00FB0ED1" w:rsidRPr="00FB0ED1">
        <w:t xml:space="preserve">a delay in accessing child care would put the child at </w:t>
      </w:r>
      <w:r w:rsidR="00402594">
        <w:t xml:space="preserve">an increased </w:t>
      </w:r>
      <w:r w:rsidR="00FB0ED1" w:rsidRPr="00FB0ED1">
        <w:t>risk of serious abuse or neglect</w:t>
      </w:r>
      <w:r w:rsidR="00402594">
        <w:t>.</w:t>
      </w:r>
      <w:proofErr w:type="gramEnd"/>
    </w:p>
    <w:p w14:paraId="30482AE2" w14:textId="2BADCF79" w:rsidR="00A228BA" w:rsidRDefault="00EB701E" w:rsidP="00900BE2">
      <w:pPr>
        <w:keepNext/>
        <w:keepLines/>
        <w:spacing w:before="120"/>
        <w:jc w:val="both"/>
        <w:outlineLvl w:val="2"/>
      </w:pPr>
      <w:r w:rsidRPr="00FB0ED1">
        <w:rPr>
          <w:b/>
        </w:rPr>
        <w:t>Section 13</w:t>
      </w:r>
      <w:r w:rsidR="00A228BA" w:rsidRPr="00A228BA">
        <w:t xml:space="preserve"> </w:t>
      </w:r>
      <w:r w:rsidR="005D5FF3">
        <w:t>provides that</w:t>
      </w:r>
      <w:r w:rsidR="00402594">
        <w:t xml:space="preserve"> the Secretary may</w:t>
      </w:r>
      <w:r w:rsidR="00A228BA" w:rsidRPr="00A228BA">
        <w:t xml:space="preserve"> make a determination that a child meets the immunisation requirements if:</w:t>
      </w:r>
    </w:p>
    <w:p w14:paraId="6BFC3264" w14:textId="460695B9" w:rsidR="00A228BA" w:rsidRDefault="00A228BA" w:rsidP="00900BE2">
      <w:pPr>
        <w:pStyle w:val="ListParagraph"/>
        <w:keepNext/>
        <w:keepLines/>
        <w:numPr>
          <w:ilvl w:val="0"/>
          <w:numId w:val="29"/>
        </w:numPr>
        <w:spacing w:before="120"/>
        <w:jc w:val="both"/>
        <w:outlineLvl w:val="2"/>
      </w:pPr>
      <w:r w:rsidRPr="00A228BA">
        <w:t xml:space="preserve">a listed medical practitioner </w:t>
      </w:r>
      <w:r w:rsidR="006545C0">
        <w:t xml:space="preserve">(as defined in section 7) </w:t>
      </w:r>
      <w:r w:rsidRPr="00A228BA">
        <w:t>has certified in a form and manner determined by the Secretary that, for the reasons set out in the certificate, immunisation of the child would result in an unacceptable risk of physical harm to the child or a person administering a vaccination to the child; and</w:t>
      </w:r>
    </w:p>
    <w:p w14:paraId="5FD28CEB" w14:textId="2B1729B3" w:rsidR="00A228BA" w:rsidRPr="00A228BA" w:rsidRDefault="00A228BA" w:rsidP="00900BE2">
      <w:pPr>
        <w:pStyle w:val="ListParagraph"/>
        <w:keepNext/>
        <w:keepLines/>
        <w:numPr>
          <w:ilvl w:val="0"/>
          <w:numId w:val="29"/>
        </w:numPr>
        <w:spacing w:before="120"/>
        <w:jc w:val="both"/>
        <w:outlineLvl w:val="2"/>
      </w:pPr>
      <w:proofErr w:type="gramStart"/>
      <w:r w:rsidRPr="00A228BA">
        <w:t>the</w:t>
      </w:r>
      <w:proofErr w:type="gramEnd"/>
      <w:r w:rsidRPr="00A228BA">
        <w:t xml:space="preserve"> Commonwealth Chief Medical Officer has certified in writing that he or she agrees with the listed medical practitioner.</w:t>
      </w:r>
    </w:p>
    <w:p w14:paraId="42100785" w14:textId="77777777" w:rsidR="00A228BA" w:rsidRPr="00A228BA" w:rsidRDefault="00A228BA" w:rsidP="00900BE2">
      <w:pPr>
        <w:keepNext/>
        <w:keepLines/>
        <w:spacing w:before="120"/>
        <w:jc w:val="both"/>
        <w:outlineLvl w:val="2"/>
      </w:pPr>
      <w:r w:rsidRPr="00A228BA">
        <w:t>The provision sets out an example of where this might occur – a child with a disruptive behavioural disorder or developmental disorder who reacts with aggression or defiant behaviour when faced with a medical procedure.</w:t>
      </w:r>
    </w:p>
    <w:p w14:paraId="3EFEE7A1" w14:textId="77777777" w:rsidR="00A228BA" w:rsidRPr="00A228BA" w:rsidRDefault="00A228BA" w:rsidP="00900BE2">
      <w:pPr>
        <w:keepNext/>
        <w:keepLines/>
        <w:spacing w:before="120"/>
        <w:jc w:val="both"/>
        <w:outlineLvl w:val="2"/>
      </w:pPr>
      <w:r w:rsidRPr="00A228BA">
        <w:t xml:space="preserve">Clinical authorities have advised </w:t>
      </w:r>
      <w:proofErr w:type="gramStart"/>
      <w:r w:rsidRPr="00A228BA">
        <w:t>that there are a small number of individuals who do not meet the criteria for medical exemptions set out in the Australian Immunisation Handbook, but for whom the risks of vaccinating are greater than the benefits</w:t>
      </w:r>
      <w:proofErr w:type="gramEnd"/>
      <w:r w:rsidRPr="00A228BA">
        <w:t>.</w:t>
      </w:r>
    </w:p>
    <w:p w14:paraId="2DE7C4F9" w14:textId="45FD2581" w:rsidR="009D7D25" w:rsidRDefault="00A228BA" w:rsidP="00900BE2">
      <w:pPr>
        <w:keepNext/>
        <w:keepLines/>
        <w:spacing w:before="120"/>
        <w:jc w:val="both"/>
        <w:outlineLvl w:val="2"/>
      </w:pPr>
      <w:r w:rsidRPr="00A228BA">
        <w:t>T</w:t>
      </w:r>
      <w:r w:rsidR="009D7D25">
        <w:t xml:space="preserve">his provision </w:t>
      </w:r>
      <w:r w:rsidRPr="00A228BA">
        <w:t>address</w:t>
      </w:r>
      <w:r w:rsidR="009D7D25">
        <w:t>es</w:t>
      </w:r>
      <w:r w:rsidRPr="00A228BA">
        <w:t xml:space="preserve"> thi</w:t>
      </w:r>
      <w:r w:rsidR="009D7D25">
        <w:t xml:space="preserve">s unintended consequence and </w:t>
      </w:r>
      <w:r w:rsidRPr="00A228BA">
        <w:t>respond</w:t>
      </w:r>
      <w:r w:rsidR="009D7D25">
        <w:t>s</w:t>
      </w:r>
      <w:r w:rsidRPr="00A228BA">
        <w:t xml:space="preserve"> to the clinical needs of this sm</w:t>
      </w:r>
      <w:r w:rsidR="009D7D25">
        <w:t>all group of individual</w:t>
      </w:r>
      <w:r w:rsidR="006640EE">
        <w:t>s</w:t>
      </w:r>
      <w:r w:rsidR="009D7D25">
        <w:t xml:space="preserve">, by enabling the Secretary to determine </w:t>
      </w:r>
      <w:r w:rsidR="009D7D25" w:rsidRPr="00A228BA">
        <w:t xml:space="preserve">that </w:t>
      </w:r>
      <w:r w:rsidR="00AF415D">
        <w:t>a child</w:t>
      </w:r>
      <w:r w:rsidR="009D7D25" w:rsidRPr="00A228BA">
        <w:t xml:space="preserve"> </w:t>
      </w:r>
      <w:r w:rsidR="009D7D25">
        <w:t xml:space="preserve">under those circumstances </w:t>
      </w:r>
      <w:r w:rsidR="009D7D25" w:rsidRPr="00A228BA">
        <w:t>meet</w:t>
      </w:r>
      <w:r w:rsidR="009D7D25">
        <w:t xml:space="preserve">s the immunisation requirements. </w:t>
      </w:r>
    </w:p>
    <w:p w14:paraId="039A3FBB" w14:textId="6C7676F9" w:rsidR="009D7D25" w:rsidRDefault="00EE3798" w:rsidP="00900BE2">
      <w:pPr>
        <w:keepNext/>
        <w:keepLines/>
        <w:spacing w:before="120"/>
        <w:jc w:val="both"/>
        <w:outlineLvl w:val="2"/>
      </w:pPr>
      <w:r w:rsidRPr="009D7D25">
        <w:t xml:space="preserve">In order for the Secretary to be satisfied under section 13 of the </w:t>
      </w:r>
      <w:r w:rsidR="00A920D5">
        <w:t>instrument</w:t>
      </w:r>
      <w:r w:rsidRPr="009D7D25">
        <w:t xml:space="preserve"> that a child will pose a risk to themselves or others if vaccination is attempted, the provision provides</w:t>
      </w:r>
      <w:r w:rsidR="009D7D25" w:rsidRPr="009D7D25">
        <w:t xml:space="preserve"> for a</w:t>
      </w:r>
      <w:r w:rsidRPr="009D7D25">
        <w:t xml:space="preserve"> rigorous evidentiary standard to </w:t>
      </w:r>
      <w:proofErr w:type="gramStart"/>
      <w:r w:rsidRPr="009D7D25">
        <w:t>be met</w:t>
      </w:r>
      <w:proofErr w:type="gramEnd"/>
      <w:r w:rsidRPr="009D7D25">
        <w:t xml:space="preserve">. </w:t>
      </w:r>
    </w:p>
    <w:p w14:paraId="3909D11F" w14:textId="58F98748" w:rsidR="009D7D25" w:rsidRDefault="009D7D25" w:rsidP="00900BE2">
      <w:pPr>
        <w:keepNext/>
        <w:keepLines/>
        <w:spacing w:before="120"/>
        <w:jc w:val="both"/>
        <w:outlineLvl w:val="2"/>
      </w:pPr>
      <w:r w:rsidRPr="00A228BA">
        <w:t xml:space="preserve">Listed medical practitioners are expected to be clinicians with specialist expertise in immunisation, for example those working in specialist immunisation clinics. There will only be a very </w:t>
      </w:r>
      <w:proofErr w:type="gramStart"/>
      <w:r w:rsidRPr="00A228BA">
        <w:t>limited,</w:t>
      </w:r>
      <w:proofErr w:type="gramEnd"/>
      <w:r w:rsidRPr="00A228BA">
        <w:t xml:space="preserve"> and highly qualified group of medical practitioners nominated.</w:t>
      </w:r>
    </w:p>
    <w:p w14:paraId="4D48FCB2" w14:textId="77777777" w:rsidR="009D7D25" w:rsidRDefault="009D7D25" w:rsidP="00900BE2">
      <w:pPr>
        <w:keepNext/>
        <w:keepLines/>
        <w:spacing w:before="120"/>
        <w:jc w:val="both"/>
        <w:outlineLvl w:val="2"/>
      </w:pPr>
      <w:r w:rsidRPr="009D7D25">
        <w:t xml:space="preserve">The Chief Health Officer in each state and territory must nominate in writing to the Commonwealth Chief Medical Officer the ‘listed medical practitioner/s’ for their State or Territory. Chief Health Officers can also request the removal of a listed medical practitioner(s) if they are no longer required to perform the role.  </w:t>
      </w:r>
    </w:p>
    <w:p w14:paraId="12BEF536" w14:textId="0B47F704" w:rsidR="009D7D25" w:rsidRPr="003340A1" w:rsidRDefault="009D7D25" w:rsidP="00900BE2">
      <w:pPr>
        <w:keepNext/>
        <w:keepLines/>
        <w:spacing w:before="120"/>
        <w:jc w:val="both"/>
        <w:outlineLvl w:val="2"/>
      </w:pPr>
      <w:r w:rsidRPr="003340A1">
        <w:rPr>
          <w:szCs w:val="24"/>
        </w:rPr>
        <w:t>The Department of Health has previously consulted health departments in each State and Territory who agreed to ensure there will only be a small number of highly qualified 'listed medical practitioners' able to assess patients and refer their details to the Chief Medical Officer for consideration under this</w:t>
      </w:r>
      <w:r w:rsidR="00A920D5">
        <w:rPr>
          <w:szCs w:val="24"/>
        </w:rPr>
        <w:t xml:space="preserve"> instrument.</w:t>
      </w:r>
      <w:r w:rsidRPr="003340A1">
        <w:rPr>
          <w:szCs w:val="24"/>
        </w:rPr>
        <w:t xml:space="preserve"> The Department of Health will keep a list of listed medical practitioners, which is a defined term in section 7 of the </w:t>
      </w:r>
      <w:r w:rsidR="006640EE">
        <w:rPr>
          <w:szCs w:val="24"/>
        </w:rPr>
        <w:t>Determination</w:t>
      </w:r>
      <w:r w:rsidRPr="003340A1">
        <w:rPr>
          <w:szCs w:val="24"/>
        </w:rPr>
        <w:t>.</w:t>
      </w:r>
    </w:p>
    <w:p w14:paraId="5E2913B5" w14:textId="18B70388" w:rsidR="00EB701E" w:rsidRPr="009D7D25" w:rsidRDefault="00A228BA" w:rsidP="00900BE2">
      <w:pPr>
        <w:keepNext/>
        <w:keepLines/>
        <w:spacing w:before="120"/>
        <w:jc w:val="both"/>
        <w:outlineLvl w:val="2"/>
      </w:pPr>
      <w:r w:rsidRPr="00A228BA">
        <w:t>A</w:t>
      </w:r>
      <w:r w:rsidR="00132321">
        <w:t xml:space="preserve"> note to the </w:t>
      </w:r>
      <w:r>
        <w:t xml:space="preserve">section also highlights that </w:t>
      </w:r>
      <w:r w:rsidR="00132321">
        <w:t>subsection</w:t>
      </w:r>
      <w:r w:rsidRPr="00A228BA">
        <w:t xml:space="preserve"> 6(3) of the </w:t>
      </w:r>
      <w:r w:rsidR="007F1C76">
        <w:rPr>
          <w:szCs w:val="24"/>
        </w:rPr>
        <w:t xml:space="preserve">Assistance </w:t>
      </w:r>
      <w:r w:rsidRPr="00A228BA">
        <w:t xml:space="preserve">Act already provides that a child </w:t>
      </w:r>
      <w:proofErr w:type="gramStart"/>
      <w:r w:rsidRPr="00A228BA">
        <w:t>meets</w:t>
      </w:r>
      <w:proofErr w:type="gramEnd"/>
      <w:r w:rsidRPr="00A228BA">
        <w:t xml:space="preserve"> the immunisation requirements if immunisation would be medically contraindicated, the child has developed a natural immunity, or the child is participating in a vaccine study.</w:t>
      </w:r>
    </w:p>
    <w:p w14:paraId="505D0E91" w14:textId="3ECB8C3B" w:rsidR="00C06270" w:rsidRDefault="00EB701E" w:rsidP="00900BE2">
      <w:pPr>
        <w:keepNext/>
        <w:keepLines/>
        <w:spacing w:before="120"/>
        <w:jc w:val="both"/>
        <w:outlineLvl w:val="2"/>
      </w:pPr>
      <w:r w:rsidRPr="005D5FF3">
        <w:rPr>
          <w:b/>
        </w:rPr>
        <w:t xml:space="preserve">Section 14 </w:t>
      </w:r>
      <w:r w:rsidR="006B2035" w:rsidRPr="006B2035">
        <w:t>in</w:t>
      </w:r>
      <w:r w:rsidR="006B2035">
        <w:t xml:space="preserve">tends to ensure that where a vaccination deadline is missed for a child, the </w:t>
      </w:r>
      <w:proofErr w:type="gramStart"/>
      <w:r w:rsidR="006B2035">
        <w:t>63 day</w:t>
      </w:r>
      <w:proofErr w:type="gramEnd"/>
      <w:r w:rsidR="006B2035">
        <w:t xml:space="preserve"> grace period only starts </w:t>
      </w:r>
      <w:r w:rsidR="006F287C">
        <w:t>from the date specified in a</w:t>
      </w:r>
      <w:r w:rsidR="006B2035">
        <w:t xml:space="preserve"> notice</w:t>
      </w:r>
      <w:r w:rsidR="006F287C">
        <w:t xml:space="preserve"> that</w:t>
      </w:r>
      <w:r w:rsidR="006B2035">
        <w:t xml:space="preserve"> is received</w:t>
      </w:r>
      <w:r w:rsidR="006F287C">
        <w:t xml:space="preserve"> by a parent or guardian</w:t>
      </w:r>
      <w:r w:rsidR="006B2035">
        <w:t xml:space="preserve"> informing that the vaccination was missed and that the 63 day grace period </w:t>
      </w:r>
      <w:r w:rsidR="006F287C">
        <w:t xml:space="preserve">is to </w:t>
      </w:r>
      <w:r w:rsidR="006B2035">
        <w:t xml:space="preserve">commence. To give effect to this intention, it </w:t>
      </w:r>
      <w:r w:rsidR="005D5FF3">
        <w:t>provides that the Secretary may make a determination that a child meets the immunisation requirements if</w:t>
      </w:r>
      <w:r w:rsidR="00C06270">
        <w:t>:</w:t>
      </w:r>
    </w:p>
    <w:p w14:paraId="70D70A20" w14:textId="41B0D30B" w:rsidR="00C06270" w:rsidRDefault="00C06270" w:rsidP="00900BE2">
      <w:pPr>
        <w:pStyle w:val="ListParagraph"/>
        <w:keepNext/>
        <w:keepLines/>
        <w:numPr>
          <w:ilvl w:val="0"/>
          <w:numId w:val="29"/>
        </w:numPr>
        <w:spacing w:before="120"/>
        <w:jc w:val="both"/>
        <w:outlineLvl w:val="2"/>
      </w:pPr>
      <w:r>
        <w:t>the child has not been immunised in accordance with subsection 6(2) of the</w:t>
      </w:r>
      <w:r w:rsidR="007F1C76" w:rsidRPr="007F1C76">
        <w:rPr>
          <w:szCs w:val="24"/>
        </w:rPr>
        <w:t xml:space="preserve"> </w:t>
      </w:r>
      <w:r w:rsidR="007F1C76">
        <w:rPr>
          <w:szCs w:val="24"/>
        </w:rPr>
        <w:t>Family Assistance</w:t>
      </w:r>
      <w:r>
        <w:t xml:space="preserve"> Act, due to missing a vaccination that was required within one month of an age (as set out in column</w:t>
      </w:r>
      <w:r w:rsidR="00C93981">
        <w:t> </w:t>
      </w:r>
      <w:r>
        <w:t xml:space="preserve">2 of a standard vaccination schedule in Part 3 of the </w:t>
      </w:r>
      <w:r w:rsidR="00C93981">
        <w:t>Determination</w:t>
      </w:r>
      <w:r>
        <w:t>); and</w:t>
      </w:r>
    </w:p>
    <w:p w14:paraId="3F00869B" w14:textId="0104EF13" w:rsidR="002822EE" w:rsidRDefault="002822EE" w:rsidP="00900BE2">
      <w:pPr>
        <w:pStyle w:val="ListParagraph"/>
        <w:keepNext/>
        <w:keepLines/>
        <w:numPr>
          <w:ilvl w:val="0"/>
          <w:numId w:val="29"/>
        </w:numPr>
        <w:spacing w:before="120"/>
        <w:jc w:val="both"/>
        <w:outlineLvl w:val="2"/>
      </w:pPr>
      <w:proofErr w:type="gramStart"/>
      <w:r>
        <w:t>the</w:t>
      </w:r>
      <w:proofErr w:type="gramEnd"/>
      <w:r>
        <w:t xml:space="preserve"> individual or approved provider has not yet received the notice reminding </w:t>
      </w:r>
      <w:r w:rsidR="0087001C">
        <w:t xml:space="preserve">to have the child immunised, </w:t>
      </w:r>
      <w:r w:rsidR="00900BE2">
        <w:t>(this objective is achieved by referring to the date of the notice that has not yet arrived)</w:t>
      </w:r>
      <w:r w:rsidR="00C06270">
        <w:t xml:space="preserve">. </w:t>
      </w:r>
    </w:p>
    <w:p w14:paraId="4B63CB8E" w14:textId="21CF96F1" w:rsidR="00402594" w:rsidRDefault="004C1B09" w:rsidP="00900BE2">
      <w:pPr>
        <w:keepNext/>
        <w:keepLines/>
        <w:spacing w:before="120"/>
        <w:jc w:val="both"/>
        <w:outlineLvl w:val="2"/>
      </w:pPr>
      <w:r>
        <w:t>Th</w:t>
      </w:r>
      <w:r w:rsidR="006B2035">
        <w:t xml:space="preserve">e provision </w:t>
      </w:r>
      <w:proofErr w:type="gramStart"/>
      <w:r w:rsidR="006B2035">
        <w:t>is also intended</w:t>
      </w:r>
      <w:proofErr w:type="gramEnd"/>
      <w:r w:rsidR="006B2035">
        <w:t xml:space="preserve"> to align the immunisation grace period with the grace period that will apply (subject to amendments proposed by the </w:t>
      </w:r>
      <w:r w:rsidR="006B2035" w:rsidRPr="00591725">
        <w:rPr>
          <w:i/>
        </w:rPr>
        <w:t xml:space="preserve">Family Assistance and Child Support Legislation Amendment (Protecting Children) </w:t>
      </w:r>
      <w:r w:rsidR="007F1C76">
        <w:rPr>
          <w:i/>
        </w:rPr>
        <w:t>Act</w:t>
      </w:r>
      <w:r w:rsidR="007F1C76" w:rsidRPr="00591725">
        <w:rPr>
          <w:i/>
        </w:rPr>
        <w:t xml:space="preserve"> </w:t>
      </w:r>
      <w:r w:rsidR="006B2035" w:rsidRPr="00591725">
        <w:rPr>
          <w:i/>
        </w:rPr>
        <w:t>201</w:t>
      </w:r>
      <w:r w:rsidR="007F1C76">
        <w:rPr>
          <w:i/>
        </w:rPr>
        <w:t>8</w:t>
      </w:r>
      <w:r w:rsidR="006B2035">
        <w:t xml:space="preserve">) for the purposes of a reduction in an individual’s FTB. </w:t>
      </w:r>
    </w:p>
    <w:p w14:paraId="3BD05C7A" w14:textId="38959774" w:rsidR="00B72EAA" w:rsidRDefault="007A115F" w:rsidP="00900BE2">
      <w:pPr>
        <w:keepNext/>
        <w:keepLines/>
        <w:spacing w:before="120"/>
        <w:jc w:val="both"/>
        <w:outlineLvl w:val="2"/>
      </w:pPr>
      <w:proofErr w:type="gramStart"/>
      <w:r w:rsidRPr="00D062F0">
        <w:rPr>
          <w:b/>
        </w:rPr>
        <w:t>Section 15</w:t>
      </w:r>
      <w:r>
        <w:t xml:space="preserve"> </w:t>
      </w:r>
      <w:r w:rsidRPr="00FB0ED1">
        <w:t xml:space="preserve">provides that the Secretary may make a determination that a child meets the immunisation requirements </w:t>
      </w:r>
      <w:r>
        <w:t xml:space="preserve">for a </w:t>
      </w:r>
      <w:r w:rsidRPr="00FB0ED1">
        <w:t>child</w:t>
      </w:r>
      <w:r>
        <w:t xml:space="preserve"> born </w:t>
      </w:r>
      <w:r w:rsidR="00357EBA">
        <w:t xml:space="preserve">between </w:t>
      </w:r>
      <w:r>
        <w:t>1 J</w:t>
      </w:r>
      <w:r w:rsidR="00357EBA">
        <w:t>anuary 2017 and 1 February 2018</w:t>
      </w:r>
      <w:r>
        <w:t xml:space="preserve"> despite the child not receiving the vaccinations in accordance with Schedule 4 (as applicable under section 16 of the </w:t>
      </w:r>
      <w:r w:rsidR="00C93981">
        <w:t>Determination</w:t>
      </w:r>
      <w:r>
        <w:t xml:space="preserve">), if the child has received the vaccinations in accordance with Schedule 3 to the </w:t>
      </w:r>
      <w:r w:rsidR="00C93981">
        <w:t>Determination</w:t>
      </w:r>
      <w:r w:rsidR="00546D23">
        <w:t xml:space="preserve"> </w:t>
      </w:r>
      <w:r w:rsidR="00357EBA">
        <w:t xml:space="preserve">(as if the child was born </w:t>
      </w:r>
      <w:r w:rsidR="00357EBA" w:rsidRPr="00357EBA">
        <w:t>on or after 1 October 2014 and before 1 January 2017</w:t>
      </w:r>
      <w:r w:rsidR="00357EBA">
        <w:t>).</w:t>
      </w:r>
      <w:proofErr w:type="gramEnd"/>
      <w:r w:rsidR="00357EBA">
        <w:t xml:space="preserve"> </w:t>
      </w:r>
      <w:r w:rsidR="00B72EAA">
        <w:t>The 13-month period reflects that children born between those dates can receive vaccinations consistently with Schedule 3 (or Schedule 4 of the previous Vaccination Schedule</w:t>
      </w:r>
      <w:r w:rsidR="00C05EFF">
        <w:t>s</w:t>
      </w:r>
      <w:r w:rsidR="00B72EAA">
        <w:t>).</w:t>
      </w:r>
    </w:p>
    <w:p w14:paraId="6CA2ACAF" w14:textId="2EEF1E2B" w:rsidR="00D5036D" w:rsidRPr="005D5FF3" w:rsidRDefault="00E85BFF" w:rsidP="00900BE2">
      <w:pPr>
        <w:keepNext/>
        <w:keepLines/>
        <w:spacing w:before="120"/>
        <w:jc w:val="both"/>
        <w:outlineLvl w:val="2"/>
        <w:rPr>
          <w:rFonts w:ascii="Arial" w:hAnsi="Arial" w:cs="Arial"/>
          <w:b/>
          <w:bCs/>
          <w:sz w:val="22"/>
        </w:rPr>
      </w:pPr>
      <w:r>
        <w:t xml:space="preserve">This provision reflects the changes made to the </w:t>
      </w:r>
      <w:r w:rsidRPr="00107865">
        <w:rPr>
          <w:rFonts w:eastAsiaTheme="minorEastAsia"/>
          <w:i/>
          <w:szCs w:val="24"/>
        </w:rPr>
        <w:t>National Health (Immunisation Program — Designated Vaccines) Determination 2014 (No. 1)</w:t>
      </w:r>
      <w:r>
        <w:rPr>
          <w:rFonts w:eastAsiaTheme="minorEastAsia"/>
          <w:szCs w:val="24"/>
        </w:rPr>
        <w:t xml:space="preserve"> which results in a new S</w:t>
      </w:r>
      <w:r w:rsidR="00546D23">
        <w:rPr>
          <w:rFonts w:eastAsiaTheme="minorEastAsia"/>
          <w:szCs w:val="24"/>
        </w:rPr>
        <w:t xml:space="preserve">chedule 4 to the </w:t>
      </w:r>
      <w:r w:rsidR="00C93981">
        <w:rPr>
          <w:rFonts w:eastAsiaTheme="minorEastAsia"/>
          <w:szCs w:val="24"/>
        </w:rPr>
        <w:t>Determination</w:t>
      </w:r>
      <w:r w:rsidR="00546D23">
        <w:rPr>
          <w:rFonts w:eastAsiaTheme="minorEastAsia"/>
          <w:szCs w:val="24"/>
        </w:rPr>
        <w:t>.</w:t>
      </w:r>
      <w:r w:rsidR="00B72EAA">
        <w:rPr>
          <w:rFonts w:eastAsiaTheme="minorEastAsia"/>
          <w:szCs w:val="24"/>
        </w:rPr>
        <w:t xml:space="preserve"> </w:t>
      </w:r>
      <w:r w:rsidR="00357EBA">
        <w:t xml:space="preserve">This provision intends to ensure that children who were </w:t>
      </w:r>
      <w:r w:rsidR="007F6FA2">
        <w:t xml:space="preserve">born </w:t>
      </w:r>
      <w:r w:rsidR="00357EBA">
        <w:t>on or after 1</w:t>
      </w:r>
      <w:r w:rsidR="00C93981">
        <w:t> </w:t>
      </w:r>
      <w:r w:rsidR="00357EBA">
        <w:t xml:space="preserve">January 2017 are not required to </w:t>
      </w:r>
      <w:r w:rsidR="00546D23">
        <w:t xml:space="preserve">receive an extra fourth dose of vaccination for Pneumococcal and Hib in accordance with Schedule 4 to the </w:t>
      </w:r>
      <w:r w:rsidR="00C93981">
        <w:t>Determination</w:t>
      </w:r>
      <w:r w:rsidR="00546D23">
        <w:t xml:space="preserve"> when they </w:t>
      </w:r>
      <w:proofErr w:type="gramStart"/>
      <w:r w:rsidR="00546D23">
        <w:t>have already been vaccinated</w:t>
      </w:r>
      <w:proofErr w:type="gramEnd"/>
      <w:r w:rsidR="00546D23">
        <w:t xml:space="preserve"> in accordance with Schedule 3 before the </w:t>
      </w:r>
      <w:r w:rsidR="00C93981">
        <w:t>Determination</w:t>
      </w:r>
      <w:r w:rsidR="00546D23">
        <w:t xml:space="preserve"> commences. </w:t>
      </w:r>
    </w:p>
    <w:p w14:paraId="503A6EE4" w14:textId="77777777" w:rsidR="00DA6BF7" w:rsidRDefault="00DA6BF7" w:rsidP="00900BE2">
      <w:pPr>
        <w:keepNext/>
        <w:keepLines/>
        <w:spacing w:before="120"/>
        <w:jc w:val="both"/>
        <w:outlineLvl w:val="2"/>
        <w:rPr>
          <w:rFonts w:ascii="Arial" w:hAnsi="Arial" w:cs="Arial"/>
          <w:b/>
          <w:bCs/>
          <w:sz w:val="22"/>
        </w:rPr>
      </w:pPr>
    </w:p>
    <w:p w14:paraId="46EF2BCA" w14:textId="38CA9ECA" w:rsidR="00D5036D" w:rsidRPr="00D5036D" w:rsidRDefault="00D5036D" w:rsidP="00900BE2">
      <w:pPr>
        <w:keepNext/>
        <w:keepLines/>
        <w:spacing w:before="120"/>
        <w:jc w:val="both"/>
        <w:outlineLvl w:val="2"/>
        <w:rPr>
          <w:rFonts w:ascii="Arial" w:hAnsi="Arial" w:cs="Arial"/>
          <w:b/>
          <w:bCs/>
          <w:sz w:val="22"/>
        </w:rPr>
      </w:pPr>
      <w:r>
        <w:rPr>
          <w:rFonts w:ascii="Arial" w:hAnsi="Arial" w:cs="Arial"/>
          <w:b/>
          <w:bCs/>
          <w:sz w:val="22"/>
        </w:rPr>
        <w:t>Part 3</w:t>
      </w:r>
      <w:r>
        <w:rPr>
          <w:rFonts w:ascii="Arial" w:hAnsi="Arial" w:cs="Arial"/>
          <w:b/>
          <w:bCs/>
          <w:sz w:val="22"/>
        </w:rPr>
        <w:tab/>
      </w:r>
      <w:r>
        <w:rPr>
          <w:rFonts w:ascii="Arial" w:hAnsi="Arial" w:cs="Arial"/>
          <w:b/>
          <w:bCs/>
          <w:sz w:val="22"/>
        </w:rPr>
        <w:tab/>
      </w:r>
      <w:r w:rsidRPr="00D5036D">
        <w:rPr>
          <w:rFonts w:ascii="Arial" w:hAnsi="Arial" w:cs="Arial"/>
          <w:b/>
          <w:bCs/>
          <w:sz w:val="22"/>
        </w:rPr>
        <w:t>Vaccination schedules</w:t>
      </w:r>
    </w:p>
    <w:p w14:paraId="650AB1F1" w14:textId="167CB6BA" w:rsidR="00D84F82" w:rsidRPr="00D84F82" w:rsidRDefault="00D84F82" w:rsidP="00900BE2">
      <w:pPr>
        <w:keepNext/>
        <w:keepLines/>
        <w:spacing w:before="120"/>
        <w:jc w:val="both"/>
        <w:outlineLvl w:val="2"/>
      </w:pPr>
      <w:r w:rsidRPr="00D84F82">
        <w:t xml:space="preserve">Part 3 </w:t>
      </w:r>
      <w:r>
        <w:t>contains the standard vaccination schedule and catch up vaccination schedule for children.</w:t>
      </w:r>
    </w:p>
    <w:p w14:paraId="5D5FAE55" w14:textId="27DF5B94" w:rsidR="007725CB" w:rsidRDefault="000204E2" w:rsidP="00900BE2">
      <w:pPr>
        <w:keepNext/>
        <w:keepLines/>
        <w:spacing w:before="120"/>
        <w:jc w:val="both"/>
        <w:outlineLvl w:val="2"/>
      </w:pPr>
      <w:r w:rsidRPr="00DC64A7">
        <w:rPr>
          <w:b/>
        </w:rPr>
        <w:t>Section</w:t>
      </w:r>
      <w:r w:rsidR="00DC64A7" w:rsidRPr="00DC64A7">
        <w:rPr>
          <w:b/>
        </w:rPr>
        <w:t xml:space="preserve"> 1</w:t>
      </w:r>
      <w:r w:rsidR="00E9751D">
        <w:rPr>
          <w:b/>
        </w:rPr>
        <w:t>6</w:t>
      </w:r>
      <w:r w:rsidR="00D84F82">
        <w:rPr>
          <w:b/>
        </w:rPr>
        <w:t xml:space="preserve"> </w:t>
      </w:r>
      <w:r w:rsidR="002474E1">
        <w:t xml:space="preserve">determines standard vaccination schedules for the purposes of paragraph (a) of the definition of immunised in subsection 3(1) of the </w:t>
      </w:r>
      <w:r w:rsidR="00AC23D3">
        <w:t xml:space="preserve">Assistance </w:t>
      </w:r>
      <w:r w:rsidR="002474E1">
        <w:t xml:space="preserve">Act. </w:t>
      </w:r>
      <w:r w:rsidR="00D84F82">
        <w:t xml:space="preserve">Subsection </w:t>
      </w:r>
      <w:r w:rsidR="002474E1">
        <w:t>1</w:t>
      </w:r>
      <w:r w:rsidR="00A5457F">
        <w:t>6</w:t>
      </w:r>
      <w:r w:rsidR="00D84F82">
        <w:t xml:space="preserve">(1) </w:t>
      </w:r>
      <w:r w:rsidR="002474E1">
        <w:t xml:space="preserve">provides that </w:t>
      </w:r>
      <w:r w:rsidR="00D84F82">
        <w:t>standard vaccination schedules</w:t>
      </w:r>
      <w:r w:rsidR="002474E1">
        <w:t xml:space="preserve"> </w:t>
      </w:r>
      <w:proofErr w:type="gramStart"/>
      <w:r w:rsidR="002474E1">
        <w:t>are</w:t>
      </w:r>
      <w:proofErr w:type="gramEnd"/>
      <w:r w:rsidR="002474E1">
        <w:t xml:space="preserve"> set out in Schedules 1 to </w:t>
      </w:r>
      <w:r w:rsidR="00A5457F">
        <w:t>4</w:t>
      </w:r>
      <w:r w:rsidR="00D84F82">
        <w:t xml:space="preserve"> to the </w:t>
      </w:r>
      <w:r w:rsidR="00C93981">
        <w:t>Determination</w:t>
      </w:r>
      <w:r w:rsidR="00D84F82">
        <w:t xml:space="preserve">. </w:t>
      </w:r>
      <w:r w:rsidR="00997A9D">
        <w:t>The application of a schedule</w:t>
      </w:r>
      <w:r w:rsidR="00D84F82">
        <w:t xml:space="preserve"> to a particular child depen</w:t>
      </w:r>
      <w:r w:rsidR="007725CB">
        <w:t>ds on the child’s date of birth:</w:t>
      </w:r>
    </w:p>
    <w:p w14:paraId="5EFB397F" w14:textId="5153002A" w:rsidR="007725CB" w:rsidRDefault="002474E1" w:rsidP="00900BE2">
      <w:pPr>
        <w:pStyle w:val="ListParagraph"/>
        <w:keepNext/>
        <w:keepLines/>
        <w:numPr>
          <w:ilvl w:val="0"/>
          <w:numId w:val="33"/>
        </w:numPr>
        <w:spacing w:before="120"/>
        <w:jc w:val="both"/>
        <w:outlineLvl w:val="2"/>
      </w:pPr>
      <w:r>
        <w:t>Schedule 1</w:t>
      </w:r>
      <w:r w:rsidR="00D84F82">
        <w:t xml:space="preserve"> applies if the child was born on or after 1 May 1998 an</w:t>
      </w:r>
      <w:r w:rsidR="007725CB">
        <w:t>d before 1 July 2012</w:t>
      </w:r>
    </w:p>
    <w:p w14:paraId="7CDBF7BA" w14:textId="12EB1CF8" w:rsidR="007725CB" w:rsidRDefault="002474E1" w:rsidP="00900BE2">
      <w:pPr>
        <w:pStyle w:val="ListParagraph"/>
        <w:keepNext/>
        <w:keepLines/>
        <w:numPr>
          <w:ilvl w:val="0"/>
          <w:numId w:val="33"/>
        </w:numPr>
        <w:spacing w:before="120"/>
        <w:jc w:val="both"/>
        <w:outlineLvl w:val="2"/>
      </w:pPr>
      <w:r>
        <w:t>Schedule 2</w:t>
      </w:r>
      <w:r w:rsidR="00D84F82">
        <w:t xml:space="preserve"> applies if the child was born on or after 1 July 2012 and befor</w:t>
      </w:r>
      <w:r>
        <w:t>e 1</w:t>
      </w:r>
      <w:r w:rsidR="00C963F3">
        <w:t> </w:t>
      </w:r>
      <w:r>
        <w:t>Oc</w:t>
      </w:r>
      <w:r w:rsidR="007725CB">
        <w:t>tober</w:t>
      </w:r>
      <w:r w:rsidR="00C963F3">
        <w:t> </w:t>
      </w:r>
      <w:r w:rsidR="007725CB">
        <w:t>2014;</w:t>
      </w:r>
      <w:r>
        <w:t xml:space="preserve"> and </w:t>
      </w:r>
    </w:p>
    <w:p w14:paraId="22EF4528" w14:textId="7E60D5D7" w:rsidR="00E9751D" w:rsidRDefault="002474E1" w:rsidP="00900BE2">
      <w:pPr>
        <w:pStyle w:val="ListParagraph"/>
        <w:keepNext/>
        <w:keepLines/>
        <w:numPr>
          <w:ilvl w:val="0"/>
          <w:numId w:val="33"/>
        </w:numPr>
        <w:spacing w:before="120"/>
        <w:jc w:val="both"/>
        <w:outlineLvl w:val="2"/>
      </w:pPr>
      <w:r>
        <w:t>Schedule 3</w:t>
      </w:r>
      <w:r w:rsidR="00D84F82">
        <w:t xml:space="preserve"> applies if the child was born on or after 1 October 2014</w:t>
      </w:r>
      <w:r w:rsidR="00E9751D">
        <w:t xml:space="preserve"> and before 1</w:t>
      </w:r>
      <w:r w:rsidR="00C963F3">
        <w:t> </w:t>
      </w:r>
      <w:r w:rsidR="00E9751D">
        <w:t xml:space="preserve">January 2017; and </w:t>
      </w:r>
    </w:p>
    <w:p w14:paraId="1B1C95C9" w14:textId="199F7BDB" w:rsidR="00D84F82" w:rsidRDefault="003B3E02" w:rsidP="00900BE2">
      <w:pPr>
        <w:pStyle w:val="ListParagraph"/>
        <w:keepNext/>
        <w:keepLines/>
        <w:numPr>
          <w:ilvl w:val="0"/>
          <w:numId w:val="33"/>
        </w:numPr>
        <w:spacing w:before="120"/>
        <w:jc w:val="both"/>
        <w:outlineLvl w:val="2"/>
      </w:pPr>
      <w:r>
        <w:t>Schedule 4 applies if the child was born on or after 1 January 2017</w:t>
      </w:r>
      <w:r w:rsidR="00D84F82">
        <w:t>.</w:t>
      </w:r>
    </w:p>
    <w:p w14:paraId="1D3647B9" w14:textId="610708B6" w:rsidR="000204E2" w:rsidRDefault="002474E1" w:rsidP="00900BE2">
      <w:pPr>
        <w:keepNext/>
        <w:keepLines/>
        <w:spacing w:before="120"/>
        <w:jc w:val="both"/>
        <w:outlineLvl w:val="2"/>
      </w:pPr>
      <w:r>
        <w:t>Subsection 1</w:t>
      </w:r>
      <w:r w:rsidR="00A5457F">
        <w:t>6</w:t>
      </w:r>
      <w:r w:rsidR="00D84F82">
        <w:t xml:space="preserve">(2) provides that a child will not be overdue for a vaccination under the standard vaccination schedule for the child until 1 month after the vaccination was due. It also provides that, if the child is vaccinated in Australia, a vaccine used to vaccinate a child in accordance with the vaccination schedule for the child must be registered as a vaccine on the Australian Register of Therapeutic Goods and that </w:t>
      </w:r>
      <w:proofErr w:type="gramStart"/>
      <w:r w:rsidR="00D84F82">
        <w:t>the vaccine must be administered by a recognised immunisation provider</w:t>
      </w:r>
      <w:proofErr w:type="gramEnd"/>
      <w:r w:rsidR="00D84F82">
        <w:t>.</w:t>
      </w:r>
    </w:p>
    <w:p w14:paraId="5A60BFF0" w14:textId="1B94A9D2" w:rsidR="00BF5680" w:rsidRPr="00816FD4" w:rsidRDefault="00DC64A7" w:rsidP="00900BE2">
      <w:pPr>
        <w:keepNext/>
        <w:keepLines/>
        <w:spacing w:before="120"/>
        <w:jc w:val="both"/>
        <w:outlineLvl w:val="2"/>
      </w:pPr>
      <w:r w:rsidRPr="00DC64A7">
        <w:rPr>
          <w:b/>
        </w:rPr>
        <w:t>Section 1</w:t>
      </w:r>
      <w:r w:rsidR="003B3E02">
        <w:rPr>
          <w:b/>
        </w:rPr>
        <w:t>7</w:t>
      </w:r>
      <w:r>
        <w:t xml:space="preserve"> </w:t>
      </w:r>
      <w:r w:rsidR="009A501E">
        <w:t xml:space="preserve">determines the catch up vaccination schedules under section 4 of the Assistance Act for the purposes of paragraph (b) of the definition of “immunised” in section 3. At the time the Determination </w:t>
      </w:r>
      <w:proofErr w:type="gramStart"/>
      <w:r w:rsidR="009A501E">
        <w:t>is made</w:t>
      </w:r>
      <w:proofErr w:type="gramEnd"/>
      <w:r w:rsidR="009A501E">
        <w:t xml:space="preserve">, the catch up vaccination schedule is determined in accordance with section 2.1.5 of the 10th edition of the </w:t>
      </w:r>
      <w:r w:rsidR="009A501E" w:rsidRPr="009A501E">
        <w:rPr>
          <w:i/>
        </w:rPr>
        <w:t>Australian Immunisation Handbook</w:t>
      </w:r>
      <w:r w:rsidR="009A501E">
        <w:t>, in relation to the antigens and diseases mentioned in the standard vaccination schedule that would otherwise apply to the child</w:t>
      </w:r>
      <w:r w:rsidR="00591725">
        <w:t xml:space="preserve">. </w:t>
      </w:r>
      <w:r w:rsidR="00816FD4">
        <w:t xml:space="preserve">The </w:t>
      </w:r>
      <w:r w:rsidR="00816FD4" w:rsidRPr="006D7783">
        <w:rPr>
          <w:b/>
          <w:i/>
        </w:rPr>
        <w:t>Australian Immunisation Handbook</w:t>
      </w:r>
      <w:r w:rsidR="00816FD4">
        <w:t xml:space="preserve"> </w:t>
      </w:r>
      <w:proofErr w:type="gramStart"/>
      <w:r w:rsidR="00816FD4">
        <w:t>is defined</w:t>
      </w:r>
      <w:proofErr w:type="gramEnd"/>
      <w:r w:rsidR="00816FD4">
        <w:t xml:space="preserve"> in the </w:t>
      </w:r>
      <w:r w:rsidR="0031111A">
        <w:t xml:space="preserve">Determination </w:t>
      </w:r>
      <w:r w:rsidR="00816FD4">
        <w:t xml:space="preserve">as the latest edition of that handbook published by the </w:t>
      </w:r>
      <w:r w:rsidR="0031111A" w:rsidRPr="0031111A">
        <w:t>National Health and Medical Research Council</w:t>
      </w:r>
      <w:r w:rsidR="0031111A" w:rsidRPr="0031111A" w:rsidDel="0031111A">
        <w:t xml:space="preserve"> </w:t>
      </w:r>
      <w:r w:rsidR="00816FD4">
        <w:t>(which means that if a newer edition is published, this will replace the 10</w:t>
      </w:r>
      <w:r w:rsidR="00816FD4" w:rsidRPr="00A920D5">
        <w:rPr>
          <w:vertAlign w:val="superscript"/>
        </w:rPr>
        <w:t>th</w:t>
      </w:r>
      <w:r w:rsidR="00816FD4">
        <w:t xml:space="preserve"> edition for the purposes of this </w:t>
      </w:r>
      <w:r w:rsidR="00C963F3">
        <w:t>Determination</w:t>
      </w:r>
      <w:r w:rsidR="00816FD4">
        <w:t xml:space="preserve">). An amendment to subsection 4(2) of the </w:t>
      </w:r>
      <w:r w:rsidR="007F1C76">
        <w:rPr>
          <w:szCs w:val="24"/>
        </w:rPr>
        <w:t xml:space="preserve">Assistance </w:t>
      </w:r>
      <w:r w:rsidR="00816FD4">
        <w:t xml:space="preserve">Act made by the </w:t>
      </w:r>
      <w:r w:rsidR="00AC23D3">
        <w:rPr>
          <w:szCs w:val="24"/>
        </w:rPr>
        <w:t>Amendment</w:t>
      </w:r>
      <w:r w:rsidR="00C963F3" w:rsidRPr="00C963F3">
        <w:rPr>
          <w:szCs w:val="24"/>
        </w:rPr>
        <w:t xml:space="preserve"> Act</w:t>
      </w:r>
      <w:r w:rsidR="00816FD4">
        <w:t xml:space="preserve"> allows this </w:t>
      </w:r>
      <w:r w:rsidR="00C963F3">
        <w:t xml:space="preserve">Determination </w:t>
      </w:r>
      <w:r w:rsidR="00816FD4">
        <w:t xml:space="preserve">to refer to the </w:t>
      </w:r>
      <w:r w:rsidR="00B86F88" w:rsidRPr="009468F5">
        <w:rPr>
          <w:i/>
        </w:rPr>
        <w:t xml:space="preserve">Australian Immunisation </w:t>
      </w:r>
      <w:proofErr w:type="gramStart"/>
      <w:r w:rsidR="00816FD4" w:rsidRPr="009468F5">
        <w:rPr>
          <w:i/>
        </w:rPr>
        <w:t>Handbook</w:t>
      </w:r>
      <w:proofErr w:type="gramEnd"/>
      <w:r w:rsidR="00816FD4">
        <w:t xml:space="preserve"> as it exists from time to time, notwithstanding subsection 16(2) of the </w:t>
      </w:r>
      <w:r w:rsidR="00816FD4">
        <w:rPr>
          <w:i/>
        </w:rPr>
        <w:t>Legislation Act 2003</w:t>
      </w:r>
      <w:r w:rsidR="00816FD4">
        <w:t>.</w:t>
      </w:r>
    </w:p>
    <w:p w14:paraId="651FAF58" w14:textId="7FD54797" w:rsidR="00BF5680" w:rsidRDefault="00BF5680" w:rsidP="00900BE2">
      <w:pPr>
        <w:keepNext/>
        <w:keepLines/>
        <w:spacing w:before="120"/>
        <w:jc w:val="both"/>
        <w:outlineLvl w:val="2"/>
      </w:pPr>
      <w:r>
        <w:t>Catch up vaccination schedules apply where a child has missed the vaccinations required in the standard vacci</w:t>
      </w:r>
      <w:r w:rsidR="00172194">
        <w:t xml:space="preserve">nation schedule for the child. </w:t>
      </w:r>
      <w:r>
        <w:t xml:space="preserve">For example, this might apply to a child who </w:t>
      </w:r>
      <w:proofErr w:type="gramStart"/>
      <w:r>
        <w:t>has been adopted</w:t>
      </w:r>
      <w:proofErr w:type="gramEnd"/>
      <w:r>
        <w:t xml:space="preserve"> from overseas.</w:t>
      </w:r>
    </w:p>
    <w:p w14:paraId="6D5148C9" w14:textId="797C120E" w:rsidR="00DC64A7" w:rsidRPr="005113D6" w:rsidRDefault="00D5036D" w:rsidP="005113D6">
      <w:pPr>
        <w:keepNext/>
        <w:keepLines/>
        <w:spacing w:before="120"/>
        <w:jc w:val="both"/>
        <w:outlineLvl w:val="2"/>
      </w:pPr>
      <w:r>
        <w:rPr>
          <w:b/>
        </w:rPr>
        <w:t xml:space="preserve">Schedule </w:t>
      </w:r>
      <w:r w:rsidR="00CC0DE6" w:rsidRPr="00CC0DE6">
        <w:rPr>
          <w:b/>
        </w:rPr>
        <w:t>1</w:t>
      </w:r>
      <w:r w:rsidR="00CC0DE6">
        <w:t xml:space="preserve"> </w:t>
      </w:r>
      <w:r w:rsidR="00BF5680" w:rsidRPr="00BF5680">
        <w:t xml:space="preserve">sets out the standard vaccination schedule for a child born on or </w:t>
      </w:r>
      <w:proofErr w:type="gramStart"/>
      <w:r w:rsidR="00BF5680" w:rsidRPr="00BF5680">
        <w:t>after 1 May 1998 and before 1 July 2012</w:t>
      </w:r>
      <w:proofErr w:type="gramEnd"/>
      <w:r w:rsidR="00BF5680" w:rsidRPr="00BF5680">
        <w:t xml:space="preserve">. This Schedule contains the same antigens and diseases as are in Schedule 1 to the </w:t>
      </w:r>
      <w:r w:rsidR="00A920D5" w:rsidRPr="00A920D5">
        <w:rPr>
          <w:i/>
        </w:rPr>
        <w:t>Child Care Benefit (Vaccination Sched</w:t>
      </w:r>
      <w:r w:rsidR="00A920D5">
        <w:rPr>
          <w:i/>
        </w:rPr>
        <w:t>ules) (DEEWR) Determination 2013</w:t>
      </w:r>
      <w:r w:rsidR="00BF5680" w:rsidRPr="00BF5680">
        <w:t>. Hepatitis B is required only for a child born on or after 1 May 2000.</w:t>
      </w:r>
      <w:r w:rsidR="005113D6">
        <w:t xml:space="preserve"> </w:t>
      </w:r>
      <w:r w:rsidR="005113D6" w:rsidRPr="005113D6">
        <w:t xml:space="preserve">This Schedule contains the same antigens and diseases as are in Schedule 2 to the </w:t>
      </w:r>
      <w:r w:rsidR="005113D6">
        <w:t>previous Vaccination Schedules</w:t>
      </w:r>
      <w:r w:rsidR="005113D6" w:rsidRPr="005113D6">
        <w:t>.</w:t>
      </w:r>
    </w:p>
    <w:p w14:paraId="195E7743" w14:textId="5ADB5951" w:rsidR="0020299F" w:rsidRPr="005113D6" w:rsidRDefault="00D5036D" w:rsidP="005113D6">
      <w:pPr>
        <w:keepNext/>
        <w:keepLines/>
        <w:spacing w:before="120"/>
        <w:jc w:val="both"/>
        <w:outlineLvl w:val="2"/>
      </w:pPr>
      <w:r>
        <w:rPr>
          <w:b/>
        </w:rPr>
        <w:t xml:space="preserve">Schedule </w:t>
      </w:r>
      <w:r w:rsidR="00CC0DE6" w:rsidRPr="00CC0DE6">
        <w:rPr>
          <w:b/>
        </w:rPr>
        <w:t>2</w:t>
      </w:r>
      <w:r w:rsidR="00CC0DE6">
        <w:t xml:space="preserve"> </w:t>
      </w:r>
      <w:r w:rsidR="00BF5680" w:rsidRPr="00BF5680">
        <w:t xml:space="preserve">sets out the standard vaccination schedule for a child born on or </w:t>
      </w:r>
      <w:proofErr w:type="gramStart"/>
      <w:r w:rsidR="00BF5680" w:rsidRPr="00BF5680">
        <w:t>after 1 July 2012 and before 1 October 2014</w:t>
      </w:r>
      <w:proofErr w:type="gramEnd"/>
      <w:r w:rsidR="00BF5680" w:rsidRPr="00BF5680">
        <w:t xml:space="preserve">. </w:t>
      </w:r>
      <w:r w:rsidR="005113D6" w:rsidRPr="005113D6">
        <w:t xml:space="preserve">This Schedule contains the same antigens and diseases as are in Schedule 3 to the </w:t>
      </w:r>
      <w:r w:rsidR="005113D6">
        <w:t>previous Vaccination Schedules</w:t>
      </w:r>
      <w:r w:rsidR="005113D6" w:rsidRPr="005113D6">
        <w:t>.</w:t>
      </w:r>
    </w:p>
    <w:p w14:paraId="49A3C171" w14:textId="520E5ECD" w:rsidR="0020299F" w:rsidRPr="005113D6" w:rsidRDefault="0020299F" w:rsidP="005113D6">
      <w:pPr>
        <w:keepNext/>
        <w:keepLines/>
        <w:spacing w:before="120"/>
        <w:jc w:val="both"/>
        <w:outlineLvl w:val="2"/>
      </w:pPr>
      <w:r w:rsidRPr="0020299F">
        <w:rPr>
          <w:b/>
        </w:rPr>
        <w:t>S</w:t>
      </w:r>
      <w:r w:rsidR="00D5036D">
        <w:rPr>
          <w:b/>
        </w:rPr>
        <w:t>chedule 3</w:t>
      </w:r>
      <w:r>
        <w:t xml:space="preserve"> </w:t>
      </w:r>
      <w:r w:rsidR="00BF5680" w:rsidRPr="00BF5680">
        <w:t>sets out the standard vaccination schedule for a child bo</w:t>
      </w:r>
      <w:r w:rsidR="00172194">
        <w:t xml:space="preserve">rn on or </w:t>
      </w:r>
      <w:proofErr w:type="gramStart"/>
      <w:r w:rsidR="00172194">
        <w:t>after 1</w:t>
      </w:r>
      <w:r w:rsidR="00C963F3">
        <w:t> </w:t>
      </w:r>
      <w:r w:rsidR="00172194">
        <w:t>October</w:t>
      </w:r>
      <w:r w:rsidR="00C963F3">
        <w:t> </w:t>
      </w:r>
      <w:r w:rsidR="00172194">
        <w:t>2014</w:t>
      </w:r>
      <w:r w:rsidR="00E85BFF">
        <w:t xml:space="preserve"> and before 1 January 2017</w:t>
      </w:r>
      <w:proofErr w:type="gramEnd"/>
      <w:r w:rsidR="00172194">
        <w:t xml:space="preserve">. </w:t>
      </w:r>
      <w:r w:rsidR="00BF5680" w:rsidRPr="00BF5680">
        <w:t>This schedul</w:t>
      </w:r>
      <w:r w:rsidR="008755AB">
        <w:t>e is different to Schedule 2</w:t>
      </w:r>
      <w:r w:rsidR="00BF5680" w:rsidRPr="00BF5680">
        <w:t xml:space="preserve"> to this </w:t>
      </w:r>
      <w:r w:rsidR="00C963F3">
        <w:t>Determination</w:t>
      </w:r>
      <w:r w:rsidR="00C963F3" w:rsidRPr="00BF5680">
        <w:t xml:space="preserve"> </w:t>
      </w:r>
      <w:r w:rsidR="00BF5680" w:rsidRPr="00BF5680">
        <w:t xml:space="preserve">as a vaccine for Hepatitis B is </w:t>
      </w:r>
      <w:r w:rsidR="00144E2D">
        <w:t>required</w:t>
      </w:r>
      <w:r w:rsidR="00BF5680" w:rsidRPr="00BF5680">
        <w:t xml:space="preserve"> at </w:t>
      </w:r>
      <w:r w:rsidR="007F1C76">
        <w:t>six</w:t>
      </w:r>
      <w:r w:rsidR="00BF5680" w:rsidRPr="00BF5680">
        <w:t xml:space="preserve"> months rather than at </w:t>
      </w:r>
      <w:r w:rsidR="007F1C76">
        <w:t>six</w:t>
      </w:r>
      <w:r w:rsidR="00BF5680" w:rsidRPr="00BF5680">
        <w:t xml:space="preserve"> or 12 months, and vaccines for Diphtheria, Tetanus and Pertussis </w:t>
      </w:r>
      <w:proofErr w:type="gramStart"/>
      <w:r w:rsidR="00BF5680" w:rsidRPr="00BF5680">
        <w:t>are added</w:t>
      </w:r>
      <w:proofErr w:type="gramEnd"/>
      <w:r w:rsidR="00BF5680" w:rsidRPr="00BF5680">
        <w:t xml:space="preserve"> at 18 months.</w:t>
      </w:r>
      <w:r w:rsidR="005113D6">
        <w:t xml:space="preserve"> </w:t>
      </w:r>
      <w:r w:rsidR="005113D6" w:rsidRPr="005113D6">
        <w:t xml:space="preserve">This Schedule contains the same antigens and diseases as are in Schedule 4 to the </w:t>
      </w:r>
      <w:r w:rsidR="005113D6">
        <w:t>previous Vaccination Schedules</w:t>
      </w:r>
      <w:r w:rsidR="005113D6" w:rsidRPr="005113D6">
        <w:t>.</w:t>
      </w:r>
    </w:p>
    <w:p w14:paraId="7C0BB781" w14:textId="79814703" w:rsidR="005113D6" w:rsidRDefault="00E85BFF" w:rsidP="00900BE2">
      <w:pPr>
        <w:keepNext/>
        <w:keepLines/>
        <w:spacing w:before="120"/>
        <w:jc w:val="both"/>
        <w:outlineLvl w:val="2"/>
      </w:pPr>
      <w:r w:rsidRPr="00D062F0">
        <w:rPr>
          <w:b/>
        </w:rPr>
        <w:t>Schedule 4</w:t>
      </w:r>
      <w:r>
        <w:t xml:space="preserve"> sets out the </w:t>
      </w:r>
      <w:r w:rsidRPr="00BF5680">
        <w:t>standard vaccination schedule for a child bo</w:t>
      </w:r>
      <w:r>
        <w:t>rn on or after 1</w:t>
      </w:r>
      <w:r w:rsidR="00C963F3">
        <w:t> </w:t>
      </w:r>
      <w:r>
        <w:t>January</w:t>
      </w:r>
      <w:r w:rsidR="00C963F3">
        <w:t> </w:t>
      </w:r>
      <w:r>
        <w:t xml:space="preserve">2017. </w:t>
      </w:r>
      <w:r w:rsidR="00B86F88">
        <w:t xml:space="preserve">Schedule </w:t>
      </w:r>
      <w:proofErr w:type="gramStart"/>
      <w:r w:rsidR="00B86F88">
        <w:t>4</w:t>
      </w:r>
      <w:proofErr w:type="gramEnd"/>
      <w:r>
        <w:t xml:space="preserve"> implements the amendments made to the </w:t>
      </w:r>
      <w:r w:rsidRPr="00107865">
        <w:rPr>
          <w:rFonts w:eastAsiaTheme="minorEastAsia"/>
          <w:i/>
          <w:szCs w:val="24"/>
        </w:rPr>
        <w:t>National Health (Immunisation Program — Designated Vaccines) Determination 2014 (No. 1)</w:t>
      </w:r>
      <w:r w:rsidR="007359E7">
        <w:rPr>
          <w:rFonts w:eastAsiaTheme="minorEastAsia"/>
          <w:szCs w:val="24"/>
        </w:rPr>
        <w:t xml:space="preserve">. </w:t>
      </w:r>
      <w:r w:rsidR="00B86F88">
        <w:t xml:space="preserve">Schedule 4 </w:t>
      </w:r>
      <w:r w:rsidR="006D7783">
        <w:t>to</w:t>
      </w:r>
      <w:r w:rsidR="00B86F88">
        <w:t xml:space="preserve"> this Determination</w:t>
      </w:r>
      <w:r w:rsidR="007359E7">
        <w:t xml:space="preserve"> is different to Schedule 3</w:t>
      </w:r>
      <w:r w:rsidR="007359E7" w:rsidRPr="00BF5680">
        <w:t xml:space="preserve"> to this </w:t>
      </w:r>
      <w:r w:rsidR="00C963F3">
        <w:t>Determination</w:t>
      </w:r>
      <w:r w:rsidR="007359E7" w:rsidRPr="00BF5680">
        <w:t xml:space="preserve"> as a vaccine for </w:t>
      </w:r>
      <w:r w:rsidR="007359E7">
        <w:t>Hib</w:t>
      </w:r>
      <w:r w:rsidR="007359E7" w:rsidRPr="00BF5680">
        <w:t xml:space="preserve"> is </w:t>
      </w:r>
      <w:r w:rsidR="00144E2D">
        <w:t>required</w:t>
      </w:r>
      <w:r w:rsidR="007359E7" w:rsidRPr="00BF5680">
        <w:t xml:space="preserve"> at </w:t>
      </w:r>
      <w:r w:rsidR="007359E7">
        <w:t>18</w:t>
      </w:r>
      <w:r w:rsidR="007359E7" w:rsidRPr="00BF5680">
        <w:t xml:space="preserve"> months rather than </w:t>
      </w:r>
      <w:r w:rsidR="007359E7">
        <w:t>at 12 months, and a vaccine</w:t>
      </w:r>
      <w:r w:rsidR="007359E7" w:rsidRPr="00BF5680">
        <w:t xml:space="preserve"> for </w:t>
      </w:r>
      <w:r w:rsidR="00144E2D">
        <w:t>Pneumococcal is required</w:t>
      </w:r>
      <w:r w:rsidR="007359E7">
        <w:t xml:space="preserve"> at 12 months rather than at </w:t>
      </w:r>
      <w:r w:rsidR="007F1C76">
        <w:t>six</w:t>
      </w:r>
      <w:r w:rsidR="00144E2D">
        <w:t xml:space="preserve"> months.</w:t>
      </w:r>
      <w:r w:rsidR="007359E7">
        <w:t xml:space="preserve"> </w:t>
      </w:r>
    </w:p>
    <w:p w14:paraId="18ECD2B0" w14:textId="505F88B0" w:rsidR="00D5036D" w:rsidRPr="00D062F0" w:rsidRDefault="00144E2D" w:rsidP="00900BE2">
      <w:pPr>
        <w:keepNext/>
        <w:keepLines/>
        <w:spacing w:before="120"/>
        <w:jc w:val="both"/>
        <w:outlineLvl w:val="2"/>
      </w:pPr>
      <w:proofErr w:type="gramStart"/>
      <w:r>
        <w:t>The</w:t>
      </w:r>
      <w:r w:rsidR="003B3E02">
        <w:t xml:space="preserve"> notes under </w:t>
      </w:r>
      <w:r w:rsidR="004B5E17">
        <w:t xml:space="preserve">Schedule 4 </w:t>
      </w:r>
      <w:r w:rsidR="006D7783">
        <w:t>to</w:t>
      </w:r>
      <w:r w:rsidR="004B5E17">
        <w:t xml:space="preserve"> the Determination,</w:t>
      </w:r>
      <w:r w:rsidR="003B3E02">
        <w:t xml:space="preserve"> clarify the application of section 15 of the </w:t>
      </w:r>
      <w:r w:rsidR="00C963F3">
        <w:t>Determination</w:t>
      </w:r>
      <w:r w:rsidR="003B3E02">
        <w:t>, that a child born between 1 January 2017 and 1</w:t>
      </w:r>
      <w:r w:rsidR="00C963F3">
        <w:t> </w:t>
      </w:r>
      <w:r w:rsidR="003B3E02">
        <w:t>February 2018 who has already received the third vaccination against Pneumococcal or Hib in accordance with Schedule 3, is not required to receive another vaccination against the same antigen or disease in order to meet the immunisation requirements.</w:t>
      </w:r>
      <w:proofErr w:type="gramEnd"/>
      <w:r w:rsidR="003B3E02">
        <w:t xml:space="preserve"> </w:t>
      </w:r>
    </w:p>
    <w:p w14:paraId="6FD754CF" w14:textId="7D8C95AD" w:rsidR="006640EE" w:rsidRDefault="006640EE" w:rsidP="00900BE2"/>
    <w:p w14:paraId="0E50E43F" w14:textId="77777777" w:rsidR="006640EE" w:rsidRPr="006640EE" w:rsidRDefault="006640EE" w:rsidP="00900BE2"/>
    <w:p w14:paraId="7F0AC46E" w14:textId="31FDE9DD" w:rsidR="00DA6BF7" w:rsidRDefault="00DA6BF7">
      <w:pPr>
        <w:spacing w:after="200" w:line="276" w:lineRule="auto"/>
        <w:rPr>
          <w:rFonts w:ascii="Arial" w:eastAsiaTheme="majorEastAsia" w:hAnsi="Arial" w:cstheme="majorBidi"/>
          <w:b/>
          <w:spacing w:val="5"/>
          <w:kern w:val="28"/>
          <w:sz w:val="28"/>
          <w:szCs w:val="52"/>
        </w:rPr>
      </w:pPr>
      <w:r>
        <w:rPr>
          <w:rFonts w:ascii="Arial" w:eastAsiaTheme="majorEastAsia" w:hAnsi="Arial" w:cstheme="majorBidi"/>
          <w:b/>
          <w:spacing w:val="5"/>
          <w:kern w:val="28"/>
          <w:sz w:val="28"/>
          <w:szCs w:val="52"/>
        </w:rPr>
        <w:br w:type="page"/>
      </w:r>
    </w:p>
    <w:p w14:paraId="14BBA7A6" w14:textId="66CA6ED5" w:rsidR="009C6520" w:rsidRDefault="009C6520" w:rsidP="00790D7A">
      <w:pPr>
        <w:pStyle w:val="Title"/>
        <w:pBdr>
          <w:bottom w:val="single" w:sz="4" w:space="4" w:color="000000" w:themeColor="text1"/>
        </w:pBdr>
      </w:pPr>
      <w:r w:rsidRPr="00741CF9">
        <w:t>Statement of Compatibility with Human Rights</w:t>
      </w:r>
    </w:p>
    <w:p w14:paraId="7E1B3B4B" w14:textId="77777777" w:rsidR="009C6520" w:rsidRPr="00E87C17" w:rsidRDefault="009C6520" w:rsidP="009C6520">
      <w:pPr>
        <w:jc w:val="center"/>
        <w:rPr>
          <w:szCs w:val="24"/>
        </w:rPr>
      </w:pPr>
      <w:r w:rsidRPr="00E87C17">
        <w:rPr>
          <w:i/>
          <w:szCs w:val="24"/>
        </w:rPr>
        <w:t>Prepared in accordance with Part 3 of the Human Rights (Parliamentary Scrutiny) Act 2011</w:t>
      </w:r>
    </w:p>
    <w:p w14:paraId="75BEA657" w14:textId="77777777" w:rsidR="009C6520" w:rsidRPr="00E87C17" w:rsidRDefault="009C6520" w:rsidP="009C6520">
      <w:pPr>
        <w:jc w:val="center"/>
        <w:rPr>
          <w:szCs w:val="24"/>
        </w:rPr>
      </w:pPr>
    </w:p>
    <w:p w14:paraId="51E016B5" w14:textId="41779C50" w:rsidR="003318D2" w:rsidRPr="004E6245" w:rsidRDefault="004E6245" w:rsidP="004E6245">
      <w:pPr>
        <w:rPr>
          <w:rFonts w:eastAsiaTheme="minorEastAsia"/>
          <w:b/>
          <w:bCs/>
          <w:i/>
          <w:szCs w:val="24"/>
        </w:rPr>
      </w:pPr>
      <w:r w:rsidRPr="004E6245">
        <w:rPr>
          <w:rFonts w:eastAsiaTheme="minorEastAsia"/>
          <w:b/>
          <w:bCs/>
          <w:i/>
          <w:szCs w:val="24"/>
        </w:rPr>
        <w:t>Family Assistance (Immunisation and Vaccination) (Education) Determination 2018</w:t>
      </w:r>
    </w:p>
    <w:p w14:paraId="4055546F" w14:textId="77777777" w:rsidR="004E6245" w:rsidRDefault="004E6245" w:rsidP="001D0036">
      <w:pPr>
        <w:rPr>
          <w:szCs w:val="24"/>
        </w:rPr>
      </w:pPr>
    </w:p>
    <w:p w14:paraId="5B3E9416" w14:textId="7EEAD6D3" w:rsidR="009C6520" w:rsidRDefault="009C6520" w:rsidP="00900BE2">
      <w:pPr>
        <w:jc w:val="both"/>
        <w:rPr>
          <w:szCs w:val="24"/>
        </w:rPr>
      </w:pPr>
      <w:r w:rsidRPr="00E87C17">
        <w:rPr>
          <w:szCs w:val="24"/>
        </w:rPr>
        <w:t>Th</w:t>
      </w:r>
      <w:r w:rsidR="00E1199A">
        <w:rPr>
          <w:szCs w:val="24"/>
        </w:rPr>
        <w:t xml:space="preserve">e </w:t>
      </w:r>
      <w:r w:rsidR="00E1199A">
        <w:rPr>
          <w:i/>
          <w:szCs w:val="24"/>
        </w:rPr>
        <w:t>Family Assistance (Immunisation and Vaccination) (Education) Determination 2018</w:t>
      </w:r>
      <w:r w:rsidRPr="00E87C17">
        <w:rPr>
          <w:szCs w:val="24"/>
        </w:rPr>
        <w:t xml:space="preserve"> </w:t>
      </w:r>
      <w:r w:rsidR="00476315">
        <w:rPr>
          <w:szCs w:val="24"/>
        </w:rPr>
        <w:t xml:space="preserve">(the Determination) </w:t>
      </w:r>
      <w:r w:rsidRPr="00E87C17">
        <w:rPr>
          <w:szCs w:val="24"/>
        </w:rPr>
        <w:t xml:space="preserve">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14:paraId="0AC3FE24" w14:textId="77777777" w:rsidR="009C6520" w:rsidRDefault="009C6520" w:rsidP="00790D7A">
      <w:pPr>
        <w:pStyle w:val="Heading2"/>
      </w:pPr>
      <w:r w:rsidRPr="00E87C17">
        <w:t>Overview of the Legislative Instrument</w:t>
      </w:r>
    </w:p>
    <w:p w14:paraId="474EC34F" w14:textId="4516EF1E" w:rsidR="004E6245" w:rsidRDefault="004E6245" w:rsidP="009A501E">
      <w:pPr>
        <w:spacing w:after="120"/>
        <w:jc w:val="both"/>
        <w:rPr>
          <w:rFonts w:eastAsiaTheme="minorEastAsia"/>
          <w:szCs w:val="24"/>
        </w:rPr>
      </w:pPr>
      <w:r w:rsidRPr="004016AF">
        <w:rPr>
          <w:rFonts w:eastAsiaTheme="minorEastAsia"/>
          <w:szCs w:val="24"/>
        </w:rPr>
        <w:t xml:space="preserve">The </w:t>
      </w:r>
      <w:proofErr w:type="gramStart"/>
      <w:r>
        <w:rPr>
          <w:rFonts w:eastAsiaTheme="minorEastAsia"/>
          <w:szCs w:val="24"/>
        </w:rPr>
        <w:t>Determination) is</w:t>
      </w:r>
      <w:r w:rsidRPr="004016AF">
        <w:rPr>
          <w:rFonts w:eastAsiaTheme="minorEastAsia"/>
          <w:szCs w:val="24"/>
        </w:rPr>
        <w:t xml:space="preserve"> made </w:t>
      </w:r>
      <w:r w:rsidR="003B2511">
        <w:rPr>
          <w:rFonts w:eastAsiaTheme="minorEastAsia"/>
          <w:szCs w:val="24"/>
        </w:rPr>
        <w:t>by the Minister for Education</w:t>
      </w:r>
      <w:proofErr w:type="gramEnd"/>
      <w:r w:rsidR="003B2511">
        <w:rPr>
          <w:rFonts w:eastAsiaTheme="minorEastAsia"/>
          <w:szCs w:val="24"/>
        </w:rPr>
        <w:t xml:space="preserve"> and Training </w:t>
      </w:r>
      <w:r w:rsidRPr="004016AF">
        <w:rPr>
          <w:rFonts w:eastAsiaTheme="minorEastAsia"/>
          <w:szCs w:val="24"/>
        </w:rPr>
        <w:t xml:space="preserve">under </w:t>
      </w:r>
      <w:r w:rsidRPr="00C05CD6">
        <w:rPr>
          <w:rFonts w:eastAsiaTheme="minorEastAsia"/>
          <w:szCs w:val="24"/>
        </w:rPr>
        <w:t xml:space="preserve">section 4 and subsection 6(7) of the </w:t>
      </w:r>
      <w:r w:rsidRPr="00C05CD6">
        <w:rPr>
          <w:rFonts w:eastAsiaTheme="minorEastAsia"/>
          <w:i/>
          <w:szCs w:val="24"/>
        </w:rPr>
        <w:t>A New Tax System (Family Assistance) Act 1999</w:t>
      </w:r>
      <w:r>
        <w:rPr>
          <w:rFonts w:eastAsiaTheme="minorEastAsia"/>
          <w:szCs w:val="24"/>
        </w:rPr>
        <w:t xml:space="preserve"> (</w:t>
      </w:r>
      <w:r w:rsidRPr="004016AF">
        <w:rPr>
          <w:rFonts w:eastAsiaTheme="minorEastAsia"/>
          <w:szCs w:val="24"/>
        </w:rPr>
        <w:t>the</w:t>
      </w:r>
      <w:r>
        <w:rPr>
          <w:rFonts w:eastAsiaTheme="minorEastAsia"/>
          <w:szCs w:val="24"/>
        </w:rPr>
        <w:t xml:space="preserve"> </w:t>
      </w:r>
      <w:r w:rsidR="007012EC">
        <w:rPr>
          <w:rFonts w:eastAsiaTheme="minorEastAsia"/>
          <w:szCs w:val="24"/>
        </w:rPr>
        <w:t xml:space="preserve">Assistance </w:t>
      </w:r>
      <w:r>
        <w:rPr>
          <w:rFonts w:eastAsiaTheme="minorEastAsia"/>
          <w:szCs w:val="24"/>
        </w:rPr>
        <w:t xml:space="preserve">Act). </w:t>
      </w:r>
    </w:p>
    <w:p w14:paraId="4128DAC2" w14:textId="358C50BD" w:rsidR="008725F4" w:rsidRDefault="008725F4" w:rsidP="009A501E">
      <w:pPr>
        <w:spacing w:after="120"/>
        <w:jc w:val="both"/>
        <w:rPr>
          <w:rFonts w:eastAsiaTheme="minorEastAsia"/>
          <w:szCs w:val="24"/>
        </w:rPr>
      </w:pPr>
      <w:r>
        <w:rPr>
          <w:rFonts w:eastAsiaTheme="minorEastAsia"/>
          <w:szCs w:val="24"/>
        </w:rPr>
        <w:t xml:space="preserve">The Determination </w:t>
      </w:r>
      <w:r w:rsidR="00900BE2">
        <w:rPr>
          <w:rFonts w:eastAsiaTheme="minorEastAsia"/>
          <w:szCs w:val="24"/>
        </w:rPr>
        <w:t xml:space="preserve">revokes the </w:t>
      </w:r>
      <w:r w:rsidR="00900BE2" w:rsidRPr="00606505">
        <w:rPr>
          <w:rFonts w:eastAsiaTheme="minorEastAsia"/>
          <w:i/>
          <w:szCs w:val="24"/>
        </w:rPr>
        <w:t xml:space="preserve">Child Care Benefit (Vaccination Schedules) (Education) Determination 2015 </w:t>
      </w:r>
      <w:r w:rsidR="00900BE2">
        <w:rPr>
          <w:rFonts w:eastAsiaTheme="minorEastAsia"/>
          <w:szCs w:val="24"/>
        </w:rPr>
        <w:t xml:space="preserve">(previous Vaccination Schedules) and </w:t>
      </w:r>
      <w:r w:rsidR="00185ED0">
        <w:rPr>
          <w:rFonts w:eastAsiaTheme="minorEastAsia"/>
          <w:szCs w:val="24"/>
        </w:rPr>
        <w:t xml:space="preserve">replaces </w:t>
      </w:r>
      <w:r w:rsidR="00900BE2">
        <w:rPr>
          <w:rFonts w:eastAsiaTheme="minorEastAsia"/>
          <w:szCs w:val="24"/>
        </w:rPr>
        <w:t xml:space="preserve">both the previous Vaccination Schedules and </w:t>
      </w:r>
      <w:r>
        <w:rPr>
          <w:rFonts w:eastAsiaTheme="minorEastAsia"/>
          <w:szCs w:val="24"/>
        </w:rPr>
        <w:t xml:space="preserve">the </w:t>
      </w:r>
      <w:r w:rsidRPr="00C62B34">
        <w:rPr>
          <w:rFonts w:eastAsiaTheme="minorEastAsia"/>
          <w:i/>
          <w:szCs w:val="24"/>
        </w:rPr>
        <w:t>Family Assistance (Meeting the Immunisation Requirements) Principles 2015</w:t>
      </w:r>
      <w:r>
        <w:rPr>
          <w:rFonts w:eastAsiaTheme="minorEastAsia"/>
          <w:szCs w:val="24"/>
        </w:rPr>
        <w:t xml:space="preserve"> (previous Immunisation Principles). </w:t>
      </w:r>
      <w:r w:rsidR="0033444A">
        <w:rPr>
          <w:rFonts w:eastAsiaTheme="minorEastAsia"/>
          <w:szCs w:val="24"/>
        </w:rPr>
        <w:t xml:space="preserve">The Determination takes into account the amendments made to the family assistance law by </w:t>
      </w:r>
      <w:r w:rsidR="0033444A" w:rsidRPr="00900A07">
        <w:rPr>
          <w:i/>
          <w:szCs w:val="24"/>
        </w:rPr>
        <w:t>Family Assistance Legislation Amendment (Jobs for Families Child Care Package) Act 2017</w:t>
      </w:r>
      <w:r w:rsidR="0033444A">
        <w:rPr>
          <w:szCs w:val="24"/>
        </w:rPr>
        <w:t xml:space="preserve"> </w:t>
      </w:r>
      <w:r w:rsidR="0033444A">
        <w:rPr>
          <w:rFonts w:eastAsiaTheme="minorEastAsia"/>
          <w:szCs w:val="24"/>
        </w:rPr>
        <w:t xml:space="preserve">to give effect to the </w:t>
      </w:r>
      <w:r w:rsidR="0033444A" w:rsidRPr="00900A07">
        <w:rPr>
          <w:szCs w:val="24"/>
        </w:rPr>
        <w:t>Australian Government’s new ch</w:t>
      </w:r>
      <w:r w:rsidR="0033444A">
        <w:rPr>
          <w:szCs w:val="24"/>
        </w:rPr>
        <w:t xml:space="preserve">ild care package (the package), </w:t>
      </w:r>
      <w:r w:rsidR="0033444A" w:rsidRPr="00900A07">
        <w:rPr>
          <w:szCs w:val="24"/>
        </w:rPr>
        <w:t xml:space="preserve">including the new </w:t>
      </w:r>
      <w:r w:rsidR="005F262F">
        <w:rPr>
          <w:szCs w:val="24"/>
        </w:rPr>
        <w:t>C</w:t>
      </w:r>
      <w:r w:rsidR="0033444A" w:rsidRPr="00900A07">
        <w:rPr>
          <w:szCs w:val="24"/>
        </w:rPr>
        <w:t xml:space="preserve">hild </w:t>
      </w:r>
      <w:r w:rsidR="005F262F">
        <w:rPr>
          <w:szCs w:val="24"/>
        </w:rPr>
        <w:t>C</w:t>
      </w:r>
      <w:r w:rsidR="0033444A">
        <w:rPr>
          <w:szCs w:val="24"/>
        </w:rPr>
        <w:t xml:space="preserve">are </w:t>
      </w:r>
      <w:r w:rsidR="005F262F">
        <w:rPr>
          <w:szCs w:val="24"/>
        </w:rPr>
        <w:t>S</w:t>
      </w:r>
      <w:r w:rsidR="0033444A">
        <w:rPr>
          <w:szCs w:val="24"/>
        </w:rPr>
        <w:t xml:space="preserve">ubsidy (CCS) and the </w:t>
      </w:r>
      <w:r w:rsidR="005F262F">
        <w:rPr>
          <w:szCs w:val="24"/>
        </w:rPr>
        <w:t>A</w:t>
      </w:r>
      <w:r w:rsidR="0033444A">
        <w:rPr>
          <w:szCs w:val="24"/>
        </w:rPr>
        <w:t xml:space="preserve">dditional </w:t>
      </w:r>
      <w:r w:rsidR="005F262F">
        <w:rPr>
          <w:szCs w:val="24"/>
        </w:rPr>
        <w:t>C</w:t>
      </w:r>
      <w:r w:rsidR="0033444A">
        <w:rPr>
          <w:szCs w:val="24"/>
        </w:rPr>
        <w:t xml:space="preserve">hild </w:t>
      </w:r>
      <w:r w:rsidR="005F262F">
        <w:rPr>
          <w:szCs w:val="24"/>
        </w:rPr>
        <w:t>C</w:t>
      </w:r>
      <w:r w:rsidR="0033444A">
        <w:rPr>
          <w:szCs w:val="24"/>
        </w:rPr>
        <w:t xml:space="preserve">are </w:t>
      </w:r>
      <w:r w:rsidR="005F262F">
        <w:rPr>
          <w:szCs w:val="24"/>
        </w:rPr>
        <w:t>S</w:t>
      </w:r>
      <w:r w:rsidR="0033444A">
        <w:rPr>
          <w:szCs w:val="24"/>
        </w:rPr>
        <w:t>ubsidy (ACCS) commencing from 2</w:t>
      </w:r>
      <w:r w:rsidR="0033444A" w:rsidRPr="00C62B34">
        <w:rPr>
          <w:szCs w:val="24"/>
        </w:rPr>
        <w:t xml:space="preserve"> J</w:t>
      </w:r>
      <w:r w:rsidR="0033444A">
        <w:rPr>
          <w:szCs w:val="24"/>
        </w:rPr>
        <w:t>uly 2018.</w:t>
      </w:r>
    </w:p>
    <w:p w14:paraId="5E8C7BDB" w14:textId="6EF4313B" w:rsidR="00D11283" w:rsidRDefault="00D11283" w:rsidP="009A501E">
      <w:pPr>
        <w:spacing w:after="120"/>
        <w:jc w:val="both"/>
        <w:rPr>
          <w:rFonts w:eastAsiaTheme="minorEastAsia"/>
          <w:szCs w:val="24"/>
        </w:rPr>
      </w:pPr>
      <w:r>
        <w:rPr>
          <w:szCs w:val="24"/>
        </w:rPr>
        <w:t xml:space="preserve">The Determination </w:t>
      </w:r>
      <w:r w:rsidRPr="001E3DC6">
        <w:rPr>
          <w:szCs w:val="24"/>
        </w:rPr>
        <w:t>applies in relation to</w:t>
      </w:r>
      <w:r>
        <w:rPr>
          <w:szCs w:val="24"/>
        </w:rPr>
        <w:t xml:space="preserve"> </w:t>
      </w:r>
      <w:r w:rsidRPr="001E3DC6">
        <w:rPr>
          <w:szCs w:val="24"/>
        </w:rPr>
        <w:t>working out whether an individual</w:t>
      </w:r>
      <w:r>
        <w:rPr>
          <w:szCs w:val="24"/>
        </w:rPr>
        <w:t xml:space="preserve"> </w:t>
      </w:r>
      <w:r w:rsidRPr="001E3DC6">
        <w:rPr>
          <w:szCs w:val="24"/>
        </w:rPr>
        <w:t>is eligible for CCS or ACCS</w:t>
      </w:r>
      <w:r>
        <w:rPr>
          <w:szCs w:val="24"/>
        </w:rPr>
        <w:t>, and whether</w:t>
      </w:r>
      <w:r w:rsidRPr="001E3DC6">
        <w:rPr>
          <w:szCs w:val="24"/>
        </w:rPr>
        <w:t xml:space="preserve"> </w:t>
      </w:r>
      <w:r>
        <w:rPr>
          <w:szCs w:val="24"/>
        </w:rPr>
        <w:t>an approved child care provider</w:t>
      </w:r>
      <w:r w:rsidRPr="001E3DC6">
        <w:rPr>
          <w:szCs w:val="24"/>
        </w:rPr>
        <w:t xml:space="preserve"> is eligible </w:t>
      </w:r>
      <w:r>
        <w:rPr>
          <w:szCs w:val="24"/>
        </w:rPr>
        <w:t>for</w:t>
      </w:r>
      <w:r w:rsidRPr="001E3DC6">
        <w:rPr>
          <w:szCs w:val="24"/>
        </w:rPr>
        <w:t xml:space="preserve"> ACCS (child wellbeing)</w:t>
      </w:r>
      <w:r>
        <w:rPr>
          <w:szCs w:val="24"/>
        </w:rPr>
        <w:t>,</w:t>
      </w:r>
      <w:r w:rsidRPr="001E3DC6">
        <w:rPr>
          <w:szCs w:val="24"/>
        </w:rPr>
        <w:t xml:space="preserve"> for a session of care provided to a child on a day on or after 2</w:t>
      </w:r>
      <w:r w:rsidR="00176BAD">
        <w:rPr>
          <w:szCs w:val="24"/>
        </w:rPr>
        <w:t> </w:t>
      </w:r>
      <w:r w:rsidRPr="001E3DC6">
        <w:rPr>
          <w:szCs w:val="24"/>
        </w:rPr>
        <w:t>July</w:t>
      </w:r>
      <w:r w:rsidR="00176BAD">
        <w:rPr>
          <w:szCs w:val="24"/>
        </w:rPr>
        <w:t> </w:t>
      </w:r>
      <w:r w:rsidRPr="001E3DC6">
        <w:rPr>
          <w:szCs w:val="24"/>
        </w:rPr>
        <w:t>2018.</w:t>
      </w:r>
      <w:r w:rsidRPr="0033444A">
        <w:rPr>
          <w:rFonts w:eastAsiaTheme="minorEastAsia"/>
          <w:szCs w:val="24"/>
        </w:rPr>
        <w:t xml:space="preserve"> </w:t>
      </w:r>
    </w:p>
    <w:p w14:paraId="23DDA4DC" w14:textId="20786F01" w:rsidR="005F262F" w:rsidRDefault="005F262F" w:rsidP="009A501E">
      <w:pPr>
        <w:spacing w:after="120"/>
        <w:jc w:val="both"/>
        <w:rPr>
          <w:szCs w:val="24"/>
        </w:rPr>
      </w:pPr>
      <w:r>
        <w:rPr>
          <w:szCs w:val="24"/>
        </w:rPr>
        <w:t>Under Division 3 of Part 3A</w:t>
      </w:r>
      <w:r w:rsidRPr="00C62B34">
        <w:rPr>
          <w:szCs w:val="24"/>
        </w:rPr>
        <w:t xml:space="preserve"> of the </w:t>
      </w:r>
      <w:r w:rsidR="00AD38BF">
        <w:rPr>
          <w:szCs w:val="24"/>
        </w:rPr>
        <w:t xml:space="preserve">Assistance </w:t>
      </w:r>
      <w:r w:rsidRPr="00C62B34">
        <w:rPr>
          <w:szCs w:val="24"/>
        </w:rPr>
        <w:t>Act</w:t>
      </w:r>
      <w:r>
        <w:rPr>
          <w:szCs w:val="24"/>
        </w:rPr>
        <w:t xml:space="preserve"> commencing on 2 July 2018,</w:t>
      </w:r>
      <w:r w:rsidRPr="00C62B34">
        <w:rPr>
          <w:szCs w:val="24"/>
        </w:rPr>
        <w:t xml:space="preserve"> an individual</w:t>
      </w:r>
      <w:r>
        <w:rPr>
          <w:szCs w:val="24"/>
        </w:rPr>
        <w:t xml:space="preserve"> is not eligible for CCS for care provided to a child </w:t>
      </w:r>
      <w:r w:rsidRPr="00C62B34">
        <w:rPr>
          <w:szCs w:val="24"/>
        </w:rPr>
        <w:t xml:space="preserve">unless the child meets the immunisation requirements. Section 6 of the </w:t>
      </w:r>
      <w:r w:rsidR="00AD38BF">
        <w:rPr>
          <w:szCs w:val="24"/>
        </w:rPr>
        <w:t xml:space="preserve">Assistance </w:t>
      </w:r>
      <w:r w:rsidRPr="00C62B34">
        <w:rPr>
          <w:szCs w:val="24"/>
        </w:rPr>
        <w:t xml:space="preserve">Act provides for </w:t>
      </w:r>
      <w:r w:rsidR="005D28D2">
        <w:rPr>
          <w:szCs w:val="24"/>
        </w:rPr>
        <w:t xml:space="preserve">when </w:t>
      </w:r>
      <w:r>
        <w:rPr>
          <w:szCs w:val="24"/>
        </w:rPr>
        <w:t>the immunisation requirements are met, which includes when the Secretary determines that in writing, having regard to the</w:t>
      </w:r>
      <w:r w:rsidRPr="008E77FA">
        <w:rPr>
          <w:szCs w:val="24"/>
        </w:rPr>
        <w:t xml:space="preserve"> decision-making principles made by the Minister </w:t>
      </w:r>
      <w:r w:rsidR="005D28D2">
        <w:rPr>
          <w:szCs w:val="24"/>
        </w:rPr>
        <w:t>under</w:t>
      </w:r>
      <w:r w:rsidRPr="008E77FA">
        <w:rPr>
          <w:szCs w:val="24"/>
        </w:rPr>
        <w:t xml:space="preserve"> subsection 6(7)</w:t>
      </w:r>
      <w:r>
        <w:rPr>
          <w:szCs w:val="24"/>
        </w:rPr>
        <w:t xml:space="preserve"> of the </w:t>
      </w:r>
      <w:r w:rsidR="00AD38BF">
        <w:rPr>
          <w:szCs w:val="24"/>
        </w:rPr>
        <w:t xml:space="preserve">Assistance </w:t>
      </w:r>
      <w:r>
        <w:rPr>
          <w:szCs w:val="24"/>
        </w:rPr>
        <w:t xml:space="preserve">Act. </w:t>
      </w:r>
    </w:p>
    <w:p w14:paraId="4E787838" w14:textId="7A781215" w:rsidR="00D11283" w:rsidRDefault="00D11283" w:rsidP="009A501E">
      <w:pPr>
        <w:spacing w:after="120"/>
        <w:jc w:val="both"/>
        <w:rPr>
          <w:szCs w:val="24"/>
        </w:rPr>
      </w:pPr>
      <w:r>
        <w:rPr>
          <w:rFonts w:eastAsiaTheme="minorEastAsia"/>
          <w:szCs w:val="24"/>
        </w:rPr>
        <w:t xml:space="preserve">Part 2 of the Determination </w:t>
      </w:r>
      <w:r w:rsidRPr="00C05CD6">
        <w:rPr>
          <w:rFonts w:eastAsiaTheme="minorEastAsia"/>
          <w:szCs w:val="24"/>
        </w:rPr>
        <w:t>set</w:t>
      </w:r>
      <w:r>
        <w:rPr>
          <w:rFonts w:eastAsiaTheme="minorEastAsia"/>
          <w:szCs w:val="24"/>
        </w:rPr>
        <w:t>s</w:t>
      </w:r>
      <w:r w:rsidRPr="00C05CD6">
        <w:rPr>
          <w:rFonts w:eastAsiaTheme="minorEastAsia"/>
          <w:szCs w:val="24"/>
        </w:rPr>
        <w:t xml:space="preserve"> out </w:t>
      </w:r>
      <w:r>
        <w:rPr>
          <w:rFonts w:eastAsiaTheme="minorEastAsia"/>
          <w:szCs w:val="24"/>
        </w:rPr>
        <w:t xml:space="preserve">the </w:t>
      </w:r>
      <w:r w:rsidRPr="00C05CD6">
        <w:rPr>
          <w:rFonts w:eastAsiaTheme="minorEastAsia"/>
          <w:szCs w:val="24"/>
        </w:rPr>
        <w:t xml:space="preserve">decision-making principles that the Secretary </w:t>
      </w:r>
      <w:r>
        <w:rPr>
          <w:rFonts w:eastAsiaTheme="minorEastAsia"/>
          <w:szCs w:val="24"/>
        </w:rPr>
        <w:t xml:space="preserve">(or delegate) of </w:t>
      </w:r>
      <w:r w:rsidR="005F262F">
        <w:rPr>
          <w:rFonts w:eastAsiaTheme="minorEastAsia"/>
          <w:szCs w:val="24"/>
        </w:rPr>
        <w:t xml:space="preserve">the Department of </w:t>
      </w:r>
      <w:r>
        <w:rPr>
          <w:rFonts w:eastAsiaTheme="minorEastAsia"/>
          <w:szCs w:val="24"/>
        </w:rPr>
        <w:t xml:space="preserve">Education </w:t>
      </w:r>
      <w:r w:rsidR="005F262F">
        <w:rPr>
          <w:rFonts w:eastAsiaTheme="minorEastAsia"/>
          <w:szCs w:val="24"/>
        </w:rPr>
        <w:t xml:space="preserve">Training </w:t>
      </w:r>
      <w:r w:rsidRPr="00C05CD6">
        <w:rPr>
          <w:rFonts w:eastAsiaTheme="minorEastAsia"/>
          <w:szCs w:val="24"/>
        </w:rPr>
        <w:t xml:space="preserve">must comply with when making a determination under subsection 6(6) of the </w:t>
      </w:r>
      <w:r w:rsidR="00AD38BF">
        <w:rPr>
          <w:szCs w:val="24"/>
        </w:rPr>
        <w:t xml:space="preserve">Assistance </w:t>
      </w:r>
      <w:r>
        <w:rPr>
          <w:rFonts w:eastAsiaTheme="minorEastAsia"/>
          <w:szCs w:val="24"/>
        </w:rPr>
        <w:t xml:space="preserve">Act </w:t>
      </w:r>
      <w:r w:rsidRPr="00C05CD6">
        <w:rPr>
          <w:rFonts w:eastAsiaTheme="minorEastAsia"/>
          <w:szCs w:val="24"/>
        </w:rPr>
        <w:t>that a child meets</w:t>
      </w:r>
      <w:r>
        <w:rPr>
          <w:rFonts w:eastAsiaTheme="minorEastAsia"/>
          <w:szCs w:val="24"/>
        </w:rPr>
        <w:t xml:space="preserve"> the immunisation requirements. Part 3 of the Determination sets out the </w:t>
      </w:r>
      <w:r w:rsidR="005F262F">
        <w:rPr>
          <w:rFonts w:eastAsiaTheme="minorEastAsia"/>
          <w:szCs w:val="24"/>
        </w:rPr>
        <w:t xml:space="preserve">standard and catch up </w:t>
      </w:r>
      <w:r w:rsidRPr="00C05CD6">
        <w:rPr>
          <w:rFonts w:eastAsiaTheme="minorEastAsia"/>
          <w:szCs w:val="24"/>
        </w:rPr>
        <w:t xml:space="preserve">vaccination schedules for the purposes of </w:t>
      </w:r>
      <w:r w:rsidR="005F262F">
        <w:rPr>
          <w:rFonts w:eastAsiaTheme="minorEastAsia"/>
          <w:szCs w:val="24"/>
        </w:rPr>
        <w:t xml:space="preserve">defining </w:t>
      </w:r>
      <w:r w:rsidR="005F262F" w:rsidRPr="001C50ED">
        <w:rPr>
          <w:rFonts w:eastAsiaTheme="minorEastAsia"/>
          <w:b/>
          <w:i/>
          <w:szCs w:val="24"/>
        </w:rPr>
        <w:t xml:space="preserve">immunised </w:t>
      </w:r>
      <w:r w:rsidR="005F262F">
        <w:rPr>
          <w:rFonts w:eastAsiaTheme="minorEastAsia"/>
          <w:szCs w:val="24"/>
        </w:rPr>
        <w:t xml:space="preserve">in subsection 3(1) of the </w:t>
      </w:r>
      <w:r w:rsidR="00EF32A4">
        <w:rPr>
          <w:rFonts w:eastAsiaTheme="minorEastAsia"/>
          <w:szCs w:val="24"/>
        </w:rPr>
        <w:t xml:space="preserve">Assistance </w:t>
      </w:r>
      <w:r w:rsidR="005F262F">
        <w:rPr>
          <w:rFonts w:eastAsiaTheme="minorEastAsia"/>
          <w:szCs w:val="24"/>
        </w:rPr>
        <w:t>Act</w:t>
      </w:r>
      <w:r>
        <w:rPr>
          <w:rFonts w:eastAsiaTheme="minorEastAsia"/>
          <w:szCs w:val="24"/>
        </w:rPr>
        <w:t>.</w:t>
      </w:r>
    </w:p>
    <w:p w14:paraId="11326E85" w14:textId="76279334" w:rsidR="000202EA" w:rsidRDefault="004E6245" w:rsidP="009A501E">
      <w:pPr>
        <w:spacing w:after="120"/>
        <w:jc w:val="both"/>
        <w:rPr>
          <w:rFonts w:eastAsiaTheme="minorEastAsia"/>
          <w:szCs w:val="24"/>
        </w:rPr>
      </w:pPr>
      <w:r>
        <w:rPr>
          <w:rFonts w:eastAsiaTheme="minorEastAsia"/>
          <w:szCs w:val="24"/>
        </w:rPr>
        <w:t>The Determination largely replicates the content of the previous Immunisation Principles and previous Vaccination Schedules. However, it inserts new section</w:t>
      </w:r>
      <w:r w:rsidR="00253ACD">
        <w:rPr>
          <w:rFonts w:eastAsiaTheme="minorEastAsia"/>
          <w:szCs w:val="24"/>
        </w:rPr>
        <w:t>s</w:t>
      </w:r>
      <w:r>
        <w:rPr>
          <w:rFonts w:eastAsiaTheme="minorEastAsia"/>
          <w:szCs w:val="24"/>
        </w:rPr>
        <w:t xml:space="preserve"> 14 </w:t>
      </w:r>
      <w:r w:rsidR="00253ACD">
        <w:rPr>
          <w:rFonts w:eastAsiaTheme="minorEastAsia"/>
          <w:szCs w:val="24"/>
        </w:rPr>
        <w:t xml:space="preserve">and 15 </w:t>
      </w:r>
      <w:r>
        <w:rPr>
          <w:rFonts w:eastAsiaTheme="minorEastAsia"/>
          <w:szCs w:val="24"/>
        </w:rPr>
        <w:t>to provide other circumstance</w:t>
      </w:r>
      <w:r w:rsidR="00253ACD">
        <w:rPr>
          <w:rFonts w:eastAsiaTheme="minorEastAsia"/>
          <w:szCs w:val="24"/>
        </w:rPr>
        <w:t>s</w:t>
      </w:r>
      <w:r>
        <w:rPr>
          <w:rFonts w:eastAsiaTheme="minorEastAsia"/>
          <w:szCs w:val="24"/>
        </w:rPr>
        <w:t xml:space="preserve"> in which the immunisation requirements </w:t>
      </w:r>
      <w:proofErr w:type="gramStart"/>
      <w:r>
        <w:rPr>
          <w:rFonts w:eastAsiaTheme="minorEastAsia"/>
          <w:szCs w:val="24"/>
        </w:rPr>
        <w:t>may be met</w:t>
      </w:r>
      <w:proofErr w:type="gramEnd"/>
      <w:r>
        <w:rPr>
          <w:rFonts w:eastAsiaTheme="minorEastAsia"/>
          <w:szCs w:val="24"/>
        </w:rPr>
        <w:t xml:space="preserve">. </w:t>
      </w:r>
      <w:r w:rsidR="00253ACD">
        <w:rPr>
          <w:rFonts w:eastAsiaTheme="minorEastAsia"/>
          <w:szCs w:val="24"/>
        </w:rPr>
        <w:t xml:space="preserve">Section 14 </w:t>
      </w:r>
      <w:r>
        <w:rPr>
          <w:rFonts w:eastAsiaTheme="minorEastAsia"/>
          <w:szCs w:val="24"/>
        </w:rPr>
        <w:t xml:space="preserve">includes where the </w:t>
      </w:r>
      <w:proofErr w:type="gramStart"/>
      <w:r>
        <w:rPr>
          <w:rFonts w:eastAsiaTheme="minorEastAsia"/>
          <w:szCs w:val="24"/>
        </w:rPr>
        <w:t xml:space="preserve">notice </w:t>
      </w:r>
      <w:r w:rsidR="001B687A">
        <w:rPr>
          <w:rFonts w:eastAsiaTheme="minorEastAsia"/>
          <w:szCs w:val="24"/>
        </w:rPr>
        <w:t xml:space="preserve">has not yet been received by </w:t>
      </w:r>
      <w:r>
        <w:rPr>
          <w:rFonts w:eastAsiaTheme="minorEastAsia"/>
          <w:szCs w:val="24"/>
        </w:rPr>
        <w:t xml:space="preserve">the individual or approved provider </w:t>
      </w:r>
      <w:r w:rsidR="001B687A">
        <w:rPr>
          <w:rFonts w:eastAsiaTheme="minorEastAsia"/>
          <w:szCs w:val="24"/>
        </w:rPr>
        <w:t xml:space="preserve">reminding </w:t>
      </w:r>
      <w:r>
        <w:rPr>
          <w:rFonts w:eastAsiaTheme="minorEastAsia"/>
          <w:szCs w:val="24"/>
        </w:rPr>
        <w:t>that the child has not met the immunisation requirements</w:t>
      </w:r>
      <w:proofErr w:type="gramEnd"/>
      <w:r>
        <w:rPr>
          <w:rFonts w:eastAsiaTheme="minorEastAsia"/>
          <w:szCs w:val="24"/>
        </w:rPr>
        <w:t xml:space="preserve">. </w:t>
      </w:r>
    </w:p>
    <w:p w14:paraId="5C4F05CC" w14:textId="34F5EC0B" w:rsidR="0029110C" w:rsidRPr="0029110C" w:rsidRDefault="00253ACD" w:rsidP="009A501E">
      <w:pPr>
        <w:spacing w:after="120"/>
        <w:jc w:val="both"/>
        <w:rPr>
          <w:rFonts w:eastAsiaTheme="minorEastAsia"/>
          <w:szCs w:val="24"/>
        </w:rPr>
      </w:pPr>
      <w:r>
        <w:rPr>
          <w:rFonts w:eastAsiaTheme="minorEastAsia"/>
          <w:szCs w:val="24"/>
        </w:rPr>
        <w:t>The Determination also inserts a new standard vaccination schedule</w:t>
      </w:r>
      <w:r w:rsidR="00D55660">
        <w:rPr>
          <w:rFonts w:eastAsiaTheme="minorEastAsia"/>
          <w:szCs w:val="24"/>
        </w:rPr>
        <w:t xml:space="preserve"> </w:t>
      </w:r>
      <w:r>
        <w:rPr>
          <w:rFonts w:eastAsiaTheme="minorEastAsia"/>
          <w:szCs w:val="24"/>
        </w:rPr>
        <w:t xml:space="preserve">(Schedule 4) for children born on or after 1 January 2017, which takes into account the amendments made </w:t>
      </w:r>
      <w:r w:rsidR="00D55660">
        <w:rPr>
          <w:rFonts w:eastAsiaTheme="minorEastAsia"/>
          <w:szCs w:val="24"/>
        </w:rPr>
        <w:t xml:space="preserve">by the </w:t>
      </w:r>
      <w:r>
        <w:rPr>
          <w:rFonts w:eastAsiaTheme="minorEastAsia"/>
          <w:szCs w:val="24"/>
        </w:rPr>
        <w:t xml:space="preserve">Department of Health to the </w:t>
      </w:r>
      <w:r w:rsidRPr="00A5457F">
        <w:rPr>
          <w:rFonts w:eastAsiaTheme="minorEastAsia"/>
          <w:i/>
          <w:szCs w:val="24"/>
        </w:rPr>
        <w:t>National Health (Im</w:t>
      </w:r>
      <w:r w:rsidR="00D55660" w:rsidRPr="00A5457F">
        <w:rPr>
          <w:rFonts w:eastAsiaTheme="minorEastAsia"/>
          <w:i/>
          <w:szCs w:val="24"/>
        </w:rPr>
        <w:t xml:space="preserve">munisation Program — Designated </w:t>
      </w:r>
      <w:r w:rsidRPr="00B72EAA">
        <w:rPr>
          <w:rFonts w:eastAsiaTheme="minorEastAsia"/>
          <w:i/>
          <w:szCs w:val="24"/>
        </w:rPr>
        <w:t>Vaccines) Determination 2014 (No. 1)</w:t>
      </w:r>
      <w:r w:rsidRPr="00D062F0">
        <w:rPr>
          <w:rFonts w:eastAsiaTheme="minorEastAsia"/>
          <w:szCs w:val="24"/>
        </w:rPr>
        <w:t>.</w:t>
      </w:r>
      <w:r>
        <w:rPr>
          <w:rFonts w:eastAsiaTheme="minorEastAsia"/>
          <w:szCs w:val="24"/>
        </w:rPr>
        <w:t xml:space="preserve"> Section 15 provides a circumstance for a child to meet the immunisation requirements where a child born between 1 January 2017 and 1 February 2018 has already received the vaccinations in accordance with Schedule 3 to</w:t>
      </w:r>
      <w:r w:rsidR="00D55660">
        <w:rPr>
          <w:rFonts w:eastAsiaTheme="minorEastAsia"/>
          <w:szCs w:val="24"/>
        </w:rPr>
        <w:t xml:space="preserve"> the </w:t>
      </w:r>
      <w:r>
        <w:rPr>
          <w:rFonts w:eastAsiaTheme="minorEastAsia"/>
          <w:szCs w:val="24"/>
        </w:rPr>
        <w:t>Determination, prior to the insertion of Schedule 4.</w:t>
      </w:r>
    </w:p>
    <w:p w14:paraId="56C69ADD" w14:textId="77777777" w:rsidR="00790D7A" w:rsidRDefault="00790D7A" w:rsidP="00B8233A">
      <w:pPr>
        <w:pStyle w:val="Heading2"/>
      </w:pPr>
      <w:r w:rsidRPr="00B8233A">
        <w:t>Human Rights Implications</w:t>
      </w:r>
    </w:p>
    <w:p w14:paraId="768E8FC6" w14:textId="1E61BF98" w:rsidR="004A260D" w:rsidRDefault="00996CBD" w:rsidP="00900BE2">
      <w:pPr>
        <w:keepNext/>
        <w:keepLines/>
        <w:spacing w:before="120"/>
        <w:jc w:val="both"/>
        <w:outlineLvl w:val="2"/>
      </w:pPr>
      <w:r>
        <w:t>The</w:t>
      </w:r>
      <w:r w:rsidR="00483B2E">
        <w:t xml:space="preserve"> </w:t>
      </w:r>
      <w:r w:rsidR="00286E4C">
        <w:t>Determination</w:t>
      </w:r>
      <w:r w:rsidR="004A260D">
        <w:t xml:space="preserve"> engages the following rights:</w:t>
      </w:r>
    </w:p>
    <w:p w14:paraId="4BB0503E" w14:textId="244092EF" w:rsidR="002E34C2" w:rsidRPr="002E34C2" w:rsidRDefault="002E34C2" w:rsidP="00900BE2">
      <w:pPr>
        <w:pStyle w:val="ListParagraph"/>
        <w:keepNext/>
        <w:keepLines/>
        <w:numPr>
          <w:ilvl w:val="0"/>
          <w:numId w:val="31"/>
        </w:numPr>
        <w:spacing w:before="120"/>
        <w:jc w:val="both"/>
        <w:outlineLvl w:val="2"/>
        <w:rPr>
          <w:rFonts w:eastAsia="Calibri" w:cs="Times New Roman"/>
        </w:rPr>
      </w:pPr>
      <w:r w:rsidRPr="002E34C2">
        <w:rPr>
          <w:rFonts w:eastAsia="Calibri" w:cs="Times New Roman"/>
        </w:rPr>
        <w:t>the right to health recognised in Article 12 of the International Covenant on Economic, Social and Cultural Rights (ICESCR) and Article 24 of the Convention on the Rights of the Child (CRC);</w:t>
      </w:r>
    </w:p>
    <w:p w14:paraId="46034A2B" w14:textId="41A77851" w:rsidR="002E34C2" w:rsidRPr="002E34C2" w:rsidRDefault="002E34C2" w:rsidP="006342A9">
      <w:pPr>
        <w:pStyle w:val="ListParagraph"/>
        <w:keepNext/>
        <w:keepLines/>
        <w:numPr>
          <w:ilvl w:val="0"/>
          <w:numId w:val="31"/>
        </w:numPr>
        <w:spacing w:before="120"/>
        <w:jc w:val="both"/>
        <w:outlineLvl w:val="2"/>
        <w:rPr>
          <w:rFonts w:eastAsia="Calibri" w:cs="Times New Roman"/>
        </w:rPr>
      </w:pPr>
      <w:r w:rsidRPr="002E34C2">
        <w:rPr>
          <w:rFonts w:eastAsia="Calibri" w:cs="Times New Roman"/>
        </w:rPr>
        <w:t xml:space="preserve">the right to social security </w:t>
      </w:r>
      <w:r w:rsidR="006342A9" w:rsidRPr="006342A9">
        <w:rPr>
          <w:rFonts w:eastAsia="Calibri" w:cs="Times New Roman"/>
        </w:rPr>
        <w:t xml:space="preserve">and </w:t>
      </w:r>
      <w:r w:rsidR="00C24B73">
        <w:rPr>
          <w:rFonts w:eastAsia="Calibri" w:cs="Times New Roman"/>
        </w:rPr>
        <w:t xml:space="preserve">the </w:t>
      </w:r>
      <w:r w:rsidR="006342A9" w:rsidRPr="006342A9">
        <w:rPr>
          <w:rFonts w:eastAsia="Calibri" w:cs="Times New Roman"/>
        </w:rPr>
        <w:t xml:space="preserve">right for every child to benefit from social security </w:t>
      </w:r>
      <w:r w:rsidRPr="002E34C2">
        <w:rPr>
          <w:rFonts w:eastAsia="Calibri" w:cs="Times New Roman"/>
        </w:rPr>
        <w:t>in Article 9 of the ICESCR</w:t>
      </w:r>
      <w:r w:rsidR="006342A9">
        <w:rPr>
          <w:rFonts w:eastAsia="Calibri" w:cs="Times New Roman"/>
        </w:rPr>
        <w:t xml:space="preserve"> </w:t>
      </w:r>
      <w:r w:rsidR="006342A9" w:rsidRPr="006342A9">
        <w:rPr>
          <w:rFonts w:eastAsia="Calibri" w:cs="Times New Roman"/>
        </w:rPr>
        <w:t>and Article 26 of the CRC</w:t>
      </w:r>
      <w:r w:rsidRPr="002E34C2">
        <w:rPr>
          <w:rFonts w:eastAsia="Calibri" w:cs="Times New Roman"/>
        </w:rPr>
        <w:t>; and</w:t>
      </w:r>
    </w:p>
    <w:p w14:paraId="4183D72B" w14:textId="6F8E35AC" w:rsidR="002E34C2" w:rsidRPr="002E34C2" w:rsidRDefault="002E34C2" w:rsidP="00900BE2">
      <w:pPr>
        <w:pStyle w:val="ListParagraph"/>
        <w:keepNext/>
        <w:keepLines/>
        <w:numPr>
          <w:ilvl w:val="0"/>
          <w:numId w:val="31"/>
        </w:numPr>
        <w:spacing w:before="120"/>
        <w:jc w:val="both"/>
        <w:outlineLvl w:val="2"/>
        <w:rPr>
          <w:rFonts w:eastAsia="Calibri" w:cs="Times New Roman"/>
        </w:rPr>
      </w:pPr>
      <w:r w:rsidRPr="002E34C2">
        <w:rPr>
          <w:rFonts w:eastAsia="Calibri" w:cs="Times New Roman"/>
        </w:rPr>
        <w:t xml:space="preserve">the right to protection against violence in Article 19(1) of the </w:t>
      </w:r>
      <w:r w:rsidR="00C24B73">
        <w:rPr>
          <w:rFonts w:eastAsia="Calibri" w:cs="Times New Roman"/>
        </w:rPr>
        <w:t>CRC</w:t>
      </w:r>
      <w:r w:rsidRPr="002E34C2">
        <w:rPr>
          <w:rFonts w:eastAsia="Calibri" w:cs="Times New Roman"/>
        </w:rPr>
        <w:t>, the elimination of violence against women Commission of Human Rights resolution 2003/45, the United Nations Declaration on the Elimination of Violence against Women (1993), and the Committee on the Elimination of All Forms of Discrimination Against Women in its General Recommendation No. 19.</w:t>
      </w:r>
    </w:p>
    <w:p w14:paraId="2C414C00" w14:textId="77777777" w:rsidR="008C1EEE" w:rsidRDefault="008C1EEE" w:rsidP="00900BE2">
      <w:pPr>
        <w:ind w:left="284"/>
        <w:jc w:val="both"/>
        <w:rPr>
          <w:b/>
          <w:i/>
        </w:rPr>
      </w:pPr>
    </w:p>
    <w:p w14:paraId="1CEEC9CF" w14:textId="77777777" w:rsidR="005D28D2" w:rsidRDefault="008E191C" w:rsidP="005D28D2">
      <w:pPr>
        <w:spacing w:after="240"/>
        <w:jc w:val="both"/>
        <w:rPr>
          <w:b/>
          <w:i/>
        </w:rPr>
      </w:pPr>
      <w:r>
        <w:rPr>
          <w:b/>
          <w:i/>
        </w:rPr>
        <w:t xml:space="preserve">The right to health </w:t>
      </w:r>
    </w:p>
    <w:p w14:paraId="539703F9" w14:textId="4F2F2BF1" w:rsidR="00D062F0" w:rsidRDefault="008E191C" w:rsidP="009A501E">
      <w:pPr>
        <w:spacing w:after="120"/>
        <w:jc w:val="both"/>
      </w:pPr>
      <w:r>
        <w:t>The right to health in Article 12 of the ICESCR requires the recognition of the right of everyone to the enjoyment of the highest attainable standard of physical and mental health.  In particular, countries should make provision for the healthy development of the child and the prevention, treatment and control of epidemic, endemic, occupational and other diseases.  Article 24 of the CRC also contains specific obligations to ensure that children enjoy the highest attainable standard of health.</w:t>
      </w:r>
    </w:p>
    <w:p w14:paraId="62D7DD78" w14:textId="778090FA" w:rsidR="000D044A" w:rsidRDefault="008E191C" w:rsidP="005D28D2">
      <w:pPr>
        <w:jc w:val="both"/>
      </w:pPr>
      <w:r>
        <w:t xml:space="preserve">The </w:t>
      </w:r>
      <w:r w:rsidR="00AD38BF">
        <w:rPr>
          <w:szCs w:val="24"/>
        </w:rPr>
        <w:t xml:space="preserve">Assistance </w:t>
      </w:r>
      <w:r>
        <w:t>Act imposes immunisation requirements as a condition of eligibility for receipt of family payments for the purpose of protecting the health of the public through increasing national immunisation rates and protecting both children and those in the community more broadly from</w:t>
      </w:r>
      <w:r w:rsidR="001A6997">
        <w:t xml:space="preserve"> the spread of disease. The Determination</w:t>
      </w:r>
      <w:r>
        <w:t xml:space="preserve"> provide</w:t>
      </w:r>
      <w:r w:rsidR="001A6997">
        <w:t>s</w:t>
      </w:r>
      <w:r>
        <w:t xml:space="preserve"> that the Secretary may determine that certain children meet the immunisation requirements for the purposes of subsection 6(6) of the </w:t>
      </w:r>
      <w:r w:rsidR="00AD38BF">
        <w:rPr>
          <w:szCs w:val="24"/>
        </w:rPr>
        <w:t xml:space="preserve">Assistance </w:t>
      </w:r>
      <w:r>
        <w:t xml:space="preserve">Act even though they are not immunised (within the meaning of ‘immunised’ as defined in subsection 3(1) of the </w:t>
      </w:r>
      <w:r w:rsidR="00AD38BF">
        <w:rPr>
          <w:szCs w:val="24"/>
        </w:rPr>
        <w:t xml:space="preserve">Assistance </w:t>
      </w:r>
      <w:r>
        <w:t xml:space="preserve">Act). </w:t>
      </w:r>
    </w:p>
    <w:p w14:paraId="5B1A776C" w14:textId="0D13084A" w:rsidR="000D044A" w:rsidRDefault="00101FD3" w:rsidP="009A501E">
      <w:pPr>
        <w:keepNext/>
        <w:keepLines/>
        <w:spacing w:before="120"/>
        <w:jc w:val="both"/>
        <w:outlineLvl w:val="2"/>
      </w:pPr>
      <w:r>
        <w:t>The</w:t>
      </w:r>
      <w:r w:rsidR="008E191C">
        <w:t xml:space="preserve"> </w:t>
      </w:r>
      <w:r w:rsidR="00693C51">
        <w:t xml:space="preserve">Determination recognises that there are certain circumstances </w:t>
      </w:r>
      <w:r w:rsidR="000D4402">
        <w:t xml:space="preserve">where it is not practicable or would be harmful to enable the child to be immunised in accordance to the vaccination schedules determined under section 4 of the </w:t>
      </w:r>
      <w:r w:rsidR="00AD38BF">
        <w:rPr>
          <w:szCs w:val="24"/>
        </w:rPr>
        <w:t xml:space="preserve">Assistance </w:t>
      </w:r>
      <w:r w:rsidR="000D4402">
        <w:t xml:space="preserve">Act. </w:t>
      </w:r>
    </w:p>
    <w:p w14:paraId="2C5D4C49" w14:textId="71B8D6EF" w:rsidR="00101FD3" w:rsidRDefault="000D4402" w:rsidP="005D28D2">
      <w:pPr>
        <w:keepNext/>
        <w:keepLines/>
        <w:spacing w:before="120"/>
        <w:jc w:val="both"/>
        <w:outlineLvl w:val="2"/>
      </w:pPr>
      <w:r>
        <w:t xml:space="preserve">Part 2 of the Determination therefore </w:t>
      </w:r>
      <w:r w:rsidR="008267E5">
        <w:t>enable</w:t>
      </w:r>
      <w:r>
        <w:t>s</w:t>
      </w:r>
      <w:r w:rsidR="008E191C">
        <w:t xml:space="preserve"> the Secretary </w:t>
      </w:r>
      <w:r w:rsidR="008267E5">
        <w:t>to</w:t>
      </w:r>
      <w:r w:rsidR="008E191C">
        <w:t xml:space="preserve"> determine </w:t>
      </w:r>
      <w:r w:rsidR="00101FD3">
        <w:t>a child</w:t>
      </w:r>
      <w:r w:rsidR="008E191C">
        <w:t xml:space="preserve"> meet</w:t>
      </w:r>
      <w:r w:rsidR="00101FD3">
        <w:t xml:space="preserve">ing the immunisation requirements </w:t>
      </w:r>
      <w:r w:rsidR="008E191C">
        <w:t>in certain circumstances</w:t>
      </w:r>
      <w:r>
        <w:t>,</w:t>
      </w:r>
      <w:r w:rsidR="008267E5">
        <w:t xml:space="preserve"> even if the child has not been immunised</w:t>
      </w:r>
      <w:r>
        <w:t>.</w:t>
      </w:r>
    </w:p>
    <w:p w14:paraId="46655B1D" w14:textId="77777777" w:rsidR="00693C51" w:rsidRDefault="008267E5" w:rsidP="005D28D2">
      <w:pPr>
        <w:keepNext/>
        <w:keepLines/>
        <w:spacing w:before="120"/>
        <w:jc w:val="both"/>
        <w:outlineLvl w:val="2"/>
      </w:pPr>
      <w:r>
        <w:t>T</w:t>
      </w:r>
      <w:r w:rsidR="008E191C">
        <w:t>he</w:t>
      </w:r>
      <w:r w:rsidR="00693C51">
        <w:t>se circumstances include where:</w:t>
      </w:r>
    </w:p>
    <w:p w14:paraId="7823DD4A" w14:textId="49A01937" w:rsidR="00693C51" w:rsidRDefault="008267E5" w:rsidP="005D28D2">
      <w:pPr>
        <w:pStyle w:val="ListParagraph"/>
        <w:numPr>
          <w:ilvl w:val="0"/>
          <w:numId w:val="32"/>
        </w:numPr>
        <w:jc w:val="both"/>
      </w:pPr>
      <w:r>
        <w:t>the</w:t>
      </w:r>
      <w:r w:rsidR="008E191C">
        <w:t xml:space="preserve"> child is in the care of a non-parent carer</w:t>
      </w:r>
      <w:r>
        <w:t xml:space="preserve"> who is unable to consent </w:t>
      </w:r>
      <w:r w:rsidR="00693C51">
        <w:t xml:space="preserve">to vaccination </w:t>
      </w:r>
      <w:r>
        <w:t>on the child’s behalf</w:t>
      </w:r>
      <w:r w:rsidR="000D4402">
        <w:t>;</w:t>
      </w:r>
    </w:p>
    <w:p w14:paraId="687F8DD0" w14:textId="1C4D5B11" w:rsidR="00693C51" w:rsidRDefault="008E191C" w:rsidP="005D28D2">
      <w:pPr>
        <w:pStyle w:val="ListParagraph"/>
        <w:numPr>
          <w:ilvl w:val="0"/>
          <w:numId w:val="32"/>
        </w:numPr>
        <w:jc w:val="both"/>
      </w:pPr>
      <w:r>
        <w:t>there is a risk that certain persons would be subject to family viol</w:t>
      </w:r>
      <w:r w:rsidR="00693C51">
        <w:t>ence if the child was immunised</w:t>
      </w:r>
      <w:r w:rsidR="000D4402">
        <w:t>;</w:t>
      </w:r>
    </w:p>
    <w:p w14:paraId="1C656CA2" w14:textId="77777777" w:rsidR="00693C51" w:rsidRDefault="008E191C" w:rsidP="005D28D2">
      <w:pPr>
        <w:pStyle w:val="ListParagraph"/>
        <w:numPr>
          <w:ilvl w:val="0"/>
          <w:numId w:val="32"/>
        </w:numPr>
        <w:jc w:val="both"/>
      </w:pPr>
      <w:r>
        <w:t>the individual in relation to whom the child is an FTB child is the holder of a permanent humanitarian visa where no more than 6 months have passed since the child’s first entry to Australia;</w:t>
      </w:r>
    </w:p>
    <w:p w14:paraId="2F914533" w14:textId="77777777" w:rsidR="00693C51" w:rsidRDefault="008E191C" w:rsidP="005D28D2">
      <w:pPr>
        <w:pStyle w:val="ListParagraph"/>
        <w:numPr>
          <w:ilvl w:val="0"/>
          <w:numId w:val="32"/>
        </w:numPr>
        <w:jc w:val="both"/>
      </w:pPr>
      <w:r>
        <w:t>a child is at ri</w:t>
      </w:r>
      <w:r w:rsidR="008267E5">
        <w:t>sk of serious abuse and neglect</w:t>
      </w:r>
      <w:r w:rsidR="00693C51">
        <w:t>; and</w:t>
      </w:r>
    </w:p>
    <w:p w14:paraId="2E420C52" w14:textId="2AAB2760" w:rsidR="00D062F0" w:rsidRDefault="000D4402" w:rsidP="009A501E">
      <w:pPr>
        <w:pStyle w:val="ListParagraph"/>
        <w:numPr>
          <w:ilvl w:val="0"/>
          <w:numId w:val="32"/>
        </w:numPr>
        <w:spacing w:after="120"/>
        <w:ind w:left="714" w:hanging="357"/>
        <w:contextualSpacing w:val="0"/>
        <w:jc w:val="both"/>
      </w:pPr>
      <w:proofErr w:type="gramStart"/>
      <w:r>
        <w:t>a</w:t>
      </w:r>
      <w:proofErr w:type="gramEnd"/>
      <w:r>
        <w:t xml:space="preserve"> listed medical practitioner has certified that immunisation of the child would result in an unacceptable risk of physical harm to the child or person administering vaccination to child. </w:t>
      </w:r>
    </w:p>
    <w:p w14:paraId="5ECC1C00" w14:textId="03125908" w:rsidR="00D062F0" w:rsidRDefault="00D34C83" w:rsidP="009A501E">
      <w:pPr>
        <w:pStyle w:val="ListParagraph"/>
        <w:ind w:left="0"/>
        <w:contextualSpacing w:val="0"/>
        <w:jc w:val="both"/>
      </w:pPr>
      <w:r>
        <w:t>The Determination allows the Secretary to determine a child who is at risk of serious abuse or neglect to meet the immunisation requirements if the risk to the child would increase without such a determination being made</w:t>
      </w:r>
      <w:r w:rsidR="008C3955">
        <w:t xml:space="preserve">, so that </w:t>
      </w:r>
      <w:r>
        <w:t xml:space="preserve">an approved provider </w:t>
      </w:r>
      <w:r w:rsidR="008C3955">
        <w:t>would be</w:t>
      </w:r>
      <w:r>
        <w:t xml:space="preserve"> eligible for ACCS (child wellbeing) </w:t>
      </w:r>
      <w:r w:rsidR="008C3955">
        <w:t>for</w:t>
      </w:r>
      <w:r>
        <w:t xml:space="preserve"> provid</w:t>
      </w:r>
      <w:r w:rsidR="008C3955">
        <w:t>ing</w:t>
      </w:r>
      <w:r>
        <w:t xml:space="preserve"> care to the child. </w:t>
      </w:r>
    </w:p>
    <w:p w14:paraId="0D886C84" w14:textId="5CFF960D" w:rsidR="00D062F0" w:rsidRDefault="00386F3F" w:rsidP="009A501E">
      <w:pPr>
        <w:pStyle w:val="ListParagraph"/>
        <w:spacing w:before="240"/>
        <w:ind w:left="0"/>
        <w:contextualSpacing w:val="0"/>
        <w:jc w:val="both"/>
      </w:pPr>
      <w:r>
        <w:t xml:space="preserve">The Determination also covers the situation where </w:t>
      </w:r>
      <w:r w:rsidR="00D34C83">
        <w:t xml:space="preserve">families </w:t>
      </w:r>
      <w:r w:rsidR="00693C51">
        <w:t xml:space="preserve">could not immunise their children because </w:t>
      </w:r>
      <w:r w:rsidR="00D34C83">
        <w:t>the</w:t>
      </w:r>
      <w:r>
        <w:t>ir</w:t>
      </w:r>
      <w:r w:rsidR="00D34C83">
        <w:t xml:space="preserve"> children</w:t>
      </w:r>
      <w:r w:rsidR="00693C51">
        <w:t xml:space="preserve"> had a disruptive behavioural disorder or developmental disorder and react with aggression or defiant behaviour when faced with a medical pr</w:t>
      </w:r>
      <w:r w:rsidR="00D34C83">
        <w:t xml:space="preserve">ocedure, including vaccination. </w:t>
      </w:r>
      <w:r w:rsidR="00693C51">
        <w:t>This kind of response by a child to the vaccination procedure is not “medical contraindication” as set out in the Australian Immunisation Handbook (as referred to in paragraph 6(3</w:t>
      </w:r>
      <w:proofErr w:type="gramStart"/>
      <w:r w:rsidR="00693C51">
        <w:t>)(</w:t>
      </w:r>
      <w:proofErr w:type="gramEnd"/>
      <w:r w:rsidR="00693C51">
        <w:t>a) of the</w:t>
      </w:r>
      <w:r w:rsidR="00AD38BF">
        <w:t xml:space="preserve"> </w:t>
      </w:r>
      <w:r w:rsidR="00AD38BF">
        <w:rPr>
          <w:szCs w:val="24"/>
        </w:rPr>
        <w:t>Assistance</w:t>
      </w:r>
      <w:r w:rsidR="00693C51">
        <w:t xml:space="preserve"> Act</w:t>
      </w:r>
      <w:r w:rsidR="00D34C83">
        <w:t xml:space="preserve">). </w:t>
      </w:r>
    </w:p>
    <w:p w14:paraId="621201C5" w14:textId="5C7A03FD" w:rsidR="00D062F0" w:rsidRDefault="008E191C" w:rsidP="009A501E">
      <w:pPr>
        <w:pStyle w:val="ListParagraph"/>
        <w:spacing w:before="120" w:after="120"/>
        <w:ind w:left="0"/>
        <w:contextualSpacing w:val="0"/>
        <w:jc w:val="both"/>
      </w:pPr>
      <w:r>
        <w:t>Making a determination that a child meets the immunisation requirements where the child has not been immunised could constitute limitations on the right to health, by excluding the application of a scheme of vaccination of children, which is intended, over</w:t>
      </w:r>
      <w:r w:rsidR="00D72A69">
        <w:t xml:space="preserve">all, to protect public health. </w:t>
      </w:r>
      <w:r>
        <w:t>However, these exemptions are reasonable, necessary and proportionate to ac</w:t>
      </w:r>
      <w:r w:rsidR="00D34C83">
        <w:t>hieving a legitimate objective, which is to ensure that the Secretary has the capacity in appropriate circumstances to determine that a child meets the immunisation requirement even if the child is not immunised.</w:t>
      </w:r>
    </w:p>
    <w:p w14:paraId="0FDC49F2" w14:textId="77777777" w:rsidR="000C57F3" w:rsidRDefault="002A1790" w:rsidP="005D28D2">
      <w:pPr>
        <w:pStyle w:val="ListParagraph"/>
        <w:spacing w:after="240"/>
        <w:ind w:left="0"/>
        <w:contextualSpacing w:val="0"/>
        <w:jc w:val="both"/>
      </w:pPr>
      <w:r w:rsidRPr="002A1790">
        <w:t xml:space="preserve">The setting out of a standard and catch-up vaccination schedule </w:t>
      </w:r>
      <w:r>
        <w:t>in Part 3 of the Determination also</w:t>
      </w:r>
      <w:r w:rsidRPr="002A1790">
        <w:t xml:space="preserve"> engage</w:t>
      </w:r>
      <w:r>
        <w:t>s</w:t>
      </w:r>
      <w:r w:rsidRPr="002A1790">
        <w:t xml:space="preserve"> the right to health recognised in Article 12 of the </w:t>
      </w:r>
      <w:r>
        <w:t>ICESCR</w:t>
      </w:r>
      <w:r w:rsidRPr="002A1790">
        <w:t>.</w:t>
      </w:r>
      <w:r>
        <w:t xml:space="preserve"> </w:t>
      </w:r>
      <w:r w:rsidRPr="002A1790">
        <w:t>In particular, countries should make provision for the healthy development of the child and the prevention, treatment and control of epidemic, endemic, occupational and other diseases.</w:t>
      </w:r>
      <w:r>
        <w:t xml:space="preserve"> </w:t>
      </w:r>
      <w:r w:rsidRPr="002A1790">
        <w:t xml:space="preserve">By providing </w:t>
      </w:r>
      <w:proofErr w:type="gramStart"/>
      <w:r w:rsidRPr="002A1790">
        <w:t>evidence based</w:t>
      </w:r>
      <w:proofErr w:type="gramEnd"/>
      <w:r w:rsidRPr="002A1790">
        <w:t xml:space="preserve"> vaccination schedules designed to protect children from harmful diseas</w:t>
      </w:r>
      <w:r>
        <w:t>es, the</w:t>
      </w:r>
      <w:r w:rsidRPr="002A1790">
        <w:t xml:space="preserve"> Determination clearly advances this right.</w:t>
      </w:r>
    </w:p>
    <w:p w14:paraId="3202C98E" w14:textId="5F886D77" w:rsidR="008C1EEE" w:rsidRPr="005D28D2" w:rsidRDefault="008E191C" w:rsidP="005D28D2">
      <w:pPr>
        <w:pStyle w:val="ListParagraph"/>
        <w:spacing w:after="240"/>
        <w:ind w:left="0"/>
        <w:contextualSpacing w:val="0"/>
        <w:jc w:val="both"/>
        <w:rPr>
          <w:b/>
          <w:i/>
        </w:rPr>
      </w:pPr>
      <w:r w:rsidRPr="005D28D2">
        <w:rPr>
          <w:b/>
          <w:i/>
        </w:rPr>
        <w:t xml:space="preserve">The right to social security </w:t>
      </w:r>
      <w:r w:rsidR="00E32B9D" w:rsidRPr="005D28D2">
        <w:rPr>
          <w:b/>
          <w:i/>
        </w:rPr>
        <w:t xml:space="preserve"> </w:t>
      </w:r>
    </w:p>
    <w:p w14:paraId="57B86427" w14:textId="6AB84914" w:rsidR="006342A9" w:rsidRPr="006342A9" w:rsidRDefault="006342A9" w:rsidP="006342A9">
      <w:pPr>
        <w:keepLines/>
        <w:spacing w:before="120"/>
        <w:jc w:val="both"/>
        <w:outlineLvl w:val="2"/>
      </w:pPr>
      <w:r w:rsidRPr="006342A9">
        <w:t>Article 9 of the ICESCR recognises the right of everyone to social security, and Article 26 of the CRC recognises the right of every child to benefit f</w:t>
      </w:r>
      <w:r>
        <w:t xml:space="preserve">rom social security. The Determination </w:t>
      </w:r>
      <w:r w:rsidRPr="006342A9">
        <w:t xml:space="preserve">engages these rights by </w:t>
      </w:r>
      <w:r>
        <w:t xml:space="preserve">enabling the Secretary to </w:t>
      </w:r>
      <w:r w:rsidRPr="006342A9">
        <w:t>make a determination that a child meets the immunisation requirements</w:t>
      </w:r>
      <w:r>
        <w:t xml:space="preserve">, so that parents may eligible for CCS or ACCS even if their child has not been immunised in accordance with the vaccination schedules. </w:t>
      </w:r>
    </w:p>
    <w:p w14:paraId="24708E29" w14:textId="0E18FFB4" w:rsidR="005D28D2" w:rsidRDefault="009A501E" w:rsidP="005D28D2">
      <w:pPr>
        <w:keepLines/>
        <w:spacing w:before="120"/>
        <w:jc w:val="both"/>
        <w:outlineLvl w:val="2"/>
      </w:pPr>
      <w:proofErr w:type="gramStart"/>
      <w:r>
        <w:t>Consistently with the “No Jab No Pay” measures introduced</w:t>
      </w:r>
      <w:r w:rsidR="00032C91">
        <w:t xml:space="preserve"> by the </w:t>
      </w:r>
      <w:r w:rsidR="00032C91" w:rsidRPr="007F0E62">
        <w:rPr>
          <w:i/>
        </w:rPr>
        <w:t>Social Services Legislation Amendment (No Jab, No Pay) Act 2015</w:t>
      </w:r>
      <w:r>
        <w:t xml:space="preserve"> </w:t>
      </w:r>
      <w:r w:rsidR="00032C91">
        <w:t>the Determination ensures that parents retain eligibility for child care payments, where their child is up to date with their immunisations, is pursuing a “catch-up” schedule or otherwise is subject to a determination made in accordance with one of the immunisation principles (which operate as limited exceptions).</w:t>
      </w:r>
      <w:proofErr w:type="gramEnd"/>
      <w:r w:rsidR="00032C91">
        <w:t xml:space="preserve"> </w:t>
      </w:r>
      <w:proofErr w:type="gramStart"/>
      <w:r w:rsidR="00032C91">
        <w:t>As a result</w:t>
      </w:r>
      <w:proofErr w:type="gramEnd"/>
      <w:r w:rsidR="00032C91">
        <w:t xml:space="preserve"> of these measures, parents who send their children to child care can be more assured that all children in care are likely to be immunised to the extent possible at their age.</w:t>
      </w:r>
    </w:p>
    <w:p w14:paraId="5AA65C54" w14:textId="3A3CD7EC" w:rsidR="00F17FEB" w:rsidRDefault="001F4C7F" w:rsidP="00F17FEB">
      <w:pPr>
        <w:keepLines/>
        <w:spacing w:before="120"/>
        <w:jc w:val="both"/>
        <w:outlineLvl w:val="2"/>
      </w:pPr>
      <w:r w:rsidRPr="00F31CA9">
        <w:t xml:space="preserve">The Determination </w:t>
      </w:r>
      <w:r w:rsidR="00032C91">
        <w:t>largely replaces</w:t>
      </w:r>
      <w:r w:rsidRPr="00F31CA9">
        <w:t xml:space="preserve"> the previous Immunisation Principles and the previous Vaccination Schedules on and from 2</w:t>
      </w:r>
      <w:r w:rsidR="00AD38BF">
        <w:t> </w:t>
      </w:r>
      <w:r w:rsidRPr="00F31CA9">
        <w:t>July</w:t>
      </w:r>
      <w:r w:rsidR="00AD38BF">
        <w:t> </w:t>
      </w:r>
      <w:r w:rsidRPr="00F31CA9">
        <w:t xml:space="preserve">2018 in relation to CCS and ACCS. </w:t>
      </w:r>
      <w:r>
        <w:t>Section</w:t>
      </w:r>
      <w:r w:rsidRPr="00F31CA9">
        <w:t xml:space="preserve"> 14</w:t>
      </w:r>
      <w:r w:rsidR="00032C91">
        <w:t>, in particular,</w:t>
      </w:r>
      <w:r w:rsidRPr="00F31CA9">
        <w:t xml:space="preserve"> replicates how the immunisation grace period had operated for Child Care Benefit purposes. </w:t>
      </w:r>
    </w:p>
    <w:p w14:paraId="5CF07AF0" w14:textId="6BE02F92" w:rsidR="00F17FEB" w:rsidRDefault="00F17FEB" w:rsidP="00F17FEB">
      <w:pPr>
        <w:keepLines/>
        <w:spacing w:before="120"/>
        <w:jc w:val="both"/>
        <w:outlineLvl w:val="2"/>
      </w:pPr>
      <w:r>
        <w:t xml:space="preserve">In accordance with Article 14 of the CRC, the Determination recognises that a child aged 14 years and above may exercise their freedom of thought, conscience and religion to make an informed decision on whether they wish to receive vaccinations. In the situation where a child aged 14 years or above has made a decision to refuse a vaccination, the Determination ensures that the child’s decision would not unnecessarily affect his or her legal guardian’s right to social security, and the child’s ability to access child care. </w:t>
      </w:r>
    </w:p>
    <w:p w14:paraId="10A930E4" w14:textId="688A79A3" w:rsidR="00F17FEB" w:rsidRPr="00702825" w:rsidRDefault="00F17FEB" w:rsidP="00F17FEB">
      <w:pPr>
        <w:keepLines/>
        <w:spacing w:before="120"/>
        <w:jc w:val="both"/>
        <w:outlineLvl w:val="2"/>
      </w:pPr>
      <w:r>
        <w:t>However, this Determination does not enable the</w:t>
      </w:r>
      <w:r w:rsidRPr="00702825">
        <w:t xml:space="preserve"> Secretary </w:t>
      </w:r>
      <w:r>
        <w:t>to make</w:t>
      </w:r>
      <w:r w:rsidRPr="00702825">
        <w:t xml:space="preserve"> a determination under su</w:t>
      </w:r>
      <w:r>
        <w:t xml:space="preserve">bsection 6(6) of the </w:t>
      </w:r>
      <w:r w:rsidR="00AD38BF">
        <w:rPr>
          <w:szCs w:val="24"/>
        </w:rPr>
        <w:t xml:space="preserve">Assistance </w:t>
      </w:r>
      <w:r>
        <w:t xml:space="preserve">Act that a child meets the immunisation requirements where </w:t>
      </w:r>
      <w:r w:rsidRPr="00702825">
        <w:t>an individual</w:t>
      </w:r>
      <w:r>
        <w:t xml:space="preserve"> who has legal authority to make decisions for the child</w:t>
      </w:r>
      <w:r w:rsidRPr="00702825">
        <w:t xml:space="preserve"> has a conscientious, eth</w:t>
      </w:r>
      <w:r>
        <w:t>ical or religious objection to the</w:t>
      </w:r>
      <w:r w:rsidRPr="00702825">
        <w:t xml:space="preserve"> child being immunised.</w:t>
      </w:r>
      <w:r w:rsidR="00E1752E">
        <w:t xml:space="preserve"> This has implications on an individual’s eligibility for CCS or ACCS with potential limitation on the individual’s right to social security. </w:t>
      </w:r>
    </w:p>
    <w:p w14:paraId="3D91DFC5" w14:textId="4E2F49EF" w:rsidR="00D96F06" w:rsidRDefault="00F17FEB" w:rsidP="009A501E">
      <w:pPr>
        <w:keepLines/>
        <w:spacing w:before="120"/>
        <w:jc w:val="both"/>
        <w:outlineLvl w:val="2"/>
      </w:pPr>
      <w:proofErr w:type="gramStart"/>
      <w:r>
        <w:t>Where this Determination limits</w:t>
      </w:r>
      <w:r w:rsidR="00D96F06">
        <w:t xml:space="preserve"> the circumstances for which the Secretary can make a determination that a child meets the immunisation requirements</w:t>
      </w:r>
      <w:r w:rsidR="009723BB">
        <w:t xml:space="preserve"> under subsection 6(6) of the Assistance Act</w:t>
      </w:r>
      <w:r w:rsidR="00D96F06">
        <w:t xml:space="preserve">, the limitation to </w:t>
      </w:r>
      <w:r>
        <w:t>the right to social security is consistent with the right to health</w:t>
      </w:r>
      <w:r w:rsidR="00CE6362" w:rsidRPr="00CE6362">
        <w:t xml:space="preserve"> </w:t>
      </w:r>
      <w:r w:rsidR="00CE6362">
        <w:t>in Article 12 of the ICESCR</w:t>
      </w:r>
      <w:r>
        <w:t xml:space="preserve"> and Article 3 of the CRC, which reinforces that the best interests of the child shall be the primary consideration.</w:t>
      </w:r>
      <w:proofErr w:type="gramEnd"/>
      <w:r>
        <w:t xml:space="preserve"> This measure is reasonable and proportionate to promoting the right to health and ensuring that children have the protection and care necessary for their well-being, namely to be immunised and protected against potentially health-threatening diseases.</w:t>
      </w:r>
      <w:r w:rsidRPr="00980556">
        <w:t xml:space="preserve"> </w:t>
      </w:r>
      <w:r>
        <w:t xml:space="preserve">Article 14(3) of the CRC also supports this approach, as the limitation prescribed by law is necessary to protect public health and safety. </w:t>
      </w:r>
    </w:p>
    <w:p w14:paraId="62932D24" w14:textId="77777777" w:rsidR="005D28D2" w:rsidRPr="005D28D2" w:rsidRDefault="008E191C" w:rsidP="009A501E">
      <w:pPr>
        <w:pStyle w:val="ListParagraph"/>
        <w:spacing w:before="240" w:after="240"/>
        <w:ind w:left="0"/>
        <w:contextualSpacing w:val="0"/>
        <w:jc w:val="both"/>
        <w:rPr>
          <w:b/>
          <w:i/>
        </w:rPr>
      </w:pPr>
      <w:r w:rsidRPr="004C77AD">
        <w:rPr>
          <w:b/>
          <w:i/>
        </w:rPr>
        <w:t>The right to protection against violence</w:t>
      </w:r>
      <w:r>
        <w:rPr>
          <w:b/>
          <w:i/>
        </w:rPr>
        <w:t xml:space="preserve"> </w:t>
      </w:r>
      <w:r w:rsidRPr="00237F59">
        <w:rPr>
          <w:b/>
          <w:i/>
        </w:rPr>
        <w:t xml:space="preserve"> </w:t>
      </w:r>
    </w:p>
    <w:p w14:paraId="319EBC82" w14:textId="2CD60BF4" w:rsidR="0031111A" w:rsidRDefault="00385052" w:rsidP="001F4C7F">
      <w:pPr>
        <w:keepLines/>
        <w:spacing w:before="120"/>
        <w:jc w:val="both"/>
        <w:outlineLvl w:val="2"/>
        <w:rPr>
          <w:szCs w:val="24"/>
        </w:rPr>
      </w:pPr>
      <w:r>
        <w:rPr>
          <w:szCs w:val="24"/>
        </w:rPr>
        <w:t xml:space="preserve">The Determination </w:t>
      </w:r>
      <w:r w:rsidR="00856ECB" w:rsidRPr="00856ECB">
        <w:rPr>
          <w:szCs w:val="24"/>
        </w:rPr>
        <w:t>also promote</w:t>
      </w:r>
      <w:r>
        <w:rPr>
          <w:szCs w:val="24"/>
        </w:rPr>
        <w:t>s</w:t>
      </w:r>
      <w:r w:rsidR="00856ECB" w:rsidRPr="00856ECB">
        <w:rPr>
          <w:szCs w:val="24"/>
        </w:rPr>
        <w:t xml:space="preserve"> the right to protection against violence in Article 19(1) of the </w:t>
      </w:r>
      <w:r>
        <w:rPr>
          <w:szCs w:val="24"/>
        </w:rPr>
        <w:t>CRC</w:t>
      </w:r>
      <w:r w:rsidR="00856ECB" w:rsidRPr="00856ECB">
        <w:rPr>
          <w:szCs w:val="24"/>
        </w:rPr>
        <w:t xml:space="preserve">, the elimination of violence against women Commission of Human Rights resolution 2003/45, and the United Nations Declaration on the Elimination of Violence against Women (1993).  </w:t>
      </w:r>
    </w:p>
    <w:p w14:paraId="6AE5C9E6" w14:textId="128FAB1A" w:rsidR="005D28D2" w:rsidRDefault="00856ECB" w:rsidP="009A501E">
      <w:pPr>
        <w:keepLines/>
        <w:spacing w:before="120"/>
        <w:jc w:val="both"/>
        <w:outlineLvl w:val="2"/>
        <w:rPr>
          <w:szCs w:val="24"/>
        </w:rPr>
      </w:pPr>
      <w:proofErr w:type="gramStart"/>
      <w:r w:rsidRPr="00856ECB">
        <w:rPr>
          <w:szCs w:val="24"/>
        </w:rPr>
        <w:t xml:space="preserve">Article 19(1) of the </w:t>
      </w:r>
      <w:r w:rsidR="00385052">
        <w:rPr>
          <w:szCs w:val="24"/>
        </w:rPr>
        <w:t>CRC</w:t>
      </w:r>
      <w:r w:rsidRPr="00856ECB">
        <w:rPr>
          <w:szCs w:val="24"/>
        </w:rPr>
        <w:t xml:space="preserve">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roofErr w:type="gramEnd"/>
      <w:r w:rsidRPr="00856ECB">
        <w:rPr>
          <w:szCs w:val="24"/>
        </w:rPr>
        <w:t xml:space="preserve"> Section 8 of the </w:t>
      </w:r>
      <w:r w:rsidR="00CE6027">
        <w:rPr>
          <w:szCs w:val="24"/>
        </w:rPr>
        <w:t xml:space="preserve">Determination </w:t>
      </w:r>
      <w:r w:rsidRPr="00856ECB">
        <w:rPr>
          <w:szCs w:val="24"/>
        </w:rPr>
        <w:t xml:space="preserve">promotes these rights as when a partner or ex-partner disagrees to immunise the child and threatens family violence, the risk of violence </w:t>
      </w:r>
      <w:proofErr w:type="gramStart"/>
      <w:r w:rsidRPr="00856ECB">
        <w:rPr>
          <w:szCs w:val="24"/>
        </w:rPr>
        <w:t>may be lessened</w:t>
      </w:r>
      <w:proofErr w:type="gramEnd"/>
      <w:r w:rsidRPr="00856ECB">
        <w:rPr>
          <w:szCs w:val="24"/>
        </w:rPr>
        <w:t xml:space="preserve"> if the Secretary determines that the child meets the immunisation requirements despite </w:t>
      </w:r>
      <w:r w:rsidR="00385052">
        <w:rPr>
          <w:szCs w:val="24"/>
        </w:rPr>
        <w:t>not being immunised. Section 10</w:t>
      </w:r>
      <w:r w:rsidRPr="00856ECB">
        <w:rPr>
          <w:szCs w:val="24"/>
        </w:rPr>
        <w:t xml:space="preserve"> of </w:t>
      </w:r>
      <w:r w:rsidR="00385052">
        <w:rPr>
          <w:szCs w:val="24"/>
        </w:rPr>
        <w:t>the Determination</w:t>
      </w:r>
      <w:r w:rsidRPr="00856ECB">
        <w:rPr>
          <w:szCs w:val="24"/>
        </w:rPr>
        <w:t xml:space="preserve"> also promotes these rights as when a child is at risk of serious abuse or neglect and the Secretary determines that the child meets the immunisation requirements despite not being immunised, the child’s safety is improved by being allowed to stay in </w:t>
      </w:r>
      <w:proofErr w:type="gramStart"/>
      <w:r w:rsidRPr="00856ECB">
        <w:rPr>
          <w:szCs w:val="24"/>
        </w:rPr>
        <w:t>child care</w:t>
      </w:r>
      <w:proofErr w:type="gramEnd"/>
      <w:r w:rsidRPr="00856ECB">
        <w:rPr>
          <w:szCs w:val="24"/>
        </w:rPr>
        <w:t>.</w:t>
      </w:r>
    </w:p>
    <w:p w14:paraId="74841A51" w14:textId="51F519FA" w:rsidR="00856ECB" w:rsidRDefault="009C6520" w:rsidP="005D28D2">
      <w:pPr>
        <w:pStyle w:val="Heading2"/>
      </w:pPr>
      <w:r w:rsidRPr="00B8233A">
        <w:t>Conclusion</w:t>
      </w:r>
    </w:p>
    <w:p w14:paraId="1DBC08EB" w14:textId="0C6D8602" w:rsidR="00856ECB" w:rsidRPr="00B8233A" w:rsidRDefault="00385052" w:rsidP="005D28D2">
      <w:pPr>
        <w:jc w:val="both"/>
      </w:pPr>
      <w:r>
        <w:t>The Determination is</w:t>
      </w:r>
      <w:r w:rsidR="00856ECB" w:rsidRPr="00856ECB">
        <w:t xml:space="preserve"> compatible with human rights as </w:t>
      </w:r>
      <w:r w:rsidR="002E771F">
        <w:t xml:space="preserve">it </w:t>
      </w:r>
      <w:r w:rsidR="00856ECB" w:rsidRPr="00856ECB">
        <w:t>promote</w:t>
      </w:r>
      <w:r w:rsidR="002E771F">
        <w:t>s</w:t>
      </w:r>
      <w:r w:rsidR="00856ECB" w:rsidRPr="00856ECB">
        <w:t xml:space="preserve"> </w:t>
      </w:r>
      <w:r w:rsidR="002E771F" w:rsidRPr="00856ECB">
        <w:t xml:space="preserve">the human right to health, the right to social security, and the right to protection from violence </w:t>
      </w:r>
      <w:r w:rsidR="00856ECB" w:rsidRPr="00856ECB">
        <w:t xml:space="preserve">rights and, to the extent that </w:t>
      </w:r>
      <w:r w:rsidR="002E771F">
        <w:t>it</w:t>
      </w:r>
      <w:r w:rsidR="00856ECB" w:rsidRPr="00856ECB">
        <w:t xml:space="preserve"> limit</w:t>
      </w:r>
      <w:r w:rsidR="002E771F">
        <w:t>s</w:t>
      </w:r>
      <w:r w:rsidR="00856ECB" w:rsidRPr="00856ECB">
        <w:t xml:space="preserve"> </w:t>
      </w:r>
      <w:r w:rsidR="002E771F">
        <w:t xml:space="preserve">the </w:t>
      </w:r>
      <w:r w:rsidR="00856ECB" w:rsidRPr="00856ECB">
        <w:t xml:space="preserve">right, these limitations are reasonable, necessary and proportionate to achieving a legitimate aim. </w:t>
      </w:r>
    </w:p>
    <w:p w14:paraId="75A8179E" w14:textId="4D706C4B" w:rsidR="009C6520" w:rsidRDefault="009C6520" w:rsidP="00B8233A"/>
    <w:p w14:paraId="6CF74A77" w14:textId="77777777" w:rsidR="00AD38BF" w:rsidRPr="00B8233A" w:rsidRDefault="00AD38BF" w:rsidP="00B8233A"/>
    <w:p w14:paraId="4C9F0DFF" w14:textId="77777777" w:rsidR="009C6520" w:rsidRPr="00B8233A" w:rsidRDefault="00947325" w:rsidP="00B8233A">
      <w:pPr>
        <w:rPr>
          <w:b/>
        </w:rPr>
      </w:pPr>
      <w:r w:rsidRPr="00B8233A">
        <w:rPr>
          <w:b/>
        </w:rPr>
        <w:t>Simon Birmingham</w:t>
      </w:r>
    </w:p>
    <w:p w14:paraId="0CE8C462" w14:textId="77777777" w:rsidR="00C2777F" w:rsidRPr="003B6664" w:rsidRDefault="009C6520" w:rsidP="00B8233A">
      <w:r w:rsidRPr="00B8233A">
        <w:rPr>
          <w:b/>
        </w:rPr>
        <w:t>Minister for Education</w:t>
      </w:r>
      <w:r w:rsidR="00947325" w:rsidRPr="00B8233A">
        <w:rPr>
          <w:b/>
        </w:rPr>
        <w:t xml:space="preserve"> and Training</w:t>
      </w:r>
    </w:p>
    <w:sectPr w:rsidR="00C2777F" w:rsidRPr="003B6664" w:rsidSect="008237B6">
      <w:footerReference w:type="default" r:id="rId11"/>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FFB3" w14:textId="77777777" w:rsidR="005130C7" w:rsidRDefault="005130C7" w:rsidP="009C6520">
      <w:r>
        <w:separator/>
      </w:r>
    </w:p>
  </w:endnote>
  <w:endnote w:type="continuationSeparator" w:id="0">
    <w:p w14:paraId="4230BB0B" w14:textId="77777777" w:rsidR="005130C7" w:rsidRDefault="005130C7"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2A5A8652" w14:textId="5F8F1553" w:rsidR="003B6664" w:rsidRDefault="003B6664">
        <w:pPr>
          <w:pStyle w:val="Footer"/>
          <w:jc w:val="right"/>
        </w:pPr>
        <w:r>
          <w:fldChar w:fldCharType="begin"/>
        </w:r>
        <w:r>
          <w:instrText xml:space="preserve"> PAGE   \* MERGEFORMAT </w:instrText>
        </w:r>
        <w:r>
          <w:fldChar w:fldCharType="separate"/>
        </w:r>
        <w:r w:rsidR="009468F5">
          <w:rPr>
            <w:noProof/>
          </w:rPr>
          <w:t>12</w:t>
        </w:r>
        <w:r>
          <w:rPr>
            <w:noProof/>
          </w:rPr>
          <w:fldChar w:fldCharType="end"/>
        </w:r>
      </w:p>
    </w:sdtContent>
  </w:sdt>
  <w:p w14:paraId="6DDFB860" w14:textId="77777777" w:rsidR="003B6664" w:rsidRDefault="003B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4662" w14:textId="77777777" w:rsidR="005130C7" w:rsidRDefault="005130C7" w:rsidP="009C6520">
      <w:r>
        <w:separator/>
      </w:r>
    </w:p>
  </w:footnote>
  <w:footnote w:type="continuationSeparator" w:id="0">
    <w:p w14:paraId="6DA0E031" w14:textId="77777777" w:rsidR="005130C7" w:rsidRDefault="005130C7" w:rsidP="009C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1"/>
    <w:multiLevelType w:val="hybridMultilevel"/>
    <w:tmpl w:val="2C80AB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1CD358A"/>
    <w:multiLevelType w:val="hybridMultilevel"/>
    <w:tmpl w:val="4CFE2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77281"/>
    <w:multiLevelType w:val="hybridMultilevel"/>
    <w:tmpl w:val="141CE71A"/>
    <w:lvl w:ilvl="0" w:tplc="0C090001">
      <w:start w:val="1"/>
      <w:numFmt w:val="bullet"/>
      <w:lvlText w:val=""/>
      <w:lvlJc w:val="left"/>
      <w:pPr>
        <w:ind w:left="2126" w:hanging="360"/>
      </w:pPr>
      <w:rPr>
        <w:rFonts w:ascii="Symbol" w:hAnsi="Symbol" w:hint="default"/>
      </w:rPr>
    </w:lvl>
    <w:lvl w:ilvl="1" w:tplc="0C090003" w:tentative="1">
      <w:start w:val="1"/>
      <w:numFmt w:val="bullet"/>
      <w:lvlText w:val="o"/>
      <w:lvlJc w:val="left"/>
      <w:pPr>
        <w:ind w:left="2846" w:hanging="360"/>
      </w:pPr>
      <w:rPr>
        <w:rFonts w:ascii="Courier New" w:hAnsi="Courier New" w:cs="Courier New" w:hint="default"/>
      </w:rPr>
    </w:lvl>
    <w:lvl w:ilvl="2" w:tplc="0C090005" w:tentative="1">
      <w:start w:val="1"/>
      <w:numFmt w:val="bullet"/>
      <w:lvlText w:val=""/>
      <w:lvlJc w:val="left"/>
      <w:pPr>
        <w:ind w:left="3566" w:hanging="360"/>
      </w:pPr>
      <w:rPr>
        <w:rFonts w:ascii="Wingdings" w:hAnsi="Wingdings" w:hint="default"/>
      </w:rPr>
    </w:lvl>
    <w:lvl w:ilvl="3" w:tplc="0C090001" w:tentative="1">
      <w:start w:val="1"/>
      <w:numFmt w:val="bullet"/>
      <w:lvlText w:val=""/>
      <w:lvlJc w:val="left"/>
      <w:pPr>
        <w:ind w:left="4286" w:hanging="360"/>
      </w:pPr>
      <w:rPr>
        <w:rFonts w:ascii="Symbol" w:hAnsi="Symbol" w:hint="default"/>
      </w:rPr>
    </w:lvl>
    <w:lvl w:ilvl="4" w:tplc="0C090003" w:tentative="1">
      <w:start w:val="1"/>
      <w:numFmt w:val="bullet"/>
      <w:lvlText w:val="o"/>
      <w:lvlJc w:val="left"/>
      <w:pPr>
        <w:ind w:left="5006" w:hanging="360"/>
      </w:pPr>
      <w:rPr>
        <w:rFonts w:ascii="Courier New" w:hAnsi="Courier New" w:cs="Courier New" w:hint="default"/>
      </w:rPr>
    </w:lvl>
    <w:lvl w:ilvl="5" w:tplc="0C090005" w:tentative="1">
      <w:start w:val="1"/>
      <w:numFmt w:val="bullet"/>
      <w:lvlText w:val=""/>
      <w:lvlJc w:val="left"/>
      <w:pPr>
        <w:ind w:left="5726" w:hanging="360"/>
      </w:pPr>
      <w:rPr>
        <w:rFonts w:ascii="Wingdings" w:hAnsi="Wingdings" w:hint="default"/>
      </w:rPr>
    </w:lvl>
    <w:lvl w:ilvl="6" w:tplc="0C090001" w:tentative="1">
      <w:start w:val="1"/>
      <w:numFmt w:val="bullet"/>
      <w:lvlText w:val=""/>
      <w:lvlJc w:val="left"/>
      <w:pPr>
        <w:ind w:left="6446" w:hanging="360"/>
      </w:pPr>
      <w:rPr>
        <w:rFonts w:ascii="Symbol" w:hAnsi="Symbol" w:hint="default"/>
      </w:rPr>
    </w:lvl>
    <w:lvl w:ilvl="7" w:tplc="0C090003" w:tentative="1">
      <w:start w:val="1"/>
      <w:numFmt w:val="bullet"/>
      <w:lvlText w:val="o"/>
      <w:lvlJc w:val="left"/>
      <w:pPr>
        <w:ind w:left="7166" w:hanging="360"/>
      </w:pPr>
      <w:rPr>
        <w:rFonts w:ascii="Courier New" w:hAnsi="Courier New" w:cs="Courier New" w:hint="default"/>
      </w:rPr>
    </w:lvl>
    <w:lvl w:ilvl="8" w:tplc="0C090005" w:tentative="1">
      <w:start w:val="1"/>
      <w:numFmt w:val="bullet"/>
      <w:lvlText w:val=""/>
      <w:lvlJc w:val="left"/>
      <w:pPr>
        <w:ind w:left="7886" w:hanging="360"/>
      </w:pPr>
      <w:rPr>
        <w:rFonts w:ascii="Wingdings" w:hAnsi="Wingdings" w:hint="default"/>
      </w:rPr>
    </w:lvl>
  </w:abstractNum>
  <w:abstractNum w:abstractNumId="3" w15:restartNumberingAfterBreak="0">
    <w:nsid w:val="061A5008"/>
    <w:multiLevelType w:val="hybridMultilevel"/>
    <w:tmpl w:val="1726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0077C"/>
    <w:multiLevelType w:val="hybridMultilevel"/>
    <w:tmpl w:val="3E62B152"/>
    <w:lvl w:ilvl="0" w:tplc="F64C6B0A">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 w15:restartNumberingAfterBreak="0">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F2553"/>
    <w:multiLevelType w:val="hybridMultilevel"/>
    <w:tmpl w:val="C938ED28"/>
    <w:lvl w:ilvl="0" w:tplc="755CCC3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91526C"/>
    <w:multiLevelType w:val="hybridMultilevel"/>
    <w:tmpl w:val="7B864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F0D44"/>
    <w:multiLevelType w:val="hybridMultilevel"/>
    <w:tmpl w:val="3B34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33E14"/>
    <w:multiLevelType w:val="hybridMultilevel"/>
    <w:tmpl w:val="9A80C4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0795C1F"/>
    <w:multiLevelType w:val="hybridMultilevel"/>
    <w:tmpl w:val="CC5A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CA782E"/>
    <w:multiLevelType w:val="hybridMultilevel"/>
    <w:tmpl w:val="B97C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5B03F9"/>
    <w:multiLevelType w:val="hybridMultilevel"/>
    <w:tmpl w:val="3E62B152"/>
    <w:lvl w:ilvl="0" w:tplc="F64C6B0A">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6" w15:restartNumberingAfterBreak="0">
    <w:nsid w:val="3A8B3549"/>
    <w:multiLevelType w:val="hybridMultilevel"/>
    <w:tmpl w:val="D768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963C8A"/>
    <w:multiLevelType w:val="hybridMultilevel"/>
    <w:tmpl w:val="7750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803C74"/>
    <w:multiLevelType w:val="hybridMultilevel"/>
    <w:tmpl w:val="DDC08894"/>
    <w:lvl w:ilvl="0" w:tplc="C2BAD124">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C44FC"/>
    <w:multiLevelType w:val="hybridMultilevel"/>
    <w:tmpl w:val="8402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FDC6FBE"/>
    <w:multiLevelType w:val="hybridMultilevel"/>
    <w:tmpl w:val="46F2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71AC1"/>
    <w:multiLevelType w:val="hybridMultilevel"/>
    <w:tmpl w:val="0F62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30"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A3BBB"/>
    <w:multiLevelType w:val="hybridMultilevel"/>
    <w:tmpl w:val="DA0A68A8"/>
    <w:lvl w:ilvl="0" w:tplc="C2BAD124">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F13188"/>
    <w:multiLevelType w:val="hybridMultilevel"/>
    <w:tmpl w:val="D0D6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A2236B"/>
    <w:multiLevelType w:val="hybridMultilevel"/>
    <w:tmpl w:val="05D4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C63F97"/>
    <w:multiLevelType w:val="hybridMultilevel"/>
    <w:tmpl w:val="9CDE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F2155"/>
    <w:multiLevelType w:val="hybridMultilevel"/>
    <w:tmpl w:val="0754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6"/>
  </w:num>
  <w:num w:numId="4">
    <w:abstractNumId w:val="29"/>
  </w:num>
  <w:num w:numId="5">
    <w:abstractNumId w:val="10"/>
  </w:num>
  <w:num w:numId="6">
    <w:abstractNumId w:val="2"/>
  </w:num>
  <w:num w:numId="7">
    <w:abstractNumId w:val="28"/>
  </w:num>
  <w:num w:numId="8">
    <w:abstractNumId w:val="18"/>
  </w:num>
  <w:num w:numId="9">
    <w:abstractNumId w:val="14"/>
  </w:num>
  <w:num w:numId="10">
    <w:abstractNumId w:val="20"/>
  </w:num>
  <w:num w:numId="11">
    <w:abstractNumId w:val="5"/>
  </w:num>
  <w:num w:numId="12">
    <w:abstractNumId w:val="23"/>
  </w:num>
  <w:num w:numId="13">
    <w:abstractNumId w:val="26"/>
  </w:num>
  <w:num w:numId="14">
    <w:abstractNumId w:val="27"/>
  </w:num>
  <w:num w:numId="15">
    <w:abstractNumId w:val="19"/>
  </w:num>
  <w:num w:numId="16">
    <w:abstractNumId w:val="35"/>
  </w:num>
  <w:num w:numId="17">
    <w:abstractNumId w:val="33"/>
  </w:num>
  <w:num w:numId="18">
    <w:abstractNumId w:val="15"/>
  </w:num>
  <w:num w:numId="19">
    <w:abstractNumId w:val="31"/>
  </w:num>
  <w:num w:numId="20">
    <w:abstractNumId w:val="21"/>
  </w:num>
  <w:num w:numId="21">
    <w:abstractNumId w:val="4"/>
  </w:num>
  <w:num w:numId="22">
    <w:abstractNumId w:val="9"/>
  </w:num>
  <w:num w:numId="23">
    <w:abstractNumId w:val="34"/>
  </w:num>
  <w:num w:numId="24">
    <w:abstractNumId w:val="22"/>
  </w:num>
  <w:num w:numId="25">
    <w:abstractNumId w:val="13"/>
  </w:num>
  <w:num w:numId="26">
    <w:abstractNumId w:val="8"/>
  </w:num>
  <w:num w:numId="27">
    <w:abstractNumId w:val="1"/>
  </w:num>
  <w:num w:numId="28">
    <w:abstractNumId w:val="24"/>
  </w:num>
  <w:num w:numId="29">
    <w:abstractNumId w:val="12"/>
  </w:num>
  <w:num w:numId="30">
    <w:abstractNumId w:val="0"/>
  </w:num>
  <w:num w:numId="31">
    <w:abstractNumId w:val="32"/>
  </w:num>
  <w:num w:numId="32">
    <w:abstractNumId w:val="25"/>
  </w:num>
  <w:num w:numId="33">
    <w:abstractNumId w:val="11"/>
  </w:num>
  <w:num w:numId="34">
    <w:abstractNumId w:val="16"/>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48b890-d9ff-4833-a4ec-08565716eb35"/>
  </w:docVars>
  <w:rsids>
    <w:rsidRoot w:val="002A1E02"/>
    <w:rsid w:val="000039DC"/>
    <w:rsid w:val="00003F85"/>
    <w:rsid w:val="000066F2"/>
    <w:rsid w:val="0001288C"/>
    <w:rsid w:val="00017207"/>
    <w:rsid w:val="000202EA"/>
    <w:rsid w:val="000204E2"/>
    <w:rsid w:val="00022B3F"/>
    <w:rsid w:val="00023ECB"/>
    <w:rsid w:val="0002483E"/>
    <w:rsid w:val="00025D4E"/>
    <w:rsid w:val="00030A15"/>
    <w:rsid w:val="00032C91"/>
    <w:rsid w:val="00033339"/>
    <w:rsid w:val="00036E84"/>
    <w:rsid w:val="0004092B"/>
    <w:rsid w:val="000439B9"/>
    <w:rsid w:val="00047750"/>
    <w:rsid w:val="0005135A"/>
    <w:rsid w:val="000515D4"/>
    <w:rsid w:val="000568CD"/>
    <w:rsid w:val="00066FFE"/>
    <w:rsid w:val="000743CF"/>
    <w:rsid w:val="000852A4"/>
    <w:rsid w:val="000873F6"/>
    <w:rsid w:val="00091E0D"/>
    <w:rsid w:val="00092B64"/>
    <w:rsid w:val="00096A0F"/>
    <w:rsid w:val="000A05B0"/>
    <w:rsid w:val="000A1E72"/>
    <w:rsid w:val="000C4D76"/>
    <w:rsid w:val="000C4DF1"/>
    <w:rsid w:val="000C57F3"/>
    <w:rsid w:val="000C72B5"/>
    <w:rsid w:val="000D044A"/>
    <w:rsid w:val="000D4402"/>
    <w:rsid w:val="000D6698"/>
    <w:rsid w:val="000E06AD"/>
    <w:rsid w:val="000E2250"/>
    <w:rsid w:val="000E43A9"/>
    <w:rsid w:val="000E7B92"/>
    <w:rsid w:val="000F01A0"/>
    <w:rsid w:val="000F0313"/>
    <w:rsid w:val="000F0436"/>
    <w:rsid w:val="000F3163"/>
    <w:rsid w:val="00101FD3"/>
    <w:rsid w:val="00106202"/>
    <w:rsid w:val="00110C31"/>
    <w:rsid w:val="00114054"/>
    <w:rsid w:val="0011606B"/>
    <w:rsid w:val="00121DAB"/>
    <w:rsid w:val="001233B2"/>
    <w:rsid w:val="0013063B"/>
    <w:rsid w:val="00132321"/>
    <w:rsid w:val="00135F99"/>
    <w:rsid w:val="00144429"/>
    <w:rsid w:val="00144E2D"/>
    <w:rsid w:val="001456D5"/>
    <w:rsid w:val="001464C6"/>
    <w:rsid w:val="0015394A"/>
    <w:rsid w:val="00157E53"/>
    <w:rsid w:val="001706C8"/>
    <w:rsid w:val="00172194"/>
    <w:rsid w:val="00172383"/>
    <w:rsid w:val="001727F5"/>
    <w:rsid w:val="001730D5"/>
    <w:rsid w:val="00175590"/>
    <w:rsid w:val="00176BAD"/>
    <w:rsid w:val="00177E1C"/>
    <w:rsid w:val="00185ED0"/>
    <w:rsid w:val="00186F02"/>
    <w:rsid w:val="00187CCD"/>
    <w:rsid w:val="00191828"/>
    <w:rsid w:val="001919F2"/>
    <w:rsid w:val="00195ADB"/>
    <w:rsid w:val="001A1B1A"/>
    <w:rsid w:val="001A46FD"/>
    <w:rsid w:val="001A6997"/>
    <w:rsid w:val="001B00BB"/>
    <w:rsid w:val="001B687A"/>
    <w:rsid w:val="001C0E6E"/>
    <w:rsid w:val="001C1DA3"/>
    <w:rsid w:val="001C3D16"/>
    <w:rsid w:val="001C546D"/>
    <w:rsid w:val="001C76CC"/>
    <w:rsid w:val="001D0036"/>
    <w:rsid w:val="001D3F39"/>
    <w:rsid w:val="001D730B"/>
    <w:rsid w:val="001D7FB4"/>
    <w:rsid w:val="001E1C16"/>
    <w:rsid w:val="001E3DC6"/>
    <w:rsid w:val="001E63B2"/>
    <w:rsid w:val="001E66E1"/>
    <w:rsid w:val="001F1FF7"/>
    <w:rsid w:val="001F39CB"/>
    <w:rsid w:val="001F3E05"/>
    <w:rsid w:val="001F4649"/>
    <w:rsid w:val="001F4C7F"/>
    <w:rsid w:val="0020212C"/>
    <w:rsid w:val="0020299F"/>
    <w:rsid w:val="00202F02"/>
    <w:rsid w:val="0020317C"/>
    <w:rsid w:val="002079AF"/>
    <w:rsid w:val="00211C89"/>
    <w:rsid w:val="00212890"/>
    <w:rsid w:val="00215ADD"/>
    <w:rsid w:val="00222EAB"/>
    <w:rsid w:val="00223C13"/>
    <w:rsid w:val="0022525B"/>
    <w:rsid w:val="00226CCF"/>
    <w:rsid w:val="00232585"/>
    <w:rsid w:val="00232D31"/>
    <w:rsid w:val="00232DFA"/>
    <w:rsid w:val="002353A4"/>
    <w:rsid w:val="00236BA7"/>
    <w:rsid w:val="00237F59"/>
    <w:rsid w:val="00240D3B"/>
    <w:rsid w:val="00241F47"/>
    <w:rsid w:val="002422D6"/>
    <w:rsid w:val="00243243"/>
    <w:rsid w:val="00243BEA"/>
    <w:rsid w:val="002474E1"/>
    <w:rsid w:val="00250C1D"/>
    <w:rsid w:val="00251836"/>
    <w:rsid w:val="00253ACD"/>
    <w:rsid w:val="0026770A"/>
    <w:rsid w:val="002702FA"/>
    <w:rsid w:val="00272962"/>
    <w:rsid w:val="00276C24"/>
    <w:rsid w:val="00280F46"/>
    <w:rsid w:val="00281D34"/>
    <w:rsid w:val="002822EE"/>
    <w:rsid w:val="00284A49"/>
    <w:rsid w:val="002862C5"/>
    <w:rsid w:val="00286E4C"/>
    <w:rsid w:val="0029110C"/>
    <w:rsid w:val="002A1790"/>
    <w:rsid w:val="002A1E02"/>
    <w:rsid w:val="002A3E4C"/>
    <w:rsid w:val="002A6952"/>
    <w:rsid w:val="002B0D02"/>
    <w:rsid w:val="002B417A"/>
    <w:rsid w:val="002B55B5"/>
    <w:rsid w:val="002C1D59"/>
    <w:rsid w:val="002C3391"/>
    <w:rsid w:val="002C4DAE"/>
    <w:rsid w:val="002C6A3E"/>
    <w:rsid w:val="002D0878"/>
    <w:rsid w:val="002D2881"/>
    <w:rsid w:val="002E01DA"/>
    <w:rsid w:val="002E34C2"/>
    <w:rsid w:val="002E632F"/>
    <w:rsid w:val="002E771F"/>
    <w:rsid w:val="002F1260"/>
    <w:rsid w:val="002F1569"/>
    <w:rsid w:val="002F17D2"/>
    <w:rsid w:val="002F5B7D"/>
    <w:rsid w:val="003079BB"/>
    <w:rsid w:val="0031111A"/>
    <w:rsid w:val="00311F38"/>
    <w:rsid w:val="003122AC"/>
    <w:rsid w:val="0032392F"/>
    <w:rsid w:val="00325E02"/>
    <w:rsid w:val="00327536"/>
    <w:rsid w:val="003318D2"/>
    <w:rsid w:val="003326AC"/>
    <w:rsid w:val="003340A1"/>
    <w:rsid w:val="00334222"/>
    <w:rsid w:val="0033444A"/>
    <w:rsid w:val="003351A1"/>
    <w:rsid w:val="00343298"/>
    <w:rsid w:val="0034532F"/>
    <w:rsid w:val="00352B37"/>
    <w:rsid w:val="003555FC"/>
    <w:rsid w:val="00357644"/>
    <w:rsid w:val="003576EC"/>
    <w:rsid w:val="00357EBA"/>
    <w:rsid w:val="00361549"/>
    <w:rsid w:val="00362109"/>
    <w:rsid w:val="00371D20"/>
    <w:rsid w:val="0038286C"/>
    <w:rsid w:val="00385052"/>
    <w:rsid w:val="00386F3F"/>
    <w:rsid w:val="003938FD"/>
    <w:rsid w:val="003A26C2"/>
    <w:rsid w:val="003A54F1"/>
    <w:rsid w:val="003A6317"/>
    <w:rsid w:val="003B1A6D"/>
    <w:rsid w:val="003B2511"/>
    <w:rsid w:val="003B319D"/>
    <w:rsid w:val="003B3DCD"/>
    <w:rsid w:val="003B3E02"/>
    <w:rsid w:val="003B6664"/>
    <w:rsid w:val="003B6AC1"/>
    <w:rsid w:val="003C2C60"/>
    <w:rsid w:val="003C6B59"/>
    <w:rsid w:val="003C7689"/>
    <w:rsid w:val="003D1121"/>
    <w:rsid w:val="003D1914"/>
    <w:rsid w:val="003D268D"/>
    <w:rsid w:val="003D5B28"/>
    <w:rsid w:val="003E056E"/>
    <w:rsid w:val="003E3E75"/>
    <w:rsid w:val="003F1D54"/>
    <w:rsid w:val="003F34B0"/>
    <w:rsid w:val="003F4090"/>
    <w:rsid w:val="003F571A"/>
    <w:rsid w:val="003F73BC"/>
    <w:rsid w:val="003F7C84"/>
    <w:rsid w:val="004016AF"/>
    <w:rsid w:val="00402594"/>
    <w:rsid w:val="00402970"/>
    <w:rsid w:val="00402DEA"/>
    <w:rsid w:val="00414624"/>
    <w:rsid w:val="0041529F"/>
    <w:rsid w:val="00415A88"/>
    <w:rsid w:val="00423FBB"/>
    <w:rsid w:val="00427586"/>
    <w:rsid w:val="00427CB0"/>
    <w:rsid w:val="00434282"/>
    <w:rsid w:val="00446DDE"/>
    <w:rsid w:val="00451AD6"/>
    <w:rsid w:val="00453F25"/>
    <w:rsid w:val="00454584"/>
    <w:rsid w:val="0045539C"/>
    <w:rsid w:val="00457439"/>
    <w:rsid w:val="0046094B"/>
    <w:rsid w:val="0046199A"/>
    <w:rsid w:val="00464E4F"/>
    <w:rsid w:val="00473C3F"/>
    <w:rsid w:val="00475905"/>
    <w:rsid w:val="00476315"/>
    <w:rsid w:val="004811B9"/>
    <w:rsid w:val="00483B2E"/>
    <w:rsid w:val="00486000"/>
    <w:rsid w:val="00486A0B"/>
    <w:rsid w:val="00490CA9"/>
    <w:rsid w:val="0049325D"/>
    <w:rsid w:val="00496893"/>
    <w:rsid w:val="004A260D"/>
    <w:rsid w:val="004A342E"/>
    <w:rsid w:val="004A39D5"/>
    <w:rsid w:val="004A53DA"/>
    <w:rsid w:val="004A6A94"/>
    <w:rsid w:val="004B435C"/>
    <w:rsid w:val="004B5587"/>
    <w:rsid w:val="004B5E17"/>
    <w:rsid w:val="004C1B09"/>
    <w:rsid w:val="004C1F3D"/>
    <w:rsid w:val="004C2DE0"/>
    <w:rsid w:val="004C57A0"/>
    <w:rsid w:val="004C77AD"/>
    <w:rsid w:val="004D32C4"/>
    <w:rsid w:val="004D43AD"/>
    <w:rsid w:val="004E6245"/>
    <w:rsid w:val="004E7090"/>
    <w:rsid w:val="004F476A"/>
    <w:rsid w:val="004F4AE2"/>
    <w:rsid w:val="004F6C60"/>
    <w:rsid w:val="004F7F1C"/>
    <w:rsid w:val="00501BA6"/>
    <w:rsid w:val="00502DDE"/>
    <w:rsid w:val="005058A2"/>
    <w:rsid w:val="005078D9"/>
    <w:rsid w:val="005113D6"/>
    <w:rsid w:val="00511E28"/>
    <w:rsid w:val="005130C7"/>
    <w:rsid w:val="005135EE"/>
    <w:rsid w:val="00516919"/>
    <w:rsid w:val="00524C3C"/>
    <w:rsid w:val="00531B2F"/>
    <w:rsid w:val="00533292"/>
    <w:rsid w:val="00540768"/>
    <w:rsid w:val="00543A4F"/>
    <w:rsid w:val="00546D23"/>
    <w:rsid w:val="00551586"/>
    <w:rsid w:val="00552A93"/>
    <w:rsid w:val="00556868"/>
    <w:rsid w:val="00567E72"/>
    <w:rsid w:val="00570D34"/>
    <w:rsid w:val="00571D3E"/>
    <w:rsid w:val="00574B03"/>
    <w:rsid w:val="0058244D"/>
    <w:rsid w:val="00591725"/>
    <w:rsid w:val="0059232F"/>
    <w:rsid w:val="00593FFF"/>
    <w:rsid w:val="00594860"/>
    <w:rsid w:val="005A1B0F"/>
    <w:rsid w:val="005A2690"/>
    <w:rsid w:val="005A43E9"/>
    <w:rsid w:val="005A48F1"/>
    <w:rsid w:val="005A4FD1"/>
    <w:rsid w:val="005B4A0B"/>
    <w:rsid w:val="005B4BA3"/>
    <w:rsid w:val="005B7FBE"/>
    <w:rsid w:val="005C0203"/>
    <w:rsid w:val="005C23DC"/>
    <w:rsid w:val="005D1326"/>
    <w:rsid w:val="005D28D2"/>
    <w:rsid w:val="005D3052"/>
    <w:rsid w:val="005D5908"/>
    <w:rsid w:val="005D5FF3"/>
    <w:rsid w:val="005D6229"/>
    <w:rsid w:val="005D7ADA"/>
    <w:rsid w:val="005E1B38"/>
    <w:rsid w:val="005E2947"/>
    <w:rsid w:val="005F0820"/>
    <w:rsid w:val="005F15CC"/>
    <w:rsid w:val="005F262F"/>
    <w:rsid w:val="005F5A9A"/>
    <w:rsid w:val="006000AD"/>
    <w:rsid w:val="00602B99"/>
    <w:rsid w:val="006041F9"/>
    <w:rsid w:val="00604B0F"/>
    <w:rsid w:val="00604CFA"/>
    <w:rsid w:val="00604EDB"/>
    <w:rsid w:val="00605084"/>
    <w:rsid w:val="006058A9"/>
    <w:rsid w:val="00606505"/>
    <w:rsid w:val="00607978"/>
    <w:rsid w:val="00613932"/>
    <w:rsid w:val="00616234"/>
    <w:rsid w:val="00622BC3"/>
    <w:rsid w:val="006342A9"/>
    <w:rsid w:val="0064070B"/>
    <w:rsid w:val="00643058"/>
    <w:rsid w:val="0064769C"/>
    <w:rsid w:val="00647C13"/>
    <w:rsid w:val="0065449B"/>
    <w:rsid w:val="006545C0"/>
    <w:rsid w:val="00655F9B"/>
    <w:rsid w:val="00662ACA"/>
    <w:rsid w:val="006640EE"/>
    <w:rsid w:val="00665141"/>
    <w:rsid w:val="00665E0B"/>
    <w:rsid w:val="00665F57"/>
    <w:rsid w:val="00670FC0"/>
    <w:rsid w:val="006710CA"/>
    <w:rsid w:val="00674959"/>
    <w:rsid w:val="00677487"/>
    <w:rsid w:val="00684CEE"/>
    <w:rsid w:val="00685E86"/>
    <w:rsid w:val="006865B2"/>
    <w:rsid w:val="00693C51"/>
    <w:rsid w:val="006A1642"/>
    <w:rsid w:val="006A4239"/>
    <w:rsid w:val="006A54DA"/>
    <w:rsid w:val="006A7BA7"/>
    <w:rsid w:val="006B1A66"/>
    <w:rsid w:val="006B2035"/>
    <w:rsid w:val="006B7586"/>
    <w:rsid w:val="006C2C7D"/>
    <w:rsid w:val="006C5EC2"/>
    <w:rsid w:val="006D26EC"/>
    <w:rsid w:val="006D2E81"/>
    <w:rsid w:val="006D3919"/>
    <w:rsid w:val="006D5217"/>
    <w:rsid w:val="006D7783"/>
    <w:rsid w:val="006E73C5"/>
    <w:rsid w:val="006E7AC3"/>
    <w:rsid w:val="006F287C"/>
    <w:rsid w:val="006F438C"/>
    <w:rsid w:val="006F648A"/>
    <w:rsid w:val="00700FA9"/>
    <w:rsid w:val="00700FB6"/>
    <w:rsid w:val="007012EC"/>
    <w:rsid w:val="00702825"/>
    <w:rsid w:val="007049F9"/>
    <w:rsid w:val="0070717D"/>
    <w:rsid w:val="00711C6E"/>
    <w:rsid w:val="0071635F"/>
    <w:rsid w:val="007211EC"/>
    <w:rsid w:val="00727A1C"/>
    <w:rsid w:val="00735845"/>
    <w:rsid w:val="0073593E"/>
    <w:rsid w:val="007359E7"/>
    <w:rsid w:val="00735AEC"/>
    <w:rsid w:val="0073775F"/>
    <w:rsid w:val="007379C7"/>
    <w:rsid w:val="00740A15"/>
    <w:rsid w:val="00743458"/>
    <w:rsid w:val="00744935"/>
    <w:rsid w:val="007466DF"/>
    <w:rsid w:val="00746BA3"/>
    <w:rsid w:val="00761EBC"/>
    <w:rsid w:val="00766FE1"/>
    <w:rsid w:val="007701EA"/>
    <w:rsid w:val="00770BA4"/>
    <w:rsid w:val="00771F20"/>
    <w:rsid w:val="007725CB"/>
    <w:rsid w:val="00773AB8"/>
    <w:rsid w:val="00774683"/>
    <w:rsid w:val="007776E8"/>
    <w:rsid w:val="007838D2"/>
    <w:rsid w:val="00787B46"/>
    <w:rsid w:val="00790D7A"/>
    <w:rsid w:val="0079260E"/>
    <w:rsid w:val="00793F1B"/>
    <w:rsid w:val="00794EB9"/>
    <w:rsid w:val="007A0C6C"/>
    <w:rsid w:val="007A115F"/>
    <w:rsid w:val="007A13BA"/>
    <w:rsid w:val="007A7894"/>
    <w:rsid w:val="007B2A61"/>
    <w:rsid w:val="007C18E0"/>
    <w:rsid w:val="007C1CB2"/>
    <w:rsid w:val="007C3A46"/>
    <w:rsid w:val="007C3FD6"/>
    <w:rsid w:val="007C57BC"/>
    <w:rsid w:val="007C5965"/>
    <w:rsid w:val="007C5D56"/>
    <w:rsid w:val="007D019B"/>
    <w:rsid w:val="007E0135"/>
    <w:rsid w:val="007E0CE8"/>
    <w:rsid w:val="007E11F1"/>
    <w:rsid w:val="007E1AE9"/>
    <w:rsid w:val="007E1C15"/>
    <w:rsid w:val="007E67BB"/>
    <w:rsid w:val="007E689C"/>
    <w:rsid w:val="007E6EBD"/>
    <w:rsid w:val="007F0E62"/>
    <w:rsid w:val="007F13BB"/>
    <w:rsid w:val="007F1552"/>
    <w:rsid w:val="007F1C76"/>
    <w:rsid w:val="007F4B54"/>
    <w:rsid w:val="007F695A"/>
    <w:rsid w:val="007F6C5F"/>
    <w:rsid w:val="007F6FA2"/>
    <w:rsid w:val="008040E9"/>
    <w:rsid w:val="00813439"/>
    <w:rsid w:val="0081437B"/>
    <w:rsid w:val="00815D68"/>
    <w:rsid w:val="0081630A"/>
    <w:rsid w:val="00816FD4"/>
    <w:rsid w:val="00817104"/>
    <w:rsid w:val="00820F04"/>
    <w:rsid w:val="0082269C"/>
    <w:rsid w:val="0082378F"/>
    <w:rsid w:val="008237B6"/>
    <w:rsid w:val="008244CB"/>
    <w:rsid w:val="00824762"/>
    <w:rsid w:val="008267E5"/>
    <w:rsid w:val="00833B32"/>
    <w:rsid w:val="00840081"/>
    <w:rsid w:val="00841D01"/>
    <w:rsid w:val="008426CB"/>
    <w:rsid w:val="008429F3"/>
    <w:rsid w:val="008431C2"/>
    <w:rsid w:val="00846C72"/>
    <w:rsid w:val="00847406"/>
    <w:rsid w:val="008507CE"/>
    <w:rsid w:val="00856ECB"/>
    <w:rsid w:val="00860DD9"/>
    <w:rsid w:val="00863440"/>
    <w:rsid w:val="00866329"/>
    <w:rsid w:val="0086785E"/>
    <w:rsid w:val="0087001C"/>
    <w:rsid w:val="008725F4"/>
    <w:rsid w:val="008744BB"/>
    <w:rsid w:val="008755AB"/>
    <w:rsid w:val="00880663"/>
    <w:rsid w:val="00887F46"/>
    <w:rsid w:val="00894332"/>
    <w:rsid w:val="00894350"/>
    <w:rsid w:val="00894929"/>
    <w:rsid w:val="008978A8"/>
    <w:rsid w:val="008A1950"/>
    <w:rsid w:val="008A4799"/>
    <w:rsid w:val="008A76BB"/>
    <w:rsid w:val="008A774C"/>
    <w:rsid w:val="008A7848"/>
    <w:rsid w:val="008B7D3D"/>
    <w:rsid w:val="008C0780"/>
    <w:rsid w:val="008C1EEE"/>
    <w:rsid w:val="008C2801"/>
    <w:rsid w:val="008C3955"/>
    <w:rsid w:val="008D48E1"/>
    <w:rsid w:val="008E16C0"/>
    <w:rsid w:val="008E191C"/>
    <w:rsid w:val="008E4D82"/>
    <w:rsid w:val="008E5578"/>
    <w:rsid w:val="008E77FA"/>
    <w:rsid w:val="008F10A1"/>
    <w:rsid w:val="008F2EBF"/>
    <w:rsid w:val="008F7ACE"/>
    <w:rsid w:val="00900057"/>
    <w:rsid w:val="009006B4"/>
    <w:rsid w:val="00900A07"/>
    <w:rsid w:val="00900BE2"/>
    <w:rsid w:val="00903081"/>
    <w:rsid w:val="0090339C"/>
    <w:rsid w:val="009079A4"/>
    <w:rsid w:val="00907CAD"/>
    <w:rsid w:val="00913E20"/>
    <w:rsid w:val="00914634"/>
    <w:rsid w:val="00915EE2"/>
    <w:rsid w:val="009263A3"/>
    <w:rsid w:val="00931A89"/>
    <w:rsid w:val="00932744"/>
    <w:rsid w:val="009360EB"/>
    <w:rsid w:val="0093776E"/>
    <w:rsid w:val="00942280"/>
    <w:rsid w:val="009442C8"/>
    <w:rsid w:val="009446EA"/>
    <w:rsid w:val="009456F9"/>
    <w:rsid w:val="009468F5"/>
    <w:rsid w:val="00947325"/>
    <w:rsid w:val="009561C2"/>
    <w:rsid w:val="009633E9"/>
    <w:rsid w:val="0096743A"/>
    <w:rsid w:val="009723BB"/>
    <w:rsid w:val="00980556"/>
    <w:rsid w:val="00983F74"/>
    <w:rsid w:val="00984CC0"/>
    <w:rsid w:val="009909EF"/>
    <w:rsid w:val="00996CBD"/>
    <w:rsid w:val="00997A9D"/>
    <w:rsid w:val="009A0797"/>
    <w:rsid w:val="009A501E"/>
    <w:rsid w:val="009A68A4"/>
    <w:rsid w:val="009B22FF"/>
    <w:rsid w:val="009C15A6"/>
    <w:rsid w:val="009C6520"/>
    <w:rsid w:val="009C7752"/>
    <w:rsid w:val="009D05AF"/>
    <w:rsid w:val="009D46D4"/>
    <w:rsid w:val="009D4D9A"/>
    <w:rsid w:val="009D7D25"/>
    <w:rsid w:val="009E4B48"/>
    <w:rsid w:val="009E6242"/>
    <w:rsid w:val="009F0420"/>
    <w:rsid w:val="009F06FA"/>
    <w:rsid w:val="009F1E89"/>
    <w:rsid w:val="009F30F6"/>
    <w:rsid w:val="009F5F0F"/>
    <w:rsid w:val="009F78B0"/>
    <w:rsid w:val="00A07C2F"/>
    <w:rsid w:val="00A1432C"/>
    <w:rsid w:val="00A213F0"/>
    <w:rsid w:val="00A228BA"/>
    <w:rsid w:val="00A24B47"/>
    <w:rsid w:val="00A267E9"/>
    <w:rsid w:val="00A270B0"/>
    <w:rsid w:val="00A27966"/>
    <w:rsid w:val="00A359DC"/>
    <w:rsid w:val="00A42E52"/>
    <w:rsid w:val="00A5124D"/>
    <w:rsid w:val="00A52EF9"/>
    <w:rsid w:val="00A531C9"/>
    <w:rsid w:val="00A5457F"/>
    <w:rsid w:val="00A56C7F"/>
    <w:rsid w:val="00A56EDB"/>
    <w:rsid w:val="00A7488F"/>
    <w:rsid w:val="00A77087"/>
    <w:rsid w:val="00A920D5"/>
    <w:rsid w:val="00A92437"/>
    <w:rsid w:val="00A955B2"/>
    <w:rsid w:val="00A97083"/>
    <w:rsid w:val="00AA07E6"/>
    <w:rsid w:val="00AA567D"/>
    <w:rsid w:val="00AA7386"/>
    <w:rsid w:val="00AA748F"/>
    <w:rsid w:val="00AA7DA3"/>
    <w:rsid w:val="00AC23D3"/>
    <w:rsid w:val="00AC549D"/>
    <w:rsid w:val="00AD2DEF"/>
    <w:rsid w:val="00AD38BF"/>
    <w:rsid w:val="00AD3CB3"/>
    <w:rsid w:val="00AD53D2"/>
    <w:rsid w:val="00AD6A8B"/>
    <w:rsid w:val="00AD724E"/>
    <w:rsid w:val="00AE28AD"/>
    <w:rsid w:val="00AF0CC7"/>
    <w:rsid w:val="00AF288A"/>
    <w:rsid w:val="00AF415D"/>
    <w:rsid w:val="00AF4469"/>
    <w:rsid w:val="00AF5B37"/>
    <w:rsid w:val="00B0143D"/>
    <w:rsid w:val="00B033E7"/>
    <w:rsid w:val="00B0528A"/>
    <w:rsid w:val="00B05CF0"/>
    <w:rsid w:val="00B07AF1"/>
    <w:rsid w:val="00B1190D"/>
    <w:rsid w:val="00B12355"/>
    <w:rsid w:val="00B24458"/>
    <w:rsid w:val="00B27B13"/>
    <w:rsid w:val="00B35C34"/>
    <w:rsid w:val="00B35E89"/>
    <w:rsid w:val="00B3648B"/>
    <w:rsid w:val="00B41DC9"/>
    <w:rsid w:val="00B42575"/>
    <w:rsid w:val="00B45C86"/>
    <w:rsid w:val="00B47127"/>
    <w:rsid w:val="00B52B88"/>
    <w:rsid w:val="00B608C3"/>
    <w:rsid w:val="00B60DE2"/>
    <w:rsid w:val="00B634CA"/>
    <w:rsid w:val="00B641EA"/>
    <w:rsid w:val="00B66560"/>
    <w:rsid w:val="00B72A81"/>
    <w:rsid w:val="00B72EAA"/>
    <w:rsid w:val="00B75E97"/>
    <w:rsid w:val="00B778C7"/>
    <w:rsid w:val="00B81148"/>
    <w:rsid w:val="00B82037"/>
    <w:rsid w:val="00B8233A"/>
    <w:rsid w:val="00B86F88"/>
    <w:rsid w:val="00B870A0"/>
    <w:rsid w:val="00B8744A"/>
    <w:rsid w:val="00B92FA2"/>
    <w:rsid w:val="00BA1865"/>
    <w:rsid w:val="00BB006D"/>
    <w:rsid w:val="00BB1CE3"/>
    <w:rsid w:val="00BB449A"/>
    <w:rsid w:val="00BC323C"/>
    <w:rsid w:val="00BC582A"/>
    <w:rsid w:val="00BC633A"/>
    <w:rsid w:val="00BC70D8"/>
    <w:rsid w:val="00BD5A3B"/>
    <w:rsid w:val="00BD5F4F"/>
    <w:rsid w:val="00BE2CC5"/>
    <w:rsid w:val="00BE340F"/>
    <w:rsid w:val="00BE449A"/>
    <w:rsid w:val="00BE6501"/>
    <w:rsid w:val="00BE720F"/>
    <w:rsid w:val="00BF065F"/>
    <w:rsid w:val="00BF2FC0"/>
    <w:rsid w:val="00BF37D2"/>
    <w:rsid w:val="00BF53F6"/>
    <w:rsid w:val="00BF5680"/>
    <w:rsid w:val="00C00BD9"/>
    <w:rsid w:val="00C05CD6"/>
    <w:rsid w:val="00C05EFF"/>
    <w:rsid w:val="00C06270"/>
    <w:rsid w:val="00C109C0"/>
    <w:rsid w:val="00C164DE"/>
    <w:rsid w:val="00C16B43"/>
    <w:rsid w:val="00C24B73"/>
    <w:rsid w:val="00C256F9"/>
    <w:rsid w:val="00C2777F"/>
    <w:rsid w:val="00C31205"/>
    <w:rsid w:val="00C50A8A"/>
    <w:rsid w:val="00C50FA3"/>
    <w:rsid w:val="00C54677"/>
    <w:rsid w:val="00C62B34"/>
    <w:rsid w:val="00C65E19"/>
    <w:rsid w:val="00C72305"/>
    <w:rsid w:val="00C8052B"/>
    <w:rsid w:val="00C82DD8"/>
    <w:rsid w:val="00C850A5"/>
    <w:rsid w:val="00C85B8C"/>
    <w:rsid w:val="00C86722"/>
    <w:rsid w:val="00C87305"/>
    <w:rsid w:val="00C90C5C"/>
    <w:rsid w:val="00C93981"/>
    <w:rsid w:val="00C963F3"/>
    <w:rsid w:val="00C97113"/>
    <w:rsid w:val="00CA0E37"/>
    <w:rsid w:val="00CA19B4"/>
    <w:rsid w:val="00CA2737"/>
    <w:rsid w:val="00CA4AC9"/>
    <w:rsid w:val="00CA7000"/>
    <w:rsid w:val="00CA7926"/>
    <w:rsid w:val="00CB4943"/>
    <w:rsid w:val="00CC0DE6"/>
    <w:rsid w:val="00CC326F"/>
    <w:rsid w:val="00CC5453"/>
    <w:rsid w:val="00CD30EE"/>
    <w:rsid w:val="00CD773B"/>
    <w:rsid w:val="00CE1042"/>
    <w:rsid w:val="00CE2283"/>
    <w:rsid w:val="00CE544D"/>
    <w:rsid w:val="00CE6027"/>
    <w:rsid w:val="00CE6362"/>
    <w:rsid w:val="00CF3815"/>
    <w:rsid w:val="00CF3EF5"/>
    <w:rsid w:val="00CF4314"/>
    <w:rsid w:val="00CF4773"/>
    <w:rsid w:val="00D033C5"/>
    <w:rsid w:val="00D03B2A"/>
    <w:rsid w:val="00D05647"/>
    <w:rsid w:val="00D057BD"/>
    <w:rsid w:val="00D062F0"/>
    <w:rsid w:val="00D070A0"/>
    <w:rsid w:val="00D07A16"/>
    <w:rsid w:val="00D11283"/>
    <w:rsid w:val="00D13C2F"/>
    <w:rsid w:val="00D14409"/>
    <w:rsid w:val="00D16505"/>
    <w:rsid w:val="00D214BA"/>
    <w:rsid w:val="00D21669"/>
    <w:rsid w:val="00D221A0"/>
    <w:rsid w:val="00D3178D"/>
    <w:rsid w:val="00D34C83"/>
    <w:rsid w:val="00D35913"/>
    <w:rsid w:val="00D35F96"/>
    <w:rsid w:val="00D411B5"/>
    <w:rsid w:val="00D416CE"/>
    <w:rsid w:val="00D4259F"/>
    <w:rsid w:val="00D50147"/>
    <w:rsid w:val="00D5036D"/>
    <w:rsid w:val="00D55660"/>
    <w:rsid w:val="00D62214"/>
    <w:rsid w:val="00D64473"/>
    <w:rsid w:val="00D70E15"/>
    <w:rsid w:val="00D72A69"/>
    <w:rsid w:val="00D73757"/>
    <w:rsid w:val="00D74922"/>
    <w:rsid w:val="00D76436"/>
    <w:rsid w:val="00D82722"/>
    <w:rsid w:val="00D82BAF"/>
    <w:rsid w:val="00D84F82"/>
    <w:rsid w:val="00D86B2B"/>
    <w:rsid w:val="00D878F1"/>
    <w:rsid w:val="00D87ECA"/>
    <w:rsid w:val="00D966E9"/>
    <w:rsid w:val="00D96F06"/>
    <w:rsid w:val="00DA00F4"/>
    <w:rsid w:val="00DA608E"/>
    <w:rsid w:val="00DA6BF7"/>
    <w:rsid w:val="00DA6CDD"/>
    <w:rsid w:val="00DB0283"/>
    <w:rsid w:val="00DB07FF"/>
    <w:rsid w:val="00DC64A7"/>
    <w:rsid w:val="00DC750C"/>
    <w:rsid w:val="00DC7D37"/>
    <w:rsid w:val="00DD0606"/>
    <w:rsid w:val="00DE091F"/>
    <w:rsid w:val="00DE342C"/>
    <w:rsid w:val="00DE355A"/>
    <w:rsid w:val="00DE3C33"/>
    <w:rsid w:val="00DF5350"/>
    <w:rsid w:val="00DF61B3"/>
    <w:rsid w:val="00DF6655"/>
    <w:rsid w:val="00E01077"/>
    <w:rsid w:val="00E02D20"/>
    <w:rsid w:val="00E04A47"/>
    <w:rsid w:val="00E1199A"/>
    <w:rsid w:val="00E12886"/>
    <w:rsid w:val="00E1752E"/>
    <w:rsid w:val="00E244CD"/>
    <w:rsid w:val="00E25BE4"/>
    <w:rsid w:val="00E323F9"/>
    <w:rsid w:val="00E32B9D"/>
    <w:rsid w:val="00E54C84"/>
    <w:rsid w:val="00E55316"/>
    <w:rsid w:val="00E56685"/>
    <w:rsid w:val="00E620D4"/>
    <w:rsid w:val="00E62640"/>
    <w:rsid w:val="00E7094F"/>
    <w:rsid w:val="00E76996"/>
    <w:rsid w:val="00E85BFF"/>
    <w:rsid w:val="00E87C17"/>
    <w:rsid w:val="00E904D3"/>
    <w:rsid w:val="00E916A2"/>
    <w:rsid w:val="00E9751D"/>
    <w:rsid w:val="00EA1612"/>
    <w:rsid w:val="00EA4DAF"/>
    <w:rsid w:val="00EB03E2"/>
    <w:rsid w:val="00EB05CF"/>
    <w:rsid w:val="00EB0AF2"/>
    <w:rsid w:val="00EB21EA"/>
    <w:rsid w:val="00EB2405"/>
    <w:rsid w:val="00EB3BD8"/>
    <w:rsid w:val="00EB4DF4"/>
    <w:rsid w:val="00EB60BA"/>
    <w:rsid w:val="00EB701E"/>
    <w:rsid w:val="00EB78F6"/>
    <w:rsid w:val="00EB7FCB"/>
    <w:rsid w:val="00EC0F0A"/>
    <w:rsid w:val="00EC6FA4"/>
    <w:rsid w:val="00EC6FD8"/>
    <w:rsid w:val="00ED40B7"/>
    <w:rsid w:val="00EE133C"/>
    <w:rsid w:val="00EE360B"/>
    <w:rsid w:val="00EE3798"/>
    <w:rsid w:val="00EF32A4"/>
    <w:rsid w:val="00EF4311"/>
    <w:rsid w:val="00EF54E8"/>
    <w:rsid w:val="00F0152E"/>
    <w:rsid w:val="00F03B48"/>
    <w:rsid w:val="00F07AEE"/>
    <w:rsid w:val="00F1642D"/>
    <w:rsid w:val="00F17FEB"/>
    <w:rsid w:val="00F223D6"/>
    <w:rsid w:val="00F26142"/>
    <w:rsid w:val="00F30DC8"/>
    <w:rsid w:val="00F31CA9"/>
    <w:rsid w:val="00F375C0"/>
    <w:rsid w:val="00F37CA7"/>
    <w:rsid w:val="00F46D9C"/>
    <w:rsid w:val="00F50299"/>
    <w:rsid w:val="00F50A10"/>
    <w:rsid w:val="00F5101D"/>
    <w:rsid w:val="00F5372D"/>
    <w:rsid w:val="00F56DF7"/>
    <w:rsid w:val="00F57911"/>
    <w:rsid w:val="00F62563"/>
    <w:rsid w:val="00F648F0"/>
    <w:rsid w:val="00F65369"/>
    <w:rsid w:val="00F70CF6"/>
    <w:rsid w:val="00F74913"/>
    <w:rsid w:val="00F868CE"/>
    <w:rsid w:val="00F86F68"/>
    <w:rsid w:val="00F9098C"/>
    <w:rsid w:val="00F90C23"/>
    <w:rsid w:val="00F90F23"/>
    <w:rsid w:val="00F93A8D"/>
    <w:rsid w:val="00F97BFE"/>
    <w:rsid w:val="00FA2C10"/>
    <w:rsid w:val="00FB0ED1"/>
    <w:rsid w:val="00FD2789"/>
    <w:rsid w:val="00FD355A"/>
    <w:rsid w:val="00FD5730"/>
    <w:rsid w:val="00FE7DA4"/>
    <w:rsid w:val="00FF27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20AE"/>
  <w15:docId w15:val="{781AE186-AE45-4A2E-AB32-7C53849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BFF"/>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 w:type="paragraph" w:customStyle="1" w:styleId="p1">
    <w:name w:val="p1"/>
    <w:basedOn w:val="Normal"/>
    <w:rsid w:val="00813439"/>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1781">
      <w:bodyDiv w:val="1"/>
      <w:marLeft w:val="0"/>
      <w:marRight w:val="0"/>
      <w:marTop w:val="0"/>
      <w:marBottom w:val="0"/>
      <w:divBdr>
        <w:top w:val="none" w:sz="0" w:space="0" w:color="auto"/>
        <w:left w:val="none" w:sz="0" w:space="0" w:color="auto"/>
        <w:bottom w:val="none" w:sz="0" w:space="0" w:color="auto"/>
        <w:right w:val="none" w:sz="0" w:space="0" w:color="auto"/>
      </w:divBdr>
      <w:divsChild>
        <w:div w:id="1927029426">
          <w:marLeft w:val="0"/>
          <w:marRight w:val="0"/>
          <w:marTop w:val="0"/>
          <w:marBottom w:val="0"/>
          <w:divBdr>
            <w:top w:val="none" w:sz="0" w:space="0" w:color="auto"/>
            <w:left w:val="none" w:sz="0" w:space="0" w:color="auto"/>
            <w:bottom w:val="none" w:sz="0" w:space="0" w:color="auto"/>
            <w:right w:val="none" w:sz="0" w:space="0" w:color="auto"/>
          </w:divBdr>
          <w:divsChild>
            <w:div w:id="1552616712">
              <w:marLeft w:val="0"/>
              <w:marRight w:val="0"/>
              <w:marTop w:val="0"/>
              <w:marBottom w:val="0"/>
              <w:divBdr>
                <w:top w:val="none" w:sz="0" w:space="0" w:color="auto"/>
                <w:left w:val="none" w:sz="0" w:space="0" w:color="auto"/>
                <w:bottom w:val="none" w:sz="0" w:space="0" w:color="auto"/>
                <w:right w:val="none" w:sz="0" w:space="0" w:color="auto"/>
              </w:divBdr>
              <w:divsChild>
                <w:div w:id="263198604">
                  <w:marLeft w:val="0"/>
                  <w:marRight w:val="0"/>
                  <w:marTop w:val="0"/>
                  <w:marBottom w:val="0"/>
                  <w:divBdr>
                    <w:top w:val="none" w:sz="0" w:space="0" w:color="auto"/>
                    <w:left w:val="none" w:sz="0" w:space="0" w:color="auto"/>
                    <w:bottom w:val="none" w:sz="0" w:space="0" w:color="auto"/>
                    <w:right w:val="none" w:sz="0" w:space="0" w:color="auto"/>
                  </w:divBdr>
                  <w:divsChild>
                    <w:div w:id="534006583">
                      <w:marLeft w:val="0"/>
                      <w:marRight w:val="0"/>
                      <w:marTop w:val="0"/>
                      <w:marBottom w:val="0"/>
                      <w:divBdr>
                        <w:top w:val="none" w:sz="0" w:space="0" w:color="auto"/>
                        <w:left w:val="none" w:sz="0" w:space="0" w:color="auto"/>
                        <w:bottom w:val="none" w:sz="0" w:space="0" w:color="auto"/>
                        <w:right w:val="none" w:sz="0" w:space="0" w:color="auto"/>
                      </w:divBdr>
                      <w:divsChild>
                        <w:div w:id="1255089445">
                          <w:marLeft w:val="0"/>
                          <w:marRight w:val="0"/>
                          <w:marTop w:val="0"/>
                          <w:marBottom w:val="0"/>
                          <w:divBdr>
                            <w:top w:val="none" w:sz="0" w:space="0" w:color="auto"/>
                            <w:left w:val="none" w:sz="0" w:space="0" w:color="auto"/>
                            <w:bottom w:val="none" w:sz="0" w:space="0" w:color="auto"/>
                            <w:right w:val="none" w:sz="0" w:space="0" w:color="auto"/>
                          </w:divBdr>
                          <w:divsChild>
                            <w:div w:id="111293252">
                              <w:marLeft w:val="0"/>
                              <w:marRight w:val="0"/>
                              <w:marTop w:val="0"/>
                              <w:marBottom w:val="0"/>
                              <w:divBdr>
                                <w:top w:val="none" w:sz="0" w:space="0" w:color="auto"/>
                                <w:left w:val="none" w:sz="0" w:space="0" w:color="auto"/>
                                <w:bottom w:val="none" w:sz="0" w:space="0" w:color="auto"/>
                                <w:right w:val="none" w:sz="0" w:space="0" w:color="auto"/>
                              </w:divBdr>
                              <w:divsChild>
                                <w:div w:id="974219698">
                                  <w:marLeft w:val="0"/>
                                  <w:marRight w:val="0"/>
                                  <w:marTop w:val="0"/>
                                  <w:marBottom w:val="0"/>
                                  <w:divBdr>
                                    <w:top w:val="none" w:sz="0" w:space="0" w:color="auto"/>
                                    <w:left w:val="none" w:sz="0" w:space="0" w:color="auto"/>
                                    <w:bottom w:val="none" w:sz="0" w:space="0" w:color="auto"/>
                                    <w:right w:val="none" w:sz="0" w:space="0" w:color="auto"/>
                                  </w:divBdr>
                                  <w:divsChild>
                                    <w:div w:id="800733453">
                                      <w:marLeft w:val="0"/>
                                      <w:marRight w:val="0"/>
                                      <w:marTop w:val="0"/>
                                      <w:marBottom w:val="0"/>
                                      <w:divBdr>
                                        <w:top w:val="none" w:sz="0" w:space="0" w:color="auto"/>
                                        <w:left w:val="none" w:sz="0" w:space="0" w:color="auto"/>
                                        <w:bottom w:val="none" w:sz="0" w:space="0" w:color="auto"/>
                                        <w:right w:val="none" w:sz="0" w:space="0" w:color="auto"/>
                                      </w:divBdr>
                                      <w:divsChild>
                                        <w:div w:id="572349291">
                                          <w:marLeft w:val="0"/>
                                          <w:marRight w:val="0"/>
                                          <w:marTop w:val="0"/>
                                          <w:marBottom w:val="0"/>
                                          <w:divBdr>
                                            <w:top w:val="none" w:sz="0" w:space="0" w:color="auto"/>
                                            <w:left w:val="none" w:sz="0" w:space="0" w:color="auto"/>
                                            <w:bottom w:val="none" w:sz="0" w:space="0" w:color="auto"/>
                                            <w:right w:val="none" w:sz="0" w:space="0" w:color="auto"/>
                                          </w:divBdr>
                                          <w:divsChild>
                                            <w:div w:id="1905604559">
                                              <w:marLeft w:val="0"/>
                                              <w:marRight w:val="0"/>
                                              <w:marTop w:val="0"/>
                                              <w:marBottom w:val="0"/>
                                              <w:divBdr>
                                                <w:top w:val="none" w:sz="0" w:space="0" w:color="auto"/>
                                                <w:left w:val="none" w:sz="0" w:space="0" w:color="auto"/>
                                                <w:bottom w:val="none" w:sz="0" w:space="0" w:color="auto"/>
                                                <w:right w:val="none" w:sz="0" w:space="0" w:color="auto"/>
                                              </w:divBdr>
                                              <w:divsChild>
                                                <w:div w:id="1219124630">
                                                  <w:marLeft w:val="0"/>
                                                  <w:marRight w:val="0"/>
                                                  <w:marTop w:val="0"/>
                                                  <w:marBottom w:val="0"/>
                                                  <w:divBdr>
                                                    <w:top w:val="none" w:sz="0" w:space="0" w:color="auto"/>
                                                    <w:left w:val="none" w:sz="0" w:space="0" w:color="auto"/>
                                                    <w:bottom w:val="none" w:sz="0" w:space="0" w:color="auto"/>
                                                    <w:right w:val="none" w:sz="0" w:space="0" w:color="auto"/>
                                                  </w:divBdr>
                                                  <w:divsChild>
                                                    <w:div w:id="1072964676">
                                                      <w:marLeft w:val="0"/>
                                                      <w:marRight w:val="0"/>
                                                      <w:marTop w:val="0"/>
                                                      <w:marBottom w:val="0"/>
                                                      <w:divBdr>
                                                        <w:top w:val="none" w:sz="0" w:space="0" w:color="auto"/>
                                                        <w:left w:val="none" w:sz="0" w:space="0" w:color="auto"/>
                                                        <w:bottom w:val="none" w:sz="0" w:space="0" w:color="auto"/>
                                                        <w:right w:val="none" w:sz="0" w:space="0" w:color="auto"/>
                                                      </w:divBdr>
                                                      <w:divsChild>
                                                        <w:div w:id="18295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591201487">
      <w:bodyDiv w:val="1"/>
      <w:marLeft w:val="0"/>
      <w:marRight w:val="0"/>
      <w:marTop w:val="0"/>
      <w:marBottom w:val="0"/>
      <w:divBdr>
        <w:top w:val="none" w:sz="0" w:space="0" w:color="auto"/>
        <w:left w:val="none" w:sz="0" w:space="0" w:color="auto"/>
        <w:bottom w:val="none" w:sz="0" w:space="0" w:color="auto"/>
        <w:right w:val="none" w:sz="0" w:space="0" w:color="auto"/>
      </w:divBdr>
      <w:divsChild>
        <w:div w:id="1239172335">
          <w:marLeft w:val="0"/>
          <w:marRight w:val="0"/>
          <w:marTop w:val="0"/>
          <w:marBottom w:val="0"/>
          <w:divBdr>
            <w:top w:val="none" w:sz="0" w:space="0" w:color="auto"/>
            <w:left w:val="none" w:sz="0" w:space="0" w:color="auto"/>
            <w:bottom w:val="none" w:sz="0" w:space="0" w:color="auto"/>
            <w:right w:val="none" w:sz="0" w:space="0" w:color="auto"/>
          </w:divBdr>
          <w:divsChild>
            <w:div w:id="2046320699">
              <w:marLeft w:val="0"/>
              <w:marRight w:val="0"/>
              <w:marTop w:val="0"/>
              <w:marBottom w:val="0"/>
              <w:divBdr>
                <w:top w:val="none" w:sz="0" w:space="0" w:color="auto"/>
                <w:left w:val="none" w:sz="0" w:space="0" w:color="auto"/>
                <w:bottom w:val="none" w:sz="0" w:space="0" w:color="auto"/>
                <w:right w:val="none" w:sz="0" w:space="0" w:color="auto"/>
              </w:divBdr>
              <w:divsChild>
                <w:div w:id="722942776">
                  <w:marLeft w:val="0"/>
                  <w:marRight w:val="0"/>
                  <w:marTop w:val="0"/>
                  <w:marBottom w:val="0"/>
                  <w:divBdr>
                    <w:top w:val="none" w:sz="0" w:space="0" w:color="auto"/>
                    <w:left w:val="none" w:sz="0" w:space="0" w:color="auto"/>
                    <w:bottom w:val="none" w:sz="0" w:space="0" w:color="auto"/>
                    <w:right w:val="none" w:sz="0" w:space="0" w:color="auto"/>
                  </w:divBdr>
                  <w:divsChild>
                    <w:div w:id="125046769">
                      <w:marLeft w:val="0"/>
                      <w:marRight w:val="0"/>
                      <w:marTop w:val="0"/>
                      <w:marBottom w:val="0"/>
                      <w:divBdr>
                        <w:top w:val="none" w:sz="0" w:space="0" w:color="auto"/>
                        <w:left w:val="none" w:sz="0" w:space="0" w:color="auto"/>
                        <w:bottom w:val="none" w:sz="0" w:space="0" w:color="auto"/>
                        <w:right w:val="none" w:sz="0" w:space="0" w:color="auto"/>
                      </w:divBdr>
                      <w:divsChild>
                        <w:div w:id="1939290780">
                          <w:marLeft w:val="0"/>
                          <w:marRight w:val="0"/>
                          <w:marTop w:val="0"/>
                          <w:marBottom w:val="0"/>
                          <w:divBdr>
                            <w:top w:val="none" w:sz="0" w:space="0" w:color="auto"/>
                            <w:left w:val="none" w:sz="0" w:space="0" w:color="auto"/>
                            <w:bottom w:val="none" w:sz="0" w:space="0" w:color="auto"/>
                            <w:right w:val="none" w:sz="0" w:space="0" w:color="auto"/>
                          </w:divBdr>
                          <w:divsChild>
                            <w:div w:id="1665892247">
                              <w:marLeft w:val="0"/>
                              <w:marRight w:val="0"/>
                              <w:marTop w:val="0"/>
                              <w:marBottom w:val="0"/>
                              <w:divBdr>
                                <w:top w:val="none" w:sz="0" w:space="0" w:color="auto"/>
                                <w:left w:val="none" w:sz="0" w:space="0" w:color="auto"/>
                                <w:bottom w:val="none" w:sz="0" w:space="0" w:color="auto"/>
                                <w:right w:val="none" w:sz="0" w:space="0" w:color="auto"/>
                              </w:divBdr>
                              <w:divsChild>
                                <w:div w:id="1781874545">
                                  <w:marLeft w:val="0"/>
                                  <w:marRight w:val="0"/>
                                  <w:marTop w:val="0"/>
                                  <w:marBottom w:val="0"/>
                                  <w:divBdr>
                                    <w:top w:val="none" w:sz="0" w:space="0" w:color="auto"/>
                                    <w:left w:val="none" w:sz="0" w:space="0" w:color="auto"/>
                                    <w:bottom w:val="none" w:sz="0" w:space="0" w:color="auto"/>
                                    <w:right w:val="none" w:sz="0" w:space="0" w:color="auto"/>
                                  </w:divBdr>
                                  <w:divsChild>
                                    <w:div w:id="1211726699">
                                      <w:marLeft w:val="0"/>
                                      <w:marRight w:val="0"/>
                                      <w:marTop w:val="0"/>
                                      <w:marBottom w:val="0"/>
                                      <w:divBdr>
                                        <w:top w:val="none" w:sz="0" w:space="0" w:color="auto"/>
                                        <w:left w:val="none" w:sz="0" w:space="0" w:color="auto"/>
                                        <w:bottom w:val="none" w:sz="0" w:space="0" w:color="auto"/>
                                        <w:right w:val="none" w:sz="0" w:space="0" w:color="auto"/>
                                      </w:divBdr>
                                      <w:divsChild>
                                        <w:div w:id="445973583">
                                          <w:marLeft w:val="0"/>
                                          <w:marRight w:val="0"/>
                                          <w:marTop w:val="0"/>
                                          <w:marBottom w:val="0"/>
                                          <w:divBdr>
                                            <w:top w:val="none" w:sz="0" w:space="0" w:color="auto"/>
                                            <w:left w:val="none" w:sz="0" w:space="0" w:color="auto"/>
                                            <w:bottom w:val="none" w:sz="0" w:space="0" w:color="auto"/>
                                            <w:right w:val="none" w:sz="0" w:space="0" w:color="auto"/>
                                          </w:divBdr>
                                          <w:divsChild>
                                            <w:div w:id="1245071959">
                                              <w:marLeft w:val="0"/>
                                              <w:marRight w:val="0"/>
                                              <w:marTop w:val="0"/>
                                              <w:marBottom w:val="0"/>
                                              <w:divBdr>
                                                <w:top w:val="none" w:sz="0" w:space="0" w:color="auto"/>
                                                <w:left w:val="none" w:sz="0" w:space="0" w:color="auto"/>
                                                <w:bottom w:val="none" w:sz="0" w:space="0" w:color="auto"/>
                                                <w:right w:val="none" w:sz="0" w:space="0" w:color="auto"/>
                                              </w:divBdr>
                                              <w:divsChild>
                                                <w:div w:id="534656956">
                                                  <w:marLeft w:val="0"/>
                                                  <w:marRight w:val="0"/>
                                                  <w:marTop w:val="0"/>
                                                  <w:marBottom w:val="0"/>
                                                  <w:divBdr>
                                                    <w:top w:val="none" w:sz="0" w:space="0" w:color="auto"/>
                                                    <w:left w:val="none" w:sz="0" w:space="0" w:color="auto"/>
                                                    <w:bottom w:val="none" w:sz="0" w:space="0" w:color="auto"/>
                                                    <w:right w:val="none" w:sz="0" w:space="0" w:color="auto"/>
                                                  </w:divBdr>
                                                  <w:divsChild>
                                                    <w:div w:id="1171220445">
                                                      <w:marLeft w:val="0"/>
                                                      <w:marRight w:val="0"/>
                                                      <w:marTop w:val="0"/>
                                                      <w:marBottom w:val="0"/>
                                                      <w:divBdr>
                                                        <w:top w:val="none" w:sz="0" w:space="0" w:color="auto"/>
                                                        <w:left w:val="none" w:sz="0" w:space="0" w:color="auto"/>
                                                        <w:bottom w:val="none" w:sz="0" w:space="0" w:color="auto"/>
                                                        <w:right w:val="none" w:sz="0" w:space="0" w:color="auto"/>
                                                      </w:divBdr>
                                                      <w:divsChild>
                                                        <w:div w:id="8740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6C51F-7C78-46D8-87B7-877D4DA5C785}">
  <ds:schemaRefs>
    <ds:schemaRef ds:uri="2E75E2CB-45DD-472B-9924-34F746809102"/>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4.xml><?xml version="1.0" encoding="utf-8"?>
<ds:datastoreItem xmlns:ds="http://schemas.openxmlformats.org/officeDocument/2006/customXml" ds:itemID="{50FB9426-96E5-4B9E-8BA2-ACBB7DFF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4548687.dotm</Template>
  <TotalTime>152</TotalTime>
  <Pages>12</Pages>
  <Words>5940</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ANDERSON,Rhys</cp:lastModifiedBy>
  <cp:revision>10</cp:revision>
  <cp:lastPrinted>2017-05-11T05:58:00Z</cp:lastPrinted>
  <dcterms:created xsi:type="dcterms:W3CDTF">2018-06-05T23:34:00Z</dcterms:created>
  <dcterms:modified xsi:type="dcterms:W3CDTF">2018-06-06T05:10:00Z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