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1AC2"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571164FC" w14:textId="017AC84F" w:rsidR="007662C7" w:rsidRPr="003E1CE3" w:rsidRDefault="00F109D4" w:rsidP="003E1CE3">
      <w:pPr>
        <w:pStyle w:val="Heading2"/>
        <w:jc w:val="center"/>
      </w:pPr>
      <w:r w:rsidRPr="00503E44">
        <w:t xml:space="preserve">Issued by authority of the </w:t>
      </w:r>
      <w:r w:rsidR="00D743B0">
        <w:t>Minister for Revenue and Financial Services</w:t>
      </w:r>
    </w:p>
    <w:p w14:paraId="515BEF96" w14:textId="03366DC4" w:rsidR="00F109D4" w:rsidRPr="00503E44" w:rsidRDefault="00847A78" w:rsidP="004D58F5">
      <w:pPr>
        <w:spacing w:before="240" w:after="240"/>
        <w:jc w:val="center"/>
        <w:rPr>
          <w:i/>
        </w:rPr>
      </w:pPr>
      <w:r>
        <w:rPr>
          <w:i/>
          <w:iCs/>
          <w:color w:val="000000"/>
          <w:shd w:val="clear" w:color="auto" w:fill="FFFFFF"/>
        </w:rPr>
        <w:t xml:space="preserve">Taxation Administration Act 1953, </w:t>
      </w:r>
      <w:r w:rsidR="009544E4" w:rsidRPr="009544E4">
        <w:rPr>
          <w:i/>
        </w:rPr>
        <w:t>Tax Agent Services Act 2009</w:t>
      </w:r>
      <w:r w:rsidR="006F01D3">
        <w:rPr>
          <w:i/>
        </w:rPr>
        <w:t>, Income Tax Assessment Act 1997</w:t>
      </w:r>
    </w:p>
    <w:p w14:paraId="4F0337BD" w14:textId="68473D50" w:rsidR="00F109D4" w:rsidRPr="00503E44" w:rsidRDefault="00C4390E" w:rsidP="00AA1689">
      <w:pPr>
        <w:tabs>
          <w:tab w:val="left" w:pos="1418"/>
        </w:tabs>
        <w:spacing w:before="0" w:after="240"/>
        <w:jc w:val="center"/>
        <w:rPr>
          <w:i/>
        </w:rPr>
      </w:pPr>
      <w:r>
        <w:rPr>
          <w:i/>
        </w:rPr>
        <w:t xml:space="preserve">Treasury Laws Amendment (2018 Measures No. </w:t>
      </w:r>
      <w:r w:rsidR="00214666">
        <w:rPr>
          <w:i/>
        </w:rPr>
        <w:t>1</w:t>
      </w:r>
      <w:r>
        <w:rPr>
          <w:i/>
        </w:rPr>
        <w:t>) Regulations 2018</w:t>
      </w:r>
    </w:p>
    <w:p w14:paraId="6914018D" w14:textId="76E802F9" w:rsidR="00652DD8" w:rsidRDefault="00652DD8" w:rsidP="00647BB7">
      <w:pPr>
        <w:spacing w:before="240"/>
      </w:pPr>
      <w:r>
        <w:rPr>
          <w:color w:val="000000"/>
          <w:shd w:val="clear" w:color="auto" w:fill="FFFFFF"/>
        </w:rPr>
        <w:t>The </w:t>
      </w:r>
      <w:r>
        <w:rPr>
          <w:i/>
          <w:iCs/>
          <w:color w:val="000000"/>
          <w:shd w:val="clear" w:color="auto" w:fill="FFFFFF"/>
        </w:rPr>
        <w:t>Taxation Administration Act 1953</w:t>
      </w:r>
      <w:r>
        <w:rPr>
          <w:color w:val="000000"/>
          <w:shd w:val="clear" w:color="auto" w:fill="FFFFFF"/>
        </w:rPr>
        <w:t> (</w:t>
      </w:r>
      <w:r w:rsidR="004D58F5">
        <w:rPr>
          <w:color w:val="000000"/>
          <w:shd w:val="clear" w:color="auto" w:fill="FFFFFF"/>
        </w:rPr>
        <w:t xml:space="preserve">the </w:t>
      </w:r>
      <w:r>
        <w:rPr>
          <w:color w:val="000000"/>
          <w:shd w:val="clear" w:color="auto" w:fill="FFFFFF"/>
        </w:rPr>
        <w:t>TAA 1953) sets out the administrative framework for the tax law. This includes rules for the collection and recovery of income tax and other liabilities, objection, review and appeal processes, charges and penalties, rulings and other tax administration matters, including rules relating to the protection of taxpayer information.</w:t>
      </w:r>
    </w:p>
    <w:p w14:paraId="309F5DB8" w14:textId="1ADBABE2" w:rsidR="00847A78" w:rsidRDefault="009544E4" w:rsidP="00647BB7">
      <w:pPr>
        <w:spacing w:before="240"/>
      </w:pPr>
      <w:r>
        <w:t xml:space="preserve">The </w:t>
      </w:r>
      <w:r w:rsidRPr="009544E4">
        <w:rPr>
          <w:i/>
        </w:rPr>
        <w:t>Tax Agent Services Act 2009</w:t>
      </w:r>
      <w:r>
        <w:t xml:space="preserve"> (the </w:t>
      </w:r>
      <w:r w:rsidR="00847A78">
        <w:t>TAS</w:t>
      </w:r>
      <w:r>
        <w:t>A</w:t>
      </w:r>
      <w:r w:rsidR="00847A78">
        <w:t xml:space="preserve"> 2009</w:t>
      </w:r>
      <w:r>
        <w:t xml:space="preserve">) establishes a system of regulation for the provision of tax agent services (broadly, </w:t>
      </w:r>
      <w:r w:rsidR="00026238">
        <w:t xml:space="preserve">services </w:t>
      </w:r>
      <w:r w:rsidR="003109B0">
        <w:t xml:space="preserve">that </w:t>
      </w:r>
      <w:r>
        <w:t xml:space="preserve">assist entities </w:t>
      </w:r>
      <w:r w:rsidR="003109B0">
        <w:t xml:space="preserve">in managing </w:t>
      </w:r>
      <w:r>
        <w:t xml:space="preserve">their tax affairs) to ensure they are provided in accordance with appropriate professional and ethical standards. As part of this system, entities that wish to </w:t>
      </w:r>
      <w:r w:rsidR="00F83744">
        <w:t xml:space="preserve">provide </w:t>
      </w:r>
      <w:r>
        <w:t xml:space="preserve">tax agent services </w:t>
      </w:r>
      <w:r w:rsidR="00F83744">
        <w:t xml:space="preserve">for a fee or other reward </w:t>
      </w:r>
      <w:r>
        <w:t>must generally be registered with the national Tax Practitioners Board</w:t>
      </w:r>
      <w:r w:rsidR="007777C0">
        <w:t xml:space="preserve"> (TPB)</w:t>
      </w:r>
      <w:r>
        <w:t xml:space="preserve">. </w:t>
      </w:r>
      <w:r w:rsidR="007777C0">
        <w:t>Subsection 20</w:t>
      </w:r>
      <w:r w:rsidR="007777C0">
        <w:noBreakHyphen/>
        <w:t xml:space="preserve">20(2) </w:t>
      </w:r>
      <w:r w:rsidR="00B44700">
        <w:t xml:space="preserve">of the </w:t>
      </w:r>
      <w:r w:rsidR="00AC2E6D">
        <w:t>TASA 2009</w:t>
      </w:r>
      <w:r w:rsidR="00B44700">
        <w:t xml:space="preserve"> </w:t>
      </w:r>
      <w:r w:rsidR="00EA7641">
        <w:t xml:space="preserve">provides that an </w:t>
      </w:r>
      <w:r w:rsidR="007777C0">
        <w:t xml:space="preserve">application </w:t>
      </w:r>
      <w:r w:rsidR="00EA7641">
        <w:t xml:space="preserve">to be registered or to renew registration </w:t>
      </w:r>
      <w:r w:rsidR="007777C0">
        <w:t xml:space="preserve">must be accompanied by, among other things, the prescribed </w:t>
      </w:r>
      <w:r w:rsidR="00F83744">
        <w:t xml:space="preserve">application </w:t>
      </w:r>
      <w:r w:rsidR="007777C0">
        <w:t xml:space="preserve">fee. </w:t>
      </w:r>
    </w:p>
    <w:p w14:paraId="07729BF2" w14:textId="7D9A1A1C" w:rsidR="00C92F3E" w:rsidRPr="009544E4" w:rsidRDefault="00C92F3E" w:rsidP="00647BB7">
      <w:pPr>
        <w:spacing w:before="240"/>
      </w:pPr>
      <w:r w:rsidRPr="00504C0C">
        <w:t xml:space="preserve">The </w:t>
      </w:r>
      <w:r w:rsidRPr="00504C0C">
        <w:rPr>
          <w:i/>
        </w:rPr>
        <w:t>Income Tax Assessment Act 1997</w:t>
      </w:r>
      <w:r w:rsidRPr="00504C0C">
        <w:t xml:space="preserve"> (</w:t>
      </w:r>
      <w:r>
        <w:t>ITAA 1997</w:t>
      </w:r>
      <w:r w:rsidRPr="00504C0C">
        <w:t xml:space="preserve">) provides the main body of rules for the calculation of tax payable by entities in relation to a financial year. </w:t>
      </w:r>
      <w:r w:rsidR="00B673B5">
        <w:t>Division </w:t>
      </w:r>
      <w:r w:rsidRPr="00504C0C">
        <w:t xml:space="preserve">995 of the </w:t>
      </w:r>
      <w:r w:rsidR="0094589A">
        <w:t>ITAA 1997</w:t>
      </w:r>
      <w:r w:rsidRPr="00504C0C">
        <w:t xml:space="preserve"> contains the definitions that support th</w:t>
      </w:r>
      <w:r>
        <w:t>ose</w:t>
      </w:r>
      <w:r w:rsidRPr="00504C0C">
        <w:t xml:space="preserve"> calculations. </w:t>
      </w:r>
      <w:r w:rsidR="00D2679E">
        <w:t>A</w:t>
      </w:r>
      <w:r w:rsidR="00D2679E" w:rsidRPr="00D2679E">
        <w:t>pproved stock exchange is defined in section 995</w:t>
      </w:r>
      <w:r w:rsidR="00B673B5">
        <w:t>-1</w:t>
      </w:r>
      <w:r w:rsidR="00D2679E" w:rsidRPr="00D2679E">
        <w:t xml:space="preserve"> of the ITAA 1997 as a stock exchange named in the relevant regulations. This definition is used in </w:t>
      </w:r>
      <w:r w:rsidR="00850C86">
        <w:t>numerous</w:t>
      </w:r>
      <w:r w:rsidR="00D2679E" w:rsidRPr="00D2679E">
        <w:t xml:space="preserve"> places throughout </w:t>
      </w:r>
      <w:r w:rsidR="00D2679E">
        <w:t>various</w:t>
      </w:r>
      <w:r w:rsidR="00D2679E" w:rsidRPr="00D2679E">
        <w:t xml:space="preserve"> tax laws.</w:t>
      </w:r>
      <w:r w:rsidRPr="00504C0C">
        <w:t xml:space="preserve"> </w:t>
      </w:r>
    </w:p>
    <w:p w14:paraId="0AFFC5AC" w14:textId="6CAB71B8" w:rsidR="00F109D4" w:rsidRDefault="00C55D29" w:rsidP="00647BB7">
      <w:pPr>
        <w:spacing w:before="240"/>
      </w:pPr>
      <w:r w:rsidRPr="00503E44">
        <w:t>Section</w:t>
      </w:r>
      <w:r w:rsidR="00847A78">
        <w:t>s</w:t>
      </w:r>
      <w:r w:rsidRPr="00503E44">
        <w:t xml:space="preserve"> </w:t>
      </w:r>
      <w:r w:rsidR="00652DD8">
        <w:t>18 of the TAA 1953</w:t>
      </w:r>
      <w:r w:rsidR="00116DC3">
        <w:t>,</w:t>
      </w:r>
      <w:r w:rsidR="00652DD8">
        <w:t xml:space="preserve"> </w:t>
      </w:r>
      <w:r w:rsidR="007777C0">
        <w:t>70-55</w:t>
      </w:r>
      <w:r w:rsidR="005E4BAC">
        <w:t xml:space="preserve"> </w:t>
      </w:r>
      <w:r w:rsidR="00F109D4" w:rsidRPr="00503E44">
        <w:t xml:space="preserve">of the </w:t>
      </w:r>
      <w:r w:rsidR="00847A78">
        <w:t>T</w:t>
      </w:r>
      <w:r w:rsidR="00A81251">
        <w:t>A</w:t>
      </w:r>
      <w:r w:rsidR="00847A78">
        <w:t xml:space="preserve">SA 2009 </w:t>
      </w:r>
      <w:r w:rsidR="00116DC3">
        <w:t>and 909-1 of the ITAA</w:t>
      </w:r>
      <w:r w:rsidR="00760A11">
        <w:t xml:space="preserve"> </w:t>
      </w:r>
      <w:r w:rsidR="00116DC3">
        <w:t xml:space="preserve">1997 </w:t>
      </w:r>
      <w:r w:rsidR="00F109D4" w:rsidRPr="00503E44">
        <w:t xml:space="preserve">provide that the Governor-General may make regulations prescribing matters required or permitted by the </w:t>
      </w:r>
      <w:r w:rsidR="00723452">
        <w:t xml:space="preserve">relevant </w:t>
      </w:r>
      <w:r w:rsidR="00F109D4" w:rsidRPr="00503E44">
        <w:t xml:space="preserve">Act to be prescribed, or necessary or convenient to be prescribed for carrying out or giving effect to the </w:t>
      </w:r>
      <w:r w:rsidR="00723452">
        <w:t xml:space="preserve">relevant </w:t>
      </w:r>
      <w:r w:rsidR="00F109D4" w:rsidRPr="00503E44">
        <w:t>Act.</w:t>
      </w:r>
    </w:p>
    <w:p w14:paraId="114F04AB" w14:textId="41689E0F" w:rsidR="0018496A" w:rsidRDefault="0018496A" w:rsidP="00647BB7">
      <w:pPr>
        <w:spacing w:before="240"/>
      </w:pPr>
      <w:r w:rsidRPr="0018496A">
        <w:t>In addition to the power</w:t>
      </w:r>
      <w:r w:rsidR="00B713D2">
        <w:t xml:space="preserve"> to make this instrument under </w:t>
      </w:r>
      <w:r w:rsidR="00A81251">
        <w:t xml:space="preserve">section </w:t>
      </w:r>
      <w:r w:rsidR="00847A78">
        <w:t>18 of the TAA 1953</w:t>
      </w:r>
      <w:r w:rsidR="00AC2E6D">
        <w:t xml:space="preserve"> </w:t>
      </w:r>
      <w:r w:rsidR="00AC2E6D" w:rsidRPr="00AC2E6D">
        <w:t>section 70-55 of the TASA 2009</w:t>
      </w:r>
      <w:r w:rsidR="00116DC3">
        <w:t xml:space="preserve"> and </w:t>
      </w:r>
      <w:r w:rsidR="00B6001F">
        <w:t xml:space="preserve">section </w:t>
      </w:r>
      <w:r w:rsidR="00116DC3">
        <w:t>909-1 of the ITAA</w:t>
      </w:r>
      <w:r w:rsidR="00B673B5">
        <w:t xml:space="preserve"> </w:t>
      </w:r>
      <w:r w:rsidR="00116DC3">
        <w:t>1997</w:t>
      </w:r>
      <w:r w:rsidRPr="0018496A">
        <w:t>, subsection</w:t>
      </w:r>
      <w:r w:rsidR="0094589A">
        <w:t> </w:t>
      </w:r>
      <w:r w:rsidRPr="0018496A">
        <w:t xml:space="preserve">33(3) of the </w:t>
      </w:r>
      <w:r w:rsidR="00A81251" w:rsidRPr="00B713D2">
        <w:rPr>
          <w:i/>
        </w:rPr>
        <w:t>Acts</w:t>
      </w:r>
      <w:r w:rsidR="00A81251">
        <w:rPr>
          <w:i/>
        </w:rPr>
        <w:t> </w:t>
      </w:r>
      <w:r w:rsidRPr="00B713D2">
        <w:rPr>
          <w:i/>
        </w:rPr>
        <w:t xml:space="preserve">Interpretation </w:t>
      </w:r>
      <w:r w:rsidR="00AC2E6D" w:rsidRPr="00B713D2">
        <w:rPr>
          <w:i/>
        </w:rPr>
        <w:t>Act</w:t>
      </w:r>
      <w:r w:rsidR="00AC2E6D">
        <w:rPr>
          <w:i/>
        </w:rPr>
        <w:t> </w:t>
      </w:r>
      <w:r w:rsidRPr="00B713D2">
        <w:rPr>
          <w:i/>
        </w:rPr>
        <w:t>1901</w:t>
      </w:r>
      <w:r w:rsidRPr="0018496A">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6D2CA87" w14:textId="77777777" w:rsidR="00652DD8" w:rsidRDefault="00652DD8" w:rsidP="00652DD8">
      <w:pPr>
        <w:spacing w:before="240"/>
      </w:pPr>
      <w:r>
        <w:t xml:space="preserve">The purpose of Schedule 1 to the </w:t>
      </w:r>
      <w:r w:rsidRPr="0021505E">
        <w:rPr>
          <w:i/>
        </w:rPr>
        <w:t xml:space="preserve">Treasury Laws Amendment (2018 Measures No. </w:t>
      </w:r>
      <w:r>
        <w:rPr>
          <w:i/>
        </w:rPr>
        <w:t>1</w:t>
      </w:r>
      <w:r w:rsidRPr="0021505E">
        <w:rPr>
          <w:i/>
        </w:rPr>
        <w:t>) Regulations 2018</w:t>
      </w:r>
      <w:r>
        <w:t xml:space="preserve"> (the Regulations) is to amend the </w:t>
      </w:r>
      <w:r w:rsidRPr="0021505E">
        <w:rPr>
          <w:i/>
        </w:rPr>
        <w:t>Taxation Administration Regulations 2017</w:t>
      </w:r>
      <w:r>
        <w:t xml:space="preserve"> (the TAR 2017) to allow taxation officers to disclose protected </w:t>
      </w:r>
      <w:r>
        <w:lastRenderedPageBreak/>
        <w:t>information to a taskforce officer of the Black Economy Standing Taskforce or the Illicit Tobacco Taskforce.</w:t>
      </w:r>
    </w:p>
    <w:p w14:paraId="5FB054DD" w14:textId="6A983D7D" w:rsidR="00652DD8" w:rsidRDefault="00652DD8" w:rsidP="00652DD8">
      <w:pPr>
        <w:spacing w:before="240"/>
      </w:pPr>
      <w:r>
        <w:t xml:space="preserve">Under the </w:t>
      </w:r>
      <w:r w:rsidR="00AC2E6D" w:rsidRPr="00AC2E6D">
        <w:t>TAA 1953</w:t>
      </w:r>
      <w:r>
        <w:t>, it is an offence for a taxation officer to record or disclose protected information that they acquired in their role as a taxation officer.</w:t>
      </w:r>
    </w:p>
    <w:p w14:paraId="0AB4887E" w14:textId="5ED74DF3" w:rsidR="00652DD8" w:rsidRDefault="00652DD8" w:rsidP="00652DD8">
      <w:pPr>
        <w:spacing w:before="240"/>
      </w:pPr>
      <w:r>
        <w:t>There are various exceptions to this offence, including disclosure for law enforcement and related purposes. In particular, taxation officers can share protected information with a taskforce officer of a prescribed taskforce if the record or disclosure is for or in connection with a purpose of the prescribed taskforce. A major purpose of the taskforce must be protecting the public finances of Australia. The TAR 2017 prescribe</w:t>
      </w:r>
      <w:r w:rsidR="00B33540">
        <w:t>s</w:t>
      </w:r>
      <w:r>
        <w:t xml:space="preserve"> taskforces for the purposes of this exception.</w:t>
      </w:r>
    </w:p>
    <w:p w14:paraId="4AE4F3F5" w14:textId="5078E882" w:rsidR="00652DD8" w:rsidRPr="0021505E" w:rsidRDefault="00990C96" w:rsidP="00652DD8">
      <w:pPr>
        <w:spacing w:before="240"/>
      </w:pPr>
      <w:r>
        <w:t>Schedule 1 to t</w:t>
      </w:r>
      <w:r w:rsidR="00652DD8">
        <w:t>he Regulation</w:t>
      </w:r>
      <w:r w:rsidR="004B01A6">
        <w:t>s amend</w:t>
      </w:r>
      <w:r w:rsidR="000C53CF">
        <w:t>s</w:t>
      </w:r>
      <w:r w:rsidR="00652DD8">
        <w:t xml:space="preserve"> the TAR 2017 to add the Black Economy Standing Taskforce and the Illicit Tobacco Taskforce to the list of prescribed taskforces. This allows taxation officers to disclose </w:t>
      </w:r>
      <w:r w:rsidR="00B0140B">
        <w:t xml:space="preserve">relevant </w:t>
      </w:r>
      <w:r w:rsidR="00652DD8">
        <w:t>protected information to taskforce officers in these taskforces.</w:t>
      </w:r>
    </w:p>
    <w:p w14:paraId="4C6FE1F5" w14:textId="50E3D14E" w:rsidR="00652DD8" w:rsidRDefault="00760A11" w:rsidP="00652DD8">
      <w:pPr>
        <w:spacing w:before="240"/>
      </w:pPr>
      <w:r>
        <w:t>A</w:t>
      </w:r>
      <w:r w:rsidR="00652DD8">
        <w:t xml:space="preserve"> major purpose of each taskforce is protecting the public finances of Australia by addressing tax avoidance or evasion. </w:t>
      </w:r>
    </w:p>
    <w:p w14:paraId="7B3C59AE" w14:textId="1B9D0392" w:rsidR="00652DD8" w:rsidRDefault="00652DD8" w:rsidP="00652DD8">
      <w:pPr>
        <w:spacing w:before="240"/>
      </w:pPr>
      <w:r>
        <w:t>Specifically, the Black Economy Standing Taskforce was established for the purpose of protecting</w:t>
      </w:r>
      <w:r w:rsidR="00B0140B">
        <w:t xml:space="preserve"> Australia’s</w:t>
      </w:r>
      <w:r>
        <w:t xml:space="preserve"> public finances by co-ordinating cross agency action and information sharing to combat the black economy (broadly, unreported and untaxed </w:t>
      </w:r>
      <w:r w:rsidR="004B01A6">
        <w:t>economic</w:t>
      </w:r>
      <w:r>
        <w:t xml:space="preserve"> activity). </w:t>
      </w:r>
    </w:p>
    <w:p w14:paraId="554954B5" w14:textId="5598DF71" w:rsidR="00652DD8" w:rsidRDefault="00652DD8" w:rsidP="00652DD8">
      <w:pPr>
        <w:spacing w:before="240"/>
      </w:pPr>
      <w:r>
        <w:t xml:space="preserve">Equally, a major purpose of the Illicit Tobacco Taskforce is combatting the trade in illicit tobacco. </w:t>
      </w:r>
      <w:r w:rsidR="00606070">
        <w:t>I</w:t>
      </w:r>
      <w:r>
        <w:t>llicit tobacco is tobacco that has been manufactured or imported without being subject to excise or excise-equivalent customs duty</w:t>
      </w:r>
      <w:r w:rsidR="00F611AA">
        <w:t xml:space="preserve"> </w:t>
      </w:r>
      <w:r w:rsidR="009C63E6">
        <w:t xml:space="preserve">where this applies or </w:t>
      </w:r>
      <w:r w:rsidR="00606070">
        <w:t xml:space="preserve">is </w:t>
      </w:r>
      <w:r w:rsidR="009C63E6">
        <w:t xml:space="preserve">otherwise dealt with in a manner </w:t>
      </w:r>
      <w:r w:rsidR="00F611AA">
        <w:t>contrary to the regulatory regime established to facilitate the collection of this duty</w:t>
      </w:r>
      <w:r w:rsidR="00606070">
        <w:t>. Therefore,</w:t>
      </w:r>
      <w:r>
        <w:t xml:space="preserve"> combatting this trade is directly linked to enforcement of laws for the collection and protection of tax revenues from tobacco </w:t>
      </w:r>
      <w:r w:rsidR="00723452">
        <w:t xml:space="preserve">excise and excise equivalent customs </w:t>
      </w:r>
      <w:r w:rsidR="00B0140B">
        <w:t>duty</w:t>
      </w:r>
      <w:r>
        <w:t>.</w:t>
      </w:r>
    </w:p>
    <w:p w14:paraId="1F72DBE8" w14:textId="50E914B1" w:rsidR="00F109D4" w:rsidRDefault="007777C0" w:rsidP="00647BB7">
      <w:pPr>
        <w:spacing w:before="240"/>
      </w:pPr>
      <w:r>
        <w:t xml:space="preserve">The purpose of </w:t>
      </w:r>
      <w:r w:rsidR="00847A78">
        <w:t xml:space="preserve">Schedule </w:t>
      </w:r>
      <w:r w:rsidR="00652DD8">
        <w:t>2</w:t>
      </w:r>
      <w:r w:rsidR="00847A78">
        <w:t xml:space="preserve"> to </w:t>
      </w:r>
      <w:r>
        <w:t xml:space="preserve">the Regulations is to amend the application fees set out in the </w:t>
      </w:r>
      <w:r w:rsidRPr="007777C0">
        <w:rPr>
          <w:i/>
        </w:rPr>
        <w:t>Tax Agent Services Regulations 2009</w:t>
      </w:r>
      <w:r>
        <w:t xml:space="preserve"> </w:t>
      </w:r>
      <w:r w:rsidR="00083687">
        <w:t xml:space="preserve">(the </w:t>
      </w:r>
      <w:r w:rsidR="007D2714">
        <w:t>TASR 2009</w:t>
      </w:r>
      <w:r w:rsidR="00083687">
        <w:t xml:space="preserve">) </w:t>
      </w:r>
      <w:r>
        <w:t>so that they better reflect the costs of the TPB.</w:t>
      </w:r>
    </w:p>
    <w:p w14:paraId="251EB5EE" w14:textId="49E2BC88" w:rsidR="00F83744" w:rsidRDefault="007777C0" w:rsidP="00647BB7">
      <w:pPr>
        <w:spacing w:before="240"/>
      </w:pPr>
      <w:r>
        <w:t>Prior to changes made by the Regulations</w:t>
      </w:r>
      <w:r w:rsidR="00A92573">
        <w:t xml:space="preserve">, the TPB had been dependent on ongoing support from the </w:t>
      </w:r>
      <w:r w:rsidR="003958F5">
        <w:t xml:space="preserve">Australian Taxation Office </w:t>
      </w:r>
      <w:r w:rsidR="0006544D">
        <w:t>(</w:t>
      </w:r>
      <w:r w:rsidR="00A92573">
        <w:t>ATO</w:t>
      </w:r>
      <w:r w:rsidR="0006544D">
        <w:t>)</w:t>
      </w:r>
      <w:r w:rsidR="00A92573">
        <w:t xml:space="preserve"> to supplement its fee revenue to perform its functions. </w:t>
      </w:r>
      <w:r w:rsidR="00D83D4C">
        <w:t>Schedule 2 to t</w:t>
      </w:r>
      <w:r w:rsidR="00083687">
        <w:t>he Regulations increase</w:t>
      </w:r>
      <w:r w:rsidR="00D83D4C">
        <w:t>s</w:t>
      </w:r>
      <w:r w:rsidR="00083687">
        <w:t xml:space="preserve"> the fees that apply from 1 July 2018 by 35 per cent. Further </w:t>
      </w:r>
      <w:r w:rsidR="00D83D4C">
        <w:t xml:space="preserve">Schedule 2 </w:t>
      </w:r>
      <w:r w:rsidR="00083687">
        <w:t>abolish</w:t>
      </w:r>
      <w:r w:rsidR="00D83D4C">
        <w:t>es</w:t>
      </w:r>
      <w:r w:rsidR="00083687">
        <w:t xml:space="preserve"> the lower rate that applied for </w:t>
      </w:r>
      <w:r w:rsidR="004318EB">
        <w:t xml:space="preserve">certain </w:t>
      </w:r>
      <w:r w:rsidR="00083687">
        <w:t>entities</w:t>
      </w:r>
      <w:r w:rsidR="00F83744">
        <w:t xml:space="preserve"> not carry</w:t>
      </w:r>
      <w:r w:rsidR="004318EB">
        <w:t>ing</w:t>
      </w:r>
      <w:r w:rsidR="00F83744">
        <w:t xml:space="preserve"> on a business</w:t>
      </w:r>
      <w:r w:rsidR="00083687">
        <w:t>. This ensures that</w:t>
      </w:r>
      <w:r w:rsidR="00EA7641">
        <w:t xml:space="preserve">, consistent with Commonwealth cost recovery principles, </w:t>
      </w:r>
      <w:r w:rsidR="00083687">
        <w:t xml:space="preserve">the fees now </w:t>
      </w:r>
      <w:r w:rsidR="00EA7641">
        <w:t>better</w:t>
      </w:r>
      <w:r w:rsidR="00083687">
        <w:t xml:space="preserve"> reflect the costs </w:t>
      </w:r>
      <w:r w:rsidR="00EA7641">
        <w:t xml:space="preserve">currently </w:t>
      </w:r>
      <w:r w:rsidR="00083687">
        <w:t>faced by the TPB.</w:t>
      </w:r>
    </w:p>
    <w:p w14:paraId="4C3E908A" w14:textId="1A678E37" w:rsidR="007777C0" w:rsidRDefault="00316DAE" w:rsidP="00647BB7">
      <w:pPr>
        <w:spacing w:before="240"/>
      </w:pPr>
      <w:r>
        <w:t>Schedule 2 to t</w:t>
      </w:r>
      <w:r w:rsidR="00083687">
        <w:t>he Regulations also amend</w:t>
      </w:r>
      <w:r>
        <w:t>s</w:t>
      </w:r>
      <w:r w:rsidR="00083687">
        <w:t xml:space="preserve"> the </w:t>
      </w:r>
      <w:r w:rsidR="007D2714">
        <w:t>TASR 2009</w:t>
      </w:r>
      <w:r w:rsidR="00083687">
        <w:t xml:space="preserve"> so that the application fees will increase on each subsequent 1 July in line with </w:t>
      </w:r>
      <w:r w:rsidR="00D318AB">
        <w:t xml:space="preserve">annual </w:t>
      </w:r>
      <w:r w:rsidR="00083687">
        <w:t>change</w:t>
      </w:r>
      <w:r w:rsidR="00D318AB">
        <w:t>s</w:t>
      </w:r>
      <w:r w:rsidR="00083687">
        <w:t xml:space="preserve"> in the Consumer Price Index. This ensures that the fees </w:t>
      </w:r>
      <w:r w:rsidR="00E306A7">
        <w:t xml:space="preserve">better </w:t>
      </w:r>
      <w:r w:rsidR="00083687">
        <w:t>reflect the costs faced by the TPB</w:t>
      </w:r>
      <w:r w:rsidR="00EA7641">
        <w:t xml:space="preserve"> </w:t>
      </w:r>
      <w:r w:rsidR="00B45171">
        <w:t>in the future</w:t>
      </w:r>
      <w:r w:rsidR="00083687">
        <w:t>.</w:t>
      </w:r>
    </w:p>
    <w:p w14:paraId="75FA1EFE" w14:textId="4B2F8763" w:rsidR="00116DC3" w:rsidRDefault="00116DC3" w:rsidP="00647BB7">
      <w:pPr>
        <w:spacing w:before="240"/>
      </w:pPr>
      <w:r w:rsidRPr="00116DC3">
        <w:lastRenderedPageBreak/>
        <w:t xml:space="preserve">The purpose of </w:t>
      </w:r>
      <w:r>
        <w:t xml:space="preserve">Schedule 3 to the </w:t>
      </w:r>
      <w:r w:rsidRPr="00116DC3">
        <w:t xml:space="preserve">Regulations is to update the list of approved stock exchanges in the </w:t>
      </w:r>
      <w:r w:rsidRPr="002F732E">
        <w:rPr>
          <w:i/>
        </w:rPr>
        <w:t>Income Tax Assessment Regulations 1997</w:t>
      </w:r>
      <w:r w:rsidRPr="00116DC3">
        <w:t xml:space="preserve">. The Regulations delete references to stock exchanges that no longer exist and update the names of stock exchanges that have merged with other </w:t>
      </w:r>
      <w:r>
        <w:t xml:space="preserve">stock </w:t>
      </w:r>
      <w:r w:rsidRPr="00116DC3">
        <w:t>exchanges or changed names.</w:t>
      </w:r>
      <w:r w:rsidR="00D2679E">
        <w:t xml:space="preserve"> These amendments </w:t>
      </w:r>
      <w:r w:rsidR="00D2679E" w:rsidRPr="00D2679E">
        <w:t>effectively update the definition of approved stock exchange in the ITAA 1997</w:t>
      </w:r>
      <w:r w:rsidR="00D2679E">
        <w:t>.</w:t>
      </w:r>
    </w:p>
    <w:p w14:paraId="173BCE9C" w14:textId="6D0805E8" w:rsidR="00CE7BD2" w:rsidRDefault="00CE7BD2" w:rsidP="00647BB7">
      <w:pPr>
        <w:spacing w:before="240"/>
      </w:pPr>
      <w:r>
        <w:t xml:space="preserve">Further details of these amendments are set out in </w:t>
      </w:r>
      <w:r w:rsidRPr="00CE7BD2">
        <w:rPr>
          <w:b/>
        </w:rPr>
        <w:t>Attachment A</w:t>
      </w:r>
      <w:r>
        <w:t>.</w:t>
      </w:r>
    </w:p>
    <w:p w14:paraId="61193868" w14:textId="76BC81F6" w:rsidR="00656C45" w:rsidRDefault="00A92573" w:rsidP="00647BB7">
      <w:pPr>
        <w:spacing w:before="240"/>
      </w:pPr>
      <w:r>
        <w:t xml:space="preserve">A full assessment of the fee increase in light of Commonwealth cost recovery principles </w:t>
      </w:r>
      <w:r w:rsidR="007E64CB">
        <w:t xml:space="preserve">will be made </w:t>
      </w:r>
      <w:r>
        <w:t xml:space="preserve">available on the website of the </w:t>
      </w:r>
      <w:r w:rsidR="0006544D">
        <w:t>TPB</w:t>
      </w:r>
      <w:r>
        <w:t xml:space="preserve"> – tpb.gov.au.</w:t>
      </w:r>
    </w:p>
    <w:p w14:paraId="6C71ED4B" w14:textId="2F283C17" w:rsidR="00083687" w:rsidRDefault="00652DD8" w:rsidP="00647BB7">
      <w:pPr>
        <w:spacing w:before="240"/>
      </w:pPr>
      <w:r>
        <w:t xml:space="preserve">The amendments made by Schedule 1 </w:t>
      </w:r>
      <w:r w:rsidR="00FA0AB8">
        <w:t xml:space="preserve">to the Regulations </w:t>
      </w:r>
      <w:r>
        <w:t>apply to disclosure</w:t>
      </w:r>
      <w:r w:rsidR="00B45171">
        <w:t>s</w:t>
      </w:r>
      <w:r>
        <w:t xml:space="preserve"> made on or after commencement. </w:t>
      </w:r>
      <w:r w:rsidR="00083687">
        <w:t>The</w:t>
      </w:r>
      <w:r w:rsidR="00847A78">
        <w:t xml:space="preserve"> amendments made b</w:t>
      </w:r>
      <w:r w:rsidR="00083687">
        <w:t xml:space="preserve">y </w:t>
      </w:r>
      <w:r w:rsidR="00847A78">
        <w:t xml:space="preserve">Schedule </w:t>
      </w:r>
      <w:r>
        <w:t>2</w:t>
      </w:r>
      <w:r w:rsidR="00847A78">
        <w:t xml:space="preserve"> to the Regulation</w:t>
      </w:r>
      <w:r w:rsidR="00EA1E26">
        <w:t>s</w:t>
      </w:r>
      <w:r w:rsidR="00847A78">
        <w:t xml:space="preserve"> </w:t>
      </w:r>
      <w:r w:rsidR="00083687">
        <w:t>apply to application</w:t>
      </w:r>
      <w:r w:rsidR="0018496A">
        <w:t>s</w:t>
      </w:r>
      <w:r w:rsidR="00083687">
        <w:t xml:space="preserve"> </w:t>
      </w:r>
      <w:r w:rsidR="00F83744">
        <w:t xml:space="preserve">(including applications to renew existing registrations) </w:t>
      </w:r>
      <w:r w:rsidR="00083687">
        <w:t xml:space="preserve">made on or after </w:t>
      </w:r>
      <w:r w:rsidR="00B45171">
        <w:t>1 </w:t>
      </w:r>
      <w:r w:rsidR="00083687">
        <w:t xml:space="preserve">July </w:t>
      </w:r>
      <w:r w:rsidR="0018496A">
        <w:t>2018.</w:t>
      </w:r>
      <w:r w:rsidR="007B5441">
        <w:t xml:space="preserve"> Annual indexation applies </w:t>
      </w:r>
      <w:r w:rsidR="00FA0AB8">
        <w:t xml:space="preserve">on </w:t>
      </w:r>
      <w:r w:rsidR="007B5441">
        <w:t xml:space="preserve">1 July 2019 and each later </w:t>
      </w:r>
      <w:r w:rsidR="00FA0AB8">
        <w:t>1 </w:t>
      </w:r>
      <w:r w:rsidR="007B5441">
        <w:t>July.</w:t>
      </w:r>
      <w:r w:rsidR="00847A78">
        <w:t xml:space="preserve"> </w:t>
      </w:r>
      <w:r w:rsidR="00116DC3">
        <w:t xml:space="preserve"> </w:t>
      </w:r>
    </w:p>
    <w:p w14:paraId="5904FB44" w14:textId="1C4803E0" w:rsidR="00116DC3" w:rsidRPr="007777C0" w:rsidRDefault="00116DC3" w:rsidP="00647BB7">
      <w:pPr>
        <w:spacing w:before="240"/>
      </w:pPr>
      <w:r w:rsidRPr="00116DC3">
        <w:t xml:space="preserve">The </w:t>
      </w:r>
      <w:r>
        <w:t>amendments made by Schedule 3</w:t>
      </w:r>
      <w:r w:rsidRPr="00116DC3">
        <w:t xml:space="preserve"> </w:t>
      </w:r>
      <w:r>
        <w:t xml:space="preserve">to the Regulations </w:t>
      </w:r>
      <w:r w:rsidR="0097779F">
        <w:t xml:space="preserve">apply </w:t>
      </w:r>
      <w:r w:rsidR="00AE2741">
        <w:t xml:space="preserve">to </w:t>
      </w:r>
      <w:r w:rsidR="002035BB">
        <w:t xml:space="preserve">update the list of approved stock exchanges with </w:t>
      </w:r>
      <w:r w:rsidR="00B673B5">
        <w:t xml:space="preserve">application </w:t>
      </w:r>
      <w:r w:rsidR="002035BB">
        <w:t xml:space="preserve">from the day after registration of the Regulations on the Federal Register of Legislation. </w:t>
      </w:r>
    </w:p>
    <w:p w14:paraId="14DEFCAC" w14:textId="04B081C8" w:rsidR="00CA6916" w:rsidRDefault="00652DD8" w:rsidP="00647BB7">
      <w:pPr>
        <w:spacing w:before="240"/>
      </w:pPr>
      <w:r>
        <w:rPr>
          <w:color w:val="000000"/>
          <w:szCs w:val="24"/>
        </w:rPr>
        <w:t xml:space="preserve">The amendments made by Schedule 1 to the Regulations are estimated to have no impact on revenue or compliance costs – they affect the internal operations of Government agencies. </w:t>
      </w:r>
      <w:r w:rsidR="00CA6916">
        <w:t xml:space="preserve">The amendments </w:t>
      </w:r>
      <w:r w:rsidR="00847A78">
        <w:t xml:space="preserve">made by Schedule </w:t>
      </w:r>
      <w:r>
        <w:t>2</w:t>
      </w:r>
      <w:r w:rsidR="00847A78">
        <w:t xml:space="preserve"> </w:t>
      </w:r>
      <w:r w:rsidR="00EA1E26">
        <w:t xml:space="preserve">to the Regulations </w:t>
      </w:r>
      <w:r w:rsidR="00CA6916">
        <w:t xml:space="preserve">are estimated to result in an increase in revenue of $20.1 million over the forward estimates period, all of which will </w:t>
      </w:r>
      <w:r w:rsidR="007B5441">
        <w:t xml:space="preserve">be used </w:t>
      </w:r>
      <w:r w:rsidR="00CA6916">
        <w:t>to meet the costs of the TPB. The measure does not have any impact on compliance costs as it merely increases existing fees.</w:t>
      </w:r>
    </w:p>
    <w:p w14:paraId="4F27BDEA" w14:textId="11C7A189" w:rsidR="00316DAE" w:rsidRDefault="00316DAE" w:rsidP="00913789">
      <w:pPr>
        <w:spacing w:before="240"/>
      </w:pPr>
      <w:r>
        <w:t>Consultation on Schedule 1 to the Regulations was undertaken with the lead agencies for the taskforces (the Australian Taxation Office and the Department of Home Affairs). No public consultation took place on the amendments made by Schedule 1 as they are minor and machinery in nature, relating to the internal processes of Government.</w:t>
      </w:r>
    </w:p>
    <w:p w14:paraId="55EE9091" w14:textId="7B0A6277" w:rsidR="00847A78" w:rsidRDefault="00B713D2" w:rsidP="00913789">
      <w:pPr>
        <w:spacing w:before="240"/>
      </w:pPr>
      <w:r>
        <w:t xml:space="preserve">Consultation on the amendments </w:t>
      </w:r>
      <w:r w:rsidR="00847A78">
        <w:t xml:space="preserve">made by Schedule </w:t>
      </w:r>
      <w:r w:rsidR="00652DD8">
        <w:t>2</w:t>
      </w:r>
      <w:r w:rsidR="00847A78">
        <w:t xml:space="preserve"> to the Regulations </w:t>
      </w:r>
      <w:r>
        <w:t xml:space="preserve">was undertaken with the TPB and ATO. </w:t>
      </w:r>
      <w:r w:rsidR="0018496A">
        <w:t xml:space="preserve">No </w:t>
      </w:r>
      <w:r>
        <w:t xml:space="preserve">public </w:t>
      </w:r>
      <w:r w:rsidR="0018496A">
        <w:t xml:space="preserve">consultation was </w:t>
      </w:r>
      <w:r w:rsidR="00B44700">
        <w:t>considered necessary as the amendments</w:t>
      </w:r>
      <w:r w:rsidR="0018496A">
        <w:t xml:space="preserve"> </w:t>
      </w:r>
      <w:r w:rsidR="00B44700">
        <w:t xml:space="preserve">are </w:t>
      </w:r>
      <w:r>
        <w:t xml:space="preserve">machinery in nature – they </w:t>
      </w:r>
      <w:r w:rsidR="00B44700">
        <w:t xml:space="preserve">implement </w:t>
      </w:r>
      <w:r>
        <w:t xml:space="preserve">the decision made by the Government in </w:t>
      </w:r>
      <w:r w:rsidR="00A4615E">
        <w:t xml:space="preserve">the 2018-19 </w:t>
      </w:r>
      <w:r>
        <w:t xml:space="preserve">Budget to increase fees. </w:t>
      </w:r>
      <w:r w:rsidR="00CE7BD2">
        <w:t>Th</w:t>
      </w:r>
      <w:r w:rsidR="00A4615E">
        <w:t>e fee increase is</w:t>
      </w:r>
      <w:r>
        <w:t xml:space="preserve"> </w:t>
      </w:r>
      <w:r w:rsidR="003109B0">
        <w:t xml:space="preserve">machinery </w:t>
      </w:r>
      <w:r>
        <w:t>in nature as, consistent with cost</w:t>
      </w:r>
      <w:r>
        <w:noBreakHyphen/>
        <w:t>recovery principles</w:t>
      </w:r>
      <w:r w:rsidR="00CE7BD2">
        <w:t xml:space="preserve"> and the original policy behind the imposition of fees</w:t>
      </w:r>
      <w:r>
        <w:t xml:space="preserve">, </w:t>
      </w:r>
      <w:r w:rsidR="00CE7BD2">
        <w:t xml:space="preserve">it </w:t>
      </w:r>
      <w:r w:rsidR="00606070">
        <w:t>solely</w:t>
      </w:r>
      <w:r w:rsidR="00CE7BD2">
        <w:t xml:space="preserve"> ensur</w:t>
      </w:r>
      <w:r w:rsidR="00606070">
        <w:t>es</w:t>
      </w:r>
      <w:r w:rsidR="00CE7BD2">
        <w:t xml:space="preserve"> the fees charged </w:t>
      </w:r>
      <w:r>
        <w:t xml:space="preserve">reflect the costs of the TPB. </w:t>
      </w:r>
    </w:p>
    <w:p w14:paraId="24C671A0" w14:textId="27D717EE" w:rsidR="00116DC3" w:rsidRDefault="00116DC3" w:rsidP="00116DC3">
      <w:pPr>
        <w:spacing w:before="240"/>
      </w:pPr>
      <w:r>
        <w:t>Consultation on Schedule 3 to the Regulations was undertaken with the A</w:t>
      </w:r>
      <w:r w:rsidR="007779CA">
        <w:t>TO</w:t>
      </w:r>
      <w:r w:rsidR="0094589A">
        <w:t>,</w:t>
      </w:r>
      <w:r w:rsidR="0097779F">
        <w:t xml:space="preserve"> </w:t>
      </w:r>
      <w:r>
        <w:t xml:space="preserve">as the amendments are of a minor machinery and technical nature. </w:t>
      </w:r>
    </w:p>
    <w:p w14:paraId="17609C42" w14:textId="77777777" w:rsidR="009143A0" w:rsidRPr="00647BB7" w:rsidRDefault="00F109D4" w:rsidP="00647BB7">
      <w:pPr>
        <w:spacing w:before="240"/>
        <w:rPr>
          <w:i/>
        </w:rPr>
      </w:pPr>
      <w:r w:rsidRPr="00503E44">
        <w:t xml:space="preserve">The Regulations commenced on </w:t>
      </w:r>
      <w:r w:rsidR="0018496A">
        <w:t xml:space="preserve">the day </w:t>
      </w:r>
      <w:r w:rsidR="00B44700">
        <w:t xml:space="preserve">after </w:t>
      </w:r>
      <w:r w:rsidR="0018496A">
        <w:t>they were registered on the Federal Register of Legislation.</w:t>
      </w:r>
    </w:p>
    <w:p w14:paraId="3EDFA3E8" w14:textId="2F770A26" w:rsidR="00CE7BD2" w:rsidRDefault="00CA6916" w:rsidP="00CE7BD2">
      <w:pPr>
        <w:pStyle w:val="Heading3"/>
        <w:pageBreakBefore/>
        <w:jc w:val="right"/>
      </w:pPr>
      <w:r>
        <w:lastRenderedPageBreak/>
        <w:t>ATTACHMENT A</w:t>
      </w:r>
    </w:p>
    <w:p w14:paraId="5B67F31C" w14:textId="18163CFB" w:rsidR="009F09D9" w:rsidRPr="00CA6916" w:rsidRDefault="009F09D9" w:rsidP="009F09D9">
      <w:pPr>
        <w:shd w:val="clear" w:color="auto" w:fill="FFFFFF"/>
        <w:rPr>
          <w:b/>
          <w:color w:val="000000"/>
          <w:szCs w:val="24"/>
        </w:rPr>
      </w:pPr>
      <w:r w:rsidRPr="00CA6916">
        <w:rPr>
          <w:b/>
          <w:color w:val="000000"/>
          <w:szCs w:val="24"/>
          <w:u w:val="single"/>
        </w:rPr>
        <w:t>Details of the</w:t>
      </w:r>
      <w:r w:rsidRPr="00CA6916">
        <w:rPr>
          <w:b/>
          <w:i/>
          <w:color w:val="000000"/>
          <w:szCs w:val="24"/>
          <w:u w:val="single"/>
        </w:rPr>
        <w:t> </w:t>
      </w:r>
      <w:r w:rsidR="00C4390E" w:rsidRPr="00C4390E">
        <w:rPr>
          <w:b/>
          <w:i/>
          <w:u w:val="single"/>
        </w:rPr>
        <w:t xml:space="preserve">Treasury Laws Amendment (2018 Measures No. </w:t>
      </w:r>
      <w:r w:rsidR="00214666">
        <w:rPr>
          <w:b/>
          <w:i/>
          <w:u w:val="single"/>
        </w:rPr>
        <w:t>1</w:t>
      </w:r>
      <w:r w:rsidR="00C4390E" w:rsidRPr="00C4390E">
        <w:rPr>
          <w:b/>
          <w:i/>
          <w:u w:val="single"/>
        </w:rPr>
        <w:t>) Regulations 2018</w:t>
      </w:r>
    </w:p>
    <w:p w14:paraId="494A7D68" w14:textId="77777777" w:rsidR="009F09D9" w:rsidRPr="009F09D9" w:rsidRDefault="009F09D9" w:rsidP="009F09D9">
      <w:pPr>
        <w:shd w:val="clear" w:color="auto" w:fill="FFFFFF"/>
        <w:rPr>
          <w:color w:val="000000"/>
          <w:szCs w:val="24"/>
        </w:rPr>
      </w:pPr>
      <w:r w:rsidRPr="009F09D9">
        <w:rPr>
          <w:color w:val="000000"/>
          <w:szCs w:val="24"/>
          <w:u w:val="single"/>
        </w:rPr>
        <w:t>Section 1 – Name of Regulations</w:t>
      </w:r>
    </w:p>
    <w:p w14:paraId="49B9DB18" w14:textId="282E2880" w:rsidR="009F09D9" w:rsidRPr="009F09D9" w:rsidRDefault="009F09D9" w:rsidP="009F09D9">
      <w:pPr>
        <w:shd w:val="clear" w:color="auto" w:fill="FFFFFF"/>
        <w:rPr>
          <w:color w:val="000000"/>
          <w:szCs w:val="24"/>
        </w:rPr>
      </w:pPr>
      <w:r w:rsidRPr="009F09D9">
        <w:rPr>
          <w:color w:val="000000"/>
          <w:szCs w:val="24"/>
        </w:rPr>
        <w:t>This section provides that the title of the Regulations is the </w:t>
      </w:r>
      <w:r>
        <w:rPr>
          <w:i/>
        </w:rPr>
        <w:t>Treasury Laws Amendment (</w:t>
      </w:r>
      <w:r w:rsidR="00C4390E">
        <w:rPr>
          <w:i/>
        </w:rPr>
        <w:t xml:space="preserve">2018 Measures No. </w:t>
      </w:r>
      <w:r w:rsidR="00214666">
        <w:rPr>
          <w:i/>
        </w:rPr>
        <w:t>1</w:t>
      </w:r>
      <w:r>
        <w:rPr>
          <w:i/>
        </w:rPr>
        <w:t>) Regulations 2018</w:t>
      </w:r>
      <w:r>
        <w:t xml:space="preserve"> (the Regulations)</w:t>
      </w:r>
      <w:r w:rsidRPr="009F09D9">
        <w:rPr>
          <w:color w:val="000000"/>
          <w:szCs w:val="24"/>
        </w:rPr>
        <w:t>.</w:t>
      </w:r>
    </w:p>
    <w:p w14:paraId="7A16F92A" w14:textId="77777777" w:rsidR="009F09D9" w:rsidRPr="009F09D9" w:rsidRDefault="009F09D9" w:rsidP="009F09D9">
      <w:pPr>
        <w:shd w:val="clear" w:color="auto" w:fill="FFFFFF"/>
        <w:rPr>
          <w:color w:val="000000"/>
          <w:szCs w:val="24"/>
        </w:rPr>
      </w:pPr>
      <w:r w:rsidRPr="009F09D9">
        <w:rPr>
          <w:color w:val="000000"/>
          <w:szCs w:val="24"/>
          <w:u w:val="single"/>
        </w:rPr>
        <w:t>Section 2 – Commencement</w:t>
      </w:r>
    </w:p>
    <w:p w14:paraId="5E61AB1B" w14:textId="6C931A7B" w:rsidR="009F09D9" w:rsidRPr="009F09D9" w:rsidRDefault="009F09D9" w:rsidP="009F09D9">
      <w:pPr>
        <w:shd w:val="clear" w:color="auto" w:fill="FFFFFF"/>
        <w:rPr>
          <w:color w:val="000000"/>
          <w:szCs w:val="24"/>
        </w:rPr>
      </w:pPr>
      <w:r w:rsidRPr="009F09D9">
        <w:rPr>
          <w:color w:val="000000"/>
          <w:szCs w:val="24"/>
        </w:rPr>
        <w:t>This section provide</w:t>
      </w:r>
      <w:r>
        <w:rPr>
          <w:color w:val="000000"/>
          <w:szCs w:val="24"/>
        </w:rPr>
        <w:t>s that the Regulations commenced on</w:t>
      </w:r>
      <w:r w:rsidRPr="009F09D9">
        <w:rPr>
          <w:color w:val="000000"/>
          <w:szCs w:val="24"/>
        </w:rPr>
        <w:t xml:space="preserve"> the day </w:t>
      </w:r>
      <w:r>
        <w:rPr>
          <w:color w:val="000000"/>
          <w:szCs w:val="24"/>
        </w:rPr>
        <w:t>after they</w:t>
      </w:r>
      <w:r w:rsidRPr="009F09D9">
        <w:rPr>
          <w:color w:val="000000"/>
          <w:szCs w:val="24"/>
        </w:rPr>
        <w:t xml:space="preserve"> </w:t>
      </w:r>
      <w:r>
        <w:rPr>
          <w:color w:val="000000"/>
          <w:szCs w:val="24"/>
        </w:rPr>
        <w:t xml:space="preserve">are </w:t>
      </w:r>
      <w:r w:rsidRPr="009F09D9">
        <w:rPr>
          <w:color w:val="000000"/>
          <w:szCs w:val="24"/>
        </w:rPr>
        <w:t>registered.</w:t>
      </w:r>
    </w:p>
    <w:p w14:paraId="63EE0565" w14:textId="77777777" w:rsidR="009F09D9" w:rsidRPr="009F09D9" w:rsidRDefault="009F09D9" w:rsidP="009F09D9">
      <w:pPr>
        <w:shd w:val="clear" w:color="auto" w:fill="FFFFFF"/>
        <w:rPr>
          <w:color w:val="000000"/>
          <w:szCs w:val="24"/>
        </w:rPr>
      </w:pPr>
      <w:r w:rsidRPr="009F09D9">
        <w:rPr>
          <w:color w:val="000000"/>
          <w:szCs w:val="24"/>
          <w:u w:val="single"/>
        </w:rPr>
        <w:t>Section 3 – Authority</w:t>
      </w:r>
    </w:p>
    <w:p w14:paraId="3D51E4AF" w14:textId="24F1881E" w:rsidR="009F09D9" w:rsidRPr="009F09D9" w:rsidRDefault="009F09D9" w:rsidP="009F09D9">
      <w:pPr>
        <w:shd w:val="clear" w:color="auto" w:fill="FFFFFF"/>
        <w:rPr>
          <w:color w:val="000000"/>
          <w:szCs w:val="24"/>
        </w:rPr>
      </w:pPr>
      <w:r w:rsidRPr="009F09D9">
        <w:rPr>
          <w:color w:val="000000"/>
          <w:szCs w:val="24"/>
        </w:rPr>
        <w:t>This section provides that the Regulations are made under</w:t>
      </w:r>
      <w:r w:rsidR="00652DD8" w:rsidRPr="00652DD8">
        <w:t xml:space="preserve"> </w:t>
      </w:r>
      <w:r w:rsidR="00652DD8">
        <w:t xml:space="preserve">the </w:t>
      </w:r>
      <w:r w:rsidR="00652DD8" w:rsidRPr="00723452">
        <w:rPr>
          <w:i/>
        </w:rPr>
        <w:t>Taxation Administration Act 1953</w:t>
      </w:r>
      <w:r w:rsidR="00652DD8">
        <w:t xml:space="preserve"> (TAA 1953)</w:t>
      </w:r>
      <w:r w:rsidR="0097779F">
        <w:t>,</w:t>
      </w:r>
      <w:r w:rsidRPr="009F09D9">
        <w:rPr>
          <w:color w:val="000000"/>
          <w:szCs w:val="24"/>
        </w:rPr>
        <w:t xml:space="preserve"> the </w:t>
      </w:r>
      <w:r w:rsidRPr="009544E4">
        <w:rPr>
          <w:i/>
        </w:rPr>
        <w:t>Tax Agent Services Act</w:t>
      </w:r>
      <w:r>
        <w:rPr>
          <w:i/>
        </w:rPr>
        <w:t> </w:t>
      </w:r>
      <w:r w:rsidRPr="009544E4">
        <w:rPr>
          <w:i/>
        </w:rPr>
        <w:t>2009</w:t>
      </w:r>
      <w:r>
        <w:t xml:space="preserve"> (the </w:t>
      </w:r>
      <w:r w:rsidR="00847A78">
        <w:t>TASA 2009</w:t>
      </w:r>
      <w:r>
        <w:t>)</w:t>
      </w:r>
      <w:r w:rsidR="0097779F">
        <w:t xml:space="preserve"> and the </w:t>
      </w:r>
      <w:r w:rsidR="0097779F" w:rsidRPr="00E27182">
        <w:rPr>
          <w:i/>
        </w:rPr>
        <w:t xml:space="preserve">Income Tax Assessment </w:t>
      </w:r>
      <w:r w:rsidR="0097779F">
        <w:rPr>
          <w:i/>
        </w:rPr>
        <w:t>Act</w:t>
      </w:r>
      <w:r w:rsidR="0097779F" w:rsidRPr="00E27182">
        <w:rPr>
          <w:i/>
        </w:rPr>
        <w:t xml:space="preserve"> 1997</w:t>
      </w:r>
      <w:r w:rsidR="0097779F">
        <w:t xml:space="preserve"> (ITAA 1997)</w:t>
      </w:r>
      <w:r w:rsidRPr="009F09D9">
        <w:rPr>
          <w:i/>
          <w:iCs/>
          <w:color w:val="000000"/>
          <w:szCs w:val="24"/>
        </w:rPr>
        <w:t>.</w:t>
      </w:r>
    </w:p>
    <w:p w14:paraId="09BEE41F" w14:textId="77777777" w:rsidR="009F09D9" w:rsidRPr="009F09D9" w:rsidRDefault="009F09D9" w:rsidP="009F09D9">
      <w:pPr>
        <w:shd w:val="clear" w:color="auto" w:fill="FFFFFF"/>
        <w:rPr>
          <w:color w:val="000000"/>
          <w:szCs w:val="24"/>
        </w:rPr>
      </w:pPr>
      <w:r w:rsidRPr="009F09D9">
        <w:rPr>
          <w:color w:val="000000"/>
          <w:szCs w:val="24"/>
          <w:u w:val="single"/>
        </w:rPr>
        <w:t>Section 4 – Schedules</w:t>
      </w:r>
    </w:p>
    <w:p w14:paraId="7B4224DE" w14:textId="2E124F73" w:rsidR="009F09D9" w:rsidRPr="009F09D9" w:rsidRDefault="009F09D9" w:rsidP="009F09D9">
      <w:pPr>
        <w:shd w:val="clear" w:color="auto" w:fill="FFFFFF"/>
        <w:rPr>
          <w:color w:val="000000"/>
          <w:szCs w:val="24"/>
        </w:rPr>
      </w:pPr>
      <w:r w:rsidRPr="009F09D9">
        <w:rPr>
          <w:color w:val="000000"/>
          <w:szCs w:val="24"/>
        </w:rPr>
        <w:t xml:space="preserve">This section provides that each instrument that is specified in a Schedule to the Regulations is amended or repealed as set out in the applicable items in the Schedule concerned, and any other items in a Schedule to </w:t>
      </w:r>
      <w:r w:rsidR="00BC17AA">
        <w:rPr>
          <w:color w:val="000000"/>
          <w:szCs w:val="24"/>
        </w:rPr>
        <w:t>the Regulations</w:t>
      </w:r>
      <w:r w:rsidRPr="009F09D9">
        <w:rPr>
          <w:color w:val="000000"/>
          <w:szCs w:val="24"/>
        </w:rPr>
        <w:t xml:space="preserve"> ha</w:t>
      </w:r>
      <w:r w:rsidR="00BC17AA">
        <w:rPr>
          <w:color w:val="000000"/>
          <w:szCs w:val="24"/>
        </w:rPr>
        <w:t>ve</w:t>
      </w:r>
      <w:r w:rsidRPr="009F09D9">
        <w:rPr>
          <w:color w:val="000000"/>
          <w:szCs w:val="24"/>
        </w:rPr>
        <w:t xml:space="preserve"> effect according to </w:t>
      </w:r>
      <w:r w:rsidR="00BC17AA">
        <w:rPr>
          <w:color w:val="000000"/>
          <w:szCs w:val="24"/>
        </w:rPr>
        <w:t>their</w:t>
      </w:r>
      <w:r w:rsidR="00BC17AA" w:rsidRPr="009F09D9">
        <w:rPr>
          <w:color w:val="000000"/>
          <w:szCs w:val="24"/>
        </w:rPr>
        <w:t xml:space="preserve"> </w:t>
      </w:r>
      <w:r w:rsidRPr="009F09D9">
        <w:rPr>
          <w:color w:val="000000"/>
          <w:szCs w:val="24"/>
        </w:rPr>
        <w:t>terms.</w:t>
      </w:r>
    </w:p>
    <w:p w14:paraId="3CA02F0B" w14:textId="331A06C8" w:rsidR="00652DD8" w:rsidRPr="00CA6916" w:rsidRDefault="00652DD8" w:rsidP="00652DD8">
      <w:pPr>
        <w:pStyle w:val="base-text-paragraph"/>
        <w:ind w:left="0"/>
        <w:rPr>
          <w:b/>
        </w:rPr>
      </w:pPr>
      <w:r w:rsidRPr="00CA6916">
        <w:rPr>
          <w:b/>
        </w:rPr>
        <w:t xml:space="preserve">Schedule </w:t>
      </w:r>
      <w:r>
        <w:rPr>
          <w:b/>
        </w:rPr>
        <w:t>1</w:t>
      </w:r>
      <w:r w:rsidRPr="00CA6916">
        <w:rPr>
          <w:b/>
        </w:rPr>
        <w:t xml:space="preserve"> –</w:t>
      </w:r>
      <w:r>
        <w:rPr>
          <w:b/>
        </w:rPr>
        <w:t xml:space="preserve"> Prescribed taskforces and taxpayer information</w:t>
      </w:r>
    </w:p>
    <w:p w14:paraId="683998E7" w14:textId="251DC1BE" w:rsidR="00652DD8" w:rsidRDefault="00652DD8" w:rsidP="00652DD8">
      <w:pPr>
        <w:pStyle w:val="base-text-paragraph"/>
        <w:ind w:left="0"/>
      </w:pPr>
      <w:r>
        <w:t xml:space="preserve">Schedule 1 to the Regulations amends the </w:t>
      </w:r>
      <w:r w:rsidRPr="00767BA4">
        <w:rPr>
          <w:i/>
        </w:rPr>
        <w:t xml:space="preserve">Taxation Administration Regulations 2017 </w:t>
      </w:r>
      <w:r>
        <w:t>(the TAR 2017) to allow taxation officers to disclose protected information to taskforce officers in the Black Economy Standing Taskforce and the Illicit Tobacco Taskforce (the taskforces).</w:t>
      </w:r>
    </w:p>
    <w:p w14:paraId="04ABC2F1" w14:textId="138D07F6" w:rsidR="00652DD8" w:rsidRPr="00716E79" w:rsidRDefault="00652DD8" w:rsidP="00652DD8">
      <w:pPr>
        <w:shd w:val="clear" w:color="auto" w:fill="FFFFFF"/>
        <w:rPr>
          <w:color w:val="000000"/>
          <w:szCs w:val="24"/>
        </w:rPr>
      </w:pPr>
      <w:r w:rsidRPr="00716E79">
        <w:rPr>
          <w:color w:val="000000"/>
          <w:szCs w:val="24"/>
        </w:rPr>
        <w:t xml:space="preserve">Section 355-25 in Schedule 1 to the </w:t>
      </w:r>
      <w:r w:rsidR="0045217D" w:rsidRPr="0045217D">
        <w:rPr>
          <w:color w:val="000000"/>
          <w:szCs w:val="24"/>
        </w:rPr>
        <w:t xml:space="preserve">TAA 1953 </w:t>
      </w:r>
      <w:r w:rsidRPr="00716E79">
        <w:rPr>
          <w:color w:val="000000"/>
          <w:szCs w:val="24"/>
        </w:rPr>
        <w:t xml:space="preserve">provides that it is an </w:t>
      </w:r>
      <w:r w:rsidR="008369F5">
        <w:rPr>
          <w:color w:val="000000"/>
          <w:szCs w:val="24"/>
        </w:rPr>
        <w:t xml:space="preserve">offence for </w:t>
      </w:r>
      <w:r w:rsidRPr="00716E79">
        <w:rPr>
          <w:color w:val="000000"/>
          <w:szCs w:val="24"/>
        </w:rPr>
        <w:t xml:space="preserve">an </w:t>
      </w:r>
      <w:r>
        <w:rPr>
          <w:color w:val="000000"/>
          <w:szCs w:val="24"/>
        </w:rPr>
        <w:t>Australian Taxation Office</w:t>
      </w:r>
      <w:r w:rsidRPr="00716E79">
        <w:rPr>
          <w:color w:val="000000"/>
          <w:szCs w:val="24"/>
        </w:rPr>
        <w:t xml:space="preserve"> employee, Commissioner or Second Commissioner</w:t>
      </w:r>
      <w:r w:rsidR="008369F5">
        <w:rPr>
          <w:color w:val="000000"/>
          <w:szCs w:val="24"/>
        </w:rPr>
        <w:t xml:space="preserve"> (a taxation officer)</w:t>
      </w:r>
      <w:r w:rsidRPr="00716E79">
        <w:rPr>
          <w:color w:val="000000"/>
          <w:szCs w:val="24"/>
        </w:rPr>
        <w:t xml:space="preserve"> to record or disclose protected information (information obtained under a taxation law that relates to an entity and could be used to identify that entity) that the taxation officer acquired in their role as a taxation officer.</w:t>
      </w:r>
    </w:p>
    <w:p w14:paraId="4C62560A" w14:textId="71A99087" w:rsidR="00652DD8" w:rsidRPr="00716E79" w:rsidRDefault="00652DD8" w:rsidP="00652DD8">
      <w:pPr>
        <w:shd w:val="clear" w:color="auto" w:fill="FFFFFF"/>
        <w:rPr>
          <w:color w:val="000000"/>
          <w:szCs w:val="24"/>
        </w:rPr>
      </w:pPr>
      <w:r w:rsidRPr="00716E79">
        <w:rPr>
          <w:color w:val="000000"/>
          <w:szCs w:val="24"/>
        </w:rPr>
        <w:t xml:space="preserve">Section 355-70 in Schedule 1 to the </w:t>
      </w:r>
      <w:r w:rsidR="0045217D" w:rsidRPr="0045217D">
        <w:rPr>
          <w:color w:val="000000"/>
          <w:szCs w:val="24"/>
        </w:rPr>
        <w:t xml:space="preserve">TAA 1953 </w:t>
      </w:r>
      <w:r w:rsidRPr="00716E79">
        <w:rPr>
          <w:color w:val="000000"/>
          <w:szCs w:val="24"/>
        </w:rPr>
        <w:t xml:space="preserve">provides exceptions to this offence for records or disclosures made for law enforcement and related purposes. This includes, under item 4 of the table in subsection 355-70(1) in Schedule 1 to the </w:t>
      </w:r>
      <w:r w:rsidR="0045217D" w:rsidRPr="0045217D">
        <w:rPr>
          <w:color w:val="000000"/>
          <w:szCs w:val="24"/>
        </w:rPr>
        <w:t>TAA</w:t>
      </w:r>
      <w:r w:rsidR="0045217D">
        <w:rPr>
          <w:color w:val="000000"/>
          <w:szCs w:val="24"/>
        </w:rPr>
        <w:t> </w:t>
      </w:r>
      <w:r w:rsidR="0045217D" w:rsidRPr="0045217D">
        <w:rPr>
          <w:color w:val="000000"/>
          <w:szCs w:val="24"/>
        </w:rPr>
        <w:t>1953</w:t>
      </w:r>
      <w:r w:rsidRPr="00716E79">
        <w:rPr>
          <w:color w:val="000000"/>
          <w:szCs w:val="24"/>
        </w:rPr>
        <w:t>, records made or disclosures to a taskforce officer of a prescribed taskforce that is for or in connection with a purpose of the prescribed taskforce.</w:t>
      </w:r>
    </w:p>
    <w:p w14:paraId="738BAA33" w14:textId="4E0B2F3E" w:rsidR="00652DD8" w:rsidRPr="00716E79" w:rsidRDefault="00652DD8" w:rsidP="00652DD8">
      <w:pPr>
        <w:shd w:val="clear" w:color="auto" w:fill="FFFFFF"/>
        <w:rPr>
          <w:color w:val="000000"/>
          <w:szCs w:val="24"/>
        </w:rPr>
      </w:pPr>
      <w:r w:rsidRPr="00716E79">
        <w:rPr>
          <w:color w:val="000000"/>
          <w:szCs w:val="24"/>
        </w:rPr>
        <w:t xml:space="preserve">A taskforce officer is an entity who holds an office in, is employed in, or is performing services for, an agency in the prescribed taskforce (subsection 355-70(11) in Schedule 1 to the </w:t>
      </w:r>
      <w:r w:rsidR="0045217D" w:rsidRPr="0045217D">
        <w:rPr>
          <w:color w:val="000000"/>
          <w:szCs w:val="24"/>
        </w:rPr>
        <w:t>TAA 1953</w:t>
      </w:r>
      <w:r w:rsidRPr="00716E79">
        <w:rPr>
          <w:color w:val="000000"/>
          <w:szCs w:val="24"/>
        </w:rPr>
        <w:t>).</w:t>
      </w:r>
    </w:p>
    <w:p w14:paraId="500D6E4C" w14:textId="37F1C764" w:rsidR="00652DD8" w:rsidRPr="00716E79" w:rsidRDefault="00652DD8" w:rsidP="00652DD8">
      <w:pPr>
        <w:shd w:val="clear" w:color="auto" w:fill="FFFFFF"/>
        <w:rPr>
          <w:color w:val="000000"/>
          <w:szCs w:val="24"/>
        </w:rPr>
      </w:pPr>
      <w:r>
        <w:rPr>
          <w:color w:val="000000"/>
          <w:szCs w:val="24"/>
        </w:rPr>
        <w:t>S</w:t>
      </w:r>
      <w:r w:rsidRPr="00716E79">
        <w:rPr>
          <w:color w:val="000000"/>
          <w:szCs w:val="24"/>
        </w:rPr>
        <w:t xml:space="preserve">ubsection 355-70(12) in Schedule 1 to the </w:t>
      </w:r>
      <w:r w:rsidR="0045217D">
        <w:rPr>
          <w:color w:val="000000"/>
          <w:szCs w:val="24"/>
        </w:rPr>
        <w:t>TAA 1953</w:t>
      </w:r>
      <w:r>
        <w:rPr>
          <w:color w:val="000000"/>
          <w:szCs w:val="24"/>
        </w:rPr>
        <w:t xml:space="preserve"> provides that </w:t>
      </w:r>
      <w:r w:rsidRPr="00716E79">
        <w:rPr>
          <w:color w:val="000000"/>
          <w:szCs w:val="24"/>
        </w:rPr>
        <w:t xml:space="preserve">the regulations may prescribe a taskforce for the purposes of item 4 of the table in </w:t>
      </w:r>
      <w:r w:rsidR="00722BEE" w:rsidRPr="00716E79">
        <w:rPr>
          <w:color w:val="000000"/>
          <w:szCs w:val="24"/>
        </w:rPr>
        <w:t>subsection</w:t>
      </w:r>
      <w:r w:rsidR="00722BEE">
        <w:rPr>
          <w:color w:val="000000"/>
          <w:szCs w:val="24"/>
        </w:rPr>
        <w:t> </w:t>
      </w:r>
      <w:r w:rsidRPr="00716E79">
        <w:rPr>
          <w:color w:val="000000"/>
          <w:szCs w:val="24"/>
        </w:rPr>
        <w:t>355</w:t>
      </w:r>
      <w:r w:rsidR="00722BEE">
        <w:rPr>
          <w:color w:val="000000"/>
          <w:szCs w:val="24"/>
        </w:rPr>
        <w:noBreakHyphen/>
      </w:r>
      <w:r w:rsidRPr="00716E79">
        <w:rPr>
          <w:color w:val="000000"/>
          <w:szCs w:val="24"/>
        </w:rPr>
        <w:t xml:space="preserve">70(1) in Schedule 1 to the </w:t>
      </w:r>
      <w:r w:rsidR="0045217D" w:rsidRPr="0045217D">
        <w:rPr>
          <w:color w:val="000000"/>
          <w:szCs w:val="24"/>
        </w:rPr>
        <w:t>TAA 1953</w:t>
      </w:r>
      <w:r w:rsidRPr="00716E79">
        <w:rPr>
          <w:color w:val="000000"/>
          <w:szCs w:val="24"/>
        </w:rPr>
        <w:t>. A major purpose of the taskforce must be protecting the public finances of Australia.</w:t>
      </w:r>
    </w:p>
    <w:p w14:paraId="2E4D388C" w14:textId="19EC957B" w:rsidR="00652DD8" w:rsidRPr="00716E79" w:rsidRDefault="00652DD8" w:rsidP="00652DD8">
      <w:pPr>
        <w:shd w:val="clear" w:color="auto" w:fill="FFFFFF"/>
        <w:rPr>
          <w:color w:val="000000"/>
          <w:szCs w:val="24"/>
        </w:rPr>
      </w:pPr>
      <w:r w:rsidRPr="00716E79">
        <w:rPr>
          <w:color w:val="000000"/>
          <w:szCs w:val="24"/>
        </w:rPr>
        <w:t xml:space="preserve">Regulation </w:t>
      </w:r>
      <w:r>
        <w:rPr>
          <w:color w:val="000000"/>
          <w:szCs w:val="24"/>
        </w:rPr>
        <w:t>67</w:t>
      </w:r>
      <w:r w:rsidRPr="00716E79">
        <w:rPr>
          <w:color w:val="000000"/>
          <w:szCs w:val="24"/>
        </w:rPr>
        <w:t xml:space="preserve"> of the </w:t>
      </w:r>
      <w:r w:rsidRPr="00AB0484">
        <w:rPr>
          <w:iCs/>
          <w:color w:val="000000"/>
          <w:szCs w:val="24"/>
        </w:rPr>
        <w:t>TAR 2017</w:t>
      </w:r>
      <w:r w:rsidRPr="00600C0E">
        <w:rPr>
          <w:i/>
          <w:iCs/>
          <w:color w:val="000000"/>
          <w:szCs w:val="24"/>
        </w:rPr>
        <w:t xml:space="preserve"> </w:t>
      </w:r>
      <w:r w:rsidRPr="00716E79">
        <w:rPr>
          <w:color w:val="000000"/>
          <w:szCs w:val="24"/>
        </w:rPr>
        <w:t xml:space="preserve">contains a list of prescribed taskforces for the purposes of subsection 355-70(12) in Schedule 1 to the </w:t>
      </w:r>
      <w:r w:rsidR="0045217D" w:rsidRPr="0045217D">
        <w:rPr>
          <w:color w:val="000000"/>
          <w:szCs w:val="24"/>
        </w:rPr>
        <w:t>TAA 1953</w:t>
      </w:r>
      <w:r w:rsidRPr="00716E79">
        <w:rPr>
          <w:color w:val="000000"/>
          <w:szCs w:val="24"/>
        </w:rPr>
        <w:t>.</w:t>
      </w:r>
    </w:p>
    <w:p w14:paraId="637F0BA7" w14:textId="0F7EBCA2" w:rsidR="00652DD8" w:rsidRDefault="00652DD8" w:rsidP="00652DD8">
      <w:pPr>
        <w:pStyle w:val="base-text-paragraph"/>
        <w:ind w:left="0"/>
        <w:rPr>
          <w:color w:val="000000"/>
          <w:shd w:val="clear" w:color="auto" w:fill="FFFFFF"/>
        </w:rPr>
      </w:pPr>
      <w:r>
        <w:lastRenderedPageBreak/>
        <w:t xml:space="preserve">Schedule 1 to the Regulations amends the TAR 2017 to include the taskforces in this list. </w:t>
      </w:r>
      <w:r>
        <w:rPr>
          <w:color w:val="000000"/>
          <w:shd w:val="clear" w:color="auto" w:fill="FFFFFF"/>
        </w:rPr>
        <w:t>This allow</w:t>
      </w:r>
      <w:r w:rsidR="00BC17AA">
        <w:rPr>
          <w:color w:val="000000"/>
          <w:shd w:val="clear" w:color="auto" w:fill="FFFFFF"/>
        </w:rPr>
        <w:t>s</w:t>
      </w:r>
      <w:r>
        <w:rPr>
          <w:color w:val="000000"/>
          <w:shd w:val="clear" w:color="auto" w:fill="FFFFFF"/>
        </w:rPr>
        <w:t xml:space="preserve"> taxation officers to share protected information with taskforce officers of each of the taskforces where the record or disclosure is for or in connection with a purpose of the relevant taskforce.</w:t>
      </w:r>
    </w:p>
    <w:p w14:paraId="1BEEF9BC" w14:textId="42D2DC23" w:rsidR="00652DD8" w:rsidRDefault="00652DD8" w:rsidP="00652DD8">
      <w:pPr>
        <w:pStyle w:val="base-text-paragraph"/>
        <w:ind w:left="0"/>
      </w:pPr>
      <w:r>
        <w:t xml:space="preserve">Consistent with the requirements of the </w:t>
      </w:r>
      <w:r w:rsidR="0045217D" w:rsidRPr="0045217D">
        <w:t>TAA 1953</w:t>
      </w:r>
      <w:r>
        <w:t xml:space="preserve">, a major purpose of each taskforce is protecting the public finances of Australia by addressing tax avoidance or evasion. </w:t>
      </w:r>
    </w:p>
    <w:p w14:paraId="39EF62A3" w14:textId="5B5A146D" w:rsidR="00652DD8" w:rsidRDefault="00652DD8" w:rsidP="00652DD8">
      <w:pPr>
        <w:pStyle w:val="base-text-paragraph"/>
        <w:ind w:left="0"/>
      </w:pPr>
      <w:r>
        <w:t xml:space="preserve">Specifically, the Black Economy Standing Taskforce was established for the purpose of protecting the public finances of Australia by co-ordinating cross agency action and information sharing to combat the black economy (broadly, unreported and untaxed </w:t>
      </w:r>
      <w:r w:rsidR="004B01A6">
        <w:t>economic</w:t>
      </w:r>
      <w:r>
        <w:t xml:space="preserve"> activity). </w:t>
      </w:r>
    </w:p>
    <w:p w14:paraId="2FA7C9AD" w14:textId="29D9070E" w:rsidR="00652DD8" w:rsidRDefault="00652DD8" w:rsidP="00652DD8">
      <w:pPr>
        <w:pStyle w:val="base-text-paragraph"/>
        <w:ind w:left="0"/>
      </w:pPr>
      <w:r>
        <w:t xml:space="preserve">Equally, a major purpose of the Illicit Tobacco Taskforce is combatting the trade in illicit tobacco. </w:t>
      </w:r>
      <w:r w:rsidR="00722BEE">
        <w:t>I</w:t>
      </w:r>
      <w:r>
        <w:t>llicit tobacco is tobacco that has been manufactured or imported without being subject to excise or excise-equivalent customs duty</w:t>
      </w:r>
      <w:r w:rsidR="00F611AA">
        <w:t xml:space="preserve"> and contrary to the regulatory regime established to facilitate the collection of this duty</w:t>
      </w:r>
      <w:r w:rsidR="00722BEE">
        <w:t>. Therefore,</w:t>
      </w:r>
      <w:r>
        <w:t xml:space="preserve"> combatting this trade is directly linked to enforcement of laws for the collection and protection of tax revenues from tobacco </w:t>
      </w:r>
      <w:r w:rsidR="00723452">
        <w:t xml:space="preserve">excise and excise equivalent customs </w:t>
      </w:r>
      <w:r w:rsidR="00722BEE">
        <w:t>duty</w:t>
      </w:r>
      <w:r>
        <w:t>.</w:t>
      </w:r>
    </w:p>
    <w:p w14:paraId="04E0E049" w14:textId="7443938A" w:rsidR="00652DD8" w:rsidRDefault="00652DD8" w:rsidP="00652DD8">
      <w:pPr>
        <w:pStyle w:val="base-text-paragraph"/>
        <w:ind w:left="0"/>
        <w:rPr>
          <w:b/>
        </w:rPr>
      </w:pPr>
      <w:r>
        <w:t>These amendments apply to disclosures made on or after the commencement of the amendments, regardless of the time relevant taxpayer information was received.</w:t>
      </w:r>
    </w:p>
    <w:p w14:paraId="249FD74C" w14:textId="7B6BD6FF" w:rsidR="00CE7BD2" w:rsidRPr="00CA6916" w:rsidRDefault="009F09D9" w:rsidP="009F09D9">
      <w:pPr>
        <w:pStyle w:val="base-text-paragraph"/>
        <w:ind w:left="0"/>
        <w:rPr>
          <w:b/>
        </w:rPr>
      </w:pPr>
      <w:r w:rsidRPr="00CA6916">
        <w:rPr>
          <w:b/>
        </w:rPr>
        <w:t xml:space="preserve">Schedule </w:t>
      </w:r>
      <w:r w:rsidR="00652DD8">
        <w:rPr>
          <w:b/>
        </w:rPr>
        <w:t>2</w:t>
      </w:r>
      <w:r w:rsidR="00847A78" w:rsidRPr="00CA6916">
        <w:rPr>
          <w:b/>
        </w:rPr>
        <w:t xml:space="preserve"> </w:t>
      </w:r>
      <w:r w:rsidRPr="00CA6916">
        <w:rPr>
          <w:b/>
        </w:rPr>
        <w:t>–</w:t>
      </w:r>
      <w:r w:rsidR="00202ADE">
        <w:rPr>
          <w:b/>
        </w:rPr>
        <w:t xml:space="preserve"> </w:t>
      </w:r>
      <w:r w:rsidR="00EA7641">
        <w:rPr>
          <w:b/>
        </w:rPr>
        <w:t xml:space="preserve">Tax </w:t>
      </w:r>
      <w:r w:rsidR="00E306A7">
        <w:rPr>
          <w:b/>
        </w:rPr>
        <w:t>practitioner application</w:t>
      </w:r>
      <w:r w:rsidR="00EA7641">
        <w:rPr>
          <w:b/>
        </w:rPr>
        <w:t xml:space="preserve"> fees</w:t>
      </w:r>
    </w:p>
    <w:p w14:paraId="54B05A6C" w14:textId="46A80280" w:rsidR="00CA6916" w:rsidRPr="009544E4" w:rsidRDefault="00CA6916" w:rsidP="00185CA6">
      <w:pPr>
        <w:spacing w:before="0"/>
      </w:pPr>
      <w:r>
        <w:t xml:space="preserve">Under the regulatory framework for tax agent services established by the </w:t>
      </w:r>
      <w:r w:rsidR="0045217D" w:rsidRPr="0045217D">
        <w:t>TASA 2009</w:t>
      </w:r>
      <w:r>
        <w:t xml:space="preserve">, entities that wish to </w:t>
      </w:r>
      <w:r w:rsidR="00A92573">
        <w:t xml:space="preserve">provide </w:t>
      </w:r>
      <w:r>
        <w:t xml:space="preserve">tax agent services </w:t>
      </w:r>
      <w:r w:rsidR="00A92573">
        <w:t xml:space="preserve">for a fee or other reward </w:t>
      </w:r>
      <w:r>
        <w:t xml:space="preserve">must generally be registered with the </w:t>
      </w:r>
      <w:r w:rsidRPr="00FD106F">
        <w:t>national</w:t>
      </w:r>
      <w:r>
        <w:t xml:space="preserve"> Tax Practitioners Board (TPB). Subsection 20</w:t>
      </w:r>
      <w:r>
        <w:noBreakHyphen/>
        <w:t xml:space="preserve">20(2) of the </w:t>
      </w:r>
      <w:r w:rsidR="0045217D" w:rsidRPr="0045217D">
        <w:t>TASA 2009</w:t>
      </w:r>
      <w:r>
        <w:t xml:space="preserve"> provides that an application for registration</w:t>
      </w:r>
      <w:r w:rsidR="00423A4D">
        <w:t>, including an application to renew an existing regulation,</w:t>
      </w:r>
      <w:r>
        <w:t xml:space="preserve"> must be accompanied by, among other things, the prescribed fee. </w:t>
      </w:r>
    </w:p>
    <w:p w14:paraId="3D6D01E1" w14:textId="4EE16BDC" w:rsidR="00CA6916" w:rsidRDefault="00F44574" w:rsidP="00185CA6">
      <w:pPr>
        <w:spacing w:before="0"/>
      </w:pPr>
      <w:r>
        <w:t xml:space="preserve">Prior to these amendments, </w:t>
      </w:r>
      <w:r w:rsidR="00A92573">
        <w:t xml:space="preserve">the TPB </w:t>
      </w:r>
      <w:r w:rsidR="00CD3633">
        <w:t>was</w:t>
      </w:r>
      <w:r w:rsidR="00A92573">
        <w:t xml:space="preserve"> dependent on ongoing support from the A</w:t>
      </w:r>
      <w:r w:rsidR="003958F5">
        <w:t xml:space="preserve">ustralian </w:t>
      </w:r>
      <w:r w:rsidR="00A92573">
        <w:t>T</w:t>
      </w:r>
      <w:r w:rsidR="003958F5">
        <w:t xml:space="preserve">axation </w:t>
      </w:r>
      <w:r w:rsidR="00A92573">
        <w:t>O</w:t>
      </w:r>
      <w:r w:rsidR="003958F5">
        <w:t>ffice</w:t>
      </w:r>
      <w:r w:rsidR="00A92573">
        <w:t xml:space="preserve"> to supplement its fee revenue to perform its functions.</w:t>
      </w:r>
      <w:r w:rsidR="003A70FC">
        <w:t xml:space="preserve"> </w:t>
      </w:r>
    </w:p>
    <w:p w14:paraId="65219B53" w14:textId="359DC38A" w:rsidR="00423A4D" w:rsidRDefault="00CA6916" w:rsidP="00185CA6">
      <w:pPr>
        <w:spacing w:before="0"/>
      </w:pPr>
      <w:r>
        <w:t xml:space="preserve">The </w:t>
      </w:r>
      <w:r w:rsidR="00423A4D">
        <w:t xml:space="preserve">amendments </w:t>
      </w:r>
      <w:r w:rsidR="007D2714">
        <w:t xml:space="preserve">to the </w:t>
      </w:r>
      <w:r w:rsidR="007D2714">
        <w:rPr>
          <w:i/>
        </w:rPr>
        <w:t>Tax Agent Services</w:t>
      </w:r>
      <w:r w:rsidR="007D2714" w:rsidRPr="00017955">
        <w:rPr>
          <w:i/>
        </w:rPr>
        <w:t xml:space="preserve"> Regulations 20</w:t>
      </w:r>
      <w:r w:rsidR="007D2714">
        <w:rPr>
          <w:i/>
        </w:rPr>
        <w:t>09</w:t>
      </w:r>
      <w:r w:rsidR="007D2714">
        <w:t xml:space="preserve"> (TASR 2009) </w:t>
      </w:r>
      <w:r w:rsidR="00423A4D">
        <w:t xml:space="preserve">made by </w:t>
      </w:r>
      <w:r w:rsidR="00202ADE">
        <w:t xml:space="preserve">Schedule </w:t>
      </w:r>
      <w:r w:rsidR="00652DD8">
        <w:t xml:space="preserve">2 </w:t>
      </w:r>
      <w:r w:rsidR="00202ADE">
        <w:t xml:space="preserve">to </w:t>
      </w:r>
      <w:r w:rsidR="00423A4D">
        <w:t xml:space="preserve">the </w:t>
      </w:r>
      <w:r>
        <w:t xml:space="preserve">Regulations </w:t>
      </w:r>
      <w:r w:rsidR="00423A4D">
        <w:t xml:space="preserve">address this concern by increasing </w:t>
      </w:r>
      <w:r w:rsidR="00E306A7">
        <w:t xml:space="preserve">all application </w:t>
      </w:r>
      <w:r w:rsidR="00423A4D">
        <w:t xml:space="preserve">fees by 35 per cent. This increase ensures that the application fees now </w:t>
      </w:r>
      <w:r w:rsidR="00E306A7">
        <w:t xml:space="preserve">better </w:t>
      </w:r>
      <w:r w:rsidR="00423A4D">
        <w:t>reflect the costs faced by the TPB, consistent with Commonwealth cost recovery principles.</w:t>
      </w:r>
    </w:p>
    <w:p w14:paraId="0E11DECE" w14:textId="006356BC" w:rsidR="00423A4D" w:rsidRDefault="00202ADE" w:rsidP="00185CA6">
      <w:pPr>
        <w:spacing w:before="0"/>
      </w:pPr>
      <w:r>
        <w:t xml:space="preserve">Schedule </w:t>
      </w:r>
      <w:r w:rsidR="00652DD8">
        <w:t xml:space="preserve">2 </w:t>
      </w:r>
      <w:r>
        <w:t>to t</w:t>
      </w:r>
      <w:r w:rsidR="00423A4D">
        <w:t>he Regulations also remove</w:t>
      </w:r>
      <w:r>
        <w:t>s</w:t>
      </w:r>
      <w:r w:rsidR="00423A4D">
        <w:t xml:space="preserve"> the reduced fees that applied to applications for registration by entities not carrying on a business. In practice, the costs faced by the TPB do not differ based on whether </w:t>
      </w:r>
      <w:r w:rsidR="004B06A0">
        <w:t xml:space="preserve">or not </w:t>
      </w:r>
      <w:r w:rsidR="00423A4D">
        <w:t xml:space="preserve">applicants are in business. </w:t>
      </w:r>
    </w:p>
    <w:p w14:paraId="42F5C209" w14:textId="7EBA3B8B" w:rsidR="00BF5752" w:rsidRDefault="00BF5752" w:rsidP="00185CA6">
      <w:pPr>
        <w:spacing w:before="0"/>
      </w:pPr>
      <w:r>
        <w:t>The following table sets out the fees for applications made on or after 1 July 2018.</w:t>
      </w:r>
    </w:p>
    <w:tbl>
      <w:tblPr>
        <w:tblStyle w:val="TableGrid"/>
        <w:tblW w:w="0" w:type="auto"/>
        <w:tblLayout w:type="fixed"/>
        <w:tblLook w:val="04A0" w:firstRow="1" w:lastRow="0" w:firstColumn="1" w:lastColumn="0" w:noHBand="0" w:noVBand="1"/>
      </w:tblPr>
      <w:tblGrid>
        <w:gridCol w:w="4261"/>
        <w:gridCol w:w="4261"/>
      </w:tblGrid>
      <w:tr w:rsidR="00BF5752" w14:paraId="230FA271" w14:textId="77777777" w:rsidTr="00566DBA">
        <w:trPr>
          <w:trHeight w:val="567"/>
          <w:tblHeader/>
        </w:trPr>
        <w:tc>
          <w:tcPr>
            <w:tcW w:w="4261" w:type="dxa"/>
            <w:shd w:val="clear" w:color="auto" w:fill="FFFFFF" w:themeFill="background1"/>
          </w:tcPr>
          <w:p w14:paraId="6B7C5C56" w14:textId="0CC93BB1" w:rsidR="00BF5752" w:rsidRPr="00BF5752" w:rsidRDefault="00BF5752" w:rsidP="00CA6916">
            <w:pPr>
              <w:spacing w:before="240"/>
              <w:rPr>
                <w:b/>
              </w:rPr>
            </w:pPr>
            <w:r w:rsidRPr="00BF5752">
              <w:rPr>
                <w:b/>
              </w:rPr>
              <w:t>Registration type</w:t>
            </w:r>
          </w:p>
        </w:tc>
        <w:tc>
          <w:tcPr>
            <w:tcW w:w="4261" w:type="dxa"/>
            <w:shd w:val="clear" w:color="auto" w:fill="FFFFFF" w:themeFill="background1"/>
          </w:tcPr>
          <w:p w14:paraId="1CEF4AA7" w14:textId="0350D6F8" w:rsidR="00BF5752" w:rsidRPr="00BF5752" w:rsidRDefault="00BF5752" w:rsidP="00CA6916">
            <w:pPr>
              <w:spacing w:before="240"/>
              <w:rPr>
                <w:b/>
              </w:rPr>
            </w:pPr>
            <w:r w:rsidRPr="00BF5752">
              <w:rPr>
                <w:b/>
              </w:rPr>
              <w:t>Fee</w:t>
            </w:r>
          </w:p>
        </w:tc>
      </w:tr>
      <w:tr w:rsidR="00BF5752" w14:paraId="3B01815B" w14:textId="77777777" w:rsidTr="00566DBA">
        <w:trPr>
          <w:trHeight w:val="567"/>
        </w:trPr>
        <w:tc>
          <w:tcPr>
            <w:tcW w:w="4261" w:type="dxa"/>
          </w:tcPr>
          <w:p w14:paraId="29D77E40" w14:textId="3E315481" w:rsidR="00BF5752" w:rsidRDefault="00BF5752" w:rsidP="00CA6916">
            <w:pPr>
              <w:spacing w:before="240"/>
            </w:pPr>
            <w:r>
              <w:t>Tax agent</w:t>
            </w:r>
          </w:p>
        </w:tc>
        <w:tc>
          <w:tcPr>
            <w:tcW w:w="4261" w:type="dxa"/>
          </w:tcPr>
          <w:p w14:paraId="4B1335BD" w14:textId="0583AB5D" w:rsidR="00BF5752" w:rsidRDefault="00BF5752" w:rsidP="00CA6916">
            <w:pPr>
              <w:spacing w:before="240"/>
            </w:pPr>
            <w:r>
              <w:t>$675</w:t>
            </w:r>
          </w:p>
        </w:tc>
      </w:tr>
      <w:tr w:rsidR="00BF5752" w14:paraId="453F64D5" w14:textId="77777777" w:rsidTr="00566DBA">
        <w:trPr>
          <w:trHeight w:val="567"/>
        </w:trPr>
        <w:tc>
          <w:tcPr>
            <w:tcW w:w="4261" w:type="dxa"/>
          </w:tcPr>
          <w:p w14:paraId="43CC56E7" w14:textId="02C13679" w:rsidR="00BF5752" w:rsidRDefault="00BF5752" w:rsidP="00E306A7">
            <w:pPr>
              <w:spacing w:before="240"/>
            </w:pPr>
            <w:r>
              <w:t xml:space="preserve">BAS </w:t>
            </w:r>
            <w:r w:rsidR="00E306A7">
              <w:t>agent</w:t>
            </w:r>
          </w:p>
        </w:tc>
        <w:tc>
          <w:tcPr>
            <w:tcW w:w="4261" w:type="dxa"/>
          </w:tcPr>
          <w:p w14:paraId="112EA367" w14:textId="068236EC" w:rsidR="00BF5752" w:rsidRDefault="00BF5752" w:rsidP="00CA6916">
            <w:pPr>
              <w:spacing w:before="240"/>
            </w:pPr>
            <w:r>
              <w:t>$135</w:t>
            </w:r>
          </w:p>
        </w:tc>
      </w:tr>
      <w:tr w:rsidR="00BF5752" w14:paraId="07FE825A" w14:textId="77777777" w:rsidTr="00566DBA">
        <w:trPr>
          <w:trHeight w:val="567"/>
        </w:trPr>
        <w:tc>
          <w:tcPr>
            <w:tcW w:w="4261" w:type="dxa"/>
          </w:tcPr>
          <w:p w14:paraId="63E9A2AD" w14:textId="4C81A53F" w:rsidR="00BF5752" w:rsidRDefault="00BF5752" w:rsidP="00CA6916">
            <w:pPr>
              <w:spacing w:before="240"/>
            </w:pPr>
            <w:r>
              <w:t>Tax (financial) adviser</w:t>
            </w:r>
          </w:p>
        </w:tc>
        <w:tc>
          <w:tcPr>
            <w:tcW w:w="4261" w:type="dxa"/>
          </w:tcPr>
          <w:p w14:paraId="1512A988" w14:textId="24AD2D7E" w:rsidR="00BF5752" w:rsidRDefault="00BF5752" w:rsidP="00CA6916">
            <w:pPr>
              <w:spacing w:before="240"/>
            </w:pPr>
            <w:r>
              <w:t>$540</w:t>
            </w:r>
          </w:p>
        </w:tc>
      </w:tr>
    </w:tbl>
    <w:p w14:paraId="1726DA17" w14:textId="7854A088" w:rsidR="00CA6916" w:rsidRDefault="00202ADE" w:rsidP="00185CA6">
      <w:r>
        <w:lastRenderedPageBreak/>
        <w:t xml:space="preserve">Schedule </w:t>
      </w:r>
      <w:r w:rsidR="00365819">
        <w:t>2</w:t>
      </w:r>
      <w:r w:rsidR="00CA6916">
        <w:t xml:space="preserve"> </w:t>
      </w:r>
      <w:r w:rsidR="00EA1E26">
        <w:t xml:space="preserve">to the Regulations </w:t>
      </w:r>
      <w:r w:rsidR="00CA6916">
        <w:t>also amend</w:t>
      </w:r>
      <w:r>
        <w:t>s</w:t>
      </w:r>
      <w:r w:rsidR="00CA6916">
        <w:t xml:space="preserve"> the </w:t>
      </w:r>
      <w:r w:rsidR="007D2714">
        <w:t>TASR 2009</w:t>
      </w:r>
      <w:r w:rsidR="00CA6916">
        <w:t xml:space="preserve"> so that the application fees will increase on </w:t>
      </w:r>
      <w:r w:rsidR="00B45171">
        <w:t>1 </w:t>
      </w:r>
      <w:r w:rsidR="007B5441">
        <w:t xml:space="preserve">July 2019 </w:t>
      </w:r>
      <w:r w:rsidR="003A70FC">
        <w:t xml:space="preserve">and </w:t>
      </w:r>
      <w:r w:rsidR="00CA6916">
        <w:t xml:space="preserve">each subsequent 1 July </w:t>
      </w:r>
      <w:r w:rsidR="00703AB3">
        <w:t>for application</w:t>
      </w:r>
      <w:r w:rsidR="001D0E7C">
        <w:t>s</w:t>
      </w:r>
      <w:r w:rsidR="00703AB3">
        <w:t xml:space="preserve"> made after that time </w:t>
      </w:r>
      <w:r w:rsidR="00CA6916">
        <w:t xml:space="preserve">in line with the </w:t>
      </w:r>
      <w:r w:rsidR="00F20151">
        <w:t xml:space="preserve">annual </w:t>
      </w:r>
      <w:r w:rsidR="00BA0F36">
        <w:t>increase</w:t>
      </w:r>
      <w:r w:rsidR="00CA6916">
        <w:t xml:space="preserve"> in the Consumer Price Index</w:t>
      </w:r>
      <w:r w:rsidR="00703AB3">
        <w:t xml:space="preserve"> (CPI)</w:t>
      </w:r>
      <w:r w:rsidR="00CA6916">
        <w:t>. This ensures that the fees continue to reflect the costs faced by the TPB.</w:t>
      </w:r>
    </w:p>
    <w:p w14:paraId="48C914F6" w14:textId="32DC041C" w:rsidR="00BF5752" w:rsidRDefault="00BF5752" w:rsidP="00185CA6">
      <w:pPr>
        <w:spacing w:before="0"/>
      </w:pPr>
      <w:r>
        <w:t xml:space="preserve">The </w:t>
      </w:r>
      <w:r w:rsidR="00703AB3">
        <w:t xml:space="preserve">annual </w:t>
      </w:r>
      <w:r>
        <w:t xml:space="preserve">increase in CPI is determined by dividing the sum of the All Groups Consumer Price Index numbers first published by the Australian Statistician for each quarter in the year ending on the most recent 31 March by the sum of the All Groups Consumer Price Index numbers first published by the Australian Statistician for each quarter in the year ending on the preceding 31 March. </w:t>
      </w:r>
      <w:r w:rsidR="00EA7641">
        <w:t xml:space="preserve">This number is then rounded to </w:t>
      </w:r>
      <w:r w:rsidR="00BA0F36">
        <w:t xml:space="preserve">three </w:t>
      </w:r>
      <w:r w:rsidR="00EA7641">
        <w:t xml:space="preserve">decimal places. </w:t>
      </w:r>
      <w:r w:rsidR="007047C6">
        <w:t>If indexation does not result in an</w:t>
      </w:r>
      <w:r w:rsidR="00EA7641">
        <w:t xml:space="preserve"> increase, the fees remain the same. </w:t>
      </w:r>
      <w:r>
        <w:t xml:space="preserve">This is consistent with the formula </w:t>
      </w:r>
      <w:r w:rsidR="00BC17AA">
        <w:t xml:space="preserve">generally </w:t>
      </w:r>
      <w:r>
        <w:t xml:space="preserve">used to </w:t>
      </w:r>
      <w:r w:rsidR="007B5441">
        <w:t>determine</w:t>
      </w:r>
      <w:r>
        <w:t xml:space="preserve"> the increase in CPI for the purposes of the income tax law.</w:t>
      </w:r>
      <w:r w:rsidR="00EA7641">
        <w:t xml:space="preserve"> </w:t>
      </w:r>
    </w:p>
    <w:p w14:paraId="078862AD" w14:textId="0F526775" w:rsidR="00EA7641" w:rsidRDefault="00EA7641" w:rsidP="00185CA6">
      <w:pPr>
        <w:spacing w:before="0"/>
      </w:pPr>
      <w:r>
        <w:t>The amount of the indexed fee is rounded to the nearest dollar.</w:t>
      </w:r>
    </w:p>
    <w:p w14:paraId="553C3BE1" w14:textId="1638BD28" w:rsidR="009F09D9" w:rsidRDefault="00423A4D" w:rsidP="00185CA6">
      <w:pPr>
        <w:pStyle w:val="base-text-paragraph"/>
        <w:spacing w:before="0"/>
        <w:ind w:left="0"/>
      </w:pPr>
      <w:r>
        <w:t xml:space="preserve">These </w:t>
      </w:r>
      <w:r w:rsidR="00202ADE">
        <w:t xml:space="preserve">amendments </w:t>
      </w:r>
      <w:r>
        <w:t xml:space="preserve">address the immediate funding concerns faced by the TPB. </w:t>
      </w:r>
      <w:r w:rsidR="00F44574">
        <w:t xml:space="preserve">In the 2018-19 </w:t>
      </w:r>
      <w:r w:rsidR="007B5441">
        <w:t>B</w:t>
      </w:r>
      <w:r w:rsidR="00F44574">
        <w:t>udget, the Government also undertook to carry out a review of the operation</w:t>
      </w:r>
      <w:r>
        <w:t>s</w:t>
      </w:r>
      <w:r w:rsidR="00F44574">
        <w:t xml:space="preserve"> of the TPB. </w:t>
      </w:r>
      <w:r>
        <w:t xml:space="preserve">Among other things, this review </w:t>
      </w:r>
      <w:r w:rsidR="00A92573">
        <w:t xml:space="preserve">may </w:t>
      </w:r>
      <w:r>
        <w:t>consider funding arrangements for the TPB in the longer term.</w:t>
      </w:r>
    </w:p>
    <w:p w14:paraId="281A879F" w14:textId="0C173BC4" w:rsidR="00847A78" w:rsidRDefault="00185CA6" w:rsidP="00185CA6">
      <w:pPr>
        <w:pStyle w:val="base-text-paragraph"/>
        <w:spacing w:before="0"/>
        <w:ind w:left="0"/>
      </w:pPr>
      <w:r>
        <w:t xml:space="preserve">The amendments made by </w:t>
      </w:r>
      <w:r w:rsidR="00202ADE">
        <w:t xml:space="preserve">Schedule </w:t>
      </w:r>
      <w:r w:rsidR="00365819">
        <w:t>2</w:t>
      </w:r>
      <w:r w:rsidR="00202ADE">
        <w:t xml:space="preserve"> to </w:t>
      </w:r>
      <w:r>
        <w:t xml:space="preserve">the Regulations apply in relation </w:t>
      </w:r>
      <w:r w:rsidR="00BA0F36">
        <w:t>to</w:t>
      </w:r>
      <w:r>
        <w:t xml:space="preserve"> application</w:t>
      </w:r>
      <w:r w:rsidR="00BA0F36">
        <w:t>s</w:t>
      </w:r>
      <w:r>
        <w:t xml:space="preserve"> </w:t>
      </w:r>
      <w:r w:rsidR="00A92573">
        <w:t xml:space="preserve">(including applications to renew existing registrations) </w:t>
      </w:r>
      <w:r>
        <w:t xml:space="preserve">made on or after </w:t>
      </w:r>
      <w:r w:rsidR="00202ADE">
        <w:t>1 </w:t>
      </w:r>
      <w:r>
        <w:t>July 2018</w:t>
      </w:r>
      <w:r w:rsidR="007B5441">
        <w:t xml:space="preserve"> and annual indexation applies </w:t>
      </w:r>
      <w:r w:rsidR="003A70FC">
        <w:t>on</w:t>
      </w:r>
      <w:r w:rsidR="007B5441">
        <w:t xml:space="preserve"> 1 July 2019 and each later 1 July</w:t>
      </w:r>
      <w:r>
        <w:t xml:space="preserve">. </w:t>
      </w:r>
      <w:r w:rsidR="003B3F84">
        <w:t>Applications made prior to this time would remain subject to the fees that applied at the time the application was made.</w:t>
      </w:r>
    </w:p>
    <w:p w14:paraId="060BC77E" w14:textId="43256B5A" w:rsidR="0097779F" w:rsidRPr="00CA6916" w:rsidRDefault="0097779F" w:rsidP="0097779F">
      <w:pPr>
        <w:pStyle w:val="base-text-paragraph"/>
        <w:ind w:left="0"/>
        <w:rPr>
          <w:b/>
        </w:rPr>
      </w:pPr>
      <w:r w:rsidRPr="00CA6916">
        <w:rPr>
          <w:b/>
        </w:rPr>
        <w:t xml:space="preserve">Schedule </w:t>
      </w:r>
      <w:r>
        <w:rPr>
          <w:b/>
        </w:rPr>
        <w:t>3</w:t>
      </w:r>
      <w:r w:rsidRPr="00CA6916">
        <w:rPr>
          <w:b/>
        </w:rPr>
        <w:t xml:space="preserve"> –</w:t>
      </w:r>
      <w:r>
        <w:rPr>
          <w:b/>
        </w:rPr>
        <w:t xml:space="preserve"> Approved Stock Exchange</w:t>
      </w:r>
    </w:p>
    <w:p w14:paraId="26AB7428" w14:textId="7C1300DD" w:rsidR="0097779F" w:rsidRDefault="0097779F" w:rsidP="0097779F">
      <w:pPr>
        <w:pStyle w:val="base-text-paragraph"/>
        <w:ind w:left="0"/>
      </w:pPr>
      <w:r>
        <w:t>Schedule 3 to the Regulations rep</w:t>
      </w:r>
      <w:r w:rsidR="006F01D3">
        <w:t>eals and replaces Schedule 5 to</w:t>
      </w:r>
      <w:r>
        <w:t xml:space="preserve"> the </w:t>
      </w:r>
      <w:r>
        <w:rPr>
          <w:i/>
        </w:rPr>
        <w:t>Income T</w:t>
      </w:r>
      <w:r w:rsidRPr="00767BA4">
        <w:rPr>
          <w:i/>
        </w:rPr>
        <w:t>axation A</w:t>
      </w:r>
      <w:r>
        <w:rPr>
          <w:i/>
        </w:rPr>
        <w:t>ssessment Regulations 199</w:t>
      </w:r>
      <w:r w:rsidRPr="00767BA4">
        <w:rPr>
          <w:i/>
        </w:rPr>
        <w:t xml:space="preserve">7 </w:t>
      </w:r>
      <w:r>
        <w:t xml:space="preserve">(the ITAR 1997). Schedule 5 to the ITAR 1997 lists approved stock exchanges for the purposes of the definition in the ITAA 1997. </w:t>
      </w:r>
      <w:r w:rsidRPr="0097779F">
        <w:t xml:space="preserve">The list has been updated to remove references to stock exchanges that no longer exist. </w:t>
      </w:r>
      <w:r>
        <w:t>The s</w:t>
      </w:r>
      <w:r w:rsidRPr="0097779F">
        <w:t xml:space="preserve">tock exchanges </w:t>
      </w:r>
      <w:r>
        <w:t xml:space="preserve">added to the list are </w:t>
      </w:r>
      <w:r w:rsidR="00850C86">
        <w:t xml:space="preserve">those </w:t>
      </w:r>
      <w:r w:rsidRPr="0097779F">
        <w:t xml:space="preserve">produced from mergers or the renaming of stock exchanges that were previously listed.  </w:t>
      </w:r>
    </w:p>
    <w:p w14:paraId="787D9D63" w14:textId="3730533E" w:rsidR="0097779F" w:rsidRDefault="00C20A3E" w:rsidP="00185CA6">
      <w:pPr>
        <w:pStyle w:val="base-text-paragraph"/>
        <w:spacing w:before="0"/>
        <w:ind w:left="0"/>
      </w:pPr>
      <w:r>
        <w:t xml:space="preserve">The following table outlines the changes to the </w:t>
      </w:r>
      <w:r w:rsidRPr="00C20A3E">
        <w:t xml:space="preserve">list </w:t>
      </w:r>
      <w:r>
        <w:t>of approved stock exchanges.</w:t>
      </w:r>
      <w:r w:rsidRPr="00C20A3E">
        <w:t xml:space="preserve">  </w:t>
      </w:r>
    </w:p>
    <w:p w14:paraId="623FC464" w14:textId="77777777" w:rsidR="00C20A3E" w:rsidRDefault="00C20A3E" w:rsidP="00185CA6">
      <w:pPr>
        <w:pStyle w:val="base-text-paragraph"/>
        <w:spacing w:before="0"/>
        <w:ind w:left="0"/>
      </w:pPr>
    </w:p>
    <w:tbl>
      <w:tblPr>
        <w:tblStyle w:val="TableGrid"/>
        <w:tblW w:w="8429" w:type="dxa"/>
        <w:tblLook w:val="0420" w:firstRow="1" w:lastRow="0" w:firstColumn="0" w:lastColumn="0" w:noHBand="0" w:noVBand="1"/>
      </w:tblPr>
      <w:tblGrid>
        <w:gridCol w:w="2802"/>
        <w:gridCol w:w="2693"/>
        <w:gridCol w:w="2928"/>
        <w:gridCol w:w="6"/>
      </w:tblGrid>
      <w:tr w:rsidR="00B673B5" w14:paraId="6B37DBE7" w14:textId="77777777" w:rsidTr="00B673B5">
        <w:trPr>
          <w:tblHeader/>
        </w:trPr>
        <w:tc>
          <w:tcPr>
            <w:tcW w:w="2802" w:type="dxa"/>
          </w:tcPr>
          <w:p w14:paraId="4B00F7AB" w14:textId="77777777" w:rsidR="00B673B5" w:rsidRPr="003E1CF8" w:rsidRDefault="00B673B5" w:rsidP="00B673B5">
            <w:pPr>
              <w:jc w:val="center"/>
            </w:pPr>
            <w:r w:rsidRPr="00E27182">
              <w:rPr>
                <w:b/>
              </w:rPr>
              <w:t xml:space="preserve">Deletions from the list of approved stock exchanges </w:t>
            </w:r>
          </w:p>
        </w:tc>
        <w:tc>
          <w:tcPr>
            <w:tcW w:w="2693" w:type="dxa"/>
          </w:tcPr>
          <w:p w14:paraId="7F2A42BE" w14:textId="77777777" w:rsidR="00B673B5" w:rsidRPr="00E27182" w:rsidRDefault="00B673B5" w:rsidP="00B673B5">
            <w:pPr>
              <w:jc w:val="center"/>
              <w:rPr>
                <w:b/>
              </w:rPr>
            </w:pPr>
            <w:r w:rsidRPr="00E27182">
              <w:rPr>
                <w:b/>
              </w:rPr>
              <w:t>Additions to the list of approved stock exchanges</w:t>
            </w:r>
          </w:p>
        </w:tc>
        <w:tc>
          <w:tcPr>
            <w:tcW w:w="2934" w:type="dxa"/>
            <w:gridSpan w:val="2"/>
          </w:tcPr>
          <w:p w14:paraId="134F7B3F" w14:textId="77777777" w:rsidR="00B673B5" w:rsidRPr="00E27182" w:rsidRDefault="00B673B5" w:rsidP="00B673B5">
            <w:pPr>
              <w:jc w:val="center"/>
              <w:rPr>
                <w:b/>
              </w:rPr>
            </w:pPr>
            <w:r>
              <w:rPr>
                <w:b/>
              </w:rPr>
              <w:t>Approved Stock Exchanges</w:t>
            </w:r>
          </w:p>
        </w:tc>
      </w:tr>
      <w:tr w:rsidR="00B673B5" w14:paraId="433FE5AE" w14:textId="77777777" w:rsidTr="00B673B5">
        <w:tc>
          <w:tcPr>
            <w:tcW w:w="2802" w:type="dxa"/>
          </w:tcPr>
          <w:p w14:paraId="58FC19B6" w14:textId="77777777" w:rsidR="00B673B5" w:rsidRPr="00A175F7" w:rsidRDefault="00B673B5" w:rsidP="00B673B5">
            <w:pPr>
              <w:rPr>
                <w:rFonts w:asciiTheme="minorHAnsi" w:hAnsiTheme="minorHAnsi" w:cs="Arial"/>
                <w:b/>
              </w:rPr>
            </w:pPr>
            <w:r w:rsidRPr="00A175F7">
              <w:rPr>
                <w:rFonts w:asciiTheme="minorHAnsi" w:hAnsiTheme="minorHAnsi" w:cs="Arial"/>
                <w:b/>
              </w:rPr>
              <w:t>Argentina</w:t>
            </w:r>
          </w:p>
          <w:p w14:paraId="5A73516D" w14:textId="77777777" w:rsidR="00B673B5" w:rsidRDefault="00B673B5" w:rsidP="00B673B5">
            <w:pPr>
              <w:spacing w:after="0"/>
            </w:pPr>
            <w:r>
              <w:t>Cordoba stock exchange</w:t>
            </w:r>
          </w:p>
          <w:p w14:paraId="1507BB89" w14:textId="77777777" w:rsidR="00B673B5" w:rsidRDefault="00B673B5" w:rsidP="00B673B5">
            <w:pPr>
              <w:spacing w:after="0"/>
            </w:pPr>
            <w:r>
              <w:t>La Plata stock exchange</w:t>
            </w:r>
          </w:p>
          <w:p w14:paraId="64B230B0" w14:textId="77777777" w:rsidR="00B673B5" w:rsidRDefault="00B673B5" w:rsidP="00B673B5">
            <w:pPr>
              <w:spacing w:after="0"/>
            </w:pPr>
            <w:r>
              <w:t>Mendoza stock exchange</w:t>
            </w:r>
          </w:p>
          <w:p w14:paraId="2302B970" w14:textId="77777777" w:rsidR="00B673B5" w:rsidRDefault="00B673B5" w:rsidP="00B673B5">
            <w:pPr>
              <w:spacing w:after="0"/>
            </w:pPr>
            <w:r>
              <w:t>Rosario stock exchange</w:t>
            </w:r>
          </w:p>
        </w:tc>
        <w:tc>
          <w:tcPr>
            <w:tcW w:w="2693" w:type="dxa"/>
          </w:tcPr>
          <w:p w14:paraId="3A90CDF0" w14:textId="77777777" w:rsidR="00B673B5" w:rsidRDefault="00B673B5" w:rsidP="00B673B5">
            <w:pPr>
              <w:spacing w:after="0"/>
            </w:pPr>
          </w:p>
        </w:tc>
        <w:tc>
          <w:tcPr>
            <w:tcW w:w="2934" w:type="dxa"/>
            <w:gridSpan w:val="2"/>
          </w:tcPr>
          <w:p w14:paraId="60393844" w14:textId="77777777" w:rsidR="00B673B5" w:rsidRPr="00A175F7" w:rsidRDefault="00B673B5" w:rsidP="00B673B5">
            <w:pPr>
              <w:rPr>
                <w:rFonts w:asciiTheme="minorHAnsi" w:hAnsiTheme="minorHAnsi" w:cs="Arial"/>
                <w:b/>
              </w:rPr>
            </w:pPr>
            <w:r w:rsidRPr="00A175F7">
              <w:rPr>
                <w:rFonts w:asciiTheme="minorHAnsi" w:hAnsiTheme="minorHAnsi" w:cs="Arial"/>
                <w:b/>
              </w:rPr>
              <w:t>Argentina</w:t>
            </w:r>
          </w:p>
          <w:p w14:paraId="0E307EDE" w14:textId="77777777" w:rsidR="00B673B5" w:rsidRDefault="00B673B5" w:rsidP="00B673B5">
            <w:pPr>
              <w:spacing w:after="0"/>
            </w:pPr>
            <w:r>
              <w:t>Buenos Aires Stock Exchange</w:t>
            </w:r>
          </w:p>
          <w:p w14:paraId="757FCF48" w14:textId="77777777" w:rsidR="00B673B5" w:rsidRDefault="00B673B5" w:rsidP="00B673B5">
            <w:pPr>
              <w:spacing w:after="0"/>
            </w:pPr>
          </w:p>
        </w:tc>
      </w:tr>
      <w:tr w:rsidR="00B673B5" w14:paraId="63B44E9F" w14:textId="77777777" w:rsidTr="00B673B5">
        <w:tc>
          <w:tcPr>
            <w:tcW w:w="2802" w:type="dxa"/>
          </w:tcPr>
          <w:p w14:paraId="055B2D0A" w14:textId="77777777" w:rsidR="00B673B5" w:rsidRPr="00A175F7" w:rsidRDefault="00B673B5" w:rsidP="00B673B5">
            <w:pPr>
              <w:rPr>
                <w:rFonts w:asciiTheme="minorHAnsi" w:hAnsiTheme="minorHAnsi" w:cs="Arial"/>
                <w:b/>
              </w:rPr>
            </w:pPr>
            <w:r w:rsidRPr="00A175F7">
              <w:rPr>
                <w:rFonts w:asciiTheme="minorHAnsi" w:hAnsiTheme="minorHAnsi" w:cs="Arial"/>
                <w:b/>
              </w:rPr>
              <w:t>Australia</w:t>
            </w:r>
          </w:p>
          <w:p w14:paraId="15DB9088" w14:textId="77777777" w:rsidR="00B673B5" w:rsidRPr="00A175F7" w:rsidRDefault="00B673B5" w:rsidP="00B673B5">
            <w:pPr>
              <w:spacing w:after="0"/>
            </w:pPr>
            <w:r w:rsidRPr="00EC7837">
              <w:t>Asia Pacific Exchange Limited</w:t>
            </w:r>
          </w:p>
          <w:p w14:paraId="23447837" w14:textId="77777777" w:rsidR="00B673B5" w:rsidRPr="00A175F7" w:rsidRDefault="00B673B5" w:rsidP="00B673B5">
            <w:pPr>
              <w:spacing w:after="0"/>
            </w:pPr>
            <w:r w:rsidRPr="00EC7837">
              <w:lastRenderedPageBreak/>
              <w:t>ASX Limited</w:t>
            </w:r>
          </w:p>
          <w:p w14:paraId="14C4A269" w14:textId="77777777" w:rsidR="00B673B5" w:rsidRPr="00A175F7" w:rsidRDefault="00B673B5" w:rsidP="00B673B5">
            <w:pPr>
              <w:spacing w:after="0"/>
            </w:pPr>
            <w:r w:rsidRPr="00EC7837">
              <w:t>Chi</w:t>
            </w:r>
            <w:r w:rsidRPr="00EC7837">
              <w:noBreakHyphen/>
              <w:t>X Australia Pty Ltd</w:t>
            </w:r>
          </w:p>
          <w:p w14:paraId="5697541C" w14:textId="77777777" w:rsidR="00B673B5" w:rsidRDefault="00B673B5" w:rsidP="00B673B5">
            <w:pPr>
              <w:spacing w:after="0"/>
            </w:pPr>
            <w:r w:rsidRPr="00EC7837">
              <w:t>SIM Venture Securities Exchange Ltd</w:t>
            </w:r>
          </w:p>
        </w:tc>
        <w:tc>
          <w:tcPr>
            <w:tcW w:w="2693" w:type="dxa"/>
          </w:tcPr>
          <w:p w14:paraId="06829855"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Australia</w:t>
            </w:r>
          </w:p>
          <w:p w14:paraId="5B1AA668" w14:textId="77777777" w:rsidR="00B673B5" w:rsidRPr="00EC7837" w:rsidRDefault="00B673B5" w:rsidP="00B673B5">
            <w:pPr>
              <w:spacing w:after="0"/>
            </w:pPr>
            <w:r w:rsidRPr="00EC7837">
              <w:t>ASX</w:t>
            </w:r>
            <w:r>
              <w:t>,</w:t>
            </w:r>
            <w:r w:rsidRPr="00EC7837">
              <w:t xml:space="preserve"> also known as Australian Securities </w:t>
            </w:r>
            <w:r w:rsidRPr="00EC7837">
              <w:lastRenderedPageBreak/>
              <w:t>Exchange</w:t>
            </w:r>
          </w:p>
          <w:p w14:paraId="286EC018" w14:textId="77777777" w:rsidR="00B673B5" w:rsidRPr="00EC7837" w:rsidRDefault="00B673B5" w:rsidP="00B673B5">
            <w:pPr>
              <w:spacing w:after="0"/>
            </w:pPr>
            <w:r w:rsidRPr="00EC7837">
              <w:t>Chi-X</w:t>
            </w:r>
          </w:p>
          <w:p w14:paraId="3BCC2A2B" w14:textId="77777777" w:rsidR="00B673B5" w:rsidRPr="0082486E" w:rsidRDefault="00B673B5" w:rsidP="00B673B5">
            <w:pPr>
              <w:spacing w:after="0"/>
            </w:pPr>
            <w:r w:rsidRPr="0082486E">
              <w:t>IR Plus Securities Exchange</w:t>
            </w:r>
          </w:p>
          <w:p w14:paraId="227A781C" w14:textId="77777777" w:rsidR="00B673B5" w:rsidRDefault="00B673B5" w:rsidP="00B673B5">
            <w:pPr>
              <w:spacing w:after="0"/>
            </w:pPr>
            <w:r w:rsidRPr="00D34CEA">
              <w:t>SSX</w:t>
            </w:r>
            <w:r>
              <w:t>,</w:t>
            </w:r>
            <w:r w:rsidRPr="00D34CEA">
              <w:t xml:space="preserve"> also known as Sydney Stock Exchange</w:t>
            </w:r>
          </w:p>
        </w:tc>
        <w:tc>
          <w:tcPr>
            <w:tcW w:w="2934" w:type="dxa"/>
            <w:gridSpan w:val="2"/>
          </w:tcPr>
          <w:p w14:paraId="4F5E7E65"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Australia</w:t>
            </w:r>
          </w:p>
          <w:p w14:paraId="7723D9AE" w14:textId="77777777" w:rsidR="00B673B5" w:rsidRDefault="00B673B5" w:rsidP="00B673B5">
            <w:pPr>
              <w:spacing w:after="0"/>
            </w:pPr>
            <w:r>
              <w:t xml:space="preserve">ASX, also known as Australian Securities </w:t>
            </w:r>
            <w:r>
              <w:lastRenderedPageBreak/>
              <w:t>Exchange</w:t>
            </w:r>
          </w:p>
          <w:p w14:paraId="3562E51E" w14:textId="77777777" w:rsidR="00B673B5" w:rsidRDefault="00B673B5" w:rsidP="00B673B5">
            <w:pPr>
              <w:spacing w:after="0"/>
            </w:pPr>
            <w:r>
              <w:t>Chi-X</w:t>
            </w:r>
          </w:p>
          <w:p w14:paraId="2DFC81F2" w14:textId="77777777" w:rsidR="00B673B5" w:rsidRDefault="00B673B5" w:rsidP="00B673B5">
            <w:pPr>
              <w:spacing w:after="0"/>
            </w:pPr>
            <w:r>
              <w:t>IR Plus Securities Exchange</w:t>
            </w:r>
          </w:p>
          <w:p w14:paraId="4B11F6C8" w14:textId="77777777" w:rsidR="00B673B5" w:rsidRDefault="00B673B5" w:rsidP="00B673B5">
            <w:pPr>
              <w:spacing w:after="0"/>
            </w:pPr>
            <w:r>
              <w:t>National Stock Exchange of Australia</w:t>
            </w:r>
          </w:p>
          <w:p w14:paraId="0B3536A5" w14:textId="77777777" w:rsidR="00B673B5" w:rsidRDefault="00B673B5" w:rsidP="00B673B5">
            <w:pPr>
              <w:spacing w:after="0"/>
            </w:pPr>
            <w:r>
              <w:t>SSX, also known as Sydney Stock Exchange</w:t>
            </w:r>
          </w:p>
          <w:p w14:paraId="137DFF35" w14:textId="77777777" w:rsidR="00B673B5" w:rsidRPr="00A175F7" w:rsidRDefault="00B673B5" w:rsidP="00B673B5">
            <w:pPr>
              <w:spacing w:after="0"/>
            </w:pPr>
          </w:p>
        </w:tc>
      </w:tr>
      <w:tr w:rsidR="00B673B5" w14:paraId="665207B7" w14:textId="77777777" w:rsidTr="00B673B5">
        <w:tc>
          <w:tcPr>
            <w:tcW w:w="2802" w:type="dxa"/>
          </w:tcPr>
          <w:p w14:paraId="173916B6" w14:textId="77777777" w:rsidR="00B673B5" w:rsidRPr="00A175F7" w:rsidRDefault="00B673B5" w:rsidP="00B673B5">
            <w:pPr>
              <w:spacing w:after="0"/>
            </w:pPr>
          </w:p>
        </w:tc>
        <w:tc>
          <w:tcPr>
            <w:tcW w:w="2693" w:type="dxa"/>
          </w:tcPr>
          <w:p w14:paraId="0428FBA5" w14:textId="77777777" w:rsidR="00B673B5" w:rsidRPr="00A175F7" w:rsidRDefault="00B673B5" w:rsidP="00B673B5">
            <w:pPr>
              <w:keepNext/>
              <w:spacing w:after="0" w:line="260" w:lineRule="atLeast"/>
            </w:pPr>
          </w:p>
        </w:tc>
        <w:tc>
          <w:tcPr>
            <w:tcW w:w="2934" w:type="dxa"/>
            <w:gridSpan w:val="2"/>
          </w:tcPr>
          <w:p w14:paraId="334A8CE8" w14:textId="77777777" w:rsidR="00B673B5" w:rsidRPr="00A175F7" w:rsidRDefault="00B673B5" w:rsidP="00B673B5">
            <w:pPr>
              <w:rPr>
                <w:rFonts w:asciiTheme="minorHAnsi" w:hAnsiTheme="minorHAnsi" w:cs="Arial"/>
                <w:b/>
              </w:rPr>
            </w:pPr>
            <w:r w:rsidRPr="00A175F7">
              <w:rPr>
                <w:rFonts w:asciiTheme="minorHAnsi" w:hAnsiTheme="minorHAnsi" w:cs="Arial"/>
                <w:b/>
              </w:rPr>
              <w:t>Austria</w:t>
            </w:r>
          </w:p>
          <w:p w14:paraId="4E0C8150" w14:textId="77777777" w:rsidR="00B673B5" w:rsidRDefault="00B673B5" w:rsidP="00B673B5">
            <w:pPr>
              <w:spacing w:after="0"/>
            </w:pPr>
            <w:r>
              <w:t>Vienna Stock Exchange</w:t>
            </w:r>
          </w:p>
          <w:p w14:paraId="50C9BC84" w14:textId="77777777" w:rsidR="00B673B5" w:rsidRPr="00A175F7" w:rsidRDefault="00B673B5" w:rsidP="00B673B5">
            <w:pPr>
              <w:keepNext/>
              <w:spacing w:after="0" w:line="260" w:lineRule="atLeast"/>
            </w:pPr>
          </w:p>
        </w:tc>
      </w:tr>
      <w:tr w:rsidR="00B673B5" w14:paraId="1414E044" w14:textId="77777777" w:rsidTr="00B673B5">
        <w:tc>
          <w:tcPr>
            <w:tcW w:w="2802" w:type="dxa"/>
          </w:tcPr>
          <w:p w14:paraId="73FEE9AB" w14:textId="77777777" w:rsidR="00B673B5" w:rsidRPr="00A175F7" w:rsidRDefault="00B673B5" w:rsidP="00B673B5">
            <w:pPr>
              <w:rPr>
                <w:rFonts w:asciiTheme="minorHAnsi" w:hAnsiTheme="minorHAnsi" w:cs="Arial"/>
                <w:b/>
              </w:rPr>
            </w:pPr>
            <w:r w:rsidRPr="00A175F7">
              <w:rPr>
                <w:rFonts w:asciiTheme="minorHAnsi" w:hAnsiTheme="minorHAnsi" w:cs="Arial"/>
                <w:b/>
              </w:rPr>
              <w:t>Belgium</w:t>
            </w:r>
          </w:p>
          <w:p w14:paraId="15573E6F" w14:textId="77777777" w:rsidR="00B673B5" w:rsidRPr="00A175F7" w:rsidRDefault="00B673B5" w:rsidP="00B673B5">
            <w:pPr>
              <w:spacing w:after="0"/>
            </w:pPr>
            <w:r w:rsidRPr="00EC7837">
              <w:t>Antwerp stock exchange</w:t>
            </w:r>
          </w:p>
          <w:p w14:paraId="4F02DECC" w14:textId="77777777" w:rsidR="00B673B5" w:rsidRPr="00A175F7" w:rsidRDefault="00B673B5" w:rsidP="00B673B5">
            <w:pPr>
              <w:spacing w:after="0"/>
            </w:pPr>
            <w:r w:rsidRPr="00EC7837">
              <w:t>Brussels stock exchange</w:t>
            </w:r>
          </w:p>
          <w:p w14:paraId="3C2A13F9" w14:textId="77777777" w:rsidR="00B673B5" w:rsidRDefault="00B673B5" w:rsidP="00B673B5">
            <w:pPr>
              <w:spacing w:after="0"/>
            </w:pPr>
            <w:r w:rsidRPr="00EC7837">
              <w:t>Liege stock exchange</w:t>
            </w:r>
          </w:p>
        </w:tc>
        <w:tc>
          <w:tcPr>
            <w:tcW w:w="2693" w:type="dxa"/>
          </w:tcPr>
          <w:p w14:paraId="354D0575" w14:textId="77777777" w:rsidR="00B673B5" w:rsidRPr="00A175F7" w:rsidRDefault="00B673B5" w:rsidP="00B673B5">
            <w:pPr>
              <w:rPr>
                <w:rFonts w:asciiTheme="minorHAnsi" w:hAnsiTheme="minorHAnsi" w:cs="Arial"/>
                <w:b/>
              </w:rPr>
            </w:pPr>
            <w:r w:rsidRPr="00A175F7">
              <w:rPr>
                <w:rFonts w:asciiTheme="minorHAnsi" w:hAnsiTheme="minorHAnsi" w:cs="Arial"/>
                <w:b/>
              </w:rPr>
              <w:t>Belgium</w:t>
            </w:r>
          </w:p>
          <w:p w14:paraId="66D736B6" w14:textId="77777777" w:rsidR="00B673B5" w:rsidRPr="00A175F7" w:rsidRDefault="00B673B5" w:rsidP="00B673B5">
            <w:pPr>
              <w:spacing w:after="0"/>
            </w:pPr>
            <w:r w:rsidRPr="00A175F7">
              <w:t>Euronext Brussels</w:t>
            </w:r>
          </w:p>
          <w:p w14:paraId="695AE2D2" w14:textId="77777777" w:rsidR="00B673B5" w:rsidRDefault="00B673B5" w:rsidP="00B673B5">
            <w:pPr>
              <w:spacing w:after="0"/>
            </w:pPr>
          </w:p>
        </w:tc>
        <w:tc>
          <w:tcPr>
            <w:tcW w:w="2934" w:type="dxa"/>
            <w:gridSpan w:val="2"/>
          </w:tcPr>
          <w:p w14:paraId="5EBC720C" w14:textId="77777777" w:rsidR="00B673B5" w:rsidRPr="00A175F7" w:rsidRDefault="00B673B5" w:rsidP="00B673B5">
            <w:pPr>
              <w:rPr>
                <w:rFonts w:asciiTheme="minorHAnsi" w:hAnsiTheme="minorHAnsi" w:cs="Arial"/>
                <w:b/>
              </w:rPr>
            </w:pPr>
            <w:r w:rsidRPr="00A175F7">
              <w:rPr>
                <w:rFonts w:asciiTheme="minorHAnsi" w:hAnsiTheme="minorHAnsi" w:cs="Arial"/>
                <w:b/>
              </w:rPr>
              <w:t>Belgium</w:t>
            </w:r>
          </w:p>
          <w:p w14:paraId="7E701571" w14:textId="77777777" w:rsidR="00B673B5" w:rsidRDefault="00B673B5" w:rsidP="00B673B5">
            <w:pPr>
              <w:spacing w:after="0"/>
            </w:pPr>
            <w:r>
              <w:t>Euronext Brussels</w:t>
            </w:r>
          </w:p>
          <w:p w14:paraId="2CF37D26" w14:textId="77777777" w:rsidR="00B673B5" w:rsidRPr="00A175F7" w:rsidRDefault="00B673B5" w:rsidP="00B673B5">
            <w:pPr>
              <w:keepNext/>
              <w:spacing w:after="0" w:line="260" w:lineRule="atLeast"/>
            </w:pPr>
          </w:p>
        </w:tc>
      </w:tr>
      <w:tr w:rsidR="00B673B5" w14:paraId="7B9E228C" w14:textId="77777777" w:rsidTr="00B673B5">
        <w:tc>
          <w:tcPr>
            <w:tcW w:w="2802" w:type="dxa"/>
          </w:tcPr>
          <w:p w14:paraId="7FEC52C9" w14:textId="77777777" w:rsidR="00B673B5" w:rsidRPr="00A175F7" w:rsidRDefault="00B673B5" w:rsidP="00B673B5">
            <w:pPr>
              <w:spacing w:after="0"/>
            </w:pPr>
          </w:p>
        </w:tc>
        <w:tc>
          <w:tcPr>
            <w:tcW w:w="2693" w:type="dxa"/>
          </w:tcPr>
          <w:p w14:paraId="2830F12B" w14:textId="77777777" w:rsidR="00B673B5" w:rsidRPr="00A175F7" w:rsidRDefault="00B673B5" w:rsidP="00B673B5">
            <w:pPr>
              <w:spacing w:after="0"/>
            </w:pPr>
          </w:p>
        </w:tc>
        <w:tc>
          <w:tcPr>
            <w:tcW w:w="2934" w:type="dxa"/>
            <w:gridSpan w:val="2"/>
          </w:tcPr>
          <w:p w14:paraId="78A0B3BE" w14:textId="77777777" w:rsidR="00B673B5" w:rsidRDefault="00B673B5" w:rsidP="00B673B5">
            <w:r w:rsidRPr="00A175F7">
              <w:rPr>
                <w:rFonts w:asciiTheme="minorHAnsi" w:hAnsiTheme="minorHAnsi" w:cs="Arial"/>
                <w:b/>
              </w:rPr>
              <w:t>Bermuda</w:t>
            </w:r>
          </w:p>
          <w:p w14:paraId="481C77E9" w14:textId="77777777" w:rsidR="00B673B5" w:rsidRDefault="00B673B5" w:rsidP="00B673B5">
            <w:pPr>
              <w:spacing w:after="0"/>
            </w:pPr>
            <w:r>
              <w:t>Bermuda Stock Exchange</w:t>
            </w:r>
          </w:p>
          <w:p w14:paraId="0730F11A" w14:textId="77777777" w:rsidR="00B673B5" w:rsidRPr="00A175F7" w:rsidRDefault="00B673B5" w:rsidP="00B673B5">
            <w:pPr>
              <w:spacing w:after="0"/>
            </w:pPr>
          </w:p>
        </w:tc>
      </w:tr>
      <w:tr w:rsidR="00B673B5" w14:paraId="13D33A7D" w14:textId="77777777" w:rsidTr="00B673B5">
        <w:tc>
          <w:tcPr>
            <w:tcW w:w="2802" w:type="dxa"/>
          </w:tcPr>
          <w:p w14:paraId="7CA04639" w14:textId="77777777" w:rsidR="00B673B5" w:rsidRPr="00A175F7" w:rsidRDefault="00B673B5" w:rsidP="00B673B5">
            <w:pPr>
              <w:rPr>
                <w:rFonts w:asciiTheme="minorHAnsi" w:hAnsiTheme="minorHAnsi" w:cs="Arial"/>
                <w:b/>
              </w:rPr>
            </w:pPr>
            <w:r w:rsidRPr="00A175F7">
              <w:rPr>
                <w:rFonts w:asciiTheme="minorHAnsi" w:hAnsiTheme="minorHAnsi" w:cs="Arial"/>
                <w:b/>
              </w:rPr>
              <w:t>Brazil</w:t>
            </w:r>
          </w:p>
          <w:p w14:paraId="2BB2F22B" w14:textId="77777777" w:rsidR="00B673B5" w:rsidRPr="00A175F7" w:rsidRDefault="00B673B5" w:rsidP="00B673B5">
            <w:pPr>
              <w:spacing w:after="0"/>
            </w:pPr>
            <w:r w:rsidRPr="00EC7837">
              <w:t>Belo Horizonte stock exchange</w:t>
            </w:r>
          </w:p>
          <w:p w14:paraId="0B012009" w14:textId="77777777" w:rsidR="00B673B5" w:rsidRPr="00A175F7" w:rsidRDefault="00B673B5" w:rsidP="00B673B5">
            <w:pPr>
              <w:spacing w:after="0"/>
            </w:pPr>
            <w:r w:rsidRPr="00EC7837">
              <w:t>Curitiba stock exchange</w:t>
            </w:r>
          </w:p>
          <w:p w14:paraId="4536A687" w14:textId="77777777" w:rsidR="00B673B5" w:rsidRPr="00A175F7" w:rsidRDefault="00B673B5" w:rsidP="00B673B5">
            <w:pPr>
              <w:spacing w:after="0"/>
            </w:pPr>
            <w:r w:rsidRPr="00EC7837">
              <w:t>Fortaleza stock exchange</w:t>
            </w:r>
          </w:p>
          <w:p w14:paraId="5C9F57CB" w14:textId="77777777" w:rsidR="00B673B5" w:rsidRPr="00A175F7" w:rsidRDefault="00B673B5" w:rsidP="00B673B5">
            <w:pPr>
              <w:spacing w:after="0"/>
            </w:pPr>
            <w:r w:rsidRPr="00EC7837">
              <w:t>Porto Alegre stock exchange</w:t>
            </w:r>
          </w:p>
          <w:p w14:paraId="67F7DCE9" w14:textId="77777777" w:rsidR="00B673B5" w:rsidRPr="00A175F7" w:rsidRDefault="00B673B5" w:rsidP="00B673B5">
            <w:pPr>
              <w:spacing w:after="0"/>
            </w:pPr>
            <w:r w:rsidRPr="00EC7837">
              <w:t>Recife stock exchange</w:t>
            </w:r>
          </w:p>
          <w:p w14:paraId="2AE2D281" w14:textId="77777777" w:rsidR="00B673B5" w:rsidRPr="00A175F7" w:rsidRDefault="00B673B5" w:rsidP="00B673B5">
            <w:pPr>
              <w:spacing w:after="0"/>
            </w:pPr>
            <w:r w:rsidRPr="00EC7837">
              <w:t>Rio de Janeiro stock exchange</w:t>
            </w:r>
          </w:p>
          <w:p w14:paraId="5AB25C01" w14:textId="77777777" w:rsidR="00B673B5" w:rsidRPr="00A175F7" w:rsidRDefault="00B673B5" w:rsidP="00B673B5">
            <w:pPr>
              <w:spacing w:after="0"/>
            </w:pPr>
            <w:r w:rsidRPr="00EC7837">
              <w:t>Salvador stock exchange</w:t>
            </w:r>
          </w:p>
          <w:p w14:paraId="07807499" w14:textId="77777777" w:rsidR="00B673B5" w:rsidRPr="00A175F7" w:rsidRDefault="00B673B5" w:rsidP="00B673B5">
            <w:pPr>
              <w:spacing w:after="0"/>
            </w:pPr>
            <w:r w:rsidRPr="00EC7837">
              <w:t>Santos stock exchange</w:t>
            </w:r>
          </w:p>
          <w:p w14:paraId="6605CA13" w14:textId="77777777" w:rsidR="00B673B5" w:rsidRDefault="00B673B5" w:rsidP="00B673B5">
            <w:pPr>
              <w:spacing w:after="0"/>
            </w:pPr>
            <w:r w:rsidRPr="00EC7837">
              <w:t>Sao Paulo stock exchange</w:t>
            </w:r>
          </w:p>
        </w:tc>
        <w:tc>
          <w:tcPr>
            <w:tcW w:w="2693" w:type="dxa"/>
          </w:tcPr>
          <w:p w14:paraId="07263976" w14:textId="77777777" w:rsidR="00B673B5" w:rsidRPr="00A175F7" w:rsidRDefault="00B673B5" w:rsidP="00B673B5">
            <w:pPr>
              <w:rPr>
                <w:rFonts w:asciiTheme="minorHAnsi" w:hAnsiTheme="minorHAnsi" w:cs="Arial"/>
                <w:b/>
              </w:rPr>
            </w:pPr>
            <w:r w:rsidRPr="00A175F7">
              <w:rPr>
                <w:rFonts w:asciiTheme="minorHAnsi" w:hAnsiTheme="minorHAnsi" w:cs="Arial"/>
                <w:b/>
              </w:rPr>
              <w:t>Brazil</w:t>
            </w:r>
          </w:p>
          <w:p w14:paraId="60770F53" w14:textId="77777777" w:rsidR="00B673B5" w:rsidRPr="00A848F5" w:rsidRDefault="00B673B5" w:rsidP="00B673B5">
            <w:pPr>
              <w:spacing w:after="0"/>
            </w:pPr>
            <w:r>
              <w:t xml:space="preserve">B3, </w:t>
            </w:r>
            <w:r w:rsidRPr="00A175F7">
              <w:t>also known as</w:t>
            </w:r>
            <w:r w:rsidRPr="00E35C44">
              <w:t xml:space="preserve"> BM&amp;F Bovespa</w:t>
            </w:r>
          </w:p>
          <w:p w14:paraId="5293CA7A" w14:textId="77777777" w:rsidR="00B673B5" w:rsidRDefault="00B673B5" w:rsidP="00B673B5">
            <w:pPr>
              <w:spacing w:after="0"/>
            </w:pPr>
            <w:r>
              <w:t xml:space="preserve"> </w:t>
            </w:r>
          </w:p>
        </w:tc>
        <w:tc>
          <w:tcPr>
            <w:tcW w:w="2934" w:type="dxa"/>
            <w:gridSpan w:val="2"/>
          </w:tcPr>
          <w:p w14:paraId="0ACB96AC" w14:textId="77777777" w:rsidR="00B673B5" w:rsidRPr="00A175F7" w:rsidRDefault="00B673B5" w:rsidP="00B673B5">
            <w:pPr>
              <w:rPr>
                <w:rFonts w:asciiTheme="minorHAnsi" w:hAnsiTheme="minorHAnsi" w:cs="Arial"/>
                <w:b/>
              </w:rPr>
            </w:pPr>
            <w:r w:rsidRPr="00A175F7">
              <w:rPr>
                <w:rFonts w:asciiTheme="minorHAnsi" w:hAnsiTheme="minorHAnsi" w:cs="Arial"/>
                <w:b/>
              </w:rPr>
              <w:t>Brazil</w:t>
            </w:r>
          </w:p>
          <w:p w14:paraId="3F5FEAA0" w14:textId="77777777" w:rsidR="00B673B5" w:rsidRDefault="00B673B5" w:rsidP="00B673B5">
            <w:pPr>
              <w:spacing w:before="240"/>
            </w:pPr>
            <w:r>
              <w:t>B3, also known as BM&amp;F Bovespa</w:t>
            </w:r>
          </w:p>
          <w:p w14:paraId="5DB8C10F" w14:textId="77777777" w:rsidR="00B673B5" w:rsidRPr="00A175F7" w:rsidRDefault="00B673B5" w:rsidP="00B673B5">
            <w:pPr>
              <w:keepNext/>
              <w:spacing w:before="240"/>
              <w:ind w:left="284" w:hanging="284"/>
            </w:pPr>
          </w:p>
        </w:tc>
      </w:tr>
      <w:tr w:rsidR="00B673B5" w14:paraId="55EC317F" w14:textId="77777777" w:rsidTr="00B673B5">
        <w:tc>
          <w:tcPr>
            <w:tcW w:w="2802" w:type="dxa"/>
          </w:tcPr>
          <w:p w14:paraId="29777F50" w14:textId="77777777" w:rsidR="00B673B5" w:rsidRPr="00A175F7" w:rsidRDefault="00B673B5" w:rsidP="00B673B5">
            <w:pPr>
              <w:rPr>
                <w:rFonts w:asciiTheme="minorHAnsi" w:hAnsiTheme="minorHAnsi" w:cs="Arial"/>
                <w:b/>
              </w:rPr>
            </w:pPr>
            <w:r w:rsidRPr="00A175F7">
              <w:rPr>
                <w:rFonts w:asciiTheme="minorHAnsi" w:hAnsiTheme="minorHAnsi" w:cs="Arial"/>
                <w:b/>
              </w:rPr>
              <w:t>Canada</w:t>
            </w:r>
          </w:p>
          <w:p w14:paraId="685BF8DA" w14:textId="77777777" w:rsidR="00B673B5" w:rsidRPr="00A175F7" w:rsidRDefault="00B673B5" w:rsidP="00B673B5">
            <w:pPr>
              <w:spacing w:after="0"/>
            </w:pPr>
            <w:r w:rsidRPr="00EC7837">
              <w:t>Calgary stock exchange</w:t>
            </w:r>
          </w:p>
          <w:p w14:paraId="2B66A667" w14:textId="77777777" w:rsidR="00B673B5" w:rsidRPr="00A175F7" w:rsidRDefault="00B673B5" w:rsidP="00B673B5">
            <w:pPr>
              <w:spacing w:after="0"/>
            </w:pPr>
            <w:r w:rsidRPr="00EC7837">
              <w:lastRenderedPageBreak/>
              <w:t>Vancouver stock exchange</w:t>
            </w:r>
          </w:p>
          <w:p w14:paraId="1C0A83C7" w14:textId="77777777" w:rsidR="00B673B5" w:rsidRDefault="00B673B5" w:rsidP="00B673B5">
            <w:pPr>
              <w:spacing w:after="0"/>
            </w:pPr>
            <w:r w:rsidRPr="00EC7837">
              <w:t>Winnipeg stock exchange</w:t>
            </w:r>
          </w:p>
        </w:tc>
        <w:tc>
          <w:tcPr>
            <w:tcW w:w="2693" w:type="dxa"/>
          </w:tcPr>
          <w:p w14:paraId="5A6E3246"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Canada</w:t>
            </w:r>
          </w:p>
          <w:p w14:paraId="508B7E1F" w14:textId="77777777" w:rsidR="00B673B5" w:rsidRPr="00A175F7" w:rsidRDefault="00B673B5" w:rsidP="00B673B5">
            <w:pPr>
              <w:spacing w:after="0" w:line="260" w:lineRule="atLeast"/>
            </w:pPr>
            <w:r w:rsidRPr="00A175F7">
              <w:t>TSX Venture Exchange</w:t>
            </w:r>
          </w:p>
          <w:p w14:paraId="12724B2C" w14:textId="77777777" w:rsidR="00B673B5" w:rsidRDefault="00B673B5" w:rsidP="00B673B5">
            <w:pPr>
              <w:spacing w:after="0"/>
            </w:pPr>
          </w:p>
        </w:tc>
        <w:tc>
          <w:tcPr>
            <w:tcW w:w="2934" w:type="dxa"/>
            <w:gridSpan w:val="2"/>
          </w:tcPr>
          <w:p w14:paraId="45BA9DA4"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Canada</w:t>
            </w:r>
          </w:p>
          <w:p w14:paraId="233E816F" w14:textId="77777777" w:rsidR="00B673B5" w:rsidRPr="00A175F7" w:rsidRDefault="00B673B5" w:rsidP="00B673B5">
            <w:pPr>
              <w:spacing w:after="0"/>
            </w:pPr>
            <w:r w:rsidRPr="00A175F7">
              <w:t>Montréal Stock Exchange</w:t>
            </w:r>
          </w:p>
          <w:p w14:paraId="2FF84589" w14:textId="77777777" w:rsidR="00B673B5" w:rsidRPr="00A175F7" w:rsidRDefault="00B673B5" w:rsidP="00B673B5">
            <w:pPr>
              <w:spacing w:after="0"/>
            </w:pPr>
            <w:r w:rsidRPr="00A175F7">
              <w:lastRenderedPageBreak/>
              <w:t>Toronto Stock Exchange</w:t>
            </w:r>
          </w:p>
          <w:p w14:paraId="629053D0" w14:textId="77777777" w:rsidR="00B673B5" w:rsidRPr="00A175F7" w:rsidRDefault="00B673B5" w:rsidP="00B673B5">
            <w:r w:rsidRPr="00A175F7">
              <w:t>TSX Venture Exchange</w:t>
            </w:r>
          </w:p>
        </w:tc>
      </w:tr>
      <w:tr w:rsidR="00B673B5" w14:paraId="4AFD18CF" w14:textId="77777777" w:rsidTr="00B673B5">
        <w:tc>
          <w:tcPr>
            <w:tcW w:w="2802" w:type="dxa"/>
          </w:tcPr>
          <w:p w14:paraId="6133B44B" w14:textId="77777777" w:rsidR="00B673B5" w:rsidRPr="00A175F7" w:rsidRDefault="00B673B5" w:rsidP="00B673B5">
            <w:pPr>
              <w:spacing w:after="0"/>
            </w:pPr>
          </w:p>
        </w:tc>
        <w:tc>
          <w:tcPr>
            <w:tcW w:w="2693" w:type="dxa"/>
          </w:tcPr>
          <w:p w14:paraId="17989550" w14:textId="77777777" w:rsidR="00B673B5" w:rsidRPr="00A175F7" w:rsidRDefault="00B673B5" w:rsidP="00B673B5">
            <w:pPr>
              <w:keepNext/>
              <w:spacing w:after="0" w:line="260" w:lineRule="atLeast"/>
            </w:pPr>
          </w:p>
        </w:tc>
        <w:tc>
          <w:tcPr>
            <w:tcW w:w="2934" w:type="dxa"/>
            <w:gridSpan w:val="2"/>
          </w:tcPr>
          <w:p w14:paraId="53A4DF66" w14:textId="77777777" w:rsidR="00B673B5" w:rsidRPr="00A175F7" w:rsidRDefault="00B673B5" w:rsidP="00B673B5">
            <w:pPr>
              <w:rPr>
                <w:rFonts w:asciiTheme="minorHAnsi" w:hAnsiTheme="minorHAnsi" w:cs="Arial"/>
                <w:b/>
              </w:rPr>
            </w:pPr>
            <w:r w:rsidRPr="00A175F7">
              <w:rPr>
                <w:rFonts w:asciiTheme="minorHAnsi" w:hAnsiTheme="minorHAnsi" w:cs="Arial"/>
                <w:b/>
              </w:rPr>
              <w:t>Chile</w:t>
            </w:r>
          </w:p>
          <w:p w14:paraId="771B34E0" w14:textId="77777777" w:rsidR="00B673B5" w:rsidRPr="00A175F7" w:rsidRDefault="00B673B5" w:rsidP="00B673B5">
            <w:pPr>
              <w:spacing w:after="0"/>
            </w:pPr>
            <w:r w:rsidRPr="00A175F7">
              <w:t>Santiago Stock Exchange</w:t>
            </w:r>
          </w:p>
          <w:p w14:paraId="69C879FF" w14:textId="77777777" w:rsidR="00B673B5" w:rsidRPr="00A175F7" w:rsidRDefault="00B673B5" w:rsidP="00B673B5">
            <w:r w:rsidRPr="00A175F7">
              <w:t>Valparaiso Stock Exchange</w:t>
            </w:r>
          </w:p>
        </w:tc>
      </w:tr>
      <w:tr w:rsidR="00B673B5" w14:paraId="2E475903" w14:textId="77777777" w:rsidTr="00B673B5">
        <w:tc>
          <w:tcPr>
            <w:tcW w:w="2802" w:type="dxa"/>
          </w:tcPr>
          <w:p w14:paraId="6AAD89A0" w14:textId="77777777" w:rsidR="00B673B5" w:rsidRPr="00A175F7" w:rsidRDefault="00B673B5" w:rsidP="00B673B5">
            <w:pPr>
              <w:spacing w:after="0"/>
            </w:pPr>
          </w:p>
        </w:tc>
        <w:tc>
          <w:tcPr>
            <w:tcW w:w="2693" w:type="dxa"/>
          </w:tcPr>
          <w:p w14:paraId="1E85A375" w14:textId="77777777" w:rsidR="00B673B5" w:rsidRPr="00A175F7" w:rsidRDefault="00B673B5" w:rsidP="00B673B5">
            <w:pPr>
              <w:keepNext/>
              <w:spacing w:after="0" w:line="260" w:lineRule="atLeast"/>
            </w:pPr>
          </w:p>
        </w:tc>
        <w:tc>
          <w:tcPr>
            <w:tcW w:w="2934" w:type="dxa"/>
            <w:gridSpan w:val="2"/>
          </w:tcPr>
          <w:p w14:paraId="07DC7B4D" w14:textId="77777777" w:rsidR="00B673B5" w:rsidRPr="00A175F7" w:rsidRDefault="00B673B5" w:rsidP="00B673B5">
            <w:pPr>
              <w:rPr>
                <w:rFonts w:asciiTheme="minorHAnsi" w:hAnsiTheme="minorHAnsi" w:cs="Arial"/>
                <w:b/>
              </w:rPr>
            </w:pPr>
            <w:r w:rsidRPr="00A175F7">
              <w:rPr>
                <w:rFonts w:asciiTheme="minorHAnsi" w:hAnsiTheme="minorHAnsi" w:cs="Arial"/>
                <w:b/>
              </w:rPr>
              <w:t>China</w:t>
            </w:r>
          </w:p>
          <w:p w14:paraId="3072EA80" w14:textId="77777777" w:rsidR="00B673B5" w:rsidRPr="00A175F7" w:rsidRDefault="00B673B5" w:rsidP="00B673B5">
            <w:pPr>
              <w:spacing w:after="0"/>
            </w:pPr>
            <w:r w:rsidRPr="00A175F7">
              <w:t>Shanghai Stock Exchange</w:t>
            </w:r>
          </w:p>
          <w:p w14:paraId="439B0CD0" w14:textId="77777777" w:rsidR="00B673B5" w:rsidRPr="00A175F7" w:rsidRDefault="00B673B5" w:rsidP="00B673B5">
            <w:r w:rsidRPr="00A175F7">
              <w:t>Shenzhen Stock Exchange</w:t>
            </w:r>
          </w:p>
        </w:tc>
      </w:tr>
      <w:tr w:rsidR="00B673B5" w14:paraId="7D027AB7" w14:textId="77777777" w:rsidTr="00B673B5">
        <w:tc>
          <w:tcPr>
            <w:tcW w:w="2802" w:type="dxa"/>
          </w:tcPr>
          <w:p w14:paraId="022E8C94" w14:textId="77777777" w:rsidR="00B673B5" w:rsidRPr="00A175F7" w:rsidRDefault="00B673B5" w:rsidP="00B673B5">
            <w:pPr>
              <w:rPr>
                <w:rFonts w:asciiTheme="minorHAnsi" w:hAnsiTheme="minorHAnsi" w:cs="Arial"/>
                <w:b/>
              </w:rPr>
            </w:pPr>
            <w:r w:rsidRPr="00A175F7">
              <w:rPr>
                <w:rFonts w:asciiTheme="minorHAnsi" w:hAnsiTheme="minorHAnsi" w:cs="Arial"/>
                <w:b/>
              </w:rPr>
              <w:t>Columbia</w:t>
            </w:r>
          </w:p>
          <w:p w14:paraId="4ED3BDFD" w14:textId="77777777" w:rsidR="00B673B5" w:rsidRDefault="00B673B5" w:rsidP="00B673B5">
            <w:pPr>
              <w:spacing w:after="0"/>
            </w:pPr>
            <w:r w:rsidRPr="00EC7837">
              <w:t>Bogota stock exchange</w:t>
            </w:r>
          </w:p>
        </w:tc>
        <w:tc>
          <w:tcPr>
            <w:tcW w:w="2693" w:type="dxa"/>
          </w:tcPr>
          <w:p w14:paraId="2C2C83E8" w14:textId="77777777" w:rsidR="00B673B5" w:rsidRPr="00A175F7" w:rsidRDefault="00B673B5" w:rsidP="00B673B5">
            <w:pPr>
              <w:rPr>
                <w:rFonts w:asciiTheme="minorHAnsi" w:hAnsiTheme="minorHAnsi" w:cs="Arial"/>
                <w:b/>
              </w:rPr>
            </w:pPr>
            <w:r w:rsidRPr="00A175F7">
              <w:rPr>
                <w:rFonts w:asciiTheme="minorHAnsi" w:hAnsiTheme="minorHAnsi" w:cs="Arial"/>
                <w:b/>
              </w:rPr>
              <w:t>Colombia</w:t>
            </w:r>
          </w:p>
          <w:p w14:paraId="42CD2277" w14:textId="77777777" w:rsidR="00B673B5" w:rsidRDefault="00B673B5" w:rsidP="00B673B5">
            <w:pPr>
              <w:spacing w:line="260" w:lineRule="atLeast"/>
            </w:pPr>
            <w:r w:rsidRPr="00A175F7">
              <w:t>Colombia Stock Exchange</w:t>
            </w:r>
          </w:p>
        </w:tc>
        <w:tc>
          <w:tcPr>
            <w:tcW w:w="2934" w:type="dxa"/>
            <w:gridSpan w:val="2"/>
          </w:tcPr>
          <w:p w14:paraId="52AFF823" w14:textId="77777777" w:rsidR="00B673B5" w:rsidRPr="00A175F7" w:rsidRDefault="00B673B5" w:rsidP="00B673B5">
            <w:pPr>
              <w:rPr>
                <w:rFonts w:asciiTheme="minorHAnsi" w:hAnsiTheme="minorHAnsi" w:cs="Arial"/>
                <w:b/>
              </w:rPr>
            </w:pPr>
            <w:r w:rsidRPr="00A175F7">
              <w:rPr>
                <w:rFonts w:asciiTheme="minorHAnsi" w:hAnsiTheme="minorHAnsi" w:cs="Arial"/>
                <w:b/>
              </w:rPr>
              <w:t>Colombia</w:t>
            </w:r>
          </w:p>
          <w:p w14:paraId="43CF2670" w14:textId="77777777" w:rsidR="00B673B5" w:rsidRPr="00A175F7" w:rsidRDefault="00B673B5" w:rsidP="00B673B5">
            <w:pPr>
              <w:spacing w:after="0"/>
            </w:pPr>
            <w:r w:rsidRPr="00A175F7">
              <w:t>Colombia Stock Exchange</w:t>
            </w:r>
          </w:p>
        </w:tc>
      </w:tr>
      <w:tr w:rsidR="00B673B5" w14:paraId="22236752" w14:textId="77777777" w:rsidTr="00B673B5">
        <w:tc>
          <w:tcPr>
            <w:tcW w:w="2802" w:type="dxa"/>
          </w:tcPr>
          <w:p w14:paraId="632AAB20" w14:textId="77777777" w:rsidR="00B673B5" w:rsidRPr="00A175F7" w:rsidRDefault="00B673B5" w:rsidP="00B673B5">
            <w:pPr>
              <w:rPr>
                <w:rFonts w:asciiTheme="minorHAnsi" w:hAnsiTheme="minorHAnsi" w:cs="Arial"/>
                <w:b/>
              </w:rPr>
            </w:pPr>
            <w:r w:rsidRPr="00A175F7">
              <w:rPr>
                <w:rFonts w:asciiTheme="minorHAnsi" w:hAnsiTheme="minorHAnsi" w:cs="Arial"/>
                <w:b/>
              </w:rPr>
              <w:t>Denmark</w:t>
            </w:r>
          </w:p>
          <w:p w14:paraId="76F3D2FF" w14:textId="77777777" w:rsidR="00B673B5" w:rsidRDefault="00B673B5" w:rsidP="00B673B5">
            <w:r w:rsidRPr="00EC7837">
              <w:t>Copenhagen stock exchange</w:t>
            </w:r>
          </w:p>
        </w:tc>
        <w:tc>
          <w:tcPr>
            <w:tcW w:w="2693" w:type="dxa"/>
          </w:tcPr>
          <w:p w14:paraId="02F281D1" w14:textId="77777777" w:rsidR="00B673B5" w:rsidRPr="00A175F7" w:rsidRDefault="00B673B5" w:rsidP="00B673B5">
            <w:pPr>
              <w:rPr>
                <w:rFonts w:asciiTheme="minorHAnsi" w:hAnsiTheme="minorHAnsi" w:cs="Arial"/>
                <w:b/>
              </w:rPr>
            </w:pPr>
            <w:r w:rsidRPr="00A175F7">
              <w:rPr>
                <w:rFonts w:asciiTheme="minorHAnsi" w:hAnsiTheme="minorHAnsi" w:cs="Arial"/>
                <w:b/>
              </w:rPr>
              <w:t>Denmark</w:t>
            </w:r>
          </w:p>
          <w:p w14:paraId="2C6AE819" w14:textId="77777777" w:rsidR="00B673B5" w:rsidRDefault="00B673B5" w:rsidP="00B673B5">
            <w:pPr>
              <w:spacing w:after="0" w:line="260" w:lineRule="atLeast"/>
            </w:pPr>
            <w:r w:rsidRPr="00A175F7">
              <w:t>Nasdaq Copenhagen</w:t>
            </w:r>
          </w:p>
        </w:tc>
        <w:tc>
          <w:tcPr>
            <w:tcW w:w="2934" w:type="dxa"/>
            <w:gridSpan w:val="2"/>
          </w:tcPr>
          <w:p w14:paraId="1C56D144" w14:textId="77777777" w:rsidR="00B673B5" w:rsidRPr="00A175F7" w:rsidRDefault="00B673B5" w:rsidP="00B673B5">
            <w:pPr>
              <w:rPr>
                <w:rFonts w:asciiTheme="minorHAnsi" w:hAnsiTheme="minorHAnsi" w:cs="Arial"/>
                <w:b/>
              </w:rPr>
            </w:pPr>
            <w:r w:rsidRPr="00A175F7">
              <w:rPr>
                <w:rFonts w:asciiTheme="minorHAnsi" w:hAnsiTheme="minorHAnsi" w:cs="Arial"/>
                <w:b/>
              </w:rPr>
              <w:t>Denmark</w:t>
            </w:r>
          </w:p>
          <w:p w14:paraId="49A6E170" w14:textId="77777777" w:rsidR="00B673B5" w:rsidRPr="00A175F7" w:rsidRDefault="00B673B5" w:rsidP="00B673B5">
            <w:pPr>
              <w:spacing w:after="0"/>
            </w:pPr>
            <w:r w:rsidRPr="00A175F7">
              <w:t>Nasdaq Copenhagen</w:t>
            </w:r>
          </w:p>
        </w:tc>
      </w:tr>
      <w:tr w:rsidR="00B673B5" w14:paraId="722FEC7B" w14:textId="77777777" w:rsidTr="00B673B5">
        <w:tc>
          <w:tcPr>
            <w:tcW w:w="2802" w:type="dxa"/>
          </w:tcPr>
          <w:p w14:paraId="433F8244" w14:textId="77777777" w:rsidR="00B673B5" w:rsidRPr="00A175F7" w:rsidRDefault="00B673B5" w:rsidP="00B673B5">
            <w:pPr>
              <w:rPr>
                <w:rFonts w:asciiTheme="minorHAnsi" w:hAnsiTheme="minorHAnsi" w:cs="Arial"/>
                <w:b/>
              </w:rPr>
            </w:pPr>
            <w:r w:rsidRPr="00A175F7">
              <w:rPr>
                <w:rFonts w:asciiTheme="minorHAnsi" w:hAnsiTheme="minorHAnsi" w:cs="Arial"/>
                <w:b/>
              </w:rPr>
              <w:t>Finland</w:t>
            </w:r>
          </w:p>
          <w:p w14:paraId="76753D7F" w14:textId="77777777" w:rsidR="00B673B5" w:rsidRDefault="00B673B5" w:rsidP="00B673B5">
            <w:pPr>
              <w:spacing w:after="0"/>
            </w:pPr>
            <w:r w:rsidRPr="00EC7837">
              <w:t>Helsinki stock exchange</w:t>
            </w:r>
          </w:p>
        </w:tc>
        <w:tc>
          <w:tcPr>
            <w:tcW w:w="2693" w:type="dxa"/>
          </w:tcPr>
          <w:p w14:paraId="0AC52654" w14:textId="77777777" w:rsidR="00B673B5" w:rsidRPr="00A175F7" w:rsidRDefault="00B673B5" w:rsidP="00B673B5">
            <w:pPr>
              <w:rPr>
                <w:rFonts w:asciiTheme="minorHAnsi" w:hAnsiTheme="minorHAnsi" w:cs="Arial"/>
                <w:b/>
              </w:rPr>
            </w:pPr>
            <w:r w:rsidRPr="00A175F7">
              <w:rPr>
                <w:rFonts w:asciiTheme="minorHAnsi" w:hAnsiTheme="minorHAnsi" w:cs="Arial"/>
                <w:b/>
              </w:rPr>
              <w:t>Finland</w:t>
            </w:r>
          </w:p>
          <w:p w14:paraId="485C1B4A" w14:textId="77777777" w:rsidR="00B673B5" w:rsidRDefault="00B673B5" w:rsidP="00B673B5">
            <w:pPr>
              <w:spacing w:line="260" w:lineRule="atLeast"/>
            </w:pPr>
            <w:r w:rsidRPr="00A175F7">
              <w:t>Nasdaq Helsinki</w:t>
            </w:r>
          </w:p>
        </w:tc>
        <w:tc>
          <w:tcPr>
            <w:tcW w:w="2934" w:type="dxa"/>
            <w:gridSpan w:val="2"/>
          </w:tcPr>
          <w:p w14:paraId="108FB742" w14:textId="77777777" w:rsidR="00B673B5" w:rsidRPr="00A175F7" w:rsidRDefault="00B673B5" w:rsidP="00B673B5">
            <w:pPr>
              <w:rPr>
                <w:rFonts w:asciiTheme="minorHAnsi" w:hAnsiTheme="minorHAnsi" w:cs="Arial"/>
                <w:b/>
              </w:rPr>
            </w:pPr>
            <w:r w:rsidRPr="00A175F7">
              <w:rPr>
                <w:rFonts w:asciiTheme="minorHAnsi" w:hAnsiTheme="minorHAnsi" w:cs="Arial"/>
                <w:b/>
              </w:rPr>
              <w:t>Finland</w:t>
            </w:r>
          </w:p>
          <w:p w14:paraId="74761C7D" w14:textId="77777777" w:rsidR="00B673B5" w:rsidRPr="00A175F7" w:rsidRDefault="00B673B5" w:rsidP="00B673B5">
            <w:pPr>
              <w:spacing w:after="0"/>
            </w:pPr>
            <w:r w:rsidRPr="00A175F7">
              <w:t>Nasdaq Helsinki</w:t>
            </w:r>
          </w:p>
        </w:tc>
      </w:tr>
      <w:tr w:rsidR="00B673B5" w14:paraId="3A6FE3D2" w14:textId="77777777" w:rsidTr="00B673B5">
        <w:tc>
          <w:tcPr>
            <w:tcW w:w="2802" w:type="dxa"/>
          </w:tcPr>
          <w:p w14:paraId="33901B4D" w14:textId="77777777" w:rsidR="00B673B5" w:rsidRPr="00A175F7" w:rsidRDefault="00B673B5" w:rsidP="00B673B5">
            <w:pPr>
              <w:rPr>
                <w:rFonts w:asciiTheme="minorHAnsi" w:hAnsiTheme="minorHAnsi" w:cs="Arial"/>
                <w:b/>
              </w:rPr>
            </w:pPr>
            <w:r w:rsidRPr="00A175F7">
              <w:rPr>
                <w:rFonts w:asciiTheme="minorHAnsi" w:hAnsiTheme="minorHAnsi" w:cs="Arial"/>
                <w:b/>
              </w:rPr>
              <w:t>France</w:t>
            </w:r>
          </w:p>
          <w:p w14:paraId="3A74331D" w14:textId="77777777" w:rsidR="00B673B5" w:rsidRPr="00A175F7" w:rsidRDefault="00B673B5" w:rsidP="00B673B5">
            <w:pPr>
              <w:spacing w:after="0"/>
            </w:pPr>
            <w:r w:rsidRPr="00EC7837">
              <w:t>Bordeaux stock exchange</w:t>
            </w:r>
          </w:p>
          <w:p w14:paraId="16D9A6B8" w14:textId="77777777" w:rsidR="00B673B5" w:rsidRPr="00A175F7" w:rsidRDefault="00B673B5" w:rsidP="00B673B5">
            <w:pPr>
              <w:spacing w:after="0"/>
            </w:pPr>
            <w:r w:rsidRPr="00EC7837">
              <w:t>Lille stock exchange</w:t>
            </w:r>
          </w:p>
          <w:p w14:paraId="36DDA9C0" w14:textId="77777777" w:rsidR="00B673B5" w:rsidRPr="00A175F7" w:rsidRDefault="00B673B5" w:rsidP="00B673B5">
            <w:pPr>
              <w:spacing w:after="0"/>
            </w:pPr>
            <w:r w:rsidRPr="00EC7837">
              <w:t>Lyon stock exchange</w:t>
            </w:r>
          </w:p>
          <w:p w14:paraId="70C5FA79" w14:textId="77777777" w:rsidR="00B673B5" w:rsidRPr="00A175F7" w:rsidRDefault="00B673B5" w:rsidP="00B673B5">
            <w:pPr>
              <w:spacing w:after="0"/>
            </w:pPr>
            <w:r w:rsidRPr="00EC7837">
              <w:t>Marseille stock exchange</w:t>
            </w:r>
          </w:p>
          <w:p w14:paraId="7626D7FC" w14:textId="77777777" w:rsidR="00B673B5" w:rsidRDefault="00B673B5" w:rsidP="00B673B5">
            <w:r w:rsidRPr="00EC7837">
              <w:t>Paris stock exchange</w:t>
            </w:r>
          </w:p>
        </w:tc>
        <w:tc>
          <w:tcPr>
            <w:tcW w:w="2693" w:type="dxa"/>
          </w:tcPr>
          <w:p w14:paraId="4B38CB44" w14:textId="77777777" w:rsidR="00B673B5" w:rsidRPr="00A175F7" w:rsidRDefault="00B673B5" w:rsidP="00B673B5">
            <w:pPr>
              <w:rPr>
                <w:rFonts w:asciiTheme="minorHAnsi" w:hAnsiTheme="minorHAnsi" w:cs="Arial"/>
                <w:b/>
              </w:rPr>
            </w:pPr>
            <w:r w:rsidRPr="00A175F7">
              <w:rPr>
                <w:rFonts w:asciiTheme="minorHAnsi" w:hAnsiTheme="minorHAnsi" w:cs="Arial"/>
                <w:b/>
              </w:rPr>
              <w:t>France</w:t>
            </w:r>
          </w:p>
          <w:p w14:paraId="5CDADF1F" w14:textId="77777777" w:rsidR="00B673B5" w:rsidRPr="00A175F7" w:rsidRDefault="00B673B5" w:rsidP="00B673B5">
            <w:pPr>
              <w:spacing w:after="0" w:line="260" w:lineRule="atLeast"/>
            </w:pPr>
            <w:r w:rsidRPr="00A175F7">
              <w:t>Euronext Paris</w:t>
            </w:r>
          </w:p>
          <w:p w14:paraId="53AE85EC" w14:textId="77777777" w:rsidR="00B673B5" w:rsidRDefault="00B673B5" w:rsidP="00B673B5">
            <w:pPr>
              <w:spacing w:after="0"/>
            </w:pPr>
          </w:p>
        </w:tc>
        <w:tc>
          <w:tcPr>
            <w:tcW w:w="2934" w:type="dxa"/>
            <w:gridSpan w:val="2"/>
          </w:tcPr>
          <w:p w14:paraId="69548A85" w14:textId="77777777" w:rsidR="00B673B5" w:rsidRPr="00A175F7" w:rsidRDefault="00B673B5" w:rsidP="00B673B5">
            <w:pPr>
              <w:rPr>
                <w:rFonts w:asciiTheme="minorHAnsi" w:hAnsiTheme="minorHAnsi" w:cs="Arial"/>
                <w:b/>
              </w:rPr>
            </w:pPr>
            <w:r w:rsidRPr="00A175F7">
              <w:rPr>
                <w:rFonts w:asciiTheme="minorHAnsi" w:hAnsiTheme="minorHAnsi" w:cs="Arial"/>
                <w:b/>
              </w:rPr>
              <w:t>France</w:t>
            </w:r>
          </w:p>
          <w:p w14:paraId="6B52FDB6" w14:textId="77777777" w:rsidR="00B673B5" w:rsidRPr="00A175F7" w:rsidRDefault="00B673B5" w:rsidP="00B673B5">
            <w:pPr>
              <w:spacing w:after="0"/>
            </w:pPr>
            <w:r w:rsidRPr="00A175F7">
              <w:t>Euronext Paris</w:t>
            </w:r>
          </w:p>
          <w:p w14:paraId="69DC1072" w14:textId="77777777" w:rsidR="00B673B5" w:rsidRPr="00A175F7" w:rsidRDefault="00B673B5" w:rsidP="00B673B5">
            <w:pPr>
              <w:spacing w:after="0"/>
            </w:pPr>
          </w:p>
        </w:tc>
      </w:tr>
      <w:tr w:rsidR="00B673B5" w14:paraId="44177393" w14:textId="77777777" w:rsidTr="00B673B5">
        <w:tc>
          <w:tcPr>
            <w:tcW w:w="2802" w:type="dxa"/>
          </w:tcPr>
          <w:p w14:paraId="7183B32C" w14:textId="77777777" w:rsidR="00B673B5" w:rsidRPr="00A175F7" w:rsidRDefault="00B673B5" w:rsidP="00B673B5">
            <w:pPr>
              <w:spacing w:after="0"/>
            </w:pPr>
          </w:p>
        </w:tc>
        <w:tc>
          <w:tcPr>
            <w:tcW w:w="2693" w:type="dxa"/>
          </w:tcPr>
          <w:p w14:paraId="647D8E8D" w14:textId="77777777" w:rsidR="00B673B5" w:rsidRPr="00A175F7" w:rsidRDefault="00B673B5" w:rsidP="00B673B5">
            <w:pPr>
              <w:spacing w:after="0" w:line="260" w:lineRule="atLeast"/>
            </w:pPr>
          </w:p>
        </w:tc>
        <w:tc>
          <w:tcPr>
            <w:tcW w:w="2934" w:type="dxa"/>
            <w:gridSpan w:val="2"/>
          </w:tcPr>
          <w:p w14:paraId="3FD2A2E5" w14:textId="77777777" w:rsidR="00B673B5" w:rsidRPr="00A175F7" w:rsidRDefault="00B673B5" w:rsidP="00B673B5">
            <w:pPr>
              <w:rPr>
                <w:rFonts w:asciiTheme="minorHAnsi" w:hAnsiTheme="minorHAnsi" w:cs="Arial"/>
                <w:b/>
              </w:rPr>
            </w:pPr>
            <w:r w:rsidRPr="00A175F7">
              <w:rPr>
                <w:rFonts w:asciiTheme="minorHAnsi" w:hAnsiTheme="minorHAnsi" w:cs="Arial"/>
                <w:b/>
              </w:rPr>
              <w:t>Germany</w:t>
            </w:r>
          </w:p>
          <w:p w14:paraId="0EC005B5" w14:textId="77777777" w:rsidR="00B673B5" w:rsidRPr="00A175F7" w:rsidRDefault="00B673B5" w:rsidP="00B673B5">
            <w:pPr>
              <w:spacing w:after="0"/>
            </w:pPr>
            <w:r w:rsidRPr="00A175F7">
              <w:t>Berlin Stock Exchange</w:t>
            </w:r>
          </w:p>
          <w:p w14:paraId="77A7B469" w14:textId="77777777" w:rsidR="00B673B5" w:rsidRPr="00A175F7" w:rsidRDefault="00B673B5" w:rsidP="00B673B5">
            <w:pPr>
              <w:spacing w:after="0"/>
            </w:pPr>
            <w:r w:rsidRPr="00A175F7">
              <w:t>Dusseldorf Stock Exchange</w:t>
            </w:r>
          </w:p>
          <w:p w14:paraId="77C1212B" w14:textId="77777777" w:rsidR="00B673B5" w:rsidRPr="00A175F7" w:rsidRDefault="00B673B5" w:rsidP="00B673B5">
            <w:pPr>
              <w:spacing w:after="0"/>
            </w:pPr>
            <w:r w:rsidRPr="00A175F7">
              <w:t>Frankfurt Stock Exchange</w:t>
            </w:r>
          </w:p>
          <w:p w14:paraId="47226695" w14:textId="77777777" w:rsidR="00B673B5" w:rsidRPr="00A175F7" w:rsidRDefault="00B673B5" w:rsidP="00B673B5">
            <w:pPr>
              <w:spacing w:after="0"/>
            </w:pPr>
            <w:r w:rsidRPr="00A175F7">
              <w:t>Hamburg Stock Exchange</w:t>
            </w:r>
          </w:p>
          <w:p w14:paraId="0DC634A1" w14:textId="77777777" w:rsidR="00B673B5" w:rsidRPr="00A175F7" w:rsidRDefault="00B673B5" w:rsidP="00B673B5">
            <w:pPr>
              <w:spacing w:after="0"/>
            </w:pPr>
            <w:r w:rsidRPr="00A175F7">
              <w:t>Hannover Stock Exchange</w:t>
            </w:r>
          </w:p>
          <w:p w14:paraId="07DDB771" w14:textId="77777777" w:rsidR="00B673B5" w:rsidRPr="00A175F7" w:rsidRDefault="00B673B5" w:rsidP="00B673B5">
            <w:pPr>
              <w:spacing w:after="0"/>
            </w:pPr>
            <w:r w:rsidRPr="00A175F7">
              <w:t>Munich Stock Exchange</w:t>
            </w:r>
          </w:p>
          <w:p w14:paraId="5FD3314E" w14:textId="77777777" w:rsidR="00B673B5" w:rsidRPr="00A175F7" w:rsidRDefault="00B673B5" w:rsidP="00B673B5">
            <w:r w:rsidRPr="00A175F7">
              <w:t>Stuttgart Stock Exchange</w:t>
            </w:r>
          </w:p>
        </w:tc>
      </w:tr>
      <w:tr w:rsidR="00B673B5" w14:paraId="4573C51A" w14:textId="77777777" w:rsidTr="00B673B5">
        <w:tc>
          <w:tcPr>
            <w:tcW w:w="2802" w:type="dxa"/>
          </w:tcPr>
          <w:p w14:paraId="52B99A01"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Greece</w:t>
            </w:r>
          </w:p>
          <w:p w14:paraId="3555FCC5" w14:textId="77777777" w:rsidR="00B673B5" w:rsidRPr="00A175F7" w:rsidRDefault="00B673B5" w:rsidP="00B673B5">
            <w:pPr>
              <w:spacing w:after="0"/>
            </w:pPr>
            <w:r w:rsidRPr="00EC7837">
              <w:t>Athens stock exchange</w:t>
            </w:r>
          </w:p>
          <w:p w14:paraId="3ECED454" w14:textId="77777777" w:rsidR="00B673B5" w:rsidRPr="00A175F7" w:rsidRDefault="00B673B5" w:rsidP="00B673B5">
            <w:pPr>
              <w:spacing w:after="0"/>
            </w:pPr>
          </w:p>
        </w:tc>
        <w:tc>
          <w:tcPr>
            <w:tcW w:w="2693" w:type="dxa"/>
          </w:tcPr>
          <w:p w14:paraId="1FB46E4A" w14:textId="77777777" w:rsidR="00B673B5" w:rsidRPr="00A175F7" w:rsidRDefault="00B673B5" w:rsidP="00B673B5">
            <w:pPr>
              <w:rPr>
                <w:rFonts w:asciiTheme="minorHAnsi" w:hAnsiTheme="minorHAnsi" w:cs="Arial"/>
                <w:b/>
              </w:rPr>
            </w:pPr>
            <w:r w:rsidRPr="00A175F7">
              <w:rPr>
                <w:rFonts w:asciiTheme="minorHAnsi" w:hAnsiTheme="minorHAnsi" w:cs="Arial"/>
                <w:b/>
              </w:rPr>
              <w:t>Greece</w:t>
            </w:r>
          </w:p>
          <w:p w14:paraId="67F7C334" w14:textId="77777777" w:rsidR="00B673B5" w:rsidRDefault="00B673B5" w:rsidP="00B673B5">
            <w:pPr>
              <w:spacing w:after="0" w:line="260" w:lineRule="atLeast"/>
            </w:pPr>
            <w:r w:rsidRPr="008E3D03">
              <w:t>ATHEX</w:t>
            </w:r>
            <w:r>
              <w:t>,</w:t>
            </w:r>
            <w:r w:rsidRPr="00677F6A">
              <w:t xml:space="preserve"> also known as Athens Exchange</w:t>
            </w:r>
          </w:p>
        </w:tc>
        <w:tc>
          <w:tcPr>
            <w:tcW w:w="2934" w:type="dxa"/>
            <w:gridSpan w:val="2"/>
          </w:tcPr>
          <w:p w14:paraId="2708962E" w14:textId="77777777" w:rsidR="00B673B5" w:rsidRPr="00A175F7" w:rsidRDefault="00B673B5" w:rsidP="00B673B5">
            <w:pPr>
              <w:rPr>
                <w:rFonts w:asciiTheme="minorHAnsi" w:hAnsiTheme="minorHAnsi" w:cs="Arial"/>
                <w:b/>
              </w:rPr>
            </w:pPr>
            <w:r w:rsidRPr="00A175F7">
              <w:rPr>
                <w:rFonts w:asciiTheme="minorHAnsi" w:hAnsiTheme="minorHAnsi" w:cs="Arial"/>
                <w:b/>
              </w:rPr>
              <w:t>Greece</w:t>
            </w:r>
          </w:p>
          <w:p w14:paraId="0F7638F5" w14:textId="77777777" w:rsidR="00B673B5" w:rsidRPr="00A175F7" w:rsidRDefault="00B673B5" w:rsidP="00B673B5">
            <w:r w:rsidRPr="008E3D03">
              <w:t>ATHEX</w:t>
            </w:r>
            <w:r>
              <w:t>,</w:t>
            </w:r>
            <w:r w:rsidRPr="00A175F7">
              <w:t xml:space="preserve"> </w:t>
            </w:r>
            <w:r w:rsidRPr="00677F6A">
              <w:t xml:space="preserve">also known as </w:t>
            </w:r>
            <w:r w:rsidRPr="00A175F7">
              <w:t xml:space="preserve">Athens Exchange </w:t>
            </w:r>
          </w:p>
        </w:tc>
      </w:tr>
      <w:tr w:rsidR="00B673B5" w14:paraId="7CEE7A99" w14:textId="77777777" w:rsidTr="00B673B5">
        <w:tc>
          <w:tcPr>
            <w:tcW w:w="2802" w:type="dxa"/>
          </w:tcPr>
          <w:p w14:paraId="055D55D5" w14:textId="77777777" w:rsidR="00B673B5" w:rsidRPr="00A175F7" w:rsidRDefault="00B673B5" w:rsidP="00B673B5">
            <w:pPr>
              <w:spacing w:after="0"/>
            </w:pPr>
          </w:p>
        </w:tc>
        <w:tc>
          <w:tcPr>
            <w:tcW w:w="2693" w:type="dxa"/>
          </w:tcPr>
          <w:p w14:paraId="68B2889E" w14:textId="77777777" w:rsidR="00B673B5" w:rsidRDefault="00B673B5" w:rsidP="00B673B5">
            <w:pPr>
              <w:spacing w:after="0"/>
            </w:pPr>
          </w:p>
        </w:tc>
        <w:tc>
          <w:tcPr>
            <w:tcW w:w="2934" w:type="dxa"/>
            <w:gridSpan w:val="2"/>
          </w:tcPr>
          <w:p w14:paraId="2430171A" w14:textId="77777777" w:rsidR="00B673B5" w:rsidRPr="00A175F7" w:rsidRDefault="00B673B5" w:rsidP="00B673B5">
            <w:pPr>
              <w:rPr>
                <w:rFonts w:asciiTheme="minorHAnsi" w:hAnsiTheme="minorHAnsi" w:cs="Arial"/>
                <w:b/>
              </w:rPr>
            </w:pPr>
            <w:r w:rsidRPr="00A175F7">
              <w:rPr>
                <w:rFonts w:asciiTheme="minorHAnsi" w:hAnsiTheme="minorHAnsi" w:cs="Arial"/>
                <w:b/>
              </w:rPr>
              <w:t>Hong Kong</w:t>
            </w:r>
          </w:p>
          <w:p w14:paraId="63F30407" w14:textId="77777777" w:rsidR="00B673B5" w:rsidRDefault="00B673B5" w:rsidP="00B673B5">
            <w:r>
              <w:t>Hong Kong Stock Exchange</w:t>
            </w:r>
          </w:p>
        </w:tc>
      </w:tr>
      <w:tr w:rsidR="00B673B5" w14:paraId="7CC5FB7F" w14:textId="77777777" w:rsidTr="00B673B5">
        <w:tc>
          <w:tcPr>
            <w:tcW w:w="2802" w:type="dxa"/>
          </w:tcPr>
          <w:p w14:paraId="63E23BA9" w14:textId="77777777" w:rsidR="00B673B5" w:rsidRPr="00A175F7" w:rsidRDefault="00B673B5" w:rsidP="00B673B5">
            <w:pPr>
              <w:spacing w:after="0"/>
            </w:pPr>
          </w:p>
        </w:tc>
        <w:tc>
          <w:tcPr>
            <w:tcW w:w="2693" w:type="dxa"/>
          </w:tcPr>
          <w:p w14:paraId="7917BACD" w14:textId="77777777" w:rsidR="00B673B5" w:rsidRDefault="00B673B5" w:rsidP="00B673B5">
            <w:pPr>
              <w:spacing w:after="0"/>
            </w:pPr>
          </w:p>
        </w:tc>
        <w:tc>
          <w:tcPr>
            <w:tcW w:w="2934" w:type="dxa"/>
            <w:gridSpan w:val="2"/>
          </w:tcPr>
          <w:p w14:paraId="1E6646B5" w14:textId="77777777" w:rsidR="00B673B5" w:rsidRPr="00A175F7" w:rsidRDefault="00B673B5" w:rsidP="00B673B5">
            <w:pPr>
              <w:rPr>
                <w:rFonts w:asciiTheme="minorHAnsi" w:hAnsiTheme="minorHAnsi" w:cs="Arial"/>
                <w:b/>
              </w:rPr>
            </w:pPr>
            <w:r w:rsidRPr="00A175F7">
              <w:rPr>
                <w:rFonts w:asciiTheme="minorHAnsi" w:hAnsiTheme="minorHAnsi" w:cs="Arial"/>
                <w:b/>
              </w:rPr>
              <w:t>Hungary</w:t>
            </w:r>
          </w:p>
          <w:p w14:paraId="54B3475F" w14:textId="77777777" w:rsidR="00B673B5" w:rsidRDefault="00B673B5" w:rsidP="00B673B5">
            <w:r>
              <w:t>Budapest Stock Exchange</w:t>
            </w:r>
          </w:p>
        </w:tc>
      </w:tr>
      <w:tr w:rsidR="00B673B5" w14:paraId="4CA8557E" w14:textId="77777777" w:rsidTr="00B673B5">
        <w:tc>
          <w:tcPr>
            <w:tcW w:w="2802" w:type="dxa"/>
          </w:tcPr>
          <w:p w14:paraId="524E3E3B" w14:textId="77777777" w:rsidR="00B673B5" w:rsidRPr="00A175F7" w:rsidRDefault="00B673B5" w:rsidP="00B673B5">
            <w:pPr>
              <w:rPr>
                <w:rFonts w:asciiTheme="minorHAnsi" w:hAnsiTheme="minorHAnsi" w:cs="Arial"/>
                <w:b/>
              </w:rPr>
            </w:pPr>
            <w:r w:rsidRPr="00A175F7">
              <w:rPr>
                <w:rFonts w:asciiTheme="minorHAnsi" w:hAnsiTheme="minorHAnsi" w:cs="Arial"/>
                <w:b/>
              </w:rPr>
              <w:t>India</w:t>
            </w:r>
          </w:p>
          <w:p w14:paraId="1EB64A75" w14:textId="77777777" w:rsidR="00B673B5" w:rsidRPr="00A175F7" w:rsidRDefault="00B673B5" w:rsidP="00B673B5">
            <w:pPr>
              <w:spacing w:after="0"/>
            </w:pPr>
            <w:r w:rsidRPr="00EC7837">
              <w:t>Delhi stock exchange</w:t>
            </w:r>
          </w:p>
          <w:p w14:paraId="525328FE" w14:textId="77777777" w:rsidR="00B673B5" w:rsidRDefault="00B673B5" w:rsidP="00B673B5">
            <w:pPr>
              <w:spacing w:after="0"/>
            </w:pPr>
            <w:r w:rsidRPr="00EC7837">
              <w:t>Madras stock exchange</w:t>
            </w:r>
          </w:p>
        </w:tc>
        <w:tc>
          <w:tcPr>
            <w:tcW w:w="2693" w:type="dxa"/>
          </w:tcPr>
          <w:p w14:paraId="5B5884D8" w14:textId="77777777" w:rsidR="00B673B5" w:rsidRDefault="00B673B5" w:rsidP="00B673B5">
            <w:pPr>
              <w:spacing w:after="0"/>
            </w:pPr>
          </w:p>
        </w:tc>
        <w:tc>
          <w:tcPr>
            <w:tcW w:w="2934" w:type="dxa"/>
            <w:gridSpan w:val="2"/>
          </w:tcPr>
          <w:p w14:paraId="6DED33E0" w14:textId="77777777" w:rsidR="00B673B5" w:rsidRPr="00A175F7" w:rsidRDefault="00B673B5" w:rsidP="00B673B5">
            <w:pPr>
              <w:rPr>
                <w:rFonts w:asciiTheme="minorHAnsi" w:hAnsiTheme="minorHAnsi" w:cs="Arial"/>
                <w:b/>
              </w:rPr>
            </w:pPr>
            <w:r w:rsidRPr="00A175F7">
              <w:rPr>
                <w:rFonts w:asciiTheme="minorHAnsi" w:hAnsiTheme="minorHAnsi" w:cs="Arial"/>
                <w:b/>
              </w:rPr>
              <w:t>India</w:t>
            </w:r>
          </w:p>
          <w:p w14:paraId="3FEBF74F" w14:textId="77777777" w:rsidR="00B673B5" w:rsidRDefault="00B673B5" w:rsidP="00B673B5">
            <w:pPr>
              <w:spacing w:after="0"/>
            </w:pPr>
            <w:r>
              <w:t>Bombay Stock Exchange</w:t>
            </w:r>
          </w:p>
          <w:p w14:paraId="5A7B70EF" w14:textId="77777777" w:rsidR="00B673B5" w:rsidRDefault="00B673B5" w:rsidP="00B673B5">
            <w:r>
              <w:t>Calcutta Stock Exchange</w:t>
            </w:r>
          </w:p>
        </w:tc>
      </w:tr>
      <w:tr w:rsidR="00B673B5" w14:paraId="3A7B494A" w14:textId="77777777" w:rsidTr="00B673B5">
        <w:tc>
          <w:tcPr>
            <w:tcW w:w="2802" w:type="dxa"/>
          </w:tcPr>
          <w:p w14:paraId="70E4A65A" w14:textId="77777777" w:rsidR="00B673B5" w:rsidRPr="00A175F7" w:rsidRDefault="00B673B5" w:rsidP="00B673B5">
            <w:pPr>
              <w:rPr>
                <w:rFonts w:asciiTheme="minorHAnsi" w:hAnsiTheme="minorHAnsi" w:cs="Arial"/>
                <w:b/>
              </w:rPr>
            </w:pPr>
            <w:r w:rsidRPr="00A175F7">
              <w:rPr>
                <w:rFonts w:asciiTheme="minorHAnsi" w:hAnsiTheme="minorHAnsi" w:cs="Arial"/>
                <w:b/>
              </w:rPr>
              <w:t>Indonesia</w:t>
            </w:r>
          </w:p>
          <w:p w14:paraId="0ECEB3E6" w14:textId="77777777" w:rsidR="00B673B5" w:rsidRPr="00A175F7" w:rsidRDefault="00B673B5" w:rsidP="00B673B5">
            <w:pPr>
              <w:spacing w:after="0"/>
            </w:pPr>
            <w:r w:rsidRPr="00EC7837">
              <w:t>Jakarta stock exchange</w:t>
            </w:r>
          </w:p>
          <w:p w14:paraId="2AD832EE" w14:textId="77777777" w:rsidR="00B673B5" w:rsidRDefault="00B673B5" w:rsidP="00B673B5">
            <w:pPr>
              <w:spacing w:after="0"/>
            </w:pPr>
            <w:r w:rsidRPr="00EC7837">
              <w:t>Surabaya stock exchange</w:t>
            </w:r>
          </w:p>
        </w:tc>
        <w:tc>
          <w:tcPr>
            <w:tcW w:w="2693" w:type="dxa"/>
          </w:tcPr>
          <w:p w14:paraId="4326AD07" w14:textId="77777777" w:rsidR="00B673B5" w:rsidRPr="00A175F7" w:rsidRDefault="00B673B5" w:rsidP="00B673B5">
            <w:pPr>
              <w:rPr>
                <w:rFonts w:asciiTheme="minorHAnsi" w:hAnsiTheme="minorHAnsi" w:cs="Arial"/>
                <w:b/>
              </w:rPr>
            </w:pPr>
            <w:r w:rsidRPr="00A175F7">
              <w:rPr>
                <w:rFonts w:asciiTheme="minorHAnsi" w:hAnsiTheme="minorHAnsi" w:cs="Arial"/>
                <w:b/>
              </w:rPr>
              <w:t>Indonesia</w:t>
            </w:r>
          </w:p>
          <w:p w14:paraId="3DC8B3D8" w14:textId="77777777" w:rsidR="00B673B5" w:rsidRDefault="00B673B5" w:rsidP="00B673B5">
            <w:pPr>
              <w:spacing w:line="260" w:lineRule="atLeast"/>
            </w:pPr>
            <w:r w:rsidRPr="00A175F7">
              <w:t>Indonesia Stock Exchange</w:t>
            </w:r>
          </w:p>
        </w:tc>
        <w:tc>
          <w:tcPr>
            <w:tcW w:w="2934" w:type="dxa"/>
            <w:gridSpan w:val="2"/>
          </w:tcPr>
          <w:p w14:paraId="57A83830" w14:textId="77777777" w:rsidR="00B673B5" w:rsidRPr="00A175F7" w:rsidRDefault="00B673B5" w:rsidP="00B673B5">
            <w:pPr>
              <w:rPr>
                <w:rFonts w:asciiTheme="minorHAnsi" w:hAnsiTheme="minorHAnsi" w:cs="Arial"/>
                <w:b/>
              </w:rPr>
            </w:pPr>
            <w:r w:rsidRPr="00A175F7">
              <w:rPr>
                <w:rFonts w:asciiTheme="minorHAnsi" w:hAnsiTheme="minorHAnsi" w:cs="Arial"/>
                <w:b/>
              </w:rPr>
              <w:t>Indonesia</w:t>
            </w:r>
          </w:p>
          <w:p w14:paraId="6B8077A8" w14:textId="77777777" w:rsidR="00B673B5" w:rsidRPr="00A175F7" w:rsidRDefault="00B673B5" w:rsidP="00B673B5">
            <w:pPr>
              <w:spacing w:after="0"/>
            </w:pPr>
            <w:r w:rsidRPr="00A175F7">
              <w:t>Indonesia Stock Exchange</w:t>
            </w:r>
          </w:p>
        </w:tc>
      </w:tr>
      <w:tr w:rsidR="00B673B5" w14:paraId="5CF04516" w14:textId="77777777" w:rsidTr="00B673B5">
        <w:tc>
          <w:tcPr>
            <w:tcW w:w="2802" w:type="dxa"/>
          </w:tcPr>
          <w:p w14:paraId="26B76CE2" w14:textId="77777777" w:rsidR="00B673B5" w:rsidRPr="00A175F7" w:rsidRDefault="00B673B5" w:rsidP="00B673B5">
            <w:pPr>
              <w:rPr>
                <w:rFonts w:asciiTheme="minorHAnsi" w:hAnsiTheme="minorHAnsi" w:cs="Arial"/>
                <w:b/>
              </w:rPr>
            </w:pPr>
            <w:r w:rsidRPr="00A175F7">
              <w:rPr>
                <w:rFonts w:asciiTheme="minorHAnsi" w:hAnsiTheme="minorHAnsi" w:cs="Arial"/>
                <w:b/>
              </w:rPr>
              <w:t>Ireland</w:t>
            </w:r>
            <w:r w:rsidRPr="00A175F7">
              <w:rPr>
                <w:rFonts w:asciiTheme="minorHAnsi" w:hAnsiTheme="minorHAnsi" w:cs="Arial"/>
                <w:b/>
              </w:rPr>
              <w:tab/>
            </w:r>
          </w:p>
          <w:p w14:paraId="65D8DB23" w14:textId="77777777" w:rsidR="00B673B5" w:rsidRDefault="00B673B5" w:rsidP="00B673B5">
            <w:pPr>
              <w:spacing w:after="0"/>
            </w:pPr>
            <w:r w:rsidRPr="00EC7837">
              <w:t>Dublin stock exchange</w:t>
            </w:r>
          </w:p>
        </w:tc>
        <w:tc>
          <w:tcPr>
            <w:tcW w:w="2693" w:type="dxa"/>
          </w:tcPr>
          <w:p w14:paraId="4B5BC107" w14:textId="77777777" w:rsidR="00B673B5" w:rsidRPr="00A175F7" w:rsidRDefault="00B673B5" w:rsidP="00B673B5">
            <w:pPr>
              <w:rPr>
                <w:rFonts w:asciiTheme="minorHAnsi" w:hAnsiTheme="minorHAnsi" w:cs="Arial"/>
                <w:b/>
              </w:rPr>
            </w:pPr>
            <w:r w:rsidRPr="00A175F7">
              <w:rPr>
                <w:rFonts w:asciiTheme="minorHAnsi" w:hAnsiTheme="minorHAnsi" w:cs="Arial"/>
                <w:b/>
              </w:rPr>
              <w:t>Ireland</w:t>
            </w:r>
          </w:p>
          <w:p w14:paraId="1A09184A" w14:textId="77777777" w:rsidR="00B673B5" w:rsidRDefault="00B673B5" w:rsidP="00B673B5">
            <w:pPr>
              <w:spacing w:line="260" w:lineRule="atLeast"/>
            </w:pPr>
            <w:r w:rsidRPr="00A175F7">
              <w:t>Euronext Dublin</w:t>
            </w:r>
          </w:p>
        </w:tc>
        <w:tc>
          <w:tcPr>
            <w:tcW w:w="2934" w:type="dxa"/>
            <w:gridSpan w:val="2"/>
          </w:tcPr>
          <w:p w14:paraId="69F59430" w14:textId="77777777" w:rsidR="00B673B5" w:rsidRPr="00A175F7" w:rsidRDefault="00B673B5" w:rsidP="00B673B5">
            <w:pPr>
              <w:rPr>
                <w:rFonts w:asciiTheme="minorHAnsi" w:hAnsiTheme="minorHAnsi" w:cs="Arial"/>
                <w:b/>
              </w:rPr>
            </w:pPr>
            <w:r w:rsidRPr="00A175F7">
              <w:rPr>
                <w:rFonts w:asciiTheme="minorHAnsi" w:hAnsiTheme="minorHAnsi" w:cs="Arial"/>
                <w:b/>
              </w:rPr>
              <w:t>Ireland</w:t>
            </w:r>
          </w:p>
          <w:p w14:paraId="0D42F651" w14:textId="77777777" w:rsidR="00B673B5" w:rsidRPr="00A175F7" w:rsidRDefault="00B673B5" w:rsidP="00B673B5">
            <w:pPr>
              <w:spacing w:after="0"/>
            </w:pPr>
            <w:r w:rsidRPr="00A175F7">
              <w:t>Euronext Dublin</w:t>
            </w:r>
          </w:p>
        </w:tc>
      </w:tr>
      <w:tr w:rsidR="00B673B5" w14:paraId="00E106A8" w14:textId="77777777" w:rsidTr="00B673B5">
        <w:tblPrEx>
          <w:tblLook w:val="04A0" w:firstRow="1" w:lastRow="0" w:firstColumn="1" w:lastColumn="0" w:noHBand="0" w:noVBand="1"/>
        </w:tblPrEx>
        <w:trPr>
          <w:gridAfter w:val="1"/>
          <w:wAfter w:w="6" w:type="dxa"/>
        </w:trPr>
        <w:tc>
          <w:tcPr>
            <w:tcW w:w="2802" w:type="dxa"/>
          </w:tcPr>
          <w:p w14:paraId="089737A9" w14:textId="77777777" w:rsidR="00B673B5" w:rsidRPr="00A175F7" w:rsidRDefault="00B673B5" w:rsidP="00B673B5">
            <w:pPr>
              <w:spacing w:after="0"/>
            </w:pPr>
          </w:p>
        </w:tc>
        <w:tc>
          <w:tcPr>
            <w:tcW w:w="2693" w:type="dxa"/>
          </w:tcPr>
          <w:p w14:paraId="2C3EF9A1" w14:textId="77777777" w:rsidR="00B673B5" w:rsidRPr="00A175F7" w:rsidRDefault="00B673B5" w:rsidP="00B673B5">
            <w:pPr>
              <w:spacing w:after="0"/>
            </w:pPr>
          </w:p>
        </w:tc>
        <w:tc>
          <w:tcPr>
            <w:tcW w:w="2928" w:type="dxa"/>
          </w:tcPr>
          <w:p w14:paraId="06FB67EA" w14:textId="77777777" w:rsidR="00B673B5" w:rsidRPr="00A175F7" w:rsidRDefault="00B673B5" w:rsidP="00B673B5">
            <w:pPr>
              <w:rPr>
                <w:rFonts w:asciiTheme="minorHAnsi" w:hAnsiTheme="minorHAnsi" w:cs="Arial"/>
                <w:b/>
              </w:rPr>
            </w:pPr>
            <w:r w:rsidRPr="00A175F7">
              <w:rPr>
                <w:rFonts w:asciiTheme="minorHAnsi" w:hAnsiTheme="minorHAnsi" w:cs="Arial"/>
                <w:b/>
              </w:rPr>
              <w:t>Israel</w:t>
            </w:r>
          </w:p>
          <w:p w14:paraId="75CE27FD" w14:textId="77777777" w:rsidR="00B673B5" w:rsidRPr="00A175F7" w:rsidRDefault="00B673B5" w:rsidP="00B673B5">
            <w:r w:rsidRPr="00A175F7">
              <w:t>Tel Aviv Stock Exchange</w:t>
            </w:r>
          </w:p>
        </w:tc>
      </w:tr>
      <w:tr w:rsidR="00B673B5" w14:paraId="2C715E46" w14:textId="77777777" w:rsidTr="00B673B5">
        <w:tblPrEx>
          <w:tblLook w:val="04A0" w:firstRow="1" w:lastRow="0" w:firstColumn="1" w:lastColumn="0" w:noHBand="0" w:noVBand="1"/>
        </w:tblPrEx>
        <w:trPr>
          <w:gridAfter w:val="1"/>
          <w:wAfter w:w="6" w:type="dxa"/>
        </w:trPr>
        <w:tc>
          <w:tcPr>
            <w:tcW w:w="2802" w:type="dxa"/>
          </w:tcPr>
          <w:p w14:paraId="53C9042A" w14:textId="77777777" w:rsidR="00B673B5" w:rsidRPr="00A175F7" w:rsidRDefault="00B673B5" w:rsidP="00B673B5">
            <w:pPr>
              <w:rPr>
                <w:rFonts w:asciiTheme="minorHAnsi" w:hAnsiTheme="minorHAnsi" w:cs="Arial"/>
                <w:b/>
              </w:rPr>
            </w:pPr>
            <w:r w:rsidRPr="00A175F7">
              <w:rPr>
                <w:rFonts w:asciiTheme="minorHAnsi" w:hAnsiTheme="minorHAnsi" w:cs="Arial"/>
                <w:b/>
              </w:rPr>
              <w:t>Italy</w:t>
            </w:r>
          </w:p>
          <w:p w14:paraId="61B1B4BF" w14:textId="77777777" w:rsidR="00B673B5" w:rsidRPr="00A175F7" w:rsidRDefault="00B673B5" w:rsidP="00B673B5">
            <w:pPr>
              <w:spacing w:after="0"/>
            </w:pPr>
            <w:r w:rsidRPr="00EC7837">
              <w:t>Bologna stock exchange</w:t>
            </w:r>
          </w:p>
          <w:p w14:paraId="796FE17E" w14:textId="77777777" w:rsidR="00B673B5" w:rsidRPr="00A175F7" w:rsidRDefault="00B673B5" w:rsidP="00B673B5">
            <w:pPr>
              <w:spacing w:after="0"/>
            </w:pPr>
            <w:r w:rsidRPr="00EC7837">
              <w:t>Florence stock exchange</w:t>
            </w:r>
          </w:p>
          <w:p w14:paraId="542AA45F" w14:textId="77777777" w:rsidR="00B673B5" w:rsidRPr="00A175F7" w:rsidRDefault="00B673B5" w:rsidP="00B673B5">
            <w:pPr>
              <w:spacing w:after="0"/>
            </w:pPr>
            <w:r w:rsidRPr="00EC7837">
              <w:t>Genoa stock exchange</w:t>
            </w:r>
          </w:p>
          <w:p w14:paraId="02F0A542" w14:textId="77777777" w:rsidR="00B673B5" w:rsidRPr="00A175F7" w:rsidRDefault="00B673B5" w:rsidP="00B673B5">
            <w:pPr>
              <w:spacing w:after="0"/>
            </w:pPr>
            <w:r w:rsidRPr="00EC7837">
              <w:t>Milan stock exchange</w:t>
            </w:r>
          </w:p>
          <w:p w14:paraId="65009929" w14:textId="77777777" w:rsidR="00B673B5" w:rsidRPr="00A175F7" w:rsidRDefault="00B673B5" w:rsidP="00B673B5">
            <w:pPr>
              <w:spacing w:after="0"/>
            </w:pPr>
            <w:r w:rsidRPr="00EC7837">
              <w:t>Naples stock exchange</w:t>
            </w:r>
          </w:p>
          <w:p w14:paraId="63009EF9" w14:textId="77777777" w:rsidR="00B673B5" w:rsidRPr="00A175F7" w:rsidRDefault="00B673B5" w:rsidP="00B673B5">
            <w:pPr>
              <w:spacing w:after="0"/>
            </w:pPr>
            <w:r w:rsidRPr="00EC7837">
              <w:t>Palermo stock exchange</w:t>
            </w:r>
          </w:p>
          <w:p w14:paraId="29DFA893" w14:textId="77777777" w:rsidR="00B673B5" w:rsidRPr="00A175F7" w:rsidRDefault="00B673B5" w:rsidP="00B673B5">
            <w:pPr>
              <w:spacing w:after="0"/>
            </w:pPr>
            <w:r w:rsidRPr="00EC7837">
              <w:t>Rome stock exchange</w:t>
            </w:r>
          </w:p>
          <w:p w14:paraId="0452DB62" w14:textId="77777777" w:rsidR="00B673B5" w:rsidRPr="00A175F7" w:rsidRDefault="00B673B5" w:rsidP="00B673B5">
            <w:pPr>
              <w:spacing w:after="0"/>
            </w:pPr>
            <w:r w:rsidRPr="00EC7837">
              <w:t>Trieste stock exchange</w:t>
            </w:r>
          </w:p>
          <w:p w14:paraId="79B6F91E" w14:textId="77777777" w:rsidR="00B673B5" w:rsidRPr="00A175F7" w:rsidRDefault="00B673B5" w:rsidP="00B673B5">
            <w:pPr>
              <w:spacing w:after="0"/>
            </w:pPr>
            <w:r w:rsidRPr="00EC7837">
              <w:t>Turin stock exchange</w:t>
            </w:r>
          </w:p>
          <w:p w14:paraId="19FAAACD" w14:textId="77777777" w:rsidR="00B673B5" w:rsidRDefault="00B673B5" w:rsidP="00B673B5">
            <w:r w:rsidRPr="00EC7837">
              <w:t>Venice stock exchange</w:t>
            </w:r>
          </w:p>
          <w:p w14:paraId="7B7FEEC7" w14:textId="77777777" w:rsidR="008369F5" w:rsidRPr="00A175F7" w:rsidRDefault="008369F5" w:rsidP="00B673B5"/>
        </w:tc>
        <w:tc>
          <w:tcPr>
            <w:tcW w:w="2693" w:type="dxa"/>
          </w:tcPr>
          <w:p w14:paraId="75F8444C" w14:textId="77777777" w:rsidR="00B673B5" w:rsidRPr="00A175F7" w:rsidRDefault="00B673B5" w:rsidP="00B673B5">
            <w:pPr>
              <w:rPr>
                <w:rFonts w:asciiTheme="minorHAnsi" w:hAnsiTheme="minorHAnsi" w:cs="Arial"/>
                <w:b/>
              </w:rPr>
            </w:pPr>
            <w:r w:rsidRPr="00A175F7">
              <w:rPr>
                <w:rFonts w:asciiTheme="minorHAnsi" w:hAnsiTheme="minorHAnsi" w:cs="Arial"/>
                <w:b/>
              </w:rPr>
              <w:t>Italy</w:t>
            </w:r>
          </w:p>
          <w:p w14:paraId="50610920" w14:textId="77777777" w:rsidR="00B673B5" w:rsidRPr="00E27182" w:rsidRDefault="00B673B5" w:rsidP="00B673B5">
            <w:pPr>
              <w:spacing w:after="0"/>
            </w:pPr>
            <w:r w:rsidRPr="00E27182">
              <w:t>Borsa Italiana, also known as Italian Stock Exchange</w:t>
            </w:r>
          </w:p>
          <w:p w14:paraId="35A7F1A8" w14:textId="77777777" w:rsidR="00B673B5" w:rsidRPr="00A175F7" w:rsidRDefault="00B673B5" w:rsidP="00B673B5">
            <w:pPr>
              <w:spacing w:after="0"/>
            </w:pPr>
          </w:p>
        </w:tc>
        <w:tc>
          <w:tcPr>
            <w:tcW w:w="2928" w:type="dxa"/>
          </w:tcPr>
          <w:p w14:paraId="06EE9C7E" w14:textId="77777777" w:rsidR="00B673B5" w:rsidRPr="00A175F7" w:rsidRDefault="00B673B5" w:rsidP="00B673B5">
            <w:pPr>
              <w:rPr>
                <w:rFonts w:asciiTheme="minorHAnsi" w:hAnsiTheme="minorHAnsi" w:cs="Arial"/>
                <w:b/>
              </w:rPr>
            </w:pPr>
            <w:r w:rsidRPr="00A175F7">
              <w:rPr>
                <w:rFonts w:asciiTheme="minorHAnsi" w:hAnsiTheme="minorHAnsi" w:cs="Arial"/>
                <w:b/>
              </w:rPr>
              <w:t>Italy</w:t>
            </w:r>
          </w:p>
          <w:p w14:paraId="0AF634D1" w14:textId="77777777" w:rsidR="00B673B5" w:rsidRPr="00E27182" w:rsidRDefault="00B673B5" w:rsidP="00B673B5">
            <w:pPr>
              <w:spacing w:after="0"/>
            </w:pPr>
            <w:r w:rsidRPr="00E27182">
              <w:t>Borsa Italiana, also known as Italian Stock Exchange</w:t>
            </w:r>
          </w:p>
          <w:p w14:paraId="2254DB64" w14:textId="77777777" w:rsidR="00B673B5" w:rsidRPr="00A175F7" w:rsidRDefault="00B673B5" w:rsidP="00B673B5">
            <w:pPr>
              <w:spacing w:after="0"/>
            </w:pPr>
          </w:p>
        </w:tc>
      </w:tr>
      <w:tr w:rsidR="00B673B5" w14:paraId="721C266C" w14:textId="77777777" w:rsidTr="00B673B5">
        <w:tc>
          <w:tcPr>
            <w:tcW w:w="2802" w:type="dxa"/>
          </w:tcPr>
          <w:p w14:paraId="143A8032" w14:textId="77777777" w:rsidR="00B673B5" w:rsidRPr="00A175F7" w:rsidRDefault="00B673B5" w:rsidP="00B673B5">
            <w:pPr>
              <w:spacing w:after="0"/>
            </w:pPr>
          </w:p>
        </w:tc>
        <w:tc>
          <w:tcPr>
            <w:tcW w:w="2693" w:type="dxa"/>
          </w:tcPr>
          <w:p w14:paraId="2354ACB2" w14:textId="77777777" w:rsidR="00B673B5" w:rsidRDefault="00B673B5" w:rsidP="00B673B5">
            <w:pPr>
              <w:spacing w:after="0"/>
            </w:pPr>
          </w:p>
        </w:tc>
        <w:tc>
          <w:tcPr>
            <w:tcW w:w="2934" w:type="dxa"/>
            <w:gridSpan w:val="2"/>
          </w:tcPr>
          <w:p w14:paraId="0271FACA" w14:textId="77777777" w:rsidR="00B673B5" w:rsidRPr="00A175F7" w:rsidRDefault="00B673B5" w:rsidP="00B673B5">
            <w:pPr>
              <w:rPr>
                <w:rFonts w:asciiTheme="minorHAnsi" w:hAnsiTheme="minorHAnsi" w:cs="Arial"/>
                <w:b/>
              </w:rPr>
            </w:pPr>
            <w:r w:rsidRPr="00A175F7">
              <w:rPr>
                <w:rFonts w:asciiTheme="minorHAnsi" w:hAnsiTheme="minorHAnsi" w:cs="Arial"/>
                <w:b/>
              </w:rPr>
              <w:t>Jamaica</w:t>
            </w:r>
          </w:p>
          <w:p w14:paraId="69AECDDA" w14:textId="77777777" w:rsidR="00B673B5" w:rsidRDefault="00B673B5" w:rsidP="00B673B5">
            <w:r>
              <w:t>Jamaica Stock Exchange</w:t>
            </w:r>
          </w:p>
        </w:tc>
      </w:tr>
      <w:tr w:rsidR="00B673B5" w14:paraId="357C634B" w14:textId="77777777" w:rsidTr="00B673B5">
        <w:tc>
          <w:tcPr>
            <w:tcW w:w="2802" w:type="dxa"/>
          </w:tcPr>
          <w:p w14:paraId="3CFAE23D" w14:textId="77777777" w:rsidR="00B673B5" w:rsidRPr="00A175F7" w:rsidRDefault="00B673B5" w:rsidP="00B673B5">
            <w:pPr>
              <w:rPr>
                <w:rFonts w:asciiTheme="minorHAnsi" w:hAnsiTheme="minorHAnsi" w:cs="Arial"/>
                <w:b/>
              </w:rPr>
            </w:pPr>
            <w:r w:rsidRPr="00A175F7">
              <w:rPr>
                <w:rFonts w:asciiTheme="minorHAnsi" w:hAnsiTheme="minorHAnsi" w:cs="Arial"/>
                <w:b/>
              </w:rPr>
              <w:t>Japan</w:t>
            </w:r>
          </w:p>
          <w:p w14:paraId="7FC6124D" w14:textId="77777777" w:rsidR="00B673B5" w:rsidRPr="00A175F7" w:rsidRDefault="00B673B5" w:rsidP="00B673B5">
            <w:pPr>
              <w:keepNext/>
              <w:spacing w:after="0"/>
            </w:pPr>
            <w:r w:rsidRPr="00EC7837">
              <w:t>Hiroshima stock exchange</w:t>
            </w:r>
          </w:p>
          <w:p w14:paraId="6CB91380" w14:textId="77777777" w:rsidR="00B673B5" w:rsidRPr="00A175F7" w:rsidRDefault="00B673B5" w:rsidP="00B673B5">
            <w:pPr>
              <w:spacing w:after="0"/>
            </w:pPr>
            <w:r w:rsidRPr="00EC7837">
              <w:t>Kyoto stock exchange</w:t>
            </w:r>
          </w:p>
          <w:p w14:paraId="132DF530" w14:textId="77777777" w:rsidR="00B673B5" w:rsidRDefault="00B673B5" w:rsidP="00B673B5">
            <w:pPr>
              <w:spacing w:after="0"/>
            </w:pPr>
            <w:r w:rsidRPr="00EC7837">
              <w:t>Niigata stock exchange</w:t>
            </w:r>
          </w:p>
        </w:tc>
        <w:tc>
          <w:tcPr>
            <w:tcW w:w="2693" w:type="dxa"/>
          </w:tcPr>
          <w:p w14:paraId="6523E443" w14:textId="77777777" w:rsidR="00B673B5" w:rsidRDefault="00B673B5" w:rsidP="00B673B5">
            <w:pPr>
              <w:spacing w:after="0"/>
            </w:pPr>
          </w:p>
        </w:tc>
        <w:tc>
          <w:tcPr>
            <w:tcW w:w="2934" w:type="dxa"/>
            <w:gridSpan w:val="2"/>
          </w:tcPr>
          <w:p w14:paraId="2CF8D687" w14:textId="77777777" w:rsidR="00B673B5" w:rsidRPr="00A175F7" w:rsidRDefault="00B673B5" w:rsidP="00B673B5">
            <w:pPr>
              <w:rPr>
                <w:rFonts w:asciiTheme="minorHAnsi" w:hAnsiTheme="minorHAnsi" w:cs="Arial"/>
                <w:b/>
              </w:rPr>
            </w:pPr>
            <w:r w:rsidRPr="00A175F7">
              <w:rPr>
                <w:rFonts w:asciiTheme="minorHAnsi" w:hAnsiTheme="minorHAnsi" w:cs="Arial"/>
                <w:b/>
              </w:rPr>
              <w:t>Japan</w:t>
            </w:r>
          </w:p>
          <w:p w14:paraId="614ABA01" w14:textId="77777777" w:rsidR="00B673B5" w:rsidRDefault="00B673B5" w:rsidP="00B673B5">
            <w:pPr>
              <w:spacing w:after="0"/>
            </w:pPr>
            <w:r>
              <w:t>Nagoya Stock Exchange</w:t>
            </w:r>
          </w:p>
          <w:p w14:paraId="0ACEA4B7" w14:textId="77777777" w:rsidR="00B673B5" w:rsidRDefault="00B673B5" w:rsidP="00B673B5">
            <w:pPr>
              <w:spacing w:after="0"/>
            </w:pPr>
            <w:r>
              <w:t>Osaka Securities Exchange</w:t>
            </w:r>
          </w:p>
          <w:p w14:paraId="3491A69F" w14:textId="77777777" w:rsidR="00B673B5" w:rsidRDefault="00B673B5" w:rsidP="00B673B5">
            <w:pPr>
              <w:spacing w:after="0"/>
            </w:pPr>
            <w:r>
              <w:t>Fukuoka Stock Exchange</w:t>
            </w:r>
          </w:p>
          <w:p w14:paraId="52B1E6B2" w14:textId="77777777" w:rsidR="00B673B5" w:rsidRDefault="00B673B5" w:rsidP="00B673B5">
            <w:pPr>
              <w:spacing w:after="0"/>
            </w:pPr>
            <w:r>
              <w:t>Sapporo Securities Exchange</w:t>
            </w:r>
          </w:p>
          <w:p w14:paraId="0DEC18B4" w14:textId="77777777" w:rsidR="00B673B5" w:rsidRDefault="00B673B5" w:rsidP="00B673B5">
            <w:r>
              <w:t>Tokyo Stock Exchange</w:t>
            </w:r>
          </w:p>
        </w:tc>
      </w:tr>
      <w:tr w:rsidR="00B673B5" w14:paraId="74FBC63B" w14:textId="77777777" w:rsidTr="00B673B5">
        <w:tc>
          <w:tcPr>
            <w:tcW w:w="2802" w:type="dxa"/>
          </w:tcPr>
          <w:p w14:paraId="7FFA0D08" w14:textId="77777777" w:rsidR="00B673B5" w:rsidRPr="00A175F7" w:rsidRDefault="00B673B5" w:rsidP="00B673B5">
            <w:pPr>
              <w:rPr>
                <w:rFonts w:asciiTheme="minorHAnsi" w:hAnsiTheme="minorHAnsi" w:cs="Arial"/>
                <w:b/>
              </w:rPr>
            </w:pPr>
            <w:r w:rsidRPr="00A175F7">
              <w:rPr>
                <w:rFonts w:asciiTheme="minorHAnsi" w:hAnsiTheme="minorHAnsi" w:cs="Arial"/>
                <w:b/>
              </w:rPr>
              <w:t>Korea, Republic of</w:t>
            </w:r>
          </w:p>
          <w:p w14:paraId="36D2F57A" w14:textId="77777777" w:rsidR="00B673B5" w:rsidRDefault="00B673B5" w:rsidP="00B673B5">
            <w:pPr>
              <w:spacing w:after="0"/>
            </w:pPr>
            <w:r w:rsidRPr="00EC7837">
              <w:t>Seoul stock exchange</w:t>
            </w:r>
          </w:p>
        </w:tc>
        <w:tc>
          <w:tcPr>
            <w:tcW w:w="2693" w:type="dxa"/>
          </w:tcPr>
          <w:p w14:paraId="56200FAD" w14:textId="77777777" w:rsidR="00B673B5" w:rsidRPr="00A175F7" w:rsidRDefault="00B673B5" w:rsidP="00B673B5">
            <w:pPr>
              <w:rPr>
                <w:rFonts w:asciiTheme="minorHAnsi" w:hAnsiTheme="minorHAnsi" w:cs="Arial"/>
                <w:b/>
              </w:rPr>
            </w:pPr>
            <w:r w:rsidRPr="00A175F7">
              <w:rPr>
                <w:rFonts w:asciiTheme="minorHAnsi" w:hAnsiTheme="minorHAnsi" w:cs="Arial"/>
                <w:b/>
              </w:rPr>
              <w:t>Korea, Republic of</w:t>
            </w:r>
          </w:p>
          <w:p w14:paraId="27064F31" w14:textId="77777777" w:rsidR="00B673B5" w:rsidRDefault="00B673B5" w:rsidP="00B673B5">
            <w:pPr>
              <w:spacing w:after="0" w:line="260" w:lineRule="atLeast"/>
            </w:pPr>
            <w:r w:rsidRPr="00A175F7">
              <w:t>Korea Stock Exchange</w:t>
            </w:r>
          </w:p>
        </w:tc>
        <w:tc>
          <w:tcPr>
            <w:tcW w:w="2934" w:type="dxa"/>
            <w:gridSpan w:val="2"/>
          </w:tcPr>
          <w:p w14:paraId="3818E17E" w14:textId="77777777" w:rsidR="00B673B5" w:rsidRPr="00A175F7" w:rsidRDefault="00B673B5" w:rsidP="00B673B5">
            <w:pPr>
              <w:rPr>
                <w:rFonts w:asciiTheme="minorHAnsi" w:hAnsiTheme="minorHAnsi" w:cs="Arial"/>
                <w:b/>
              </w:rPr>
            </w:pPr>
            <w:r w:rsidRPr="00A175F7">
              <w:rPr>
                <w:rFonts w:asciiTheme="minorHAnsi" w:hAnsiTheme="minorHAnsi" w:cs="Arial"/>
                <w:b/>
              </w:rPr>
              <w:t>Korea, Republic of</w:t>
            </w:r>
          </w:p>
          <w:p w14:paraId="2D8F7EAF" w14:textId="77777777" w:rsidR="00B673B5" w:rsidRPr="00A175F7" w:rsidRDefault="00B673B5" w:rsidP="00B673B5">
            <w:r w:rsidRPr="00A175F7">
              <w:t>Korea Stock Exchange</w:t>
            </w:r>
          </w:p>
        </w:tc>
      </w:tr>
      <w:tr w:rsidR="00B673B5" w14:paraId="563D95FA" w14:textId="77777777" w:rsidTr="00B673B5">
        <w:tc>
          <w:tcPr>
            <w:tcW w:w="2802" w:type="dxa"/>
          </w:tcPr>
          <w:p w14:paraId="79F0AA49" w14:textId="77777777" w:rsidR="00B673B5" w:rsidRPr="00A175F7" w:rsidRDefault="00B673B5" w:rsidP="00B673B5">
            <w:pPr>
              <w:spacing w:after="0"/>
            </w:pPr>
          </w:p>
        </w:tc>
        <w:tc>
          <w:tcPr>
            <w:tcW w:w="2693" w:type="dxa"/>
          </w:tcPr>
          <w:p w14:paraId="20C19F18" w14:textId="77777777" w:rsidR="00B673B5" w:rsidRPr="00A175F7" w:rsidRDefault="00B673B5" w:rsidP="00B673B5">
            <w:pPr>
              <w:spacing w:after="0" w:line="260" w:lineRule="atLeast"/>
            </w:pPr>
          </w:p>
        </w:tc>
        <w:tc>
          <w:tcPr>
            <w:tcW w:w="2934" w:type="dxa"/>
            <w:gridSpan w:val="2"/>
          </w:tcPr>
          <w:p w14:paraId="3F0116D6" w14:textId="77777777" w:rsidR="00B673B5" w:rsidRPr="00A175F7" w:rsidRDefault="00B673B5" w:rsidP="00B673B5">
            <w:pPr>
              <w:rPr>
                <w:rFonts w:asciiTheme="minorHAnsi" w:hAnsiTheme="minorHAnsi" w:cs="Arial"/>
                <w:b/>
              </w:rPr>
            </w:pPr>
            <w:r w:rsidRPr="00A175F7">
              <w:rPr>
                <w:rFonts w:asciiTheme="minorHAnsi" w:hAnsiTheme="minorHAnsi" w:cs="Arial"/>
                <w:b/>
              </w:rPr>
              <w:t>Luxembourg</w:t>
            </w:r>
          </w:p>
          <w:p w14:paraId="27D5F5A5" w14:textId="77777777" w:rsidR="00B673B5" w:rsidRPr="00A175F7" w:rsidRDefault="00B673B5" w:rsidP="00B673B5">
            <w:r w:rsidRPr="00A175F7">
              <w:t>Luxembourg Stock Exchange</w:t>
            </w:r>
          </w:p>
        </w:tc>
      </w:tr>
      <w:tr w:rsidR="00B673B5" w14:paraId="0AE1E896" w14:textId="77777777" w:rsidTr="00B673B5">
        <w:tc>
          <w:tcPr>
            <w:tcW w:w="2802" w:type="dxa"/>
          </w:tcPr>
          <w:p w14:paraId="13AF8C43" w14:textId="77777777" w:rsidR="00B673B5" w:rsidRPr="00A175F7" w:rsidRDefault="00B673B5" w:rsidP="00B673B5">
            <w:pPr>
              <w:rPr>
                <w:rFonts w:asciiTheme="minorHAnsi" w:hAnsiTheme="minorHAnsi" w:cs="Arial"/>
                <w:b/>
              </w:rPr>
            </w:pPr>
            <w:r w:rsidRPr="00A175F7">
              <w:rPr>
                <w:rFonts w:asciiTheme="minorHAnsi" w:hAnsiTheme="minorHAnsi" w:cs="Arial"/>
                <w:b/>
              </w:rPr>
              <w:t>Malaysia</w:t>
            </w:r>
          </w:p>
          <w:p w14:paraId="50A4A428" w14:textId="77777777" w:rsidR="00B673B5" w:rsidRPr="00A175F7" w:rsidRDefault="00B673B5" w:rsidP="00B673B5">
            <w:r w:rsidRPr="00EC7837">
              <w:t>Kuala Lumpur stock exchange</w:t>
            </w:r>
          </w:p>
        </w:tc>
        <w:tc>
          <w:tcPr>
            <w:tcW w:w="2693" w:type="dxa"/>
          </w:tcPr>
          <w:p w14:paraId="573A66C0" w14:textId="77777777" w:rsidR="00B673B5" w:rsidRPr="00A175F7" w:rsidRDefault="00B673B5" w:rsidP="00B673B5">
            <w:pPr>
              <w:rPr>
                <w:rFonts w:asciiTheme="minorHAnsi" w:hAnsiTheme="minorHAnsi" w:cs="Arial"/>
                <w:b/>
              </w:rPr>
            </w:pPr>
            <w:r w:rsidRPr="00A175F7">
              <w:rPr>
                <w:rFonts w:asciiTheme="minorHAnsi" w:hAnsiTheme="minorHAnsi" w:cs="Arial"/>
                <w:b/>
              </w:rPr>
              <w:t>Malaysia</w:t>
            </w:r>
          </w:p>
          <w:p w14:paraId="7684B3E1" w14:textId="77777777" w:rsidR="00B673B5" w:rsidRDefault="00B673B5" w:rsidP="00B673B5">
            <w:pPr>
              <w:spacing w:after="0" w:line="260" w:lineRule="atLeast"/>
            </w:pPr>
            <w:r w:rsidRPr="00A175F7">
              <w:t>Bursa Malaysia</w:t>
            </w:r>
          </w:p>
        </w:tc>
        <w:tc>
          <w:tcPr>
            <w:tcW w:w="2934" w:type="dxa"/>
            <w:gridSpan w:val="2"/>
          </w:tcPr>
          <w:p w14:paraId="5BF5C0AA" w14:textId="77777777" w:rsidR="00B673B5" w:rsidRPr="00A175F7" w:rsidRDefault="00B673B5" w:rsidP="00B673B5">
            <w:pPr>
              <w:rPr>
                <w:rFonts w:asciiTheme="minorHAnsi" w:hAnsiTheme="minorHAnsi" w:cs="Arial"/>
                <w:b/>
              </w:rPr>
            </w:pPr>
            <w:r w:rsidRPr="00A175F7">
              <w:rPr>
                <w:rFonts w:asciiTheme="minorHAnsi" w:hAnsiTheme="minorHAnsi" w:cs="Arial"/>
                <w:b/>
              </w:rPr>
              <w:t>Malaysia</w:t>
            </w:r>
          </w:p>
          <w:p w14:paraId="7DED123F" w14:textId="77777777" w:rsidR="00B673B5" w:rsidRPr="00A175F7" w:rsidRDefault="00B673B5" w:rsidP="00B673B5">
            <w:pPr>
              <w:spacing w:after="0"/>
            </w:pPr>
            <w:r w:rsidRPr="00A175F7">
              <w:t>Bursa Malaysia</w:t>
            </w:r>
          </w:p>
        </w:tc>
      </w:tr>
      <w:tr w:rsidR="00B673B5" w14:paraId="0AEDBF69" w14:textId="77777777" w:rsidTr="00B673B5">
        <w:tc>
          <w:tcPr>
            <w:tcW w:w="2802" w:type="dxa"/>
          </w:tcPr>
          <w:p w14:paraId="17A472F9" w14:textId="77777777" w:rsidR="00B673B5" w:rsidRPr="00A175F7" w:rsidRDefault="00B673B5" w:rsidP="00B673B5">
            <w:pPr>
              <w:spacing w:after="0"/>
            </w:pPr>
          </w:p>
        </w:tc>
        <w:tc>
          <w:tcPr>
            <w:tcW w:w="2693" w:type="dxa"/>
          </w:tcPr>
          <w:p w14:paraId="1ADB81F1" w14:textId="77777777" w:rsidR="00B673B5" w:rsidRPr="00A175F7" w:rsidRDefault="00B673B5" w:rsidP="00B673B5">
            <w:pPr>
              <w:spacing w:after="0" w:line="260" w:lineRule="atLeast"/>
            </w:pPr>
          </w:p>
        </w:tc>
        <w:tc>
          <w:tcPr>
            <w:tcW w:w="2934" w:type="dxa"/>
            <w:gridSpan w:val="2"/>
          </w:tcPr>
          <w:p w14:paraId="7214B8F7" w14:textId="77777777" w:rsidR="00B673B5" w:rsidRPr="00A175F7" w:rsidRDefault="00B673B5" w:rsidP="00B673B5">
            <w:pPr>
              <w:rPr>
                <w:rFonts w:asciiTheme="minorHAnsi" w:hAnsiTheme="minorHAnsi" w:cs="Arial"/>
                <w:b/>
              </w:rPr>
            </w:pPr>
            <w:r w:rsidRPr="00A175F7">
              <w:rPr>
                <w:rFonts w:asciiTheme="minorHAnsi" w:hAnsiTheme="minorHAnsi" w:cs="Arial"/>
                <w:b/>
              </w:rPr>
              <w:t>Mexico</w:t>
            </w:r>
          </w:p>
          <w:p w14:paraId="2008C156" w14:textId="77777777" w:rsidR="00B673B5" w:rsidRPr="00A175F7" w:rsidRDefault="00B673B5" w:rsidP="00B673B5">
            <w:r w:rsidRPr="00A175F7">
              <w:t>Mexican Stock Exchange</w:t>
            </w:r>
          </w:p>
        </w:tc>
      </w:tr>
      <w:tr w:rsidR="00B673B5" w14:paraId="2B731381" w14:textId="77777777" w:rsidTr="00B673B5">
        <w:tc>
          <w:tcPr>
            <w:tcW w:w="2802" w:type="dxa"/>
          </w:tcPr>
          <w:p w14:paraId="5DD4D757" w14:textId="77777777" w:rsidR="00B673B5" w:rsidRPr="00A175F7" w:rsidRDefault="00B673B5" w:rsidP="00B673B5">
            <w:pPr>
              <w:rPr>
                <w:rFonts w:asciiTheme="minorHAnsi" w:hAnsiTheme="minorHAnsi" w:cs="Arial"/>
                <w:b/>
              </w:rPr>
            </w:pPr>
            <w:r w:rsidRPr="00A175F7">
              <w:rPr>
                <w:rFonts w:asciiTheme="minorHAnsi" w:hAnsiTheme="minorHAnsi" w:cs="Arial"/>
                <w:b/>
              </w:rPr>
              <w:t>Netherlands</w:t>
            </w:r>
          </w:p>
          <w:p w14:paraId="49560749" w14:textId="77777777" w:rsidR="00B673B5" w:rsidRDefault="00B673B5" w:rsidP="00B673B5">
            <w:r w:rsidRPr="00EC7837">
              <w:t>Amsterdam stock exchange</w:t>
            </w:r>
          </w:p>
        </w:tc>
        <w:tc>
          <w:tcPr>
            <w:tcW w:w="2693" w:type="dxa"/>
          </w:tcPr>
          <w:p w14:paraId="04625DD4" w14:textId="77777777" w:rsidR="00B673B5" w:rsidRPr="00A175F7" w:rsidRDefault="00B673B5" w:rsidP="00B673B5">
            <w:pPr>
              <w:rPr>
                <w:rFonts w:asciiTheme="minorHAnsi" w:hAnsiTheme="minorHAnsi" w:cs="Arial"/>
                <w:b/>
              </w:rPr>
            </w:pPr>
            <w:r w:rsidRPr="00A175F7">
              <w:rPr>
                <w:rFonts w:asciiTheme="minorHAnsi" w:hAnsiTheme="minorHAnsi" w:cs="Arial"/>
                <w:b/>
              </w:rPr>
              <w:t>Netherlands</w:t>
            </w:r>
          </w:p>
          <w:p w14:paraId="4CB64D7B" w14:textId="77777777" w:rsidR="00B673B5" w:rsidRDefault="00B673B5" w:rsidP="00B673B5">
            <w:pPr>
              <w:spacing w:after="0" w:line="260" w:lineRule="atLeast"/>
            </w:pPr>
            <w:r w:rsidRPr="00A175F7">
              <w:t>Euronext Amsterdam</w:t>
            </w:r>
          </w:p>
        </w:tc>
        <w:tc>
          <w:tcPr>
            <w:tcW w:w="2934" w:type="dxa"/>
            <w:gridSpan w:val="2"/>
          </w:tcPr>
          <w:p w14:paraId="08C73BC2" w14:textId="77777777" w:rsidR="00B673B5" w:rsidRPr="00A175F7" w:rsidRDefault="00B673B5" w:rsidP="00B673B5">
            <w:pPr>
              <w:rPr>
                <w:rFonts w:asciiTheme="minorHAnsi" w:hAnsiTheme="minorHAnsi" w:cs="Arial"/>
                <w:b/>
              </w:rPr>
            </w:pPr>
            <w:r w:rsidRPr="00A175F7">
              <w:rPr>
                <w:rFonts w:asciiTheme="minorHAnsi" w:hAnsiTheme="minorHAnsi" w:cs="Arial"/>
                <w:b/>
              </w:rPr>
              <w:t>Netherlands</w:t>
            </w:r>
          </w:p>
          <w:p w14:paraId="5E4C2D4F" w14:textId="77777777" w:rsidR="00B673B5" w:rsidRPr="00A175F7" w:rsidRDefault="00B673B5" w:rsidP="00B673B5">
            <w:pPr>
              <w:spacing w:after="0"/>
            </w:pPr>
            <w:r w:rsidRPr="00A175F7">
              <w:t>Euronext Amsterdam</w:t>
            </w:r>
          </w:p>
        </w:tc>
      </w:tr>
      <w:tr w:rsidR="00B673B5" w14:paraId="4BC2B2B4" w14:textId="77777777" w:rsidTr="00B673B5">
        <w:tc>
          <w:tcPr>
            <w:tcW w:w="2802" w:type="dxa"/>
          </w:tcPr>
          <w:p w14:paraId="78C0139A" w14:textId="77777777" w:rsidR="00B673B5" w:rsidRPr="00A175F7" w:rsidRDefault="00B673B5" w:rsidP="00B673B5">
            <w:pPr>
              <w:rPr>
                <w:rFonts w:asciiTheme="minorHAnsi" w:hAnsiTheme="minorHAnsi" w:cs="Arial"/>
                <w:b/>
              </w:rPr>
            </w:pPr>
            <w:r w:rsidRPr="00A175F7">
              <w:rPr>
                <w:rFonts w:asciiTheme="minorHAnsi" w:hAnsiTheme="minorHAnsi" w:cs="Arial"/>
                <w:b/>
              </w:rPr>
              <w:t>New Zealand</w:t>
            </w:r>
          </w:p>
          <w:p w14:paraId="7BBCEFAE" w14:textId="77777777" w:rsidR="00B673B5" w:rsidRDefault="00B673B5" w:rsidP="00B673B5">
            <w:pPr>
              <w:spacing w:after="0"/>
            </w:pPr>
            <w:r w:rsidRPr="00EC7837">
              <w:t>New Zealand stock exchange</w:t>
            </w:r>
          </w:p>
        </w:tc>
        <w:tc>
          <w:tcPr>
            <w:tcW w:w="2693" w:type="dxa"/>
          </w:tcPr>
          <w:p w14:paraId="1A43E644" w14:textId="77777777" w:rsidR="00B673B5" w:rsidRPr="00A175F7" w:rsidRDefault="00B673B5" w:rsidP="00B673B5">
            <w:pPr>
              <w:rPr>
                <w:rFonts w:asciiTheme="minorHAnsi" w:hAnsiTheme="minorHAnsi" w:cs="Arial"/>
                <w:b/>
              </w:rPr>
            </w:pPr>
            <w:r w:rsidRPr="00A175F7">
              <w:rPr>
                <w:rFonts w:asciiTheme="minorHAnsi" w:hAnsiTheme="minorHAnsi" w:cs="Arial"/>
                <w:b/>
              </w:rPr>
              <w:t>New Zealand</w:t>
            </w:r>
          </w:p>
          <w:p w14:paraId="39E58284" w14:textId="77777777" w:rsidR="00B673B5" w:rsidRDefault="00B673B5" w:rsidP="00B673B5">
            <w:pPr>
              <w:spacing w:line="260" w:lineRule="atLeast"/>
            </w:pPr>
            <w:r w:rsidRPr="00A175F7">
              <w:t>NZX</w:t>
            </w:r>
            <w:r>
              <w:t>,</w:t>
            </w:r>
            <w:r w:rsidRPr="00A175F7">
              <w:t xml:space="preserve"> also known as New Zealand’s Exchange</w:t>
            </w:r>
          </w:p>
        </w:tc>
        <w:tc>
          <w:tcPr>
            <w:tcW w:w="2934" w:type="dxa"/>
            <w:gridSpan w:val="2"/>
          </w:tcPr>
          <w:p w14:paraId="34CCC431" w14:textId="77777777" w:rsidR="00B673B5" w:rsidRPr="00A175F7" w:rsidRDefault="00B673B5" w:rsidP="00B673B5">
            <w:pPr>
              <w:rPr>
                <w:rFonts w:asciiTheme="minorHAnsi" w:hAnsiTheme="minorHAnsi" w:cs="Arial"/>
                <w:b/>
              </w:rPr>
            </w:pPr>
            <w:r w:rsidRPr="00A175F7">
              <w:rPr>
                <w:rFonts w:asciiTheme="minorHAnsi" w:hAnsiTheme="minorHAnsi" w:cs="Arial"/>
                <w:b/>
              </w:rPr>
              <w:t>New Zealand</w:t>
            </w:r>
          </w:p>
          <w:p w14:paraId="2E8F5528" w14:textId="77777777" w:rsidR="00B673B5" w:rsidRPr="00A175F7" w:rsidRDefault="00B673B5" w:rsidP="00B673B5">
            <w:pPr>
              <w:spacing w:after="0"/>
            </w:pPr>
            <w:r w:rsidRPr="00A175F7">
              <w:t>NZX</w:t>
            </w:r>
            <w:r>
              <w:t>,</w:t>
            </w:r>
            <w:r w:rsidRPr="00A175F7">
              <w:t xml:space="preserve"> also known as New Zealand’s Exchange</w:t>
            </w:r>
          </w:p>
        </w:tc>
      </w:tr>
      <w:tr w:rsidR="00B673B5" w14:paraId="72C81347" w14:textId="77777777" w:rsidTr="00B673B5">
        <w:tc>
          <w:tcPr>
            <w:tcW w:w="2802" w:type="dxa"/>
          </w:tcPr>
          <w:p w14:paraId="074E6EB3" w14:textId="77777777" w:rsidR="00B673B5" w:rsidRPr="00A175F7" w:rsidRDefault="00B673B5" w:rsidP="00B673B5">
            <w:pPr>
              <w:spacing w:after="0"/>
            </w:pPr>
          </w:p>
        </w:tc>
        <w:tc>
          <w:tcPr>
            <w:tcW w:w="2693" w:type="dxa"/>
          </w:tcPr>
          <w:p w14:paraId="66F96B31" w14:textId="77777777" w:rsidR="00B673B5" w:rsidRPr="00A175F7" w:rsidRDefault="00B673B5" w:rsidP="00B673B5">
            <w:pPr>
              <w:spacing w:after="0"/>
            </w:pPr>
          </w:p>
        </w:tc>
        <w:tc>
          <w:tcPr>
            <w:tcW w:w="2934" w:type="dxa"/>
            <w:gridSpan w:val="2"/>
          </w:tcPr>
          <w:p w14:paraId="0992306A" w14:textId="77777777" w:rsidR="00B673B5" w:rsidRPr="00A175F7" w:rsidRDefault="00B673B5" w:rsidP="00B673B5">
            <w:pPr>
              <w:rPr>
                <w:rFonts w:asciiTheme="minorHAnsi" w:hAnsiTheme="minorHAnsi" w:cs="Arial"/>
                <w:b/>
              </w:rPr>
            </w:pPr>
            <w:r w:rsidRPr="00A175F7">
              <w:rPr>
                <w:rFonts w:asciiTheme="minorHAnsi" w:hAnsiTheme="minorHAnsi" w:cs="Arial"/>
                <w:b/>
              </w:rPr>
              <w:t>Nigeria</w:t>
            </w:r>
          </w:p>
          <w:p w14:paraId="4857FE6A" w14:textId="77777777" w:rsidR="00B673B5" w:rsidRPr="00A175F7" w:rsidRDefault="00B673B5" w:rsidP="00B673B5">
            <w:r w:rsidRPr="00A175F7">
              <w:t>Nigerian Stock Exchange</w:t>
            </w:r>
          </w:p>
        </w:tc>
      </w:tr>
      <w:tr w:rsidR="00B673B5" w14:paraId="1FBF3A57" w14:textId="77777777" w:rsidTr="00B673B5">
        <w:tc>
          <w:tcPr>
            <w:tcW w:w="2802" w:type="dxa"/>
          </w:tcPr>
          <w:p w14:paraId="009884C8" w14:textId="77777777" w:rsidR="00B673B5" w:rsidRPr="00A175F7" w:rsidRDefault="00B673B5" w:rsidP="00B673B5">
            <w:pPr>
              <w:spacing w:after="0"/>
            </w:pPr>
          </w:p>
        </w:tc>
        <w:tc>
          <w:tcPr>
            <w:tcW w:w="2693" w:type="dxa"/>
          </w:tcPr>
          <w:p w14:paraId="762A950A" w14:textId="77777777" w:rsidR="00B673B5" w:rsidRPr="00A175F7" w:rsidRDefault="00B673B5" w:rsidP="00B673B5">
            <w:pPr>
              <w:spacing w:after="0"/>
            </w:pPr>
          </w:p>
        </w:tc>
        <w:tc>
          <w:tcPr>
            <w:tcW w:w="2934" w:type="dxa"/>
            <w:gridSpan w:val="2"/>
          </w:tcPr>
          <w:p w14:paraId="5AA49D2A" w14:textId="77777777" w:rsidR="00B673B5" w:rsidRPr="00A175F7" w:rsidRDefault="00B673B5" w:rsidP="00B673B5">
            <w:pPr>
              <w:rPr>
                <w:rFonts w:asciiTheme="minorHAnsi" w:hAnsiTheme="minorHAnsi" w:cs="Arial"/>
                <w:b/>
              </w:rPr>
            </w:pPr>
            <w:r w:rsidRPr="00A175F7">
              <w:rPr>
                <w:rFonts w:asciiTheme="minorHAnsi" w:hAnsiTheme="minorHAnsi" w:cs="Arial"/>
                <w:b/>
              </w:rPr>
              <w:t>Norway</w:t>
            </w:r>
          </w:p>
          <w:p w14:paraId="782E3549" w14:textId="77777777" w:rsidR="00B673B5" w:rsidRPr="00A175F7" w:rsidRDefault="00B673B5" w:rsidP="00B673B5">
            <w:r w:rsidRPr="00A175F7">
              <w:t>Oslo Stock Exchange</w:t>
            </w:r>
          </w:p>
        </w:tc>
      </w:tr>
      <w:tr w:rsidR="00B673B5" w14:paraId="2A8206BD" w14:textId="77777777" w:rsidTr="00B673B5">
        <w:tc>
          <w:tcPr>
            <w:tcW w:w="2802" w:type="dxa"/>
          </w:tcPr>
          <w:p w14:paraId="062DE903"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Pakistan</w:t>
            </w:r>
          </w:p>
          <w:p w14:paraId="2A50BD8E" w14:textId="77777777" w:rsidR="00B673B5" w:rsidRDefault="00B673B5" w:rsidP="00B673B5">
            <w:pPr>
              <w:spacing w:after="0"/>
            </w:pPr>
            <w:r w:rsidRPr="00EC7837">
              <w:t>Karachi stock exchange</w:t>
            </w:r>
          </w:p>
        </w:tc>
        <w:tc>
          <w:tcPr>
            <w:tcW w:w="2693" w:type="dxa"/>
          </w:tcPr>
          <w:p w14:paraId="7684C387" w14:textId="77777777" w:rsidR="00B673B5" w:rsidRPr="00A175F7" w:rsidRDefault="00B673B5" w:rsidP="00B673B5">
            <w:pPr>
              <w:rPr>
                <w:rFonts w:asciiTheme="minorHAnsi" w:hAnsiTheme="minorHAnsi" w:cs="Arial"/>
                <w:b/>
              </w:rPr>
            </w:pPr>
            <w:r w:rsidRPr="00A175F7">
              <w:rPr>
                <w:rFonts w:asciiTheme="minorHAnsi" w:hAnsiTheme="minorHAnsi" w:cs="Arial"/>
                <w:b/>
              </w:rPr>
              <w:t>Pakistan</w:t>
            </w:r>
          </w:p>
          <w:p w14:paraId="5E4E152A" w14:textId="77777777" w:rsidR="00B673B5" w:rsidRDefault="00B673B5" w:rsidP="00B673B5">
            <w:pPr>
              <w:spacing w:after="0" w:line="260" w:lineRule="atLeast"/>
            </w:pPr>
            <w:r w:rsidRPr="008F7707">
              <w:t>PSX</w:t>
            </w:r>
            <w:r>
              <w:t>,</w:t>
            </w:r>
            <w:r w:rsidRPr="00A175F7">
              <w:t xml:space="preserve"> </w:t>
            </w:r>
            <w:r w:rsidRPr="00677F6A">
              <w:t xml:space="preserve">also known as </w:t>
            </w:r>
            <w:r w:rsidRPr="00A175F7">
              <w:t xml:space="preserve">Pakistan Stock Exchange </w:t>
            </w:r>
          </w:p>
        </w:tc>
        <w:tc>
          <w:tcPr>
            <w:tcW w:w="2934" w:type="dxa"/>
            <w:gridSpan w:val="2"/>
          </w:tcPr>
          <w:p w14:paraId="748EE783" w14:textId="77777777" w:rsidR="00B673B5" w:rsidRPr="00A175F7" w:rsidRDefault="00B673B5" w:rsidP="00B673B5">
            <w:pPr>
              <w:rPr>
                <w:rFonts w:asciiTheme="minorHAnsi" w:hAnsiTheme="minorHAnsi" w:cs="Arial"/>
                <w:b/>
              </w:rPr>
            </w:pPr>
            <w:r w:rsidRPr="00A175F7">
              <w:rPr>
                <w:rFonts w:asciiTheme="minorHAnsi" w:hAnsiTheme="minorHAnsi" w:cs="Arial"/>
                <w:b/>
              </w:rPr>
              <w:t>Pakistan</w:t>
            </w:r>
          </w:p>
          <w:p w14:paraId="29548514" w14:textId="77777777" w:rsidR="00B673B5" w:rsidRPr="00A175F7" w:rsidRDefault="00B673B5" w:rsidP="00B673B5">
            <w:r w:rsidRPr="008F7707">
              <w:t>PSX</w:t>
            </w:r>
            <w:r>
              <w:t>,</w:t>
            </w:r>
            <w:r w:rsidRPr="00677F6A">
              <w:t xml:space="preserve"> also known as Pakistan Stock Exchange</w:t>
            </w:r>
          </w:p>
        </w:tc>
      </w:tr>
      <w:tr w:rsidR="00B673B5" w14:paraId="4B976829" w14:textId="77777777" w:rsidTr="00B673B5">
        <w:tc>
          <w:tcPr>
            <w:tcW w:w="2802" w:type="dxa"/>
          </w:tcPr>
          <w:p w14:paraId="59495C85" w14:textId="77777777" w:rsidR="00B673B5" w:rsidRPr="00A175F7" w:rsidRDefault="00B673B5" w:rsidP="00B673B5">
            <w:pPr>
              <w:spacing w:after="0"/>
            </w:pPr>
          </w:p>
        </w:tc>
        <w:tc>
          <w:tcPr>
            <w:tcW w:w="2693" w:type="dxa"/>
          </w:tcPr>
          <w:p w14:paraId="6E6F4EAD" w14:textId="77777777" w:rsidR="00B673B5" w:rsidRPr="00A175F7" w:rsidRDefault="00B673B5" w:rsidP="00B673B5">
            <w:pPr>
              <w:spacing w:after="0"/>
            </w:pPr>
          </w:p>
        </w:tc>
        <w:tc>
          <w:tcPr>
            <w:tcW w:w="2934" w:type="dxa"/>
            <w:gridSpan w:val="2"/>
          </w:tcPr>
          <w:p w14:paraId="3F2A466C" w14:textId="77777777" w:rsidR="00B673B5" w:rsidRPr="00A175F7" w:rsidRDefault="00B673B5" w:rsidP="00B673B5">
            <w:pPr>
              <w:rPr>
                <w:rFonts w:asciiTheme="minorHAnsi" w:hAnsiTheme="minorHAnsi" w:cs="Arial"/>
                <w:b/>
              </w:rPr>
            </w:pPr>
            <w:r w:rsidRPr="00A175F7">
              <w:rPr>
                <w:rFonts w:asciiTheme="minorHAnsi" w:hAnsiTheme="minorHAnsi" w:cs="Arial"/>
                <w:b/>
              </w:rPr>
              <w:t>Peru</w:t>
            </w:r>
          </w:p>
          <w:p w14:paraId="53DC7593" w14:textId="77777777" w:rsidR="00B673B5" w:rsidRPr="00A175F7" w:rsidRDefault="00B673B5" w:rsidP="00B673B5">
            <w:r w:rsidRPr="00A175F7">
              <w:t>Lima Stock Exchange</w:t>
            </w:r>
          </w:p>
        </w:tc>
      </w:tr>
      <w:tr w:rsidR="00B673B5" w14:paraId="6EBC6750" w14:textId="77777777" w:rsidTr="00B673B5">
        <w:tc>
          <w:tcPr>
            <w:tcW w:w="2802" w:type="dxa"/>
          </w:tcPr>
          <w:p w14:paraId="0A83CBFB" w14:textId="77777777" w:rsidR="00B673B5" w:rsidRPr="00A175F7" w:rsidRDefault="00B673B5" w:rsidP="00B673B5">
            <w:pPr>
              <w:rPr>
                <w:rFonts w:asciiTheme="minorHAnsi" w:hAnsiTheme="minorHAnsi" w:cs="Arial"/>
                <w:b/>
              </w:rPr>
            </w:pPr>
            <w:r w:rsidRPr="00A175F7">
              <w:rPr>
                <w:rFonts w:asciiTheme="minorHAnsi" w:hAnsiTheme="minorHAnsi" w:cs="Arial"/>
                <w:b/>
              </w:rPr>
              <w:t>Philippines</w:t>
            </w:r>
          </w:p>
          <w:p w14:paraId="7D3522EA" w14:textId="77777777" w:rsidR="00B673B5" w:rsidRPr="00A175F7" w:rsidRDefault="00B673B5" w:rsidP="00B673B5">
            <w:pPr>
              <w:spacing w:after="0"/>
            </w:pPr>
            <w:r w:rsidRPr="00EC7837">
              <w:t>Makati stock exchange</w:t>
            </w:r>
          </w:p>
          <w:p w14:paraId="7A8956D4" w14:textId="77777777" w:rsidR="00B673B5" w:rsidRDefault="00B673B5" w:rsidP="00B673B5">
            <w:pPr>
              <w:spacing w:after="0"/>
            </w:pPr>
            <w:r w:rsidRPr="00EC7837">
              <w:t>Manila stock exchange</w:t>
            </w:r>
          </w:p>
        </w:tc>
        <w:tc>
          <w:tcPr>
            <w:tcW w:w="2693" w:type="dxa"/>
          </w:tcPr>
          <w:p w14:paraId="01D4EB8B" w14:textId="77777777" w:rsidR="00B673B5" w:rsidRPr="00A175F7" w:rsidRDefault="00B673B5" w:rsidP="00B673B5">
            <w:pPr>
              <w:rPr>
                <w:rFonts w:asciiTheme="minorHAnsi" w:hAnsiTheme="minorHAnsi" w:cs="Arial"/>
                <w:b/>
              </w:rPr>
            </w:pPr>
            <w:r w:rsidRPr="00A175F7">
              <w:rPr>
                <w:rFonts w:asciiTheme="minorHAnsi" w:hAnsiTheme="minorHAnsi" w:cs="Arial"/>
                <w:b/>
              </w:rPr>
              <w:t>Philippines</w:t>
            </w:r>
          </w:p>
          <w:p w14:paraId="605CF5F5" w14:textId="77777777" w:rsidR="00B673B5" w:rsidRDefault="00B673B5" w:rsidP="00B673B5">
            <w:pPr>
              <w:spacing w:line="260" w:lineRule="atLeast"/>
            </w:pPr>
            <w:r w:rsidRPr="00A175F7">
              <w:t>Philippine Stock Exchange</w:t>
            </w:r>
          </w:p>
        </w:tc>
        <w:tc>
          <w:tcPr>
            <w:tcW w:w="2934" w:type="dxa"/>
            <w:gridSpan w:val="2"/>
          </w:tcPr>
          <w:p w14:paraId="69549644" w14:textId="77777777" w:rsidR="00B673B5" w:rsidRPr="00A175F7" w:rsidRDefault="00B673B5" w:rsidP="00B673B5">
            <w:r w:rsidRPr="00A175F7">
              <w:rPr>
                <w:rFonts w:asciiTheme="minorHAnsi" w:hAnsiTheme="minorHAnsi" w:cs="Arial"/>
                <w:b/>
              </w:rPr>
              <w:t>Philippines</w:t>
            </w:r>
          </w:p>
          <w:p w14:paraId="6D158C83" w14:textId="77777777" w:rsidR="00B673B5" w:rsidRPr="00A175F7" w:rsidRDefault="00B673B5" w:rsidP="00B673B5">
            <w:pPr>
              <w:spacing w:after="0"/>
            </w:pPr>
            <w:r w:rsidRPr="00A175F7">
              <w:t>Philippine Stock Exchange</w:t>
            </w:r>
          </w:p>
        </w:tc>
      </w:tr>
      <w:tr w:rsidR="00B673B5" w14:paraId="0B4E3D95" w14:textId="77777777" w:rsidTr="00B673B5">
        <w:tc>
          <w:tcPr>
            <w:tcW w:w="2802" w:type="dxa"/>
          </w:tcPr>
          <w:p w14:paraId="4CD44D4A" w14:textId="77777777" w:rsidR="00B673B5" w:rsidRPr="00A175F7" w:rsidRDefault="00B673B5" w:rsidP="00B673B5">
            <w:pPr>
              <w:spacing w:after="0"/>
            </w:pPr>
          </w:p>
        </w:tc>
        <w:tc>
          <w:tcPr>
            <w:tcW w:w="2693" w:type="dxa"/>
          </w:tcPr>
          <w:p w14:paraId="07A5F903" w14:textId="77777777" w:rsidR="00B673B5" w:rsidRPr="00A175F7" w:rsidRDefault="00B673B5" w:rsidP="00B673B5">
            <w:pPr>
              <w:spacing w:after="0"/>
            </w:pPr>
          </w:p>
        </w:tc>
        <w:tc>
          <w:tcPr>
            <w:tcW w:w="2934" w:type="dxa"/>
            <w:gridSpan w:val="2"/>
          </w:tcPr>
          <w:p w14:paraId="054E9580" w14:textId="77777777" w:rsidR="00B673B5" w:rsidRPr="00A175F7" w:rsidRDefault="00B673B5" w:rsidP="00B673B5">
            <w:pPr>
              <w:rPr>
                <w:rFonts w:asciiTheme="minorHAnsi" w:hAnsiTheme="minorHAnsi" w:cs="Arial"/>
                <w:b/>
              </w:rPr>
            </w:pPr>
            <w:r w:rsidRPr="00A175F7">
              <w:rPr>
                <w:rFonts w:asciiTheme="minorHAnsi" w:hAnsiTheme="minorHAnsi" w:cs="Arial"/>
                <w:b/>
              </w:rPr>
              <w:t>Poland</w:t>
            </w:r>
          </w:p>
          <w:p w14:paraId="32CA05D3" w14:textId="77777777" w:rsidR="00B673B5" w:rsidRPr="00A175F7" w:rsidRDefault="00B673B5" w:rsidP="00B673B5">
            <w:r w:rsidRPr="00A175F7">
              <w:t>Warsaw Stock Exchange</w:t>
            </w:r>
          </w:p>
        </w:tc>
      </w:tr>
      <w:tr w:rsidR="00B673B5" w14:paraId="33AAFCB4" w14:textId="77777777" w:rsidTr="00B673B5">
        <w:tc>
          <w:tcPr>
            <w:tcW w:w="2802" w:type="dxa"/>
          </w:tcPr>
          <w:p w14:paraId="539D2D02" w14:textId="77777777" w:rsidR="00B673B5" w:rsidRPr="00A175F7" w:rsidRDefault="00B673B5" w:rsidP="00B673B5">
            <w:pPr>
              <w:keepNext/>
              <w:keepLines/>
              <w:rPr>
                <w:rFonts w:asciiTheme="minorHAnsi" w:hAnsiTheme="minorHAnsi" w:cs="Arial"/>
                <w:b/>
              </w:rPr>
            </w:pPr>
            <w:r w:rsidRPr="00A175F7">
              <w:rPr>
                <w:rFonts w:asciiTheme="minorHAnsi" w:hAnsiTheme="minorHAnsi" w:cs="Arial"/>
                <w:b/>
              </w:rPr>
              <w:t>Portugal</w:t>
            </w:r>
          </w:p>
          <w:p w14:paraId="4FD48230" w14:textId="77777777" w:rsidR="00B673B5" w:rsidRPr="00A175F7" w:rsidRDefault="00B673B5" w:rsidP="00B673B5">
            <w:pPr>
              <w:keepNext/>
              <w:keepLines/>
              <w:spacing w:after="0"/>
            </w:pPr>
            <w:r w:rsidRPr="00EC7837">
              <w:t>Lisbon stock exchange</w:t>
            </w:r>
          </w:p>
          <w:p w14:paraId="26934AD3" w14:textId="77777777" w:rsidR="00B673B5" w:rsidRDefault="00B673B5" w:rsidP="00B673B5">
            <w:pPr>
              <w:keepNext/>
              <w:keepLines/>
            </w:pPr>
            <w:r w:rsidRPr="00EC7837">
              <w:t>Oporto stock exchange</w:t>
            </w:r>
          </w:p>
        </w:tc>
        <w:tc>
          <w:tcPr>
            <w:tcW w:w="2693" w:type="dxa"/>
          </w:tcPr>
          <w:p w14:paraId="7BAA3CE4" w14:textId="77777777" w:rsidR="00B673B5" w:rsidRPr="00A175F7" w:rsidRDefault="00B673B5" w:rsidP="00B673B5">
            <w:pPr>
              <w:rPr>
                <w:rFonts w:asciiTheme="minorHAnsi" w:hAnsiTheme="minorHAnsi" w:cs="Arial"/>
                <w:b/>
              </w:rPr>
            </w:pPr>
            <w:r w:rsidRPr="00A175F7">
              <w:rPr>
                <w:rFonts w:asciiTheme="minorHAnsi" w:hAnsiTheme="minorHAnsi" w:cs="Arial"/>
                <w:b/>
              </w:rPr>
              <w:t>Portugal</w:t>
            </w:r>
          </w:p>
          <w:p w14:paraId="4CEEF887" w14:textId="77777777" w:rsidR="00B673B5" w:rsidRDefault="00B673B5" w:rsidP="00B673B5">
            <w:pPr>
              <w:spacing w:after="0" w:line="260" w:lineRule="atLeast"/>
            </w:pPr>
            <w:r w:rsidRPr="00A175F7">
              <w:t>Euronext Lisbon</w:t>
            </w:r>
          </w:p>
        </w:tc>
        <w:tc>
          <w:tcPr>
            <w:tcW w:w="2934" w:type="dxa"/>
            <w:gridSpan w:val="2"/>
          </w:tcPr>
          <w:p w14:paraId="06C13D12" w14:textId="77777777" w:rsidR="00B673B5" w:rsidRPr="00A175F7" w:rsidRDefault="00B673B5" w:rsidP="00B673B5">
            <w:pPr>
              <w:rPr>
                <w:rFonts w:asciiTheme="minorHAnsi" w:hAnsiTheme="minorHAnsi" w:cs="Arial"/>
                <w:b/>
              </w:rPr>
            </w:pPr>
            <w:r w:rsidRPr="00A175F7">
              <w:rPr>
                <w:rFonts w:asciiTheme="minorHAnsi" w:hAnsiTheme="minorHAnsi" w:cs="Arial"/>
                <w:b/>
              </w:rPr>
              <w:t>Portugal</w:t>
            </w:r>
          </w:p>
          <w:p w14:paraId="3E508FD7" w14:textId="77777777" w:rsidR="00B673B5" w:rsidRPr="00A175F7" w:rsidRDefault="00B673B5" w:rsidP="00B673B5">
            <w:pPr>
              <w:spacing w:after="0"/>
            </w:pPr>
            <w:r w:rsidRPr="00A175F7">
              <w:t>Euronext Lisbon</w:t>
            </w:r>
          </w:p>
        </w:tc>
      </w:tr>
      <w:tr w:rsidR="00B673B5" w14:paraId="46085F9B" w14:textId="77777777" w:rsidTr="00B673B5">
        <w:tc>
          <w:tcPr>
            <w:tcW w:w="2802" w:type="dxa"/>
          </w:tcPr>
          <w:p w14:paraId="41AD57D0" w14:textId="77777777" w:rsidR="00B673B5" w:rsidRPr="00A175F7" w:rsidRDefault="00B673B5" w:rsidP="00B673B5">
            <w:pPr>
              <w:rPr>
                <w:rFonts w:asciiTheme="minorHAnsi" w:hAnsiTheme="minorHAnsi" w:cs="Arial"/>
                <w:b/>
              </w:rPr>
            </w:pPr>
            <w:r w:rsidRPr="00A175F7">
              <w:rPr>
                <w:rFonts w:asciiTheme="minorHAnsi" w:hAnsiTheme="minorHAnsi" w:cs="Arial"/>
                <w:b/>
              </w:rPr>
              <w:t>Yugoslavia, Federal Republic of</w:t>
            </w:r>
          </w:p>
          <w:p w14:paraId="320E98E9" w14:textId="77777777" w:rsidR="00B673B5" w:rsidRPr="00A175F7" w:rsidRDefault="00B673B5" w:rsidP="00B673B5">
            <w:pPr>
              <w:spacing w:after="0"/>
            </w:pPr>
            <w:r w:rsidRPr="00A175F7">
              <w:t>Belgrade stock exchange</w:t>
            </w:r>
          </w:p>
        </w:tc>
        <w:tc>
          <w:tcPr>
            <w:tcW w:w="2693" w:type="dxa"/>
          </w:tcPr>
          <w:p w14:paraId="750CEE05" w14:textId="77777777" w:rsidR="00B673B5" w:rsidRPr="00A175F7" w:rsidRDefault="00B673B5" w:rsidP="00B673B5">
            <w:pPr>
              <w:rPr>
                <w:rFonts w:asciiTheme="minorHAnsi" w:hAnsiTheme="minorHAnsi" w:cs="Arial"/>
                <w:b/>
              </w:rPr>
            </w:pPr>
            <w:r w:rsidRPr="00A175F7">
              <w:rPr>
                <w:rFonts w:asciiTheme="minorHAnsi" w:hAnsiTheme="minorHAnsi" w:cs="Arial"/>
                <w:b/>
              </w:rPr>
              <w:t>Serbia</w:t>
            </w:r>
          </w:p>
          <w:p w14:paraId="0C142BAF" w14:textId="77777777" w:rsidR="00B673B5" w:rsidRPr="00A175F7" w:rsidRDefault="00B673B5" w:rsidP="00B673B5">
            <w:r w:rsidRPr="00A175F7">
              <w:t>Belgrade Stock Exchange</w:t>
            </w:r>
          </w:p>
        </w:tc>
        <w:tc>
          <w:tcPr>
            <w:tcW w:w="2934" w:type="dxa"/>
            <w:gridSpan w:val="2"/>
          </w:tcPr>
          <w:p w14:paraId="7CDC8168" w14:textId="77777777" w:rsidR="00B673B5" w:rsidRPr="00A175F7" w:rsidRDefault="00B673B5" w:rsidP="00B673B5">
            <w:pPr>
              <w:rPr>
                <w:rFonts w:asciiTheme="minorHAnsi" w:hAnsiTheme="minorHAnsi" w:cs="Arial"/>
                <w:b/>
              </w:rPr>
            </w:pPr>
            <w:r w:rsidRPr="00A175F7">
              <w:rPr>
                <w:rFonts w:asciiTheme="minorHAnsi" w:hAnsiTheme="minorHAnsi" w:cs="Arial"/>
                <w:b/>
              </w:rPr>
              <w:t>Serbia</w:t>
            </w:r>
          </w:p>
          <w:p w14:paraId="325D72C3" w14:textId="77777777" w:rsidR="00B673B5" w:rsidRPr="00A175F7" w:rsidRDefault="00B673B5" w:rsidP="00B673B5">
            <w:pPr>
              <w:spacing w:after="0"/>
            </w:pPr>
            <w:r w:rsidRPr="00A175F7">
              <w:t>Belgrade Stock Exchange</w:t>
            </w:r>
          </w:p>
        </w:tc>
      </w:tr>
      <w:tr w:rsidR="00B673B5" w14:paraId="285A0384" w14:textId="77777777" w:rsidTr="00B673B5">
        <w:tc>
          <w:tcPr>
            <w:tcW w:w="2802" w:type="dxa"/>
          </w:tcPr>
          <w:p w14:paraId="4A48A310" w14:textId="77777777" w:rsidR="00B673B5" w:rsidRPr="00677F6A" w:rsidRDefault="00B673B5" w:rsidP="00B673B5">
            <w:pPr>
              <w:rPr>
                <w:rFonts w:asciiTheme="minorHAnsi" w:hAnsiTheme="minorHAnsi" w:cs="Arial"/>
                <w:b/>
              </w:rPr>
            </w:pPr>
            <w:r w:rsidRPr="00677F6A">
              <w:rPr>
                <w:rFonts w:asciiTheme="minorHAnsi" w:hAnsiTheme="minorHAnsi" w:cs="Arial"/>
                <w:b/>
              </w:rPr>
              <w:t>Singapore</w:t>
            </w:r>
          </w:p>
          <w:p w14:paraId="5FA469E9" w14:textId="77777777" w:rsidR="00B673B5" w:rsidRPr="00A175F7" w:rsidRDefault="00B673B5" w:rsidP="00B673B5">
            <w:pPr>
              <w:spacing w:after="0"/>
            </w:pPr>
            <w:r>
              <w:t>Singapore stock exchange</w:t>
            </w:r>
          </w:p>
        </w:tc>
        <w:tc>
          <w:tcPr>
            <w:tcW w:w="2693" w:type="dxa"/>
          </w:tcPr>
          <w:p w14:paraId="41800C53" w14:textId="77777777" w:rsidR="00B673B5" w:rsidRPr="00A175F7" w:rsidRDefault="00B673B5" w:rsidP="00B673B5">
            <w:pPr>
              <w:rPr>
                <w:rFonts w:asciiTheme="minorHAnsi" w:hAnsiTheme="minorHAnsi" w:cs="Arial"/>
                <w:b/>
              </w:rPr>
            </w:pPr>
            <w:r w:rsidRPr="00A175F7">
              <w:rPr>
                <w:rFonts w:asciiTheme="minorHAnsi" w:hAnsiTheme="minorHAnsi" w:cs="Arial"/>
                <w:b/>
              </w:rPr>
              <w:t>Singapore</w:t>
            </w:r>
          </w:p>
          <w:p w14:paraId="6865AF94" w14:textId="77777777" w:rsidR="00B673B5" w:rsidRPr="00A175F7" w:rsidRDefault="00B673B5" w:rsidP="00B673B5">
            <w:r>
              <w:t>Singapore Exchange</w:t>
            </w:r>
          </w:p>
        </w:tc>
        <w:tc>
          <w:tcPr>
            <w:tcW w:w="2934" w:type="dxa"/>
            <w:gridSpan w:val="2"/>
          </w:tcPr>
          <w:p w14:paraId="200DC265" w14:textId="77777777" w:rsidR="00B673B5" w:rsidRPr="00A175F7" w:rsidRDefault="00B673B5" w:rsidP="00B673B5">
            <w:pPr>
              <w:rPr>
                <w:rFonts w:asciiTheme="minorHAnsi" w:hAnsiTheme="minorHAnsi" w:cs="Arial"/>
                <w:b/>
              </w:rPr>
            </w:pPr>
            <w:r w:rsidRPr="00A175F7">
              <w:rPr>
                <w:rFonts w:asciiTheme="minorHAnsi" w:hAnsiTheme="minorHAnsi" w:cs="Arial"/>
                <w:b/>
              </w:rPr>
              <w:t>Singapore</w:t>
            </w:r>
          </w:p>
          <w:p w14:paraId="4AE7594F" w14:textId="77777777" w:rsidR="00B673B5" w:rsidRPr="00A175F7" w:rsidRDefault="00B673B5" w:rsidP="00B673B5">
            <w:pPr>
              <w:spacing w:after="0"/>
            </w:pPr>
            <w:r w:rsidRPr="00A175F7">
              <w:t>Singapore Exchange</w:t>
            </w:r>
          </w:p>
        </w:tc>
      </w:tr>
      <w:tr w:rsidR="00B673B5" w14:paraId="7FC75F49" w14:textId="77777777" w:rsidTr="00B673B5">
        <w:tc>
          <w:tcPr>
            <w:tcW w:w="2802" w:type="dxa"/>
          </w:tcPr>
          <w:p w14:paraId="2045B44C" w14:textId="77777777" w:rsidR="00B673B5" w:rsidRPr="00A175F7" w:rsidRDefault="00B673B5" w:rsidP="00B673B5">
            <w:pPr>
              <w:spacing w:after="0"/>
            </w:pPr>
          </w:p>
        </w:tc>
        <w:tc>
          <w:tcPr>
            <w:tcW w:w="2693" w:type="dxa"/>
          </w:tcPr>
          <w:p w14:paraId="2D229D2E" w14:textId="77777777" w:rsidR="00B673B5" w:rsidRPr="00A175F7" w:rsidRDefault="00B673B5" w:rsidP="00B673B5">
            <w:pPr>
              <w:rPr>
                <w:rFonts w:asciiTheme="minorHAnsi" w:hAnsiTheme="minorHAnsi" w:cs="Arial"/>
                <w:b/>
              </w:rPr>
            </w:pPr>
          </w:p>
        </w:tc>
        <w:tc>
          <w:tcPr>
            <w:tcW w:w="2934" w:type="dxa"/>
            <w:gridSpan w:val="2"/>
          </w:tcPr>
          <w:p w14:paraId="23F4B1D3" w14:textId="77777777" w:rsidR="00B673B5" w:rsidRPr="00A175F7" w:rsidRDefault="00B673B5" w:rsidP="00B673B5">
            <w:pPr>
              <w:rPr>
                <w:rFonts w:asciiTheme="minorHAnsi" w:hAnsiTheme="minorHAnsi" w:cs="Arial"/>
                <w:b/>
              </w:rPr>
            </w:pPr>
            <w:r w:rsidRPr="00A175F7">
              <w:rPr>
                <w:rFonts w:asciiTheme="minorHAnsi" w:hAnsiTheme="minorHAnsi" w:cs="Arial"/>
                <w:b/>
              </w:rPr>
              <w:t>Slovakia</w:t>
            </w:r>
          </w:p>
          <w:p w14:paraId="7D56A365" w14:textId="77777777" w:rsidR="00B673B5" w:rsidRPr="00A175F7" w:rsidRDefault="00B673B5" w:rsidP="00B673B5">
            <w:pPr>
              <w:spacing w:after="0"/>
              <w:rPr>
                <w:rFonts w:asciiTheme="minorHAnsi" w:hAnsiTheme="minorHAnsi" w:cs="Arial"/>
                <w:b/>
              </w:rPr>
            </w:pPr>
            <w:r w:rsidRPr="00A175F7">
              <w:t>Bratislava Stock Exchange</w:t>
            </w:r>
          </w:p>
        </w:tc>
      </w:tr>
      <w:tr w:rsidR="00B673B5" w14:paraId="344452D8" w14:textId="77777777" w:rsidTr="00B673B5">
        <w:tc>
          <w:tcPr>
            <w:tcW w:w="2802" w:type="dxa"/>
          </w:tcPr>
          <w:p w14:paraId="1E9F6EA1" w14:textId="77777777" w:rsidR="00B673B5" w:rsidRPr="00A175F7" w:rsidRDefault="00B673B5" w:rsidP="00B673B5">
            <w:pPr>
              <w:spacing w:after="0"/>
            </w:pPr>
          </w:p>
        </w:tc>
        <w:tc>
          <w:tcPr>
            <w:tcW w:w="2693" w:type="dxa"/>
          </w:tcPr>
          <w:p w14:paraId="6563DABF" w14:textId="77777777" w:rsidR="00B673B5" w:rsidRPr="00A175F7" w:rsidRDefault="00B673B5" w:rsidP="00B673B5">
            <w:pPr>
              <w:spacing w:after="0"/>
            </w:pPr>
          </w:p>
        </w:tc>
        <w:tc>
          <w:tcPr>
            <w:tcW w:w="2934" w:type="dxa"/>
            <w:gridSpan w:val="2"/>
          </w:tcPr>
          <w:p w14:paraId="42CBBD6F" w14:textId="77777777" w:rsidR="00B673B5" w:rsidRPr="00A175F7" w:rsidRDefault="00B673B5" w:rsidP="00B673B5">
            <w:pPr>
              <w:rPr>
                <w:rFonts w:asciiTheme="minorHAnsi" w:hAnsiTheme="minorHAnsi" w:cs="Arial"/>
                <w:b/>
              </w:rPr>
            </w:pPr>
            <w:r w:rsidRPr="00A175F7">
              <w:rPr>
                <w:rFonts w:asciiTheme="minorHAnsi" w:hAnsiTheme="minorHAnsi" w:cs="Arial"/>
                <w:b/>
              </w:rPr>
              <w:t>Slovenia</w:t>
            </w:r>
          </w:p>
          <w:p w14:paraId="1D2F2252" w14:textId="77777777" w:rsidR="00B673B5" w:rsidRPr="00A175F7" w:rsidRDefault="00B673B5" w:rsidP="00B673B5">
            <w:r w:rsidRPr="00A175F7">
              <w:t>Ljubljana Stock Exchange</w:t>
            </w:r>
          </w:p>
        </w:tc>
      </w:tr>
      <w:tr w:rsidR="00B673B5" w14:paraId="555D437A" w14:textId="77777777" w:rsidTr="00B673B5">
        <w:tc>
          <w:tcPr>
            <w:tcW w:w="2802" w:type="dxa"/>
          </w:tcPr>
          <w:p w14:paraId="3C2B0501" w14:textId="77777777" w:rsidR="00B673B5" w:rsidRPr="00A175F7" w:rsidRDefault="00B673B5" w:rsidP="00B673B5">
            <w:pPr>
              <w:spacing w:after="0"/>
            </w:pPr>
          </w:p>
        </w:tc>
        <w:tc>
          <w:tcPr>
            <w:tcW w:w="2693" w:type="dxa"/>
          </w:tcPr>
          <w:p w14:paraId="596BDDB7" w14:textId="77777777" w:rsidR="00B673B5" w:rsidRPr="00A175F7" w:rsidRDefault="00B673B5" w:rsidP="00B673B5">
            <w:pPr>
              <w:spacing w:after="0"/>
            </w:pPr>
          </w:p>
        </w:tc>
        <w:tc>
          <w:tcPr>
            <w:tcW w:w="2934" w:type="dxa"/>
            <w:gridSpan w:val="2"/>
          </w:tcPr>
          <w:p w14:paraId="1A2593F8" w14:textId="77777777" w:rsidR="00B673B5" w:rsidRPr="00A175F7" w:rsidRDefault="00B673B5" w:rsidP="00B673B5">
            <w:pPr>
              <w:rPr>
                <w:rFonts w:asciiTheme="minorHAnsi" w:hAnsiTheme="minorHAnsi" w:cs="Arial"/>
                <w:b/>
              </w:rPr>
            </w:pPr>
            <w:r w:rsidRPr="00A175F7">
              <w:rPr>
                <w:rFonts w:asciiTheme="minorHAnsi" w:hAnsiTheme="minorHAnsi" w:cs="Arial"/>
                <w:b/>
              </w:rPr>
              <w:t>South Africa</w:t>
            </w:r>
          </w:p>
          <w:p w14:paraId="2EAA4672" w14:textId="77777777" w:rsidR="00B673B5" w:rsidRPr="00A175F7" w:rsidRDefault="00B673B5" w:rsidP="00B673B5">
            <w:r w:rsidRPr="00A175F7">
              <w:t>Johannesburg Stock Exchange</w:t>
            </w:r>
          </w:p>
        </w:tc>
      </w:tr>
      <w:tr w:rsidR="00B673B5" w14:paraId="4488E254" w14:textId="77777777" w:rsidTr="00B673B5">
        <w:tc>
          <w:tcPr>
            <w:tcW w:w="2802" w:type="dxa"/>
          </w:tcPr>
          <w:p w14:paraId="75F284C5" w14:textId="77777777" w:rsidR="00B673B5" w:rsidRPr="00A175F7" w:rsidRDefault="00B673B5" w:rsidP="00B673B5">
            <w:pPr>
              <w:spacing w:after="0"/>
            </w:pPr>
          </w:p>
        </w:tc>
        <w:tc>
          <w:tcPr>
            <w:tcW w:w="2693" w:type="dxa"/>
          </w:tcPr>
          <w:p w14:paraId="73DC7785" w14:textId="77777777" w:rsidR="00B673B5" w:rsidRPr="00A175F7" w:rsidRDefault="00B673B5" w:rsidP="00B673B5">
            <w:pPr>
              <w:spacing w:after="0"/>
            </w:pPr>
          </w:p>
        </w:tc>
        <w:tc>
          <w:tcPr>
            <w:tcW w:w="2934" w:type="dxa"/>
            <w:gridSpan w:val="2"/>
          </w:tcPr>
          <w:p w14:paraId="6BE21031" w14:textId="77777777" w:rsidR="00B673B5" w:rsidRPr="00A175F7" w:rsidRDefault="00B673B5" w:rsidP="00B673B5">
            <w:pPr>
              <w:rPr>
                <w:rFonts w:asciiTheme="minorHAnsi" w:hAnsiTheme="minorHAnsi" w:cs="Arial"/>
                <w:b/>
              </w:rPr>
            </w:pPr>
            <w:r w:rsidRPr="00A175F7">
              <w:rPr>
                <w:rFonts w:asciiTheme="minorHAnsi" w:hAnsiTheme="minorHAnsi" w:cs="Arial"/>
                <w:b/>
              </w:rPr>
              <w:t>Spain</w:t>
            </w:r>
          </w:p>
          <w:p w14:paraId="5A9410C6" w14:textId="77777777" w:rsidR="00B673B5" w:rsidRPr="00A175F7" w:rsidRDefault="00B673B5" w:rsidP="00B673B5">
            <w:pPr>
              <w:spacing w:after="0"/>
            </w:pPr>
            <w:r w:rsidRPr="00A175F7">
              <w:t>Barcelona Stock Exchange</w:t>
            </w:r>
          </w:p>
          <w:p w14:paraId="7D546833" w14:textId="77777777" w:rsidR="00B673B5" w:rsidRPr="00A175F7" w:rsidRDefault="00B673B5" w:rsidP="00B673B5">
            <w:pPr>
              <w:spacing w:after="0"/>
            </w:pPr>
            <w:r w:rsidRPr="00A175F7">
              <w:t>Bilbao Stock Exchange</w:t>
            </w:r>
          </w:p>
          <w:p w14:paraId="2A2E586D" w14:textId="77777777" w:rsidR="00B673B5" w:rsidRPr="00A175F7" w:rsidRDefault="00B673B5" w:rsidP="00B673B5">
            <w:pPr>
              <w:spacing w:after="0"/>
            </w:pPr>
            <w:r w:rsidRPr="00A175F7">
              <w:t>Madrid Stock Exchange</w:t>
            </w:r>
          </w:p>
          <w:p w14:paraId="4F0316A7" w14:textId="77777777" w:rsidR="00B673B5" w:rsidRPr="00A175F7" w:rsidRDefault="00B673B5" w:rsidP="00B673B5">
            <w:r w:rsidRPr="00A175F7">
              <w:lastRenderedPageBreak/>
              <w:t>Valencia Stock Exchange</w:t>
            </w:r>
          </w:p>
        </w:tc>
      </w:tr>
      <w:tr w:rsidR="00B673B5" w14:paraId="7E34BF95" w14:textId="77777777" w:rsidTr="00B673B5">
        <w:tc>
          <w:tcPr>
            <w:tcW w:w="2802" w:type="dxa"/>
          </w:tcPr>
          <w:p w14:paraId="525F8C4D" w14:textId="77777777" w:rsidR="00B673B5" w:rsidRPr="00A175F7" w:rsidRDefault="00B673B5" w:rsidP="00B673B5">
            <w:pPr>
              <w:spacing w:after="0"/>
            </w:pPr>
          </w:p>
        </w:tc>
        <w:tc>
          <w:tcPr>
            <w:tcW w:w="2693" w:type="dxa"/>
          </w:tcPr>
          <w:p w14:paraId="3696535E" w14:textId="77777777" w:rsidR="00B673B5" w:rsidRPr="00A175F7" w:rsidRDefault="00B673B5" w:rsidP="00B673B5">
            <w:pPr>
              <w:spacing w:after="0"/>
            </w:pPr>
          </w:p>
        </w:tc>
        <w:tc>
          <w:tcPr>
            <w:tcW w:w="2934" w:type="dxa"/>
            <w:gridSpan w:val="2"/>
          </w:tcPr>
          <w:p w14:paraId="40091E7B" w14:textId="77777777" w:rsidR="00B673B5" w:rsidRPr="00A175F7" w:rsidRDefault="00B673B5" w:rsidP="00B673B5">
            <w:pPr>
              <w:rPr>
                <w:rFonts w:asciiTheme="minorHAnsi" w:hAnsiTheme="minorHAnsi" w:cs="Arial"/>
                <w:b/>
              </w:rPr>
            </w:pPr>
            <w:r w:rsidRPr="00A175F7">
              <w:rPr>
                <w:rFonts w:asciiTheme="minorHAnsi" w:hAnsiTheme="minorHAnsi" w:cs="Arial"/>
                <w:b/>
              </w:rPr>
              <w:t>Sri Lanka</w:t>
            </w:r>
          </w:p>
          <w:p w14:paraId="38E32CA6" w14:textId="77777777" w:rsidR="00B673B5" w:rsidRPr="00A175F7" w:rsidRDefault="00B673B5" w:rsidP="00B673B5">
            <w:r w:rsidRPr="00A175F7">
              <w:t>Colombo Stock Exchange</w:t>
            </w:r>
          </w:p>
        </w:tc>
      </w:tr>
      <w:tr w:rsidR="00B673B5" w14:paraId="57F8EF83" w14:textId="77777777" w:rsidTr="00B673B5">
        <w:tc>
          <w:tcPr>
            <w:tcW w:w="2802" w:type="dxa"/>
          </w:tcPr>
          <w:p w14:paraId="48A6AAD1" w14:textId="77777777" w:rsidR="00B673B5" w:rsidRPr="00A175F7" w:rsidRDefault="00B673B5" w:rsidP="00B673B5">
            <w:pPr>
              <w:rPr>
                <w:rFonts w:asciiTheme="minorHAnsi" w:hAnsiTheme="minorHAnsi" w:cs="Arial"/>
                <w:b/>
              </w:rPr>
            </w:pPr>
            <w:r w:rsidRPr="00A175F7">
              <w:rPr>
                <w:rFonts w:asciiTheme="minorHAnsi" w:hAnsiTheme="minorHAnsi" w:cs="Arial"/>
                <w:b/>
              </w:rPr>
              <w:t>Sweden</w:t>
            </w:r>
          </w:p>
          <w:p w14:paraId="3CF3FF26" w14:textId="77777777" w:rsidR="00B673B5" w:rsidRDefault="00B673B5" w:rsidP="00B673B5">
            <w:pPr>
              <w:spacing w:after="0"/>
            </w:pPr>
            <w:r w:rsidRPr="00EC7837">
              <w:t>Stockholm stock exchange</w:t>
            </w:r>
          </w:p>
        </w:tc>
        <w:tc>
          <w:tcPr>
            <w:tcW w:w="2693" w:type="dxa"/>
          </w:tcPr>
          <w:p w14:paraId="77902BDE" w14:textId="77777777" w:rsidR="00B673B5" w:rsidRPr="00A175F7" w:rsidRDefault="00B673B5" w:rsidP="00B673B5">
            <w:pPr>
              <w:rPr>
                <w:rFonts w:asciiTheme="minorHAnsi" w:hAnsiTheme="minorHAnsi" w:cs="Arial"/>
                <w:b/>
              </w:rPr>
            </w:pPr>
            <w:r w:rsidRPr="00A175F7">
              <w:rPr>
                <w:rFonts w:asciiTheme="minorHAnsi" w:hAnsiTheme="minorHAnsi" w:cs="Arial"/>
                <w:b/>
              </w:rPr>
              <w:t>Sweden</w:t>
            </w:r>
          </w:p>
          <w:p w14:paraId="70EFE665" w14:textId="77777777" w:rsidR="00B673B5" w:rsidRDefault="00B673B5" w:rsidP="00B673B5">
            <w:r w:rsidRPr="00A175F7">
              <w:t xml:space="preserve">Nasdaq Stockholm </w:t>
            </w:r>
          </w:p>
        </w:tc>
        <w:tc>
          <w:tcPr>
            <w:tcW w:w="2934" w:type="dxa"/>
            <w:gridSpan w:val="2"/>
          </w:tcPr>
          <w:p w14:paraId="3E66AF8C" w14:textId="77777777" w:rsidR="00B673B5" w:rsidRPr="00A175F7" w:rsidRDefault="00B673B5" w:rsidP="00B673B5">
            <w:pPr>
              <w:rPr>
                <w:rFonts w:asciiTheme="minorHAnsi" w:hAnsiTheme="minorHAnsi" w:cs="Arial"/>
                <w:b/>
              </w:rPr>
            </w:pPr>
            <w:r w:rsidRPr="00A175F7">
              <w:rPr>
                <w:rFonts w:asciiTheme="minorHAnsi" w:hAnsiTheme="minorHAnsi" w:cs="Arial"/>
                <w:b/>
              </w:rPr>
              <w:t>Sweden</w:t>
            </w:r>
          </w:p>
          <w:p w14:paraId="04695545" w14:textId="77777777" w:rsidR="00B673B5" w:rsidRPr="00A175F7" w:rsidRDefault="00B673B5" w:rsidP="00B673B5">
            <w:pPr>
              <w:spacing w:after="0"/>
            </w:pPr>
            <w:r w:rsidRPr="00EC7837">
              <w:t>Nasdaq Stockholm</w:t>
            </w:r>
          </w:p>
        </w:tc>
      </w:tr>
      <w:tr w:rsidR="00B673B5" w14:paraId="4BEAE18A" w14:textId="77777777" w:rsidTr="00B673B5">
        <w:tc>
          <w:tcPr>
            <w:tcW w:w="2802" w:type="dxa"/>
          </w:tcPr>
          <w:p w14:paraId="04095E51" w14:textId="77777777" w:rsidR="00B673B5" w:rsidRPr="00A175F7" w:rsidRDefault="00B673B5" w:rsidP="00B673B5">
            <w:pPr>
              <w:rPr>
                <w:rFonts w:asciiTheme="minorHAnsi" w:hAnsiTheme="minorHAnsi" w:cs="Arial"/>
                <w:b/>
              </w:rPr>
            </w:pPr>
            <w:r w:rsidRPr="00A175F7">
              <w:rPr>
                <w:rFonts w:asciiTheme="minorHAnsi" w:hAnsiTheme="minorHAnsi" w:cs="Arial"/>
                <w:b/>
              </w:rPr>
              <w:t>Switzerland</w:t>
            </w:r>
          </w:p>
          <w:p w14:paraId="76740836" w14:textId="77777777" w:rsidR="00B673B5" w:rsidRPr="00A175F7" w:rsidRDefault="00B673B5" w:rsidP="00B673B5">
            <w:pPr>
              <w:spacing w:after="0"/>
            </w:pPr>
            <w:r w:rsidRPr="00EC7837">
              <w:t>Basel stock exchange</w:t>
            </w:r>
          </w:p>
          <w:p w14:paraId="5C6C080F" w14:textId="77777777" w:rsidR="00B673B5" w:rsidRPr="00A175F7" w:rsidRDefault="00B673B5" w:rsidP="00B673B5">
            <w:pPr>
              <w:spacing w:after="0"/>
            </w:pPr>
            <w:r w:rsidRPr="00EC7837">
              <w:t>Geneva stock exchange</w:t>
            </w:r>
          </w:p>
          <w:p w14:paraId="377E1ED0" w14:textId="77777777" w:rsidR="00B673B5" w:rsidRDefault="00B673B5" w:rsidP="00B673B5">
            <w:r w:rsidRPr="00EC7837">
              <w:t>Zurich stock exchange</w:t>
            </w:r>
          </w:p>
        </w:tc>
        <w:tc>
          <w:tcPr>
            <w:tcW w:w="2693" w:type="dxa"/>
          </w:tcPr>
          <w:p w14:paraId="7C70D299" w14:textId="77777777" w:rsidR="00B673B5" w:rsidRPr="00A175F7" w:rsidRDefault="00B673B5" w:rsidP="00B673B5">
            <w:pPr>
              <w:rPr>
                <w:rFonts w:asciiTheme="minorHAnsi" w:hAnsiTheme="minorHAnsi" w:cs="Arial"/>
                <w:b/>
              </w:rPr>
            </w:pPr>
            <w:r w:rsidRPr="00A175F7">
              <w:rPr>
                <w:rFonts w:asciiTheme="minorHAnsi" w:hAnsiTheme="minorHAnsi" w:cs="Arial"/>
                <w:b/>
              </w:rPr>
              <w:t>Switzerland</w:t>
            </w:r>
          </w:p>
          <w:p w14:paraId="0F4C2AE6" w14:textId="77777777" w:rsidR="00B673B5" w:rsidRDefault="00B673B5" w:rsidP="00B673B5">
            <w:pPr>
              <w:spacing w:after="0" w:line="260" w:lineRule="atLeast"/>
            </w:pPr>
            <w:r w:rsidRPr="00A175F7">
              <w:t>SIX Swiss Exchange</w:t>
            </w:r>
          </w:p>
        </w:tc>
        <w:tc>
          <w:tcPr>
            <w:tcW w:w="2934" w:type="dxa"/>
            <w:gridSpan w:val="2"/>
          </w:tcPr>
          <w:p w14:paraId="78168202" w14:textId="77777777" w:rsidR="00B673B5" w:rsidRPr="00A175F7" w:rsidRDefault="00B673B5" w:rsidP="00B673B5">
            <w:pPr>
              <w:rPr>
                <w:rFonts w:asciiTheme="minorHAnsi" w:hAnsiTheme="minorHAnsi" w:cs="Arial"/>
                <w:b/>
              </w:rPr>
            </w:pPr>
            <w:r w:rsidRPr="00A175F7">
              <w:rPr>
                <w:rFonts w:asciiTheme="minorHAnsi" w:hAnsiTheme="minorHAnsi" w:cs="Arial"/>
                <w:b/>
              </w:rPr>
              <w:t>Switzerland</w:t>
            </w:r>
          </w:p>
          <w:p w14:paraId="1286795F" w14:textId="77777777" w:rsidR="00B673B5" w:rsidRPr="00A175F7" w:rsidRDefault="00B673B5" w:rsidP="00B673B5">
            <w:pPr>
              <w:spacing w:after="0"/>
            </w:pPr>
            <w:r w:rsidRPr="00A175F7">
              <w:t>SIX Swiss Exchange</w:t>
            </w:r>
          </w:p>
        </w:tc>
      </w:tr>
      <w:tr w:rsidR="00B673B5" w14:paraId="0491B989" w14:textId="77777777" w:rsidTr="00B673B5">
        <w:tc>
          <w:tcPr>
            <w:tcW w:w="2802" w:type="dxa"/>
          </w:tcPr>
          <w:p w14:paraId="0CDB5589" w14:textId="77777777" w:rsidR="00B673B5" w:rsidRPr="00A175F7" w:rsidRDefault="00B673B5" w:rsidP="00B673B5">
            <w:pPr>
              <w:spacing w:after="0"/>
            </w:pPr>
          </w:p>
        </w:tc>
        <w:tc>
          <w:tcPr>
            <w:tcW w:w="2693" w:type="dxa"/>
          </w:tcPr>
          <w:p w14:paraId="556D198C" w14:textId="77777777" w:rsidR="00B673B5" w:rsidRPr="00A175F7" w:rsidRDefault="00B673B5" w:rsidP="00B673B5">
            <w:pPr>
              <w:spacing w:after="0"/>
            </w:pPr>
          </w:p>
        </w:tc>
        <w:tc>
          <w:tcPr>
            <w:tcW w:w="2934" w:type="dxa"/>
            <w:gridSpan w:val="2"/>
          </w:tcPr>
          <w:p w14:paraId="5579F337" w14:textId="77777777" w:rsidR="00B673B5" w:rsidRPr="00A175F7" w:rsidRDefault="00B673B5" w:rsidP="00B673B5">
            <w:pPr>
              <w:rPr>
                <w:rFonts w:asciiTheme="minorHAnsi" w:hAnsiTheme="minorHAnsi" w:cs="Arial"/>
                <w:b/>
              </w:rPr>
            </w:pPr>
            <w:r w:rsidRPr="00A175F7">
              <w:rPr>
                <w:rFonts w:asciiTheme="minorHAnsi" w:hAnsiTheme="minorHAnsi" w:cs="Arial"/>
                <w:b/>
              </w:rPr>
              <w:t>Taiwan</w:t>
            </w:r>
          </w:p>
          <w:p w14:paraId="42745946" w14:textId="77777777" w:rsidR="00B673B5" w:rsidRPr="00A175F7" w:rsidRDefault="00B673B5" w:rsidP="00B673B5">
            <w:r w:rsidRPr="00A175F7">
              <w:t>Taiwan Stock Exchange</w:t>
            </w:r>
          </w:p>
        </w:tc>
      </w:tr>
      <w:tr w:rsidR="00B673B5" w14:paraId="43632975" w14:textId="77777777" w:rsidTr="00B673B5">
        <w:tc>
          <w:tcPr>
            <w:tcW w:w="2802" w:type="dxa"/>
          </w:tcPr>
          <w:p w14:paraId="65876DD8" w14:textId="77777777" w:rsidR="00B673B5" w:rsidRPr="00A175F7" w:rsidRDefault="00B673B5" w:rsidP="00B673B5">
            <w:pPr>
              <w:keepNext/>
              <w:keepLines/>
              <w:rPr>
                <w:rFonts w:asciiTheme="minorHAnsi" w:hAnsiTheme="minorHAnsi" w:cs="Arial"/>
                <w:b/>
              </w:rPr>
            </w:pPr>
            <w:r w:rsidRPr="00A175F7">
              <w:rPr>
                <w:rFonts w:asciiTheme="minorHAnsi" w:hAnsiTheme="minorHAnsi" w:cs="Arial"/>
                <w:b/>
              </w:rPr>
              <w:t>Thailand</w:t>
            </w:r>
          </w:p>
          <w:p w14:paraId="178DF6B3" w14:textId="77777777" w:rsidR="00B673B5" w:rsidRDefault="00B673B5" w:rsidP="00B673B5">
            <w:pPr>
              <w:keepNext/>
              <w:keepLines/>
              <w:spacing w:after="0"/>
            </w:pPr>
            <w:r w:rsidRPr="00EC7837">
              <w:t>Thailand stock exchange</w:t>
            </w:r>
          </w:p>
        </w:tc>
        <w:tc>
          <w:tcPr>
            <w:tcW w:w="2693" w:type="dxa"/>
          </w:tcPr>
          <w:p w14:paraId="3C3DF4D7" w14:textId="77777777" w:rsidR="00B673B5" w:rsidRPr="00A175F7" w:rsidRDefault="00B673B5" w:rsidP="00B673B5">
            <w:pPr>
              <w:keepNext/>
              <w:keepLines/>
              <w:rPr>
                <w:rFonts w:asciiTheme="minorHAnsi" w:hAnsiTheme="minorHAnsi" w:cs="Arial"/>
                <w:b/>
              </w:rPr>
            </w:pPr>
            <w:r w:rsidRPr="00A175F7">
              <w:rPr>
                <w:rFonts w:asciiTheme="minorHAnsi" w:hAnsiTheme="minorHAnsi" w:cs="Arial"/>
                <w:b/>
              </w:rPr>
              <w:t>Thailand</w:t>
            </w:r>
          </w:p>
          <w:p w14:paraId="2FE69E58" w14:textId="77777777" w:rsidR="00B673B5" w:rsidRDefault="00B673B5" w:rsidP="00B673B5">
            <w:pPr>
              <w:keepNext/>
              <w:keepLines/>
            </w:pPr>
            <w:r w:rsidRPr="00EC7837">
              <w:t>Stock Exchange of Thailand</w:t>
            </w:r>
          </w:p>
        </w:tc>
        <w:tc>
          <w:tcPr>
            <w:tcW w:w="2934" w:type="dxa"/>
            <w:gridSpan w:val="2"/>
          </w:tcPr>
          <w:p w14:paraId="3D555F53" w14:textId="77777777" w:rsidR="00B673B5" w:rsidRPr="00A175F7" w:rsidRDefault="00B673B5" w:rsidP="00B673B5">
            <w:pPr>
              <w:keepNext/>
              <w:keepLines/>
              <w:pageBreakBefore/>
              <w:rPr>
                <w:rFonts w:asciiTheme="minorHAnsi" w:hAnsiTheme="minorHAnsi" w:cs="Arial"/>
                <w:b/>
              </w:rPr>
            </w:pPr>
            <w:r w:rsidRPr="00A175F7">
              <w:rPr>
                <w:rFonts w:asciiTheme="minorHAnsi" w:hAnsiTheme="minorHAnsi" w:cs="Arial"/>
                <w:b/>
              </w:rPr>
              <w:t>Thailand</w:t>
            </w:r>
          </w:p>
          <w:p w14:paraId="0F36C653" w14:textId="77777777" w:rsidR="00B673B5" w:rsidRPr="00A175F7" w:rsidRDefault="00B673B5" w:rsidP="00B673B5">
            <w:pPr>
              <w:keepNext/>
              <w:keepLines/>
              <w:pageBreakBefore/>
              <w:spacing w:after="0"/>
            </w:pPr>
            <w:r w:rsidRPr="00A175F7">
              <w:t>Stock Exchange of Thailand</w:t>
            </w:r>
          </w:p>
        </w:tc>
      </w:tr>
      <w:tr w:rsidR="00B673B5" w14:paraId="4C7A9F4E" w14:textId="77777777" w:rsidTr="00B673B5">
        <w:tblPrEx>
          <w:tblLook w:val="04A0" w:firstRow="1" w:lastRow="0" w:firstColumn="1" w:lastColumn="0" w:noHBand="0" w:noVBand="1"/>
        </w:tblPrEx>
        <w:trPr>
          <w:gridAfter w:val="1"/>
          <w:wAfter w:w="6" w:type="dxa"/>
        </w:trPr>
        <w:tc>
          <w:tcPr>
            <w:tcW w:w="2802" w:type="dxa"/>
          </w:tcPr>
          <w:p w14:paraId="4E3A3609" w14:textId="77777777" w:rsidR="00B673B5" w:rsidRPr="00A175F7" w:rsidRDefault="00B673B5" w:rsidP="00B673B5">
            <w:pPr>
              <w:spacing w:after="0"/>
            </w:pPr>
          </w:p>
        </w:tc>
        <w:tc>
          <w:tcPr>
            <w:tcW w:w="2693" w:type="dxa"/>
          </w:tcPr>
          <w:p w14:paraId="2A37CA84" w14:textId="77777777" w:rsidR="00B673B5" w:rsidRPr="00A175F7" w:rsidRDefault="00B673B5" w:rsidP="00B673B5">
            <w:pPr>
              <w:spacing w:after="0" w:line="260" w:lineRule="atLeast"/>
            </w:pPr>
          </w:p>
        </w:tc>
        <w:tc>
          <w:tcPr>
            <w:tcW w:w="2928" w:type="dxa"/>
          </w:tcPr>
          <w:p w14:paraId="3960FC3A" w14:textId="77777777" w:rsidR="00B673B5" w:rsidRPr="00A175F7" w:rsidRDefault="00B673B5" w:rsidP="00B673B5">
            <w:pPr>
              <w:rPr>
                <w:rFonts w:asciiTheme="minorHAnsi" w:hAnsiTheme="minorHAnsi" w:cs="Arial"/>
                <w:b/>
              </w:rPr>
            </w:pPr>
            <w:r w:rsidRPr="00A175F7">
              <w:rPr>
                <w:rFonts w:asciiTheme="minorHAnsi" w:hAnsiTheme="minorHAnsi" w:cs="Arial"/>
                <w:b/>
              </w:rPr>
              <w:t>Trinidad and Tobago</w:t>
            </w:r>
          </w:p>
          <w:p w14:paraId="58B9017B" w14:textId="77777777" w:rsidR="00B673B5" w:rsidRPr="00A175F7" w:rsidRDefault="00B673B5" w:rsidP="00B673B5">
            <w:r w:rsidRPr="00A175F7">
              <w:t>Trinidad and Tobago Stock Exchange</w:t>
            </w:r>
          </w:p>
        </w:tc>
      </w:tr>
      <w:tr w:rsidR="00B673B5" w14:paraId="5BFF0AC7" w14:textId="77777777" w:rsidTr="00B673B5">
        <w:tblPrEx>
          <w:tblLook w:val="04A0" w:firstRow="1" w:lastRow="0" w:firstColumn="1" w:lastColumn="0" w:noHBand="0" w:noVBand="1"/>
        </w:tblPrEx>
        <w:trPr>
          <w:gridAfter w:val="1"/>
          <w:wAfter w:w="6" w:type="dxa"/>
        </w:trPr>
        <w:tc>
          <w:tcPr>
            <w:tcW w:w="2802" w:type="dxa"/>
          </w:tcPr>
          <w:p w14:paraId="173E4217" w14:textId="77777777" w:rsidR="00B673B5" w:rsidRPr="00677F6A" w:rsidRDefault="00B673B5" w:rsidP="00B673B5">
            <w:pPr>
              <w:rPr>
                <w:rFonts w:asciiTheme="minorHAnsi" w:hAnsiTheme="minorHAnsi" w:cs="Arial"/>
                <w:b/>
              </w:rPr>
            </w:pPr>
            <w:r w:rsidRPr="00677F6A">
              <w:rPr>
                <w:rFonts w:asciiTheme="minorHAnsi" w:hAnsiTheme="minorHAnsi" w:cs="Arial"/>
                <w:b/>
              </w:rPr>
              <w:t>Turkey</w:t>
            </w:r>
          </w:p>
          <w:p w14:paraId="4A7A1C29" w14:textId="77777777" w:rsidR="00B673B5" w:rsidRPr="00A175F7" w:rsidRDefault="00B673B5" w:rsidP="00B673B5">
            <w:pPr>
              <w:spacing w:after="0"/>
            </w:pPr>
            <w:r w:rsidRPr="00677F6A">
              <w:t xml:space="preserve">Istanbul </w:t>
            </w:r>
            <w:r>
              <w:t>s</w:t>
            </w:r>
            <w:r w:rsidRPr="00677F6A">
              <w:t xml:space="preserve">tock </w:t>
            </w:r>
            <w:r>
              <w:t>e</w:t>
            </w:r>
            <w:r w:rsidRPr="00677F6A">
              <w:t>xchange</w:t>
            </w:r>
          </w:p>
        </w:tc>
        <w:tc>
          <w:tcPr>
            <w:tcW w:w="2693" w:type="dxa"/>
          </w:tcPr>
          <w:p w14:paraId="49972663" w14:textId="77777777" w:rsidR="00B673B5" w:rsidRPr="00A175F7" w:rsidRDefault="00B673B5" w:rsidP="00B673B5">
            <w:pPr>
              <w:rPr>
                <w:rFonts w:asciiTheme="minorHAnsi" w:hAnsiTheme="minorHAnsi" w:cs="Arial"/>
                <w:b/>
              </w:rPr>
            </w:pPr>
            <w:r w:rsidRPr="00A175F7">
              <w:rPr>
                <w:rFonts w:asciiTheme="minorHAnsi" w:hAnsiTheme="minorHAnsi" w:cs="Arial"/>
                <w:b/>
              </w:rPr>
              <w:t>Turkey</w:t>
            </w:r>
          </w:p>
          <w:p w14:paraId="46A88778" w14:textId="77777777" w:rsidR="00B673B5" w:rsidRPr="00A175F7" w:rsidRDefault="00B673B5" w:rsidP="00B673B5">
            <w:pPr>
              <w:spacing w:line="260" w:lineRule="atLeast"/>
            </w:pPr>
            <w:r w:rsidRPr="00A175F7">
              <w:t>Borsa Istanbul, also known as Istanbul Stock Exchange</w:t>
            </w:r>
          </w:p>
        </w:tc>
        <w:tc>
          <w:tcPr>
            <w:tcW w:w="2928" w:type="dxa"/>
          </w:tcPr>
          <w:p w14:paraId="4A61E8D3" w14:textId="77777777" w:rsidR="00B673B5" w:rsidRPr="00A175F7" w:rsidRDefault="00B673B5" w:rsidP="00B673B5">
            <w:pPr>
              <w:rPr>
                <w:rFonts w:asciiTheme="minorHAnsi" w:hAnsiTheme="minorHAnsi" w:cs="Arial"/>
                <w:b/>
              </w:rPr>
            </w:pPr>
            <w:r w:rsidRPr="00A175F7">
              <w:rPr>
                <w:rFonts w:asciiTheme="minorHAnsi" w:hAnsiTheme="minorHAnsi" w:cs="Arial"/>
                <w:b/>
              </w:rPr>
              <w:t>Turkey</w:t>
            </w:r>
          </w:p>
          <w:p w14:paraId="292DC583" w14:textId="77777777" w:rsidR="00B673B5" w:rsidRPr="00A175F7" w:rsidRDefault="00B673B5" w:rsidP="00B673B5">
            <w:pPr>
              <w:spacing w:after="0"/>
            </w:pPr>
            <w:r w:rsidRPr="00A175F7">
              <w:t>Borsa Istanbul, also known as Istanbul Stock Exchange</w:t>
            </w:r>
          </w:p>
        </w:tc>
      </w:tr>
      <w:tr w:rsidR="00B673B5" w14:paraId="7D957EE6" w14:textId="77777777" w:rsidTr="00B673B5">
        <w:tblPrEx>
          <w:tblLook w:val="04A0" w:firstRow="1" w:lastRow="0" w:firstColumn="1" w:lastColumn="0" w:noHBand="0" w:noVBand="1"/>
        </w:tblPrEx>
        <w:trPr>
          <w:gridAfter w:val="1"/>
          <w:wAfter w:w="6" w:type="dxa"/>
        </w:trPr>
        <w:tc>
          <w:tcPr>
            <w:tcW w:w="2802" w:type="dxa"/>
          </w:tcPr>
          <w:p w14:paraId="624D6C7A" w14:textId="77777777" w:rsidR="00B673B5" w:rsidRPr="00A175F7" w:rsidRDefault="00B673B5" w:rsidP="00B673B5">
            <w:pPr>
              <w:spacing w:after="0"/>
            </w:pPr>
          </w:p>
        </w:tc>
        <w:tc>
          <w:tcPr>
            <w:tcW w:w="2693" w:type="dxa"/>
          </w:tcPr>
          <w:p w14:paraId="4F476BA5" w14:textId="77777777" w:rsidR="00B673B5" w:rsidRPr="00A175F7" w:rsidRDefault="00B673B5" w:rsidP="00B673B5">
            <w:pPr>
              <w:spacing w:after="0"/>
            </w:pPr>
          </w:p>
        </w:tc>
        <w:tc>
          <w:tcPr>
            <w:tcW w:w="2928" w:type="dxa"/>
          </w:tcPr>
          <w:p w14:paraId="01F9854B" w14:textId="77777777" w:rsidR="00B673B5" w:rsidRPr="00A175F7" w:rsidRDefault="00B673B5" w:rsidP="00B673B5">
            <w:pPr>
              <w:rPr>
                <w:rFonts w:asciiTheme="minorHAnsi" w:hAnsiTheme="minorHAnsi" w:cs="Arial"/>
                <w:b/>
              </w:rPr>
            </w:pPr>
            <w:r w:rsidRPr="00A175F7">
              <w:rPr>
                <w:rFonts w:asciiTheme="minorHAnsi" w:hAnsiTheme="minorHAnsi" w:cs="Arial"/>
                <w:b/>
              </w:rPr>
              <w:t>United Kingdom</w:t>
            </w:r>
          </w:p>
          <w:p w14:paraId="5C7B3462" w14:textId="77777777" w:rsidR="00B673B5" w:rsidRPr="00A175F7" w:rsidRDefault="00B673B5" w:rsidP="00B673B5">
            <w:r w:rsidRPr="00A175F7">
              <w:t>London Stock Exchange</w:t>
            </w:r>
          </w:p>
        </w:tc>
      </w:tr>
      <w:tr w:rsidR="00B673B5" w14:paraId="27E19FB3" w14:textId="77777777" w:rsidTr="00B673B5">
        <w:tblPrEx>
          <w:tblLook w:val="04A0" w:firstRow="1" w:lastRow="0" w:firstColumn="1" w:lastColumn="0" w:noHBand="0" w:noVBand="1"/>
        </w:tblPrEx>
        <w:trPr>
          <w:gridAfter w:val="1"/>
          <w:wAfter w:w="6" w:type="dxa"/>
        </w:trPr>
        <w:tc>
          <w:tcPr>
            <w:tcW w:w="2802" w:type="dxa"/>
          </w:tcPr>
          <w:p w14:paraId="6B323297" w14:textId="77777777" w:rsidR="00B673B5" w:rsidRPr="00A175F7" w:rsidRDefault="00B673B5" w:rsidP="00B673B5">
            <w:pPr>
              <w:rPr>
                <w:rFonts w:asciiTheme="minorHAnsi" w:hAnsiTheme="minorHAnsi" w:cs="Arial"/>
                <w:b/>
              </w:rPr>
            </w:pPr>
            <w:r w:rsidRPr="00A175F7">
              <w:rPr>
                <w:rFonts w:asciiTheme="minorHAnsi" w:hAnsiTheme="minorHAnsi" w:cs="Arial"/>
                <w:b/>
              </w:rPr>
              <w:t>United States</w:t>
            </w:r>
          </w:p>
          <w:p w14:paraId="7FCBC06A" w14:textId="77777777" w:rsidR="00B673B5" w:rsidRPr="00A175F7" w:rsidRDefault="00B673B5" w:rsidP="00B673B5">
            <w:pPr>
              <w:keepNext/>
              <w:spacing w:after="0"/>
            </w:pPr>
            <w:r w:rsidRPr="00EC7837">
              <w:t>American stock exchange</w:t>
            </w:r>
          </w:p>
          <w:p w14:paraId="46A1A28F" w14:textId="77777777" w:rsidR="00B673B5" w:rsidRPr="00A175F7" w:rsidRDefault="00B673B5" w:rsidP="00B673B5">
            <w:pPr>
              <w:keepNext/>
              <w:spacing w:after="0"/>
            </w:pPr>
            <w:r w:rsidRPr="00EC7837">
              <w:t>Boston stock exchange</w:t>
            </w:r>
          </w:p>
          <w:p w14:paraId="41E6321F" w14:textId="77777777" w:rsidR="00B673B5" w:rsidRPr="00EC7837" w:rsidRDefault="00B673B5" w:rsidP="00B673B5">
            <w:pPr>
              <w:spacing w:after="0"/>
            </w:pPr>
            <w:r w:rsidRPr="00EC7837">
              <w:t>Cincinnati stock exchange</w:t>
            </w:r>
          </w:p>
          <w:p w14:paraId="371DB7DD" w14:textId="77777777" w:rsidR="00B673B5" w:rsidRDefault="00B673B5" w:rsidP="00B673B5">
            <w:pPr>
              <w:spacing w:after="0"/>
            </w:pPr>
            <w:r w:rsidRPr="00EC7837">
              <w:t>Midwest stock exchange</w:t>
            </w:r>
          </w:p>
          <w:p w14:paraId="0A2362A5" w14:textId="77777777" w:rsidR="00B673B5" w:rsidRPr="00A175F7" w:rsidRDefault="00B673B5" w:rsidP="00B673B5">
            <w:pPr>
              <w:spacing w:after="0"/>
            </w:pPr>
            <w:r w:rsidRPr="00D34CEA">
              <w:t>New York stock exchange</w:t>
            </w:r>
          </w:p>
          <w:p w14:paraId="0A8C00C1" w14:textId="77777777" w:rsidR="00B673B5" w:rsidRPr="00EC7837" w:rsidRDefault="00B673B5" w:rsidP="00B673B5">
            <w:pPr>
              <w:keepNext/>
              <w:spacing w:after="0"/>
            </w:pPr>
            <w:r w:rsidRPr="00EC7837">
              <w:t>Pacific stock exchange</w:t>
            </w:r>
          </w:p>
          <w:p w14:paraId="3805910E" w14:textId="77777777" w:rsidR="00B673B5" w:rsidRDefault="00B673B5" w:rsidP="00B673B5">
            <w:pPr>
              <w:keepNext/>
              <w:spacing w:after="0"/>
            </w:pPr>
            <w:r w:rsidRPr="00EC7837">
              <w:lastRenderedPageBreak/>
              <w:t>Philadelphia stock exchange</w:t>
            </w:r>
          </w:p>
        </w:tc>
        <w:tc>
          <w:tcPr>
            <w:tcW w:w="2693" w:type="dxa"/>
          </w:tcPr>
          <w:p w14:paraId="489A8E9E"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United States</w:t>
            </w:r>
          </w:p>
          <w:p w14:paraId="6C5E16A4" w14:textId="77777777" w:rsidR="00B673B5" w:rsidRPr="00EC7837" w:rsidRDefault="00B673B5" w:rsidP="00B673B5">
            <w:pPr>
              <w:spacing w:after="0"/>
            </w:pPr>
            <w:r w:rsidRPr="00EC7837">
              <w:t>Chicago Stock Exchange</w:t>
            </w:r>
          </w:p>
          <w:p w14:paraId="70978A36" w14:textId="77777777" w:rsidR="00B673B5" w:rsidRPr="00EC7837" w:rsidRDefault="00B673B5" w:rsidP="00B673B5">
            <w:pPr>
              <w:spacing w:after="0"/>
            </w:pPr>
            <w:r w:rsidRPr="00EC7837">
              <w:t>NASDAQ OMX BX</w:t>
            </w:r>
          </w:p>
          <w:p w14:paraId="009E2465" w14:textId="77777777" w:rsidR="00B673B5" w:rsidRPr="00EC7837" w:rsidRDefault="00B673B5" w:rsidP="00B673B5">
            <w:pPr>
              <w:spacing w:after="0"/>
            </w:pPr>
            <w:r w:rsidRPr="00EC7837">
              <w:t xml:space="preserve">NASDAQ PHLX </w:t>
            </w:r>
          </w:p>
          <w:p w14:paraId="4DE6E406" w14:textId="77777777" w:rsidR="00B673B5" w:rsidRDefault="00B673B5" w:rsidP="00B673B5">
            <w:pPr>
              <w:spacing w:after="0"/>
            </w:pPr>
            <w:r w:rsidRPr="00EC7837">
              <w:t>NYSE</w:t>
            </w:r>
            <w:r>
              <w:t>,</w:t>
            </w:r>
            <w:r w:rsidRPr="00EC7837">
              <w:t xml:space="preserve"> also known as </w:t>
            </w:r>
            <w:r>
              <w:t>New York Stock Exchange</w:t>
            </w:r>
          </w:p>
          <w:p w14:paraId="2DC68FE6" w14:textId="77777777" w:rsidR="00B673B5" w:rsidRPr="00EC7837" w:rsidRDefault="00B673B5" w:rsidP="00B673B5">
            <w:pPr>
              <w:spacing w:after="0"/>
            </w:pPr>
            <w:r w:rsidRPr="00EC7837">
              <w:lastRenderedPageBreak/>
              <w:t>NYSE American</w:t>
            </w:r>
          </w:p>
          <w:p w14:paraId="358B4811" w14:textId="77777777" w:rsidR="00B673B5" w:rsidRPr="00D34CEA" w:rsidRDefault="00B673B5" w:rsidP="00B673B5">
            <w:pPr>
              <w:spacing w:after="0"/>
            </w:pPr>
            <w:r w:rsidRPr="0082486E">
              <w:t>NYSE American Options</w:t>
            </w:r>
          </w:p>
          <w:p w14:paraId="3B588207" w14:textId="77777777" w:rsidR="00B673B5" w:rsidRPr="00A175F7" w:rsidRDefault="00B673B5" w:rsidP="00B673B5">
            <w:pPr>
              <w:spacing w:after="0"/>
            </w:pPr>
            <w:r w:rsidRPr="00A175F7">
              <w:t>NYSE ARCA equities</w:t>
            </w:r>
          </w:p>
          <w:p w14:paraId="4D8115D1" w14:textId="77777777" w:rsidR="00B673B5" w:rsidRPr="00A175F7" w:rsidRDefault="00B673B5" w:rsidP="00B673B5">
            <w:pPr>
              <w:spacing w:after="0"/>
            </w:pPr>
            <w:r w:rsidRPr="00A175F7">
              <w:t xml:space="preserve">NYSE ARCA options </w:t>
            </w:r>
          </w:p>
          <w:p w14:paraId="6C2ED382" w14:textId="77777777" w:rsidR="00B673B5" w:rsidRDefault="00B673B5" w:rsidP="00B673B5">
            <w:pPr>
              <w:spacing w:after="0"/>
            </w:pPr>
            <w:r w:rsidRPr="00A175F7">
              <w:t>NYSE National</w:t>
            </w:r>
          </w:p>
        </w:tc>
        <w:tc>
          <w:tcPr>
            <w:tcW w:w="2928" w:type="dxa"/>
          </w:tcPr>
          <w:p w14:paraId="5B75013C" w14:textId="77777777" w:rsidR="00B673B5" w:rsidRPr="00A175F7" w:rsidRDefault="00B673B5" w:rsidP="00B673B5">
            <w:pPr>
              <w:rPr>
                <w:rFonts w:asciiTheme="minorHAnsi" w:hAnsiTheme="minorHAnsi" w:cs="Arial"/>
                <w:b/>
              </w:rPr>
            </w:pPr>
            <w:r w:rsidRPr="00A175F7">
              <w:rPr>
                <w:rFonts w:asciiTheme="minorHAnsi" w:hAnsiTheme="minorHAnsi" w:cs="Arial"/>
                <w:b/>
              </w:rPr>
              <w:lastRenderedPageBreak/>
              <w:t>United States</w:t>
            </w:r>
          </w:p>
          <w:p w14:paraId="32BD40ED" w14:textId="77777777" w:rsidR="00B673B5" w:rsidRPr="00A175F7" w:rsidRDefault="00B673B5" w:rsidP="00B673B5">
            <w:pPr>
              <w:spacing w:after="0"/>
            </w:pPr>
            <w:r w:rsidRPr="00A175F7">
              <w:t>Chicago Stock Exchange</w:t>
            </w:r>
          </w:p>
          <w:p w14:paraId="21708DAE" w14:textId="77777777" w:rsidR="00B673B5" w:rsidRPr="00A175F7" w:rsidRDefault="00B673B5" w:rsidP="00B673B5">
            <w:pPr>
              <w:spacing w:after="0"/>
            </w:pPr>
            <w:r w:rsidRPr="00A175F7">
              <w:t>NASDAQ OMX BX</w:t>
            </w:r>
          </w:p>
          <w:p w14:paraId="75F80DEC" w14:textId="77777777" w:rsidR="00B673B5" w:rsidRPr="00A175F7" w:rsidRDefault="00B673B5" w:rsidP="00B673B5">
            <w:pPr>
              <w:spacing w:after="0"/>
            </w:pPr>
            <w:r w:rsidRPr="00A175F7">
              <w:t>NASDAQ PHLX</w:t>
            </w:r>
          </w:p>
          <w:p w14:paraId="483AFC0A" w14:textId="77777777" w:rsidR="00B673B5" w:rsidRPr="00A175F7" w:rsidRDefault="00B673B5" w:rsidP="00B673B5">
            <w:pPr>
              <w:spacing w:after="0"/>
            </w:pPr>
            <w:r w:rsidRPr="00A175F7">
              <w:t>NASDAQ Stock Exchange</w:t>
            </w:r>
          </w:p>
          <w:p w14:paraId="19E3D54A" w14:textId="77777777" w:rsidR="00B673B5" w:rsidRPr="00A175F7" w:rsidRDefault="00B673B5" w:rsidP="00B673B5">
            <w:pPr>
              <w:spacing w:after="0"/>
            </w:pPr>
            <w:r w:rsidRPr="00A175F7">
              <w:t>NYSE, also known as New York Stock Exchange</w:t>
            </w:r>
          </w:p>
          <w:p w14:paraId="547A4090" w14:textId="77777777" w:rsidR="00B673B5" w:rsidRPr="00A175F7" w:rsidRDefault="00B673B5" w:rsidP="00B673B5">
            <w:pPr>
              <w:spacing w:after="0"/>
            </w:pPr>
            <w:r w:rsidRPr="00A175F7">
              <w:lastRenderedPageBreak/>
              <w:t>NYSE American</w:t>
            </w:r>
          </w:p>
          <w:p w14:paraId="710BB57E" w14:textId="77777777" w:rsidR="00B673B5" w:rsidRPr="00A175F7" w:rsidRDefault="00B673B5" w:rsidP="00B673B5">
            <w:pPr>
              <w:spacing w:after="0"/>
            </w:pPr>
            <w:r w:rsidRPr="00A175F7">
              <w:t>NYSE American Options</w:t>
            </w:r>
          </w:p>
          <w:p w14:paraId="693E932A" w14:textId="77777777" w:rsidR="00B673B5" w:rsidRPr="00A175F7" w:rsidRDefault="00B673B5" w:rsidP="00B673B5">
            <w:pPr>
              <w:spacing w:after="0"/>
            </w:pPr>
            <w:r w:rsidRPr="00A175F7">
              <w:t>NYSE ARCA equities</w:t>
            </w:r>
          </w:p>
          <w:p w14:paraId="20A09DC8" w14:textId="77777777" w:rsidR="00B673B5" w:rsidRPr="00A175F7" w:rsidRDefault="00B673B5" w:rsidP="00B673B5">
            <w:pPr>
              <w:spacing w:after="0"/>
            </w:pPr>
            <w:r w:rsidRPr="00A175F7">
              <w:t>NYSE ARCA options</w:t>
            </w:r>
          </w:p>
          <w:p w14:paraId="4CD1CE3C" w14:textId="77777777" w:rsidR="00B673B5" w:rsidRPr="00A175F7" w:rsidRDefault="00B673B5" w:rsidP="00B673B5">
            <w:r w:rsidRPr="00A175F7">
              <w:t>NYSE National</w:t>
            </w:r>
          </w:p>
        </w:tc>
      </w:tr>
      <w:tr w:rsidR="00B673B5" w14:paraId="524ACC4F" w14:textId="77777777" w:rsidTr="00B673B5">
        <w:tc>
          <w:tcPr>
            <w:tcW w:w="2802" w:type="dxa"/>
          </w:tcPr>
          <w:p w14:paraId="15B86FF2" w14:textId="77777777" w:rsidR="00B673B5" w:rsidRPr="00A175F7" w:rsidRDefault="00B673B5" w:rsidP="00B673B5">
            <w:pPr>
              <w:spacing w:after="0"/>
            </w:pPr>
          </w:p>
        </w:tc>
        <w:tc>
          <w:tcPr>
            <w:tcW w:w="2693" w:type="dxa"/>
          </w:tcPr>
          <w:p w14:paraId="5FAB4930" w14:textId="77777777" w:rsidR="00B673B5" w:rsidRDefault="00B673B5" w:rsidP="00B673B5">
            <w:pPr>
              <w:spacing w:after="0"/>
            </w:pPr>
          </w:p>
        </w:tc>
        <w:tc>
          <w:tcPr>
            <w:tcW w:w="2934" w:type="dxa"/>
            <w:gridSpan w:val="2"/>
          </w:tcPr>
          <w:p w14:paraId="4923B212" w14:textId="77777777" w:rsidR="00B673B5" w:rsidRPr="00A175F7" w:rsidRDefault="00B673B5" w:rsidP="00B673B5">
            <w:pPr>
              <w:rPr>
                <w:rFonts w:asciiTheme="minorHAnsi" w:hAnsiTheme="minorHAnsi" w:cs="Arial"/>
                <w:b/>
              </w:rPr>
            </w:pPr>
            <w:r w:rsidRPr="00A175F7">
              <w:rPr>
                <w:rFonts w:asciiTheme="minorHAnsi" w:hAnsiTheme="minorHAnsi" w:cs="Arial"/>
                <w:b/>
              </w:rPr>
              <w:t>Uruguay</w:t>
            </w:r>
          </w:p>
          <w:p w14:paraId="79732B23" w14:textId="77777777" w:rsidR="00B673B5" w:rsidRDefault="00B673B5" w:rsidP="00B673B5">
            <w:r>
              <w:t>Montevideo Stock Exchange</w:t>
            </w:r>
          </w:p>
        </w:tc>
      </w:tr>
      <w:tr w:rsidR="00B673B5" w14:paraId="1C7C3FE6" w14:textId="77777777" w:rsidTr="00B673B5">
        <w:tc>
          <w:tcPr>
            <w:tcW w:w="2802" w:type="dxa"/>
          </w:tcPr>
          <w:p w14:paraId="1A8CD070" w14:textId="77777777" w:rsidR="00B673B5" w:rsidRPr="00A175F7" w:rsidRDefault="00B673B5" w:rsidP="00B673B5">
            <w:pPr>
              <w:rPr>
                <w:rFonts w:asciiTheme="minorHAnsi" w:hAnsiTheme="minorHAnsi" w:cs="Arial"/>
                <w:b/>
              </w:rPr>
            </w:pPr>
            <w:r w:rsidRPr="00A175F7">
              <w:rPr>
                <w:rFonts w:asciiTheme="minorHAnsi" w:hAnsiTheme="minorHAnsi" w:cs="Arial"/>
                <w:b/>
              </w:rPr>
              <w:t>Venezuela</w:t>
            </w:r>
          </w:p>
          <w:p w14:paraId="27251515" w14:textId="77777777" w:rsidR="00B673B5" w:rsidRDefault="00B673B5" w:rsidP="00B673B5">
            <w:pPr>
              <w:spacing w:after="0"/>
            </w:pPr>
            <w:r w:rsidRPr="00EC7837">
              <w:t>Maracaibo stock exchange</w:t>
            </w:r>
          </w:p>
        </w:tc>
        <w:tc>
          <w:tcPr>
            <w:tcW w:w="2693" w:type="dxa"/>
          </w:tcPr>
          <w:p w14:paraId="54A6898A" w14:textId="77777777" w:rsidR="00B673B5" w:rsidRDefault="00B673B5" w:rsidP="00B673B5">
            <w:pPr>
              <w:spacing w:after="0"/>
            </w:pPr>
          </w:p>
        </w:tc>
        <w:tc>
          <w:tcPr>
            <w:tcW w:w="2934" w:type="dxa"/>
            <w:gridSpan w:val="2"/>
          </w:tcPr>
          <w:p w14:paraId="13F754D8" w14:textId="77777777" w:rsidR="00B673B5" w:rsidRPr="00A175F7" w:rsidRDefault="00B673B5" w:rsidP="00B673B5">
            <w:pPr>
              <w:rPr>
                <w:rFonts w:asciiTheme="minorHAnsi" w:hAnsiTheme="minorHAnsi" w:cs="Arial"/>
                <w:b/>
              </w:rPr>
            </w:pPr>
            <w:r w:rsidRPr="00A175F7">
              <w:rPr>
                <w:rFonts w:asciiTheme="minorHAnsi" w:hAnsiTheme="minorHAnsi" w:cs="Arial"/>
                <w:b/>
              </w:rPr>
              <w:t>Venezuela</w:t>
            </w:r>
          </w:p>
          <w:p w14:paraId="127E908E" w14:textId="77777777" w:rsidR="00B673B5" w:rsidRDefault="00B673B5" w:rsidP="00B673B5">
            <w:r>
              <w:t>Caracas Stock Exchange</w:t>
            </w:r>
          </w:p>
        </w:tc>
      </w:tr>
      <w:tr w:rsidR="00B673B5" w14:paraId="74E841C1" w14:textId="77777777" w:rsidTr="00B673B5">
        <w:tc>
          <w:tcPr>
            <w:tcW w:w="2802" w:type="dxa"/>
          </w:tcPr>
          <w:p w14:paraId="65AC29C0" w14:textId="77777777" w:rsidR="00B673B5" w:rsidRPr="00A175F7" w:rsidRDefault="00B673B5" w:rsidP="00B673B5">
            <w:pPr>
              <w:spacing w:after="0"/>
            </w:pPr>
          </w:p>
        </w:tc>
        <w:tc>
          <w:tcPr>
            <w:tcW w:w="2693" w:type="dxa"/>
          </w:tcPr>
          <w:p w14:paraId="18CAAABB" w14:textId="77777777" w:rsidR="00B673B5" w:rsidRPr="00A175F7" w:rsidRDefault="00B673B5" w:rsidP="00B673B5">
            <w:pPr>
              <w:spacing w:after="0"/>
            </w:pPr>
          </w:p>
        </w:tc>
        <w:tc>
          <w:tcPr>
            <w:tcW w:w="2934" w:type="dxa"/>
            <w:gridSpan w:val="2"/>
          </w:tcPr>
          <w:p w14:paraId="320484B4" w14:textId="77777777" w:rsidR="00B673B5" w:rsidRPr="00A175F7" w:rsidRDefault="00B673B5" w:rsidP="00B673B5">
            <w:pPr>
              <w:rPr>
                <w:rFonts w:asciiTheme="minorHAnsi" w:hAnsiTheme="minorHAnsi" w:cs="Arial"/>
                <w:b/>
              </w:rPr>
            </w:pPr>
            <w:r w:rsidRPr="00A175F7">
              <w:rPr>
                <w:rFonts w:asciiTheme="minorHAnsi" w:hAnsiTheme="minorHAnsi" w:cs="Arial"/>
                <w:b/>
              </w:rPr>
              <w:t>Zimbabwe</w:t>
            </w:r>
          </w:p>
          <w:p w14:paraId="7263ACC7" w14:textId="77777777" w:rsidR="00B673B5" w:rsidRPr="00A175F7" w:rsidRDefault="00B673B5" w:rsidP="00B673B5">
            <w:r w:rsidRPr="00A175F7">
              <w:t>Zimbabwe Stock Exchange</w:t>
            </w:r>
          </w:p>
        </w:tc>
      </w:tr>
    </w:tbl>
    <w:p w14:paraId="0E1C2D1E" w14:textId="60FFA78F" w:rsidR="00C20A3E" w:rsidRDefault="00C20A3E" w:rsidP="00185CA6">
      <w:pPr>
        <w:pStyle w:val="base-text-paragraph"/>
        <w:spacing w:before="0"/>
        <w:ind w:left="0"/>
      </w:pPr>
    </w:p>
    <w:p w14:paraId="6F0D4EEF" w14:textId="6971A18F" w:rsidR="0068180F" w:rsidRPr="009F09D9" w:rsidRDefault="0068180F" w:rsidP="00185CA6">
      <w:pPr>
        <w:pStyle w:val="base-text-paragraph"/>
        <w:spacing w:before="0"/>
        <w:ind w:left="0"/>
      </w:pPr>
      <w:r w:rsidRPr="0068180F">
        <w:t xml:space="preserve">The amendments in Schedule 3 to the Regulations apply to update the list of approved stock exchanges, and </w:t>
      </w:r>
      <w:r w:rsidR="004C467D">
        <w:t xml:space="preserve">affect </w:t>
      </w:r>
      <w:r w:rsidRPr="0068180F">
        <w:t>the definition of approved stock exchange in the ITAA</w:t>
      </w:r>
      <w:r w:rsidR="004C467D">
        <w:t> </w:t>
      </w:r>
      <w:r w:rsidRPr="0068180F">
        <w:t xml:space="preserve">1997 from the day after the Regulations </w:t>
      </w:r>
      <w:r>
        <w:t>are</w:t>
      </w:r>
      <w:r w:rsidRPr="0068180F">
        <w:t xml:space="preserve"> registered on the Federal Register of Legislation.</w:t>
      </w:r>
    </w:p>
    <w:p w14:paraId="2313342F" w14:textId="6E4F970C" w:rsidR="00CE7BD2" w:rsidRDefault="00B45171" w:rsidP="00CE7BD2">
      <w:pPr>
        <w:pStyle w:val="Heading3"/>
        <w:pageBreakBefore/>
        <w:jc w:val="right"/>
      </w:pPr>
      <w:r>
        <w:lastRenderedPageBreak/>
        <w:t>ATTACHMENT B</w:t>
      </w:r>
    </w:p>
    <w:p w14:paraId="32C5C40B" w14:textId="77777777" w:rsidR="00E4438C" w:rsidRPr="00462095" w:rsidRDefault="00E4438C" w:rsidP="003E1CE3">
      <w:pPr>
        <w:pStyle w:val="Heading3"/>
      </w:pPr>
      <w:r w:rsidRPr="00462095">
        <w:t>Statement of Compatibility with Human Rights</w:t>
      </w:r>
    </w:p>
    <w:p w14:paraId="67FEB315"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31292BB5" w14:textId="77E2912E" w:rsidR="00E4438C" w:rsidRPr="00647BB7" w:rsidRDefault="00C31392" w:rsidP="003E1CE3">
      <w:pPr>
        <w:pStyle w:val="Heading3"/>
        <w:jc w:val="center"/>
      </w:pPr>
      <w:r>
        <w:t xml:space="preserve">Schedule 1 to the </w:t>
      </w:r>
      <w:r w:rsidR="00BA0F36" w:rsidRPr="00BA0F36">
        <w:t>Treasury Laws Amendment (</w:t>
      </w:r>
      <w:r w:rsidR="00E306A7">
        <w:t>2018 Measures No. 1</w:t>
      </w:r>
      <w:r w:rsidR="00BA0F36" w:rsidRPr="00BA0F36">
        <w:t xml:space="preserve">) </w:t>
      </w:r>
      <w:r w:rsidR="00984A78" w:rsidRPr="00BA0F36">
        <w:t>Regulations</w:t>
      </w:r>
      <w:r w:rsidR="00984A78">
        <w:t> </w:t>
      </w:r>
      <w:r w:rsidR="00BA0F36" w:rsidRPr="00BA0F36">
        <w:t>2018</w:t>
      </w:r>
    </w:p>
    <w:p w14:paraId="137E9AFE" w14:textId="75434849" w:rsidR="00E4438C" w:rsidRPr="00647BB7" w:rsidRDefault="00365819" w:rsidP="00647BB7">
      <w:pPr>
        <w:spacing w:before="240"/>
      </w:pPr>
      <w:r>
        <w:t xml:space="preserve">Schedule </w:t>
      </w:r>
      <w:r w:rsidR="00692051">
        <w:t xml:space="preserve">1 </w:t>
      </w:r>
      <w:r>
        <w:t>to t</w:t>
      </w:r>
      <w:r w:rsidR="00E4438C" w:rsidRPr="00647BB7">
        <w:t xml:space="preserve">his Legislative Instrument is compatible with the human rights and freedoms recognised or declared in the international instruments listed in section 3 of the </w:t>
      </w:r>
      <w:r w:rsidR="00E4438C" w:rsidRPr="00647BB7">
        <w:rPr>
          <w:i/>
        </w:rPr>
        <w:t>Human Rights (Parliamentary Scrutiny) Act 2011</w:t>
      </w:r>
      <w:r w:rsidR="00E4438C" w:rsidRPr="00647BB7">
        <w:t>.</w:t>
      </w:r>
    </w:p>
    <w:p w14:paraId="7B0CCCC0" w14:textId="77777777" w:rsidR="00E4438C" w:rsidRPr="00647BB7" w:rsidRDefault="00E4438C" w:rsidP="003E1CE3">
      <w:pPr>
        <w:pStyle w:val="Heading3"/>
      </w:pPr>
      <w:r w:rsidRPr="00647BB7">
        <w:t>Overview of the Legislative Instrument</w:t>
      </w:r>
    </w:p>
    <w:p w14:paraId="10349537" w14:textId="62350D7B" w:rsidR="00B95112" w:rsidRDefault="00B95112" w:rsidP="00B95112">
      <w:pPr>
        <w:spacing w:before="240"/>
      </w:pPr>
      <w:r>
        <w:t xml:space="preserve">Section 355-25 in Schedule 1 to the </w:t>
      </w:r>
      <w:r w:rsidRPr="00767BA4">
        <w:rPr>
          <w:i/>
        </w:rPr>
        <w:t>Taxation Administration Act 1953</w:t>
      </w:r>
      <w:r>
        <w:t xml:space="preserve"> (the Act) provides that it is an offence for a taxation officer (an </w:t>
      </w:r>
      <w:r w:rsidR="008C23D5">
        <w:t>Australian Taxation Office</w:t>
      </w:r>
      <w:r>
        <w:t xml:space="preserve"> employee, Commissioner or Second Commissioner) to record or disclose protected information (information obtained under a taxation law that relates to an entity and could be used to identify that entity) that the taxation offi</w:t>
      </w:r>
      <w:r w:rsidR="008369F5">
        <w:t>cer acquired in their role as a </w:t>
      </w:r>
      <w:r>
        <w:t>taxation officer.</w:t>
      </w:r>
    </w:p>
    <w:p w14:paraId="4C4D27E3" w14:textId="77777777" w:rsidR="00B95112" w:rsidRDefault="00B95112" w:rsidP="00B95112">
      <w:pPr>
        <w:spacing w:before="240"/>
      </w:pPr>
      <w:r>
        <w:t>Section 355-70 in Schedule 1 to the Act provides exceptions to this offence for records or disclosures made for law enforcement and related purposes. This includes, under item 4 of the table in subsection 355-70(1) in Schedule 1 to the Act, records made or disclosures to a taskforce officer of a prescribed taskforce that is for or in connection with a purpose of the prescribed taskforce.</w:t>
      </w:r>
    </w:p>
    <w:p w14:paraId="46FFFF30" w14:textId="77777777" w:rsidR="00B95112" w:rsidRDefault="00B95112" w:rsidP="00B95112">
      <w:pPr>
        <w:spacing w:before="240"/>
      </w:pPr>
      <w:r>
        <w:t>A taskforce officer is an entity who holds an office in, is employed in, or is performing services for, an agency in the prescribed taskforce (subsection 355-70(11) in Schedule 1 to the Act).</w:t>
      </w:r>
    </w:p>
    <w:p w14:paraId="65EDB877" w14:textId="77777777" w:rsidR="00B95112" w:rsidRDefault="00B95112" w:rsidP="00B95112">
      <w:pPr>
        <w:spacing w:before="240"/>
      </w:pPr>
      <w:r>
        <w:t>Subsection 355-70(12) in Schedule 1 to the Act provides that the regulations may prescribe a taskforce for the purposes of item 4 of the table in subsection 355-70(1) in Schedule 1 to the Act. A major purpose of the taskforce must be protecting the public finances of Australia.</w:t>
      </w:r>
    </w:p>
    <w:p w14:paraId="6BCA99E0" w14:textId="77777777" w:rsidR="00B95112" w:rsidRDefault="00B95112" w:rsidP="00B95112">
      <w:pPr>
        <w:spacing w:before="240"/>
      </w:pPr>
      <w:r>
        <w:t xml:space="preserve">Regulation 67 of the </w:t>
      </w:r>
      <w:r w:rsidRPr="00767BA4">
        <w:rPr>
          <w:i/>
        </w:rPr>
        <w:t xml:space="preserve">Taxation Administration Regulations </w:t>
      </w:r>
      <w:r>
        <w:rPr>
          <w:i/>
        </w:rPr>
        <w:t>2017</w:t>
      </w:r>
      <w:r>
        <w:t xml:space="preserve"> contains a list of prescribed taskforces for the purposes of subsection 355-70(12) in Schedule 1 to the Act.</w:t>
      </w:r>
    </w:p>
    <w:p w14:paraId="381E5F17" w14:textId="725C886B" w:rsidR="00B95112" w:rsidRPr="00647BB7" w:rsidRDefault="00B95112" w:rsidP="00B95112">
      <w:pPr>
        <w:spacing w:before="240"/>
      </w:pPr>
      <w:r>
        <w:t xml:space="preserve">Schedule </w:t>
      </w:r>
      <w:r w:rsidR="008C23D5">
        <w:t>1</w:t>
      </w:r>
      <w:r>
        <w:t xml:space="preserve"> </w:t>
      </w:r>
      <w:r w:rsidR="00C31392">
        <w:t xml:space="preserve">to the </w:t>
      </w:r>
      <w:r w:rsidR="00C31392" w:rsidRPr="00214666">
        <w:rPr>
          <w:i/>
        </w:rPr>
        <w:t>Treasury Laws Amendment (</w:t>
      </w:r>
      <w:r w:rsidR="00C31392">
        <w:rPr>
          <w:i/>
        </w:rPr>
        <w:t>2018 Measures No. 1</w:t>
      </w:r>
      <w:r w:rsidR="00C31392" w:rsidRPr="00214666">
        <w:rPr>
          <w:i/>
        </w:rPr>
        <w:t>) Regulations</w:t>
      </w:r>
      <w:r w:rsidR="00C31392">
        <w:rPr>
          <w:i/>
        </w:rPr>
        <w:t> </w:t>
      </w:r>
      <w:r w:rsidR="00C31392" w:rsidRPr="00214666">
        <w:rPr>
          <w:i/>
        </w:rPr>
        <w:t>2018</w:t>
      </w:r>
      <w:r w:rsidR="00C31392">
        <w:t xml:space="preserve"> (the Regulations) </w:t>
      </w:r>
      <w:r>
        <w:t>amends this table to include the Black Economy Standing Taskforce and the Illicit Tobacco Taskforce (the taskforces). This allow</w:t>
      </w:r>
      <w:r w:rsidR="00D45BAB">
        <w:t>s</w:t>
      </w:r>
      <w:r>
        <w:t xml:space="preserve"> taxation officers to share protected information with taskforce officers of the taskforces where the record or disclosure is for or in connection with a purpose of the relevant taskforce.</w:t>
      </w:r>
    </w:p>
    <w:p w14:paraId="6DAEFD21" w14:textId="750A90D2" w:rsidR="00E4438C" w:rsidRPr="00647BB7" w:rsidRDefault="00E4438C" w:rsidP="003E1CE3">
      <w:pPr>
        <w:pStyle w:val="Heading3"/>
      </w:pPr>
      <w:r w:rsidRPr="00647BB7">
        <w:lastRenderedPageBreak/>
        <w:t>Human rights implications</w:t>
      </w:r>
    </w:p>
    <w:p w14:paraId="2DC1A40A" w14:textId="2F669CD6" w:rsidR="00B95112" w:rsidRDefault="00B95112" w:rsidP="00B95112">
      <w:pPr>
        <w:spacing w:before="240"/>
      </w:pPr>
      <w:r>
        <w:t xml:space="preserve">Schedule </w:t>
      </w:r>
      <w:r w:rsidR="00C31392">
        <w:t>1</w:t>
      </w:r>
      <w:r>
        <w:t xml:space="preserve"> to the Regulations engages, and is compatible with, the prohibition on interference with privacy and attacks on reputation. Article 17 of the International Covenant on Civil and Political Rights prohibits unlawful or arbitrary interferences with a person’s privacy, family, home and correspondence.</w:t>
      </w:r>
    </w:p>
    <w:p w14:paraId="78BEDD0F" w14:textId="57D6C1D2" w:rsidR="00B95112" w:rsidRDefault="00B95112" w:rsidP="00B95112">
      <w:pPr>
        <w:spacing w:before="240"/>
      </w:pPr>
      <w:r>
        <w:t>The amendment made by th</w:t>
      </w:r>
      <w:r w:rsidR="00EA1E26">
        <w:t>ese</w:t>
      </w:r>
      <w:r>
        <w:t xml:space="preserve"> Regulation</w:t>
      </w:r>
      <w:r w:rsidR="00EA1E26">
        <w:t>s</w:t>
      </w:r>
      <w:r>
        <w:t xml:space="preserve"> is not arbitrary, and is in pursuit of a legitimate objective. The amendment allows law enforcement agencies to effectively combat tax avoidance and related criminal activity. The records or disclosures of information made to a taskforce officer of either of the taskforces under the exception in subsection 355-70(1) </w:t>
      </w:r>
      <w:r w:rsidR="00692051">
        <w:t xml:space="preserve">in Schedule 1 to </w:t>
      </w:r>
      <w:r>
        <w:t>the Act must be for or in connection with a purpose of the relevant taskforce.</w:t>
      </w:r>
    </w:p>
    <w:p w14:paraId="4D3388F3" w14:textId="77777777" w:rsidR="00B95112" w:rsidRDefault="00B95112" w:rsidP="00B95112">
      <w:pPr>
        <w:spacing w:before="240"/>
      </w:pPr>
      <w:r>
        <w:t>Recipients of records or disclosures made in accordance with one of these exceptions are also subject to strict rules governing any further disclosure of the information received. It is an offence for a recipient to record or disclose the information received (section 355-155 of Schedule 1 to the Act), although there are exceptions. For example, one exception allows a recipient to make further records or disclosures of the information received if those records or disclosures are made for the same purpose as the original record or disclosure (section 355-175 of Schedule 1 to the Act).</w:t>
      </w:r>
    </w:p>
    <w:p w14:paraId="3C049C01" w14:textId="1F2ADE7A" w:rsidR="00B95112" w:rsidRPr="00647BB7" w:rsidRDefault="00B95112" w:rsidP="00647BB7">
      <w:pPr>
        <w:spacing w:before="240"/>
      </w:pPr>
      <w:r>
        <w:t>This provides a limited, reasonable and lawful basis for recording or disclosing of protected information to taskforce officers of the taskforces, in pursuit of the legitimate objective of addressing tax avoidance and related criminal activity in relation to the black economy or illicit tobacco.</w:t>
      </w:r>
    </w:p>
    <w:p w14:paraId="2BFDA09F" w14:textId="77777777" w:rsidR="00E4438C" w:rsidRPr="00647BB7" w:rsidRDefault="00E4438C" w:rsidP="003E1CE3">
      <w:pPr>
        <w:pStyle w:val="Heading3"/>
      </w:pPr>
      <w:r w:rsidRPr="00647BB7">
        <w:t>Conclusion</w:t>
      </w:r>
    </w:p>
    <w:p w14:paraId="3C07C44F" w14:textId="76254ECE" w:rsidR="00E4438C" w:rsidRPr="00647BB7" w:rsidRDefault="00365819" w:rsidP="00647BB7">
      <w:pPr>
        <w:spacing w:before="240"/>
      </w:pPr>
      <w:r w:rsidRPr="00365819">
        <w:t>Schedule</w:t>
      </w:r>
      <w:r w:rsidR="00EA1E26">
        <w:t xml:space="preserve"> 1</w:t>
      </w:r>
      <w:r w:rsidRPr="00365819">
        <w:t xml:space="preserve"> to t</w:t>
      </w:r>
      <w:r w:rsidR="00E4438C" w:rsidRPr="00647BB7">
        <w:t>his Legislative Instrument is compatible with human rights.</w:t>
      </w:r>
    </w:p>
    <w:p w14:paraId="3D079514" w14:textId="6AC47E2E" w:rsidR="00C31392" w:rsidRPr="00365819" w:rsidRDefault="00C31392" w:rsidP="00365819">
      <w:pPr>
        <w:pageBreakBefore/>
        <w:spacing w:before="240"/>
        <w:jc w:val="right"/>
        <w:rPr>
          <w:b/>
        </w:rPr>
      </w:pPr>
      <w:r w:rsidRPr="00365819">
        <w:rPr>
          <w:b/>
        </w:rPr>
        <w:lastRenderedPageBreak/>
        <w:t>ATTACHMENT C</w:t>
      </w:r>
    </w:p>
    <w:p w14:paraId="4B214D7C" w14:textId="77777777" w:rsidR="00C31392" w:rsidRPr="00462095" w:rsidRDefault="00C31392" w:rsidP="00C31392">
      <w:pPr>
        <w:pStyle w:val="Heading3"/>
      </w:pPr>
      <w:r w:rsidRPr="00462095">
        <w:t>Statement of Compatibility with Human Rights</w:t>
      </w:r>
    </w:p>
    <w:p w14:paraId="57A67153" w14:textId="77777777" w:rsidR="00C31392" w:rsidRPr="00647BB7" w:rsidRDefault="00C31392" w:rsidP="00C31392">
      <w:pPr>
        <w:spacing w:before="240"/>
        <w:jc w:val="center"/>
        <w:rPr>
          <w:i/>
        </w:rPr>
      </w:pPr>
      <w:r w:rsidRPr="00647BB7">
        <w:rPr>
          <w:i/>
        </w:rPr>
        <w:t>Prepared in accordance with Part 3 of the Human Rights (Parliamentary Scrutiny) Act 2011</w:t>
      </w:r>
    </w:p>
    <w:p w14:paraId="275670D8" w14:textId="1115DF90" w:rsidR="00C31392" w:rsidRPr="00647BB7" w:rsidRDefault="003A4961" w:rsidP="00C31392">
      <w:pPr>
        <w:pStyle w:val="Heading3"/>
        <w:jc w:val="center"/>
      </w:pPr>
      <w:r>
        <w:t>Schedule 2</w:t>
      </w:r>
      <w:r w:rsidR="00C31392">
        <w:t xml:space="preserve"> to the </w:t>
      </w:r>
      <w:r w:rsidR="00C31392" w:rsidRPr="00BA0F36">
        <w:t>Treasury Laws Amendment (</w:t>
      </w:r>
      <w:r w:rsidR="00C31392">
        <w:t>2018 Measures No. 1</w:t>
      </w:r>
      <w:r w:rsidR="00C31392" w:rsidRPr="00BA0F36">
        <w:t>) Regulations</w:t>
      </w:r>
      <w:r w:rsidR="00984A78">
        <w:t> </w:t>
      </w:r>
      <w:r w:rsidR="00C31392" w:rsidRPr="00BA0F36">
        <w:t>2018</w:t>
      </w:r>
    </w:p>
    <w:p w14:paraId="3A33D354" w14:textId="73387A9E" w:rsidR="00C31392" w:rsidRPr="00647BB7" w:rsidRDefault="009F2304" w:rsidP="00C31392">
      <w:pPr>
        <w:spacing w:before="240"/>
      </w:pPr>
      <w:r>
        <w:t>Schedule 2</w:t>
      </w:r>
      <w:r w:rsidR="00EA1E26" w:rsidRPr="00EA1E26">
        <w:t xml:space="preserve"> to t</w:t>
      </w:r>
      <w:r w:rsidR="00C31392" w:rsidRPr="00647BB7">
        <w:t xml:space="preserve">his Legislative Instrument is compatible with the human rights and freedoms recognised or declared in the international instruments listed in section 3 of the </w:t>
      </w:r>
      <w:r w:rsidR="00C31392" w:rsidRPr="00647BB7">
        <w:rPr>
          <w:i/>
        </w:rPr>
        <w:t>Human Rights (Parliamentary Scrutiny) Act 2011</w:t>
      </w:r>
      <w:r w:rsidR="00C31392" w:rsidRPr="00647BB7">
        <w:t>.</w:t>
      </w:r>
    </w:p>
    <w:p w14:paraId="713F1494" w14:textId="77777777" w:rsidR="00C31392" w:rsidRPr="00647BB7" w:rsidRDefault="00C31392" w:rsidP="00C31392">
      <w:pPr>
        <w:pStyle w:val="Heading3"/>
      </w:pPr>
      <w:r w:rsidRPr="00647BB7">
        <w:t>Overview of the Legislative Instrument</w:t>
      </w:r>
    </w:p>
    <w:p w14:paraId="1C057485" w14:textId="77777777" w:rsidR="00C31392" w:rsidRDefault="00C31392" w:rsidP="00C31392">
      <w:pPr>
        <w:spacing w:before="240"/>
      </w:pPr>
      <w:r>
        <w:t xml:space="preserve">Schedule 2 to the </w:t>
      </w:r>
      <w:r w:rsidRPr="00214666">
        <w:rPr>
          <w:i/>
        </w:rPr>
        <w:t>Treasury Laws Amendment (</w:t>
      </w:r>
      <w:r>
        <w:rPr>
          <w:i/>
        </w:rPr>
        <w:t>2018 Measures No. 1</w:t>
      </w:r>
      <w:r w:rsidRPr="00214666">
        <w:rPr>
          <w:i/>
        </w:rPr>
        <w:t>) Regulations</w:t>
      </w:r>
      <w:r>
        <w:rPr>
          <w:i/>
        </w:rPr>
        <w:t> </w:t>
      </w:r>
      <w:r w:rsidRPr="00214666">
        <w:rPr>
          <w:i/>
        </w:rPr>
        <w:t>2018</w:t>
      </w:r>
      <w:r>
        <w:t xml:space="preserve"> (the Regulations) amends the </w:t>
      </w:r>
      <w:r w:rsidRPr="008C23D5">
        <w:rPr>
          <w:i/>
        </w:rPr>
        <w:t>Tax Agent Services Regulations 2009</w:t>
      </w:r>
      <w:r>
        <w:t xml:space="preserve"> (TASR 2009) to increase the fees that apply to applications for registration as a tax agent, BAS agent or tax (financial) adviser, including an application to renew an existing regulation, by 35 per cent</w:t>
      </w:r>
      <w:r w:rsidRPr="004318EB">
        <w:t xml:space="preserve"> </w:t>
      </w:r>
      <w:r>
        <w:t xml:space="preserve">from 1 July 2018. Further, the Regulations abolish the lower rate that applied for certain entities not carrying on a business. This ensures that, consistent with Commonwealth cost recovery principles, the fees now better reflect the costs currently faced by the </w:t>
      </w:r>
      <w:r w:rsidRPr="00D02FB9">
        <w:t xml:space="preserve">national Tax Practitioners Board </w:t>
      </w:r>
      <w:r>
        <w:t>(TPB).</w:t>
      </w:r>
    </w:p>
    <w:p w14:paraId="0EF545F8" w14:textId="1FB2F0BB" w:rsidR="0097779F" w:rsidRDefault="00C31392" w:rsidP="00C31392">
      <w:pPr>
        <w:spacing w:before="240"/>
      </w:pPr>
      <w:r>
        <w:t xml:space="preserve">The Regulations also amend the TASR 2009 so that the application fees will increase on 1 July 2019 and each subsequent 1 July in line with the change in the Consumer Price Index over the prior 12 months. This ensures that the fees will </w:t>
      </w:r>
      <w:r w:rsidR="00692051">
        <w:t>also</w:t>
      </w:r>
      <w:r>
        <w:t xml:space="preserve"> reflect the costs faced by the TPB in the future.</w:t>
      </w:r>
    </w:p>
    <w:p w14:paraId="1164B065" w14:textId="77777777" w:rsidR="00C31392" w:rsidRPr="00647BB7" w:rsidRDefault="00C31392" w:rsidP="00C31392">
      <w:pPr>
        <w:pStyle w:val="Heading3"/>
      </w:pPr>
      <w:r w:rsidRPr="00647BB7">
        <w:t>Human rights implications</w:t>
      </w:r>
    </w:p>
    <w:p w14:paraId="5ECFBB00" w14:textId="3C5FE32F" w:rsidR="00C31392" w:rsidRDefault="00C31392" w:rsidP="00C31392">
      <w:pPr>
        <w:spacing w:before="240"/>
      </w:pPr>
      <w:r>
        <w:t xml:space="preserve">Schedule </w:t>
      </w:r>
      <w:r w:rsidR="00365819">
        <w:t>2</w:t>
      </w:r>
      <w:r>
        <w:t xml:space="preserve"> to the Regulations </w:t>
      </w:r>
      <w:r w:rsidRPr="00647BB7">
        <w:t>does not engage any of the applicable rights or freedoms</w:t>
      </w:r>
      <w:r>
        <w:t>.</w:t>
      </w:r>
    </w:p>
    <w:p w14:paraId="360DBCDF" w14:textId="77777777" w:rsidR="00C31392" w:rsidRPr="00647BB7" w:rsidRDefault="00C31392" w:rsidP="00C31392">
      <w:pPr>
        <w:pStyle w:val="Heading3"/>
      </w:pPr>
      <w:r w:rsidRPr="00647BB7">
        <w:t>Conclusion</w:t>
      </w:r>
    </w:p>
    <w:p w14:paraId="48139738" w14:textId="72E0DC85" w:rsidR="00C31392" w:rsidRDefault="00692051" w:rsidP="00C31392">
      <w:pPr>
        <w:spacing w:before="240"/>
      </w:pPr>
      <w:r>
        <w:t>Schedule 2</w:t>
      </w:r>
      <w:r w:rsidR="00EA1E26" w:rsidRPr="00EA1E26">
        <w:t xml:space="preserve"> to t</w:t>
      </w:r>
      <w:r w:rsidR="00C31392" w:rsidRPr="00647BB7">
        <w:t>his Legislative Instrument is compatible with human rights</w:t>
      </w:r>
      <w:r w:rsidR="00C31392">
        <w:t xml:space="preserve"> as it does not raise any human rights issues.</w:t>
      </w:r>
    </w:p>
    <w:p w14:paraId="1102EEA8" w14:textId="7EC6385B" w:rsidR="00C20A3E" w:rsidRDefault="00C20A3E">
      <w:pPr>
        <w:spacing w:before="0" w:after="0"/>
      </w:pPr>
      <w:r>
        <w:br w:type="page"/>
      </w:r>
    </w:p>
    <w:p w14:paraId="7EC6FADD" w14:textId="7B8276B6" w:rsidR="00C20A3E" w:rsidRPr="0069050E" w:rsidRDefault="003E1CF8" w:rsidP="002F732E">
      <w:pPr>
        <w:spacing w:before="240"/>
        <w:jc w:val="right"/>
        <w:rPr>
          <w:b/>
        </w:rPr>
      </w:pPr>
      <w:r w:rsidRPr="0069050E">
        <w:rPr>
          <w:b/>
        </w:rPr>
        <w:lastRenderedPageBreak/>
        <w:t>ATTACHMENT D</w:t>
      </w:r>
    </w:p>
    <w:p w14:paraId="4688E5DF" w14:textId="77777777" w:rsidR="00C20A3E" w:rsidRDefault="00C20A3E" w:rsidP="002F732E">
      <w:pPr>
        <w:pStyle w:val="Heading3"/>
      </w:pPr>
      <w:r>
        <w:t>Statement of Compatibility with Human Rights</w:t>
      </w:r>
    </w:p>
    <w:p w14:paraId="0CE76884" w14:textId="77777777" w:rsidR="00C20A3E" w:rsidRPr="002F732E" w:rsidRDefault="00C20A3E" w:rsidP="002F732E">
      <w:pPr>
        <w:spacing w:before="240"/>
        <w:jc w:val="center"/>
        <w:rPr>
          <w:i/>
        </w:rPr>
      </w:pPr>
      <w:r w:rsidRPr="002F732E">
        <w:rPr>
          <w:i/>
        </w:rPr>
        <w:t>Prepared in accordance with Part 3 of the Human Rights (Parliamentary Scrutiny) Act 2011</w:t>
      </w:r>
    </w:p>
    <w:p w14:paraId="24A154E4" w14:textId="1E7D3076" w:rsidR="00C20A3E" w:rsidRDefault="00C20A3E" w:rsidP="002F732E">
      <w:pPr>
        <w:pStyle w:val="Heading3"/>
        <w:jc w:val="center"/>
      </w:pPr>
      <w:r>
        <w:t>Schedule 3 to the Treasury Laws Amendment (2018 Measures No. 1) Regulations</w:t>
      </w:r>
      <w:r w:rsidR="003E1CF8">
        <w:t> </w:t>
      </w:r>
      <w:r>
        <w:t>2018</w:t>
      </w:r>
    </w:p>
    <w:p w14:paraId="5C426680" w14:textId="77777777" w:rsidR="00C20A3E" w:rsidRDefault="00C20A3E" w:rsidP="00C20A3E">
      <w:pPr>
        <w:spacing w:before="240"/>
      </w:pPr>
      <w:r>
        <w:t xml:space="preserve">This Legislative Instrument is compatible with the human rights and freedoms recognised or declared in the international instruments listed in section 3 of the </w:t>
      </w:r>
      <w:r w:rsidRPr="002F732E">
        <w:rPr>
          <w:i/>
        </w:rPr>
        <w:t>Human Rights (Parliamentary Scrutiny) Act 2011</w:t>
      </w:r>
      <w:r>
        <w:t>.</w:t>
      </w:r>
    </w:p>
    <w:p w14:paraId="7A6314C3" w14:textId="77777777" w:rsidR="00C20A3E" w:rsidRDefault="00C20A3E" w:rsidP="002F732E">
      <w:pPr>
        <w:pStyle w:val="Heading3"/>
      </w:pPr>
      <w:r>
        <w:t>Overview of the Legislative Instrument</w:t>
      </w:r>
    </w:p>
    <w:p w14:paraId="46207BFE" w14:textId="3D844825" w:rsidR="00C20A3E" w:rsidRDefault="00C20A3E" w:rsidP="00C20A3E">
      <w:pPr>
        <w:spacing w:before="240"/>
      </w:pPr>
      <w:r>
        <w:t xml:space="preserve">The Regulations update the list of approved stock exchanges in the </w:t>
      </w:r>
      <w:r w:rsidRPr="002F732E">
        <w:rPr>
          <w:i/>
        </w:rPr>
        <w:t>Income Tax Assessment Regulations 1997</w:t>
      </w:r>
      <w:r>
        <w:t xml:space="preserve"> for the purposes of for the purposes of the definition of approved stock exchange in the subsection 995-1 of the </w:t>
      </w:r>
      <w:r w:rsidR="0094589A" w:rsidRPr="002F732E">
        <w:rPr>
          <w:i/>
        </w:rPr>
        <w:t xml:space="preserve">Income Tax Assessment </w:t>
      </w:r>
      <w:r w:rsidRPr="002F732E">
        <w:rPr>
          <w:i/>
        </w:rPr>
        <w:t>Act</w:t>
      </w:r>
      <w:r w:rsidR="0094589A">
        <w:rPr>
          <w:i/>
        </w:rPr>
        <w:t> </w:t>
      </w:r>
      <w:r w:rsidR="0094589A" w:rsidRPr="002F732E">
        <w:rPr>
          <w:i/>
        </w:rPr>
        <w:t>1997</w:t>
      </w:r>
      <w:r>
        <w:t>.</w:t>
      </w:r>
    </w:p>
    <w:p w14:paraId="6741A28D" w14:textId="77777777" w:rsidR="00C20A3E" w:rsidRDefault="00C20A3E" w:rsidP="002F732E">
      <w:pPr>
        <w:pStyle w:val="Heading3"/>
      </w:pPr>
      <w:r>
        <w:t>Human rights implications</w:t>
      </w:r>
    </w:p>
    <w:p w14:paraId="5C05EEE9" w14:textId="77777777" w:rsidR="00C20A3E" w:rsidRDefault="00C20A3E" w:rsidP="00C20A3E">
      <w:pPr>
        <w:spacing w:before="240"/>
      </w:pPr>
      <w:r>
        <w:t>This Legislative Instrument does not engage any of the applicable rights or freedoms.</w:t>
      </w:r>
    </w:p>
    <w:p w14:paraId="6AAB4BDD" w14:textId="77777777" w:rsidR="00C20A3E" w:rsidRDefault="00C20A3E" w:rsidP="002F732E">
      <w:pPr>
        <w:pStyle w:val="Heading3"/>
      </w:pPr>
      <w:r>
        <w:t>Conclusion</w:t>
      </w:r>
    </w:p>
    <w:p w14:paraId="156D00A9" w14:textId="488A5AB7" w:rsidR="009143A0" w:rsidRDefault="00C20A3E" w:rsidP="00C20A3E">
      <w:pPr>
        <w:spacing w:before="240"/>
      </w:pPr>
      <w:r>
        <w:t>This Legislative Instrument is compatible with human rights as it does not raise any human rights issues.</w:t>
      </w:r>
    </w:p>
    <w:sectPr w:rsidR="009143A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0FEB" w14:textId="77777777" w:rsidR="00D45261" w:rsidRDefault="00D45261" w:rsidP="00954679">
      <w:pPr>
        <w:spacing w:before="0" w:after="0"/>
      </w:pPr>
      <w:r>
        <w:separator/>
      </w:r>
    </w:p>
  </w:endnote>
  <w:endnote w:type="continuationSeparator" w:id="0">
    <w:p w14:paraId="41321986" w14:textId="77777777" w:rsidR="00D45261" w:rsidRDefault="00D45261" w:rsidP="00954679">
      <w:pPr>
        <w:spacing w:before="0" w:after="0"/>
      </w:pPr>
      <w:r>
        <w:continuationSeparator/>
      </w:r>
    </w:p>
  </w:endnote>
  <w:endnote w:type="continuationNotice" w:id="1">
    <w:p w14:paraId="2B7B2AE8" w14:textId="77777777" w:rsidR="00D45261" w:rsidRDefault="00D452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49329"/>
      <w:docPartObj>
        <w:docPartGallery w:val="Page Numbers (Bottom of Page)"/>
        <w:docPartUnique/>
      </w:docPartObj>
    </w:sdtPr>
    <w:sdtEndPr/>
    <w:sdtContent>
      <w:sdt>
        <w:sdtPr>
          <w:id w:val="-1109118409"/>
          <w:docPartObj>
            <w:docPartGallery w:val="Page Numbers (Top of Page)"/>
            <w:docPartUnique/>
          </w:docPartObj>
        </w:sdtPr>
        <w:sdtEndPr/>
        <w:sdtContent>
          <w:p w14:paraId="1D0761E7" w14:textId="77777777" w:rsidR="00D45261" w:rsidRDefault="00D45261"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9050E">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9050E">
              <w:rPr>
                <w:bCs/>
                <w:noProof/>
              </w:rPr>
              <w:t>17</w:t>
            </w:r>
            <w:r w:rsidRPr="00954679">
              <w:rPr>
                <w:bCs/>
                <w:szCs w:val="24"/>
              </w:rPr>
              <w:fldChar w:fldCharType="end"/>
            </w:r>
          </w:p>
        </w:sdtContent>
      </w:sdt>
    </w:sdtContent>
  </w:sdt>
  <w:p w14:paraId="3F439E81" w14:textId="77777777" w:rsidR="00D45261" w:rsidRDefault="00D4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015F7" w14:textId="77777777" w:rsidR="00D45261" w:rsidRDefault="00D45261" w:rsidP="00954679">
      <w:pPr>
        <w:spacing w:before="0" w:after="0"/>
      </w:pPr>
      <w:r>
        <w:separator/>
      </w:r>
    </w:p>
  </w:footnote>
  <w:footnote w:type="continuationSeparator" w:id="0">
    <w:p w14:paraId="31B1CBA6" w14:textId="77777777" w:rsidR="00D45261" w:rsidRDefault="00D45261" w:rsidP="00954679">
      <w:pPr>
        <w:spacing w:before="0" w:after="0"/>
      </w:pPr>
      <w:r>
        <w:continuationSeparator/>
      </w:r>
    </w:p>
  </w:footnote>
  <w:footnote w:type="continuationNotice" w:id="1">
    <w:p w14:paraId="4EA948CD" w14:textId="77777777" w:rsidR="00D45261" w:rsidRDefault="00D4526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6B"/>
    <w:rsid w:val="00016EA2"/>
    <w:rsid w:val="00017955"/>
    <w:rsid w:val="00026238"/>
    <w:rsid w:val="0003733E"/>
    <w:rsid w:val="0006544D"/>
    <w:rsid w:val="00082C73"/>
    <w:rsid w:val="00083687"/>
    <w:rsid w:val="00095211"/>
    <w:rsid w:val="000A5F43"/>
    <w:rsid w:val="000B3E91"/>
    <w:rsid w:val="000C10DF"/>
    <w:rsid w:val="000C53CF"/>
    <w:rsid w:val="00113B45"/>
    <w:rsid w:val="00116DC3"/>
    <w:rsid w:val="00154B0F"/>
    <w:rsid w:val="0018496A"/>
    <w:rsid w:val="00185CA6"/>
    <w:rsid w:val="001B211E"/>
    <w:rsid w:val="001D0E7C"/>
    <w:rsid w:val="001E69C0"/>
    <w:rsid w:val="001E6A74"/>
    <w:rsid w:val="001F41D0"/>
    <w:rsid w:val="00202ADE"/>
    <w:rsid w:val="002035BB"/>
    <w:rsid w:val="00214666"/>
    <w:rsid w:val="00220F16"/>
    <w:rsid w:val="00254C5B"/>
    <w:rsid w:val="002F732E"/>
    <w:rsid w:val="003109B0"/>
    <w:rsid w:val="00316DAE"/>
    <w:rsid w:val="003342CD"/>
    <w:rsid w:val="00335042"/>
    <w:rsid w:val="00337B74"/>
    <w:rsid w:val="00362B70"/>
    <w:rsid w:val="00365819"/>
    <w:rsid w:val="00376E4D"/>
    <w:rsid w:val="00392BBA"/>
    <w:rsid w:val="003954FD"/>
    <w:rsid w:val="003958F5"/>
    <w:rsid w:val="003A4961"/>
    <w:rsid w:val="003A70FC"/>
    <w:rsid w:val="003B3F84"/>
    <w:rsid w:val="003C4C37"/>
    <w:rsid w:val="003E1CE3"/>
    <w:rsid w:val="003E1CF8"/>
    <w:rsid w:val="003E3355"/>
    <w:rsid w:val="00423A4D"/>
    <w:rsid w:val="004318EB"/>
    <w:rsid w:val="0045217D"/>
    <w:rsid w:val="00462095"/>
    <w:rsid w:val="004924A5"/>
    <w:rsid w:val="004B01A6"/>
    <w:rsid w:val="004B06A0"/>
    <w:rsid w:val="004B3C0F"/>
    <w:rsid w:val="004C05E4"/>
    <w:rsid w:val="004C467D"/>
    <w:rsid w:val="004D58F5"/>
    <w:rsid w:val="004E39E1"/>
    <w:rsid w:val="004E5A0D"/>
    <w:rsid w:val="00503E44"/>
    <w:rsid w:val="00515283"/>
    <w:rsid w:val="00533926"/>
    <w:rsid w:val="005438C1"/>
    <w:rsid w:val="0055675D"/>
    <w:rsid w:val="00566DBA"/>
    <w:rsid w:val="00566E8F"/>
    <w:rsid w:val="00566F2D"/>
    <w:rsid w:val="005833BE"/>
    <w:rsid w:val="005C145E"/>
    <w:rsid w:val="005D7D5A"/>
    <w:rsid w:val="005E4BAC"/>
    <w:rsid w:val="0060130D"/>
    <w:rsid w:val="00606070"/>
    <w:rsid w:val="006241D1"/>
    <w:rsid w:val="0064129F"/>
    <w:rsid w:val="00647BB7"/>
    <w:rsid w:val="00652DD8"/>
    <w:rsid w:val="00656C45"/>
    <w:rsid w:val="00666E94"/>
    <w:rsid w:val="00680297"/>
    <w:rsid w:val="0068180F"/>
    <w:rsid w:val="006852F1"/>
    <w:rsid w:val="0069050E"/>
    <w:rsid w:val="00692051"/>
    <w:rsid w:val="006A0786"/>
    <w:rsid w:val="006A193B"/>
    <w:rsid w:val="006D362B"/>
    <w:rsid w:val="006F01D3"/>
    <w:rsid w:val="006F5795"/>
    <w:rsid w:val="00703AB3"/>
    <w:rsid w:val="007047C6"/>
    <w:rsid w:val="007108BE"/>
    <w:rsid w:val="00712ACE"/>
    <w:rsid w:val="00714157"/>
    <w:rsid w:val="00722BEE"/>
    <w:rsid w:val="00723452"/>
    <w:rsid w:val="00736F61"/>
    <w:rsid w:val="00743021"/>
    <w:rsid w:val="00760A11"/>
    <w:rsid w:val="00763387"/>
    <w:rsid w:val="007662C7"/>
    <w:rsid w:val="00776306"/>
    <w:rsid w:val="007777C0"/>
    <w:rsid w:val="007779CA"/>
    <w:rsid w:val="007B1F10"/>
    <w:rsid w:val="007B2384"/>
    <w:rsid w:val="007B5441"/>
    <w:rsid w:val="007D2714"/>
    <w:rsid w:val="007E018D"/>
    <w:rsid w:val="007E64CB"/>
    <w:rsid w:val="007F1B71"/>
    <w:rsid w:val="00807E7D"/>
    <w:rsid w:val="00831675"/>
    <w:rsid w:val="008369F5"/>
    <w:rsid w:val="00847A78"/>
    <w:rsid w:val="00850C86"/>
    <w:rsid w:val="00851C92"/>
    <w:rsid w:val="00863C9F"/>
    <w:rsid w:val="0088467C"/>
    <w:rsid w:val="00894579"/>
    <w:rsid w:val="008A0070"/>
    <w:rsid w:val="008A5B67"/>
    <w:rsid w:val="008B4279"/>
    <w:rsid w:val="008C23D5"/>
    <w:rsid w:val="008C35BF"/>
    <w:rsid w:val="008D16F7"/>
    <w:rsid w:val="008D213A"/>
    <w:rsid w:val="008D5242"/>
    <w:rsid w:val="008E1427"/>
    <w:rsid w:val="00904E34"/>
    <w:rsid w:val="00913789"/>
    <w:rsid w:val="009143A0"/>
    <w:rsid w:val="0094589A"/>
    <w:rsid w:val="00953FC5"/>
    <w:rsid w:val="009544E4"/>
    <w:rsid w:val="00954679"/>
    <w:rsid w:val="0097779F"/>
    <w:rsid w:val="00984A78"/>
    <w:rsid w:val="00990C96"/>
    <w:rsid w:val="009A4BEB"/>
    <w:rsid w:val="009C63E6"/>
    <w:rsid w:val="009D4173"/>
    <w:rsid w:val="009E2F86"/>
    <w:rsid w:val="009E6950"/>
    <w:rsid w:val="009F05C6"/>
    <w:rsid w:val="009F09D9"/>
    <w:rsid w:val="009F2304"/>
    <w:rsid w:val="009F6D11"/>
    <w:rsid w:val="00A12209"/>
    <w:rsid w:val="00A36DF3"/>
    <w:rsid w:val="00A36E86"/>
    <w:rsid w:val="00A44783"/>
    <w:rsid w:val="00A4615E"/>
    <w:rsid w:val="00A50B6B"/>
    <w:rsid w:val="00A532DD"/>
    <w:rsid w:val="00A75933"/>
    <w:rsid w:val="00A80BCF"/>
    <w:rsid w:val="00A81251"/>
    <w:rsid w:val="00A8369C"/>
    <w:rsid w:val="00A86777"/>
    <w:rsid w:val="00A92573"/>
    <w:rsid w:val="00AA1689"/>
    <w:rsid w:val="00AC1D15"/>
    <w:rsid w:val="00AC2E6D"/>
    <w:rsid w:val="00AD6319"/>
    <w:rsid w:val="00AE2741"/>
    <w:rsid w:val="00B00713"/>
    <w:rsid w:val="00B0140B"/>
    <w:rsid w:val="00B07B0C"/>
    <w:rsid w:val="00B25563"/>
    <w:rsid w:val="00B26D48"/>
    <w:rsid w:val="00B33540"/>
    <w:rsid w:val="00B42EE1"/>
    <w:rsid w:val="00B44700"/>
    <w:rsid w:val="00B45171"/>
    <w:rsid w:val="00B5178D"/>
    <w:rsid w:val="00B569ED"/>
    <w:rsid w:val="00B6001F"/>
    <w:rsid w:val="00B673B5"/>
    <w:rsid w:val="00B713D2"/>
    <w:rsid w:val="00B92478"/>
    <w:rsid w:val="00B95112"/>
    <w:rsid w:val="00BA0F36"/>
    <w:rsid w:val="00BC17AA"/>
    <w:rsid w:val="00BC1F7E"/>
    <w:rsid w:val="00BC47F2"/>
    <w:rsid w:val="00BD478F"/>
    <w:rsid w:val="00BD61A2"/>
    <w:rsid w:val="00BE484D"/>
    <w:rsid w:val="00BE7FC0"/>
    <w:rsid w:val="00BF191B"/>
    <w:rsid w:val="00BF5752"/>
    <w:rsid w:val="00C20A3E"/>
    <w:rsid w:val="00C31392"/>
    <w:rsid w:val="00C37E05"/>
    <w:rsid w:val="00C41D1D"/>
    <w:rsid w:val="00C4390E"/>
    <w:rsid w:val="00C55D29"/>
    <w:rsid w:val="00C71267"/>
    <w:rsid w:val="00C72EAA"/>
    <w:rsid w:val="00C92F3E"/>
    <w:rsid w:val="00C977CF"/>
    <w:rsid w:val="00CA0BE9"/>
    <w:rsid w:val="00CA138D"/>
    <w:rsid w:val="00CA6916"/>
    <w:rsid w:val="00CC7641"/>
    <w:rsid w:val="00CD3633"/>
    <w:rsid w:val="00CE411D"/>
    <w:rsid w:val="00CE7BD2"/>
    <w:rsid w:val="00D02FB9"/>
    <w:rsid w:val="00D13794"/>
    <w:rsid w:val="00D24052"/>
    <w:rsid w:val="00D24386"/>
    <w:rsid w:val="00D2679E"/>
    <w:rsid w:val="00D31575"/>
    <w:rsid w:val="00D318AB"/>
    <w:rsid w:val="00D34626"/>
    <w:rsid w:val="00D40BE3"/>
    <w:rsid w:val="00D4257A"/>
    <w:rsid w:val="00D45261"/>
    <w:rsid w:val="00D455FB"/>
    <w:rsid w:val="00D45BAB"/>
    <w:rsid w:val="00D55EA1"/>
    <w:rsid w:val="00D62665"/>
    <w:rsid w:val="00D743B0"/>
    <w:rsid w:val="00D83D4C"/>
    <w:rsid w:val="00DC0CDE"/>
    <w:rsid w:val="00DC4D72"/>
    <w:rsid w:val="00DF4BBB"/>
    <w:rsid w:val="00E0624D"/>
    <w:rsid w:val="00E306A7"/>
    <w:rsid w:val="00E3120E"/>
    <w:rsid w:val="00E37264"/>
    <w:rsid w:val="00E401AD"/>
    <w:rsid w:val="00E4438C"/>
    <w:rsid w:val="00E457F3"/>
    <w:rsid w:val="00E5276A"/>
    <w:rsid w:val="00EA1E26"/>
    <w:rsid w:val="00EA449D"/>
    <w:rsid w:val="00EA7641"/>
    <w:rsid w:val="00EA7DB1"/>
    <w:rsid w:val="00EB7E71"/>
    <w:rsid w:val="00F109D4"/>
    <w:rsid w:val="00F20151"/>
    <w:rsid w:val="00F4061A"/>
    <w:rsid w:val="00F44574"/>
    <w:rsid w:val="00F4731F"/>
    <w:rsid w:val="00F47585"/>
    <w:rsid w:val="00F611AA"/>
    <w:rsid w:val="00F768C0"/>
    <w:rsid w:val="00F8039E"/>
    <w:rsid w:val="00F80954"/>
    <w:rsid w:val="00F83744"/>
    <w:rsid w:val="00F85E6F"/>
    <w:rsid w:val="00F96707"/>
    <w:rsid w:val="00FA0AB8"/>
    <w:rsid w:val="00FD10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BF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4B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BF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4B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01379">
      <w:bodyDiv w:val="1"/>
      <w:marLeft w:val="0"/>
      <w:marRight w:val="0"/>
      <w:marTop w:val="0"/>
      <w:marBottom w:val="0"/>
      <w:divBdr>
        <w:top w:val="none" w:sz="0" w:space="0" w:color="auto"/>
        <w:left w:val="none" w:sz="0" w:space="0" w:color="auto"/>
        <w:bottom w:val="none" w:sz="0" w:space="0" w:color="auto"/>
        <w:right w:val="none" w:sz="0" w:space="0" w:color="auto"/>
      </w:divBdr>
    </w:div>
    <w:div w:id="18006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1916" ma:contentTypeDescription=" " ma:contentTypeScope="" ma:versionID="093ea0808b0367067f55adcd580d9142">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7</Value>
    </TaxCatchAll>
    <_dlc_DocId xmlns="9f7bc583-7cbe-45b9-a2bd-8bbb6543b37e">2018RG-111-9140</_dlc_DocId>
    <_dlc_DocIdUrl xmlns="9f7bc583-7cbe-45b9-a2bd-8bbb6543b37e">
      <Url>http://tweb/sites/rg/ldp/lmu/_layouts/15/DocIdRedir.aspx?ID=2018RG-111-9140</Url>
      <Description>2018RG-111-9140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FDF2-E201-47E0-AA19-D32727D33956}"/>
</file>

<file path=customXml/itemProps2.xml><?xml version="1.0" encoding="utf-8"?>
<ds:datastoreItem xmlns:ds="http://schemas.openxmlformats.org/officeDocument/2006/customXml" ds:itemID="{46278533-3486-40E5-9013-DD26FD164D39}">
  <ds:schemaRefs>
    <ds:schemaRef ds:uri="9f7bc583-7cbe-45b9-a2bd-8bbb6543b37e"/>
    <ds:schemaRef ds:uri="http://schemas.openxmlformats.org/package/2006/metadata/core-properties"/>
    <ds:schemaRef ds:uri="http://purl.org/dc/dcmitype/"/>
    <ds:schemaRef ds:uri="http://purl.org/dc/elements/1.1/"/>
    <ds:schemaRef ds:uri="http://schemas.microsoft.com/sharepoint/v4"/>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687b78b0-2ddd-4441-8a8b-c9638c2a1939"/>
    <ds:schemaRef ds:uri="http://schemas.microsoft.com/office/2006/metadata/propertie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02073D1B-3BEA-44BF-85F6-DB6FEB5578A6}">
  <ds:schemaRefs>
    <ds:schemaRef ds:uri="office.server.policy"/>
  </ds:schemaRefs>
</ds:datastoreItem>
</file>

<file path=customXml/itemProps5.xml><?xml version="1.0" encoding="utf-8"?>
<ds:datastoreItem xmlns:ds="http://schemas.openxmlformats.org/officeDocument/2006/customXml" ds:itemID="{8124D27B-5C37-4F6F-8FFD-3375E7EB1D4C}"/>
</file>

<file path=customXml/itemProps6.xml><?xml version="1.0" encoding="utf-8"?>
<ds:datastoreItem xmlns:ds="http://schemas.openxmlformats.org/officeDocument/2006/customXml" ds:itemID="{8A392504-6BB1-4FE9-9846-735C6205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17</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Boyd, Patrick</dc:creator>
  <cp:lastModifiedBy>Boyd, Patrick</cp:lastModifiedBy>
  <cp:revision>3</cp:revision>
  <cp:lastPrinted>2018-05-16T02:57:00Z</cp:lastPrinted>
  <dcterms:created xsi:type="dcterms:W3CDTF">2018-06-12T00:35:00Z</dcterms:created>
  <dcterms:modified xsi:type="dcterms:W3CDTF">2018-06-12T00:36:00Z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-1190842286</vt:i4>
  </property>
  <property fmtid="{D5CDD505-2E9C-101B-9397-08002B2CF9AE}" pid="3" name="_NewReviewCycle">
    <vt:lpwstr/>
  </property>
  <property fmtid="{D5CDD505-2E9C-101B-9397-08002B2CF9AE}" pid="4" name="_EmailSubject">
    <vt:lpwstr>FOR CLEARANCE - Treasury Laws Amendment (2018 Measures No. 1) Regulations 2018 [DLM=Sensitive:Legal]</vt:lpwstr>
  </property>
  <property fmtid="{D5CDD505-2E9C-101B-9397-08002B2CF9AE}" pid="5" name="_AuthorEmail">
    <vt:lpwstr>Patrick.Boyd@TREASURY.GOV.AU</vt:lpwstr>
  </property>
  <property fmtid="{D5CDD505-2E9C-101B-9397-08002B2CF9AE}" pid="6" name="_AuthorEmailDisplayName">
    <vt:lpwstr>Boyd, Patrick</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PreviousAdHocReviewCycleID">
    <vt:i4>-1190842286</vt:i4>
  </property>
  <property fmtid="{D5CDD505-2E9C-101B-9397-08002B2CF9AE}" pid="10" name="RecordPoint_WorkflowType">
    <vt:lpwstr>ActiveSubmitStub</vt:lpwstr>
  </property>
  <property fmtid="{D5CDD505-2E9C-101B-9397-08002B2CF9AE}" pid="11" name="RecordPoint_ActiveItemWebId">
    <vt:lpwstr>{2602612e-a30f-4de0-b9eb-e01e73dc8005}</vt:lpwstr>
  </property>
  <property fmtid="{D5CDD505-2E9C-101B-9397-08002B2CF9AE}" pid="12" name="RecordPoint_ActiveItemSiteId">
    <vt:lpwstr>{5b52b9a5-e5b2-4521-8814-a1e24ca2869d}</vt:lpwstr>
  </property>
  <property fmtid="{D5CDD505-2E9C-101B-9397-08002B2CF9AE}" pid="13" name="RecordPoint_ActiveItemListId">
    <vt:lpwstr>{1a010be9-83b3-4740-abb7-452f2d1120fe}</vt:lpwstr>
  </property>
  <property fmtid="{D5CDD505-2E9C-101B-9397-08002B2CF9AE}" pid="14" name="_dlc_DocIdItemGuid">
    <vt:lpwstr>7a94411c-5dbd-4baf-8a61-fb490e8edcb8</vt:lpwstr>
  </property>
  <property fmtid="{D5CDD505-2E9C-101B-9397-08002B2CF9AE}" pid="15" name="RecordPoint_ActiveItemUniqueId">
    <vt:lpwstr>{7a94411c-5dbd-4baf-8a61-fb490e8edcb8}</vt:lpwstr>
  </property>
  <property fmtid="{D5CDD505-2E9C-101B-9397-08002B2CF9AE}" pid="16" name="RecordPoint_RecordNumberSubmitted">
    <vt:lpwstr>R0001742326</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2018-06-12T11:10:41.4270502+10:00</vt:lpwstr>
  </property>
</Properties>
</file>