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A733F" w14:textId="77777777" w:rsidR="00DD0589" w:rsidRPr="0065347C" w:rsidRDefault="00DD0589" w:rsidP="00DD0589">
      <w:pPr>
        <w:pStyle w:val="Title"/>
        <w:jc w:val="center"/>
        <w:rPr>
          <w:rFonts w:ascii="Times New Roman" w:hAnsi="Times New Roman" w:cs="Times New Roman"/>
          <w:sz w:val="24"/>
          <w:szCs w:val="24"/>
        </w:rPr>
      </w:pPr>
      <w:bookmarkStart w:id="0" w:name="_GoBack"/>
      <w:bookmarkEnd w:id="0"/>
      <w:r w:rsidRPr="0065347C">
        <w:rPr>
          <w:rFonts w:ascii="Times New Roman" w:hAnsi="Times New Roman" w:cs="Times New Roman"/>
          <w:sz w:val="24"/>
          <w:szCs w:val="24"/>
        </w:rPr>
        <w:t>Explanatory Statement</w:t>
      </w:r>
    </w:p>
    <w:p w14:paraId="4DD41925" w14:textId="77777777" w:rsidR="00DD0589" w:rsidRPr="0065347C" w:rsidRDefault="00DD0589" w:rsidP="00DD0589">
      <w:pPr>
        <w:pStyle w:val="Subtitle"/>
        <w:rPr>
          <w:rFonts w:ascii="Times New Roman" w:hAnsi="Times New Roman" w:cs="Times New Roman"/>
        </w:rPr>
      </w:pPr>
    </w:p>
    <w:p w14:paraId="5CD57170" w14:textId="77777777" w:rsidR="00DD0589" w:rsidRPr="0065347C" w:rsidRDefault="00DD0589" w:rsidP="00DD0589">
      <w:pPr>
        <w:pStyle w:val="Subtitle"/>
        <w:rPr>
          <w:rFonts w:ascii="Times New Roman" w:hAnsi="Times New Roman" w:cs="Times New Roman"/>
          <w:b/>
        </w:rPr>
      </w:pPr>
      <w:r w:rsidRPr="0065347C">
        <w:rPr>
          <w:rFonts w:ascii="Times New Roman" w:hAnsi="Times New Roman" w:cs="Times New Roman"/>
          <w:b/>
        </w:rPr>
        <w:t>Currency Act 1965</w:t>
      </w:r>
    </w:p>
    <w:p w14:paraId="036DBD18" w14:textId="77777777" w:rsidR="00DD0589" w:rsidRPr="0065347C" w:rsidRDefault="00DD0589" w:rsidP="00DD0589">
      <w:pPr>
        <w:pStyle w:val="Subtitle"/>
        <w:rPr>
          <w:rFonts w:ascii="Times New Roman" w:hAnsi="Times New Roman" w:cs="Times New Roman"/>
        </w:rPr>
      </w:pPr>
    </w:p>
    <w:p w14:paraId="23FBE84F" w14:textId="7C864BE4" w:rsidR="00DD0589" w:rsidRPr="0065347C" w:rsidRDefault="00562D3D" w:rsidP="00DD0589">
      <w:pPr>
        <w:jc w:val="center"/>
        <w:rPr>
          <w:b/>
        </w:rPr>
      </w:pPr>
      <w:r>
        <w:rPr>
          <w:b/>
        </w:rPr>
        <w:t>Currency (Royal Austr</w:t>
      </w:r>
      <w:r w:rsidR="00CC53B9">
        <w:rPr>
          <w:b/>
        </w:rPr>
        <w:t xml:space="preserve">alian Mint) Determination (No. </w:t>
      </w:r>
      <w:r w:rsidR="00FB7656">
        <w:rPr>
          <w:b/>
        </w:rPr>
        <w:t>3</w:t>
      </w:r>
      <w:r w:rsidR="00B76D49">
        <w:rPr>
          <w:b/>
        </w:rPr>
        <w:t>) 201</w:t>
      </w:r>
      <w:r w:rsidR="00D65315">
        <w:rPr>
          <w:b/>
        </w:rPr>
        <w:t>8</w:t>
      </w:r>
    </w:p>
    <w:p w14:paraId="120BE715" w14:textId="77777777" w:rsidR="00DD0589" w:rsidRPr="0065347C" w:rsidRDefault="00DD0589" w:rsidP="00DD0589">
      <w:pPr>
        <w:jc w:val="center"/>
        <w:rPr>
          <w:b/>
        </w:rPr>
      </w:pPr>
    </w:p>
    <w:p w14:paraId="6DACD5EF" w14:textId="1DF2FFD9" w:rsidR="00DD0589" w:rsidRPr="0065347C" w:rsidRDefault="00DD0589" w:rsidP="00DD0589">
      <w:pPr>
        <w:spacing w:after="240"/>
        <w:rPr>
          <w:b/>
        </w:rPr>
      </w:pPr>
      <w:r w:rsidRPr="0065347C">
        <w:t xml:space="preserve">Under </w:t>
      </w:r>
      <w:r>
        <w:t xml:space="preserve">paragraph 13(2)(b) and </w:t>
      </w:r>
      <w:r w:rsidRPr="0065347C">
        <w:t xml:space="preserve">subsection 13A(1) of the </w:t>
      </w:r>
      <w:r w:rsidRPr="0065347C">
        <w:rPr>
          <w:i/>
        </w:rPr>
        <w:t>Currency Act 1965</w:t>
      </w:r>
      <w:r w:rsidRPr="0065347C">
        <w:t xml:space="preserve">, the </w:t>
      </w:r>
      <w:r w:rsidR="00D65315">
        <w:t>Assistant Minister to the Treasurer</w:t>
      </w:r>
      <w:r w:rsidR="009A2415">
        <w:t xml:space="preserve"> </w:t>
      </w:r>
      <w:r w:rsidRPr="0065347C">
        <w:t>has made a determination regarding the specification of coins proposed to be issued by the Royal Australian Mint.</w:t>
      </w:r>
    </w:p>
    <w:p w14:paraId="209A1C29" w14:textId="71E98638" w:rsidR="005D7243" w:rsidRDefault="00DD0589" w:rsidP="005D7243">
      <w:pPr>
        <w:spacing w:after="240"/>
      </w:pPr>
      <w:r>
        <w:t>Paragraph</w:t>
      </w:r>
      <w:r w:rsidR="000F622B">
        <w:t xml:space="preserve"> </w:t>
      </w:r>
      <w:r>
        <w:t xml:space="preserve">13(2)(b) and </w:t>
      </w:r>
      <w:r w:rsidRPr="0065347C">
        <w:t xml:space="preserve">subsection 13A(1) of the </w:t>
      </w:r>
      <w:r w:rsidRPr="0065347C">
        <w:rPr>
          <w:i/>
        </w:rPr>
        <w:t>Currency Act 1965</w:t>
      </w:r>
      <w:r w:rsidRPr="0065347C">
        <w:t xml:space="preserve"> require that the determination provides details of the coins’ </w:t>
      </w:r>
      <w:r>
        <w:t xml:space="preserve">denomination and </w:t>
      </w:r>
      <w:r w:rsidRPr="0065347C">
        <w:t>characteristics, including standard composition, standard weight, allowable variation from standard weight, design and dimensions.</w:t>
      </w:r>
      <w:r w:rsidR="006574E2">
        <w:t xml:space="preserve"> Each item in the table below explains a corresponding item in Part 1 of Schedule 1 to this determination.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1101"/>
        <w:gridCol w:w="7421"/>
      </w:tblGrid>
      <w:tr w:rsidR="00055427" w:rsidRPr="00CC2ACD" w14:paraId="3CDCAC4C" w14:textId="77777777" w:rsidTr="00CC53B9">
        <w:trPr>
          <w:cantSplit/>
          <w:trHeight w:val="1896"/>
        </w:trPr>
        <w:tc>
          <w:tcPr>
            <w:tcW w:w="1101" w:type="dxa"/>
          </w:tcPr>
          <w:p w14:paraId="6FAF7F8F" w14:textId="065970EC" w:rsidR="0033099B" w:rsidRPr="007462A6" w:rsidRDefault="00055427" w:rsidP="00207D20">
            <w:pPr>
              <w:rPr>
                <w:b/>
                <w:sz w:val="18"/>
                <w:szCs w:val="18"/>
              </w:rPr>
            </w:pPr>
            <w:r w:rsidRPr="007462A6">
              <w:rPr>
                <w:b/>
                <w:sz w:val="18"/>
                <w:szCs w:val="18"/>
              </w:rPr>
              <w:t>Item 1</w:t>
            </w:r>
          </w:p>
        </w:tc>
        <w:tc>
          <w:tcPr>
            <w:tcW w:w="7421" w:type="dxa"/>
          </w:tcPr>
          <w:p w14:paraId="09FA3C86" w14:textId="4A6075F2" w:rsidR="0033099B" w:rsidRDefault="00FB7656" w:rsidP="00D65315">
            <w:pPr>
              <w:rPr>
                <w:b/>
                <w:sz w:val="18"/>
                <w:szCs w:val="18"/>
              </w:rPr>
            </w:pPr>
            <w:r>
              <w:rPr>
                <w:b/>
                <w:sz w:val="18"/>
                <w:szCs w:val="18"/>
              </w:rPr>
              <w:t>5c</w:t>
            </w:r>
            <w:r w:rsidR="00D65315">
              <w:rPr>
                <w:b/>
                <w:sz w:val="18"/>
                <w:szCs w:val="18"/>
              </w:rPr>
              <w:t xml:space="preserve"> </w:t>
            </w:r>
            <w:r w:rsidR="005D7243">
              <w:rPr>
                <w:b/>
                <w:sz w:val="18"/>
                <w:szCs w:val="18"/>
              </w:rPr>
              <w:t>Copper</w:t>
            </w:r>
            <w:r>
              <w:rPr>
                <w:b/>
                <w:sz w:val="18"/>
                <w:szCs w:val="18"/>
              </w:rPr>
              <w:t xml:space="preserve"> </w:t>
            </w:r>
            <w:r w:rsidR="005D7243">
              <w:rPr>
                <w:b/>
                <w:sz w:val="18"/>
                <w:szCs w:val="18"/>
              </w:rPr>
              <w:t xml:space="preserve">and Nickel </w:t>
            </w:r>
            <w:r w:rsidR="0033099B">
              <w:rPr>
                <w:b/>
                <w:sz w:val="18"/>
                <w:szCs w:val="18"/>
              </w:rPr>
              <w:t xml:space="preserve">Coin </w:t>
            </w:r>
            <w:r w:rsidR="005D7243">
              <w:rPr>
                <w:b/>
                <w:sz w:val="18"/>
                <w:szCs w:val="18"/>
              </w:rPr>
              <w:t>–</w:t>
            </w:r>
            <w:r w:rsidR="0033099B">
              <w:rPr>
                <w:b/>
                <w:sz w:val="18"/>
                <w:szCs w:val="18"/>
              </w:rPr>
              <w:t xml:space="preserve"> </w:t>
            </w:r>
            <w:r>
              <w:rPr>
                <w:b/>
                <w:sz w:val="18"/>
                <w:szCs w:val="18"/>
              </w:rPr>
              <w:t>50</w:t>
            </w:r>
            <w:r w:rsidRPr="00FB7656">
              <w:rPr>
                <w:b/>
                <w:sz w:val="18"/>
                <w:szCs w:val="18"/>
                <w:vertAlign w:val="superscript"/>
              </w:rPr>
              <w:t>th</w:t>
            </w:r>
            <w:r>
              <w:rPr>
                <w:b/>
                <w:sz w:val="18"/>
                <w:szCs w:val="18"/>
              </w:rPr>
              <w:t xml:space="preserve"> Anniversary of the Moon Landing</w:t>
            </w:r>
          </w:p>
          <w:p w14:paraId="1EA1E5A5" w14:textId="77777777" w:rsidR="00B76D49" w:rsidRDefault="00B76D49" w:rsidP="00B76D49">
            <w:pPr>
              <w:rPr>
                <w:b/>
                <w:sz w:val="18"/>
                <w:szCs w:val="18"/>
              </w:rPr>
            </w:pPr>
          </w:p>
          <w:p w14:paraId="43F3A503" w14:textId="0B90BFF4" w:rsidR="00B76D49" w:rsidRDefault="00B76D49" w:rsidP="00B76D49">
            <w:pPr>
              <w:rPr>
                <w:b/>
                <w:sz w:val="18"/>
                <w:szCs w:val="18"/>
              </w:rPr>
            </w:pPr>
            <w:r>
              <w:rPr>
                <w:b/>
                <w:sz w:val="18"/>
                <w:szCs w:val="18"/>
              </w:rPr>
              <w:t>Reverse</w:t>
            </w:r>
          </w:p>
          <w:p w14:paraId="6CF4C61E" w14:textId="77777777" w:rsidR="00C301EC" w:rsidRPr="00C301EC" w:rsidRDefault="00C301EC" w:rsidP="00C301EC">
            <w:pPr>
              <w:pStyle w:val="Tablea"/>
              <w:tabs>
                <w:tab w:val="left" w:pos="0"/>
              </w:tabs>
              <w:spacing w:before="0"/>
              <w:ind w:left="0" w:firstLine="0"/>
              <w:rPr>
                <w:sz w:val="18"/>
                <w:szCs w:val="18"/>
              </w:rPr>
            </w:pPr>
            <w:r w:rsidRPr="00C301EC">
              <w:rPr>
                <w:sz w:val="18"/>
                <w:szCs w:val="18"/>
              </w:rPr>
              <w:t>A circular border enclosing a representation of the surface of the moon and lines radiating from a crater. The design includes a stylised representation of a mark left by a boot, the number ‘5’ and a stylised representation of the initials of the designer Adam William Ball ‘AWB’.</w:t>
            </w:r>
          </w:p>
          <w:p w14:paraId="4B20B2E1" w14:textId="73A433C6" w:rsidR="002611FB" w:rsidRPr="00B02B3C" w:rsidRDefault="002611FB" w:rsidP="00B76D49">
            <w:pPr>
              <w:rPr>
                <w:b/>
                <w:sz w:val="18"/>
                <w:szCs w:val="18"/>
              </w:rPr>
            </w:pPr>
          </w:p>
          <w:p w14:paraId="6167F43B" w14:textId="54C227D1" w:rsidR="00232E47" w:rsidRPr="000B6CF7" w:rsidRDefault="00232E47" w:rsidP="00232E47">
            <w:pPr>
              <w:rPr>
                <w:b/>
                <w:sz w:val="18"/>
                <w:szCs w:val="18"/>
              </w:rPr>
            </w:pPr>
            <w:r w:rsidRPr="000B6CF7">
              <w:rPr>
                <w:b/>
                <w:sz w:val="18"/>
                <w:szCs w:val="18"/>
              </w:rPr>
              <w:t>Obverse</w:t>
            </w:r>
            <w:r w:rsidR="005D7243">
              <w:rPr>
                <w:b/>
                <w:sz w:val="18"/>
                <w:szCs w:val="18"/>
              </w:rPr>
              <w:t xml:space="preserve"> </w:t>
            </w:r>
          </w:p>
          <w:p w14:paraId="046F3292" w14:textId="449A5107" w:rsidR="0086457B" w:rsidRPr="00504F3D" w:rsidRDefault="00232E47" w:rsidP="00504F3D">
            <w:pPr>
              <w:rPr>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DA4948" w:rsidRPr="00CC2ACD" w14:paraId="139557BC" w14:textId="77777777" w:rsidTr="00C61082">
        <w:trPr>
          <w:cantSplit/>
        </w:trPr>
        <w:tc>
          <w:tcPr>
            <w:tcW w:w="1101" w:type="dxa"/>
          </w:tcPr>
          <w:p w14:paraId="78CAAAAF" w14:textId="757CE6EE" w:rsidR="00DA4948" w:rsidRPr="007462A6" w:rsidRDefault="0033099B" w:rsidP="0084367B">
            <w:pPr>
              <w:rPr>
                <w:b/>
                <w:sz w:val="18"/>
                <w:szCs w:val="18"/>
              </w:rPr>
            </w:pPr>
            <w:r>
              <w:rPr>
                <w:b/>
                <w:sz w:val="18"/>
                <w:szCs w:val="18"/>
              </w:rPr>
              <w:t xml:space="preserve">Item </w:t>
            </w:r>
            <w:r w:rsidR="00D65315">
              <w:rPr>
                <w:b/>
                <w:sz w:val="18"/>
                <w:szCs w:val="18"/>
              </w:rPr>
              <w:t>2</w:t>
            </w:r>
          </w:p>
        </w:tc>
        <w:tc>
          <w:tcPr>
            <w:tcW w:w="7421" w:type="dxa"/>
          </w:tcPr>
          <w:p w14:paraId="1D23CCB3" w14:textId="77777777" w:rsidR="00FB7656" w:rsidRDefault="005D7243" w:rsidP="00FB7656">
            <w:pPr>
              <w:rPr>
                <w:b/>
                <w:sz w:val="18"/>
                <w:szCs w:val="18"/>
              </w:rPr>
            </w:pPr>
            <w:r>
              <w:rPr>
                <w:b/>
                <w:sz w:val="18"/>
                <w:szCs w:val="18"/>
              </w:rPr>
              <w:t xml:space="preserve">$1 Copper, Aluminium and Nickel Coin – </w:t>
            </w:r>
            <w:r w:rsidR="00FB7656">
              <w:rPr>
                <w:b/>
                <w:sz w:val="18"/>
                <w:szCs w:val="18"/>
              </w:rPr>
              <w:t xml:space="preserve"> 50</w:t>
            </w:r>
            <w:r w:rsidR="00FB7656" w:rsidRPr="00FB7656">
              <w:rPr>
                <w:b/>
                <w:sz w:val="18"/>
                <w:szCs w:val="18"/>
                <w:vertAlign w:val="superscript"/>
              </w:rPr>
              <w:t>th</w:t>
            </w:r>
            <w:r w:rsidR="00FB7656">
              <w:rPr>
                <w:b/>
                <w:sz w:val="18"/>
                <w:szCs w:val="18"/>
              </w:rPr>
              <w:t xml:space="preserve"> Anniversary of the Moon Landing</w:t>
            </w:r>
          </w:p>
          <w:p w14:paraId="23BB23D2" w14:textId="77777777" w:rsidR="005D7243" w:rsidRDefault="005D7243" w:rsidP="005D7243">
            <w:pPr>
              <w:rPr>
                <w:b/>
                <w:sz w:val="18"/>
                <w:szCs w:val="18"/>
              </w:rPr>
            </w:pPr>
          </w:p>
          <w:p w14:paraId="5D5A04DB" w14:textId="77777777" w:rsidR="005D7243" w:rsidRDefault="005D7243" w:rsidP="005D7243">
            <w:pPr>
              <w:rPr>
                <w:b/>
                <w:sz w:val="18"/>
                <w:szCs w:val="18"/>
              </w:rPr>
            </w:pPr>
            <w:r>
              <w:rPr>
                <w:b/>
                <w:sz w:val="18"/>
                <w:szCs w:val="18"/>
              </w:rPr>
              <w:t>Reverse</w:t>
            </w:r>
          </w:p>
          <w:p w14:paraId="58CA73A5" w14:textId="77777777" w:rsidR="00C44293" w:rsidRPr="00C44293" w:rsidRDefault="00C44293" w:rsidP="00C44293">
            <w:pPr>
              <w:pStyle w:val="Tablea"/>
              <w:tabs>
                <w:tab w:val="left" w:pos="0"/>
              </w:tabs>
              <w:spacing w:before="0"/>
              <w:ind w:left="0" w:firstLine="0"/>
              <w:rPr>
                <w:sz w:val="18"/>
                <w:szCs w:val="18"/>
              </w:rPr>
            </w:pPr>
            <w:r w:rsidRPr="00C44293">
              <w:rPr>
                <w:sz w:val="18"/>
                <w:szCs w:val="18"/>
              </w:rPr>
              <w:t>In the upper right side of the coin there is a representation of the Honeysuckle Creek tracking station. Two curved parallel lines extend across the coin horizontally. In the lower sector there is a representation of a workstation with buttons and a screen displaying a representation of an astronaut and a landing module on the surface of the moon. The design includes a representation of 2 men seated next to that workstation, wherein one man is wearing a headphone and writing in an open book. The design also includes a circular border, the inscriptions ‘ONE DOLLAR’ and ‘50TH ANNIVERSARY OF THE MOON LANDING’ and a stylised representation of the initials of the designer Adam William Ball ‘AWB’.</w:t>
            </w:r>
          </w:p>
          <w:p w14:paraId="01348105" w14:textId="77777777" w:rsidR="005D7243" w:rsidRPr="00B02B3C" w:rsidRDefault="005D7243" w:rsidP="005D7243">
            <w:pPr>
              <w:rPr>
                <w:b/>
                <w:sz w:val="18"/>
                <w:szCs w:val="18"/>
              </w:rPr>
            </w:pPr>
          </w:p>
          <w:p w14:paraId="51993BFC" w14:textId="77777777" w:rsidR="00FB7656" w:rsidRPr="000B6CF7" w:rsidRDefault="00FB7656" w:rsidP="00FB7656">
            <w:pPr>
              <w:rPr>
                <w:b/>
                <w:sz w:val="18"/>
                <w:szCs w:val="18"/>
              </w:rPr>
            </w:pPr>
            <w:r w:rsidRPr="000B6CF7">
              <w:rPr>
                <w:b/>
                <w:sz w:val="18"/>
                <w:szCs w:val="18"/>
              </w:rPr>
              <w:t>Obverse</w:t>
            </w:r>
            <w:r>
              <w:rPr>
                <w:b/>
                <w:sz w:val="18"/>
                <w:szCs w:val="18"/>
              </w:rPr>
              <w:t xml:space="preserve"> </w:t>
            </w:r>
          </w:p>
          <w:p w14:paraId="1C374542" w14:textId="1CD0B63F" w:rsidR="00CC53B9" w:rsidRPr="00504F3D" w:rsidRDefault="00FB7656" w:rsidP="00504F3D">
            <w:pPr>
              <w:rPr>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33099B" w:rsidRPr="00CC2ACD" w14:paraId="66219842" w14:textId="77777777" w:rsidTr="00C61082">
        <w:trPr>
          <w:cantSplit/>
        </w:trPr>
        <w:tc>
          <w:tcPr>
            <w:tcW w:w="1101" w:type="dxa"/>
          </w:tcPr>
          <w:p w14:paraId="63537D2B" w14:textId="7DBB1D79" w:rsidR="0033099B" w:rsidRPr="007462A6" w:rsidRDefault="0033099B" w:rsidP="0033099B">
            <w:pPr>
              <w:rPr>
                <w:b/>
                <w:sz w:val="18"/>
                <w:szCs w:val="18"/>
              </w:rPr>
            </w:pPr>
            <w:r>
              <w:rPr>
                <w:b/>
                <w:sz w:val="18"/>
                <w:szCs w:val="18"/>
              </w:rPr>
              <w:lastRenderedPageBreak/>
              <w:t xml:space="preserve">Item </w:t>
            </w:r>
            <w:r w:rsidR="00D65315">
              <w:rPr>
                <w:b/>
                <w:sz w:val="18"/>
                <w:szCs w:val="18"/>
              </w:rPr>
              <w:t>3</w:t>
            </w:r>
          </w:p>
        </w:tc>
        <w:tc>
          <w:tcPr>
            <w:tcW w:w="7421" w:type="dxa"/>
          </w:tcPr>
          <w:p w14:paraId="3634F353" w14:textId="5FA4704D" w:rsidR="00FB7656" w:rsidRDefault="00FB7656" w:rsidP="00FB7656">
            <w:pPr>
              <w:rPr>
                <w:b/>
                <w:sz w:val="18"/>
                <w:szCs w:val="18"/>
              </w:rPr>
            </w:pPr>
            <w:r>
              <w:rPr>
                <w:b/>
                <w:sz w:val="18"/>
                <w:szCs w:val="18"/>
              </w:rPr>
              <w:t>$1 Copper, Aluminium and Nickel Coin –  Year of the Pig - Happiness</w:t>
            </w:r>
          </w:p>
          <w:p w14:paraId="28678AED" w14:textId="77777777" w:rsidR="00FB7656" w:rsidRDefault="00FB7656" w:rsidP="00FB7656">
            <w:pPr>
              <w:rPr>
                <w:b/>
                <w:sz w:val="18"/>
                <w:szCs w:val="18"/>
              </w:rPr>
            </w:pPr>
          </w:p>
          <w:p w14:paraId="27495C6C" w14:textId="77777777" w:rsidR="00FB7656" w:rsidRDefault="00FB7656" w:rsidP="00FB7656">
            <w:pPr>
              <w:rPr>
                <w:b/>
                <w:sz w:val="18"/>
                <w:szCs w:val="18"/>
              </w:rPr>
            </w:pPr>
            <w:r>
              <w:rPr>
                <w:b/>
                <w:sz w:val="18"/>
                <w:szCs w:val="18"/>
              </w:rPr>
              <w:t>Reverse</w:t>
            </w:r>
          </w:p>
          <w:p w14:paraId="68DF7613" w14:textId="77777777" w:rsidR="003E197C" w:rsidRPr="003E197C" w:rsidRDefault="003E197C" w:rsidP="003E197C">
            <w:pPr>
              <w:pStyle w:val="Tablea"/>
              <w:tabs>
                <w:tab w:val="left" w:pos="0"/>
              </w:tabs>
              <w:spacing w:before="0"/>
              <w:ind w:left="0" w:firstLine="0"/>
              <w:rPr>
                <w:sz w:val="18"/>
                <w:szCs w:val="18"/>
              </w:rPr>
            </w:pPr>
            <w:r w:rsidRPr="003E197C">
              <w:rPr>
                <w:sz w:val="18"/>
                <w:szCs w:val="18"/>
              </w:rPr>
              <w:t>In the centre there is a stylised representation of a pig sitting and facing right. On the right there is a representation of a Chinese coin with a square hole in the centre and 4 Chinese characters denoting happiness. On the left there is a representation of the Chinese character pronounced ‘zh</w:t>
            </w:r>
            <w:r w:rsidRPr="003E197C">
              <w:rPr>
                <w:rFonts w:ascii="Consolas" w:hAnsi="Consolas"/>
                <w:color w:val="242729"/>
                <w:sz w:val="18"/>
                <w:szCs w:val="18"/>
                <w:shd w:val="clear" w:color="auto" w:fill="EFF0F1"/>
              </w:rPr>
              <w:t>ū</w:t>
            </w:r>
            <w:r w:rsidRPr="003E197C">
              <w:rPr>
                <w:sz w:val="18"/>
                <w:szCs w:val="18"/>
              </w:rPr>
              <w:t>’ under the Pinyin system and meaning pig. In the foreground,</w:t>
            </w:r>
            <w:r>
              <w:rPr>
                <w:sz w:val="18"/>
                <w:szCs w:val="18"/>
              </w:rPr>
              <w:t xml:space="preserve"> </w:t>
            </w:r>
            <w:r w:rsidRPr="003E197C">
              <w:rPr>
                <w:sz w:val="18"/>
                <w:szCs w:val="18"/>
              </w:rPr>
              <w:t>and positioned around that pig there is a representation of hydrangea flowers, peony flowers, leaves, a ladybird, a butterfly, a bee and a cricket. The design includes the inscriptions ‘ONE DOLLAR’ and ‘2019 YEAR OF THE PIG’ and a representation of the initials of the designer Bronwyn King ‘BK’.</w:t>
            </w:r>
          </w:p>
          <w:p w14:paraId="67AE2023" w14:textId="77777777" w:rsidR="00FB7656" w:rsidRPr="00B02B3C" w:rsidRDefault="00FB7656" w:rsidP="00FB7656">
            <w:pPr>
              <w:rPr>
                <w:b/>
                <w:sz w:val="18"/>
                <w:szCs w:val="18"/>
              </w:rPr>
            </w:pPr>
          </w:p>
          <w:p w14:paraId="1E13BB2E" w14:textId="77777777" w:rsidR="00FB7656" w:rsidRPr="000B6CF7" w:rsidRDefault="00FB7656" w:rsidP="00FB7656">
            <w:pPr>
              <w:rPr>
                <w:b/>
                <w:sz w:val="18"/>
                <w:szCs w:val="18"/>
              </w:rPr>
            </w:pPr>
            <w:r w:rsidRPr="000B6CF7">
              <w:rPr>
                <w:b/>
                <w:sz w:val="18"/>
                <w:szCs w:val="18"/>
              </w:rPr>
              <w:t>Obverse</w:t>
            </w:r>
            <w:r>
              <w:rPr>
                <w:b/>
                <w:sz w:val="18"/>
                <w:szCs w:val="18"/>
              </w:rPr>
              <w:t xml:space="preserve"> </w:t>
            </w:r>
          </w:p>
          <w:p w14:paraId="2B670101" w14:textId="46250E73" w:rsidR="0033099B" w:rsidRPr="00504F3D" w:rsidRDefault="00FB7656" w:rsidP="00504F3D">
            <w:pPr>
              <w:rPr>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33099B" w:rsidRPr="00CC2ACD" w14:paraId="17EA4492" w14:textId="77777777" w:rsidTr="00C61082">
        <w:trPr>
          <w:cantSplit/>
        </w:trPr>
        <w:tc>
          <w:tcPr>
            <w:tcW w:w="1101" w:type="dxa"/>
          </w:tcPr>
          <w:p w14:paraId="31DB06FA" w14:textId="5EDBEDEF" w:rsidR="0033099B" w:rsidRPr="007462A6" w:rsidRDefault="0033099B" w:rsidP="0033099B">
            <w:pPr>
              <w:rPr>
                <w:b/>
                <w:sz w:val="18"/>
                <w:szCs w:val="18"/>
              </w:rPr>
            </w:pPr>
            <w:r>
              <w:rPr>
                <w:b/>
                <w:sz w:val="18"/>
                <w:szCs w:val="18"/>
              </w:rPr>
              <w:t xml:space="preserve">Item </w:t>
            </w:r>
            <w:r w:rsidR="00D65315">
              <w:rPr>
                <w:b/>
                <w:sz w:val="18"/>
                <w:szCs w:val="18"/>
              </w:rPr>
              <w:t>4</w:t>
            </w:r>
          </w:p>
        </w:tc>
        <w:tc>
          <w:tcPr>
            <w:tcW w:w="7421" w:type="dxa"/>
          </w:tcPr>
          <w:p w14:paraId="0CB45364" w14:textId="54C4618B" w:rsidR="00FB7656" w:rsidRDefault="00FB7656" w:rsidP="00FB7656">
            <w:pPr>
              <w:rPr>
                <w:b/>
                <w:sz w:val="18"/>
                <w:szCs w:val="18"/>
              </w:rPr>
            </w:pPr>
            <w:r>
              <w:rPr>
                <w:b/>
                <w:sz w:val="18"/>
                <w:szCs w:val="18"/>
              </w:rPr>
              <w:t>$1 Copper, Aluminium and Nickel Coin –  Year of the Pig - Wealth</w:t>
            </w:r>
          </w:p>
          <w:p w14:paraId="7CEFCFFB" w14:textId="77777777" w:rsidR="00FB7656" w:rsidRDefault="00FB7656" w:rsidP="00FB7656">
            <w:pPr>
              <w:rPr>
                <w:b/>
                <w:sz w:val="18"/>
                <w:szCs w:val="18"/>
              </w:rPr>
            </w:pPr>
          </w:p>
          <w:p w14:paraId="170ADA47" w14:textId="77777777" w:rsidR="00FB7656" w:rsidRDefault="00FB7656" w:rsidP="00FB7656">
            <w:pPr>
              <w:rPr>
                <w:b/>
                <w:sz w:val="18"/>
                <w:szCs w:val="18"/>
              </w:rPr>
            </w:pPr>
            <w:r>
              <w:rPr>
                <w:b/>
                <w:sz w:val="18"/>
                <w:szCs w:val="18"/>
              </w:rPr>
              <w:t>Reverse</w:t>
            </w:r>
          </w:p>
          <w:p w14:paraId="5FC19769" w14:textId="725A712D" w:rsidR="003E197C" w:rsidRPr="003E197C" w:rsidRDefault="003E197C" w:rsidP="003E197C">
            <w:pPr>
              <w:pStyle w:val="Tablea"/>
              <w:tabs>
                <w:tab w:val="left" w:pos="0"/>
              </w:tabs>
              <w:spacing w:before="0"/>
              <w:ind w:left="0" w:firstLine="0"/>
              <w:rPr>
                <w:sz w:val="18"/>
                <w:szCs w:val="18"/>
              </w:rPr>
            </w:pPr>
            <w:r w:rsidRPr="003E197C">
              <w:rPr>
                <w:sz w:val="18"/>
                <w:szCs w:val="18"/>
              </w:rPr>
              <w:t xml:space="preserve">In the centre there is a stylised representation of a pig </w:t>
            </w:r>
            <w:r>
              <w:rPr>
                <w:sz w:val="18"/>
                <w:szCs w:val="18"/>
              </w:rPr>
              <w:t>lying on its back</w:t>
            </w:r>
            <w:r w:rsidRPr="003E197C">
              <w:rPr>
                <w:sz w:val="18"/>
                <w:szCs w:val="18"/>
              </w:rPr>
              <w:t xml:space="preserve">. On the right there is a representation of a Chinese coin with a square hole in the centre and 4 Chinese characters denoting </w:t>
            </w:r>
            <w:r>
              <w:rPr>
                <w:sz w:val="18"/>
                <w:szCs w:val="18"/>
              </w:rPr>
              <w:t>wealth</w:t>
            </w:r>
            <w:r w:rsidRPr="003E197C">
              <w:rPr>
                <w:sz w:val="18"/>
                <w:szCs w:val="18"/>
              </w:rPr>
              <w:t>. On the left there is a representation of the Chinese character pronounced ‘zh</w:t>
            </w:r>
            <w:r w:rsidRPr="003E197C">
              <w:rPr>
                <w:rFonts w:ascii="Consolas" w:hAnsi="Consolas"/>
                <w:color w:val="242729"/>
                <w:sz w:val="18"/>
                <w:szCs w:val="18"/>
                <w:shd w:val="clear" w:color="auto" w:fill="EFF0F1"/>
              </w:rPr>
              <w:t>ū</w:t>
            </w:r>
            <w:r w:rsidRPr="003E197C">
              <w:rPr>
                <w:sz w:val="18"/>
                <w:szCs w:val="18"/>
              </w:rPr>
              <w:t>’ under the Pinyin system and meaning pig. In the foreground,</w:t>
            </w:r>
            <w:r>
              <w:rPr>
                <w:sz w:val="18"/>
                <w:szCs w:val="18"/>
              </w:rPr>
              <w:t xml:space="preserve"> </w:t>
            </w:r>
            <w:r w:rsidRPr="003E197C">
              <w:rPr>
                <w:sz w:val="18"/>
                <w:szCs w:val="18"/>
              </w:rPr>
              <w:t>and positioned around that pig there is a representation of hydrangea flowers, peony flowers, leaves, a ladybird, a butterfly, a bee and a cricket. The design includes the inscriptions ‘ONE DOLLAR’ and ‘2019 YEAR OF THE PIG’ and a representation of the initials of the designer Bronwyn King ‘BK’.</w:t>
            </w:r>
          </w:p>
          <w:p w14:paraId="2E59BB0B" w14:textId="77777777" w:rsidR="00FB7656" w:rsidRPr="00B02B3C" w:rsidRDefault="00FB7656" w:rsidP="00FB7656">
            <w:pPr>
              <w:rPr>
                <w:b/>
                <w:sz w:val="18"/>
                <w:szCs w:val="18"/>
              </w:rPr>
            </w:pPr>
          </w:p>
          <w:p w14:paraId="43696A31" w14:textId="77777777" w:rsidR="00FB7656" w:rsidRPr="000B6CF7" w:rsidRDefault="00FB7656" w:rsidP="00FB7656">
            <w:pPr>
              <w:rPr>
                <w:b/>
                <w:sz w:val="18"/>
                <w:szCs w:val="18"/>
              </w:rPr>
            </w:pPr>
            <w:r w:rsidRPr="000B6CF7">
              <w:rPr>
                <w:b/>
                <w:sz w:val="18"/>
                <w:szCs w:val="18"/>
              </w:rPr>
              <w:t>Obverse</w:t>
            </w:r>
            <w:r>
              <w:rPr>
                <w:b/>
                <w:sz w:val="18"/>
                <w:szCs w:val="18"/>
              </w:rPr>
              <w:t xml:space="preserve"> </w:t>
            </w:r>
          </w:p>
          <w:p w14:paraId="094785F2" w14:textId="3E1BA16F" w:rsidR="0033099B" w:rsidRPr="007716CC" w:rsidRDefault="00FB7656" w:rsidP="00FB7656">
            <w:pPr>
              <w:rPr>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D65315" w:rsidRPr="00CC2ACD" w14:paraId="11F0E6C6" w14:textId="77777777" w:rsidTr="00C61082">
        <w:trPr>
          <w:cantSplit/>
        </w:trPr>
        <w:tc>
          <w:tcPr>
            <w:tcW w:w="1101" w:type="dxa"/>
          </w:tcPr>
          <w:p w14:paraId="1C228C8E" w14:textId="0AFC07DE" w:rsidR="00D65315" w:rsidRDefault="00D65315" w:rsidP="00D65315">
            <w:pPr>
              <w:rPr>
                <w:b/>
                <w:sz w:val="18"/>
                <w:szCs w:val="18"/>
              </w:rPr>
            </w:pPr>
            <w:r>
              <w:rPr>
                <w:b/>
                <w:sz w:val="18"/>
                <w:szCs w:val="18"/>
              </w:rPr>
              <w:t>Item 5</w:t>
            </w:r>
          </w:p>
        </w:tc>
        <w:tc>
          <w:tcPr>
            <w:tcW w:w="7421" w:type="dxa"/>
          </w:tcPr>
          <w:p w14:paraId="61BA3419" w14:textId="13AE9850" w:rsidR="00FB7656" w:rsidRDefault="00FB7656" w:rsidP="00FB7656">
            <w:pPr>
              <w:rPr>
                <w:b/>
                <w:sz w:val="18"/>
                <w:szCs w:val="18"/>
              </w:rPr>
            </w:pPr>
            <w:r>
              <w:rPr>
                <w:b/>
                <w:sz w:val="18"/>
                <w:szCs w:val="18"/>
              </w:rPr>
              <w:t>$1 Copper, Aluminium and Nickel Coin –  Year of the Pig - Longevity</w:t>
            </w:r>
          </w:p>
          <w:p w14:paraId="3F6D9280" w14:textId="77777777" w:rsidR="00FB7656" w:rsidRDefault="00FB7656" w:rsidP="00FB7656">
            <w:pPr>
              <w:rPr>
                <w:b/>
                <w:sz w:val="18"/>
                <w:szCs w:val="18"/>
              </w:rPr>
            </w:pPr>
          </w:p>
          <w:p w14:paraId="699A1628" w14:textId="77777777" w:rsidR="00FB7656" w:rsidRDefault="00FB7656" w:rsidP="00FB7656">
            <w:pPr>
              <w:rPr>
                <w:b/>
                <w:sz w:val="18"/>
                <w:szCs w:val="18"/>
              </w:rPr>
            </w:pPr>
            <w:r>
              <w:rPr>
                <w:b/>
                <w:sz w:val="18"/>
                <w:szCs w:val="18"/>
              </w:rPr>
              <w:t>Reverse</w:t>
            </w:r>
          </w:p>
          <w:p w14:paraId="39C156B3" w14:textId="730FCEA5" w:rsidR="003E197C" w:rsidRPr="003E197C" w:rsidRDefault="003E197C" w:rsidP="003E197C">
            <w:pPr>
              <w:pStyle w:val="Tablea"/>
              <w:tabs>
                <w:tab w:val="left" w:pos="0"/>
              </w:tabs>
              <w:spacing w:before="0"/>
              <w:ind w:left="0" w:firstLine="0"/>
              <w:rPr>
                <w:sz w:val="18"/>
                <w:szCs w:val="18"/>
              </w:rPr>
            </w:pPr>
            <w:r w:rsidRPr="003E197C">
              <w:rPr>
                <w:sz w:val="18"/>
                <w:szCs w:val="18"/>
              </w:rPr>
              <w:t xml:space="preserve">In the centre there is a stylised representation of a pig </w:t>
            </w:r>
            <w:r>
              <w:rPr>
                <w:sz w:val="18"/>
                <w:szCs w:val="18"/>
              </w:rPr>
              <w:t>crouching</w:t>
            </w:r>
            <w:r w:rsidRPr="003E197C">
              <w:rPr>
                <w:sz w:val="18"/>
                <w:szCs w:val="18"/>
              </w:rPr>
              <w:t xml:space="preserve">. On the right there is a representation of a Chinese coin with a square hole in the centre and 4 Chinese characters denoting </w:t>
            </w:r>
            <w:r>
              <w:rPr>
                <w:sz w:val="18"/>
                <w:szCs w:val="18"/>
              </w:rPr>
              <w:t>longevity</w:t>
            </w:r>
            <w:r w:rsidRPr="003E197C">
              <w:rPr>
                <w:sz w:val="18"/>
                <w:szCs w:val="18"/>
              </w:rPr>
              <w:t>. On the left there is a representation of the Chinese character pronounced ‘zh</w:t>
            </w:r>
            <w:r w:rsidRPr="003E197C">
              <w:rPr>
                <w:rFonts w:ascii="Consolas" w:hAnsi="Consolas"/>
                <w:color w:val="242729"/>
                <w:sz w:val="18"/>
                <w:szCs w:val="18"/>
                <w:shd w:val="clear" w:color="auto" w:fill="EFF0F1"/>
              </w:rPr>
              <w:t>ū</w:t>
            </w:r>
            <w:r w:rsidRPr="003E197C">
              <w:rPr>
                <w:sz w:val="18"/>
                <w:szCs w:val="18"/>
              </w:rPr>
              <w:t>’ under the Pinyin system and meaning pig. In the foreground,</w:t>
            </w:r>
            <w:r>
              <w:rPr>
                <w:sz w:val="18"/>
                <w:szCs w:val="18"/>
              </w:rPr>
              <w:t xml:space="preserve"> </w:t>
            </w:r>
            <w:r w:rsidRPr="003E197C">
              <w:rPr>
                <w:sz w:val="18"/>
                <w:szCs w:val="18"/>
              </w:rPr>
              <w:t>and positioned around that pig there is a representation of hydrangea flowers, peony flowers, leaves, a ladybird, a butterfly, a bee and a cricket. The design includes the inscriptions ‘ONE DOLLAR’ and ‘2019 YEAR OF THE PIG’ and a representation of the initials of the designer Bronwyn King ‘BK’.</w:t>
            </w:r>
          </w:p>
          <w:p w14:paraId="5947469B" w14:textId="77777777" w:rsidR="00FB7656" w:rsidRPr="00B02B3C" w:rsidRDefault="00FB7656" w:rsidP="00FB7656">
            <w:pPr>
              <w:rPr>
                <w:b/>
                <w:sz w:val="18"/>
                <w:szCs w:val="18"/>
              </w:rPr>
            </w:pPr>
          </w:p>
          <w:p w14:paraId="1E6C89A5" w14:textId="77777777" w:rsidR="00FB7656" w:rsidRPr="000B6CF7" w:rsidRDefault="00FB7656" w:rsidP="00FB7656">
            <w:pPr>
              <w:rPr>
                <w:b/>
                <w:sz w:val="18"/>
                <w:szCs w:val="18"/>
              </w:rPr>
            </w:pPr>
            <w:r w:rsidRPr="000B6CF7">
              <w:rPr>
                <w:b/>
                <w:sz w:val="18"/>
                <w:szCs w:val="18"/>
              </w:rPr>
              <w:t>Obverse</w:t>
            </w:r>
            <w:r>
              <w:rPr>
                <w:b/>
                <w:sz w:val="18"/>
                <w:szCs w:val="18"/>
              </w:rPr>
              <w:t xml:space="preserve"> </w:t>
            </w:r>
          </w:p>
          <w:p w14:paraId="7476F062" w14:textId="44E9308B" w:rsidR="00D65315" w:rsidRDefault="00FB7656" w:rsidP="00FB7656">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D65315" w:rsidRPr="00CC2ACD" w14:paraId="5492D3DD" w14:textId="77777777" w:rsidTr="00C61082">
        <w:trPr>
          <w:cantSplit/>
        </w:trPr>
        <w:tc>
          <w:tcPr>
            <w:tcW w:w="1101" w:type="dxa"/>
          </w:tcPr>
          <w:p w14:paraId="27A05B31" w14:textId="726BCECC" w:rsidR="00D65315" w:rsidRDefault="00D65315" w:rsidP="00D65315">
            <w:pPr>
              <w:rPr>
                <w:b/>
                <w:sz w:val="18"/>
                <w:szCs w:val="18"/>
              </w:rPr>
            </w:pPr>
            <w:r>
              <w:rPr>
                <w:b/>
                <w:sz w:val="18"/>
                <w:szCs w:val="18"/>
              </w:rPr>
              <w:lastRenderedPageBreak/>
              <w:t>Item 6</w:t>
            </w:r>
          </w:p>
        </w:tc>
        <w:tc>
          <w:tcPr>
            <w:tcW w:w="7421" w:type="dxa"/>
          </w:tcPr>
          <w:p w14:paraId="6BE5712D" w14:textId="4C8F45E1" w:rsidR="009F26D1" w:rsidRDefault="009F26D1" w:rsidP="009F26D1">
            <w:pPr>
              <w:rPr>
                <w:b/>
                <w:sz w:val="18"/>
                <w:szCs w:val="18"/>
              </w:rPr>
            </w:pPr>
            <w:r>
              <w:rPr>
                <w:b/>
                <w:sz w:val="18"/>
                <w:szCs w:val="18"/>
              </w:rPr>
              <w:t>$5 Silver Coin –  Year of the Pig - Wealth</w:t>
            </w:r>
          </w:p>
          <w:p w14:paraId="5C33B78B" w14:textId="77777777" w:rsidR="009F26D1" w:rsidRDefault="009F26D1" w:rsidP="009F26D1">
            <w:pPr>
              <w:rPr>
                <w:b/>
                <w:sz w:val="18"/>
                <w:szCs w:val="18"/>
              </w:rPr>
            </w:pPr>
          </w:p>
          <w:p w14:paraId="4715346D" w14:textId="77777777" w:rsidR="009F26D1" w:rsidRDefault="009F26D1" w:rsidP="009F26D1">
            <w:pPr>
              <w:rPr>
                <w:b/>
                <w:sz w:val="18"/>
                <w:szCs w:val="18"/>
              </w:rPr>
            </w:pPr>
            <w:r>
              <w:rPr>
                <w:b/>
                <w:sz w:val="18"/>
                <w:szCs w:val="18"/>
              </w:rPr>
              <w:t>Reverse</w:t>
            </w:r>
          </w:p>
          <w:p w14:paraId="4454FF09" w14:textId="451F1885" w:rsidR="003E197C" w:rsidRPr="003E197C" w:rsidRDefault="003E197C" w:rsidP="003E197C">
            <w:pPr>
              <w:pStyle w:val="Tablea"/>
              <w:tabs>
                <w:tab w:val="left" w:pos="0"/>
              </w:tabs>
              <w:spacing w:before="0"/>
              <w:ind w:left="0" w:firstLine="0"/>
              <w:rPr>
                <w:sz w:val="18"/>
                <w:szCs w:val="18"/>
              </w:rPr>
            </w:pPr>
            <w:r w:rsidRPr="003E197C">
              <w:rPr>
                <w:sz w:val="18"/>
                <w:szCs w:val="18"/>
              </w:rPr>
              <w:t xml:space="preserve">In the centre there is a stylised representation of a pig </w:t>
            </w:r>
            <w:r>
              <w:rPr>
                <w:sz w:val="18"/>
                <w:szCs w:val="18"/>
              </w:rPr>
              <w:t>lying on its back</w:t>
            </w:r>
            <w:r w:rsidRPr="003E197C">
              <w:rPr>
                <w:sz w:val="18"/>
                <w:szCs w:val="18"/>
              </w:rPr>
              <w:t xml:space="preserve">. On the right there is a representation of a Chinese coin with a square hole in the centre and 4 Chinese characters denoting </w:t>
            </w:r>
            <w:r>
              <w:rPr>
                <w:sz w:val="18"/>
                <w:szCs w:val="18"/>
              </w:rPr>
              <w:t>wealth</w:t>
            </w:r>
            <w:r w:rsidRPr="003E197C">
              <w:rPr>
                <w:sz w:val="18"/>
                <w:szCs w:val="18"/>
              </w:rPr>
              <w:t>. On the left there is a representation of the Chinese character pronounced ‘zh</w:t>
            </w:r>
            <w:r w:rsidRPr="003E197C">
              <w:rPr>
                <w:rFonts w:ascii="Consolas" w:hAnsi="Consolas"/>
                <w:color w:val="242729"/>
                <w:sz w:val="18"/>
                <w:szCs w:val="18"/>
                <w:shd w:val="clear" w:color="auto" w:fill="EFF0F1"/>
              </w:rPr>
              <w:t>ū</w:t>
            </w:r>
            <w:r w:rsidRPr="003E197C">
              <w:rPr>
                <w:sz w:val="18"/>
                <w:szCs w:val="18"/>
              </w:rPr>
              <w:t>’ under the Pinyin system and meaning pig. In the foreground,</w:t>
            </w:r>
            <w:r>
              <w:rPr>
                <w:sz w:val="18"/>
                <w:szCs w:val="18"/>
              </w:rPr>
              <w:t xml:space="preserve"> </w:t>
            </w:r>
            <w:r w:rsidRPr="003E197C">
              <w:rPr>
                <w:sz w:val="18"/>
                <w:szCs w:val="18"/>
              </w:rPr>
              <w:t>and positioned around that pig there is a representation of hydrangea flowers, peony flowers, leaves, a ladybird, a butterfly, a bee and a cricket. The design includes the inscriptions ‘</w:t>
            </w:r>
            <w:r>
              <w:rPr>
                <w:sz w:val="18"/>
                <w:szCs w:val="18"/>
              </w:rPr>
              <w:t>FIVE</w:t>
            </w:r>
            <w:r w:rsidRPr="003E197C">
              <w:rPr>
                <w:sz w:val="18"/>
                <w:szCs w:val="18"/>
              </w:rPr>
              <w:t xml:space="preserve"> DOLLAR</w:t>
            </w:r>
            <w:r>
              <w:rPr>
                <w:sz w:val="18"/>
                <w:szCs w:val="18"/>
              </w:rPr>
              <w:t>S</w:t>
            </w:r>
            <w:r w:rsidRPr="003E197C">
              <w:rPr>
                <w:sz w:val="18"/>
                <w:szCs w:val="18"/>
              </w:rPr>
              <w:t>’</w:t>
            </w:r>
            <w:r>
              <w:rPr>
                <w:sz w:val="18"/>
                <w:szCs w:val="18"/>
              </w:rPr>
              <w:t>,</w:t>
            </w:r>
            <w:r w:rsidRPr="003E197C">
              <w:rPr>
                <w:sz w:val="18"/>
                <w:szCs w:val="18"/>
              </w:rPr>
              <w:t xml:space="preserve"> ‘2019 YEAR OF THE PIG’</w:t>
            </w:r>
            <w:r>
              <w:rPr>
                <w:sz w:val="18"/>
                <w:szCs w:val="18"/>
              </w:rPr>
              <w:t>, ‘1oz .999 Ag’</w:t>
            </w:r>
            <w:r w:rsidRPr="003E197C">
              <w:rPr>
                <w:sz w:val="18"/>
                <w:szCs w:val="18"/>
              </w:rPr>
              <w:t xml:space="preserve"> and a representation of the initials of the designer Bronwyn King ‘BK’.</w:t>
            </w:r>
          </w:p>
          <w:p w14:paraId="0AD5B738" w14:textId="77777777" w:rsidR="009F26D1" w:rsidRPr="00B02B3C" w:rsidRDefault="009F26D1" w:rsidP="009F26D1">
            <w:pPr>
              <w:rPr>
                <w:b/>
                <w:sz w:val="18"/>
                <w:szCs w:val="18"/>
              </w:rPr>
            </w:pPr>
          </w:p>
          <w:p w14:paraId="43E2984A" w14:textId="77777777" w:rsidR="009F26D1" w:rsidRPr="000B6CF7" w:rsidRDefault="009F26D1" w:rsidP="009F26D1">
            <w:pPr>
              <w:rPr>
                <w:b/>
                <w:sz w:val="18"/>
                <w:szCs w:val="18"/>
              </w:rPr>
            </w:pPr>
            <w:r w:rsidRPr="000B6CF7">
              <w:rPr>
                <w:b/>
                <w:sz w:val="18"/>
                <w:szCs w:val="18"/>
              </w:rPr>
              <w:t>Obverse</w:t>
            </w:r>
            <w:r>
              <w:rPr>
                <w:b/>
                <w:sz w:val="18"/>
                <w:szCs w:val="18"/>
              </w:rPr>
              <w:t xml:space="preserve"> </w:t>
            </w:r>
          </w:p>
          <w:p w14:paraId="4DD7382C" w14:textId="66F92A85" w:rsidR="00D65315" w:rsidRDefault="009F26D1" w:rsidP="009F26D1">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132FA6" w:rsidRPr="00CC2ACD" w14:paraId="1606033E" w14:textId="77777777" w:rsidTr="00C61082">
        <w:trPr>
          <w:cantSplit/>
        </w:trPr>
        <w:tc>
          <w:tcPr>
            <w:tcW w:w="1101" w:type="dxa"/>
          </w:tcPr>
          <w:p w14:paraId="18E17AE9" w14:textId="5A16735C" w:rsidR="00132FA6" w:rsidRDefault="00132FA6" w:rsidP="00132FA6">
            <w:pPr>
              <w:rPr>
                <w:b/>
                <w:sz w:val="18"/>
                <w:szCs w:val="18"/>
              </w:rPr>
            </w:pPr>
            <w:r>
              <w:rPr>
                <w:b/>
                <w:sz w:val="18"/>
                <w:szCs w:val="18"/>
              </w:rPr>
              <w:t>Item 7</w:t>
            </w:r>
          </w:p>
        </w:tc>
        <w:tc>
          <w:tcPr>
            <w:tcW w:w="7421" w:type="dxa"/>
          </w:tcPr>
          <w:p w14:paraId="42FECE0F" w14:textId="3A3AF1E0" w:rsidR="009F26D1" w:rsidRDefault="009F26D1" w:rsidP="009F26D1">
            <w:pPr>
              <w:rPr>
                <w:b/>
                <w:sz w:val="18"/>
                <w:szCs w:val="18"/>
              </w:rPr>
            </w:pPr>
            <w:r>
              <w:rPr>
                <w:b/>
                <w:sz w:val="18"/>
                <w:szCs w:val="18"/>
              </w:rPr>
              <w:t>$25 Gold Coin –  Year of the Pig - Wealth</w:t>
            </w:r>
          </w:p>
          <w:p w14:paraId="4433DD75" w14:textId="77777777" w:rsidR="009F26D1" w:rsidRDefault="009F26D1" w:rsidP="009F26D1">
            <w:pPr>
              <w:rPr>
                <w:b/>
                <w:sz w:val="18"/>
                <w:szCs w:val="18"/>
              </w:rPr>
            </w:pPr>
          </w:p>
          <w:p w14:paraId="14C39A56" w14:textId="77777777" w:rsidR="009F26D1" w:rsidRDefault="009F26D1" w:rsidP="009F26D1">
            <w:pPr>
              <w:rPr>
                <w:b/>
                <w:sz w:val="18"/>
                <w:szCs w:val="18"/>
              </w:rPr>
            </w:pPr>
            <w:r>
              <w:rPr>
                <w:b/>
                <w:sz w:val="18"/>
                <w:szCs w:val="18"/>
              </w:rPr>
              <w:t>Reverse</w:t>
            </w:r>
          </w:p>
          <w:p w14:paraId="5758B751" w14:textId="335544D7" w:rsidR="00903EB4" w:rsidRPr="003E197C" w:rsidRDefault="00903EB4" w:rsidP="00903EB4">
            <w:pPr>
              <w:pStyle w:val="Tablea"/>
              <w:tabs>
                <w:tab w:val="left" w:pos="0"/>
              </w:tabs>
              <w:spacing w:before="0"/>
              <w:ind w:left="0" w:firstLine="0"/>
              <w:rPr>
                <w:sz w:val="18"/>
                <w:szCs w:val="18"/>
              </w:rPr>
            </w:pPr>
            <w:r w:rsidRPr="003E197C">
              <w:rPr>
                <w:sz w:val="18"/>
                <w:szCs w:val="18"/>
              </w:rPr>
              <w:t xml:space="preserve">In the centre there is a stylised representation of a pig </w:t>
            </w:r>
            <w:r>
              <w:rPr>
                <w:sz w:val="18"/>
                <w:szCs w:val="18"/>
              </w:rPr>
              <w:t>lying on its back</w:t>
            </w:r>
            <w:r w:rsidRPr="003E197C">
              <w:rPr>
                <w:sz w:val="18"/>
                <w:szCs w:val="18"/>
              </w:rPr>
              <w:t xml:space="preserve">. On the right there is a representation of a Chinese coin with a square hole in the centre and 4 Chinese characters denoting </w:t>
            </w:r>
            <w:r>
              <w:rPr>
                <w:sz w:val="18"/>
                <w:szCs w:val="18"/>
              </w:rPr>
              <w:t>wealth</w:t>
            </w:r>
            <w:r w:rsidRPr="003E197C">
              <w:rPr>
                <w:sz w:val="18"/>
                <w:szCs w:val="18"/>
              </w:rPr>
              <w:t>. On the left there is a representation of the Chinese character pronounced ‘zh</w:t>
            </w:r>
            <w:r w:rsidRPr="003E197C">
              <w:rPr>
                <w:rFonts w:ascii="Consolas" w:hAnsi="Consolas"/>
                <w:color w:val="242729"/>
                <w:sz w:val="18"/>
                <w:szCs w:val="18"/>
                <w:shd w:val="clear" w:color="auto" w:fill="EFF0F1"/>
              </w:rPr>
              <w:t>ū</w:t>
            </w:r>
            <w:r w:rsidRPr="003E197C">
              <w:rPr>
                <w:sz w:val="18"/>
                <w:szCs w:val="18"/>
              </w:rPr>
              <w:t>’ under the Pinyin system and meaning pig. In the foreground,</w:t>
            </w:r>
            <w:r>
              <w:rPr>
                <w:sz w:val="18"/>
                <w:szCs w:val="18"/>
              </w:rPr>
              <w:t xml:space="preserve"> </w:t>
            </w:r>
            <w:r w:rsidRPr="003E197C">
              <w:rPr>
                <w:sz w:val="18"/>
                <w:szCs w:val="18"/>
              </w:rPr>
              <w:t>and positioned around that pig there is a representation of hydrangea flowers, peony flowers, leaves, a ladybird, a butterfly, a bee and a cricket. The design includes the inscriptions ‘</w:t>
            </w:r>
            <w:r>
              <w:rPr>
                <w:sz w:val="18"/>
                <w:szCs w:val="18"/>
              </w:rPr>
              <w:t>TWENTY FIVE</w:t>
            </w:r>
            <w:r w:rsidRPr="003E197C">
              <w:rPr>
                <w:sz w:val="18"/>
                <w:szCs w:val="18"/>
              </w:rPr>
              <w:t xml:space="preserve"> DOLLAR</w:t>
            </w:r>
            <w:r>
              <w:rPr>
                <w:sz w:val="18"/>
                <w:szCs w:val="18"/>
              </w:rPr>
              <w:t>S</w:t>
            </w:r>
            <w:r w:rsidRPr="003E197C">
              <w:rPr>
                <w:sz w:val="18"/>
                <w:szCs w:val="18"/>
              </w:rPr>
              <w:t>’</w:t>
            </w:r>
            <w:r>
              <w:rPr>
                <w:sz w:val="18"/>
                <w:szCs w:val="18"/>
              </w:rPr>
              <w:t>,</w:t>
            </w:r>
            <w:r w:rsidRPr="003E197C">
              <w:rPr>
                <w:sz w:val="18"/>
                <w:szCs w:val="18"/>
              </w:rPr>
              <w:t xml:space="preserve"> ‘2019 YEAR OF THE PIG’</w:t>
            </w:r>
            <w:r>
              <w:rPr>
                <w:sz w:val="18"/>
                <w:szCs w:val="18"/>
              </w:rPr>
              <w:t>, ‘1/4oz .9999 Au’</w:t>
            </w:r>
            <w:r w:rsidRPr="003E197C">
              <w:rPr>
                <w:sz w:val="18"/>
                <w:szCs w:val="18"/>
              </w:rPr>
              <w:t xml:space="preserve"> and a representation of the initials of the designer Bronwyn King ‘BK’.</w:t>
            </w:r>
          </w:p>
          <w:p w14:paraId="5F2E27C9" w14:textId="77777777" w:rsidR="009F26D1" w:rsidRPr="00B02B3C" w:rsidRDefault="009F26D1" w:rsidP="009F26D1">
            <w:pPr>
              <w:rPr>
                <w:b/>
                <w:sz w:val="18"/>
                <w:szCs w:val="18"/>
              </w:rPr>
            </w:pPr>
          </w:p>
          <w:p w14:paraId="08B9364B" w14:textId="77777777" w:rsidR="009F26D1" w:rsidRPr="000B6CF7" w:rsidRDefault="009F26D1" w:rsidP="009F26D1">
            <w:pPr>
              <w:rPr>
                <w:b/>
                <w:sz w:val="18"/>
                <w:szCs w:val="18"/>
              </w:rPr>
            </w:pPr>
            <w:r w:rsidRPr="000B6CF7">
              <w:rPr>
                <w:b/>
                <w:sz w:val="18"/>
                <w:szCs w:val="18"/>
              </w:rPr>
              <w:t>Obverse</w:t>
            </w:r>
            <w:r>
              <w:rPr>
                <w:b/>
                <w:sz w:val="18"/>
                <w:szCs w:val="18"/>
              </w:rPr>
              <w:t xml:space="preserve"> </w:t>
            </w:r>
          </w:p>
          <w:p w14:paraId="1D3504CE" w14:textId="4464A0C8" w:rsidR="00132FA6" w:rsidRDefault="009F26D1" w:rsidP="009F26D1">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FA3C26" w:rsidRPr="00CC2ACD" w14:paraId="242A6CB5" w14:textId="77777777" w:rsidTr="00C61082">
        <w:trPr>
          <w:cantSplit/>
        </w:trPr>
        <w:tc>
          <w:tcPr>
            <w:tcW w:w="1101" w:type="dxa"/>
          </w:tcPr>
          <w:p w14:paraId="09592B46" w14:textId="5861A71F" w:rsidR="00FA3C26" w:rsidRDefault="00FA3C26" w:rsidP="00FA3C26">
            <w:pPr>
              <w:rPr>
                <w:b/>
                <w:sz w:val="18"/>
                <w:szCs w:val="18"/>
              </w:rPr>
            </w:pPr>
            <w:r>
              <w:rPr>
                <w:b/>
                <w:sz w:val="18"/>
                <w:szCs w:val="18"/>
              </w:rPr>
              <w:t>Item 8</w:t>
            </w:r>
          </w:p>
        </w:tc>
        <w:tc>
          <w:tcPr>
            <w:tcW w:w="7421" w:type="dxa"/>
          </w:tcPr>
          <w:p w14:paraId="76F0C764" w14:textId="1963BF2A" w:rsidR="009F26D1" w:rsidRDefault="009F26D1" w:rsidP="009F26D1">
            <w:pPr>
              <w:rPr>
                <w:b/>
                <w:sz w:val="18"/>
                <w:szCs w:val="18"/>
              </w:rPr>
            </w:pPr>
            <w:r>
              <w:rPr>
                <w:b/>
                <w:sz w:val="18"/>
                <w:szCs w:val="18"/>
              </w:rPr>
              <w:t>$30 Silver Coin –  Year of the Pig - Wealth</w:t>
            </w:r>
          </w:p>
          <w:p w14:paraId="0E1E4AAE" w14:textId="77777777" w:rsidR="009F26D1" w:rsidRDefault="009F26D1" w:rsidP="009F26D1">
            <w:pPr>
              <w:rPr>
                <w:b/>
                <w:sz w:val="18"/>
                <w:szCs w:val="18"/>
              </w:rPr>
            </w:pPr>
          </w:p>
          <w:p w14:paraId="3B23B8B9" w14:textId="77777777" w:rsidR="009F26D1" w:rsidRDefault="009F26D1" w:rsidP="009F26D1">
            <w:pPr>
              <w:rPr>
                <w:b/>
                <w:sz w:val="18"/>
                <w:szCs w:val="18"/>
              </w:rPr>
            </w:pPr>
            <w:r>
              <w:rPr>
                <w:b/>
                <w:sz w:val="18"/>
                <w:szCs w:val="18"/>
              </w:rPr>
              <w:t>Reverse</w:t>
            </w:r>
          </w:p>
          <w:p w14:paraId="2973189F" w14:textId="2CA941AC" w:rsidR="00903EB4" w:rsidRPr="003E197C" w:rsidRDefault="00903EB4" w:rsidP="00903EB4">
            <w:pPr>
              <w:pStyle w:val="Tablea"/>
              <w:tabs>
                <w:tab w:val="left" w:pos="0"/>
              </w:tabs>
              <w:spacing w:before="0"/>
              <w:ind w:left="0" w:firstLine="0"/>
              <w:rPr>
                <w:sz w:val="18"/>
                <w:szCs w:val="18"/>
              </w:rPr>
            </w:pPr>
            <w:r w:rsidRPr="003E197C">
              <w:rPr>
                <w:sz w:val="18"/>
                <w:szCs w:val="18"/>
              </w:rPr>
              <w:t xml:space="preserve">In the centre there is a stylised representation of a pig </w:t>
            </w:r>
            <w:r>
              <w:rPr>
                <w:sz w:val="18"/>
                <w:szCs w:val="18"/>
              </w:rPr>
              <w:t>lying on its back</w:t>
            </w:r>
            <w:r w:rsidRPr="003E197C">
              <w:rPr>
                <w:sz w:val="18"/>
                <w:szCs w:val="18"/>
              </w:rPr>
              <w:t xml:space="preserve">. On the right there is a representation of a Chinese coin with a square hole in the centre and 4 Chinese characters denoting </w:t>
            </w:r>
            <w:r>
              <w:rPr>
                <w:sz w:val="18"/>
                <w:szCs w:val="18"/>
              </w:rPr>
              <w:t>wealth</w:t>
            </w:r>
            <w:r w:rsidRPr="003E197C">
              <w:rPr>
                <w:sz w:val="18"/>
                <w:szCs w:val="18"/>
              </w:rPr>
              <w:t>. On the left there is a representation of the Chinese character pronounced ‘zh</w:t>
            </w:r>
            <w:r w:rsidRPr="003E197C">
              <w:rPr>
                <w:rFonts w:ascii="Consolas" w:hAnsi="Consolas"/>
                <w:color w:val="242729"/>
                <w:sz w:val="18"/>
                <w:szCs w:val="18"/>
                <w:shd w:val="clear" w:color="auto" w:fill="EFF0F1"/>
              </w:rPr>
              <w:t>ū</w:t>
            </w:r>
            <w:r w:rsidRPr="003E197C">
              <w:rPr>
                <w:sz w:val="18"/>
                <w:szCs w:val="18"/>
              </w:rPr>
              <w:t>’ under the Pinyin system and meaning pig. In the foreground,</w:t>
            </w:r>
            <w:r>
              <w:rPr>
                <w:sz w:val="18"/>
                <w:szCs w:val="18"/>
              </w:rPr>
              <w:t xml:space="preserve"> </w:t>
            </w:r>
            <w:r w:rsidRPr="003E197C">
              <w:rPr>
                <w:sz w:val="18"/>
                <w:szCs w:val="18"/>
              </w:rPr>
              <w:t>and positioned around that pig there is a representation of hydrangea flowers, peony flowers, leaves, a ladybird, a butterfly, a bee and a cricket. The design includes the inscriptions ‘</w:t>
            </w:r>
            <w:r>
              <w:rPr>
                <w:sz w:val="18"/>
                <w:szCs w:val="18"/>
              </w:rPr>
              <w:t>THIRTY</w:t>
            </w:r>
            <w:r w:rsidRPr="003E197C">
              <w:rPr>
                <w:sz w:val="18"/>
                <w:szCs w:val="18"/>
              </w:rPr>
              <w:t xml:space="preserve"> DOLLAR</w:t>
            </w:r>
            <w:r>
              <w:rPr>
                <w:sz w:val="18"/>
                <w:szCs w:val="18"/>
              </w:rPr>
              <w:t>S</w:t>
            </w:r>
            <w:r w:rsidRPr="003E197C">
              <w:rPr>
                <w:sz w:val="18"/>
                <w:szCs w:val="18"/>
              </w:rPr>
              <w:t>’</w:t>
            </w:r>
            <w:r>
              <w:rPr>
                <w:sz w:val="18"/>
                <w:szCs w:val="18"/>
              </w:rPr>
              <w:t>,</w:t>
            </w:r>
            <w:r w:rsidRPr="003E197C">
              <w:rPr>
                <w:sz w:val="18"/>
                <w:szCs w:val="18"/>
              </w:rPr>
              <w:t xml:space="preserve"> ‘2019 YEAR OF THE PIG’</w:t>
            </w:r>
            <w:r>
              <w:rPr>
                <w:sz w:val="18"/>
                <w:szCs w:val="18"/>
              </w:rPr>
              <w:t>, ‘1kg .999 Ag’</w:t>
            </w:r>
            <w:r w:rsidRPr="003E197C">
              <w:rPr>
                <w:sz w:val="18"/>
                <w:szCs w:val="18"/>
              </w:rPr>
              <w:t xml:space="preserve"> and a representation of the initials of the designer Bronwyn King ‘BK’.</w:t>
            </w:r>
          </w:p>
          <w:p w14:paraId="128A73AB" w14:textId="77777777" w:rsidR="009F26D1" w:rsidRPr="00B02B3C" w:rsidRDefault="009F26D1" w:rsidP="009F26D1">
            <w:pPr>
              <w:rPr>
                <w:b/>
                <w:sz w:val="18"/>
                <w:szCs w:val="18"/>
              </w:rPr>
            </w:pPr>
          </w:p>
          <w:p w14:paraId="6484126E" w14:textId="77777777" w:rsidR="009F26D1" w:rsidRPr="000B6CF7" w:rsidRDefault="009F26D1" w:rsidP="009F26D1">
            <w:pPr>
              <w:rPr>
                <w:b/>
                <w:sz w:val="18"/>
                <w:szCs w:val="18"/>
              </w:rPr>
            </w:pPr>
            <w:r w:rsidRPr="000B6CF7">
              <w:rPr>
                <w:b/>
                <w:sz w:val="18"/>
                <w:szCs w:val="18"/>
              </w:rPr>
              <w:t>Obverse</w:t>
            </w:r>
            <w:r>
              <w:rPr>
                <w:b/>
                <w:sz w:val="18"/>
                <w:szCs w:val="18"/>
              </w:rPr>
              <w:t xml:space="preserve"> </w:t>
            </w:r>
          </w:p>
          <w:p w14:paraId="3CDDCDBC" w14:textId="39C3DF5A" w:rsidR="00FA3C26" w:rsidRDefault="009F26D1" w:rsidP="009F26D1">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D65315" w:rsidRPr="00CC2ACD" w14:paraId="4897116C" w14:textId="77777777" w:rsidTr="00C61082">
        <w:trPr>
          <w:cantSplit/>
        </w:trPr>
        <w:tc>
          <w:tcPr>
            <w:tcW w:w="1101" w:type="dxa"/>
          </w:tcPr>
          <w:p w14:paraId="00D8FD68" w14:textId="4C036D7D" w:rsidR="00D65315" w:rsidRDefault="00D65315" w:rsidP="00D65315">
            <w:pPr>
              <w:rPr>
                <w:b/>
                <w:sz w:val="18"/>
                <w:szCs w:val="18"/>
              </w:rPr>
            </w:pPr>
            <w:r>
              <w:rPr>
                <w:b/>
                <w:sz w:val="18"/>
                <w:szCs w:val="18"/>
              </w:rPr>
              <w:lastRenderedPageBreak/>
              <w:t>Item 9</w:t>
            </w:r>
          </w:p>
        </w:tc>
        <w:tc>
          <w:tcPr>
            <w:tcW w:w="7421" w:type="dxa"/>
          </w:tcPr>
          <w:p w14:paraId="593C4244" w14:textId="7EF79BD9" w:rsidR="009F26D1" w:rsidRDefault="009F26D1" w:rsidP="009F26D1">
            <w:pPr>
              <w:rPr>
                <w:b/>
                <w:sz w:val="18"/>
                <w:szCs w:val="18"/>
              </w:rPr>
            </w:pPr>
            <w:r>
              <w:rPr>
                <w:b/>
                <w:sz w:val="18"/>
                <w:szCs w:val="18"/>
              </w:rPr>
              <w:t>50c Copper and Nickel Coin – 1968 HK Monaro GTS 327</w:t>
            </w:r>
          </w:p>
          <w:p w14:paraId="77C71699" w14:textId="77777777" w:rsidR="009F26D1" w:rsidRDefault="009F26D1" w:rsidP="009F26D1">
            <w:pPr>
              <w:rPr>
                <w:b/>
                <w:sz w:val="18"/>
                <w:szCs w:val="18"/>
              </w:rPr>
            </w:pPr>
          </w:p>
          <w:p w14:paraId="2BBADB01" w14:textId="77777777" w:rsidR="009F26D1" w:rsidRDefault="009F26D1" w:rsidP="009F26D1">
            <w:pPr>
              <w:rPr>
                <w:b/>
                <w:sz w:val="18"/>
                <w:szCs w:val="18"/>
              </w:rPr>
            </w:pPr>
            <w:r>
              <w:rPr>
                <w:b/>
                <w:sz w:val="18"/>
                <w:szCs w:val="18"/>
              </w:rPr>
              <w:t>Reverse</w:t>
            </w:r>
          </w:p>
          <w:p w14:paraId="5DD87745" w14:textId="54646FA7" w:rsidR="00903EB4" w:rsidRPr="00903EB4" w:rsidRDefault="00903EB4" w:rsidP="00903EB4">
            <w:pPr>
              <w:pStyle w:val="Tablea"/>
              <w:tabs>
                <w:tab w:val="right" w:pos="0"/>
              </w:tabs>
              <w:spacing w:before="0"/>
              <w:ind w:left="0" w:firstLine="0"/>
              <w:rPr>
                <w:sz w:val="18"/>
                <w:szCs w:val="18"/>
              </w:rPr>
            </w:pPr>
            <w:r w:rsidRPr="00903EB4">
              <w:rPr>
                <w:sz w:val="18"/>
                <w:szCs w:val="18"/>
              </w:rPr>
              <w:t>In the foreground there is a representation of a HK Monaro GTS 327 race car. In the background there is a representation of a road safety barrier. Positioned behind that road barrier there is a line drawing of spectators. At the bottom of the face of the coin, the word ‘HOLDEN’ is enclosed by an irregular pentagon. Positioned on top of that irregular pentagon is a stylised representation of a lion rolling a circular stone. The design includes a representation of a checked flag and the inscriptions ‘BATHURST LEGEND’, ‘1968’, ‘50’ and ‘HK MONARO GTS 327’.</w:t>
            </w:r>
          </w:p>
          <w:p w14:paraId="06084B0E" w14:textId="77777777" w:rsidR="009F26D1" w:rsidRPr="00B02B3C" w:rsidRDefault="009F26D1" w:rsidP="009F26D1">
            <w:pPr>
              <w:rPr>
                <w:b/>
                <w:sz w:val="18"/>
                <w:szCs w:val="18"/>
              </w:rPr>
            </w:pPr>
          </w:p>
          <w:p w14:paraId="07341B00" w14:textId="77777777" w:rsidR="009F26D1" w:rsidRPr="000B6CF7" w:rsidRDefault="009F26D1" w:rsidP="009F26D1">
            <w:pPr>
              <w:rPr>
                <w:b/>
                <w:sz w:val="18"/>
                <w:szCs w:val="18"/>
              </w:rPr>
            </w:pPr>
            <w:r w:rsidRPr="000B6CF7">
              <w:rPr>
                <w:b/>
                <w:sz w:val="18"/>
                <w:szCs w:val="18"/>
              </w:rPr>
              <w:t>Obverse</w:t>
            </w:r>
            <w:r>
              <w:rPr>
                <w:b/>
                <w:sz w:val="18"/>
                <w:szCs w:val="18"/>
              </w:rPr>
              <w:t xml:space="preserve"> </w:t>
            </w:r>
          </w:p>
          <w:p w14:paraId="1F7E3A80" w14:textId="74FC8A57" w:rsidR="00D65315" w:rsidRDefault="009F26D1" w:rsidP="009F26D1">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9151D0" w:rsidRPr="00CC2ACD" w14:paraId="1A4A4CCC" w14:textId="77777777" w:rsidTr="00C61082">
        <w:trPr>
          <w:cantSplit/>
        </w:trPr>
        <w:tc>
          <w:tcPr>
            <w:tcW w:w="1101" w:type="dxa"/>
          </w:tcPr>
          <w:p w14:paraId="2E2A5D53" w14:textId="0741D63F" w:rsidR="009151D0" w:rsidRDefault="009151D0" w:rsidP="009151D0">
            <w:pPr>
              <w:rPr>
                <w:b/>
                <w:sz w:val="18"/>
                <w:szCs w:val="18"/>
              </w:rPr>
            </w:pPr>
            <w:r>
              <w:rPr>
                <w:b/>
                <w:sz w:val="18"/>
                <w:szCs w:val="18"/>
              </w:rPr>
              <w:t>Item 10</w:t>
            </w:r>
          </w:p>
        </w:tc>
        <w:tc>
          <w:tcPr>
            <w:tcW w:w="7421" w:type="dxa"/>
          </w:tcPr>
          <w:p w14:paraId="0B9B0146" w14:textId="6B678F76" w:rsidR="009F26D1" w:rsidRDefault="009F26D1" w:rsidP="009F26D1">
            <w:pPr>
              <w:rPr>
                <w:b/>
                <w:sz w:val="18"/>
                <w:szCs w:val="18"/>
              </w:rPr>
            </w:pPr>
            <w:r>
              <w:rPr>
                <w:b/>
                <w:sz w:val="18"/>
                <w:szCs w:val="18"/>
              </w:rPr>
              <w:t>50c Copper and Nickel Coin – 1967 XR Falcon GT</w:t>
            </w:r>
          </w:p>
          <w:p w14:paraId="548C8390" w14:textId="77777777" w:rsidR="009F26D1" w:rsidRDefault="009F26D1" w:rsidP="009F26D1">
            <w:pPr>
              <w:rPr>
                <w:b/>
                <w:sz w:val="18"/>
                <w:szCs w:val="18"/>
              </w:rPr>
            </w:pPr>
          </w:p>
          <w:p w14:paraId="2DA020CD" w14:textId="77777777" w:rsidR="009F26D1" w:rsidRDefault="009F26D1" w:rsidP="009F26D1">
            <w:pPr>
              <w:rPr>
                <w:b/>
                <w:sz w:val="18"/>
                <w:szCs w:val="18"/>
              </w:rPr>
            </w:pPr>
            <w:r>
              <w:rPr>
                <w:b/>
                <w:sz w:val="18"/>
                <w:szCs w:val="18"/>
              </w:rPr>
              <w:t>Reverse</w:t>
            </w:r>
          </w:p>
          <w:p w14:paraId="17B7008A" w14:textId="77777777" w:rsidR="00903EB4" w:rsidRPr="00903EB4" w:rsidRDefault="00903EB4" w:rsidP="00903EB4">
            <w:pPr>
              <w:pStyle w:val="Tablea"/>
              <w:tabs>
                <w:tab w:val="right" w:pos="0"/>
              </w:tabs>
              <w:spacing w:before="0"/>
              <w:ind w:left="0" w:firstLine="0"/>
              <w:rPr>
                <w:sz w:val="18"/>
                <w:szCs w:val="18"/>
              </w:rPr>
            </w:pPr>
            <w:r w:rsidRPr="00903EB4">
              <w:rPr>
                <w:sz w:val="18"/>
                <w:szCs w:val="18"/>
              </w:rPr>
              <w:t>In the centre there is a representation of a HR Falcon GT race car positioned on a road. In the background, and positioned on that road there is a representation of 2 cars and trees. On the left there is a representation of a road safety barrier, trees and soil. On the right there is a representation of a fence, soil and trees. At the bottom of the face of the coin, the word ‘Ford’ is enclosed by an oval. The design includes a representation of a checked flag and the inscriptions ‘BATHURST LEGEND’, ‘1967’, ‘50’ and ‘XR FALCON GT’.</w:t>
            </w:r>
          </w:p>
          <w:p w14:paraId="5ADE0526" w14:textId="77777777" w:rsidR="009F26D1" w:rsidRPr="00B02B3C" w:rsidRDefault="009F26D1" w:rsidP="009F26D1">
            <w:pPr>
              <w:rPr>
                <w:b/>
                <w:sz w:val="18"/>
                <w:szCs w:val="18"/>
              </w:rPr>
            </w:pPr>
          </w:p>
          <w:p w14:paraId="12786856" w14:textId="77777777" w:rsidR="009F26D1" w:rsidRPr="000B6CF7" w:rsidRDefault="009F26D1" w:rsidP="009F26D1">
            <w:pPr>
              <w:rPr>
                <w:b/>
                <w:sz w:val="18"/>
                <w:szCs w:val="18"/>
              </w:rPr>
            </w:pPr>
            <w:r w:rsidRPr="000B6CF7">
              <w:rPr>
                <w:b/>
                <w:sz w:val="18"/>
                <w:szCs w:val="18"/>
              </w:rPr>
              <w:t>Obverse</w:t>
            </w:r>
            <w:r>
              <w:rPr>
                <w:b/>
                <w:sz w:val="18"/>
                <w:szCs w:val="18"/>
              </w:rPr>
              <w:t xml:space="preserve"> </w:t>
            </w:r>
          </w:p>
          <w:p w14:paraId="2A4AFFF6" w14:textId="30476371" w:rsidR="009151D0" w:rsidRDefault="009F26D1" w:rsidP="009F26D1">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9A7277" w:rsidRPr="00CC2ACD" w14:paraId="7542F921" w14:textId="77777777" w:rsidTr="00C61082">
        <w:trPr>
          <w:cantSplit/>
        </w:trPr>
        <w:tc>
          <w:tcPr>
            <w:tcW w:w="1101" w:type="dxa"/>
          </w:tcPr>
          <w:p w14:paraId="4E325C28" w14:textId="050E164B" w:rsidR="009A7277" w:rsidRDefault="009A7277" w:rsidP="009151D0">
            <w:pPr>
              <w:rPr>
                <w:b/>
                <w:sz w:val="18"/>
                <w:szCs w:val="18"/>
              </w:rPr>
            </w:pPr>
            <w:r>
              <w:rPr>
                <w:b/>
                <w:sz w:val="18"/>
                <w:szCs w:val="18"/>
              </w:rPr>
              <w:t>Item 11</w:t>
            </w:r>
          </w:p>
        </w:tc>
        <w:tc>
          <w:tcPr>
            <w:tcW w:w="7421" w:type="dxa"/>
          </w:tcPr>
          <w:p w14:paraId="2B61B2FB" w14:textId="63F507CE" w:rsidR="009F26D1" w:rsidRDefault="009F26D1" w:rsidP="009F26D1">
            <w:pPr>
              <w:rPr>
                <w:b/>
                <w:sz w:val="18"/>
                <w:szCs w:val="18"/>
              </w:rPr>
            </w:pPr>
            <w:r>
              <w:rPr>
                <w:b/>
                <w:sz w:val="18"/>
                <w:szCs w:val="18"/>
              </w:rPr>
              <w:t>$5 Silver Coin with Partial Gold Plating</w:t>
            </w:r>
            <w:r w:rsidR="001B751F">
              <w:rPr>
                <w:b/>
                <w:sz w:val="18"/>
                <w:szCs w:val="18"/>
              </w:rPr>
              <w:t xml:space="preserve"> </w:t>
            </w:r>
            <w:r>
              <w:rPr>
                <w:b/>
                <w:sz w:val="18"/>
                <w:szCs w:val="18"/>
              </w:rPr>
              <w:t xml:space="preserve">– </w:t>
            </w:r>
            <w:r w:rsidR="001B751F">
              <w:rPr>
                <w:b/>
                <w:sz w:val="18"/>
                <w:szCs w:val="18"/>
              </w:rPr>
              <w:t>Invictus Games</w:t>
            </w:r>
          </w:p>
          <w:p w14:paraId="5E1C0EF7" w14:textId="77777777" w:rsidR="009F26D1" w:rsidRDefault="009F26D1" w:rsidP="009F26D1">
            <w:pPr>
              <w:rPr>
                <w:b/>
                <w:sz w:val="18"/>
                <w:szCs w:val="18"/>
              </w:rPr>
            </w:pPr>
          </w:p>
          <w:p w14:paraId="7576F404" w14:textId="77777777" w:rsidR="009F26D1" w:rsidRDefault="009F26D1" w:rsidP="009F26D1">
            <w:pPr>
              <w:rPr>
                <w:b/>
                <w:sz w:val="18"/>
                <w:szCs w:val="18"/>
              </w:rPr>
            </w:pPr>
            <w:r>
              <w:rPr>
                <w:b/>
                <w:sz w:val="18"/>
                <w:szCs w:val="18"/>
              </w:rPr>
              <w:t>Reverse</w:t>
            </w:r>
          </w:p>
          <w:p w14:paraId="333D8150" w14:textId="2FD796BF" w:rsidR="000D0FB9" w:rsidRPr="000D0FB9" w:rsidRDefault="000D0FB9" w:rsidP="000D0FB9">
            <w:pPr>
              <w:pStyle w:val="Tablea"/>
              <w:tabs>
                <w:tab w:val="right" w:pos="0"/>
              </w:tabs>
              <w:spacing w:before="0"/>
              <w:ind w:left="0" w:firstLine="0"/>
              <w:rPr>
                <w:sz w:val="18"/>
                <w:szCs w:val="18"/>
              </w:rPr>
            </w:pPr>
            <w:r w:rsidRPr="000D0FB9">
              <w:rPr>
                <w:sz w:val="18"/>
                <w:szCs w:val="18"/>
              </w:rPr>
              <w:t xml:space="preserve">A representation of 3 athletes where a male athlete is standing on prosthetic running blades, a female athlete is holding goggles on her head and wearing a swimsuit and cap, and a male athlete is sitting and holding a volleyball on one knee. In the background there are 3 horizontal </w:t>
            </w:r>
            <w:r w:rsidR="00B160D9">
              <w:rPr>
                <w:sz w:val="18"/>
                <w:szCs w:val="18"/>
              </w:rPr>
              <w:t>lines</w:t>
            </w:r>
            <w:r w:rsidRPr="000D0FB9">
              <w:rPr>
                <w:sz w:val="18"/>
                <w:szCs w:val="18"/>
              </w:rPr>
              <w:t>, one vertical line and 3 horizontal stripes. The design includes the inscriptions ‘INVICTUS’ partially plated in gold and ‘GAMES’ partially plated in gold. The design also includes the inscriptions ‘5 DOLLARS’ and ‘SYDNEY 2018’ and the initials of the designer Aleksandra Stokic ‘AS’.</w:t>
            </w:r>
          </w:p>
          <w:p w14:paraId="0BA10FDB" w14:textId="77777777" w:rsidR="009F26D1" w:rsidRPr="00B02B3C" w:rsidRDefault="009F26D1" w:rsidP="009F26D1">
            <w:pPr>
              <w:rPr>
                <w:b/>
                <w:sz w:val="18"/>
                <w:szCs w:val="18"/>
              </w:rPr>
            </w:pPr>
          </w:p>
          <w:p w14:paraId="3CE9EEBE" w14:textId="77777777" w:rsidR="009F26D1" w:rsidRPr="000B6CF7" w:rsidRDefault="009F26D1" w:rsidP="009F26D1">
            <w:pPr>
              <w:rPr>
                <w:b/>
                <w:sz w:val="18"/>
                <w:szCs w:val="18"/>
              </w:rPr>
            </w:pPr>
            <w:r w:rsidRPr="000B6CF7">
              <w:rPr>
                <w:b/>
                <w:sz w:val="18"/>
                <w:szCs w:val="18"/>
              </w:rPr>
              <w:t>Obverse</w:t>
            </w:r>
            <w:r>
              <w:rPr>
                <w:b/>
                <w:sz w:val="18"/>
                <w:szCs w:val="18"/>
              </w:rPr>
              <w:t xml:space="preserve"> </w:t>
            </w:r>
          </w:p>
          <w:p w14:paraId="7D06499D" w14:textId="7578D2FA" w:rsidR="009A7277" w:rsidRDefault="009F26D1" w:rsidP="009F26D1">
            <w:pPr>
              <w:pStyle w:val="Tablea"/>
              <w:spacing w:before="0"/>
              <w:ind w:left="0" w:firstLine="0"/>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9A7277" w:rsidRPr="00CC2ACD" w14:paraId="5E071289" w14:textId="77777777" w:rsidTr="00C61082">
        <w:trPr>
          <w:cantSplit/>
        </w:trPr>
        <w:tc>
          <w:tcPr>
            <w:tcW w:w="1101" w:type="dxa"/>
          </w:tcPr>
          <w:p w14:paraId="605EF714" w14:textId="0D4E0527" w:rsidR="009A7277" w:rsidRDefault="009A7277" w:rsidP="009151D0">
            <w:pPr>
              <w:rPr>
                <w:b/>
                <w:sz w:val="18"/>
                <w:szCs w:val="18"/>
              </w:rPr>
            </w:pPr>
            <w:r>
              <w:rPr>
                <w:b/>
                <w:sz w:val="18"/>
                <w:szCs w:val="18"/>
              </w:rPr>
              <w:t>Item 12</w:t>
            </w:r>
          </w:p>
        </w:tc>
        <w:tc>
          <w:tcPr>
            <w:tcW w:w="7421" w:type="dxa"/>
          </w:tcPr>
          <w:p w14:paraId="6E31B05A" w14:textId="6C6C9796" w:rsidR="001B751F" w:rsidRDefault="001B751F" w:rsidP="001B751F">
            <w:pPr>
              <w:rPr>
                <w:b/>
                <w:sz w:val="18"/>
                <w:szCs w:val="18"/>
              </w:rPr>
            </w:pPr>
            <w:r>
              <w:rPr>
                <w:b/>
                <w:sz w:val="18"/>
                <w:szCs w:val="18"/>
              </w:rPr>
              <w:t>$2 Copper, Aluminium and Nickel Coin – Invictus Games</w:t>
            </w:r>
          </w:p>
          <w:p w14:paraId="034765A2" w14:textId="77777777" w:rsidR="001B751F" w:rsidRDefault="001B751F" w:rsidP="001B751F">
            <w:pPr>
              <w:rPr>
                <w:b/>
                <w:sz w:val="18"/>
                <w:szCs w:val="18"/>
              </w:rPr>
            </w:pPr>
          </w:p>
          <w:p w14:paraId="6512B1EB" w14:textId="77777777" w:rsidR="001B751F" w:rsidRDefault="001B751F" w:rsidP="001B751F">
            <w:pPr>
              <w:rPr>
                <w:b/>
                <w:sz w:val="18"/>
                <w:szCs w:val="18"/>
              </w:rPr>
            </w:pPr>
            <w:r>
              <w:rPr>
                <w:b/>
                <w:sz w:val="18"/>
                <w:szCs w:val="18"/>
              </w:rPr>
              <w:t>Reverse</w:t>
            </w:r>
          </w:p>
          <w:p w14:paraId="6C10E0B8" w14:textId="77777777" w:rsidR="006135A0" w:rsidRPr="006135A0" w:rsidRDefault="006135A0" w:rsidP="006135A0">
            <w:pPr>
              <w:pStyle w:val="Tablea"/>
              <w:tabs>
                <w:tab w:val="right" w:pos="0"/>
              </w:tabs>
              <w:spacing w:before="0"/>
              <w:ind w:left="0" w:firstLine="0"/>
              <w:rPr>
                <w:sz w:val="18"/>
                <w:szCs w:val="18"/>
              </w:rPr>
            </w:pPr>
            <w:r w:rsidRPr="006135A0">
              <w:rPr>
                <w:sz w:val="18"/>
                <w:szCs w:val="18"/>
              </w:rPr>
              <w:t>A representation of a male athlete in a racing wheelchair, a horizontal line and a vertical line. The design includes the inscriptions ‘2 DOLLARS’, ‘INVICTUS GAMES’, ‘2018’ and ‘SYDNEY’ and the initials of the designer Aleksandra Stokic ‘AS’.</w:t>
            </w:r>
          </w:p>
          <w:p w14:paraId="59DA9335" w14:textId="77777777" w:rsidR="001B751F" w:rsidRPr="00B02B3C" w:rsidRDefault="001B751F" w:rsidP="001B751F">
            <w:pPr>
              <w:rPr>
                <w:b/>
                <w:sz w:val="18"/>
                <w:szCs w:val="18"/>
              </w:rPr>
            </w:pPr>
          </w:p>
          <w:p w14:paraId="314E3E62" w14:textId="77777777" w:rsidR="001B751F" w:rsidRPr="000B6CF7" w:rsidRDefault="001B751F" w:rsidP="001B751F">
            <w:pPr>
              <w:rPr>
                <w:b/>
                <w:sz w:val="18"/>
                <w:szCs w:val="18"/>
              </w:rPr>
            </w:pPr>
            <w:r w:rsidRPr="000B6CF7">
              <w:rPr>
                <w:b/>
                <w:sz w:val="18"/>
                <w:szCs w:val="18"/>
              </w:rPr>
              <w:t>Obverse</w:t>
            </w:r>
            <w:r>
              <w:rPr>
                <w:b/>
                <w:sz w:val="18"/>
                <w:szCs w:val="18"/>
              </w:rPr>
              <w:t xml:space="preserve"> </w:t>
            </w:r>
          </w:p>
          <w:p w14:paraId="3639AF4E" w14:textId="21BBFF2F" w:rsidR="009A7277" w:rsidRDefault="001B751F" w:rsidP="001B751F">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9A7277" w:rsidRPr="00CC2ACD" w14:paraId="73930A88" w14:textId="77777777" w:rsidTr="00C61082">
        <w:trPr>
          <w:cantSplit/>
        </w:trPr>
        <w:tc>
          <w:tcPr>
            <w:tcW w:w="1101" w:type="dxa"/>
          </w:tcPr>
          <w:p w14:paraId="1635D944" w14:textId="38A1E0ED" w:rsidR="009A7277" w:rsidRDefault="009A7277" w:rsidP="009151D0">
            <w:pPr>
              <w:rPr>
                <w:b/>
                <w:sz w:val="18"/>
                <w:szCs w:val="18"/>
              </w:rPr>
            </w:pPr>
            <w:r>
              <w:rPr>
                <w:b/>
                <w:sz w:val="18"/>
                <w:szCs w:val="18"/>
              </w:rPr>
              <w:lastRenderedPageBreak/>
              <w:t>Item 13</w:t>
            </w:r>
          </w:p>
        </w:tc>
        <w:tc>
          <w:tcPr>
            <w:tcW w:w="7421" w:type="dxa"/>
          </w:tcPr>
          <w:p w14:paraId="4CA14C4C" w14:textId="08F7CC73" w:rsidR="000215E0" w:rsidRDefault="000215E0" w:rsidP="000215E0">
            <w:pPr>
              <w:rPr>
                <w:b/>
                <w:sz w:val="18"/>
                <w:szCs w:val="18"/>
              </w:rPr>
            </w:pPr>
            <w:r>
              <w:rPr>
                <w:b/>
                <w:sz w:val="18"/>
                <w:szCs w:val="18"/>
              </w:rPr>
              <w:t>$100 Gold Coin – 25</w:t>
            </w:r>
            <w:r w:rsidRPr="000215E0">
              <w:rPr>
                <w:b/>
                <w:sz w:val="18"/>
                <w:szCs w:val="18"/>
                <w:vertAlign w:val="superscript"/>
              </w:rPr>
              <w:t>th</w:t>
            </w:r>
            <w:r>
              <w:rPr>
                <w:b/>
                <w:sz w:val="18"/>
                <w:szCs w:val="18"/>
              </w:rPr>
              <w:t xml:space="preserve"> Anniversary of the Kangaroo Series</w:t>
            </w:r>
          </w:p>
          <w:p w14:paraId="62F8D2C7" w14:textId="77777777" w:rsidR="000215E0" w:rsidRDefault="000215E0" w:rsidP="000215E0">
            <w:pPr>
              <w:rPr>
                <w:b/>
                <w:sz w:val="18"/>
                <w:szCs w:val="18"/>
              </w:rPr>
            </w:pPr>
          </w:p>
          <w:p w14:paraId="7EBB0DF5" w14:textId="77777777" w:rsidR="000215E0" w:rsidRDefault="000215E0" w:rsidP="000215E0">
            <w:pPr>
              <w:rPr>
                <w:b/>
                <w:sz w:val="18"/>
                <w:szCs w:val="18"/>
              </w:rPr>
            </w:pPr>
            <w:r>
              <w:rPr>
                <w:b/>
                <w:sz w:val="18"/>
                <w:szCs w:val="18"/>
              </w:rPr>
              <w:t>Reverse</w:t>
            </w:r>
          </w:p>
          <w:p w14:paraId="3E4E5FE0" w14:textId="77777777" w:rsidR="006135A0" w:rsidRPr="006135A0" w:rsidRDefault="006135A0" w:rsidP="006135A0">
            <w:pPr>
              <w:pStyle w:val="Tablea"/>
              <w:tabs>
                <w:tab w:val="right" w:pos="0"/>
              </w:tabs>
              <w:spacing w:before="0"/>
              <w:ind w:left="0" w:firstLine="0"/>
              <w:rPr>
                <w:sz w:val="18"/>
                <w:szCs w:val="18"/>
              </w:rPr>
            </w:pPr>
            <w:r w:rsidRPr="006135A0">
              <w:rPr>
                <w:sz w:val="18"/>
                <w:szCs w:val="18"/>
              </w:rPr>
              <w:t>On the edge of the coin there is a curved stripe. On the left, and superimposed on a part of that stripe is a circle enclosing the inscription ‘1 OUNCE OF FINE GOLD’, a hopping kangaroo and the leaves, flowers and branches of a wattle. In the background, and partially obscured by that circle is a representation of the leaves, flowers and branches of a wattle. On the right there is a representation of 2 hopping kangaroos. The design includes the inscriptions ‘100 DOLLARS’, ‘25</w:t>
            </w:r>
            <w:r w:rsidRPr="006135A0">
              <w:rPr>
                <w:sz w:val="18"/>
                <w:szCs w:val="18"/>
                <w:vertAlign w:val="superscript"/>
              </w:rPr>
              <w:t>TH</w:t>
            </w:r>
            <w:r w:rsidRPr="006135A0">
              <w:rPr>
                <w:sz w:val="18"/>
                <w:szCs w:val="18"/>
              </w:rPr>
              <w:t xml:space="preserve"> ANNIVERSARY’ and ‘KANGAROO’.</w:t>
            </w:r>
          </w:p>
          <w:p w14:paraId="272C70CD" w14:textId="77777777" w:rsidR="000215E0" w:rsidRPr="00B02B3C" w:rsidRDefault="000215E0" w:rsidP="000215E0">
            <w:pPr>
              <w:rPr>
                <w:b/>
                <w:sz w:val="18"/>
                <w:szCs w:val="18"/>
              </w:rPr>
            </w:pPr>
          </w:p>
          <w:p w14:paraId="6EF03ABE" w14:textId="77777777" w:rsidR="000215E0" w:rsidRPr="000B6CF7" w:rsidRDefault="000215E0" w:rsidP="000215E0">
            <w:pPr>
              <w:rPr>
                <w:b/>
                <w:sz w:val="18"/>
                <w:szCs w:val="18"/>
              </w:rPr>
            </w:pPr>
            <w:r w:rsidRPr="000B6CF7">
              <w:rPr>
                <w:b/>
                <w:sz w:val="18"/>
                <w:szCs w:val="18"/>
              </w:rPr>
              <w:t>Obverse</w:t>
            </w:r>
            <w:r>
              <w:rPr>
                <w:b/>
                <w:sz w:val="18"/>
                <w:szCs w:val="18"/>
              </w:rPr>
              <w:t xml:space="preserve"> </w:t>
            </w:r>
          </w:p>
          <w:p w14:paraId="2ADCCC36" w14:textId="110A75CD" w:rsidR="009A7277" w:rsidRDefault="000215E0" w:rsidP="000215E0">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9A7277" w:rsidRPr="00CC2ACD" w14:paraId="6D7F7A4A" w14:textId="77777777" w:rsidTr="00C61082">
        <w:trPr>
          <w:cantSplit/>
        </w:trPr>
        <w:tc>
          <w:tcPr>
            <w:tcW w:w="1101" w:type="dxa"/>
          </w:tcPr>
          <w:p w14:paraId="253F9E6F" w14:textId="548F67C9" w:rsidR="009A7277" w:rsidRDefault="009A7277" w:rsidP="009151D0">
            <w:pPr>
              <w:rPr>
                <w:b/>
                <w:sz w:val="18"/>
                <w:szCs w:val="18"/>
              </w:rPr>
            </w:pPr>
            <w:r>
              <w:rPr>
                <w:b/>
                <w:sz w:val="18"/>
                <w:szCs w:val="18"/>
              </w:rPr>
              <w:t>Item 14</w:t>
            </w:r>
          </w:p>
        </w:tc>
        <w:tc>
          <w:tcPr>
            <w:tcW w:w="7421" w:type="dxa"/>
          </w:tcPr>
          <w:p w14:paraId="0250C26E" w14:textId="77777777" w:rsidR="000215E0" w:rsidRDefault="000215E0" w:rsidP="000215E0">
            <w:pPr>
              <w:rPr>
                <w:b/>
                <w:sz w:val="18"/>
                <w:szCs w:val="18"/>
              </w:rPr>
            </w:pPr>
            <w:r>
              <w:rPr>
                <w:b/>
                <w:sz w:val="18"/>
                <w:szCs w:val="18"/>
              </w:rPr>
              <w:t>$10 Silver Coin with Partial Gold Plating – 25</w:t>
            </w:r>
            <w:r w:rsidRPr="000215E0">
              <w:rPr>
                <w:b/>
                <w:sz w:val="18"/>
                <w:szCs w:val="18"/>
                <w:vertAlign w:val="superscript"/>
              </w:rPr>
              <w:t>th</w:t>
            </w:r>
            <w:r>
              <w:rPr>
                <w:b/>
                <w:sz w:val="18"/>
                <w:szCs w:val="18"/>
              </w:rPr>
              <w:t xml:space="preserve"> Anniversary of the Kangaroo Series</w:t>
            </w:r>
          </w:p>
          <w:p w14:paraId="50BA0297" w14:textId="77777777" w:rsidR="00027CD1" w:rsidRDefault="00027CD1" w:rsidP="00027CD1">
            <w:pPr>
              <w:rPr>
                <w:b/>
                <w:sz w:val="18"/>
                <w:szCs w:val="18"/>
              </w:rPr>
            </w:pPr>
          </w:p>
          <w:p w14:paraId="0B022902" w14:textId="77777777" w:rsidR="00027CD1" w:rsidRDefault="00027CD1" w:rsidP="00027CD1">
            <w:pPr>
              <w:rPr>
                <w:b/>
                <w:sz w:val="18"/>
                <w:szCs w:val="18"/>
              </w:rPr>
            </w:pPr>
            <w:r>
              <w:rPr>
                <w:b/>
                <w:sz w:val="18"/>
                <w:szCs w:val="18"/>
              </w:rPr>
              <w:t>Reverse</w:t>
            </w:r>
          </w:p>
          <w:p w14:paraId="735A0AFC" w14:textId="5A22AA56" w:rsidR="00651D50" w:rsidRPr="006135A0" w:rsidRDefault="00651D50" w:rsidP="00651D50">
            <w:pPr>
              <w:pStyle w:val="Tablea"/>
              <w:tabs>
                <w:tab w:val="right" w:pos="0"/>
              </w:tabs>
              <w:spacing w:before="0"/>
              <w:ind w:left="0" w:firstLine="0"/>
              <w:rPr>
                <w:sz w:val="18"/>
                <w:szCs w:val="18"/>
              </w:rPr>
            </w:pPr>
            <w:r w:rsidRPr="006135A0">
              <w:rPr>
                <w:sz w:val="18"/>
                <w:szCs w:val="18"/>
              </w:rPr>
              <w:t xml:space="preserve">On the edge of the coin there is a curved stripe. On the left, and superimposed on a part of that stripe is a circle enclosing a hopping kangaroo and the leaves, flowers and branches of a wattle. </w:t>
            </w:r>
            <w:r>
              <w:rPr>
                <w:sz w:val="18"/>
                <w:szCs w:val="18"/>
              </w:rPr>
              <w:t xml:space="preserve">The design includes a partially gold-plated </w:t>
            </w:r>
            <w:r w:rsidRPr="006135A0">
              <w:rPr>
                <w:sz w:val="18"/>
                <w:szCs w:val="18"/>
              </w:rPr>
              <w:t>background</w:t>
            </w:r>
            <w:r>
              <w:rPr>
                <w:sz w:val="18"/>
                <w:szCs w:val="18"/>
              </w:rPr>
              <w:t xml:space="preserve"> including </w:t>
            </w:r>
            <w:r w:rsidRPr="006135A0">
              <w:rPr>
                <w:sz w:val="18"/>
                <w:szCs w:val="18"/>
              </w:rPr>
              <w:t>a</w:t>
            </w:r>
            <w:r>
              <w:rPr>
                <w:sz w:val="18"/>
                <w:szCs w:val="18"/>
              </w:rPr>
              <w:t xml:space="preserve"> partially obscured </w:t>
            </w:r>
            <w:r w:rsidRPr="006135A0">
              <w:rPr>
                <w:sz w:val="18"/>
                <w:szCs w:val="18"/>
              </w:rPr>
              <w:t>representation of the leaves, flowers and branches of a wattle. On the right there is a representation of 2 hopping kangaroos. The design includes the inscriptions ‘</w:t>
            </w:r>
            <w:r>
              <w:rPr>
                <w:sz w:val="18"/>
                <w:szCs w:val="18"/>
              </w:rPr>
              <w:t>KANGAROO</w:t>
            </w:r>
            <w:r w:rsidRPr="006135A0">
              <w:rPr>
                <w:sz w:val="18"/>
                <w:szCs w:val="18"/>
              </w:rPr>
              <w:t>’, ‘25</w:t>
            </w:r>
            <w:r w:rsidRPr="006135A0">
              <w:rPr>
                <w:sz w:val="18"/>
                <w:szCs w:val="18"/>
                <w:vertAlign w:val="superscript"/>
              </w:rPr>
              <w:t>TH</w:t>
            </w:r>
            <w:r w:rsidRPr="006135A0">
              <w:rPr>
                <w:sz w:val="18"/>
                <w:szCs w:val="18"/>
              </w:rPr>
              <w:t xml:space="preserve"> ANNIVERSARY’ and ‘</w:t>
            </w:r>
            <w:r>
              <w:rPr>
                <w:sz w:val="18"/>
                <w:szCs w:val="18"/>
              </w:rPr>
              <w:t>5oz .999 Ag</w:t>
            </w:r>
            <w:r w:rsidRPr="006135A0">
              <w:rPr>
                <w:sz w:val="18"/>
                <w:szCs w:val="18"/>
              </w:rPr>
              <w:t>’.</w:t>
            </w:r>
          </w:p>
          <w:p w14:paraId="4E1495E9" w14:textId="5106222D" w:rsidR="00027CD1" w:rsidRPr="00027CD1" w:rsidRDefault="00027CD1" w:rsidP="00027CD1">
            <w:pPr>
              <w:pStyle w:val="Tablea"/>
              <w:tabs>
                <w:tab w:val="left" w:pos="0"/>
              </w:tabs>
              <w:spacing w:before="0"/>
              <w:ind w:left="0" w:firstLine="0"/>
              <w:rPr>
                <w:sz w:val="18"/>
                <w:szCs w:val="18"/>
              </w:rPr>
            </w:pPr>
          </w:p>
          <w:p w14:paraId="67620C6B" w14:textId="77777777" w:rsidR="00FB7656" w:rsidRPr="000B6CF7" w:rsidRDefault="00FB7656" w:rsidP="00FB7656">
            <w:pPr>
              <w:rPr>
                <w:b/>
                <w:sz w:val="18"/>
                <w:szCs w:val="18"/>
              </w:rPr>
            </w:pPr>
            <w:r w:rsidRPr="000B6CF7">
              <w:rPr>
                <w:b/>
                <w:sz w:val="18"/>
                <w:szCs w:val="18"/>
              </w:rPr>
              <w:t>Obverse</w:t>
            </w:r>
            <w:r>
              <w:rPr>
                <w:b/>
                <w:sz w:val="18"/>
                <w:szCs w:val="18"/>
              </w:rPr>
              <w:t xml:space="preserve"> </w:t>
            </w:r>
          </w:p>
          <w:p w14:paraId="14ADE038" w14:textId="7BFFCD4F" w:rsidR="009A7277" w:rsidRDefault="00FB7656" w:rsidP="00FB7656">
            <w:pPr>
              <w:pStyle w:val="Tablea"/>
              <w:tabs>
                <w:tab w:val="left" w:pos="0"/>
              </w:tabs>
              <w:spacing w:before="0"/>
              <w:ind w:left="0" w:firstLine="0"/>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w:t>
            </w:r>
            <w:r>
              <w:rPr>
                <w:sz w:val="18"/>
                <w:szCs w:val="18"/>
              </w:rPr>
              <w:t>, ‘</w:t>
            </w:r>
            <w:r w:rsidR="000215E0">
              <w:rPr>
                <w:sz w:val="18"/>
                <w:szCs w:val="18"/>
              </w:rPr>
              <w:t>10</w:t>
            </w:r>
            <w:r>
              <w:rPr>
                <w:sz w:val="18"/>
                <w:szCs w:val="18"/>
              </w:rPr>
              <w:t xml:space="preserve"> DOLLARS’</w:t>
            </w:r>
            <w:r w:rsidR="000215E0">
              <w:rPr>
                <w:sz w:val="18"/>
                <w:szCs w:val="18"/>
              </w:rPr>
              <w:t>, 2 dots</w:t>
            </w:r>
            <w:r w:rsidRPr="00A83780">
              <w:rPr>
                <w:sz w:val="18"/>
                <w:szCs w:val="18"/>
              </w:rPr>
              <w:t xml:space="preserve"> and the inscription, in numerals, of a year. The obverse design includes the initials of the designer Ian Rank-Broadley ‘IRB’.</w:t>
            </w:r>
          </w:p>
        </w:tc>
      </w:tr>
      <w:tr w:rsidR="009A7277" w:rsidRPr="00CC2ACD" w14:paraId="3C3BE6F3" w14:textId="77777777" w:rsidTr="00C61082">
        <w:trPr>
          <w:cantSplit/>
        </w:trPr>
        <w:tc>
          <w:tcPr>
            <w:tcW w:w="1101" w:type="dxa"/>
          </w:tcPr>
          <w:p w14:paraId="0EDE78B1" w14:textId="2985701A" w:rsidR="009A7277" w:rsidRDefault="009A7277" w:rsidP="009151D0">
            <w:pPr>
              <w:rPr>
                <w:b/>
                <w:sz w:val="18"/>
                <w:szCs w:val="18"/>
              </w:rPr>
            </w:pPr>
            <w:r>
              <w:rPr>
                <w:b/>
                <w:sz w:val="18"/>
                <w:szCs w:val="18"/>
              </w:rPr>
              <w:t>Item 15</w:t>
            </w:r>
          </w:p>
        </w:tc>
        <w:tc>
          <w:tcPr>
            <w:tcW w:w="7421" w:type="dxa"/>
          </w:tcPr>
          <w:p w14:paraId="70E53D19" w14:textId="3BCD92C7" w:rsidR="000215E0" w:rsidRDefault="000215E0" w:rsidP="000215E0">
            <w:pPr>
              <w:rPr>
                <w:b/>
                <w:sz w:val="18"/>
                <w:szCs w:val="18"/>
              </w:rPr>
            </w:pPr>
            <w:r>
              <w:rPr>
                <w:b/>
                <w:sz w:val="18"/>
                <w:szCs w:val="18"/>
              </w:rPr>
              <w:t>$100 Gold Concave Coin – Terrestrial Dome – 1626 A New Map of the World</w:t>
            </w:r>
          </w:p>
          <w:p w14:paraId="2565D135" w14:textId="77777777" w:rsidR="000215E0" w:rsidRDefault="000215E0" w:rsidP="000215E0">
            <w:pPr>
              <w:rPr>
                <w:b/>
                <w:sz w:val="18"/>
                <w:szCs w:val="18"/>
              </w:rPr>
            </w:pPr>
          </w:p>
          <w:p w14:paraId="4E17B219" w14:textId="77777777" w:rsidR="000215E0" w:rsidRDefault="000215E0" w:rsidP="000215E0">
            <w:pPr>
              <w:rPr>
                <w:b/>
                <w:sz w:val="18"/>
                <w:szCs w:val="18"/>
              </w:rPr>
            </w:pPr>
            <w:r>
              <w:rPr>
                <w:b/>
                <w:sz w:val="18"/>
                <w:szCs w:val="18"/>
              </w:rPr>
              <w:t>Reverse</w:t>
            </w:r>
          </w:p>
          <w:p w14:paraId="6E15D589" w14:textId="0F785A4D" w:rsidR="00E72DBE" w:rsidRPr="00E72DBE" w:rsidRDefault="00E72DBE" w:rsidP="00E72DBE">
            <w:pPr>
              <w:pStyle w:val="Tablea"/>
              <w:tabs>
                <w:tab w:val="right" w:pos="0"/>
              </w:tabs>
              <w:spacing w:before="0"/>
              <w:ind w:left="0" w:firstLine="0"/>
              <w:rPr>
                <w:sz w:val="18"/>
                <w:szCs w:val="18"/>
              </w:rPr>
            </w:pPr>
            <w:r w:rsidRPr="00E72DBE">
              <w:rPr>
                <w:sz w:val="18"/>
                <w:szCs w:val="18"/>
              </w:rPr>
              <w:t>A representation of a part of a 1626 map of the world including the equator, latitude lines</w:t>
            </w:r>
            <w:r w:rsidR="000278A9">
              <w:rPr>
                <w:sz w:val="18"/>
                <w:szCs w:val="18"/>
              </w:rPr>
              <w:t xml:space="preserve"> and</w:t>
            </w:r>
            <w:r w:rsidRPr="00E72DBE">
              <w:rPr>
                <w:sz w:val="18"/>
                <w:szCs w:val="18"/>
              </w:rPr>
              <w:t xml:space="preserve"> longitude lines, a sea monster partially immersed in water and 2 sailing ships. That map includes the inscriptions ‘America Discovered in 1492 by Christopher Columbus English Circumnavigators 1578 Sir Francis Drake 1586 Mr Thomas Candish’ enclosed by an ornamental border and the inscriptions ‘NORTH’, ‘The Articke Circle’, ‘NORTH AMERICA’, ‘OR MEXICANA’, ‘New Brit’, ‘MAR’, ‘DEL’, ‘The Tropicke of Cancer’, ‘MAR’,‘DEL’, ‘NORT’, ‘The Acquinostial Line’, ‘ZUR’, ‘SOUTH AMERICA’, ‘OR PERU’; ‘THE PACIFICKE SEA’, ‘MAGALLANICA’, ‘1oz .9999 Au’,‘The Antarcticke Circle’ and ‘SOUTH’. Surrounding that map of the world is a circular border including the inscriptions ‘THE TEMPERATE </w:t>
            </w:r>
            <w:r w:rsidR="00347F62">
              <w:rPr>
                <w:sz w:val="18"/>
                <w:szCs w:val="18"/>
              </w:rPr>
              <w:t>SONE</w:t>
            </w:r>
            <w:r w:rsidRPr="00E72DBE">
              <w:rPr>
                <w:sz w:val="18"/>
                <w:szCs w:val="18"/>
              </w:rPr>
              <w:t xml:space="preserve">’ repeated 4 times, ‘THE NORTH FROSEN </w:t>
            </w:r>
            <w:r w:rsidR="00347F62">
              <w:rPr>
                <w:sz w:val="18"/>
                <w:szCs w:val="18"/>
              </w:rPr>
              <w:t>SONE</w:t>
            </w:r>
            <w:r w:rsidRPr="00E72DBE">
              <w:rPr>
                <w:sz w:val="18"/>
                <w:szCs w:val="18"/>
              </w:rPr>
              <w:t xml:space="preserve">’, ‘THE TORRID </w:t>
            </w:r>
            <w:r w:rsidR="00347F62">
              <w:rPr>
                <w:sz w:val="18"/>
                <w:szCs w:val="18"/>
              </w:rPr>
              <w:t>SONE</w:t>
            </w:r>
            <w:r w:rsidRPr="00E72DBE">
              <w:rPr>
                <w:sz w:val="18"/>
                <w:szCs w:val="18"/>
              </w:rPr>
              <w:t xml:space="preserve">’ repeated 2 times and ‘THE SOUTH FROSEN </w:t>
            </w:r>
            <w:r w:rsidR="00347F62">
              <w:rPr>
                <w:sz w:val="18"/>
                <w:szCs w:val="18"/>
              </w:rPr>
              <w:t>SONE</w:t>
            </w:r>
            <w:r w:rsidRPr="00E72DBE">
              <w:rPr>
                <w:sz w:val="18"/>
                <w:szCs w:val="18"/>
              </w:rPr>
              <w:t>’. On the outer edge of the coin there is a circular border including 5 stylised representations of a flower and the inscriptions ‘1626 A NEW AND ACCVRAT MAP OF THE WORLD’, ‘COLUMBUS’, ‘DRAKE’, ‘CANDISH’ and ‘MAGELLAN’.</w:t>
            </w:r>
          </w:p>
          <w:p w14:paraId="0544B878" w14:textId="3F5D01AB" w:rsidR="000215E0" w:rsidRPr="00B14CAA" w:rsidRDefault="000215E0" w:rsidP="00E72DBE">
            <w:pPr>
              <w:pStyle w:val="Tablea"/>
              <w:tabs>
                <w:tab w:val="left" w:pos="0"/>
              </w:tabs>
              <w:spacing w:before="0"/>
              <w:ind w:left="0" w:firstLine="0"/>
              <w:rPr>
                <w:sz w:val="18"/>
                <w:szCs w:val="18"/>
              </w:rPr>
            </w:pPr>
          </w:p>
          <w:p w14:paraId="386583EC" w14:textId="77777777" w:rsidR="000215E0" w:rsidRPr="000B6CF7" w:rsidRDefault="000215E0" w:rsidP="000215E0">
            <w:pPr>
              <w:rPr>
                <w:b/>
                <w:sz w:val="18"/>
                <w:szCs w:val="18"/>
              </w:rPr>
            </w:pPr>
            <w:r w:rsidRPr="000B6CF7">
              <w:rPr>
                <w:b/>
                <w:sz w:val="18"/>
                <w:szCs w:val="18"/>
              </w:rPr>
              <w:t>Obverse</w:t>
            </w:r>
            <w:r>
              <w:rPr>
                <w:b/>
                <w:sz w:val="18"/>
                <w:szCs w:val="18"/>
              </w:rPr>
              <w:t xml:space="preserve"> </w:t>
            </w:r>
          </w:p>
          <w:p w14:paraId="07C8C50B" w14:textId="67D1D0CD" w:rsidR="009A7277" w:rsidRDefault="000215E0" w:rsidP="000215E0">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w:t>
            </w:r>
            <w:r>
              <w:rPr>
                <w:sz w:val="18"/>
                <w:szCs w:val="18"/>
              </w:rPr>
              <w:t>, ‘100 DOLLARS’, 2 dots</w:t>
            </w:r>
            <w:r w:rsidRPr="00A83780">
              <w:rPr>
                <w:sz w:val="18"/>
                <w:szCs w:val="18"/>
              </w:rPr>
              <w:t xml:space="preserve"> and the inscription, in numerals, of a year. The obverse design includes the initials of the designer Ian Rank-Broadley ‘IRB’.</w:t>
            </w:r>
          </w:p>
        </w:tc>
      </w:tr>
      <w:tr w:rsidR="009A28C9" w:rsidRPr="00CC2ACD" w14:paraId="2E23F364" w14:textId="77777777" w:rsidTr="00C61082">
        <w:trPr>
          <w:cantSplit/>
        </w:trPr>
        <w:tc>
          <w:tcPr>
            <w:tcW w:w="1101" w:type="dxa"/>
          </w:tcPr>
          <w:p w14:paraId="781D5035" w14:textId="681876E6" w:rsidR="009A28C9" w:rsidRDefault="009A28C9" w:rsidP="009A28C9">
            <w:pPr>
              <w:rPr>
                <w:b/>
                <w:sz w:val="18"/>
                <w:szCs w:val="18"/>
              </w:rPr>
            </w:pPr>
            <w:r>
              <w:rPr>
                <w:b/>
                <w:sz w:val="18"/>
                <w:szCs w:val="18"/>
              </w:rPr>
              <w:lastRenderedPageBreak/>
              <w:t>Item 16</w:t>
            </w:r>
          </w:p>
        </w:tc>
        <w:tc>
          <w:tcPr>
            <w:tcW w:w="7421" w:type="dxa"/>
          </w:tcPr>
          <w:p w14:paraId="7DD82E72" w14:textId="37704E49" w:rsidR="000215E0" w:rsidRDefault="000215E0" w:rsidP="000215E0">
            <w:pPr>
              <w:rPr>
                <w:b/>
                <w:sz w:val="18"/>
                <w:szCs w:val="18"/>
              </w:rPr>
            </w:pPr>
            <w:r>
              <w:rPr>
                <w:b/>
                <w:sz w:val="18"/>
                <w:szCs w:val="18"/>
              </w:rPr>
              <w:t>$5 Silver Concave Coin – Terrestrial Dome – 1626 A New Map of the World</w:t>
            </w:r>
          </w:p>
          <w:p w14:paraId="697ACD30" w14:textId="77777777" w:rsidR="000215E0" w:rsidRDefault="000215E0" w:rsidP="000215E0">
            <w:pPr>
              <w:rPr>
                <w:b/>
                <w:sz w:val="18"/>
                <w:szCs w:val="18"/>
              </w:rPr>
            </w:pPr>
          </w:p>
          <w:p w14:paraId="271E9B5B" w14:textId="77777777" w:rsidR="000215E0" w:rsidRDefault="000215E0" w:rsidP="000215E0">
            <w:pPr>
              <w:rPr>
                <w:b/>
                <w:sz w:val="18"/>
                <w:szCs w:val="18"/>
              </w:rPr>
            </w:pPr>
            <w:r>
              <w:rPr>
                <w:b/>
                <w:sz w:val="18"/>
                <w:szCs w:val="18"/>
              </w:rPr>
              <w:t>Reverse</w:t>
            </w:r>
          </w:p>
          <w:p w14:paraId="23BC356A" w14:textId="2CB5DE26" w:rsidR="00E72DBE" w:rsidRPr="00E72DBE" w:rsidRDefault="00E72DBE" w:rsidP="00E72DBE">
            <w:pPr>
              <w:pStyle w:val="Tablea"/>
              <w:tabs>
                <w:tab w:val="right" w:pos="0"/>
              </w:tabs>
              <w:spacing w:before="0"/>
              <w:ind w:left="0" w:firstLine="0"/>
              <w:rPr>
                <w:sz w:val="18"/>
                <w:szCs w:val="18"/>
              </w:rPr>
            </w:pPr>
            <w:r w:rsidRPr="00E72DBE">
              <w:rPr>
                <w:sz w:val="18"/>
                <w:szCs w:val="18"/>
              </w:rPr>
              <w:t>A representation of a part of a 1626 map of the world including the equator, latitude lines</w:t>
            </w:r>
            <w:r w:rsidR="000278A9">
              <w:rPr>
                <w:sz w:val="18"/>
                <w:szCs w:val="18"/>
              </w:rPr>
              <w:t xml:space="preserve"> and</w:t>
            </w:r>
            <w:r w:rsidRPr="00E72DBE">
              <w:rPr>
                <w:sz w:val="18"/>
                <w:szCs w:val="18"/>
              </w:rPr>
              <w:t xml:space="preserve"> longitude lines, a sea monster partially immersed in water and 2 sailing ships. That map includes the inscriptions ‘America Discovered in 1492 by Christopher Columbus English Circumnavigators 1578 Sir Francis Drake 1586 Mr Thomas Candish’ enclosed by an ornamental border and the inscriptions ‘NORTH’, ‘The Articke Circle’, ‘NORTH AMERICA’, ‘OR MEXICANA’, ‘New Brit’, ‘MAR’, ‘DEL’, ‘The Tropicke of Cancer’, ‘MAR’,‘DEL’, ‘NORT’, ‘The Acquinostial Line’, ‘ZUR’, ‘SOUTH AMERICA’, ‘OR PERU’; ‘THE PACIFICKE SEA’, ‘MAGALLANICA’, ‘1oz .999 A</w:t>
            </w:r>
            <w:r>
              <w:rPr>
                <w:sz w:val="18"/>
                <w:szCs w:val="18"/>
              </w:rPr>
              <w:t>g</w:t>
            </w:r>
            <w:r w:rsidRPr="00E72DBE">
              <w:rPr>
                <w:sz w:val="18"/>
                <w:szCs w:val="18"/>
              </w:rPr>
              <w:t xml:space="preserve">’,‘The Antarcticke Circle’ and ‘SOUTH’. Surrounding that map of the world is a circular border including the inscriptions ‘THE TEMPERATE </w:t>
            </w:r>
            <w:r w:rsidR="00347F62">
              <w:rPr>
                <w:sz w:val="18"/>
                <w:szCs w:val="18"/>
              </w:rPr>
              <w:t>SONE</w:t>
            </w:r>
            <w:r w:rsidRPr="00E72DBE">
              <w:rPr>
                <w:sz w:val="18"/>
                <w:szCs w:val="18"/>
              </w:rPr>
              <w:t xml:space="preserve">’ repeated 4 times, ‘THE NORTH FROSEN </w:t>
            </w:r>
            <w:r w:rsidR="00347F62">
              <w:rPr>
                <w:sz w:val="18"/>
                <w:szCs w:val="18"/>
              </w:rPr>
              <w:t>SONE</w:t>
            </w:r>
            <w:r w:rsidRPr="00E72DBE">
              <w:rPr>
                <w:sz w:val="18"/>
                <w:szCs w:val="18"/>
              </w:rPr>
              <w:t xml:space="preserve">’, ‘THE TORRID </w:t>
            </w:r>
            <w:r w:rsidR="00347F62">
              <w:rPr>
                <w:sz w:val="18"/>
                <w:szCs w:val="18"/>
              </w:rPr>
              <w:t>SONE</w:t>
            </w:r>
            <w:r w:rsidRPr="00E72DBE">
              <w:rPr>
                <w:sz w:val="18"/>
                <w:szCs w:val="18"/>
              </w:rPr>
              <w:t xml:space="preserve">’ repeated 2 times and ‘THE SOUTH FROSEN </w:t>
            </w:r>
            <w:r w:rsidR="00347F62">
              <w:rPr>
                <w:sz w:val="18"/>
                <w:szCs w:val="18"/>
              </w:rPr>
              <w:t>SONE</w:t>
            </w:r>
            <w:r w:rsidRPr="00E72DBE">
              <w:rPr>
                <w:sz w:val="18"/>
                <w:szCs w:val="18"/>
              </w:rPr>
              <w:t>’. On the outer edge of the coin there is a circular border including 5 stylised representations of a flower and the inscriptions ‘1626 A NEW AND ACCVRAT MAP OF THE WORLD’, ‘COLUMBUS’, ‘DRAKE’, ‘CANDISH’ and ‘MAGELLAN’.</w:t>
            </w:r>
          </w:p>
          <w:p w14:paraId="552339F1" w14:textId="77777777" w:rsidR="000215E0" w:rsidRPr="00B14CAA" w:rsidRDefault="000215E0" w:rsidP="000215E0">
            <w:pPr>
              <w:pStyle w:val="TableText"/>
              <w:spacing w:before="0" w:after="0" w:line="240" w:lineRule="auto"/>
              <w:rPr>
                <w:sz w:val="18"/>
                <w:szCs w:val="18"/>
              </w:rPr>
            </w:pPr>
          </w:p>
          <w:p w14:paraId="4372C770" w14:textId="77777777" w:rsidR="000215E0" w:rsidRPr="000B6CF7" w:rsidRDefault="000215E0" w:rsidP="000215E0">
            <w:pPr>
              <w:rPr>
                <w:b/>
                <w:sz w:val="18"/>
                <w:szCs w:val="18"/>
              </w:rPr>
            </w:pPr>
            <w:r w:rsidRPr="000B6CF7">
              <w:rPr>
                <w:b/>
                <w:sz w:val="18"/>
                <w:szCs w:val="18"/>
              </w:rPr>
              <w:t>Obverse</w:t>
            </w:r>
            <w:r>
              <w:rPr>
                <w:b/>
                <w:sz w:val="18"/>
                <w:szCs w:val="18"/>
              </w:rPr>
              <w:t xml:space="preserve"> </w:t>
            </w:r>
          </w:p>
          <w:p w14:paraId="179AF133" w14:textId="5D508F38" w:rsidR="009A28C9" w:rsidRDefault="000215E0" w:rsidP="000215E0">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w:t>
            </w:r>
            <w:r>
              <w:rPr>
                <w:sz w:val="18"/>
                <w:szCs w:val="18"/>
              </w:rPr>
              <w:t>, ‘5 DOLLARS’, 2 dots</w:t>
            </w:r>
            <w:r w:rsidRPr="00A83780">
              <w:rPr>
                <w:sz w:val="18"/>
                <w:szCs w:val="18"/>
              </w:rPr>
              <w:t xml:space="preserve"> and the inscription, in numerals, of a year. The obverse design includes the initials of the designer Ian Rank-Broadley ‘IRB’.</w:t>
            </w:r>
          </w:p>
        </w:tc>
      </w:tr>
      <w:tr w:rsidR="009A28C9" w:rsidRPr="00CC2ACD" w14:paraId="2523E0F8" w14:textId="77777777" w:rsidTr="00C61082">
        <w:trPr>
          <w:cantSplit/>
        </w:trPr>
        <w:tc>
          <w:tcPr>
            <w:tcW w:w="1101" w:type="dxa"/>
          </w:tcPr>
          <w:p w14:paraId="0CD8A38E" w14:textId="610AB295" w:rsidR="009A28C9" w:rsidRDefault="009A28C9" w:rsidP="009A28C9">
            <w:pPr>
              <w:rPr>
                <w:b/>
                <w:sz w:val="18"/>
                <w:szCs w:val="18"/>
              </w:rPr>
            </w:pPr>
            <w:r>
              <w:rPr>
                <w:b/>
                <w:sz w:val="18"/>
                <w:szCs w:val="18"/>
              </w:rPr>
              <w:t>Item 17</w:t>
            </w:r>
          </w:p>
        </w:tc>
        <w:tc>
          <w:tcPr>
            <w:tcW w:w="7421" w:type="dxa"/>
          </w:tcPr>
          <w:p w14:paraId="0BB80BDF" w14:textId="3E64A8FA" w:rsidR="000215E0" w:rsidRDefault="000215E0" w:rsidP="000215E0">
            <w:pPr>
              <w:rPr>
                <w:b/>
                <w:sz w:val="18"/>
                <w:szCs w:val="18"/>
              </w:rPr>
            </w:pPr>
            <w:r>
              <w:rPr>
                <w:b/>
                <w:sz w:val="18"/>
                <w:szCs w:val="18"/>
              </w:rPr>
              <w:t xml:space="preserve">$5 Silver Concave Coin – Terrestrial Dome – 1826 </w:t>
            </w:r>
            <w:r w:rsidR="008C70C0">
              <w:rPr>
                <w:b/>
                <w:sz w:val="18"/>
                <w:szCs w:val="18"/>
              </w:rPr>
              <w:t>Captain Cook’s Tracks</w:t>
            </w:r>
          </w:p>
          <w:p w14:paraId="2EAC2A9A" w14:textId="77777777" w:rsidR="000215E0" w:rsidRDefault="000215E0" w:rsidP="000215E0">
            <w:pPr>
              <w:rPr>
                <w:b/>
                <w:sz w:val="18"/>
                <w:szCs w:val="18"/>
              </w:rPr>
            </w:pPr>
          </w:p>
          <w:p w14:paraId="1DEB1F74" w14:textId="77777777" w:rsidR="000215E0" w:rsidRDefault="000215E0" w:rsidP="000215E0">
            <w:pPr>
              <w:rPr>
                <w:b/>
                <w:sz w:val="18"/>
                <w:szCs w:val="18"/>
              </w:rPr>
            </w:pPr>
            <w:r>
              <w:rPr>
                <w:b/>
                <w:sz w:val="18"/>
                <w:szCs w:val="18"/>
              </w:rPr>
              <w:t>Reverse</w:t>
            </w:r>
          </w:p>
          <w:p w14:paraId="4BBD8E12" w14:textId="77777777" w:rsidR="006A7FBB" w:rsidRPr="006A7FBB" w:rsidRDefault="006A7FBB" w:rsidP="006A7FBB">
            <w:pPr>
              <w:pStyle w:val="Tablea"/>
              <w:tabs>
                <w:tab w:val="right" w:pos="0"/>
              </w:tabs>
              <w:spacing w:before="0"/>
              <w:ind w:left="0" w:firstLine="0"/>
              <w:rPr>
                <w:sz w:val="18"/>
                <w:szCs w:val="18"/>
              </w:rPr>
            </w:pPr>
            <w:r w:rsidRPr="006A7FBB">
              <w:rPr>
                <w:sz w:val="18"/>
                <w:szCs w:val="18"/>
              </w:rPr>
              <w:t>A representation of a part of a 1812 map of the world including the equator, latitude lines, longitude lines, interrupted lines and arrows. The map also includes the inscriptions ‘ATLANTIC OCEAN’, ‘ARCTIC ICY OCEAN’, NORTH PACIFIC OCEAN’, ‘RUSSIAN EMPIRE’, ‘EUROPE’, ‘ASIA’, ‘CHINESE EM’, ‘PERSIA’, ‘CHINA’, ‘INDIA’, ‘SAHARA’, ‘NIGRITIA’, ‘ARABIA’, ‘AFRICA’, ‘POLYNESIA’, ‘ETHIOPIC’, ‘OR’, ‘SOUTHERN OCEAN’, ‘INDIAN SEA’, ‘OR’, ‘INDIAN OCEAN’, ‘TRACK IN 1770/71’, ‘TRACK IN 1776/77’, ‘AUSTRALIA’, ‘NEW HOLLAND’, ‘NEW SOUTH WALES’, ‘SOUTH PACIFIC OCEAN’, ‘ANTARCTIC ICY OCEAN’. That map is enclosed by a circular border including a repetitive linear pattern and ornamental design elements positioned at the top of the coin. The design also includes a dot and the inscriptions ‘1812 A NEW MAP OF THE WORLD’, ‘CAPTAIN COOK’S TRACKS’ and ‘1oz .999 Ag’.</w:t>
            </w:r>
          </w:p>
          <w:p w14:paraId="21C54A87" w14:textId="77777777" w:rsidR="000215E0" w:rsidRPr="00B14CAA" w:rsidRDefault="000215E0" w:rsidP="000215E0">
            <w:pPr>
              <w:pStyle w:val="TableText"/>
              <w:spacing w:before="0" w:after="0" w:line="240" w:lineRule="auto"/>
              <w:rPr>
                <w:sz w:val="18"/>
                <w:szCs w:val="18"/>
              </w:rPr>
            </w:pPr>
          </w:p>
          <w:p w14:paraId="28C8E653" w14:textId="77777777" w:rsidR="000215E0" w:rsidRPr="000B6CF7" w:rsidRDefault="000215E0" w:rsidP="000215E0">
            <w:pPr>
              <w:rPr>
                <w:b/>
                <w:sz w:val="18"/>
                <w:szCs w:val="18"/>
              </w:rPr>
            </w:pPr>
            <w:r w:rsidRPr="000B6CF7">
              <w:rPr>
                <w:b/>
                <w:sz w:val="18"/>
                <w:szCs w:val="18"/>
              </w:rPr>
              <w:t>Obverse</w:t>
            </w:r>
            <w:r>
              <w:rPr>
                <w:b/>
                <w:sz w:val="18"/>
                <w:szCs w:val="18"/>
              </w:rPr>
              <w:t xml:space="preserve"> </w:t>
            </w:r>
          </w:p>
          <w:p w14:paraId="6E07325C" w14:textId="3E38CA5B" w:rsidR="009A28C9" w:rsidRDefault="000215E0" w:rsidP="000215E0">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w:t>
            </w:r>
            <w:r>
              <w:rPr>
                <w:sz w:val="18"/>
                <w:szCs w:val="18"/>
              </w:rPr>
              <w:t>, ‘5 DOLLARS’, 2 dots</w:t>
            </w:r>
            <w:r w:rsidRPr="00A83780">
              <w:rPr>
                <w:sz w:val="18"/>
                <w:szCs w:val="18"/>
              </w:rPr>
              <w:t xml:space="preserve"> and the inscription, in numerals, of a year. The obverse design includes the initials of the designer Ian Rank-Broadley ‘IRB’.</w:t>
            </w:r>
          </w:p>
        </w:tc>
      </w:tr>
      <w:tr w:rsidR="009A28C9" w:rsidRPr="00CC2ACD" w14:paraId="5BA56EF2" w14:textId="77777777" w:rsidTr="00C61082">
        <w:trPr>
          <w:cantSplit/>
        </w:trPr>
        <w:tc>
          <w:tcPr>
            <w:tcW w:w="1101" w:type="dxa"/>
          </w:tcPr>
          <w:p w14:paraId="1A68CF2C" w14:textId="1911B8BF" w:rsidR="009A28C9" w:rsidRDefault="009A28C9" w:rsidP="009A28C9">
            <w:pPr>
              <w:rPr>
                <w:b/>
                <w:sz w:val="18"/>
                <w:szCs w:val="18"/>
              </w:rPr>
            </w:pPr>
            <w:r>
              <w:rPr>
                <w:b/>
                <w:sz w:val="18"/>
                <w:szCs w:val="18"/>
              </w:rPr>
              <w:t>Item 18</w:t>
            </w:r>
          </w:p>
        </w:tc>
        <w:tc>
          <w:tcPr>
            <w:tcW w:w="7421" w:type="dxa"/>
          </w:tcPr>
          <w:p w14:paraId="2AF789EB" w14:textId="167D399B" w:rsidR="009A28C9" w:rsidRDefault="00E10EE4" w:rsidP="009A28C9">
            <w:pPr>
              <w:rPr>
                <w:b/>
                <w:sz w:val="18"/>
                <w:szCs w:val="18"/>
              </w:rPr>
            </w:pPr>
            <w:r>
              <w:rPr>
                <w:b/>
                <w:sz w:val="18"/>
                <w:szCs w:val="18"/>
              </w:rPr>
              <w:t>$2 Copper, Aluminium and Nickel Coin – Maklouf Effigy and ‘30’ Privy Mark</w:t>
            </w:r>
          </w:p>
          <w:p w14:paraId="7572CE6A" w14:textId="77777777" w:rsidR="009A28C9" w:rsidRDefault="009A28C9" w:rsidP="009A28C9">
            <w:pPr>
              <w:rPr>
                <w:b/>
                <w:sz w:val="18"/>
                <w:szCs w:val="18"/>
              </w:rPr>
            </w:pPr>
          </w:p>
          <w:p w14:paraId="5065B4BD" w14:textId="77777777" w:rsidR="009A28C9" w:rsidRDefault="009A28C9" w:rsidP="009A28C9">
            <w:pPr>
              <w:rPr>
                <w:b/>
                <w:sz w:val="18"/>
                <w:szCs w:val="18"/>
              </w:rPr>
            </w:pPr>
            <w:r>
              <w:rPr>
                <w:b/>
                <w:sz w:val="18"/>
                <w:szCs w:val="18"/>
              </w:rPr>
              <w:t>Reverse</w:t>
            </w:r>
          </w:p>
          <w:p w14:paraId="184CC550" w14:textId="12FE83A7" w:rsidR="009A28C9" w:rsidRDefault="00E10EE4" w:rsidP="00E10EE4">
            <w:pPr>
              <w:pStyle w:val="Tablea"/>
              <w:tabs>
                <w:tab w:val="right" w:pos="0"/>
              </w:tabs>
              <w:spacing w:before="0"/>
              <w:ind w:left="0" w:firstLine="0"/>
              <w:rPr>
                <w:sz w:val="18"/>
                <w:szCs w:val="18"/>
              </w:rPr>
            </w:pPr>
            <w:r>
              <w:rPr>
                <w:sz w:val="18"/>
                <w:szCs w:val="18"/>
              </w:rPr>
              <w:t xml:space="preserve">A representation of the head and shoulders of a traditional Australian Aboriginal, the Southern Cross constellation and Australian flora. The design includes the inscription ‘2 DOLLARS’ and the number ‘30’ enclosed by a square. </w:t>
            </w:r>
          </w:p>
          <w:p w14:paraId="490D696C" w14:textId="77777777" w:rsidR="00E10EE4" w:rsidRPr="00B02B3C" w:rsidRDefault="00E10EE4" w:rsidP="00E10EE4">
            <w:pPr>
              <w:pStyle w:val="Tablea"/>
              <w:tabs>
                <w:tab w:val="right" w:pos="0"/>
              </w:tabs>
              <w:spacing w:before="0"/>
              <w:ind w:left="0" w:firstLine="0"/>
              <w:rPr>
                <w:b/>
                <w:sz w:val="18"/>
                <w:szCs w:val="18"/>
              </w:rPr>
            </w:pPr>
          </w:p>
          <w:p w14:paraId="543A4030" w14:textId="77777777" w:rsidR="009A28C9" w:rsidRPr="000B6CF7" w:rsidRDefault="009A28C9" w:rsidP="009A28C9">
            <w:pPr>
              <w:rPr>
                <w:b/>
                <w:sz w:val="18"/>
                <w:szCs w:val="18"/>
              </w:rPr>
            </w:pPr>
            <w:r w:rsidRPr="000B6CF7">
              <w:rPr>
                <w:b/>
                <w:sz w:val="18"/>
                <w:szCs w:val="18"/>
              </w:rPr>
              <w:t>Obverse</w:t>
            </w:r>
            <w:r>
              <w:rPr>
                <w:b/>
                <w:sz w:val="18"/>
                <w:szCs w:val="18"/>
              </w:rPr>
              <w:t xml:space="preserve"> </w:t>
            </w:r>
          </w:p>
          <w:p w14:paraId="41E07997" w14:textId="1F936525" w:rsidR="009A28C9" w:rsidRDefault="009A28C9" w:rsidP="009A28C9">
            <w:pPr>
              <w:rPr>
                <w:b/>
                <w:sz w:val="18"/>
                <w:szCs w:val="18"/>
              </w:rPr>
            </w:pPr>
            <w:r w:rsidRPr="00A83780">
              <w:rPr>
                <w:sz w:val="18"/>
                <w:szCs w:val="18"/>
              </w:rPr>
              <w:t xml:space="preserve">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w:t>
            </w:r>
            <w:r w:rsidR="00E10EE4">
              <w:rPr>
                <w:sz w:val="18"/>
                <w:szCs w:val="18"/>
              </w:rPr>
              <w:t>Raphael David Maklouf ‘RDM’</w:t>
            </w:r>
            <w:r w:rsidRPr="00A83780">
              <w:rPr>
                <w:sz w:val="18"/>
                <w:szCs w:val="18"/>
              </w:rPr>
              <w:t>.</w:t>
            </w:r>
          </w:p>
        </w:tc>
      </w:tr>
      <w:tr w:rsidR="00E10EE4" w:rsidRPr="00CC2ACD" w14:paraId="6AD1C17D" w14:textId="77777777" w:rsidTr="00C61082">
        <w:trPr>
          <w:cantSplit/>
        </w:trPr>
        <w:tc>
          <w:tcPr>
            <w:tcW w:w="1101" w:type="dxa"/>
          </w:tcPr>
          <w:p w14:paraId="26665820" w14:textId="568C8942" w:rsidR="00E10EE4" w:rsidRDefault="00E10EE4" w:rsidP="00E10EE4">
            <w:pPr>
              <w:rPr>
                <w:b/>
                <w:sz w:val="18"/>
                <w:szCs w:val="18"/>
              </w:rPr>
            </w:pPr>
            <w:r>
              <w:rPr>
                <w:b/>
                <w:sz w:val="18"/>
                <w:szCs w:val="18"/>
              </w:rPr>
              <w:lastRenderedPageBreak/>
              <w:t>Item 19</w:t>
            </w:r>
          </w:p>
        </w:tc>
        <w:tc>
          <w:tcPr>
            <w:tcW w:w="7421" w:type="dxa"/>
          </w:tcPr>
          <w:p w14:paraId="69BFCE89" w14:textId="08CEE8B7" w:rsidR="00E10EE4" w:rsidRDefault="00E10EE4" w:rsidP="00E10EE4">
            <w:pPr>
              <w:rPr>
                <w:b/>
                <w:sz w:val="18"/>
                <w:szCs w:val="18"/>
              </w:rPr>
            </w:pPr>
            <w:r>
              <w:rPr>
                <w:b/>
                <w:sz w:val="18"/>
                <w:szCs w:val="18"/>
              </w:rPr>
              <w:t>$2 Copper, Aluminium and Nickel Coin – Ian Rank-Broadley Effigy and ‘30’ Privy Mark</w:t>
            </w:r>
          </w:p>
          <w:p w14:paraId="7E634D42" w14:textId="77777777" w:rsidR="00E10EE4" w:rsidRDefault="00E10EE4" w:rsidP="00E10EE4">
            <w:pPr>
              <w:rPr>
                <w:b/>
                <w:sz w:val="18"/>
                <w:szCs w:val="18"/>
              </w:rPr>
            </w:pPr>
          </w:p>
          <w:p w14:paraId="4297E7F8" w14:textId="77777777" w:rsidR="00E10EE4" w:rsidRDefault="00E10EE4" w:rsidP="00E10EE4">
            <w:pPr>
              <w:rPr>
                <w:b/>
                <w:sz w:val="18"/>
                <w:szCs w:val="18"/>
              </w:rPr>
            </w:pPr>
            <w:r>
              <w:rPr>
                <w:b/>
                <w:sz w:val="18"/>
                <w:szCs w:val="18"/>
              </w:rPr>
              <w:t>Reverse</w:t>
            </w:r>
          </w:p>
          <w:p w14:paraId="58AAECD5" w14:textId="77777777" w:rsidR="00E10EE4" w:rsidRDefault="00E10EE4" w:rsidP="00E10EE4">
            <w:pPr>
              <w:pStyle w:val="Tablea"/>
              <w:tabs>
                <w:tab w:val="right" w:pos="0"/>
              </w:tabs>
              <w:spacing w:before="0"/>
              <w:ind w:left="0" w:firstLine="0"/>
              <w:rPr>
                <w:sz w:val="18"/>
                <w:szCs w:val="18"/>
              </w:rPr>
            </w:pPr>
            <w:r>
              <w:rPr>
                <w:sz w:val="18"/>
                <w:szCs w:val="18"/>
              </w:rPr>
              <w:t xml:space="preserve">A representation of the head and shoulders of a traditional Australian Aboriginal, the Southern Cross constellation and Australian flora. The design includes the inscription ‘2 DOLLARS’ and the number ‘30’ enclosed by a square. </w:t>
            </w:r>
          </w:p>
          <w:p w14:paraId="304C9C1E" w14:textId="77777777" w:rsidR="00E10EE4" w:rsidRPr="00B02B3C" w:rsidRDefault="00E10EE4" w:rsidP="00E10EE4">
            <w:pPr>
              <w:pStyle w:val="Tablea"/>
              <w:tabs>
                <w:tab w:val="right" w:pos="0"/>
              </w:tabs>
              <w:spacing w:before="0"/>
              <w:ind w:left="0" w:firstLine="0"/>
              <w:rPr>
                <w:b/>
                <w:sz w:val="18"/>
                <w:szCs w:val="18"/>
              </w:rPr>
            </w:pPr>
          </w:p>
          <w:p w14:paraId="060E0497" w14:textId="77777777" w:rsidR="00E10EE4" w:rsidRPr="000B6CF7" w:rsidRDefault="00E10EE4" w:rsidP="00E10EE4">
            <w:pPr>
              <w:rPr>
                <w:b/>
                <w:sz w:val="18"/>
                <w:szCs w:val="18"/>
              </w:rPr>
            </w:pPr>
            <w:r w:rsidRPr="000B6CF7">
              <w:rPr>
                <w:b/>
                <w:sz w:val="18"/>
                <w:szCs w:val="18"/>
              </w:rPr>
              <w:t>Obverse</w:t>
            </w:r>
            <w:r>
              <w:rPr>
                <w:b/>
                <w:sz w:val="18"/>
                <w:szCs w:val="18"/>
              </w:rPr>
              <w:t xml:space="preserve"> </w:t>
            </w:r>
          </w:p>
          <w:p w14:paraId="3F4F9346" w14:textId="39ED8A10" w:rsidR="00E10EE4" w:rsidRDefault="00E10EE4" w:rsidP="00E10EE4">
            <w:pPr>
              <w:rPr>
                <w:b/>
                <w:sz w:val="18"/>
                <w:szCs w:val="18"/>
              </w:rPr>
            </w:pPr>
            <w:r w:rsidRPr="00A83780">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E10EE4" w:rsidRPr="00CC2ACD" w14:paraId="07940614" w14:textId="77777777" w:rsidTr="00C61082">
        <w:trPr>
          <w:cantSplit/>
        </w:trPr>
        <w:tc>
          <w:tcPr>
            <w:tcW w:w="1101" w:type="dxa"/>
          </w:tcPr>
          <w:p w14:paraId="693E9708" w14:textId="47B4122D" w:rsidR="00E10EE4" w:rsidRDefault="00E10EE4" w:rsidP="00E10EE4">
            <w:pPr>
              <w:rPr>
                <w:b/>
                <w:sz w:val="18"/>
                <w:szCs w:val="18"/>
              </w:rPr>
            </w:pPr>
            <w:r>
              <w:rPr>
                <w:b/>
                <w:sz w:val="18"/>
                <w:szCs w:val="18"/>
              </w:rPr>
              <w:t>Item 20</w:t>
            </w:r>
          </w:p>
        </w:tc>
        <w:tc>
          <w:tcPr>
            <w:tcW w:w="7421" w:type="dxa"/>
          </w:tcPr>
          <w:p w14:paraId="58202C9F" w14:textId="23868D5D" w:rsidR="00E10EE4" w:rsidRDefault="00E10EE4" w:rsidP="00E10EE4">
            <w:pPr>
              <w:rPr>
                <w:b/>
                <w:sz w:val="18"/>
                <w:szCs w:val="18"/>
              </w:rPr>
            </w:pPr>
            <w:r>
              <w:rPr>
                <w:b/>
                <w:sz w:val="18"/>
                <w:szCs w:val="18"/>
              </w:rPr>
              <w:t xml:space="preserve">$2 Copper, Aluminium and Nickel Coin – </w:t>
            </w:r>
            <w:r w:rsidR="00E612F0">
              <w:rPr>
                <w:b/>
                <w:sz w:val="18"/>
                <w:szCs w:val="18"/>
              </w:rPr>
              <w:t xml:space="preserve">Decimal Currency </w:t>
            </w:r>
            <w:r>
              <w:rPr>
                <w:b/>
                <w:sz w:val="18"/>
                <w:szCs w:val="18"/>
              </w:rPr>
              <w:t>Effigy and ‘30’ Privy Mark</w:t>
            </w:r>
          </w:p>
          <w:p w14:paraId="655CAE05" w14:textId="77777777" w:rsidR="00E10EE4" w:rsidRDefault="00E10EE4" w:rsidP="00E10EE4">
            <w:pPr>
              <w:rPr>
                <w:b/>
                <w:sz w:val="18"/>
                <w:szCs w:val="18"/>
              </w:rPr>
            </w:pPr>
          </w:p>
          <w:p w14:paraId="2F8CE2FD" w14:textId="77777777" w:rsidR="00E10EE4" w:rsidRDefault="00E10EE4" w:rsidP="00E10EE4">
            <w:pPr>
              <w:rPr>
                <w:b/>
                <w:sz w:val="18"/>
                <w:szCs w:val="18"/>
              </w:rPr>
            </w:pPr>
            <w:r>
              <w:rPr>
                <w:b/>
                <w:sz w:val="18"/>
                <w:szCs w:val="18"/>
              </w:rPr>
              <w:t>Reverse</w:t>
            </w:r>
          </w:p>
          <w:p w14:paraId="4AECD056" w14:textId="77777777" w:rsidR="00E10EE4" w:rsidRDefault="00E10EE4" w:rsidP="00E10EE4">
            <w:pPr>
              <w:pStyle w:val="Tablea"/>
              <w:tabs>
                <w:tab w:val="right" w:pos="0"/>
              </w:tabs>
              <w:spacing w:before="0"/>
              <w:ind w:left="0" w:firstLine="0"/>
              <w:rPr>
                <w:sz w:val="18"/>
                <w:szCs w:val="18"/>
              </w:rPr>
            </w:pPr>
            <w:r>
              <w:rPr>
                <w:sz w:val="18"/>
                <w:szCs w:val="18"/>
              </w:rPr>
              <w:t xml:space="preserve">A representation of the head and shoulders of a traditional Australian Aboriginal, the Southern Cross constellation and Australian flora. The design includes the inscription ‘2 DOLLARS’ and the number ‘30’ enclosed by a square. </w:t>
            </w:r>
          </w:p>
          <w:p w14:paraId="7A015791" w14:textId="77777777" w:rsidR="00E10EE4" w:rsidRPr="00B02B3C" w:rsidRDefault="00E10EE4" w:rsidP="00E10EE4">
            <w:pPr>
              <w:pStyle w:val="Tablea"/>
              <w:tabs>
                <w:tab w:val="right" w:pos="0"/>
              </w:tabs>
              <w:spacing w:before="0"/>
              <w:ind w:left="0" w:firstLine="0"/>
              <w:rPr>
                <w:b/>
                <w:sz w:val="18"/>
                <w:szCs w:val="18"/>
              </w:rPr>
            </w:pPr>
          </w:p>
          <w:p w14:paraId="20895E33" w14:textId="77777777" w:rsidR="00E10EE4" w:rsidRPr="000B6CF7" w:rsidRDefault="00E10EE4" w:rsidP="00E10EE4">
            <w:pPr>
              <w:rPr>
                <w:b/>
                <w:sz w:val="18"/>
                <w:szCs w:val="18"/>
              </w:rPr>
            </w:pPr>
            <w:r w:rsidRPr="000B6CF7">
              <w:rPr>
                <w:b/>
                <w:sz w:val="18"/>
                <w:szCs w:val="18"/>
              </w:rPr>
              <w:t>Obverse</w:t>
            </w:r>
            <w:r>
              <w:rPr>
                <w:b/>
                <w:sz w:val="18"/>
                <w:szCs w:val="18"/>
              </w:rPr>
              <w:t xml:space="preserve"> </w:t>
            </w:r>
          </w:p>
          <w:p w14:paraId="2134F47C" w14:textId="52DB854F" w:rsidR="00E10EE4" w:rsidRDefault="00E10EE4" w:rsidP="00B160D9">
            <w:pPr>
              <w:rPr>
                <w:b/>
                <w:sz w:val="18"/>
                <w:szCs w:val="18"/>
              </w:rPr>
            </w:pPr>
            <w:r w:rsidRPr="00A83780">
              <w:rPr>
                <w:sz w:val="18"/>
                <w:szCs w:val="18"/>
              </w:rPr>
              <w:t xml:space="preserve">Consistent with all Australian legal tender coinage, an effigy of Her Majesty Queen Elizabeth II will appear on the obverse side of the coin together with the </w:t>
            </w:r>
            <w:r w:rsidR="00E612F0" w:rsidRPr="00A83780">
              <w:rPr>
                <w:sz w:val="18"/>
                <w:szCs w:val="18"/>
              </w:rPr>
              <w:t>initials of the designer Ian Rank-Broadley ‘IRB’</w:t>
            </w:r>
            <w:r w:rsidR="00E612F0">
              <w:rPr>
                <w:sz w:val="18"/>
                <w:szCs w:val="18"/>
              </w:rPr>
              <w:t xml:space="preserve">. The design features a stylised representation of an Australian crown coin as it appeared in 1938, omitting the year and the denomination. The design includes the inscriptions </w:t>
            </w:r>
            <w:r w:rsidRPr="00A83780">
              <w:rPr>
                <w:sz w:val="18"/>
                <w:szCs w:val="18"/>
              </w:rPr>
              <w:t>‘ELIZABETH II’, ‘AUSTRALIA’</w:t>
            </w:r>
            <w:r w:rsidR="00E612F0">
              <w:rPr>
                <w:sz w:val="18"/>
                <w:szCs w:val="18"/>
              </w:rPr>
              <w:t xml:space="preserve">, ‘FIFTY YEARS’, </w:t>
            </w:r>
            <w:r w:rsidR="00B160D9">
              <w:rPr>
                <w:sz w:val="18"/>
                <w:szCs w:val="18"/>
              </w:rPr>
              <w:t>1 dot</w:t>
            </w:r>
            <w:r w:rsidRPr="00A83780">
              <w:rPr>
                <w:sz w:val="18"/>
                <w:szCs w:val="18"/>
              </w:rPr>
              <w:t xml:space="preserve"> and the inscription, in numerals, of a year. </w:t>
            </w:r>
            <w:r w:rsidR="00E612F0">
              <w:rPr>
                <w:sz w:val="18"/>
                <w:szCs w:val="18"/>
              </w:rPr>
              <w:t xml:space="preserve">The obverse design is enclosed by an ornamental border. </w:t>
            </w:r>
          </w:p>
        </w:tc>
      </w:tr>
    </w:tbl>
    <w:p w14:paraId="1C7AC113" w14:textId="77777777" w:rsidR="0084219E" w:rsidRDefault="0084219E" w:rsidP="00DD0589">
      <w:pPr>
        <w:outlineLvl w:val="0"/>
        <w:rPr>
          <w:b/>
          <w:bCs/>
        </w:rPr>
      </w:pPr>
    </w:p>
    <w:p w14:paraId="0B2A6DAB" w14:textId="77777777" w:rsidR="00922802" w:rsidRDefault="00922802" w:rsidP="00DD0589">
      <w:pPr>
        <w:outlineLvl w:val="0"/>
        <w:rPr>
          <w:b/>
          <w:bCs/>
        </w:rPr>
      </w:pPr>
    </w:p>
    <w:p w14:paraId="12CE1EF8" w14:textId="7BC9D40D" w:rsidR="00DD0589" w:rsidRPr="00651F58" w:rsidRDefault="00DD0589" w:rsidP="00DD0589">
      <w:pPr>
        <w:outlineLvl w:val="0"/>
        <w:rPr>
          <w:b/>
          <w:bCs/>
        </w:rPr>
      </w:pPr>
      <w:r w:rsidRPr="00651F58">
        <w:rPr>
          <w:b/>
          <w:bCs/>
        </w:rPr>
        <w:t>Consultation</w:t>
      </w:r>
    </w:p>
    <w:p w14:paraId="0886CB37" w14:textId="77777777" w:rsidR="00AC060F" w:rsidRDefault="00DD0589" w:rsidP="00DD0589">
      <w:r w:rsidRPr="00651F58">
        <w:t xml:space="preserve">No public consultation was undertaken in relation to the currency determination. The effect of this instrument is to determine the </w:t>
      </w:r>
      <w:r>
        <w:t xml:space="preserve">denomination, </w:t>
      </w:r>
      <w:r w:rsidRPr="00651F58">
        <w:t xml:space="preserve">weight, design and dimension of coins to enable the Royal Australian Mint to continue its production of circulating and numismatic coins. The Mint receives public submissions on coin designs and determines appropriate designs in accordance with its Coin Design Policy. The Mint used market based tools to identify interested parties and gauge interest in coin themes. </w:t>
      </w:r>
    </w:p>
    <w:p w14:paraId="362EBC85" w14:textId="77777777" w:rsidR="00F63C51" w:rsidRDefault="00F63C51" w:rsidP="00DD0589">
      <w:pPr>
        <w:outlineLvl w:val="0"/>
        <w:rPr>
          <w:b/>
        </w:rPr>
      </w:pPr>
    </w:p>
    <w:p w14:paraId="3A03155B" w14:textId="77777777" w:rsidR="00DD0589" w:rsidRPr="00651F58" w:rsidRDefault="00DD0589" w:rsidP="00DD0589">
      <w:pPr>
        <w:outlineLvl w:val="0"/>
        <w:rPr>
          <w:b/>
        </w:rPr>
      </w:pPr>
      <w:r w:rsidRPr="00651F58">
        <w:rPr>
          <w:b/>
        </w:rPr>
        <w:t>Commencement</w:t>
      </w:r>
    </w:p>
    <w:p w14:paraId="23571223" w14:textId="77777777" w:rsidR="00DD0589" w:rsidRPr="00651F58" w:rsidRDefault="00DD0589" w:rsidP="00DD0589">
      <w:pPr>
        <w:outlineLvl w:val="0"/>
        <w:rPr>
          <w:b/>
        </w:rPr>
      </w:pPr>
      <w:r w:rsidRPr="00651F58">
        <w:t>The determination commences on the day after it is registered.</w:t>
      </w:r>
      <w:r w:rsidRPr="00651F58">
        <w:rPr>
          <w:b/>
        </w:rPr>
        <w:t xml:space="preserve"> </w:t>
      </w:r>
    </w:p>
    <w:p w14:paraId="5E5F8687" w14:textId="77777777" w:rsidR="00DD0589" w:rsidRDefault="00DD0589" w:rsidP="00DD0589">
      <w:pPr>
        <w:rPr>
          <w:b/>
        </w:rPr>
      </w:pPr>
    </w:p>
    <w:p w14:paraId="11B8E3A1" w14:textId="77777777" w:rsidR="00DD0589" w:rsidRPr="00651F58" w:rsidRDefault="00DD0589" w:rsidP="00DD0589">
      <w:pPr>
        <w:rPr>
          <w:b/>
        </w:rPr>
      </w:pPr>
      <w:r w:rsidRPr="00651F58">
        <w:rPr>
          <w:b/>
        </w:rPr>
        <w:t>Statement of Compatibility with Human Rights</w:t>
      </w:r>
    </w:p>
    <w:p w14:paraId="7D015141" w14:textId="588B4772" w:rsidR="004C3987" w:rsidRPr="0065347C" w:rsidRDefault="00DD0589" w:rsidP="0065347C">
      <w:r w:rsidRPr="00651F58">
        <w:t xml:space="preserve">This instrument is compatible with the human rights and freedoms recognised or declared in the international instruments listed in section 3 of the </w:t>
      </w:r>
      <w:r w:rsidRPr="00651F58">
        <w:rPr>
          <w:i/>
        </w:rPr>
        <w:t>Human Rights (Parliamentary Scrutiny) Act 2011</w:t>
      </w:r>
      <w:r w:rsidRPr="00651F58">
        <w:t>. The purpose of</w:t>
      </w:r>
      <w:r w:rsidRPr="00A028DB">
        <w:t xml:space="preserve"> the </w:t>
      </w:r>
      <w:r w:rsidR="00562D3D">
        <w:rPr>
          <w:i/>
        </w:rPr>
        <w:t xml:space="preserve">Currency (Royal Australian Mint) Determination (No. </w:t>
      </w:r>
      <w:r w:rsidR="00FB7656">
        <w:rPr>
          <w:i/>
        </w:rPr>
        <w:t>3</w:t>
      </w:r>
      <w:r w:rsidR="00562D3D">
        <w:rPr>
          <w:i/>
        </w:rPr>
        <w:t>) 201</w:t>
      </w:r>
      <w:r w:rsidR="009226CC">
        <w:rPr>
          <w:i/>
        </w:rPr>
        <w:t>8</w:t>
      </w:r>
      <w:r w:rsidRPr="00651F58">
        <w:t xml:space="preserve"> is to determine the</w:t>
      </w:r>
      <w:r>
        <w:t xml:space="preserve"> denomination, </w:t>
      </w:r>
      <w:r w:rsidRPr="00651F58">
        <w:t xml:space="preserve">weight, design and dimension of circulating and numismatic coins. This instrument does not engage any of the applicable rights or freedoms. This instrument is compatible with human rights as it does not raise any human rights issues. This determination has been made by the </w:t>
      </w:r>
      <w:r w:rsidR="009226CC">
        <w:t>Assistant Minister to the Treasurer</w:t>
      </w:r>
      <w:r w:rsidR="00EF7203">
        <w:t>,</w:t>
      </w:r>
      <w:r w:rsidRPr="00651F58">
        <w:t xml:space="preserve"> in accordance with </w:t>
      </w:r>
      <w:r>
        <w:t xml:space="preserve">paragraph 13(2)(b) and </w:t>
      </w:r>
      <w:r w:rsidRPr="0065347C">
        <w:t xml:space="preserve">subsection 13A(1) </w:t>
      </w:r>
      <w:r w:rsidRPr="00651F58">
        <w:t xml:space="preserve">of the </w:t>
      </w:r>
      <w:r w:rsidRPr="00651F58">
        <w:rPr>
          <w:i/>
        </w:rPr>
        <w:t>Currency Act 1965.</w:t>
      </w:r>
    </w:p>
    <w:sectPr w:rsidR="004C3987" w:rsidRPr="0065347C" w:rsidSect="00776ACE">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1440" w:right="1797" w:bottom="1440" w:left="1797"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EC94C7" w16cid:durableId="1EB2F667"/>
  <w16cid:commentId w16cid:paraId="4DCBFA7D" w16cid:durableId="1EB2F799"/>
  <w16cid:commentId w16cid:paraId="0E7CC124" w16cid:durableId="1EB2F7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F970D" w14:textId="77777777" w:rsidR="00F565FE" w:rsidRDefault="00F565FE">
      <w:r>
        <w:separator/>
      </w:r>
    </w:p>
  </w:endnote>
  <w:endnote w:type="continuationSeparator" w:id="0">
    <w:p w14:paraId="3BCA7786" w14:textId="77777777" w:rsidR="00F565FE" w:rsidRDefault="00F5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48F9E" w14:textId="77777777" w:rsidR="00443805" w:rsidRDefault="00443805" w:rsidP="0065347C">
    <w:pPr>
      <w:pStyle w:val="Subtitle"/>
      <w:spacing w:before="20"/>
      <w:rPr>
        <w:b/>
        <w:i/>
        <w:sz w:val="18"/>
        <w:szCs w:val="18"/>
      </w:rPr>
    </w:pPr>
    <w:r w:rsidRPr="00CA4223">
      <w:rPr>
        <w:i/>
        <w:sz w:val="18"/>
        <w:szCs w:val="18"/>
      </w:rPr>
      <w:tab/>
    </w:r>
  </w:p>
  <w:p w14:paraId="23A6845B" w14:textId="77777777" w:rsidR="00443805" w:rsidRPr="0065347C" w:rsidRDefault="00443805" w:rsidP="0065347C">
    <w:pPr>
      <w:pStyle w:val="Subtitle"/>
      <w:spacing w:before="20"/>
      <w:rPr>
        <w:rFonts w:ascii="Times New Roman" w:hAnsi="Times New Roman" w:cs="Times New Roman"/>
        <w:b/>
        <w:i/>
        <w:sz w:val="18"/>
        <w:szCs w:val="18"/>
      </w:rPr>
    </w:pPr>
    <w:r w:rsidRPr="0065347C">
      <w:rPr>
        <w:rFonts w:ascii="Times New Roman" w:hAnsi="Times New Roman" w:cs="Times New Roman"/>
        <w:b/>
        <w:i/>
        <w:sz w:val="18"/>
        <w:szCs w:val="18"/>
      </w:rPr>
      <w:t>Explanatory Statement</w:t>
    </w:r>
  </w:p>
  <w:p w14:paraId="4630565F" w14:textId="74246D01" w:rsidR="00443805" w:rsidRPr="0065347C" w:rsidRDefault="00443805" w:rsidP="0065347C">
    <w:pPr>
      <w:pStyle w:val="Subtitle"/>
      <w:spacing w:before="20"/>
      <w:rPr>
        <w:rFonts w:ascii="Times New Roman" w:hAnsi="Times New Roman" w:cs="Times New Roman"/>
        <w:b/>
        <w:i/>
        <w:sz w:val="18"/>
        <w:szCs w:val="18"/>
      </w:rPr>
    </w:pPr>
    <w:r w:rsidRPr="0065347C">
      <w:rPr>
        <w:rFonts w:ascii="Times New Roman" w:hAnsi="Times New Roman" w:cs="Times New Roman"/>
        <w:b/>
        <w:i/>
        <w:sz w:val="18"/>
        <w:szCs w:val="18"/>
      </w:rPr>
      <w:t xml:space="preserve">Currency Act 1965 - Currency (Royal Australian Mint) Determination </w:t>
    </w:r>
    <w:r>
      <w:rPr>
        <w:rFonts w:ascii="Times New Roman" w:hAnsi="Times New Roman" w:cs="Times New Roman"/>
        <w:b/>
        <w:i/>
        <w:sz w:val="18"/>
        <w:szCs w:val="18"/>
      </w:rPr>
      <w:t>(No. 3) 2018</w:t>
    </w:r>
  </w:p>
  <w:p w14:paraId="476E6702" w14:textId="476EA8C3" w:rsidR="00443805" w:rsidRPr="0065347C" w:rsidRDefault="00443805" w:rsidP="0065347C">
    <w:pPr>
      <w:pStyle w:val="Footer"/>
      <w:jc w:val="right"/>
      <w:rPr>
        <w:rFonts w:ascii="Times New Roman" w:hAnsi="Times New Roman"/>
        <w:b/>
        <w:lang w:val="en-US"/>
      </w:rPr>
    </w:pPr>
    <w:r w:rsidRPr="0065347C">
      <w:rPr>
        <w:rStyle w:val="PageNumber"/>
        <w:rFonts w:ascii="Times New Roman" w:hAnsi="Times New Roman"/>
        <w:b/>
        <w:sz w:val="18"/>
      </w:rPr>
      <w:fldChar w:fldCharType="begin"/>
    </w:r>
    <w:r w:rsidRPr="0065347C">
      <w:rPr>
        <w:rStyle w:val="PageNumber"/>
        <w:rFonts w:ascii="Times New Roman" w:hAnsi="Times New Roman"/>
        <w:b/>
        <w:sz w:val="18"/>
      </w:rPr>
      <w:instrText xml:space="preserve"> PAGE </w:instrText>
    </w:r>
    <w:r w:rsidRPr="0065347C">
      <w:rPr>
        <w:rStyle w:val="PageNumber"/>
        <w:rFonts w:ascii="Times New Roman" w:hAnsi="Times New Roman"/>
        <w:b/>
        <w:sz w:val="18"/>
      </w:rPr>
      <w:fldChar w:fldCharType="separate"/>
    </w:r>
    <w:r w:rsidR="006504AA">
      <w:rPr>
        <w:rStyle w:val="PageNumber"/>
        <w:rFonts w:ascii="Times New Roman" w:hAnsi="Times New Roman"/>
        <w:b/>
        <w:noProof/>
        <w:sz w:val="18"/>
      </w:rPr>
      <w:t>2</w:t>
    </w:r>
    <w:r w:rsidRPr="0065347C">
      <w:rPr>
        <w:rStyle w:val="PageNumber"/>
        <w:rFonts w:ascii="Times New Roman" w:hAnsi="Times New Roman"/>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E3850" w14:textId="77777777" w:rsidR="00443805" w:rsidRDefault="00443805" w:rsidP="0065347C">
    <w:pPr>
      <w:pStyle w:val="Subtitle"/>
      <w:spacing w:before="20"/>
      <w:rPr>
        <w:b/>
        <w:i/>
        <w:sz w:val="18"/>
        <w:szCs w:val="18"/>
      </w:rPr>
    </w:pPr>
    <w:r w:rsidRPr="00CA4223">
      <w:rPr>
        <w:i/>
        <w:sz w:val="18"/>
        <w:szCs w:val="18"/>
      </w:rPr>
      <w:tab/>
    </w:r>
  </w:p>
  <w:p w14:paraId="60A333FF" w14:textId="77777777" w:rsidR="00443805" w:rsidRPr="0065347C" w:rsidRDefault="00443805" w:rsidP="0065347C">
    <w:pPr>
      <w:pStyle w:val="Subtitle"/>
      <w:spacing w:before="20"/>
      <w:rPr>
        <w:rFonts w:ascii="Times New Roman" w:hAnsi="Times New Roman" w:cs="Times New Roman"/>
        <w:b/>
        <w:i/>
        <w:sz w:val="18"/>
        <w:szCs w:val="18"/>
      </w:rPr>
    </w:pPr>
    <w:r w:rsidRPr="0065347C">
      <w:rPr>
        <w:rFonts w:ascii="Times New Roman" w:hAnsi="Times New Roman" w:cs="Times New Roman"/>
        <w:b/>
        <w:i/>
        <w:sz w:val="18"/>
        <w:szCs w:val="18"/>
      </w:rPr>
      <w:t>Explanatory Statement</w:t>
    </w:r>
  </w:p>
  <w:p w14:paraId="700E9CCB" w14:textId="2729DD46" w:rsidR="00443805" w:rsidRPr="0065347C" w:rsidRDefault="00443805" w:rsidP="0065347C">
    <w:pPr>
      <w:pStyle w:val="Subtitle"/>
      <w:spacing w:before="20"/>
      <w:rPr>
        <w:rFonts w:ascii="Times New Roman" w:hAnsi="Times New Roman" w:cs="Times New Roman"/>
        <w:b/>
        <w:i/>
        <w:sz w:val="18"/>
        <w:szCs w:val="18"/>
      </w:rPr>
    </w:pPr>
    <w:r w:rsidRPr="0065347C">
      <w:rPr>
        <w:rFonts w:ascii="Times New Roman" w:hAnsi="Times New Roman" w:cs="Times New Roman"/>
        <w:b/>
        <w:i/>
        <w:sz w:val="18"/>
        <w:szCs w:val="18"/>
      </w:rPr>
      <w:t xml:space="preserve">Currency Act 1965 - Currency (Royal Australian Mint) Determination </w:t>
    </w:r>
    <w:r>
      <w:rPr>
        <w:rFonts w:ascii="Times New Roman" w:hAnsi="Times New Roman" w:cs="Times New Roman"/>
        <w:b/>
        <w:i/>
        <w:sz w:val="18"/>
        <w:szCs w:val="18"/>
      </w:rPr>
      <w:t xml:space="preserve">(No. 3) </w:t>
    </w:r>
    <w:r w:rsidRPr="0065347C">
      <w:rPr>
        <w:rFonts w:ascii="Times New Roman" w:hAnsi="Times New Roman" w:cs="Times New Roman"/>
        <w:b/>
        <w:i/>
        <w:sz w:val="18"/>
        <w:szCs w:val="18"/>
      </w:rPr>
      <w:t>201</w:t>
    </w:r>
    <w:r>
      <w:rPr>
        <w:rFonts w:ascii="Times New Roman" w:hAnsi="Times New Roman" w:cs="Times New Roman"/>
        <w:b/>
        <w:i/>
        <w:sz w:val="18"/>
        <w:szCs w:val="18"/>
      </w:rPr>
      <w:t>8</w:t>
    </w:r>
  </w:p>
  <w:p w14:paraId="7BA20BCF" w14:textId="0E44DD18" w:rsidR="00443805" w:rsidRPr="0065347C" w:rsidRDefault="00443805" w:rsidP="0065347C">
    <w:pPr>
      <w:pStyle w:val="Footer"/>
      <w:jc w:val="right"/>
      <w:rPr>
        <w:rFonts w:ascii="Times New Roman" w:hAnsi="Times New Roman"/>
        <w:b/>
        <w:lang w:val="en-US"/>
      </w:rPr>
    </w:pPr>
    <w:r w:rsidRPr="0065347C">
      <w:rPr>
        <w:rStyle w:val="PageNumber"/>
        <w:rFonts w:ascii="Times New Roman" w:hAnsi="Times New Roman"/>
        <w:b/>
        <w:sz w:val="18"/>
      </w:rPr>
      <w:fldChar w:fldCharType="begin"/>
    </w:r>
    <w:r w:rsidRPr="0065347C">
      <w:rPr>
        <w:rStyle w:val="PageNumber"/>
        <w:rFonts w:ascii="Times New Roman" w:hAnsi="Times New Roman"/>
        <w:b/>
        <w:sz w:val="18"/>
      </w:rPr>
      <w:instrText xml:space="preserve"> PAGE </w:instrText>
    </w:r>
    <w:r w:rsidRPr="0065347C">
      <w:rPr>
        <w:rStyle w:val="PageNumber"/>
        <w:rFonts w:ascii="Times New Roman" w:hAnsi="Times New Roman"/>
        <w:b/>
        <w:sz w:val="18"/>
      </w:rPr>
      <w:fldChar w:fldCharType="separate"/>
    </w:r>
    <w:r w:rsidR="006504AA">
      <w:rPr>
        <w:rStyle w:val="PageNumber"/>
        <w:rFonts w:ascii="Times New Roman" w:hAnsi="Times New Roman"/>
        <w:b/>
        <w:noProof/>
        <w:sz w:val="18"/>
      </w:rPr>
      <w:t>7</w:t>
    </w:r>
    <w:r w:rsidRPr="0065347C">
      <w:rPr>
        <w:rStyle w:val="PageNumber"/>
        <w:rFonts w:ascii="Times New Roman" w:hAnsi="Times New Roman"/>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365B3" w14:textId="77777777" w:rsidR="00443805" w:rsidRDefault="00443805" w:rsidP="0065347C">
    <w:pPr>
      <w:pStyle w:val="Subtitle"/>
      <w:spacing w:before="20"/>
      <w:rPr>
        <w:b/>
        <w:i/>
        <w:sz w:val="18"/>
        <w:szCs w:val="18"/>
      </w:rPr>
    </w:pPr>
    <w:r w:rsidRPr="00CA4223">
      <w:rPr>
        <w:i/>
        <w:sz w:val="18"/>
        <w:szCs w:val="18"/>
      </w:rPr>
      <w:tab/>
    </w:r>
  </w:p>
  <w:p w14:paraId="7341503A" w14:textId="77777777" w:rsidR="00443805" w:rsidRPr="0065347C" w:rsidRDefault="00443805" w:rsidP="0065347C">
    <w:pPr>
      <w:pStyle w:val="Subtitle"/>
      <w:spacing w:before="20"/>
      <w:rPr>
        <w:rFonts w:ascii="Times New Roman" w:hAnsi="Times New Roman" w:cs="Times New Roman"/>
        <w:b/>
        <w:i/>
        <w:sz w:val="18"/>
        <w:szCs w:val="18"/>
      </w:rPr>
    </w:pPr>
    <w:r w:rsidRPr="0065347C">
      <w:rPr>
        <w:rFonts w:ascii="Times New Roman" w:hAnsi="Times New Roman" w:cs="Times New Roman"/>
        <w:b/>
        <w:i/>
        <w:sz w:val="18"/>
        <w:szCs w:val="18"/>
      </w:rPr>
      <w:t>Explanatory Statement</w:t>
    </w:r>
  </w:p>
  <w:p w14:paraId="2BAFB6DC" w14:textId="36B86886" w:rsidR="00443805" w:rsidRPr="0065347C" w:rsidRDefault="00443805" w:rsidP="0065347C">
    <w:pPr>
      <w:pStyle w:val="Subtitle"/>
      <w:spacing w:before="20"/>
      <w:rPr>
        <w:rFonts w:ascii="Times New Roman" w:hAnsi="Times New Roman" w:cs="Times New Roman"/>
        <w:b/>
        <w:i/>
        <w:sz w:val="18"/>
        <w:szCs w:val="18"/>
      </w:rPr>
    </w:pPr>
    <w:r w:rsidRPr="0065347C">
      <w:rPr>
        <w:rFonts w:ascii="Times New Roman" w:hAnsi="Times New Roman" w:cs="Times New Roman"/>
        <w:b/>
        <w:i/>
        <w:sz w:val="18"/>
        <w:szCs w:val="18"/>
      </w:rPr>
      <w:t xml:space="preserve">Currency Act 1965 - Currency (Royal Australian Mint) Determination </w:t>
    </w:r>
    <w:r>
      <w:rPr>
        <w:rFonts w:ascii="Times New Roman" w:hAnsi="Times New Roman" w:cs="Times New Roman"/>
        <w:b/>
        <w:i/>
        <w:sz w:val="18"/>
        <w:szCs w:val="18"/>
      </w:rPr>
      <w:t xml:space="preserve">(No. 3) </w:t>
    </w:r>
    <w:r w:rsidRPr="0065347C">
      <w:rPr>
        <w:rFonts w:ascii="Times New Roman" w:hAnsi="Times New Roman" w:cs="Times New Roman"/>
        <w:b/>
        <w:i/>
        <w:sz w:val="18"/>
        <w:szCs w:val="18"/>
      </w:rPr>
      <w:t>201</w:t>
    </w:r>
    <w:r>
      <w:rPr>
        <w:rFonts w:ascii="Times New Roman" w:hAnsi="Times New Roman" w:cs="Times New Roman"/>
        <w:b/>
        <w:i/>
        <w:sz w:val="18"/>
        <w:szCs w:val="18"/>
      </w:rPr>
      <w:t>8</w:t>
    </w:r>
  </w:p>
  <w:p w14:paraId="0F06DE15" w14:textId="79370C52" w:rsidR="00443805" w:rsidRPr="0065347C" w:rsidRDefault="00443805" w:rsidP="0065347C">
    <w:pPr>
      <w:pStyle w:val="Footer"/>
      <w:jc w:val="right"/>
      <w:rPr>
        <w:rFonts w:ascii="Times New Roman" w:hAnsi="Times New Roman"/>
        <w:b/>
        <w:lang w:val="en-US"/>
      </w:rPr>
    </w:pPr>
    <w:r w:rsidRPr="0065347C">
      <w:rPr>
        <w:rStyle w:val="PageNumber"/>
        <w:rFonts w:ascii="Times New Roman" w:hAnsi="Times New Roman"/>
        <w:b/>
        <w:sz w:val="18"/>
      </w:rPr>
      <w:fldChar w:fldCharType="begin"/>
    </w:r>
    <w:r w:rsidRPr="0065347C">
      <w:rPr>
        <w:rStyle w:val="PageNumber"/>
        <w:rFonts w:ascii="Times New Roman" w:hAnsi="Times New Roman"/>
        <w:b/>
        <w:sz w:val="18"/>
      </w:rPr>
      <w:instrText xml:space="preserve"> PAGE </w:instrText>
    </w:r>
    <w:r w:rsidRPr="0065347C">
      <w:rPr>
        <w:rStyle w:val="PageNumber"/>
        <w:rFonts w:ascii="Times New Roman" w:hAnsi="Times New Roman"/>
        <w:b/>
        <w:sz w:val="18"/>
      </w:rPr>
      <w:fldChar w:fldCharType="separate"/>
    </w:r>
    <w:r w:rsidR="006504AA">
      <w:rPr>
        <w:rStyle w:val="PageNumber"/>
        <w:rFonts w:ascii="Times New Roman" w:hAnsi="Times New Roman"/>
        <w:b/>
        <w:noProof/>
        <w:sz w:val="18"/>
      </w:rPr>
      <w:t>1</w:t>
    </w:r>
    <w:r w:rsidRPr="0065347C">
      <w:rPr>
        <w:rStyle w:val="PageNumber"/>
        <w:rFonts w:ascii="Times New Roman" w:hAnsi="Times New Roman"/>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618F8" w14:textId="77777777" w:rsidR="00F565FE" w:rsidRDefault="00F565FE">
      <w:r>
        <w:separator/>
      </w:r>
    </w:p>
  </w:footnote>
  <w:footnote w:type="continuationSeparator" w:id="0">
    <w:p w14:paraId="031913F9" w14:textId="77777777" w:rsidR="00F565FE" w:rsidRDefault="00F56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8E8CB" w14:textId="77777777" w:rsidR="00443805" w:rsidRPr="0065347C" w:rsidRDefault="00443805" w:rsidP="0065347C">
    <w:pPr>
      <w:pStyle w:val="Title"/>
      <w:jc w:val="right"/>
      <w:rPr>
        <w:rFonts w:ascii="Times New Roman" w:hAnsi="Times New Roman" w:cs="Times New Roman"/>
        <w:sz w:val="20"/>
        <w:szCs w:val="20"/>
      </w:rPr>
    </w:pPr>
    <w:r w:rsidRPr="0065347C">
      <w:rPr>
        <w:rFonts w:ascii="Times New Roman" w:hAnsi="Times New Roman" w:cs="Times New Roman"/>
        <w:sz w:val="20"/>
        <w:szCs w:val="20"/>
      </w:rPr>
      <w:t>ATTACHMENT B</w:t>
    </w:r>
  </w:p>
  <w:p w14:paraId="7B575995" w14:textId="77777777" w:rsidR="00443805" w:rsidRPr="0065347C" w:rsidRDefault="00443805" w:rsidP="00653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16586" w14:textId="77777777" w:rsidR="00443805" w:rsidRDefault="00443805" w:rsidP="0065347C">
    <w:pPr>
      <w:pStyle w:val="Title"/>
      <w:jc w:val="right"/>
      <w:rPr>
        <w:rFonts w:ascii="Times New Roman" w:hAnsi="Times New Roman" w:cs="Times New Roman"/>
        <w:sz w:val="20"/>
        <w:szCs w:val="20"/>
      </w:rPr>
    </w:pPr>
    <w:r w:rsidRPr="0065347C">
      <w:rPr>
        <w:rFonts w:ascii="Times New Roman" w:hAnsi="Times New Roman" w:cs="Times New Roman"/>
        <w:sz w:val="20"/>
        <w:szCs w:val="20"/>
      </w:rPr>
      <w:t>ATTACHMENT B</w:t>
    </w:r>
  </w:p>
  <w:p w14:paraId="6F40C2CF" w14:textId="77777777" w:rsidR="00443805" w:rsidRPr="0065347C" w:rsidRDefault="00443805" w:rsidP="0065347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89F53" w14:textId="77777777" w:rsidR="00443805" w:rsidRPr="0065347C" w:rsidRDefault="00443805" w:rsidP="0065347C">
    <w:pPr>
      <w:pStyle w:val="Title"/>
      <w:jc w:val="right"/>
      <w:rPr>
        <w:rFonts w:ascii="Times New Roman" w:hAnsi="Times New Roman" w:cs="Times New Roman"/>
        <w:sz w:val="20"/>
        <w:szCs w:val="20"/>
      </w:rPr>
    </w:pPr>
    <w:r w:rsidRPr="0065347C">
      <w:rPr>
        <w:rFonts w:ascii="Times New Roman" w:hAnsi="Times New Roman" w:cs="Times New Roman"/>
        <w:sz w:val="20"/>
        <w:szCs w:val="20"/>
      </w:rPr>
      <w:t>ATTACHMENT B</w:t>
    </w:r>
  </w:p>
  <w:p w14:paraId="5C551442" w14:textId="77777777" w:rsidR="00443805" w:rsidRDefault="00443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9CA"/>
    <w:multiLevelType w:val="multilevel"/>
    <w:tmpl w:val="BE44C77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70427D"/>
    <w:multiLevelType w:val="hybridMultilevel"/>
    <w:tmpl w:val="E7AE85E2"/>
    <w:lvl w:ilvl="0" w:tplc="BAE2FDB0">
      <w:start w:val="1"/>
      <w:numFmt w:val="lowerRoman"/>
      <w:lvlText w:val="(%1)"/>
      <w:lvlJc w:val="righ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C7B4437"/>
    <w:multiLevelType w:val="hybridMultilevel"/>
    <w:tmpl w:val="7AB058F4"/>
    <w:lvl w:ilvl="0" w:tplc="DF1CC058">
      <w:start w:val="1"/>
      <w:numFmt w:val="lowerRoman"/>
      <w:lvlText w:val="(%1)"/>
      <w:lvlJc w:val="righ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B6425B0"/>
    <w:multiLevelType w:val="hybridMultilevel"/>
    <w:tmpl w:val="20E20A26"/>
    <w:lvl w:ilvl="0" w:tplc="D5F26344">
      <w:start w:val="1"/>
      <w:numFmt w:val="lowerRoman"/>
      <w:lvlText w:val="(%1)"/>
      <w:lvlJc w:val="right"/>
      <w:pPr>
        <w:ind w:left="1004" w:hanging="720"/>
      </w:pPr>
      <w:rPr>
        <w:rFonts w:ascii="Times New Roman" w:eastAsia="Times New Roman" w:hAnsi="Times New Roman" w:cs="Times New Roman"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3B7079EC"/>
    <w:multiLevelType w:val="hybridMultilevel"/>
    <w:tmpl w:val="7AB058F4"/>
    <w:lvl w:ilvl="0" w:tplc="DF1CC058">
      <w:start w:val="1"/>
      <w:numFmt w:val="lowerRoman"/>
      <w:lvlText w:val="(%1)"/>
      <w:lvlJc w:val="righ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C1C6F40"/>
    <w:multiLevelType w:val="hybridMultilevel"/>
    <w:tmpl w:val="93521A5E"/>
    <w:lvl w:ilvl="0" w:tplc="D5F26344">
      <w:start w:val="1"/>
      <w:numFmt w:val="lowerRoman"/>
      <w:lvlText w:val="(%1)"/>
      <w:lvlJc w:val="right"/>
      <w:pPr>
        <w:ind w:left="970" w:hanging="360"/>
      </w:pPr>
      <w:rPr>
        <w:rFonts w:ascii="Times New Roman" w:eastAsia="Times New Roman" w:hAnsi="Times New Roman" w:cs="Times New Roman"/>
      </w:rPr>
    </w:lvl>
    <w:lvl w:ilvl="1" w:tplc="0C090019">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9" w15:restartNumberingAfterBreak="0">
    <w:nsid w:val="7BED0E38"/>
    <w:multiLevelType w:val="hybridMultilevel"/>
    <w:tmpl w:val="E7AE85E2"/>
    <w:lvl w:ilvl="0" w:tplc="BAE2FDB0">
      <w:start w:val="1"/>
      <w:numFmt w:val="lowerRoman"/>
      <w:lvlText w:val="(%1)"/>
      <w:lvlJc w:val="righ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7E0F5674"/>
    <w:multiLevelType w:val="hybridMultilevel"/>
    <w:tmpl w:val="526EDA64"/>
    <w:lvl w:ilvl="0" w:tplc="84A0529E">
      <w:start w:val="1"/>
      <w:numFmt w:val="lowerLetter"/>
      <w:lvlText w:val="(%1)"/>
      <w:lvlJc w:val="left"/>
      <w:pPr>
        <w:ind w:left="720" w:hanging="360"/>
      </w:pPr>
      <w:rPr>
        <w:rFonts w:hint="default"/>
      </w:rPr>
    </w:lvl>
    <w:lvl w:ilvl="1" w:tplc="BAE2FDB0">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9E3E19"/>
    <w:multiLevelType w:val="hybridMultilevel"/>
    <w:tmpl w:val="7778AA1C"/>
    <w:lvl w:ilvl="0" w:tplc="84A0529E">
      <w:start w:val="1"/>
      <w:numFmt w:val="lowerLetter"/>
      <w:lvlText w:val="(%1)"/>
      <w:lvlJc w:val="left"/>
      <w:pPr>
        <w:ind w:left="720" w:hanging="360"/>
      </w:pPr>
      <w:rPr>
        <w:rFonts w:hint="default"/>
      </w:rPr>
    </w:lvl>
    <w:lvl w:ilvl="1" w:tplc="BAE2FDB0">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0"/>
  </w:num>
  <w:num w:numId="5">
    <w:abstractNumId w:val="10"/>
  </w:num>
  <w:num w:numId="6">
    <w:abstractNumId w:val="9"/>
  </w:num>
  <w:num w:numId="7">
    <w:abstractNumId w:val="6"/>
  </w:num>
  <w:num w:numId="8">
    <w:abstractNumId w:val="1"/>
  </w:num>
  <w:num w:numId="9">
    <w:abstractNumId w:val="3"/>
  </w:num>
  <w:num w:numId="10">
    <w:abstractNumId w:val="11"/>
  </w:num>
  <w:num w:numId="11">
    <w:abstractNumId w:val="8"/>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847478"/>
    <w:rsid w:val="00001697"/>
    <w:rsid w:val="00001802"/>
    <w:rsid w:val="00002218"/>
    <w:rsid w:val="0000297D"/>
    <w:rsid w:val="0000347B"/>
    <w:rsid w:val="000038A0"/>
    <w:rsid w:val="00004BD1"/>
    <w:rsid w:val="000053EE"/>
    <w:rsid w:val="00006173"/>
    <w:rsid w:val="00007EC6"/>
    <w:rsid w:val="00010E80"/>
    <w:rsid w:val="00012F8A"/>
    <w:rsid w:val="000134CE"/>
    <w:rsid w:val="00013A0B"/>
    <w:rsid w:val="00014F39"/>
    <w:rsid w:val="00015F88"/>
    <w:rsid w:val="0001662A"/>
    <w:rsid w:val="00017088"/>
    <w:rsid w:val="00020108"/>
    <w:rsid w:val="000215E0"/>
    <w:rsid w:val="00022A06"/>
    <w:rsid w:val="00023083"/>
    <w:rsid w:val="000278A9"/>
    <w:rsid w:val="00027CD1"/>
    <w:rsid w:val="000322FA"/>
    <w:rsid w:val="00032556"/>
    <w:rsid w:val="00032F2C"/>
    <w:rsid w:val="000349B1"/>
    <w:rsid w:val="00035D23"/>
    <w:rsid w:val="00040090"/>
    <w:rsid w:val="000403D5"/>
    <w:rsid w:val="00040725"/>
    <w:rsid w:val="00040B01"/>
    <w:rsid w:val="000414A4"/>
    <w:rsid w:val="000427E4"/>
    <w:rsid w:val="000428C1"/>
    <w:rsid w:val="00043D98"/>
    <w:rsid w:val="0004456C"/>
    <w:rsid w:val="00045BA4"/>
    <w:rsid w:val="00045F1B"/>
    <w:rsid w:val="00047EAC"/>
    <w:rsid w:val="00047EB4"/>
    <w:rsid w:val="000511CE"/>
    <w:rsid w:val="000521B7"/>
    <w:rsid w:val="00052D85"/>
    <w:rsid w:val="00053328"/>
    <w:rsid w:val="0005339D"/>
    <w:rsid w:val="00053505"/>
    <w:rsid w:val="00053AE3"/>
    <w:rsid w:val="00053EB2"/>
    <w:rsid w:val="00055427"/>
    <w:rsid w:val="00060076"/>
    <w:rsid w:val="000616E5"/>
    <w:rsid w:val="0006189A"/>
    <w:rsid w:val="00063C7B"/>
    <w:rsid w:val="00063DFF"/>
    <w:rsid w:val="000646EC"/>
    <w:rsid w:val="00065118"/>
    <w:rsid w:val="00065296"/>
    <w:rsid w:val="00066A7A"/>
    <w:rsid w:val="000670E0"/>
    <w:rsid w:val="000675A5"/>
    <w:rsid w:val="00067ADD"/>
    <w:rsid w:val="000715D1"/>
    <w:rsid w:val="000718A1"/>
    <w:rsid w:val="00071EAC"/>
    <w:rsid w:val="00073947"/>
    <w:rsid w:val="00073DD2"/>
    <w:rsid w:val="0007493F"/>
    <w:rsid w:val="0007589E"/>
    <w:rsid w:val="00075991"/>
    <w:rsid w:val="00075B1D"/>
    <w:rsid w:val="00076574"/>
    <w:rsid w:val="0007745E"/>
    <w:rsid w:val="0008277D"/>
    <w:rsid w:val="00082916"/>
    <w:rsid w:val="00083189"/>
    <w:rsid w:val="0008494B"/>
    <w:rsid w:val="000851C2"/>
    <w:rsid w:val="0008560A"/>
    <w:rsid w:val="00086385"/>
    <w:rsid w:val="000869FD"/>
    <w:rsid w:val="00086BB3"/>
    <w:rsid w:val="00091146"/>
    <w:rsid w:val="0009146B"/>
    <w:rsid w:val="00093108"/>
    <w:rsid w:val="000943E3"/>
    <w:rsid w:val="00095849"/>
    <w:rsid w:val="00095C25"/>
    <w:rsid w:val="000962CA"/>
    <w:rsid w:val="00097C83"/>
    <w:rsid w:val="000A0000"/>
    <w:rsid w:val="000A0788"/>
    <w:rsid w:val="000A0CCA"/>
    <w:rsid w:val="000A1742"/>
    <w:rsid w:val="000A1C08"/>
    <w:rsid w:val="000A1D27"/>
    <w:rsid w:val="000A2243"/>
    <w:rsid w:val="000A24DA"/>
    <w:rsid w:val="000A324E"/>
    <w:rsid w:val="000A374D"/>
    <w:rsid w:val="000A428F"/>
    <w:rsid w:val="000A4D15"/>
    <w:rsid w:val="000A57D0"/>
    <w:rsid w:val="000A620C"/>
    <w:rsid w:val="000A62D8"/>
    <w:rsid w:val="000A68F1"/>
    <w:rsid w:val="000A7869"/>
    <w:rsid w:val="000A7CE5"/>
    <w:rsid w:val="000B1E7F"/>
    <w:rsid w:val="000B2A26"/>
    <w:rsid w:val="000B2D6D"/>
    <w:rsid w:val="000B2F7C"/>
    <w:rsid w:val="000B4121"/>
    <w:rsid w:val="000B4E56"/>
    <w:rsid w:val="000B51B3"/>
    <w:rsid w:val="000B5F47"/>
    <w:rsid w:val="000B6CF7"/>
    <w:rsid w:val="000C1001"/>
    <w:rsid w:val="000C273E"/>
    <w:rsid w:val="000C2D12"/>
    <w:rsid w:val="000C3CA7"/>
    <w:rsid w:val="000C65F5"/>
    <w:rsid w:val="000C6E8A"/>
    <w:rsid w:val="000C6EAA"/>
    <w:rsid w:val="000C7296"/>
    <w:rsid w:val="000C771D"/>
    <w:rsid w:val="000C78D3"/>
    <w:rsid w:val="000C79BF"/>
    <w:rsid w:val="000D0FB9"/>
    <w:rsid w:val="000D169B"/>
    <w:rsid w:val="000D1916"/>
    <w:rsid w:val="000D6894"/>
    <w:rsid w:val="000D6DDC"/>
    <w:rsid w:val="000E16EC"/>
    <w:rsid w:val="000E194E"/>
    <w:rsid w:val="000E27E3"/>
    <w:rsid w:val="000E2A65"/>
    <w:rsid w:val="000E32A5"/>
    <w:rsid w:val="000E48BD"/>
    <w:rsid w:val="000E5103"/>
    <w:rsid w:val="000E5E90"/>
    <w:rsid w:val="000E6BEE"/>
    <w:rsid w:val="000E704B"/>
    <w:rsid w:val="000E7494"/>
    <w:rsid w:val="000E7524"/>
    <w:rsid w:val="000F15AA"/>
    <w:rsid w:val="000F622B"/>
    <w:rsid w:val="000F6BDA"/>
    <w:rsid w:val="000F7245"/>
    <w:rsid w:val="001007D4"/>
    <w:rsid w:val="00102FE7"/>
    <w:rsid w:val="001034D9"/>
    <w:rsid w:val="001045BC"/>
    <w:rsid w:val="00105BB8"/>
    <w:rsid w:val="0011080C"/>
    <w:rsid w:val="001108B1"/>
    <w:rsid w:val="00111D90"/>
    <w:rsid w:val="00114529"/>
    <w:rsid w:val="00114FC0"/>
    <w:rsid w:val="00116989"/>
    <w:rsid w:val="00117771"/>
    <w:rsid w:val="00122C65"/>
    <w:rsid w:val="001233D1"/>
    <w:rsid w:val="00125657"/>
    <w:rsid w:val="00126202"/>
    <w:rsid w:val="0013020F"/>
    <w:rsid w:val="001312D8"/>
    <w:rsid w:val="00132125"/>
    <w:rsid w:val="00132804"/>
    <w:rsid w:val="001328CE"/>
    <w:rsid w:val="00132D8D"/>
    <w:rsid w:val="00132FA6"/>
    <w:rsid w:val="00134DDC"/>
    <w:rsid w:val="00134F90"/>
    <w:rsid w:val="00135130"/>
    <w:rsid w:val="00135C20"/>
    <w:rsid w:val="00137524"/>
    <w:rsid w:val="00137DD4"/>
    <w:rsid w:val="00140090"/>
    <w:rsid w:val="00140655"/>
    <w:rsid w:val="0014076C"/>
    <w:rsid w:val="001409F1"/>
    <w:rsid w:val="0014186A"/>
    <w:rsid w:val="00141CBA"/>
    <w:rsid w:val="00144DE3"/>
    <w:rsid w:val="0014753B"/>
    <w:rsid w:val="0014758D"/>
    <w:rsid w:val="001505FC"/>
    <w:rsid w:val="001510CB"/>
    <w:rsid w:val="00152210"/>
    <w:rsid w:val="00152B3A"/>
    <w:rsid w:val="00153195"/>
    <w:rsid w:val="00154C66"/>
    <w:rsid w:val="00155D64"/>
    <w:rsid w:val="001562FA"/>
    <w:rsid w:val="00157619"/>
    <w:rsid w:val="00157932"/>
    <w:rsid w:val="00157F61"/>
    <w:rsid w:val="00160D98"/>
    <w:rsid w:val="00161F4E"/>
    <w:rsid w:val="00162609"/>
    <w:rsid w:val="00164935"/>
    <w:rsid w:val="00165D61"/>
    <w:rsid w:val="00166383"/>
    <w:rsid w:val="00170233"/>
    <w:rsid w:val="00170AF7"/>
    <w:rsid w:val="001727C0"/>
    <w:rsid w:val="00175993"/>
    <w:rsid w:val="0017685B"/>
    <w:rsid w:val="00176DD8"/>
    <w:rsid w:val="0018018C"/>
    <w:rsid w:val="001846AF"/>
    <w:rsid w:val="00185F83"/>
    <w:rsid w:val="00186360"/>
    <w:rsid w:val="00187D63"/>
    <w:rsid w:val="00190100"/>
    <w:rsid w:val="00191FA5"/>
    <w:rsid w:val="00192C10"/>
    <w:rsid w:val="00193F32"/>
    <w:rsid w:val="0019741B"/>
    <w:rsid w:val="00197565"/>
    <w:rsid w:val="00197CE2"/>
    <w:rsid w:val="001A05E1"/>
    <w:rsid w:val="001A0ADC"/>
    <w:rsid w:val="001A1F7E"/>
    <w:rsid w:val="001A3579"/>
    <w:rsid w:val="001A4DAF"/>
    <w:rsid w:val="001A4DD7"/>
    <w:rsid w:val="001A5B07"/>
    <w:rsid w:val="001A6C59"/>
    <w:rsid w:val="001A6F20"/>
    <w:rsid w:val="001A7EF2"/>
    <w:rsid w:val="001B2146"/>
    <w:rsid w:val="001B3BC5"/>
    <w:rsid w:val="001B53F6"/>
    <w:rsid w:val="001B7117"/>
    <w:rsid w:val="001B751F"/>
    <w:rsid w:val="001C22F5"/>
    <w:rsid w:val="001C245D"/>
    <w:rsid w:val="001C24F3"/>
    <w:rsid w:val="001C25FE"/>
    <w:rsid w:val="001C2D6C"/>
    <w:rsid w:val="001C3642"/>
    <w:rsid w:val="001C3DC0"/>
    <w:rsid w:val="001C6EFD"/>
    <w:rsid w:val="001C7118"/>
    <w:rsid w:val="001C769F"/>
    <w:rsid w:val="001C799D"/>
    <w:rsid w:val="001C7D22"/>
    <w:rsid w:val="001D0719"/>
    <w:rsid w:val="001D383C"/>
    <w:rsid w:val="001D652D"/>
    <w:rsid w:val="001D6D71"/>
    <w:rsid w:val="001D7D1E"/>
    <w:rsid w:val="001E092D"/>
    <w:rsid w:val="001E1749"/>
    <w:rsid w:val="001E24ED"/>
    <w:rsid w:val="001E3AF2"/>
    <w:rsid w:val="001E5D32"/>
    <w:rsid w:val="001F00C1"/>
    <w:rsid w:val="001F0D59"/>
    <w:rsid w:val="001F108C"/>
    <w:rsid w:val="001F1BB8"/>
    <w:rsid w:val="001F1F0F"/>
    <w:rsid w:val="001F3BA9"/>
    <w:rsid w:val="001F3DCA"/>
    <w:rsid w:val="001F41C5"/>
    <w:rsid w:val="001F4513"/>
    <w:rsid w:val="001F4837"/>
    <w:rsid w:val="002015B2"/>
    <w:rsid w:val="002026D9"/>
    <w:rsid w:val="00203232"/>
    <w:rsid w:val="00203ACF"/>
    <w:rsid w:val="00204264"/>
    <w:rsid w:val="00204686"/>
    <w:rsid w:val="00207D0A"/>
    <w:rsid w:val="00207D20"/>
    <w:rsid w:val="00210652"/>
    <w:rsid w:val="00211C07"/>
    <w:rsid w:val="00212572"/>
    <w:rsid w:val="002125B6"/>
    <w:rsid w:val="00214C3B"/>
    <w:rsid w:val="00216ACD"/>
    <w:rsid w:val="002170DB"/>
    <w:rsid w:val="00221073"/>
    <w:rsid w:val="00222FD0"/>
    <w:rsid w:val="002246D1"/>
    <w:rsid w:val="002252C7"/>
    <w:rsid w:val="00226C82"/>
    <w:rsid w:val="0022734F"/>
    <w:rsid w:val="00227B4A"/>
    <w:rsid w:val="00231246"/>
    <w:rsid w:val="002315E6"/>
    <w:rsid w:val="00232215"/>
    <w:rsid w:val="00232E47"/>
    <w:rsid w:val="00233C57"/>
    <w:rsid w:val="0023489C"/>
    <w:rsid w:val="00240BAF"/>
    <w:rsid w:val="0024222C"/>
    <w:rsid w:val="00243601"/>
    <w:rsid w:val="00243670"/>
    <w:rsid w:val="00243C7D"/>
    <w:rsid w:val="00244C01"/>
    <w:rsid w:val="00245F38"/>
    <w:rsid w:val="00246042"/>
    <w:rsid w:val="002466F5"/>
    <w:rsid w:val="00247888"/>
    <w:rsid w:val="00247AC1"/>
    <w:rsid w:val="00250481"/>
    <w:rsid w:val="00251E13"/>
    <w:rsid w:val="00252F17"/>
    <w:rsid w:val="00253C00"/>
    <w:rsid w:val="00253C2D"/>
    <w:rsid w:val="00253DDD"/>
    <w:rsid w:val="002540A2"/>
    <w:rsid w:val="002548F3"/>
    <w:rsid w:val="00255EBE"/>
    <w:rsid w:val="0025781D"/>
    <w:rsid w:val="00260912"/>
    <w:rsid w:val="002611FB"/>
    <w:rsid w:val="002628CA"/>
    <w:rsid w:val="00263EC6"/>
    <w:rsid w:val="00264273"/>
    <w:rsid w:val="0026617A"/>
    <w:rsid w:val="00266F77"/>
    <w:rsid w:val="00270230"/>
    <w:rsid w:val="002712A2"/>
    <w:rsid w:val="00271B1F"/>
    <w:rsid w:val="002722F1"/>
    <w:rsid w:val="00275245"/>
    <w:rsid w:val="00276DC4"/>
    <w:rsid w:val="00280435"/>
    <w:rsid w:val="00281D4C"/>
    <w:rsid w:val="00281E63"/>
    <w:rsid w:val="00282252"/>
    <w:rsid w:val="0028450F"/>
    <w:rsid w:val="00284EBA"/>
    <w:rsid w:val="00284FE2"/>
    <w:rsid w:val="002855F5"/>
    <w:rsid w:val="0028609E"/>
    <w:rsid w:val="00286CEA"/>
    <w:rsid w:val="002874E2"/>
    <w:rsid w:val="00287C03"/>
    <w:rsid w:val="00290086"/>
    <w:rsid w:val="00293BC3"/>
    <w:rsid w:val="00293DFA"/>
    <w:rsid w:val="00294B34"/>
    <w:rsid w:val="00294ED3"/>
    <w:rsid w:val="002A05C7"/>
    <w:rsid w:val="002A0984"/>
    <w:rsid w:val="002A0D0D"/>
    <w:rsid w:val="002A14F2"/>
    <w:rsid w:val="002A19B0"/>
    <w:rsid w:val="002A2795"/>
    <w:rsid w:val="002A29C7"/>
    <w:rsid w:val="002A3077"/>
    <w:rsid w:val="002A37DA"/>
    <w:rsid w:val="002A53F4"/>
    <w:rsid w:val="002A6493"/>
    <w:rsid w:val="002B029A"/>
    <w:rsid w:val="002B104A"/>
    <w:rsid w:val="002B1EBA"/>
    <w:rsid w:val="002B1ED5"/>
    <w:rsid w:val="002B265A"/>
    <w:rsid w:val="002B3023"/>
    <w:rsid w:val="002B3196"/>
    <w:rsid w:val="002B32C5"/>
    <w:rsid w:val="002B3380"/>
    <w:rsid w:val="002B3DF1"/>
    <w:rsid w:val="002B42D7"/>
    <w:rsid w:val="002B43B6"/>
    <w:rsid w:val="002B466C"/>
    <w:rsid w:val="002B519A"/>
    <w:rsid w:val="002B57DC"/>
    <w:rsid w:val="002B7A48"/>
    <w:rsid w:val="002B7DCF"/>
    <w:rsid w:val="002C0055"/>
    <w:rsid w:val="002C116C"/>
    <w:rsid w:val="002C13B4"/>
    <w:rsid w:val="002C213C"/>
    <w:rsid w:val="002C3D70"/>
    <w:rsid w:val="002C4DBF"/>
    <w:rsid w:val="002C552B"/>
    <w:rsid w:val="002C7B49"/>
    <w:rsid w:val="002D2E68"/>
    <w:rsid w:val="002D4558"/>
    <w:rsid w:val="002D58CD"/>
    <w:rsid w:val="002D71AC"/>
    <w:rsid w:val="002D7932"/>
    <w:rsid w:val="002E1914"/>
    <w:rsid w:val="002E1BAC"/>
    <w:rsid w:val="002E4173"/>
    <w:rsid w:val="002E5749"/>
    <w:rsid w:val="002F09EC"/>
    <w:rsid w:val="002F1496"/>
    <w:rsid w:val="002F490C"/>
    <w:rsid w:val="002F78D5"/>
    <w:rsid w:val="00303228"/>
    <w:rsid w:val="003043BB"/>
    <w:rsid w:val="00306194"/>
    <w:rsid w:val="003072E7"/>
    <w:rsid w:val="0031135D"/>
    <w:rsid w:val="003119E4"/>
    <w:rsid w:val="00311CD6"/>
    <w:rsid w:val="003132F5"/>
    <w:rsid w:val="0031504D"/>
    <w:rsid w:val="00315487"/>
    <w:rsid w:val="00316225"/>
    <w:rsid w:val="00320B0B"/>
    <w:rsid w:val="003226D6"/>
    <w:rsid w:val="003231FF"/>
    <w:rsid w:val="0032362F"/>
    <w:rsid w:val="00327FEB"/>
    <w:rsid w:val="003300EA"/>
    <w:rsid w:val="0033099B"/>
    <w:rsid w:val="003320E9"/>
    <w:rsid w:val="003332E8"/>
    <w:rsid w:val="00335524"/>
    <w:rsid w:val="003356A9"/>
    <w:rsid w:val="0033573E"/>
    <w:rsid w:val="00336385"/>
    <w:rsid w:val="00336724"/>
    <w:rsid w:val="00340979"/>
    <w:rsid w:val="00343B24"/>
    <w:rsid w:val="0034644E"/>
    <w:rsid w:val="003469E3"/>
    <w:rsid w:val="00346D5E"/>
    <w:rsid w:val="00347F62"/>
    <w:rsid w:val="0035001E"/>
    <w:rsid w:val="00353F3B"/>
    <w:rsid w:val="00355923"/>
    <w:rsid w:val="003564EF"/>
    <w:rsid w:val="0035728B"/>
    <w:rsid w:val="00357657"/>
    <w:rsid w:val="00357F92"/>
    <w:rsid w:val="00362B35"/>
    <w:rsid w:val="003632E4"/>
    <w:rsid w:val="003664E2"/>
    <w:rsid w:val="00366FC7"/>
    <w:rsid w:val="00367E3F"/>
    <w:rsid w:val="00370DD7"/>
    <w:rsid w:val="0037255F"/>
    <w:rsid w:val="0037258D"/>
    <w:rsid w:val="003743B9"/>
    <w:rsid w:val="003744DC"/>
    <w:rsid w:val="00377BE8"/>
    <w:rsid w:val="0038142A"/>
    <w:rsid w:val="0038199B"/>
    <w:rsid w:val="00381A31"/>
    <w:rsid w:val="00381A9D"/>
    <w:rsid w:val="00381C30"/>
    <w:rsid w:val="00382F8D"/>
    <w:rsid w:val="003846CA"/>
    <w:rsid w:val="0038512A"/>
    <w:rsid w:val="0038523C"/>
    <w:rsid w:val="00385A38"/>
    <w:rsid w:val="00386E04"/>
    <w:rsid w:val="00387F34"/>
    <w:rsid w:val="00392557"/>
    <w:rsid w:val="00392841"/>
    <w:rsid w:val="0039396B"/>
    <w:rsid w:val="00396134"/>
    <w:rsid w:val="0039704B"/>
    <w:rsid w:val="003A379F"/>
    <w:rsid w:val="003A5AF1"/>
    <w:rsid w:val="003A77F7"/>
    <w:rsid w:val="003B0D29"/>
    <w:rsid w:val="003B1AC7"/>
    <w:rsid w:val="003B1BDC"/>
    <w:rsid w:val="003B2007"/>
    <w:rsid w:val="003B4DF9"/>
    <w:rsid w:val="003B4FB3"/>
    <w:rsid w:val="003B7079"/>
    <w:rsid w:val="003B7E2B"/>
    <w:rsid w:val="003C0727"/>
    <w:rsid w:val="003C1D25"/>
    <w:rsid w:val="003C24F1"/>
    <w:rsid w:val="003C3104"/>
    <w:rsid w:val="003C3AAA"/>
    <w:rsid w:val="003C42CB"/>
    <w:rsid w:val="003C44B5"/>
    <w:rsid w:val="003C7B6B"/>
    <w:rsid w:val="003D1079"/>
    <w:rsid w:val="003D1946"/>
    <w:rsid w:val="003D1A01"/>
    <w:rsid w:val="003D1FD3"/>
    <w:rsid w:val="003D26EF"/>
    <w:rsid w:val="003D5FC8"/>
    <w:rsid w:val="003D659C"/>
    <w:rsid w:val="003D6D63"/>
    <w:rsid w:val="003D6F03"/>
    <w:rsid w:val="003D7102"/>
    <w:rsid w:val="003D7943"/>
    <w:rsid w:val="003E197C"/>
    <w:rsid w:val="003E35C7"/>
    <w:rsid w:val="003E38B6"/>
    <w:rsid w:val="003E59C1"/>
    <w:rsid w:val="003E5C84"/>
    <w:rsid w:val="003E67D7"/>
    <w:rsid w:val="003E68C8"/>
    <w:rsid w:val="003E6AE3"/>
    <w:rsid w:val="003E6D06"/>
    <w:rsid w:val="003E6F16"/>
    <w:rsid w:val="003F1E51"/>
    <w:rsid w:val="003F273D"/>
    <w:rsid w:val="003F3B9A"/>
    <w:rsid w:val="003F3D27"/>
    <w:rsid w:val="003F6833"/>
    <w:rsid w:val="004005D4"/>
    <w:rsid w:val="00400FDC"/>
    <w:rsid w:val="00401F14"/>
    <w:rsid w:val="0040370B"/>
    <w:rsid w:val="00403A50"/>
    <w:rsid w:val="00403F78"/>
    <w:rsid w:val="00405088"/>
    <w:rsid w:val="004053B4"/>
    <w:rsid w:val="00405710"/>
    <w:rsid w:val="0040724B"/>
    <w:rsid w:val="00411B2C"/>
    <w:rsid w:val="0041228F"/>
    <w:rsid w:val="00412BBF"/>
    <w:rsid w:val="00421019"/>
    <w:rsid w:val="00421717"/>
    <w:rsid w:val="00421964"/>
    <w:rsid w:val="004224D5"/>
    <w:rsid w:val="00422522"/>
    <w:rsid w:val="0042298C"/>
    <w:rsid w:val="00423DDE"/>
    <w:rsid w:val="004255A1"/>
    <w:rsid w:val="004255DD"/>
    <w:rsid w:val="0042567D"/>
    <w:rsid w:val="00425B4D"/>
    <w:rsid w:val="00425F7B"/>
    <w:rsid w:val="00427820"/>
    <w:rsid w:val="004311E3"/>
    <w:rsid w:val="00433B06"/>
    <w:rsid w:val="00434C1D"/>
    <w:rsid w:val="004361A5"/>
    <w:rsid w:val="004373BA"/>
    <w:rsid w:val="00437B73"/>
    <w:rsid w:val="00440B24"/>
    <w:rsid w:val="00441190"/>
    <w:rsid w:val="00441A8E"/>
    <w:rsid w:val="00441C95"/>
    <w:rsid w:val="00442AA3"/>
    <w:rsid w:val="00442AEB"/>
    <w:rsid w:val="00442E91"/>
    <w:rsid w:val="004430EB"/>
    <w:rsid w:val="0044377E"/>
    <w:rsid w:val="00443805"/>
    <w:rsid w:val="00443890"/>
    <w:rsid w:val="00443B36"/>
    <w:rsid w:val="0044430D"/>
    <w:rsid w:val="004447F9"/>
    <w:rsid w:val="00444F77"/>
    <w:rsid w:val="004459DE"/>
    <w:rsid w:val="00446452"/>
    <w:rsid w:val="004468EB"/>
    <w:rsid w:val="00446C43"/>
    <w:rsid w:val="0044705D"/>
    <w:rsid w:val="00447E8D"/>
    <w:rsid w:val="004502C4"/>
    <w:rsid w:val="00450DE1"/>
    <w:rsid w:val="004523B3"/>
    <w:rsid w:val="004533FC"/>
    <w:rsid w:val="004545F3"/>
    <w:rsid w:val="00460B62"/>
    <w:rsid w:val="004624D8"/>
    <w:rsid w:val="00464092"/>
    <w:rsid w:val="004640EA"/>
    <w:rsid w:val="00464AD1"/>
    <w:rsid w:val="00464EB8"/>
    <w:rsid w:val="00465322"/>
    <w:rsid w:val="00466DBA"/>
    <w:rsid w:val="004674AB"/>
    <w:rsid w:val="00470AA8"/>
    <w:rsid w:val="00471E5D"/>
    <w:rsid w:val="00472263"/>
    <w:rsid w:val="00477CAC"/>
    <w:rsid w:val="00480A40"/>
    <w:rsid w:val="00481101"/>
    <w:rsid w:val="004813A8"/>
    <w:rsid w:val="00483614"/>
    <w:rsid w:val="004839A4"/>
    <w:rsid w:val="00483D21"/>
    <w:rsid w:val="00486D73"/>
    <w:rsid w:val="004879CB"/>
    <w:rsid w:val="00487A1E"/>
    <w:rsid w:val="0049172E"/>
    <w:rsid w:val="00491EC0"/>
    <w:rsid w:val="00493531"/>
    <w:rsid w:val="00493C36"/>
    <w:rsid w:val="0049424B"/>
    <w:rsid w:val="00495CBB"/>
    <w:rsid w:val="0049741D"/>
    <w:rsid w:val="004A20E2"/>
    <w:rsid w:val="004A29F0"/>
    <w:rsid w:val="004A30AD"/>
    <w:rsid w:val="004A666C"/>
    <w:rsid w:val="004A67FF"/>
    <w:rsid w:val="004A6DC5"/>
    <w:rsid w:val="004A7713"/>
    <w:rsid w:val="004A7AA7"/>
    <w:rsid w:val="004B1285"/>
    <w:rsid w:val="004B1AC1"/>
    <w:rsid w:val="004B2C23"/>
    <w:rsid w:val="004B2FF6"/>
    <w:rsid w:val="004B6158"/>
    <w:rsid w:val="004B6C4F"/>
    <w:rsid w:val="004B7006"/>
    <w:rsid w:val="004B7965"/>
    <w:rsid w:val="004C19CE"/>
    <w:rsid w:val="004C3987"/>
    <w:rsid w:val="004C3F3C"/>
    <w:rsid w:val="004C69B8"/>
    <w:rsid w:val="004C6F0C"/>
    <w:rsid w:val="004D0142"/>
    <w:rsid w:val="004D2382"/>
    <w:rsid w:val="004D32C2"/>
    <w:rsid w:val="004D35E2"/>
    <w:rsid w:val="004D3913"/>
    <w:rsid w:val="004D5EAB"/>
    <w:rsid w:val="004D6045"/>
    <w:rsid w:val="004D6982"/>
    <w:rsid w:val="004E015F"/>
    <w:rsid w:val="004E03AC"/>
    <w:rsid w:val="004E0619"/>
    <w:rsid w:val="004E13DD"/>
    <w:rsid w:val="004E1835"/>
    <w:rsid w:val="004E1C75"/>
    <w:rsid w:val="004E2FEB"/>
    <w:rsid w:val="004E3E9B"/>
    <w:rsid w:val="004E44A8"/>
    <w:rsid w:val="004E4E6E"/>
    <w:rsid w:val="004E7590"/>
    <w:rsid w:val="004E7738"/>
    <w:rsid w:val="004F12E7"/>
    <w:rsid w:val="004F47C2"/>
    <w:rsid w:val="004F4EDC"/>
    <w:rsid w:val="004F5AD6"/>
    <w:rsid w:val="004F5D6D"/>
    <w:rsid w:val="004F6798"/>
    <w:rsid w:val="004F73E8"/>
    <w:rsid w:val="00500337"/>
    <w:rsid w:val="005005AF"/>
    <w:rsid w:val="0050128E"/>
    <w:rsid w:val="0050146B"/>
    <w:rsid w:val="00501E0C"/>
    <w:rsid w:val="00502C04"/>
    <w:rsid w:val="00503981"/>
    <w:rsid w:val="00504074"/>
    <w:rsid w:val="00504F3D"/>
    <w:rsid w:val="005056C8"/>
    <w:rsid w:val="00505DF5"/>
    <w:rsid w:val="00507410"/>
    <w:rsid w:val="00507DDE"/>
    <w:rsid w:val="0051137B"/>
    <w:rsid w:val="00511776"/>
    <w:rsid w:val="00511924"/>
    <w:rsid w:val="005124C8"/>
    <w:rsid w:val="0051287D"/>
    <w:rsid w:val="00512974"/>
    <w:rsid w:val="0051511D"/>
    <w:rsid w:val="0051627A"/>
    <w:rsid w:val="005172EE"/>
    <w:rsid w:val="0052031E"/>
    <w:rsid w:val="005211CC"/>
    <w:rsid w:val="0052220C"/>
    <w:rsid w:val="005225D7"/>
    <w:rsid w:val="005234C7"/>
    <w:rsid w:val="005238E0"/>
    <w:rsid w:val="00525D91"/>
    <w:rsid w:val="0052639A"/>
    <w:rsid w:val="00527307"/>
    <w:rsid w:val="005277E8"/>
    <w:rsid w:val="00527E45"/>
    <w:rsid w:val="00533642"/>
    <w:rsid w:val="00534B78"/>
    <w:rsid w:val="005366C4"/>
    <w:rsid w:val="00537498"/>
    <w:rsid w:val="00537D09"/>
    <w:rsid w:val="005405DA"/>
    <w:rsid w:val="00540DE3"/>
    <w:rsid w:val="005418B7"/>
    <w:rsid w:val="0054351E"/>
    <w:rsid w:val="00543992"/>
    <w:rsid w:val="0054513D"/>
    <w:rsid w:val="005516CA"/>
    <w:rsid w:val="00555E40"/>
    <w:rsid w:val="00556237"/>
    <w:rsid w:val="005575F7"/>
    <w:rsid w:val="005608B4"/>
    <w:rsid w:val="00561DAF"/>
    <w:rsid w:val="00562783"/>
    <w:rsid w:val="00562D3D"/>
    <w:rsid w:val="00562E60"/>
    <w:rsid w:val="00563257"/>
    <w:rsid w:val="00564CD4"/>
    <w:rsid w:val="00565998"/>
    <w:rsid w:val="00566E07"/>
    <w:rsid w:val="005672DE"/>
    <w:rsid w:val="00567B7B"/>
    <w:rsid w:val="005704FC"/>
    <w:rsid w:val="005719CC"/>
    <w:rsid w:val="00571CDB"/>
    <w:rsid w:val="00571E12"/>
    <w:rsid w:val="00573CBA"/>
    <w:rsid w:val="005749F6"/>
    <w:rsid w:val="00575DAA"/>
    <w:rsid w:val="00576569"/>
    <w:rsid w:val="00576C1F"/>
    <w:rsid w:val="00577A64"/>
    <w:rsid w:val="00580301"/>
    <w:rsid w:val="005826BF"/>
    <w:rsid w:val="0058387F"/>
    <w:rsid w:val="00584FEA"/>
    <w:rsid w:val="005859FB"/>
    <w:rsid w:val="005879C9"/>
    <w:rsid w:val="00587B53"/>
    <w:rsid w:val="00590B5C"/>
    <w:rsid w:val="005924C4"/>
    <w:rsid w:val="005925AD"/>
    <w:rsid w:val="00593F47"/>
    <w:rsid w:val="005943B6"/>
    <w:rsid w:val="005967F8"/>
    <w:rsid w:val="005975AC"/>
    <w:rsid w:val="00597C2D"/>
    <w:rsid w:val="005A216F"/>
    <w:rsid w:val="005A2AA0"/>
    <w:rsid w:val="005A4031"/>
    <w:rsid w:val="005A587A"/>
    <w:rsid w:val="005A63E2"/>
    <w:rsid w:val="005A6E56"/>
    <w:rsid w:val="005A6EA7"/>
    <w:rsid w:val="005A7CE5"/>
    <w:rsid w:val="005B53D4"/>
    <w:rsid w:val="005B5BAF"/>
    <w:rsid w:val="005B7274"/>
    <w:rsid w:val="005B7B02"/>
    <w:rsid w:val="005C0097"/>
    <w:rsid w:val="005C4A85"/>
    <w:rsid w:val="005C778A"/>
    <w:rsid w:val="005D0D39"/>
    <w:rsid w:val="005D1073"/>
    <w:rsid w:val="005D2047"/>
    <w:rsid w:val="005D23B5"/>
    <w:rsid w:val="005D262B"/>
    <w:rsid w:val="005D27B0"/>
    <w:rsid w:val="005D2F97"/>
    <w:rsid w:val="005D489A"/>
    <w:rsid w:val="005D692B"/>
    <w:rsid w:val="005D7243"/>
    <w:rsid w:val="005D7B00"/>
    <w:rsid w:val="005E0EA4"/>
    <w:rsid w:val="005E26A0"/>
    <w:rsid w:val="005E289A"/>
    <w:rsid w:val="005E43E5"/>
    <w:rsid w:val="005E5018"/>
    <w:rsid w:val="005E5382"/>
    <w:rsid w:val="005E563D"/>
    <w:rsid w:val="005E6AB7"/>
    <w:rsid w:val="005F0DDB"/>
    <w:rsid w:val="005F47D8"/>
    <w:rsid w:val="005F52A1"/>
    <w:rsid w:val="005F7F31"/>
    <w:rsid w:val="00600201"/>
    <w:rsid w:val="00600365"/>
    <w:rsid w:val="00602748"/>
    <w:rsid w:val="00603292"/>
    <w:rsid w:val="00603914"/>
    <w:rsid w:val="006047C5"/>
    <w:rsid w:val="00604FEC"/>
    <w:rsid w:val="00606059"/>
    <w:rsid w:val="006135A0"/>
    <w:rsid w:val="00614798"/>
    <w:rsid w:val="00614CDC"/>
    <w:rsid w:val="00616353"/>
    <w:rsid w:val="00616B98"/>
    <w:rsid w:val="00620F81"/>
    <w:rsid w:val="00621912"/>
    <w:rsid w:val="00621915"/>
    <w:rsid w:val="00624074"/>
    <w:rsid w:val="0062769F"/>
    <w:rsid w:val="006310B1"/>
    <w:rsid w:val="006320B9"/>
    <w:rsid w:val="00632DB5"/>
    <w:rsid w:val="006331F3"/>
    <w:rsid w:val="0063466E"/>
    <w:rsid w:val="0063470A"/>
    <w:rsid w:val="00634FB8"/>
    <w:rsid w:val="00641664"/>
    <w:rsid w:val="00641811"/>
    <w:rsid w:val="00641E0B"/>
    <w:rsid w:val="006430DB"/>
    <w:rsid w:val="00646C70"/>
    <w:rsid w:val="006472BE"/>
    <w:rsid w:val="0065001E"/>
    <w:rsid w:val="006504AA"/>
    <w:rsid w:val="00651D50"/>
    <w:rsid w:val="006533B7"/>
    <w:rsid w:val="0065347C"/>
    <w:rsid w:val="006546AE"/>
    <w:rsid w:val="006555B3"/>
    <w:rsid w:val="00656D34"/>
    <w:rsid w:val="006574E2"/>
    <w:rsid w:val="00665301"/>
    <w:rsid w:val="00670003"/>
    <w:rsid w:val="00670927"/>
    <w:rsid w:val="00670953"/>
    <w:rsid w:val="00670CED"/>
    <w:rsid w:val="0067252C"/>
    <w:rsid w:val="00673846"/>
    <w:rsid w:val="00673EB5"/>
    <w:rsid w:val="00674B00"/>
    <w:rsid w:val="00675032"/>
    <w:rsid w:val="00676046"/>
    <w:rsid w:val="00684564"/>
    <w:rsid w:val="00684D56"/>
    <w:rsid w:val="00684D90"/>
    <w:rsid w:val="006853BB"/>
    <w:rsid w:val="00685797"/>
    <w:rsid w:val="006865BC"/>
    <w:rsid w:val="00686F9F"/>
    <w:rsid w:val="006929DE"/>
    <w:rsid w:val="00694151"/>
    <w:rsid w:val="0069477F"/>
    <w:rsid w:val="0069577E"/>
    <w:rsid w:val="00695E51"/>
    <w:rsid w:val="0069620A"/>
    <w:rsid w:val="00697D76"/>
    <w:rsid w:val="00697DFE"/>
    <w:rsid w:val="006A2D68"/>
    <w:rsid w:val="006A3B7C"/>
    <w:rsid w:val="006A4485"/>
    <w:rsid w:val="006A56A4"/>
    <w:rsid w:val="006A75EC"/>
    <w:rsid w:val="006A7FBB"/>
    <w:rsid w:val="006B10E9"/>
    <w:rsid w:val="006B1462"/>
    <w:rsid w:val="006B186C"/>
    <w:rsid w:val="006B4238"/>
    <w:rsid w:val="006B5CB3"/>
    <w:rsid w:val="006C1893"/>
    <w:rsid w:val="006C2616"/>
    <w:rsid w:val="006C4506"/>
    <w:rsid w:val="006C46CF"/>
    <w:rsid w:val="006C5742"/>
    <w:rsid w:val="006C5ED7"/>
    <w:rsid w:val="006C6495"/>
    <w:rsid w:val="006C756C"/>
    <w:rsid w:val="006D001D"/>
    <w:rsid w:val="006D018E"/>
    <w:rsid w:val="006D14F5"/>
    <w:rsid w:val="006D3078"/>
    <w:rsid w:val="006D33A1"/>
    <w:rsid w:val="006D33E9"/>
    <w:rsid w:val="006D4034"/>
    <w:rsid w:val="006D4846"/>
    <w:rsid w:val="006D6022"/>
    <w:rsid w:val="006D6A3B"/>
    <w:rsid w:val="006D722A"/>
    <w:rsid w:val="006E0938"/>
    <w:rsid w:val="006E2530"/>
    <w:rsid w:val="006E3148"/>
    <w:rsid w:val="006E5282"/>
    <w:rsid w:val="006E548F"/>
    <w:rsid w:val="006E7554"/>
    <w:rsid w:val="006E7E7A"/>
    <w:rsid w:val="006F0BD8"/>
    <w:rsid w:val="006F0C6A"/>
    <w:rsid w:val="006F245B"/>
    <w:rsid w:val="006F3EE1"/>
    <w:rsid w:val="006F40E8"/>
    <w:rsid w:val="006F6BA5"/>
    <w:rsid w:val="006F73F0"/>
    <w:rsid w:val="00702998"/>
    <w:rsid w:val="00703F86"/>
    <w:rsid w:val="00706CA2"/>
    <w:rsid w:val="00707021"/>
    <w:rsid w:val="00707410"/>
    <w:rsid w:val="00707DEE"/>
    <w:rsid w:val="00710261"/>
    <w:rsid w:val="0071055A"/>
    <w:rsid w:val="00710785"/>
    <w:rsid w:val="00711C2B"/>
    <w:rsid w:val="00713AEB"/>
    <w:rsid w:val="0071414A"/>
    <w:rsid w:val="0071514F"/>
    <w:rsid w:val="007153CF"/>
    <w:rsid w:val="00716D37"/>
    <w:rsid w:val="00716F1E"/>
    <w:rsid w:val="00720556"/>
    <w:rsid w:val="00722944"/>
    <w:rsid w:val="00722AD1"/>
    <w:rsid w:val="0072332F"/>
    <w:rsid w:val="0072334A"/>
    <w:rsid w:val="007234DF"/>
    <w:rsid w:val="0072412E"/>
    <w:rsid w:val="00726596"/>
    <w:rsid w:val="00727685"/>
    <w:rsid w:val="007279D6"/>
    <w:rsid w:val="00730AF8"/>
    <w:rsid w:val="00733AC3"/>
    <w:rsid w:val="00735D7F"/>
    <w:rsid w:val="007375F7"/>
    <w:rsid w:val="00740322"/>
    <w:rsid w:val="00740916"/>
    <w:rsid w:val="00741A65"/>
    <w:rsid w:val="00741D81"/>
    <w:rsid w:val="00742A11"/>
    <w:rsid w:val="00742A61"/>
    <w:rsid w:val="00742FC6"/>
    <w:rsid w:val="007431FF"/>
    <w:rsid w:val="00746131"/>
    <w:rsid w:val="007462A6"/>
    <w:rsid w:val="00746F09"/>
    <w:rsid w:val="0074796C"/>
    <w:rsid w:val="00750B69"/>
    <w:rsid w:val="00752133"/>
    <w:rsid w:val="00756F9E"/>
    <w:rsid w:val="00760F25"/>
    <w:rsid w:val="00762AD9"/>
    <w:rsid w:val="00762F57"/>
    <w:rsid w:val="007631D0"/>
    <w:rsid w:val="00763C3F"/>
    <w:rsid w:val="007644FF"/>
    <w:rsid w:val="00766AD7"/>
    <w:rsid w:val="00770CED"/>
    <w:rsid w:val="007716CC"/>
    <w:rsid w:val="00771A3F"/>
    <w:rsid w:val="00772ADE"/>
    <w:rsid w:val="00773049"/>
    <w:rsid w:val="00773E87"/>
    <w:rsid w:val="0077433C"/>
    <w:rsid w:val="007750E9"/>
    <w:rsid w:val="007753B3"/>
    <w:rsid w:val="00775B70"/>
    <w:rsid w:val="00775CF8"/>
    <w:rsid w:val="00776910"/>
    <w:rsid w:val="00776ACE"/>
    <w:rsid w:val="00777978"/>
    <w:rsid w:val="00777F36"/>
    <w:rsid w:val="00781BB9"/>
    <w:rsid w:val="00782D74"/>
    <w:rsid w:val="00783000"/>
    <w:rsid w:val="0078300B"/>
    <w:rsid w:val="007833A9"/>
    <w:rsid w:val="007844E1"/>
    <w:rsid w:val="007847F6"/>
    <w:rsid w:val="007851E9"/>
    <w:rsid w:val="00786082"/>
    <w:rsid w:val="00790282"/>
    <w:rsid w:val="00790A50"/>
    <w:rsid w:val="00790B5B"/>
    <w:rsid w:val="007910D2"/>
    <w:rsid w:val="0079168A"/>
    <w:rsid w:val="00794754"/>
    <w:rsid w:val="007A04E7"/>
    <w:rsid w:val="007A2108"/>
    <w:rsid w:val="007A3064"/>
    <w:rsid w:val="007A3730"/>
    <w:rsid w:val="007A4A07"/>
    <w:rsid w:val="007A7C05"/>
    <w:rsid w:val="007B0A3A"/>
    <w:rsid w:val="007B0A62"/>
    <w:rsid w:val="007B1904"/>
    <w:rsid w:val="007B2577"/>
    <w:rsid w:val="007B3DF3"/>
    <w:rsid w:val="007B53B5"/>
    <w:rsid w:val="007B5850"/>
    <w:rsid w:val="007B5A70"/>
    <w:rsid w:val="007B65BD"/>
    <w:rsid w:val="007B67B8"/>
    <w:rsid w:val="007B6C62"/>
    <w:rsid w:val="007C2A1B"/>
    <w:rsid w:val="007C505E"/>
    <w:rsid w:val="007C51B4"/>
    <w:rsid w:val="007C5D1D"/>
    <w:rsid w:val="007C7959"/>
    <w:rsid w:val="007D1A1E"/>
    <w:rsid w:val="007D6E95"/>
    <w:rsid w:val="007D73D8"/>
    <w:rsid w:val="007E0158"/>
    <w:rsid w:val="007E05FF"/>
    <w:rsid w:val="007E231D"/>
    <w:rsid w:val="007E252A"/>
    <w:rsid w:val="007E3AA5"/>
    <w:rsid w:val="007E792A"/>
    <w:rsid w:val="007F025C"/>
    <w:rsid w:val="007F23A3"/>
    <w:rsid w:val="007F24F2"/>
    <w:rsid w:val="007F3E5B"/>
    <w:rsid w:val="007F3E66"/>
    <w:rsid w:val="007F488D"/>
    <w:rsid w:val="007F6C1C"/>
    <w:rsid w:val="007F70D7"/>
    <w:rsid w:val="007F75DF"/>
    <w:rsid w:val="0080016E"/>
    <w:rsid w:val="008002E8"/>
    <w:rsid w:val="008006D5"/>
    <w:rsid w:val="00801183"/>
    <w:rsid w:val="00802E6A"/>
    <w:rsid w:val="0080312E"/>
    <w:rsid w:val="00805BD2"/>
    <w:rsid w:val="00806E0C"/>
    <w:rsid w:val="00806E71"/>
    <w:rsid w:val="00806EAD"/>
    <w:rsid w:val="008077A2"/>
    <w:rsid w:val="00811B2B"/>
    <w:rsid w:val="008135DF"/>
    <w:rsid w:val="008145F5"/>
    <w:rsid w:val="00814815"/>
    <w:rsid w:val="008149B7"/>
    <w:rsid w:val="00820B7A"/>
    <w:rsid w:val="00825250"/>
    <w:rsid w:val="0082639A"/>
    <w:rsid w:val="00826DF4"/>
    <w:rsid w:val="00827693"/>
    <w:rsid w:val="008278A5"/>
    <w:rsid w:val="00827913"/>
    <w:rsid w:val="00831338"/>
    <w:rsid w:val="008322B6"/>
    <w:rsid w:val="008349F1"/>
    <w:rsid w:val="00834E68"/>
    <w:rsid w:val="00836024"/>
    <w:rsid w:val="00836323"/>
    <w:rsid w:val="00836392"/>
    <w:rsid w:val="0084010B"/>
    <w:rsid w:val="00840375"/>
    <w:rsid w:val="0084051E"/>
    <w:rsid w:val="008416EA"/>
    <w:rsid w:val="0084219E"/>
    <w:rsid w:val="008421F9"/>
    <w:rsid w:val="00842C08"/>
    <w:rsid w:val="0084367B"/>
    <w:rsid w:val="00844132"/>
    <w:rsid w:val="0084441D"/>
    <w:rsid w:val="0084672E"/>
    <w:rsid w:val="00846756"/>
    <w:rsid w:val="00847478"/>
    <w:rsid w:val="00847850"/>
    <w:rsid w:val="008506DA"/>
    <w:rsid w:val="008509E9"/>
    <w:rsid w:val="00851546"/>
    <w:rsid w:val="0085235C"/>
    <w:rsid w:val="00852D2B"/>
    <w:rsid w:val="00854605"/>
    <w:rsid w:val="008546A9"/>
    <w:rsid w:val="00854857"/>
    <w:rsid w:val="00855D57"/>
    <w:rsid w:val="00856EB5"/>
    <w:rsid w:val="00861345"/>
    <w:rsid w:val="00861C75"/>
    <w:rsid w:val="00862399"/>
    <w:rsid w:val="00863597"/>
    <w:rsid w:val="0086457B"/>
    <w:rsid w:val="0086648B"/>
    <w:rsid w:val="008670FF"/>
    <w:rsid w:val="008673F2"/>
    <w:rsid w:val="00867E7D"/>
    <w:rsid w:val="0087218F"/>
    <w:rsid w:val="0087282D"/>
    <w:rsid w:val="0087290D"/>
    <w:rsid w:val="00872EB7"/>
    <w:rsid w:val="008731F9"/>
    <w:rsid w:val="00873699"/>
    <w:rsid w:val="00873C5C"/>
    <w:rsid w:val="00873E3C"/>
    <w:rsid w:val="008746F3"/>
    <w:rsid w:val="008750E2"/>
    <w:rsid w:val="00875919"/>
    <w:rsid w:val="00876486"/>
    <w:rsid w:val="00880408"/>
    <w:rsid w:val="008804EE"/>
    <w:rsid w:val="0088067A"/>
    <w:rsid w:val="008814EF"/>
    <w:rsid w:val="00882D77"/>
    <w:rsid w:val="008849D8"/>
    <w:rsid w:val="00884F30"/>
    <w:rsid w:val="00886003"/>
    <w:rsid w:val="008866E8"/>
    <w:rsid w:val="0088671C"/>
    <w:rsid w:val="00886C7C"/>
    <w:rsid w:val="00886FE3"/>
    <w:rsid w:val="00887834"/>
    <w:rsid w:val="00887AC6"/>
    <w:rsid w:val="008930B7"/>
    <w:rsid w:val="008944F2"/>
    <w:rsid w:val="0089451E"/>
    <w:rsid w:val="008955DA"/>
    <w:rsid w:val="00896DBD"/>
    <w:rsid w:val="008971AE"/>
    <w:rsid w:val="008A02BD"/>
    <w:rsid w:val="008A04CB"/>
    <w:rsid w:val="008A126C"/>
    <w:rsid w:val="008A2CE6"/>
    <w:rsid w:val="008A383E"/>
    <w:rsid w:val="008A4808"/>
    <w:rsid w:val="008A656F"/>
    <w:rsid w:val="008A6DFE"/>
    <w:rsid w:val="008A727F"/>
    <w:rsid w:val="008A7FC8"/>
    <w:rsid w:val="008B0862"/>
    <w:rsid w:val="008B0EFE"/>
    <w:rsid w:val="008B183C"/>
    <w:rsid w:val="008B1E93"/>
    <w:rsid w:val="008B2542"/>
    <w:rsid w:val="008B5981"/>
    <w:rsid w:val="008B5F1B"/>
    <w:rsid w:val="008B6C52"/>
    <w:rsid w:val="008B750D"/>
    <w:rsid w:val="008B7898"/>
    <w:rsid w:val="008B7CD7"/>
    <w:rsid w:val="008C0CD1"/>
    <w:rsid w:val="008C3068"/>
    <w:rsid w:val="008C43C2"/>
    <w:rsid w:val="008C48D9"/>
    <w:rsid w:val="008C53C1"/>
    <w:rsid w:val="008C70C0"/>
    <w:rsid w:val="008C7D55"/>
    <w:rsid w:val="008D0256"/>
    <w:rsid w:val="008D3A18"/>
    <w:rsid w:val="008D3A6D"/>
    <w:rsid w:val="008D3F60"/>
    <w:rsid w:val="008D5628"/>
    <w:rsid w:val="008D5B3D"/>
    <w:rsid w:val="008D6A4A"/>
    <w:rsid w:val="008E0151"/>
    <w:rsid w:val="008E210E"/>
    <w:rsid w:val="008E2235"/>
    <w:rsid w:val="008E3423"/>
    <w:rsid w:val="008E3F3A"/>
    <w:rsid w:val="008E4B36"/>
    <w:rsid w:val="008E5CD7"/>
    <w:rsid w:val="008E63C4"/>
    <w:rsid w:val="008F16BC"/>
    <w:rsid w:val="008F1DAB"/>
    <w:rsid w:val="008F2310"/>
    <w:rsid w:val="008F27A0"/>
    <w:rsid w:val="008F3C01"/>
    <w:rsid w:val="009006E5"/>
    <w:rsid w:val="009007F1"/>
    <w:rsid w:val="00900E7E"/>
    <w:rsid w:val="00901C49"/>
    <w:rsid w:val="00901F60"/>
    <w:rsid w:val="00902E0A"/>
    <w:rsid w:val="00902FD9"/>
    <w:rsid w:val="0090374D"/>
    <w:rsid w:val="00903EB4"/>
    <w:rsid w:val="009078CC"/>
    <w:rsid w:val="00911911"/>
    <w:rsid w:val="00911F7B"/>
    <w:rsid w:val="00913281"/>
    <w:rsid w:val="009132BC"/>
    <w:rsid w:val="00913EA5"/>
    <w:rsid w:val="009146C1"/>
    <w:rsid w:val="009151D0"/>
    <w:rsid w:val="00915BFA"/>
    <w:rsid w:val="00915D96"/>
    <w:rsid w:val="00916C9E"/>
    <w:rsid w:val="00916E8A"/>
    <w:rsid w:val="00921942"/>
    <w:rsid w:val="00921DFD"/>
    <w:rsid w:val="009226CC"/>
    <w:rsid w:val="00922802"/>
    <w:rsid w:val="00925F73"/>
    <w:rsid w:val="00927849"/>
    <w:rsid w:val="0093033C"/>
    <w:rsid w:val="00930919"/>
    <w:rsid w:val="009316ED"/>
    <w:rsid w:val="00932009"/>
    <w:rsid w:val="0093281D"/>
    <w:rsid w:val="0093298F"/>
    <w:rsid w:val="00933949"/>
    <w:rsid w:val="0093723F"/>
    <w:rsid w:val="0093748E"/>
    <w:rsid w:val="00937511"/>
    <w:rsid w:val="00940539"/>
    <w:rsid w:val="00941121"/>
    <w:rsid w:val="00941B08"/>
    <w:rsid w:val="00942509"/>
    <w:rsid w:val="0094390E"/>
    <w:rsid w:val="00943CEA"/>
    <w:rsid w:val="00945A5E"/>
    <w:rsid w:val="00947278"/>
    <w:rsid w:val="0095004A"/>
    <w:rsid w:val="00950F86"/>
    <w:rsid w:val="0095233D"/>
    <w:rsid w:val="0095574A"/>
    <w:rsid w:val="00956134"/>
    <w:rsid w:val="00961142"/>
    <w:rsid w:val="009612A7"/>
    <w:rsid w:val="00962485"/>
    <w:rsid w:val="00962B73"/>
    <w:rsid w:val="00963ADB"/>
    <w:rsid w:val="00966861"/>
    <w:rsid w:val="0096700F"/>
    <w:rsid w:val="00967444"/>
    <w:rsid w:val="00967D7A"/>
    <w:rsid w:val="00970749"/>
    <w:rsid w:val="009709D5"/>
    <w:rsid w:val="00972551"/>
    <w:rsid w:val="00972561"/>
    <w:rsid w:val="009727D2"/>
    <w:rsid w:val="0097491C"/>
    <w:rsid w:val="00974F09"/>
    <w:rsid w:val="0097504C"/>
    <w:rsid w:val="009755C5"/>
    <w:rsid w:val="0097567A"/>
    <w:rsid w:val="00976374"/>
    <w:rsid w:val="00977870"/>
    <w:rsid w:val="00983642"/>
    <w:rsid w:val="00983A1F"/>
    <w:rsid w:val="009846A6"/>
    <w:rsid w:val="00984911"/>
    <w:rsid w:val="00987485"/>
    <w:rsid w:val="00987AFC"/>
    <w:rsid w:val="00990B87"/>
    <w:rsid w:val="0099167B"/>
    <w:rsid w:val="00992DEB"/>
    <w:rsid w:val="009931CF"/>
    <w:rsid w:val="00993442"/>
    <w:rsid w:val="00993999"/>
    <w:rsid w:val="00994A09"/>
    <w:rsid w:val="00996213"/>
    <w:rsid w:val="009A0368"/>
    <w:rsid w:val="009A0BAD"/>
    <w:rsid w:val="009A0CC8"/>
    <w:rsid w:val="009A207B"/>
    <w:rsid w:val="009A2415"/>
    <w:rsid w:val="009A28C9"/>
    <w:rsid w:val="009A2957"/>
    <w:rsid w:val="009A33A6"/>
    <w:rsid w:val="009A5A0D"/>
    <w:rsid w:val="009A679E"/>
    <w:rsid w:val="009A6D1B"/>
    <w:rsid w:val="009A7277"/>
    <w:rsid w:val="009B14D8"/>
    <w:rsid w:val="009B24F3"/>
    <w:rsid w:val="009B265C"/>
    <w:rsid w:val="009B303B"/>
    <w:rsid w:val="009B3BDA"/>
    <w:rsid w:val="009B44C1"/>
    <w:rsid w:val="009B76D8"/>
    <w:rsid w:val="009B77EE"/>
    <w:rsid w:val="009B785F"/>
    <w:rsid w:val="009C0398"/>
    <w:rsid w:val="009C072C"/>
    <w:rsid w:val="009C1E6A"/>
    <w:rsid w:val="009C22EA"/>
    <w:rsid w:val="009C244B"/>
    <w:rsid w:val="009C4462"/>
    <w:rsid w:val="009C4B4A"/>
    <w:rsid w:val="009C546A"/>
    <w:rsid w:val="009C577F"/>
    <w:rsid w:val="009C6991"/>
    <w:rsid w:val="009C6FDF"/>
    <w:rsid w:val="009D37A9"/>
    <w:rsid w:val="009D5080"/>
    <w:rsid w:val="009D6B2A"/>
    <w:rsid w:val="009D6D96"/>
    <w:rsid w:val="009D7BDF"/>
    <w:rsid w:val="009D7D60"/>
    <w:rsid w:val="009E1C06"/>
    <w:rsid w:val="009E28DB"/>
    <w:rsid w:val="009E2D2F"/>
    <w:rsid w:val="009E35B1"/>
    <w:rsid w:val="009E3B7A"/>
    <w:rsid w:val="009E3F60"/>
    <w:rsid w:val="009E4B29"/>
    <w:rsid w:val="009E4C54"/>
    <w:rsid w:val="009E7D2B"/>
    <w:rsid w:val="009F05DD"/>
    <w:rsid w:val="009F0C75"/>
    <w:rsid w:val="009F250A"/>
    <w:rsid w:val="009F26D1"/>
    <w:rsid w:val="009F3F7B"/>
    <w:rsid w:val="009F4873"/>
    <w:rsid w:val="009F679F"/>
    <w:rsid w:val="009F7027"/>
    <w:rsid w:val="00A00A4A"/>
    <w:rsid w:val="00A00C88"/>
    <w:rsid w:val="00A00E80"/>
    <w:rsid w:val="00A046F7"/>
    <w:rsid w:val="00A051DE"/>
    <w:rsid w:val="00A06398"/>
    <w:rsid w:val="00A10B39"/>
    <w:rsid w:val="00A110EF"/>
    <w:rsid w:val="00A1161A"/>
    <w:rsid w:val="00A1305D"/>
    <w:rsid w:val="00A13F24"/>
    <w:rsid w:val="00A13F63"/>
    <w:rsid w:val="00A14D57"/>
    <w:rsid w:val="00A15843"/>
    <w:rsid w:val="00A15B2B"/>
    <w:rsid w:val="00A15C52"/>
    <w:rsid w:val="00A16776"/>
    <w:rsid w:val="00A16A22"/>
    <w:rsid w:val="00A20564"/>
    <w:rsid w:val="00A20962"/>
    <w:rsid w:val="00A21D2D"/>
    <w:rsid w:val="00A21FC1"/>
    <w:rsid w:val="00A223AA"/>
    <w:rsid w:val="00A2280F"/>
    <w:rsid w:val="00A2327C"/>
    <w:rsid w:val="00A24050"/>
    <w:rsid w:val="00A2440F"/>
    <w:rsid w:val="00A24F06"/>
    <w:rsid w:val="00A259E1"/>
    <w:rsid w:val="00A263EC"/>
    <w:rsid w:val="00A266F5"/>
    <w:rsid w:val="00A2705C"/>
    <w:rsid w:val="00A30699"/>
    <w:rsid w:val="00A30ABA"/>
    <w:rsid w:val="00A314B9"/>
    <w:rsid w:val="00A315B2"/>
    <w:rsid w:val="00A33D5D"/>
    <w:rsid w:val="00A34259"/>
    <w:rsid w:val="00A35731"/>
    <w:rsid w:val="00A36822"/>
    <w:rsid w:val="00A41885"/>
    <w:rsid w:val="00A41B45"/>
    <w:rsid w:val="00A4421B"/>
    <w:rsid w:val="00A44E4B"/>
    <w:rsid w:val="00A45447"/>
    <w:rsid w:val="00A460A6"/>
    <w:rsid w:val="00A52515"/>
    <w:rsid w:val="00A53E70"/>
    <w:rsid w:val="00A54B37"/>
    <w:rsid w:val="00A56734"/>
    <w:rsid w:val="00A60085"/>
    <w:rsid w:val="00A609DD"/>
    <w:rsid w:val="00A60B57"/>
    <w:rsid w:val="00A61815"/>
    <w:rsid w:val="00A644DE"/>
    <w:rsid w:val="00A64B45"/>
    <w:rsid w:val="00A65157"/>
    <w:rsid w:val="00A6740F"/>
    <w:rsid w:val="00A70136"/>
    <w:rsid w:val="00A7179F"/>
    <w:rsid w:val="00A73C07"/>
    <w:rsid w:val="00A748D3"/>
    <w:rsid w:val="00A81293"/>
    <w:rsid w:val="00A820CF"/>
    <w:rsid w:val="00A8261B"/>
    <w:rsid w:val="00A82855"/>
    <w:rsid w:val="00A84025"/>
    <w:rsid w:val="00A8491F"/>
    <w:rsid w:val="00A84F7E"/>
    <w:rsid w:val="00A8568F"/>
    <w:rsid w:val="00A86C53"/>
    <w:rsid w:val="00A90A29"/>
    <w:rsid w:val="00A90C9D"/>
    <w:rsid w:val="00A921BD"/>
    <w:rsid w:val="00A94A42"/>
    <w:rsid w:val="00A95A88"/>
    <w:rsid w:val="00AA1B63"/>
    <w:rsid w:val="00AA20CC"/>
    <w:rsid w:val="00AA2981"/>
    <w:rsid w:val="00AA3188"/>
    <w:rsid w:val="00AA420D"/>
    <w:rsid w:val="00AA509B"/>
    <w:rsid w:val="00AA5FC9"/>
    <w:rsid w:val="00AA61A7"/>
    <w:rsid w:val="00AA7ED7"/>
    <w:rsid w:val="00AB057E"/>
    <w:rsid w:val="00AB25DD"/>
    <w:rsid w:val="00AB2C8C"/>
    <w:rsid w:val="00AB3192"/>
    <w:rsid w:val="00AB33FA"/>
    <w:rsid w:val="00AB34B5"/>
    <w:rsid w:val="00AB444A"/>
    <w:rsid w:val="00AB45DA"/>
    <w:rsid w:val="00AB4E92"/>
    <w:rsid w:val="00AB695D"/>
    <w:rsid w:val="00AB78F6"/>
    <w:rsid w:val="00AB79A0"/>
    <w:rsid w:val="00AC060F"/>
    <w:rsid w:val="00AC19A3"/>
    <w:rsid w:val="00AC1E63"/>
    <w:rsid w:val="00AC252B"/>
    <w:rsid w:val="00AC2FDE"/>
    <w:rsid w:val="00AC405E"/>
    <w:rsid w:val="00AC41FF"/>
    <w:rsid w:val="00AC4F86"/>
    <w:rsid w:val="00AC703B"/>
    <w:rsid w:val="00AC74E6"/>
    <w:rsid w:val="00AD1F1D"/>
    <w:rsid w:val="00AD52E2"/>
    <w:rsid w:val="00AD6DE0"/>
    <w:rsid w:val="00AE0037"/>
    <w:rsid w:val="00AE056D"/>
    <w:rsid w:val="00AE0C84"/>
    <w:rsid w:val="00AE0E08"/>
    <w:rsid w:val="00AE1C0C"/>
    <w:rsid w:val="00AE2B1B"/>
    <w:rsid w:val="00AE2E12"/>
    <w:rsid w:val="00AE72A5"/>
    <w:rsid w:val="00AE732F"/>
    <w:rsid w:val="00AF074C"/>
    <w:rsid w:val="00AF190C"/>
    <w:rsid w:val="00AF33F1"/>
    <w:rsid w:val="00AF39DE"/>
    <w:rsid w:val="00AF4795"/>
    <w:rsid w:val="00AF50E9"/>
    <w:rsid w:val="00AF716F"/>
    <w:rsid w:val="00AF7BAB"/>
    <w:rsid w:val="00AF7BE0"/>
    <w:rsid w:val="00AF7DD7"/>
    <w:rsid w:val="00AF7F38"/>
    <w:rsid w:val="00B02B3C"/>
    <w:rsid w:val="00B03AF0"/>
    <w:rsid w:val="00B05373"/>
    <w:rsid w:val="00B067E6"/>
    <w:rsid w:val="00B1108C"/>
    <w:rsid w:val="00B11A88"/>
    <w:rsid w:val="00B11EDB"/>
    <w:rsid w:val="00B12260"/>
    <w:rsid w:val="00B13F00"/>
    <w:rsid w:val="00B14CAA"/>
    <w:rsid w:val="00B152F2"/>
    <w:rsid w:val="00B15470"/>
    <w:rsid w:val="00B156E1"/>
    <w:rsid w:val="00B160D9"/>
    <w:rsid w:val="00B25433"/>
    <w:rsid w:val="00B2626C"/>
    <w:rsid w:val="00B32290"/>
    <w:rsid w:val="00B333EE"/>
    <w:rsid w:val="00B33D36"/>
    <w:rsid w:val="00B3520E"/>
    <w:rsid w:val="00B35F2E"/>
    <w:rsid w:val="00B3728B"/>
    <w:rsid w:val="00B379A4"/>
    <w:rsid w:val="00B401DD"/>
    <w:rsid w:val="00B408B6"/>
    <w:rsid w:val="00B41841"/>
    <w:rsid w:val="00B41C94"/>
    <w:rsid w:val="00B433CD"/>
    <w:rsid w:val="00B43A6E"/>
    <w:rsid w:val="00B50D16"/>
    <w:rsid w:val="00B52799"/>
    <w:rsid w:val="00B52D08"/>
    <w:rsid w:val="00B531ED"/>
    <w:rsid w:val="00B53574"/>
    <w:rsid w:val="00B537F2"/>
    <w:rsid w:val="00B53F90"/>
    <w:rsid w:val="00B55269"/>
    <w:rsid w:val="00B60027"/>
    <w:rsid w:val="00B614C5"/>
    <w:rsid w:val="00B61908"/>
    <w:rsid w:val="00B62C86"/>
    <w:rsid w:val="00B63340"/>
    <w:rsid w:val="00B6353C"/>
    <w:rsid w:val="00B63AE9"/>
    <w:rsid w:val="00B64189"/>
    <w:rsid w:val="00B65573"/>
    <w:rsid w:val="00B662B0"/>
    <w:rsid w:val="00B666BC"/>
    <w:rsid w:val="00B670B6"/>
    <w:rsid w:val="00B670FF"/>
    <w:rsid w:val="00B70B80"/>
    <w:rsid w:val="00B72B69"/>
    <w:rsid w:val="00B7377D"/>
    <w:rsid w:val="00B745D7"/>
    <w:rsid w:val="00B75172"/>
    <w:rsid w:val="00B76BE0"/>
    <w:rsid w:val="00B76D00"/>
    <w:rsid w:val="00B76D49"/>
    <w:rsid w:val="00B76E59"/>
    <w:rsid w:val="00B778E8"/>
    <w:rsid w:val="00B77AE1"/>
    <w:rsid w:val="00B80913"/>
    <w:rsid w:val="00B8139C"/>
    <w:rsid w:val="00B82F09"/>
    <w:rsid w:val="00B846CC"/>
    <w:rsid w:val="00B864CB"/>
    <w:rsid w:val="00B8672B"/>
    <w:rsid w:val="00B9047B"/>
    <w:rsid w:val="00B90683"/>
    <w:rsid w:val="00B91A8D"/>
    <w:rsid w:val="00B91DBE"/>
    <w:rsid w:val="00B920EB"/>
    <w:rsid w:val="00B921D6"/>
    <w:rsid w:val="00B94C2E"/>
    <w:rsid w:val="00BA06D5"/>
    <w:rsid w:val="00BA1DC9"/>
    <w:rsid w:val="00BA232B"/>
    <w:rsid w:val="00BA2ABD"/>
    <w:rsid w:val="00BA34AD"/>
    <w:rsid w:val="00BA4B2A"/>
    <w:rsid w:val="00BA6BE5"/>
    <w:rsid w:val="00BA716D"/>
    <w:rsid w:val="00BB001B"/>
    <w:rsid w:val="00BB086D"/>
    <w:rsid w:val="00BB47E2"/>
    <w:rsid w:val="00BB58C2"/>
    <w:rsid w:val="00BB60B4"/>
    <w:rsid w:val="00BB69FF"/>
    <w:rsid w:val="00BD024C"/>
    <w:rsid w:val="00BD4529"/>
    <w:rsid w:val="00BD545A"/>
    <w:rsid w:val="00BD6F55"/>
    <w:rsid w:val="00BE44A8"/>
    <w:rsid w:val="00BE5186"/>
    <w:rsid w:val="00BF054B"/>
    <w:rsid w:val="00BF1C2D"/>
    <w:rsid w:val="00BF2735"/>
    <w:rsid w:val="00BF4665"/>
    <w:rsid w:val="00BF5919"/>
    <w:rsid w:val="00BF6A53"/>
    <w:rsid w:val="00BF738E"/>
    <w:rsid w:val="00BF7C1F"/>
    <w:rsid w:val="00C0063E"/>
    <w:rsid w:val="00C02A6E"/>
    <w:rsid w:val="00C03EC5"/>
    <w:rsid w:val="00C0402F"/>
    <w:rsid w:val="00C048B7"/>
    <w:rsid w:val="00C0505D"/>
    <w:rsid w:val="00C06DCC"/>
    <w:rsid w:val="00C11013"/>
    <w:rsid w:val="00C113EF"/>
    <w:rsid w:val="00C12ACC"/>
    <w:rsid w:val="00C14CE5"/>
    <w:rsid w:val="00C151C8"/>
    <w:rsid w:val="00C158AF"/>
    <w:rsid w:val="00C20D15"/>
    <w:rsid w:val="00C21C30"/>
    <w:rsid w:val="00C24554"/>
    <w:rsid w:val="00C24844"/>
    <w:rsid w:val="00C24D41"/>
    <w:rsid w:val="00C25D05"/>
    <w:rsid w:val="00C30025"/>
    <w:rsid w:val="00C301EC"/>
    <w:rsid w:val="00C3120B"/>
    <w:rsid w:val="00C3179B"/>
    <w:rsid w:val="00C323C4"/>
    <w:rsid w:val="00C3254A"/>
    <w:rsid w:val="00C32647"/>
    <w:rsid w:val="00C329A2"/>
    <w:rsid w:val="00C32E45"/>
    <w:rsid w:val="00C35EC8"/>
    <w:rsid w:val="00C36108"/>
    <w:rsid w:val="00C3663C"/>
    <w:rsid w:val="00C37937"/>
    <w:rsid w:val="00C4000C"/>
    <w:rsid w:val="00C4065A"/>
    <w:rsid w:val="00C412B4"/>
    <w:rsid w:val="00C42FF3"/>
    <w:rsid w:val="00C43C02"/>
    <w:rsid w:val="00C43E46"/>
    <w:rsid w:val="00C43F5F"/>
    <w:rsid w:val="00C44293"/>
    <w:rsid w:val="00C447FD"/>
    <w:rsid w:val="00C44BA2"/>
    <w:rsid w:val="00C44F1B"/>
    <w:rsid w:val="00C45EF8"/>
    <w:rsid w:val="00C463AA"/>
    <w:rsid w:val="00C464FB"/>
    <w:rsid w:val="00C47484"/>
    <w:rsid w:val="00C479EC"/>
    <w:rsid w:val="00C5024F"/>
    <w:rsid w:val="00C50CE7"/>
    <w:rsid w:val="00C50F82"/>
    <w:rsid w:val="00C51630"/>
    <w:rsid w:val="00C52F4B"/>
    <w:rsid w:val="00C53754"/>
    <w:rsid w:val="00C54A32"/>
    <w:rsid w:val="00C54C0A"/>
    <w:rsid w:val="00C56D93"/>
    <w:rsid w:val="00C6035E"/>
    <w:rsid w:val="00C61082"/>
    <w:rsid w:val="00C635A9"/>
    <w:rsid w:val="00C639B5"/>
    <w:rsid w:val="00C63DEB"/>
    <w:rsid w:val="00C63FE1"/>
    <w:rsid w:val="00C645BD"/>
    <w:rsid w:val="00C651A6"/>
    <w:rsid w:val="00C6534E"/>
    <w:rsid w:val="00C700BB"/>
    <w:rsid w:val="00C70B7F"/>
    <w:rsid w:val="00C71147"/>
    <w:rsid w:val="00C72091"/>
    <w:rsid w:val="00C725F3"/>
    <w:rsid w:val="00C72C14"/>
    <w:rsid w:val="00C72C99"/>
    <w:rsid w:val="00C74380"/>
    <w:rsid w:val="00C80EEF"/>
    <w:rsid w:val="00C817E7"/>
    <w:rsid w:val="00C8189E"/>
    <w:rsid w:val="00C81DDD"/>
    <w:rsid w:val="00C82101"/>
    <w:rsid w:val="00C822DC"/>
    <w:rsid w:val="00C822F8"/>
    <w:rsid w:val="00C8251B"/>
    <w:rsid w:val="00C82A48"/>
    <w:rsid w:val="00C83482"/>
    <w:rsid w:val="00C83802"/>
    <w:rsid w:val="00C83A6F"/>
    <w:rsid w:val="00C86529"/>
    <w:rsid w:val="00C926A4"/>
    <w:rsid w:val="00C92D6F"/>
    <w:rsid w:val="00C93006"/>
    <w:rsid w:val="00C93042"/>
    <w:rsid w:val="00C93571"/>
    <w:rsid w:val="00C936C9"/>
    <w:rsid w:val="00C93BB0"/>
    <w:rsid w:val="00C93DEA"/>
    <w:rsid w:val="00C97351"/>
    <w:rsid w:val="00C97362"/>
    <w:rsid w:val="00C9739A"/>
    <w:rsid w:val="00C97D8E"/>
    <w:rsid w:val="00CA0342"/>
    <w:rsid w:val="00CA1A17"/>
    <w:rsid w:val="00CA249A"/>
    <w:rsid w:val="00CA2A23"/>
    <w:rsid w:val="00CA2E07"/>
    <w:rsid w:val="00CA3530"/>
    <w:rsid w:val="00CA40A9"/>
    <w:rsid w:val="00CA462D"/>
    <w:rsid w:val="00CA4892"/>
    <w:rsid w:val="00CA752C"/>
    <w:rsid w:val="00CA7F8D"/>
    <w:rsid w:val="00CB009F"/>
    <w:rsid w:val="00CB0D84"/>
    <w:rsid w:val="00CB125D"/>
    <w:rsid w:val="00CB1C6A"/>
    <w:rsid w:val="00CB221F"/>
    <w:rsid w:val="00CB401E"/>
    <w:rsid w:val="00CB7BC5"/>
    <w:rsid w:val="00CB7D9E"/>
    <w:rsid w:val="00CC028A"/>
    <w:rsid w:val="00CC0C42"/>
    <w:rsid w:val="00CC1059"/>
    <w:rsid w:val="00CC20EA"/>
    <w:rsid w:val="00CC25C1"/>
    <w:rsid w:val="00CC2ACD"/>
    <w:rsid w:val="00CC30EB"/>
    <w:rsid w:val="00CC3524"/>
    <w:rsid w:val="00CC4EBF"/>
    <w:rsid w:val="00CC53B9"/>
    <w:rsid w:val="00CC7CE6"/>
    <w:rsid w:val="00CD1036"/>
    <w:rsid w:val="00CD379C"/>
    <w:rsid w:val="00CD3C04"/>
    <w:rsid w:val="00CD3C3C"/>
    <w:rsid w:val="00CD7D3A"/>
    <w:rsid w:val="00CD7EE5"/>
    <w:rsid w:val="00CE287B"/>
    <w:rsid w:val="00CE662A"/>
    <w:rsid w:val="00CE70C2"/>
    <w:rsid w:val="00CF5F36"/>
    <w:rsid w:val="00CF7178"/>
    <w:rsid w:val="00CF73A6"/>
    <w:rsid w:val="00D007E8"/>
    <w:rsid w:val="00D0216F"/>
    <w:rsid w:val="00D02941"/>
    <w:rsid w:val="00D05120"/>
    <w:rsid w:val="00D05575"/>
    <w:rsid w:val="00D06E5F"/>
    <w:rsid w:val="00D118BD"/>
    <w:rsid w:val="00D13151"/>
    <w:rsid w:val="00D13C76"/>
    <w:rsid w:val="00D146DC"/>
    <w:rsid w:val="00D15738"/>
    <w:rsid w:val="00D15B03"/>
    <w:rsid w:val="00D17E38"/>
    <w:rsid w:val="00D20678"/>
    <w:rsid w:val="00D2124B"/>
    <w:rsid w:val="00D2157E"/>
    <w:rsid w:val="00D22AE7"/>
    <w:rsid w:val="00D22FED"/>
    <w:rsid w:val="00D24F42"/>
    <w:rsid w:val="00D2550B"/>
    <w:rsid w:val="00D271FF"/>
    <w:rsid w:val="00D27216"/>
    <w:rsid w:val="00D27280"/>
    <w:rsid w:val="00D27853"/>
    <w:rsid w:val="00D32CB7"/>
    <w:rsid w:val="00D332B8"/>
    <w:rsid w:val="00D33656"/>
    <w:rsid w:val="00D3367E"/>
    <w:rsid w:val="00D338CB"/>
    <w:rsid w:val="00D33956"/>
    <w:rsid w:val="00D34AF8"/>
    <w:rsid w:val="00D34F1B"/>
    <w:rsid w:val="00D36FF6"/>
    <w:rsid w:val="00D40AD3"/>
    <w:rsid w:val="00D40D77"/>
    <w:rsid w:val="00D41229"/>
    <w:rsid w:val="00D4367A"/>
    <w:rsid w:val="00D43D4B"/>
    <w:rsid w:val="00D43E71"/>
    <w:rsid w:val="00D50EC5"/>
    <w:rsid w:val="00D5170D"/>
    <w:rsid w:val="00D528C8"/>
    <w:rsid w:val="00D55D5F"/>
    <w:rsid w:val="00D571F7"/>
    <w:rsid w:val="00D57B08"/>
    <w:rsid w:val="00D57D13"/>
    <w:rsid w:val="00D615B3"/>
    <w:rsid w:val="00D617C0"/>
    <w:rsid w:val="00D6243F"/>
    <w:rsid w:val="00D624B2"/>
    <w:rsid w:val="00D6403A"/>
    <w:rsid w:val="00D64504"/>
    <w:rsid w:val="00D64DEA"/>
    <w:rsid w:val="00D65315"/>
    <w:rsid w:val="00D6591A"/>
    <w:rsid w:val="00D66996"/>
    <w:rsid w:val="00D6752B"/>
    <w:rsid w:val="00D70518"/>
    <w:rsid w:val="00D70D94"/>
    <w:rsid w:val="00D71230"/>
    <w:rsid w:val="00D72029"/>
    <w:rsid w:val="00D7421D"/>
    <w:rsid w:val="00D743FE"/>
    <w:rsid w:val="00D74504"/>
    <w:rsid w:val="00D774C6"/>
    <w:rsid w:val="00D7796E"/>
    <w:rsid w:val="00D80163"/>
    <w:rsid w:val="00D8027F"/>
    <w:rsid w:val="00D8140D"/>
    <w:rsid w:val="00D81B27"/>
    <w:rsid w:val="00D82B7F"/>
    <w:rsid w:val="00D83E45"/>
    <w:rsid w:val="00D846F4"/>
    <w:rsid w:val="00D84CCB"/>
    <w:rsid w:val="00D84E18"/>
    <w:rsid w:val="00D857C8"/>
    <w:rsid w:val="00D863AB"/>
    <w:rsid w:val="00D87009"/>
    <w:rsid w:val="00D877CB"/>
    <w:rsid w:val="00D901F3"/>
    <w:rsid w:val="00D938BA"/>
    <w:rsid w:val="00D93D75"/>
    <w:rsid w:val="00D949FA"/>
    <w:rsid w:val="00D95125"/>
    <w:rsid w:val="00D95E9F"/>
    <w:rsid w:val="00D976EC"/>
    <w:rsid w:val="00DA2061"/>
    <w:rsid w:val="00DA2508"/>
    <w:rsid w:val="00DA4948"/>
    <w:rsid w:val="00DA4D55"/>
    <w:rsid w:val="00DA632F"/>
    <w:rsid w:val="00DA6DA5"/>
    <w:rsid w:val="00DA7510"/>
    <w:rsid w:val="00DA7CE8"/>
    <w:rsid w:val="00DB0709"/>
    <w:rsid w:val="00DB088A"/>
    <w:rsid w:val="00DB2470"/>
    <w:rsid w:val="00DB45BF"/>
    <w:rsid w:val="00DB4C8D"/>
    <w:rsid w:val="00DB6BD8"/>
    <w:rsid w:val="00DC3291"/>
    <w:rsid w:val="00DC35D8"/>
    <w:rsid w:val="00DC4CAD"/>
    <w:rsid w:val="00DC4F29"/>
    <w:rsid w:val="00DC59DC"/>
    <w:rsid w:val="00DC6E6A"/>
    <w:rsid w:val="00DC7FB4"/>
    <w:rsid w:val="00DD0589"/>
    <w:rsid w:val="00DD1406"/>
    <w:rsid w:val="00DD25FC"/>
    <w:rsid w:val="00DD2CA8"/>
    <w:rsid w:val="00DD38E3"/>
    <w:rsid w:val="00DD60EE"/>
    <w:rsid w:val="00DD6B71"/>
    <w:rsid w:val="00DE082B"/>
    <w:rsid w:val="00DE10DE"/>
    <w:rsid w:val="00DE2137"/>
    <w:rsid w:val="00DE2E6A"/>
    <w:rsid w:val="00DE37AF"/>
    <w:rsid w:val="00DE3C59"/>
    <w:rsid w:val="00DE3D4F"/>
    <w:rsid w:val="00DE48D5"/>
    <w:rsid w:val="00DE5043"/>
    <w:rsid w:val="00DE650C"/>
    <w:rsid w:val="00DE7476"/>
    <w:rsid w:val="00DE7993"/>
    <w:rsid w:val="00DF01CB"/>
    <w:rsid w:val="00DF0821"/>
    <w:rsid w:val="00DF44AB"/>
    <w:rsid w:val="00DF44BE"/>
    <w:rsid w:val="00DF49B8"/>
    <w:rsid w:val="00DF64FD"/>
    <w:rsid w:val="00DF6807"/>
    <w:rsid w:val="00DF69B4"/>
    <w:rsid w:val="00DF7D7B"/>
    <w:rsid w:val="00E0373D"/>
    <w:rsid w:val="00E037AA"/>
    <w:rsid w:val="00E03A66"/>
    <w:rsid w:val="00E04225"/>
    <w:rsid w:val="00E05AF6"/>
    <w:rsid w:val="00E05CEC"/>
    <w:rsid w:val="00E06367"/>
    <w:rsid w:val="00E10958"/>
    <w:rsid w:val="00E10EE2"/>
    <w:rsid w:val="00E10EE4"/>
    <w:rsid w:val="00E1161B"/>
    <w:rsid w:val="00E127AC"/>
    <w:rsid w:val="00E14318"/>
    <w:rsid w:val="00E210C5"/>
    <w:rsid w:val="00E211AD"/>
    <w:rsid w:val="00E22632"/>
    <w:rsid w:val="00E24EF9"/>
    <w:rsid w:val="00E24FB9"/>
    <w:rsid w:val="00E26CD1"/>
    <w:rsid w:val="00E26F82"/>
    <w:rsid w:val="00E277C2"/>
    <w:rsid w:val="00E32115"/>
    <w:rsid w:val="00E331A2"/>
    <w:rsid w:val="00E33DE1"/>
    <w:rsid w:val="00E34198"/>
    <w:rsid w:val="00E35189"/>
    <w:rsid w:val="00E3627D"/>
    <w:rsid w:val="00E36844"/>
    <w:rsid w:val="00E37143"/>
    <w:rsid w:val="00E416B1"/>
    <w:rsid w:val="00E41A82"/>
    <w:rsid w:val="00E44149"/>
    <w:rsid w:val="00E44423"/>
    <w:rsid w:val="00E44D80"/>
    <w:rsid w:val="00E44ECA"/>
    <w:rsid w:val="00E459C3"/>
    <w:rsid w:val="00E467BE"/>
    <w:rsid w:val="00E51303"/>
    <w:rsid w:val="00E52B8F"/>
    <w:rsid w:val="00E53464"/>
    <w:rsid w:val="00E53A61"/>
    <w:rsid w:val="00E553DC"/>
    <w:rsid w:val="00E57384"/>
    <w:rsid w:val="00E5755C"/>
    <w:rsid w:val="00E6098D"/>
    <w:rsid w:val="00E612F0"/>
    <w:rsid w:val="00E63318"/>
    <w:rsid w:val="00E63CC2"/>
    <w:rsid w:val="00E6465C"/>
    <w:rsid w:val="00E6578A"/>
    <w:rsid w:val="00E66918"/>
    <w:rsid w:val="00E678BB"/>
    <w:rsid w:val="00E71CFF"/>
    <w:rsid w:val="00E726B2"/>
    <w:rsid w:val="00E7293B"/>
    <w:rsid w:val="00E72DBE"/>
    <w:rsid w:val="00E73B2C"/>
    <w:rsid w:val="00E74109"/>
    <w:rsid w:val="00E750F1"/>
    <w:rsid w:val="00E76123"/>
    <w:rsid w:val="00E81353"/>
    <w:rsid w:val="00E814E3"/>
    <w:rsid w:val="00E81AC0"/>
    <w:rsid w:val="00E83542"/>
    <w:rsid w:val="00E85C7D"/>
    <w:rsid w:val="00E90241"/>
    <w:rsid w:val="00E93591"/>
    <w:rsid w:val="00E95C5E"/>
    <w:rsid w:val="00E95D28"/>
    <w:rsid w:val="00E9608E"/>
    <w:rsid w:val="00E97393"/>
    <w:rsid w:val="00EA068D"/>
    <w:rsid w:val="00EA0B4E"/>
    <w:rsid w:val="00EA0DE3"/>
    <w:rsid w:val="00EA0DED"/>
    <w:rsid w:val="00EA0E4D"/>
    <w:rsid w:val="00EA19C1"/>
    <w:rsid w:val="00EA5973"/>
    <w:rsid w:val="00EA5F56"/>
    <w:rsid w:val="00EB1D29"/>
    <w:rsid w:val="00EB1E0E"/>
    <w:rsid w:val="00EB6765"/>
    <w:rsid w:val="00EB77D8"/>
    <w:rsid w:val="00EB7CEA"/>
    <w:rsid w:val="00EB7D4B"/>
    <w:rsid w:val="00EC0D69"/>
    <w:rsid w:val="00EC100A"/>
    <w:rsid w:val="00EC1B52"/>
    <w:rsid w:val="00EC590E"/>
    <w:rsid w:val="00EC67A7"/>
    <w:rsid w:val="00EC687A"/>
    <w:rsid w:val="00ED030A"/>
    <w:rsid w:val="00ED144B"/>
    <w:rsid w:val="00ED1636"/>
    <w:rsid w:val="00ED1880"/>
    <w:rsid w:val="00ED1C66"/>
    <w:rsid w:val="00ED1FB9"/>
    <w:rsid w:val="00ED2322"/>
    <w:rsid w:val="00ED2CE9"/>
    <w:rsid w:val="00ED31B9"/>
    <w:rsid w:val="00ED4AE4"/>
    <w:rsid w:val="00ED745A"/>
    <w:rsid w:val="00EE21F3"/>
    <w:rsid w:val="00EE220E"/>
    <w:rsid w:val="00EE464D"/>
    <w:rsid w:val="00EE4723"/>
    <w:rsid w:val="00EE484A"/>
    <w:rsid w:val="00EE4BF8"/>
    <w:rsid w:val="00EE65D5"/>
    <w:rsid w:val="00EE739D"/>
    <w:rsid w:val="00EE77C3"/>
    <w:rsid w:val="00EF0370"/>
    <w:rsid w:val="00EF1532"/>
    <w:rsid w:val="00EF15F7"/>
    <w:rsid w:val="00EF1EE8"/>
    <w:rsid w:val="00EF287C"/>
    <w:rsid w:val="00EF2C96"/>
    <w:rsid w:val="00EF3624"/>
    <w:rsid w:val="00EF3A2F"/>
    <w:rsid w:val="00EF3FEF"/>
    <w:rsid w:val="00EF4627"/>
    <w:rsid w:val="00EF4CB8"/>
    <w:rsid w:val="00EF63BE"/>
    <w:rsid w:val="00EF69B2"/>
    <w:rsid w:val="00EF7203"/>
    <w:rsid w:val="00F004BB"/>
    <w:rsid w:val="00F02711"/>
    <w:rsid w:val="00F02993"/>
    <w:rsid w:val="00F034A1"/>
    <w:rsid w:val="00F035C7"/>
    <w:rsid w:val="00F03E30"/>
    <w:rsid w:val="00F04C32"/>
    <w:rsid w:val="00F06A0C"/>
    <w:rsid w:val="00F07186"/>
    <w:rsid w:val="00F10F95"/>
    <w:rsid w:val="00F11A57"/>
    <w:rsid w:val="00F11A82"/>
    <w:rsid w:val="00F12658"/>
    <w:rsid w:val="00F13BCF"/>
    <w:rsid w:val="00F172D2"/>
    <w:rsid w:val="00F1751D"/>
    <w:rsid w:val="00F17A61"/>
    <w:rsid w:val="00F20CC9"/>
    <w:rsid w:val="00F21455"/>
    <w:rsid w:val="00F2362D"/>
    <w:rsid w:val="00F23DAA"/>
    <w:rsid w:val="00F23E66"/>
    <w:rsid w:val="00F242C4"/>
    <w:rsid w:val="00F250A2"/>
    <w:rsid w:val="00F25D35"/>
    <w:rsid w:val="00F25D38"/>
    <w:rsid w:val="00F25F8D"/>
    <w:rsid w:val="00F300BA"/>
    <w:rsid w:val="00F30848"/>
    <w:rsid w:val="00F315C8"/>
    <w:rsid w:val="00F31C5F"/>
    <w:rsid w:val="00F32432"/>
    <w:rsid w:val="00F336D9"/>
    <w:rsid w:val="00F33FAE"/>
    <w:rsid w:val="00F3448F"/>
    <w:rsid w:val="00F34C16"/>
    <w:rsid w:val="00F34FDF"/>
    <w:rsid w:val="00F3505E"/>
    <w:rsid w:val="00F3561D"/>
    <w:rsid w:val="00F361CF"/>
    <w:rsid w:val="00F378D5"/>
    <w:rsid w:val="00F37D84"/>
    <w:rsid w:val="00F37E63"/>
    <w:rsid w:val="00F400F5"/>
    <w:rsid w:val="00F4068D"/>
    <w:rsid w:val="00F41B44"/>
    <w:rsid w:val="00F41EC4"/>
    <w:rsid w:val="00F41F12"/>
    <w:rsid w:val="00F43F1D"/>
    <w:rsid w:val="00F44E6C"/>
    <w:rsid w:val="00F46C87"/>
    <w:rsid w:val="00F50631"/>
    <w:rsid w:val="00F511C0"/>
    <w:rsid w:val="00F51960"/>
    <w:rsid w:val="00F51C57"/>
    <w:rsid w:val="00F52597"/>
    <w:rsid w:val="00F53325"/>
    <w:rsid w:val="00F534DE"/>
    <w:rsid w:val="00F53584"/>
    <w:rsid w:val="00F54AF2"/>
    <w:rsid w:val="00F56397"/>
    <w:rsid w:val="00F564CA"/>
    <w:rsid w:val="00F565FE"/>
    <w:rsid w:val="00F571C7"/>
    <w:rsid w:val="00F572A3"/>
    <w:rsid w:val="00F61031"/>
    <w:rsid w:val="00F622FA"/>
    <w:rsid w:val="00F63C51"/>
    <w:rsid w:val="00F641B3"/>
    <w:rsid w:val="00F64732"/>
    <w:rsid w:val="00F64D24"/>
    <w:rsid w:val="00F6532F"/>
    <w:rsid w:val="00F65A9C"/>
    <w:rsid w:val="00F67579"/>
    <w:rsid w:val="00F703D0"/>
    <w:rsid w:val="00F719EC"/>
    <w:rsid w:val="00F73FEC"/>
    <w:rsid w:val="00F7591B"/>
    <w:rsid w:val="00F76ECD"/>
    <w:rsid w:val="00F81AB6"/>
    <w:rsid w:val="00F81DD7"/>
    <w:rsid w:val="00F8488D"/>
    <w:rsid w:val="00F8490C"/>
    <w:rsid w:val="00F859E2"/>
    <w:rsid w:val="00F85F1E"/>
    <w:rsid w:val="00F86BD5"/>
    <w:rsid w:val="00F873E2"/>
    <w:rsid w:val="00F91CA2"/>
    <w:rsid w:val="00F92B44"/>
    <w:rsid w:val="00F92D2D"/>
    <w:rsid w:val="00F93A0B"/>
    <w:rsid w:val="00F94FDE"/>
    <w:rsid w:val="00F9606B"/>
    <w:rsid w:val="00F96711"/>
    <w:rsid w:val="00F97D20"/>
    <w:rsid w:val="00FA1194"/>
    <w:rsid w:val="00FA3C26"/>
    <w:rsid w:val="00FB1906"/>
    <w:rsid w:val="00FB24CB"/>
    <w:rsid w:val="00FB2E94"/>
    <w:rsid w:val="00FB3166"/>
    <w:rsid w:val="00FB4E91"/>
    <w:rsid w:val="00FB6C6B"/>
    <w:rsid w:val="00FB7656"/>
    <w:rsid w:val="00FC1E16"/>
    <w:rsid w:val="00FC38EC"/>
    <w:rsid w:val="00FC3C9E"/>
    <w:rsid w:val="00FC6883"/>
    <w:rsid w:val="00FC7B21"/>
    <w:rsid w:val="00FD0DB1"/>
    <w:rsid w:val="00FD119D"/>
    <w:rsid w:val="00FD1917"/>
    <w:rsid w:val="00FD1D38"/>
    <w:rsid w:val="00FD270F"/>
    <w:rsid w:val="00FD34BF"/>
    <w:rsid w:val="00FD35BF"/>
    <w:rsid w:val="00FD526D"/>
    <w:rsid w:val="00FD52D8"/>
    <w:rsid w:val="00FD5F21"/>
    <w:rsid w:val="00FD64AC"/>
    <w:rsid w:val="00FD6632"/>
    <w:rsid w:val="00FD6C5A"/>
    <w:rsid w:val="00FE0CC0"/>
    <w:rsid w:val="00FE17EC"/>
    <w:rsid w:val="00FE262A"/>
    <w:rsid w:val="00FE2842"/>
    <w:rsid w:val="00FE36CF"/>
    <w:rsid w:val="00FE3A0D"/>
    <w:rsid w:val="00FE50DE"/>
    <w:rsid w:val="00FF05C1"/>
    <w:rsid w:val="00FF2F03"/>
    <w:rsid w:val="00FF3AA5"/>
    <w:rsid w:val="00FF4830"/>
    <w:rsid w:val="00FF4DAC"/>
    <w:rsid w:val="00FF522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36F2A7A"/>
  <w15:docId w15:val="{F8B404F7-72EF-4C6F-8D38-39219127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0CB"/>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uiPriority w:val="20"/>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link w:val="SubtitleChar"/>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uiPriority w:val="99"/>
    <w:rsid w:val="00E814E3"/>
    <w:rPr>
      <w:sz w:val="16"/>
      <w:szCs w:val="16"/>
    </w:rPr>
  </w:style>
  <w:style w:type="paragraph" w:styleId="CommentText">
    <w:name w:val="annotation text"/>
    <w:basedOn w:val="Normal"/>
    <w:link w:val="CommentTextChar"/>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paragraph" w:customStyle="1" w:styleId="Default">
    <w:name w:val="Default"/>
    <w:rsid w:val="002722F1"/>
    <w:pPr>
      <w:autoSpaceDE w:val="0"/>
      <w:autoSpaceDN w:val="0"/>
      <w:adjustRightInd w:val="0"/>
    </w:pPr>
    <w:rPr>
      <w:color w:val="000000"/>
      <w:sz w:val="24"/>
      <w:szCs w:val="24"/>
    </w:rPr>
  </w:style>
  <w:style w:type="character" w:customStyle="1" w:styleId="FooterChar">
    <w:name w:val="Footer Char"/>
    <w:link w:val="Footer"/>
    <w:uiPriority w:val="99"/>
    <w:rsid w:val="001562FA"/>
    <w:rPr>
      <w:rFonts w:ascii="Arial" w:hAnsi="Arial"/>
      <w:i/>
      <w:sz w:val="18"/>
      <w:szCs w:val="18"/>
    </w:rPr>
  </w:style>
  <w:style w:type="character" w:customStyle="1" w:styleId="st1">
    <w:name w:val="st1"/>
    <w:rsid w:val="0063466E"/>
  </w:style>
  <w:style w:type="paragraph" w:customStyle="1" w:styleId="Bullet">
    <w:name w:val="Bullet"/>
    <w:basedOn w:val="Normal"/>
    <w:rsid w:val="0065347C"/>
    <w:pPr>
      <w:numPr>
        <w:numId w:val="4"/>
      </w:numPr>
      <w:spacing w:after="240"/>
    </w:pPr>
    <w:rPr>
      <w:szCs w:val="20"/>
    </w:rPr>
  </w:style>
  <w:style w:type="paragraph" w:customStyle="1" w:styleId="Dash">
    <w:name w:val="Dash"/>
    <w:basedOn w:val="Normal"/>
    <w:rsid w:val="0065347C"/>
    <w:pPr>
      <w:numPr>
        <w:ilvl w:val="1"/>
        <w:numId w:val="4"/>
      </w:numPr>
      <w:spacing w:after="240"/>
    </w:pPr>
    <w:rPr>
      <w:szCs w:val="20"/>
    </w:rPr>
  </w:style>
  <w:style w:type="paragraph" w:customStyle="1" w:styleId="DoubleDot">
    <w:name w:val="Double Dot"/>
    <w:basedOn w:val="Normal"/>
    <w:rsid w:val="0065347C"/>
    <w:pPr>
      <w:numPr>
        <w:ilvl w:val="2"/>
        <w:numId w:val="4"/>
      </w:numPr>
      <w:spacing w:after="240"/>
    </w:pPr>
    <w:rPr>
      <w:szCs w:val="20"/>
    </w:rPr>
  </w:style>
  <w:style w:type="character" w:customStyle="1" w:styleId="TitleChar">
    <w:name w:val="Title Char"/>
    <w:link w:val="Title"/>
    <w:rsid w:val="0065347C"/>
    <w:rPr>
      <w:rFonts w:ascii="Arial" w:hAnsi="Arial" w:cs="Arial"/>
      <w:b/>
      <w:bCs/>
      <w:sz w:val="40"/>
      <w:szCs w:val="40"/>
    </w:rPr>
  </w:style>
  <w:style w:type="character" w:customStyle="1" w:styleId="SubtitleChar">
    <w:name w:val="Subtitle Char"/>
    <w:link w:val="Subtitle"/>
    <w:rsid w:val="0065347C"/>
    <w:rPr>
      <w:rFonts w:ascii="Arial" w:hAnsi="Arial" w:cs="Arial"/>
      <w:sz w:val="24"/>
      <w:szCs w:val="24"/>
    </w:rPr>
  </w:style>
  <w:style w:type="paragraph" w:customStyle="1" w:styleId="Tablea">
    <w:name w:val="Table(a)"/>
    <w:aliases w:val="ta"/>
    <w:basedOn w:val="Normal"/>
    <w:rsid w:val="00641811"/>
    <w:pPr>
      <w:spacing w:before="60"/>
      <w:ind w:left="284" w:hanging="284"/>
    </w:pPr>
    <w:rPr>
      <w:sz w:val="20"/>
      <w:szCs w:val="20"/>
    </w:rPr>
  </w:style>
  <w:style w:type="paragraph" w:customStyle="1" w:styleId="Tabletext0">
    <w:name w:val="Tabletext"/>
    <w:aliases w:val="tt"/>
    <w:basedOn w:val="Normal"/>
    <w:rsid w:val="00A1161A"/>
    <w:pPr>
      <w:spacing w:before="60" w:line="240" w:lineRule="atLeast"/>
    </w:pPr>
    <w:rPr>
      <w:sz w:val="20"/>
      <w:szCs w:val="20"/>
    </w:rPr>
  </w:style>
  <w:style w:type="paragraph" w:styleId="ListParagraph">
    <w:name w:val="List Paragraph"/>
    <w:basedOn w:val="Normal"/>
    <w:uiPriority w:val="34"/>
    <w:qFormat/>
    <w:rsid w:val="00CC25C1"/>
    <w:pPr>
      <w:ind w:left="720"/>
      <w:contextualSpacing/>
    </w:pPr>
  </w:style>
  <w:style w:type="character" w:customStyle="1" w:styleId="CommentTextChar">
    <w:name w:val="Comment Text Char"/>
    <w:basedOn w:val="DefaultParagraphFont"/>
    <w:link w:val="CommentText"/>
    <w:rsid w:val="00FD35BF"/>
  </w:style>
  <w:style w:type="paragraph" w:styleId="Revision">
    <w:name w:val="Revision"/>
    <w:hidden/>
    <w:uiPriority w:val="99"/>
    <w:semiHidden/>
    <w:rsid w:val="00B641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4958">
      <w:bodyDiv w:val="1"/>
      <w:marLeft w:val="0"/>
      <w:marRight w:val="0"/>
      <w:marTop w:val="0"/>
      <w:marBottom w:val="0"/>
      <w:divBdr>
        <w:top w:val="none" w:sz="0" w:space="0" w:color="auto"/>
        <w:left w:val="none" w:sz="0" w:space="0" w:color="auto"/>
        <w:bottom w:val="none" w:sz="0" w:space="0" w:color="auto"/>
        <w:right w:val="none" w:sz="0" w:space="0" w:color="auto"/>
      </w:divBdr>
    </w:div>
    <w:div w:id="183203784">
      <w:bodyDiv w:val="1"/>
      <w:marLeft w:val="0"/>
      <w:marRight w:val="0"/>
      <w:marTop w:val="0"/>
      <w:marBottom w:val="0"/>
      <w:divBdr>
        <w:top w:val="none" w:sz="0" w:space="0" w:color="auto"/>
        <w:left w:val="none" w:sz="0" w:space="0" w:color="auto"/>
        <w:bottom w:val="none" w:sz="0" w:space="0" w:color="auto"/>
        <w:right w:val="none" w:sz="0" w:space="0" w:color="auto"/>
      </w:divBdr>
    </w:div>
    <w:div w:id="206072445">
      <w:bodyDiv w:val="1"/>
      <w:marLeft w:val="0"/>
      <w:marRight w:val="0"/>
      <w:marTop w:val="0"/>
      <w:marBottom w:val="0"/>
      <w:divBdr>
        <w:top w:val="none" w:sz="0" w:space="0" w:color="auto"/>
        <w:left w:val="none" w:sz="0" w:space="0" w:color="auto"/>
        <w:bottom w:val="none" w:sz="0" w:space="0" w:color="auto"/>
        <w:right w:val="none" w:sz="0" w:space="0" w:color="auto"/>
      </w:divBdr>
    </w:div>
    <w:div w:id="229996913">
      <w:bodyDiv w:val="1"/>
      <w:marLeft w:val="0"/>
      <w:marRight w:val="0"/>
      <w:marTop w:val="0"/>
      <w:marBottom w:val="0"/>
      <w:divBdr>
        <w:top w:val="none" w:sz="0" w:space="0" w:color="auto"/>
        <w:left w:val="none" w:sz="0" w:space="0" w:color="auto"/>
        <w:bottom w:val="none" w:sz="0" w:space="0" w:color="auto"/>
        <w:right w:val="none" w:sz="0" w:space="0" w:color="auto"/>
      </w:divBdr>
    </w:div>
    <w:div w:id="346559866">
      <w:bodyDiv w:val="1"/>
      <w:marLeft w:val="0"/>
      <w:marRight w:val="0"/>
      <w:marTop w:val="0"/>
      <w:marBottom w:val="0"/>
      <w:divBdr>
        <w:top w:val="none" w:sz="0" w:space="0" w:color="auto"/>
        <w:left w:val="none" w:sz="0" w:space="0" w:color="auto"/>
        <w:bottom w:val="none" w:sz="0" w:space="0" w:color="auto"/>
        <w:right w:val="none" w:sz="0" w:space="0" w:color="auto"/>
      </w:divBdr>
    </w:div>
    <w:div w:id="395515794">
      <w:bodyDiv w:val="1"/>
      <w:marLeft w:val="0"/>
      <w:marRight w:val="0"/>
      <w:marTop w:val="0"/>
      <w:marBottom w:val="0"/>
      <w:divBdr>
        <w:top w:val="none" w:sz="0" w:space="0" w:color="auto"/>
        <w:left w:val="none" w:sz="0" w:space="0" w:color="auto"/>
        <w:bottom w:val="none" w:sz="0" w:space="0" w:color="auto"/>
        <w:right w:val="none" w:sz="0" w:space="0" w:color="auto"/>
      </w:divBdr>
    </w:div>
    <w:div w:id="548028350">
      <w:bodyDiv w:val="1"/>
      <w:marLeft w:val="0"/>
      <w:marRight w:val="0"/>
      <w:marTop w:val="0"/>
      <w:marBottom w:val="0"/>
      <w:divBdr>
        <w:top w:val="none" w:sz="0" w:space="0" w:color="auto"/>
        <w:left w:val="none" w:sz="0" w:space="0" w:color="auto"/>
        <w:bottom w:val="none" w:sz="0" w:space="0" w:color="auto"/>
        <w:right w:val="none" w:sz="0" w:space="0" w:color="auto"/>
      </w:divBdr>
    </w:div>
    <w:div w:id="554006681">
      <w:bodyDiv w:val="1"/>
      <w:marLeft w:val="0"/>
      <w:marRight w:val="0"/>
      <w:marTop w:val="0"/>
      <w:marBottom w:val="0"/>
      <w:divBdr>
        <w:top w:val="none" w:sz="0" w:space="0" w:color="auto"/>
        <w:left w:val="none" w:sz="0" w:space="0" w:color="auto"/>
        <w:bottom w:val="none" w:sz="0" w:space="0" w:color="auto"/>
        <w:right w:val="none" w:sz="0" w:space="0" w:color="auto"/>
      </w:divBdr>
    </w:div>
    <w:div w:id="656614340">
      <w:bodyDiv w:val="1"/>
      <w:marLeft w:val="0"/>
      <w:marRight w:val="0"/>
      <w:marTop w:val="0"/>
      <w:marBottom w:val="0"/>
      <w:divBdr>
        <w:top w:val="none" w:sz="0" w:space="0" w:color="auto"/>
        <w:left w:val="none" w:sz="0" w:space="0" w:color="auto"/>
        <w:bottom w:val="none" w:sz="0" w:space="0" w:color="auto"/>
        <w:right w:val="none" w:sz="0" w:space="0" w:color="auto"/>
      </w:divBdr>
    </w:div>
    <w:div w:id="688146935">
      <w:bodyDiv w:val="1"/>
      <w:marLeft w:val="0"/>
      <w:marRight w:val="0"/>
      <w:marTop w:val="0"/>
      <w:marBottom w:val="0"/>
      <w:divBdr>
        <w:top w:val="none" w:sz="0" w:space="0" w:color="auto"/>
        <w:left w:val="none" w:sz="0" w:space="0" w:color="auto"/>
        <w:bottom w:val="none" w:sz="0" w:space="0" w:color="auto"/>
        <w:right w:val="none" w:sz="0" w:space="0" w:color="auto"/>
      </w:divBdr>
    </w:div>
    <w:div w:id="758453847">
      <w:bodyDiv w:val="1"/>
      <w:marLeft w:val="0"/>
      <w:marRight w:val="0"/>
      <w:marTop w:val="0"/>
      <w:marBottom w:val="0"/>
      <w:divBdr>
        <w:top w:val="none" w:sz="0" w:space="0" w:color="auto"/>
        <w:left w:val="none" w:sz="0" w:space="0" w:color="auto"/>
        <w:bottom w:val="none" w:sz="0" w:space="0" w:color="auto"/>
        <w:right w:val="none" w:sz="0" w:space="0" w:color="auto"/>
      </w:divBdr>
    </w:div>
    <w:div w:id="786704314">
      <w:bodyDiv w:val="1"/>
      <w:marLeft w:val="0"/>
      <w:marRight w:val="0"/>
      <w:marTop w:val="0"/>
      <w:marBottom w:val="0"/>
      <w:divBdr>
        <w:top w:val="none" w:sz="0" w:space="0" w:color="auto"/>
        <w:left w:val="none" w:sz="0" w:space="0" w:color="auto"/>
        <w:bottom w:val="none" w:sz="0" w:space="0" w:color="auto"/>
        <w:right w:val="none" w:sz="0" w:space="0" w:color="auto"/>
      </w:divBdr>
    </w:div>
    <w:div w:id="873350003">
      <w:bodyDiv w:val="1"/>
      <w:marLeft w:val="0"/>
      <w:marRight w:val="0"/>
      <w:marTop w:val="0"/>
      <w:marBottom w:val="0"/>
      <w:divBdr>
        <w:top w:val="none" w:sz="0" w:space="0" w:color="auto"/>
        <w:left w:val="none" w:sz="0" w:space="0" w:color="auto"/>
        <w:bottom w:val="none" w:sz="0" w:space="0" w:color="auto"/>
        <w:right w:val="none" w:sz="0" w:space="0" w:color="auto"/>
      </w:divBdr>
    </w:div>
    <w:div w:id="956252366">
      <w:bodyDiv w:val="1"/>
      <w:marLeft w:val="0"/>
      <w:marRight w:val="0"/>
      <w:marTop w:val="0"/>
      <w:marBottom w:val="0"/>
      <w:divBdr>
        <w:top w:val="none" w:sz="0" w:space="0" w:color="auto"/>
        <w:left w:val="none" w:sz="0" w:space="0" w:color="auto"/>
        <w:bottom w:val="none" w:sz="0" w:space="0" w:color="auto"/>
        <w:right w:val="none" w:sz="0" w:space="0" w:color="auto"/>
      </w:divBdr>
    </w:div>
    <w:div w:id="983892405">
      <w:bodyDiv w:val="1"/>
      <w:marLeft w:val="0"/>
      <w:marRight w:val="0"/>
      <w:marTop w:val="0"/>
      <w:marBottom w:val="0"/>
      <w:divBdr>
        <w:top w:val="none" w:sz="0" w:space="0" w:color="auto"/>
        <w:left w:val="none" w:sz="0" w:space="0" w:color="auto"/>
        <w:bottom w:val="none" w:sz="0" w:space="0" w:color="auto"/>
        <w:right w:val="none" w:sz="0" w:space="0" w:color="auto"/>
      </w:divBdr>
    </w:div>
    <w:div w:id="1002661630">
      <w:bodyDiv w:val="1"/>
      <w:marLeft w:val="0"/>
      <w:marRight w:val="0"/>
      <w:marTop w:val="0"/>
      <w:marBottom w:val="0"/>
      <w:divBdr>
        <w:top w:val="none" w:sz="0" w:space="0" w:color="auto"/>
        <w:left w:val="none" w:sz="0" w:space="0" w:color="auto"/>
        <w:bottom w:val="none" w:sz="0" w:space="0" w:color="auto"/>
        <w:right w:val="none" w:sz="0" w:space="0" w:color="auto"/>
      </w:divBdr>
    </w:div>
    <w:div w:id="1347058658">
      <w:bodyDiv w:val="1"/>
      <w:marLeft w:val="0"/>
      <w:marRight w:val="0"/>
      <w:marTop w:val="0"/>
      <w:marBottom w:val="0"/>
      <w:divBdr>
        <w:top w:val="none" w:sz="0" w:space="0" w:color="auto"/>
        <w:left w:val="none" w:sz="0" w:space="0" w:color="auto"/>
        <w:bottom w:val="none" w:sz="0" w:space="0" w:color="auto"/>
        <w:right w:val="none" w:sz="0" w:space="0" w:color="auto"/>
      </w:divBdr>
    </w:div>
    <w:div w:id="1362903591">
      <w:bodyDiv w:val="1"/>
      <w:marLeft w:val="0"/>
      <w:marRight w:val="0"/>
      <w:marTop w:val="0"/>
      <w:marBottom w:val="0"/>
      <w:divBdr>
        <w:top w:val="none" w:sz="0" w:space="0" w:color="auto"/>
        <w:left w:val="none" w:sz="0" w:space="0" w:color="auto"/>
        <w:bottom w:val="none" w:sz="0" w:space="0" w:color="auto"/>
        <w:right w:val="none" w:sz="0" w:space="0" w:color="auto"/>
      </w:divBdr>
    </w:div>
    <w:div w:id="1522469818">
      <w:bodyDiv w:val="1"/>
      <w:marLeft w:val="0"/>
      <w:marRight w:val="0"/>
      <w:marTop w:val="0"/>
      <w:marBottom w:val="0"/>
      <w:divBdr>
        <w:top w:val="none" w:sz="0" w:space="0" w:color="auto"/>
        <w:left w:val="none" w:sz="0" w:space="0" w:color="auto"/>
        <w:bottom w:val="none" w:sz="0" w:space="0" w:color="auto"/>
        <w:right w:val="none" w:sz="0" w:space="0" w:color="auto"/>
      </w:divBdr>
    </w:div>
    <w:div w:id="1683556736">
      <w:bodyDiv w:val="1"/>
      <w:marLeft w:val="0"/>
      <w:marRight w:val="0"/>
      <w:marTop w:val="0"/>
      <w:marBottom w:val="0"/>
      <w:divBdr>
        <w:top w:val="none" w:sz="0" w:space="0" w:color="auto"/>
        <w:left w:val="none" w:sz="0" w:space="0" w:color="auto"/>
        <w:bottom w:val="none" w:sz="0" w:space="0" w:color="auto"/>
        <w:right w:val="none" w:sz="0" w:space="0" w:color="auto"/>
      </w:divBdr>
    </w:div>
    <w:div w:id="1687554587">
      <w:bodyDiv w:val="1"/>
      <w:marLeft w:val="0"/>
      <w:marRight w:val="0"/>
      <w:marTop w:val="0"/>
      <w:marBottom w:val="0"/>
      <w:divBdr>
        <w:top w:val="none" w:sz="0" w:space="0" w:color="auto"/>
        <w:left w:val="none" w:sz="0" w:space="0" w:color="auto"/>
        <w:bottom w:val="none" w:sz="0" w:space="0" w:color="auto"/>
        <w:right w:val="none" w:sz="0" w:space="0" w:color="auto"/>
      </w:divBdr>
    </w:div>
    <w:div w:id="2032561223">
      <w:bodyDiv w:val="1"/>
      <w:marLeft w:val="0"/>
      <w:marRight w:val="0"/>
      <w:marTop w:val="0"/>
      <w:marBottom w:val="0"/>
      <w:divBdr>
        <w:top w:val="none" w:sz="0" w:space="0" w:color="auto"/>
        <w:left w:val="none" w:sz="0" w:space="0" w:color="auto"/>
        <w:bottom w:val="none" w:sz="0" w:space="0" w:color="auto"/>
        <w:right w:val="none" w:sz="0" w:space="0" w:color="auto"/>
      </w:divBdr>
    </w:div>
    <w:div w:id="2075202160">
      <w:bodyDiv w:val="1"/>
      <w:marLeft w:val="0"/>
      <w:marRight w:val="0"/>
      <w:marTop w:val="0"/>
      <w:marBottom w:val="0"/>
      <w:divBdr>
        <w:top w:val="none" w:sz="0" w:space="0" w:color="auto"/>
        <w:left w:val="none" w:sz="0" w:space="0" w:color="auto"/>
        <w:bottom w:val="none" w:sz="0" w:space="0" w:color="auto"/>
        <w:right w:val="none" w:sz="0" w:space="0" w:color="auto"/>
      </w:divBdr>
    </w:div>
    <w:div w:id="212900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OLD%20A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8F705419D6AC784B849D443887C087B3" ma:contentTypeVersion="21" ma:contentTypeDescription=" " ma:contentTypeScope="" ma:versionID="4d74aa535ebe8a37b53c988ad27e85cd">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1fe738e203acaad7543a1616026fe72c"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7;#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4dd4adf-ddb3-46a3-8d7c-fab3fb2a6bc7">
      <Value>7</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_dlc_DocId xmlns="d4dd4adf-ddb3-46a3-8d7c-fab3fb2a6bc7">2016MG-88-93989</_dlc_DocId>
    <_dlc_DocIdUrl xmlns="d4dd4adf-ddb3-46a3-8d7c-fab3fb2a6bc7">
      <Url>http://tweb/sites/mg/fsd/_layouts/15/DocIdRedir.aspx?ID=2016MG-88-93989</Url>
      <Description>2016MG-88-93989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1757814118" UniqueId="a9d72903-fc04-4f75-b3ff-49d8bb0ce94d">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3A748-3503-4C99-96EC-2CC831C18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BE1AD-0293-4419-ADA8-70B373B4A389}">
  <ds:schemaRefs>
    <ds:schemaRef ds:uri="http://schemas.openxmlformats.org/package/2006/metadata/core-properties"/>
    <ds:schemaRef ds:uri="d4dd4adf-ddb3-46a3-8d7c-fab3fb2a6bc7"/>
    <ds:schemaRef ds:uri="http://schemas.microsoft.com/sharepoint/v4"/>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infopath/2007/PartnerControl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76580F3D-BADE-4907-9303-8572F306662A}">
  <ds:schemaRefs>
    <ds:schemaRef ds:uri="http://schemas.microsoft.com/sharepoint/v3/contenttype/forms"/>
  </ds:schemaRefs>
</ds:datastoreItem>
</file>

<file path=customXml/itemProps4.xml><?xml version="1.0" encoding="utf-8"?>
<ds:datastoreItem xmlns:ds="http://schemas.openxmlformats.org/officeDocument/2006/customXml" ds:itemID="{E5E1A4DD-F038-4689-887B-DD25BBE161D6}">
  <ds:schemaRefs>
    <ds:schemaRef ds:uri="office.server.policy"/>
  </ds:schemaRefs>
</ds:datastoreItem>
</file>

<file path=customXml/itemProps5.xml><?xml version="1.0" encoding="utf-8"?>
<ds:datastoreItem xmlns:ds="http://schemas.openxmlformats.org/officeDocument/2006/customXml" ds:itemID="{15CFA507-A709-4A0D-8FD6-EDF98D1BCAC1}">
  <ds:schemaRefs>
    <ds:schemaRef ds:uri="http://schemas.microsoft.com/sharepoint/events"/>
  </ds:schemaRefs>
</ds:datastoreItem>
</file>

<file path=customXml/itemProps6.xml><?xml version="1.0" encoding="utf-8"?>
<ds:datastoreItem xmlns:ds="http://schemas.openxmlformats.org/officeDocument/2006/customXml" ds:itemID="{70FA7CB9-B2AA-48FF-ACAB-6B69B283D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A4 Template</Template>
  <TotalTime>0</TotalTime>
  <Pages>7</Pages>
  <Words>3570</Words>
  <Characters>18749</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Currency (Royal Australian Mint) Amendment Determination 2010 (No.   )</vt:lpstr>
    </vt:vector>
  </TitlesOfParts>
  <Company>Office of Legislative Drafting and Publishing</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Currency (Royal Australian Mint) Amendment Determination 2010 (No.   )</dc:title>
  <dc:creator>nclement</dc:creator>
  <cp:lastModifiedBy>Matthew Frawley</cp:lastModifiedBy>
  <cp:revision>2</cp:revision>
  <cp:lastPrinted>2017-11-11T10:29:00Z</cp:lastPrinted>
  <dcterms:created xsi:type="dcterms:W3CDTF">2018-06-20T00:59:00Z</dcterms:created>
  <dcterms:modified xsi:type="dcterms:W3CDTF">2018-06-20T00:59:00Z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176</vt:lpwstr>
  </property>
  <property fmtid="{D5CDD505-2E9C-101B-9397-08002B2CF9AE}" pid="3" name="IndexMatter">
    <vt:lpwstr>1009309A</vt:lpwstr>
  </property>
  <property fmtid="{D5CDD505-2E9C-101B-9397-08002B2CF9AE}" pid="4" name="OnClose">
    <vt:lpwstr>�</vt:lpwstr>
  </property>
  <property fmtid="{D5CDD505-2E9C-101B-9397-08002B2CF9AE}" pid="5" name="_NewReviewCycle">
    <vt:lpwstr/>
  </property>
  <property fmtid="{D5CDD505-2E9C-101B-9397-08002B2CF9AE}" pid="6" name="URI">
    <vt:lpwstr>158159</vt:lpwstr>
  </property>
  <property fmtid="{D5CDD505-2E9C-101B-9397-08002B2CF9AE}" pid="7" name="currfile">
    <vt:lpwstr>C:\Users\dbuck\Desktop\marketing and sales - legal - currency determination (royal australian mint) 2012 (no. 3) - attachme (D12-89011).doc</vt:lpwstr>
  </property>
  <property fmtid="{D5CDD505-2E9C-101B-9397-08002B2CF9AE}" pid="8" name="ContentTypeId">
    <vt:lpwstr>0x010100E95D40E5DFEA714B90E88DB5CE07A6B5008F705419D6AC784B849D443887C087B3</vt:lpwstr>
  </property>
  <property fmtid="{D5CDD505-2E9C-101B-9397-08002B2CF9AE}" pid="9" name="TSYRecordClass">
    <vt:lpwstr>7;#TSY RA-9072 - Retain as national archives|d71911a4-1e32-4fc6-834f-26c4fc33e217</vt:lpwstr>
  </property>
  <property fmtid="{D5CDD505-2E9C-101B-9397-08002B2CF9AE}" pid="10" name="_dlc_DocIdItemGuid">
    <vt:lpwstr>23a45b2d-7c6d-471a-a839-c59efdfb49f9</vt:lpwstr>
  </property>
  <property fmtid="{D5CDD505-2E9C-101B-9397-08002B2CF9AE}" pid="11" name="ObjectiveRef">
    <vt:lpwstr>Removed</vt:lpwstr>
  </property>
  <property fmtid="{D5CDD505-2E9C-101B-9397-08002B2CF9AE}" pid="12" name="LeadingLawyers">
    <vt:lpwstr>Removed</vt:lpwstr>
  </property>
</Properties>
</file>