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27711" w:rsidRDefault="00193461" w:rsidP="0020300C">
      <w:pPr>
        <w:rPr>
          <w:sz w:val="28"/>
        </w:rPr>
      </w:pPr>
      <w:r w:rsidRPr="00527711">
        <w:rPr>
          <w:noProof/>
          <w:lang w:eastAsia="en-AU"/>
        </w:rPr>
        <w:drawing>
          <wp:inline distT="0" distB="0" distL="0" distR="0" wp14:anchorId="5C4A7220" wp14:editId="2F092EC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27711" w:rsidRDefault="0048364F" w:rsidP="0048364F">
      <w:pPr>
        <w:rPr>
          <w:sz w:val="19"/>
        </w:rPr>
      </w:pPr>
    </w:p>
    <w:p w:rsidR="0048364F" w:rsidRPr="00527711" w:rsidRDefault="00F36382" w:rsidP="0048364F">
      <w:pPr>
        <w:pStyle w:val="ShortT"/>
      </w:pPr>
      <w:r w:rsidRPr="00527711">
        <w:t xml:space="preserve">Therapeutic Goods </w:t>
      </w:r>
      <w:r w:rsidR="00DD7DC4" w:rsidRPr="00527711">
        <w:t xml:space="preserve">Legislation </w:t>
      </w:r>
      <w:r w:rsidRPr="00527711">
        <w:t>Amendment (</w:t>
      </w:r>
      <w:r w:rsidR="00E35D00" w:rsidRPr="00527711">
        <w:t>2018 Measures No.</w:t>
      </w:r>
      <w:r w:rsidR="00527711" w:rsidRPr="00527711">
        <w:t> </w:t>
      </w:r>
      <w:r w:rsidR="00E35D00" w:rsidRPr="00527711">
        <w:t>2</w:t>
      </w:r>
      <w:r w:rsidRPr="00527711">
        <w:t>) Regulations</w:t>
      </w:r>
      <w:r w:rsidR="00527711" w:rsidRPr="00527711">
        <w:t> </w:t>
      </w:r>
      <w:r w:rsidRPr="00527711">
        <w:t>2018</w:t>
      </w:r>
    </w:p>
    <w:p w:rsidR="006D0239" w:rsidRPr="00527711" w:rsidRDefault="006D0239" w:rsidP="003B40D0">
      <w:pPr>
        <w:pStyle w:val="SignCoverPageStart"/>
        <w:spacing w:before="240"/>
        <w:rPr>
          <w:szCs w:val="22"/>
        </w:rPr>
      </w:pPr>
      <w:r w:rsidRPr="00527711">
        <w:rPr>
          <w:szCs w:val="22"/>
        </w:rPr>
        <w:t>I, General the Honourable Sir Peter Cosgrove AK MC (Ret</w:t>
      </w:r>
      <w:r w:rsidR="003C4EB4" w:rsidRPr="00527711">
        <w:rPr>
          <w:szCs w:val="22"/>
        </w:rPr>
        <w:t>’</w:t>
      </w:r>
      <w:r w:rsidRPr="00527711">
        <w:rPr>
          <w:szCs w:val="22"/>
        </w:rPr>
        <w:t xml:space="preserve">d), </w:t>
      </w:r>
      <w:r w:rsidR="00527711" w:rsidRPr="00527711">
        <w:rPr>
          <w:szCs w:val="22"/>
        </w:rPr>
        <w:t>Governor</w:t>
      </w:r>
      <w:r w:rsidR="00527711">
        <w:rPr>
          <w:szCs w:val="22"/>
        </w:rPr>
        <w:noBreakHyphen/>
      </w:r>
      <w:r w:rsidR="00527711" w:rsidRPr="00527711">
        <w:rPr>
          <w:szCs w:val="22"/>
        </w:rPr>
        <w:t>General</w:t>
      </w:r>
      <w:r w:rsidRPr="00527711">
        <w:rPr>
          <w:szCs w:val="22"/>
        </w:rPr>
        <w:t xml:space="preserve"> of the Commonwealth of Australia, acting with the advice of the Federal Executive Council, make the following regulations.</w:t>
      </w:r>
    </w:p>
    <w:p w:rsidR="006D0239" w:rsidRPr="00527711" w:rsidRDefault="006D0239" w:rsidP="003B40D0">
      <w:pPr>
        <w:keepNext/>
        <w:spacing w:before="720" w:line="240" w:lineRule="atLeast"/>
        <w:ind w:right="397"/>
        <w:jc w:val="both"/>
        <w:rPr>
          <w:szCs w:val="22"/>
        </w:rPr>
      </w:pPr>
      <w:r w:rsidRPr="00527711">
        <w:rPr>
          <w:szCs w:val="22"/>
        </w:rPr>
        <w:t xml:space="preserve">Dated </w:t>
      </w:r>
      <w:r w:rsidRPr="00527711">
        <w:rPr>
          <w:szCs w:val="22"/>
        </w:rPr>
        <w:fldChar w:fldCharType="begin"/>
      </w:r>
      <w:r w:rsidRPr="00527711">
        <w:rPr>
          <w:szCs w:val="22"/>
        </w:rPr>
        <w:instrText xml:space="preserve"> DOCPROPERTY  DateMade </w:instrText>
      </w:r>
      <w:r w:rsidRPr="00527711">
        <w:rPr>
          <w:szCs w:val="22"/>
        </w:rPr>
        <w:fldChar w:fldCharType="separate"/>
      </w:r>
      <w:r w:rsidR="007D21BF">
        <w:rPr>
          <w:szCs w:val="22"/>
        </w:rPr>
        <w:t>21 June 2018</w:t>
      </w:r>
      <w:r w:rsidRPr="00527711">
        <w:rPr>
          <w:szCs w:val="22"/>
        </w:rPr>
        <w:fldChar w:fldCharType="end"/>
      </w:r>
    </w:p>
    <w:p w:rsidR="006D0239" w:rsidRPr="00527711" w:rsidRDefault="006D0239" w:rsidP="003B40D0">
      <w:pPr>
        <w:keepNext/>
        <w:tabs>
          <w:tab w:val="left" w:pos="3402"/>
        </w:tabs>
        <w:spacing w:before="1080" w:line="300" w:lineRule="atLeast"/>
        <w:ind w:left="397" w:right="397"/>
        <w:jc w:val="right"/>
        <w:rPr>
          <w:szCs w:val="22"/>
        </w:rPr>
      </w:pPr>
      <w:r w:rsidRPr="00527711">
        <w:rPr>
          <w:szCs w:val="22"/>
        </w:rPr>
        <w:t>Peter Cosgrove</w:t>
      </w:r>
    </w:p>
    <w:p w:rsidR="006D0239" w:rsidRPr="00527711" w:rsidRDefault="00527711" w:rsidP="003B40D0">
      <w:pPr>
        <w:keepNext/>
        <w:tabs>
          <w:tab w:val="left" w:pos="3402"/>
        </w:tabs>
        <w:spacing w:line="300" w:lineRule="atLeast"/>
        <w:ind w:left="397" w:right="397"/>
        <w:jc w:val="right"/>
        <w:rPr>
          <w:szCs w:val="22"/>
        </w:rPr>
      </w:pPr>
      <w:r w:rsidRPr="00527711">
        <w:rPr>
          <w:szCs w:val="22"/>
        </w:rPr>
        <w:t>Governor</w:t>
      </w:r>
      <w:r>
        <w:rPr>
          <w:szCs w:val="22"/>
        </w:rPr>
        <w:noBreakHyphen/>
      </w:r>
      <w:r w:rsidRPr="00527711">
        <w:rPr>
          <w:szCs w:val="22"/>
        </w:rPr>
        <w:t>General</w:t>
      </w:r>
    </w:p>
    <w:p w:rsidR="006D0239" w:rsidRPr="00527711" w:rsidRDefault="006D0239" w:rsidP="003B40D0">
      <w:pPr>
        <w:keepNext/>
        <w:tabs>
          <w:tab w:val="left" w:pos="3402"/>
        </w:tabs>
        <w:spacing w:before="840" w:after="1080" w:line="300" w:lineRule="atLeast"/>
        <w:ind w:right="397"/>
        <w:rPr>
          <w:szCs w:val="22"/>
        </w:rPr>
      </w:pPr>
      <w:r w:rsidRPr="00527711">
        <w:rPr>
          <w:szCs w:val="22"/>
        </w:rPr>
        <w:t>By His Excellency</w:t>
      </w:r>
      <w:r w:rsidR="003C4EB4" w:rsidRPr="00527711">
        <w:rPr>
          <w:szCs w:val="22"/>
        </w:rPr>
        <w:t>’</w:t>
      </w:r>
      <w:r w:rsidRPr="00527711">
        <w:rPr>
          <w:szCs w:val="22"/>
        </w:rPr>
        <w:t>s Command</w:t>
      </w:r>
    </w:p>
    <w:p w:rsidR="006D0239" w:rsidRPr="00527711" w:rsidRDefault="006D0239" w:rsidP="003B40D0">
      <w:pPr>
        <w:keepNext/>
        <w:tabs>
          <w:tab w:val="left" w:pos="3402"/>
        </w:tabs>
        <w:spacing w:before="480" w:line="300" w:lineRule="atLeast"/>
        <w:ind w:right="397"/>
        <w:rPr>
          <w:szCs w:val="22"/>
        </w:rPr>
      </w:pPr>
      <w:r w:rsidRPr="00527711">
        <w:rPr>
          <w:szCs w:val="22"/>
        </w:rPr>
        <w:t>Greg Hunt</w:t>
      </w:r>
    </w:p>
    <w:p w:rsidR="006D0239" w:rsidRPr="00527711" w:rsidRDefault="006D0239" w:rsidP="003B40D0">
      <w:pPr>
        <w:pStyle w:val="SignCoverPageEnd"/>
        <w:rPr>
          <w:szCs w:val="22"/>
        </w:rPr>
      </w:pPr>
      <w:r w:rsidRPr="00527711">
        <w:rPr>
          <w:szCs w:val="22"/>
        </w:rPr>
        <w:t>Minister for Health</w:t>
      </w:r>
    </w:p>
    <w:p w:rsidR="006D0239" w:rsidRPr="00527711" w:rsidRDefault="006D0239" w:rsidP="003B40D0"/>
    <w:p w:rsidR="006D0239" w:rsidRPr="00527711" w:rsidRDefault="006D0239" w:rsidP="003B40D0"/>
    <w:p w:rsidR="006D0239" w:rsidRPr="00527711" w:rsidRDefault="006D0239" w:rsidP="003B40D0"/>
    <w:p w:rsidR="006D0239" w:rsidRPr="00527711" w:rsidRDefault="006D0239" w:rsidP="006D0239"/>
    <w:p w:rsidR="0048364F" w:rsidRPr="00527711" w:rsidRDefault="0048364F" w:rsidP="0048364F">
      <w:pPr>
        <w:pStyle w:val="Header"/>
        <w:tabs>
          <w:tab w:val="clear" w:pos="4150"/>
          <w:tab w:val="clear" w:pos="8307"/>
        </w:tabs>
      </w:pPr>
      <w:r w:rsidRPr="00527711">
        <w:rPr>
          <w:rStyle w:val="CharAmSchNo"/>
        </w:rPr>
        <w:t xml:space="preserve"> </w:t>
      </w:r>
      <w:r w:rsidRPr="00527711">
        <w:rPr>
          <w:rStyle w:val="CharAmSchText"/>
        </w:rPr>
        <w:t xml:space="preserve"> </w:t>
      </w:r>
    </w:p>
    <w:p w:rsidR="0048364F" w:rsidRPr="00527711" w:rsidRDefault="0048364F" w:rsidP="0048364F">
      <w:pPr>
        <w:pStyle w:val="Header"/>
        <w:tabs>
          <w:tab w:val="clear" w:pos="4150"/>
          <w:tab w:val="clear" w:pos="8307"/>
        </w:tabs>
      </w:pPr>
      <w:r w:rsidRPr="00527711">
        <w:rPr>
          <w:rStyle w:val="CharAmPartNo"/>
        </w:rPr>
        <w:t xml:space="preserve"> </w:t>
      </w:r>
      <w:r w:rsidRPr="00527711">
        <w:rPr>
          <w:rStyle w:val="CharAmPartText"/>
        </w:rPr>
        <w:t xml:space="preserve"> </w:t>
      </w:r>
    </w:p>
    <w:p w:rsidR="0048364F" w:rsidRPr="00527711" w:rsidRDefault="0048364F" w:rsidP="0048364F">
      <w:pPr>
        <w:sectPr w:rsidR="0048364F" w:rsidRPr="00527711" w:rsidSect="005C141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27711" w:rsidRDefault="0048364F" w:rsidP="00C67B48">
      <w:pPr>
        <w:rPr>
          <w:sz w:val="36"/>
        </w:rPr>
      </w:pPr>
      <w:r w:rsidRPr="00527711">
        <w:rPr>
          <w:sz w:val="36"/>
        </w:rPr>
        <w:lastRenderedPageBreak/>
        <w:t>Contents</w:t>
      </w:r>
    </w:p>
    <w:p w:rsidR="005B50BD" w:rsidRPr="00527711" w:rsidRDefault="005B50BD">
      <w:pPr>
        <w:pStyle w:val="TOC5"/>
        <w:rPr>
          <w:rFonts w:asciiTheme="minorHAnsi" w:eastAsiaTheme="minorEastAsia" w:hAnsiTheme="minorHAnsi" w:cstheme="minorBidi"/>
          <w:noProof/>
          <w:kern w:val="0"/>
          <w:sz w:val="22"/>
          <w:szCs w:val="22"/>
        </w:rPr>
      </w:pPr>
      <w:r w:rsidRPr="00527711">
        <w:fldChar w:fldCharType="begin"/>
      </w:r>
      <w:r w:rsidRPr="00527711">
        <w:instrText xml:space="preserve"> TOC \o "1-9" </w:instrText>
      </w:r>
      <w:r w:rsidRPr="00527711">
        <w:fldChar w:fldCharType="separate"/>
      </w:r>
      <w:r w:rsidRPr="00527711">
        <w:rPr>
          <w:noProof/>
        </w:rPr>
        <w:t>1</w:t>
      </w:r>
      <w:r w:rsidRPr="00527711">
        <w:rPr>
          <w:noProof/>
        </w:rPr>
        <w:tab/>
        <w:t>Name</w:t>
      </w:r>
      <w:r w:rsidRPr="00527711">
        <w:rPr>
          <w:noProof/>
        </w:rPr>
        <w:tab/>
      </w:r>
      <w:r w:rsidRPr="00527711">
        <w:rPr>
          <w:noProof/>
        </w:rPr>
        <w:fldChar w:fldCharType="begin"/>
      </w:r>
      <w:r w:rsidRPr="00527711">
        <w:rPr>
          <w:noProof/>
        </w:rPr>
        <w:instrText xml:space="preserve"> PAGEREF _Toc514851966 \h </w:instrText>
      </w:r>
      <w:r w:rsidRPr="00527711">
        <w:rPr>
          <w:noProof/>
        </w:rPr>
      </w:r>
      <w:r w:rsidRPr="00527711">
        <w:rPr>
          <w:noProof/>
        </w:rPr>
        <w:fldChar w:fldCharType="separate"/>
      </w:r>
      <w:r w:rsidR="007D21BF">
        <w:rPr>
          <w:noProof/>
        </w:rPr>
        <w:t>1</w:t>
      </w:r>
      <w:r w:rsidRPr="00527711">
        <w:rPr>
          <w:noProof/>
        </w:rPr>
        <w:fldChar w:fldCharType="end"/>
      </w:r>
    </w:p>
    <w:p w:rsidR="005B50BD" w:rsidRPr="00527711" w:rsidRDefault="005B50BD">
      <w:pPr>
        <w:pStyle w:val="TOC5"/>
        <w:rPr>
          <w:rFonts w:asciiTheme="minorHAnsi" w:eastAsiaTheme="minorEastAsia" w:hAnsiTheme="minorHAnsi" w:cstheme="minorBidi"/>
          <w:noProof/>
          <w:kern w:val="0"/>
          <w:sz w:val="22"/>
          <w:szCs w:val="22"/>
        </w:rPr>
      </w:pPr>
      <w:r w:rsidRPr="00527711">
        <w:rPr>
          <w:noProof/>
        </w:rPr>
        <w:t>2</w:t>
      </w:r>
      <w:r w:rsidRPr="00527711">
        <w:rPr>
          <w:noProof/>
        </w:rPr>
        <w:tab/>
        <w:t>Commencement</w:t>
      </w:r>
      <w:r w:rsidRPr="00527711">
        <w:rPr>
          <w:noProof/>
        </w:rPr>
        <w:tab/>
      </w:r>
      <w:r w:rsidRPr="00527711">
        <w:rPr>
          <w:noProof/>
        </w:rPr>
        <w:fldChar w:fldCharType="begin"/>
      </w:r>
      <w:r w:rsidRPr="00527711">
        <w:rPr>
          <w:noProof/>
        </w:rPr>
        <w:instrText xml:space="preserve"> PAGEREF _Toc514851967 \h </w:instrText>
      </w:r>
      <w:r w:rsidRPr="00527711">
        <w:rPr>
          <w:noProof/>
        </w:rPr>
      </w:r>
      <w:r w:rsidRPr="00527711">
        <w:rPr>
          <w:noProof/>
        </w:rPr>
        <w:fldChar w:fldCharType="separate"/>
      </w:r>
      <w:r w:rsidR="007D21BF">
        <w:rPr>
          <w:noProof/>
        </w:rPr>
        <w:t>1</w:t>
      </w:r>
      <w:r w:rsidRPr="00527711">
        <w:rPr>
          <w:noProof/>
        </w:rPr>
        <w:fldChar w:fldCharType="end"/>
      </w:r>
    </w:p>
    <w:p w:rsidR="005B50BD" w:rsidRPr="00527711" w:rsidRDefault="005B50BD">
      <w:pPr>
        <w:pStyle w:val="TOC5"/>
        <w:rPr>
          <w:rFonts w:asciiTheme="minorHAnsi" w:eastAsiaTheme="minorEastAsia" w:hAnsiTheme="minorHAnsi" w:cstheme="minorBidi"/>
          <w:noProof/>
          <w:kern w:val="0"/>
          <w:sz w:val="22"/>
          <w:szCs w:val="22"/>
        </w:rPr>
      </w:pPr>
      <w:r w:rsidRPr="00527711">
        <w:rPr>
          <w:noProof/>
        </w:rPr>
        <w:t>3</w:t>
      </w:r>
      <w:r w:rsidRPr="00527711">
        <w:rPr>
          <w:noProof/>
        </w:rPr>
        <w:tab/>
        <w:t>Authority</w:t>
      </w:r>
      <w:r w:rsidRPr="00527711">
        <w:rPr>
          <w:noProof/>
        </w:rPr>
        <w:tab/>
      </w:r>
      <w:r w:rsidRPr="00527711">
        <w:rPr>
          <w:noProof/>
        </w:rPr>
        <w:fldChar w:fldCharType="begin"/>
      </w:r>
      <w:r w:rsidRPr="00527711">
        <w:rPr>
          <w:noProof/>
        </w:rPr>
        <w:instrText xml:space="preserve"> PAGEREF _Toc514851968 \h </w:instrText>
      </w:r>
      <w:r w:rsidRPr="00527711">
        <w:rPr>
          <w:noProof/>
        </w:rPr>
      </w:r>
      <w:r w:rsidRPr="00527711">
        <w:rPr>
          <w:noProof/>
        </w:rPr>
        <w:fldChar w:fldCharType="separate"/>
      </w:r>
      <w:r w:rsidR="007D21BF">
        <w:rPr>
          <w:noProof/>
        </w:rPr>
        <w:t>1</w:t>
      </w:r>
      <w:r w:rsidRPr="00527711">
        <w:rPr>
          <w:noProof/>
        </w:rPr>
        <w:fldChar w:fldCharType="end"/>
      </w:r>
    </w:p>
    <w:p w:rsidR="005B50BD" w:rsidRPr="00527711" w:rsidRDefault="005B50BD">
      <w:pPr>
        <w:pStyle w:val="TOC5"/>
        <w:rPr>
          <w:rFonts w:asciiTheme="minorHAnsi" w:eastAsiaTheme="minorEastAsia" w:hAnsiTheme="minorHAnsi" w:cstheme="minorBidi"/>
          <w:noProof/>
          <w:kern w:val="0"/>
          <w:sz w:val="22"/>
          <w:szCs w:val="22"/>
        </w:rPr>
      </w:pPr>
      <w:r w:rsidRPr="00527711">
        <w:rPr>
          <w:noProof/>
        </w:rPr>
        <w:t>4</w:t>
      </w:r>
      <w:r w:rsidRPr="00527711">
        <w:rPr>
          <w:noProof/>
        </w:rPr>
        <w:tab/>
        <w:t>Schedules</w:t>
      </w:r>
      <w:r w:rsidRPr="00527711">
        <w:rPr>
          <w:noProof/>
        </w:rPr>
        <w:tab/>
      </w:r>
      <w:r w:rsidRPr="00527711">
        <w:rPr>
          <w:noProof/>
        </w:rPr>
        <w:fldChar w:fldCharType="begin"/>
      </w:r>
      <w:r w:rsidRPr="00527711">
        <w:rPr>
          <w:noProof/>
        </w:rPr>
        <w:instrText xml:space="preserve"> PAGEREF _Toc514851969 \h </w:instrText>
      </w:r>
      <w:r w:rsidRPr="00527711">
        <w:rPr>
          <w:noProof/>
        </w:rPr>
      </w:r>
      <w:r w:rsidRPr="00527711">
        <w:rPr>
          <w:noProof/>
        </w:rPr>
        <w:fldChar w:fldCharType="separate"/>
      </w:r>
      <w:r w:rsidR="007D21BF">
        <w:rPr>
          <w:noProof/>
        </w:rPr>
        <w:t>1</w:t>
      </w:r>
      <w:r w:rsidRPr="00527711">
        <w:rPr>
          <w:noProof/>
        </w:rPr>
        <w:fldChar w:fldCharType="end"/>
      </w:r>
    </w:p>
    <w:p w:rsidR="005B50BD" w:rsidRPr="00527711" w:rsidRDefault="005B50BD">
      <w:pPr>
        <w:pStyle w:val="TOC6"/>
        <w:rPr>
          <w:rFonts w:asciiTheme="minorHAnsi" w:eastAsiaTheme="minorEastAsia" w:hAnsiTheme="minorHAnsi" w:cstheme="minorBidi"/>
          <w:b w:val="0"/>
          <w:noProof/>
          <w:kern w:val="0"/>
          <w:sz w:val="22"/>
          <w:szCs w:val="22"/>
        </w:rPr>
      </w:pPr>
      <w:r w:rsidRPr="00527711">
        <w:rPr>
          <w:noProof/>
        </w:rPr>
        <w:t>Schedule</w:t>
      </w:r>
      <w:r w:rsidR="00527711" w:rsidRPr="00527711">
        <w:rPr>
          <w:noProof/>
        </w:rPr>
        <w:t> </w:t>
      </w:r>
      <w:r w:rsidRPr="00527711">
        <w:rPr>
          <w:noProof/>
        </w:rPr>
        <w:t>1—Amendments</w:t>
      </w:r>
      <w:r w:rsidRPr="00527711">
        <w:rPr>
          <w:b w:val="0"/>
          <w:noProof/>
          <w:sz w:val="18"/>
        </w:rPr>
        <w:tab/>
      </w:r>
      <w:r w:rsidRPr="00527711">
        <w:rPr>
          <w:b w:val="0"/>
          <w:noProof/>
          <w:sz w:val="18"/>
        </w:rPr>
        <w:fldChar w:fldCharType="begin"/>
      </w:r>
      <w:r w:rsidRPr="00527711">
        <w:rPr>
          <w:b w:val="0"/>
          <w:noProof/>
          <w:sz w:val="18"/>
        </w:rPr>
        <w:instrText xml:space="preserve"> PAGEREF _Toc514851970 \h </w:instrText>
      </w:r>
      <w:r w:rsidRPr="00527711">
        <w:rPr>
          <w:b w:val="0"/>
          <w:noProof/>
          <w:sz w:val="18"/>
        </w:rPr>
      </w:r>
      <w:r w:rsidRPr="00527711">
        <w:rPr>
          <w:b w:val="0"/>
          <w:noProof/>
          <w:sz w:val="18"/>
        </w:rPr>
        <w:fldChar w:fldCharType="separate"/>
      </w:r>
      <w:r w:rsidR="007D21BF">
        <w:rPr>
          <w:b w:val="0"/>
          <w:noProof/>
          <w:sz w:val="18"/>
        </w:rPr>
        <w:t>2</w:t>
      </w:r>
      <w:r w:rsidRPr="00527711">
        <w:rPr>
          <w:b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1—Medical devices</w:t>
      </w:r>
      <w:r w:rsidRPr="00527711">
        <w:rPr>
          <w:noProof/>
          <w:sz w:val="18"/>
        </w:rPr>
        <w:tab/>
      </w:r>
      <w:r w:rsidRPr="00527711">
        <w:rPr>
          <w:noProof/>
          <w:sz w:val="18"/>
        </w:rPr>
        <w:fldChar w:fldCharType="begin"/>
      </w:r>
      <w:r w:rsidRPr="00527711">
        <w:rPr>
          <w:noProof/>
          <w:sz w:val="18"/>
        </w:rPr>
        <w:instrText xml:space="preserve"> PAGEREF _Toc514851971 \h </w:instrText>
      </w:r>
      <w:r w:rsidRPr="00527711">
        <w:rPr>
          <w:noProof/>
          <w:sz w:val="18"/>
        </w:rPr>
      </w:r>
      <w:r w:rsidRPr="00527711">
        <w:rPr>
          <w:noProof/>
          <w:sz w:val="18"/>
        </w:rPr>
        <w:fldChar w:fldCharType="separate"/>
      </w:r>
      <w:r w:rsidR="007D21BF">
        <w:rPr>
          <w:noProof/>
          <w:sz w:val="18"/>
        </w:rPr>
        <w:t>2</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(Medical Devices) Regulations</w:t>
      </w:r>
      <w:r w:rsidR="00527711" w:rsidRPr="00527711">
        <w:rPr>
          <w:noProof/>
        </w:rPr>
        <w:t> </w:t>
      </w:r>
      <w:r w:rsidRPr="00527711">
        <w:rPr>
          <w:noProof/>
        </w:rPr>
        <w:t>2002</w:t>
      </w:r>
      <w:r w:rsidRPr="00527711">
        <w:rPr>
          <w:i w:val="0"/>
          <w:noProof/>
          <w:sz w:val="18"/>
        </w:rPr>
        <w:tab/>
      </w:r>
      <w:r w:rsidRPr="00527711">
        <w:rPr>
          <w:i w:val="0"/>
          <w:noProof/>
          <w:sz w:val="18"/>
        </w:rPr>
        <w:fldChar w:fldCharType="begin"/>
      </w:r>
      <w:r w:rsidRPr="00527711">
        <w:rPr>
          <w:i w:val="0"/>
          <w:noProof/>
          <w:sz w:val="18"/>
        </w:rPr>
        <w:instrText xml:space="preserve"> PAGEREF _Toc514851972 \h </w:instrText>
      </w:r>
      <w:r w:rsidRPr="00527711">
        <w:rPr>
          <w:i w:val="0"/>
          <w:noProof/>
          <w:sz w:val="18"/>
        </w:rPr>
      </w:r>
      <w:r w:rsidRPr="00527711">
        <w:rPr>
          <w:i w:val="0"/>
          <w:noProof/>
          <w:sz w:val="18"/>
        </w:rPr>
        <w:fldChar w:fldCharType="separate"/>
      </w:r>
      <w:r w:rsidR="007D21BF">
        <w:rPr>
          <w:i w:val="0"/>
          <w:noProof/>
          <w:sz w:val="18"/>
        </w:rPr>
        <w:t>2</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2—Variation of entries in Register</w:t>
      </w:r>
      <w:r w:rsidRPr="00527711">
        <w:rPr>
          <w:noProof/>
          <w:sz w:val="18"/>
        </w:rPr>
        <w:tab/>
      </w:r>
      <w:r w:rsidRPr="00527711">
        <w:rPr>
          <w:noProof/>
          <w:sz w:val="18"/>
        </w:rPr>
        <w:fldChar w:fldCharType="begin"/>
      </w:r>
      <w:r w:rsidRPr="00527711">
        <w:rPr>
          <w:noProof/>
          <w:sz w:val="18"/>
        </w:rPr>
        <w:instrText xml:space="preserve"> PAGEREF _Toc514851979 \h </w:instrText>
      </w:r>
      <w:r w:rsidRPr="00527711">
        <w:rPr>
          <w:noProof/>
          <w:sz w:val="18"/>
        </w:rPr>
      </w:r>
      <w:r w:rsidRPr="00527711">
        <w:rPr>
          <w:noProof/>
          <w:sz w:val="18"/>
        </w:rPr>
        <w:fldChar w:fldCharType="separate"/>
      </w:r>
      <w:r w:rsidR="007D21BF">
        <w:rPr>
          <w:noProof/>
          <w:sz w:val="18"/>
        </w:rPr>
        <w:t>4</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_Toc514851980 \h </w:instrText>
      </w:r>
      <w:r w:rsidRPr="00527711">
        <w:rPr>
          <w:i w:val="0"/>
          <w:noProof/>
          <w:sz w:val="18"/>
        </w:rPr>
      </w:r>
      <w:r w:rsidRPr="00527711">
        <w:rPr>
          <w:i w:val="0"/>
          <w:noProof/>
          <w:sz w:val="18"/>
        </w:rPr>
        <w:fldChar w:fldCharType="separate"/>
      </w:r>
      <w:r w:rsidR="007D21BF">
        <w:rPr>
          <w:i w:val="0"/>
          <w:noProof/>
          <w:sz w:val="18"/>
        </w:rPr>
        <w:t>4</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3—Evaluation of prescription and other medicines</w:t>
      </w:r>
      <w:r w:rsidRPr="00527711">
        <w:rPr>
          <w:noProof/>
          <w:sz w:val="18"/>
        </w:rPr>
        <w:tab/>
      </w:r>
      <w:r w:rsidRPr="00527711">
        <w:rPr>
          <w:noProof/>
          <w:sz w:val="18"/>
        </w:rPr>
        <w:fldChar w:fldCharType="begin"/>
      </w:r>
      <w:r w:rsidRPr="00527711">
        <w:rPr>
          <w:noProof/>
          <w:sz w:val="18"/>
        </w:rPr>
        <w:instrText xml:space="preserve"> PAGEREF _Toc514851981 \h </w:instrText>
      </w:r>
      <w:r w:rsidRPr="00527711">
        <w:rPr>
          <w:noProof/>
          <w:sz w:val="18"/>
        </w:rPr>
      </w:r>
      <w:r w:rsidRPr="00527711">
        <w:rPr>
          <w:noProof/>
          <w:sz w:val="18"/>
        </w:rPr>
        <w:fldChar w:fldCharType="separate"/>
      </w:r>
      <w:r w:rsidR="007D21BF">
        <w:rPr>
          <w:noProof/>
          <w:sz w:val="18"/>
        </w:rPr>
        <w:t>5</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_Toc514851982 \h </w:instrText>
      </w:r>
      <w:r w:rsidRPr="00527711">
        <w:rPr>
          <w:i w:val="0"/>
          <w:noProof/>
          <w:sz w:val="18"/>
        </w:rPr>
      </w:r>
      <w:r w:rsidRPr="00527711">
        <w:rPr>
          <w:i w:val="0"/>
          <w:noProof/>
          <w:sz w:val="18"/>
        </w:rPr>
        <w:fldChar w:fldCharType="separate"/>
      </w:r>
      <w:r w:rsidR="007D21BF">
        <w:rPr>
          <w:i w:val="0"/>
          <w:noProof/>
          <w:sz w:val="18"/>
        </w:rPr>
        <w:t>5</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4—Homoeopathic preparations</w:t>
      </w:r>
      <w:r w:rsidRPr="00527711">
        <w:rPr>
          <w:noProof/>
          <w:sz w:val="18"/>
        </w:rPr>
        <w:tab/>
      </w:r>
      <w:r w:rsidRPr="00527711">
        <w:rPr>
          <w:noProof/>
          <w:sz w:val="18"/>
        </w:rPr>
        <w:fldChar w:fldCharType="begin"/>
      </w:r>
      <w:r w:rsidRPr="00527711">
        <w:rPr>
          <w:noProof/>
          <w:sz w:val="18"/>
        </w:rPr>
        <w:instrText xml:space="preserve"> PAGEREF _Toc514851983 \h </w:instrText>
      </w:r>
      <w:r w:rsidRPr="00527711">
        <w:rPr>
          <w:noProof/>
          <w:sz w:val="18"/>
        </w:rPr>
      </w:r>
      <w:r w:rsidRPr="00527711">
        <w:rPr>
          <w:noProof/>
          <w:sz w:val="18"/>
        </w:rPr>
        <w:fldChar w:fldCharType="separate"/>
      </w:r>
      <w:r w:rsidR="007D21BF">
        <w:rPr>
          <w:noProof/>
          <w:sz w:val="18"/>
        </w:rPr>
        <w:t>6</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_Toc514851984 \h </w:instrText>
      </w:r>
      <w:r w:rsidRPr="00527711">
        <w:rPr>
          <w:i w:val="0"/>
          <w:noProof/>
          <w:sz w:val="18"/>
        </w:rPr>
      </w:r>
      <w:r w:rsidRPr="00527711">
        <w:rPr>
          <w:i w:val="0"/>
          <w:noProof/>
          <w:sz w:val="18"/>
        </w:rPr>
        <w:fldChar w:fldCharType="separate"/>
      </w:r>
      <w:r w:rsidR="007D21BF">
        <w:rPr>
          <w:i w:val="0"/>
          <w:noProof/>
          <w:sz w:val="18"/>
        </w:rPr>
        <w:t>6</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5—Biologicals</w:t>
      </w:r>
      <w:r w:rsidRPr="00527711">
        <w:rPr>
          <w:noProof/>
          <w:sz w:val="18"/>
        </w:rPr>
        <w:tab/>
      </w:r>
      <w:r w:rsidRPr="00527711">
        <w:rPr>
          <w:noProof/>
          <w:sz w:val="18"/>
        </w:rPr>
        <w:fldChar w:fldCharType="begin"/>
      </w:r>
      <w:r w:rsidRPr="00527711">
        <w:rPr>
          <w:noProof/>
          <w:sz w:val="18"/>
        </w:rPr>
        <w:instrText xml:space="preserve"> PAGEREF _Toc514851985 \h </w:instrText>
      </w:r>
      <w:r w:rsidRPr="00527711">
        <w:rPr>
          <w:noProof/>
          <w:sz w:val="18"/>
        </w:rPr>
      </w:r>
      <w:r w:rsidRPr="00527711">
        <w:rPr>
          <w:noProof/>
          <w:sz w:val="18"/>
        </w:rPr>
        <w:fldChar w:fldCharType="separate"/>
      </w:r>
      <w:r w:rsidR="007D21BF">
        <w:rPr>
          <w:noProof/>
          <w:sz w:val="18"/>
        </w:rPr>
        <w:t>7</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_Toc514851986 \h </w:instrText>
      </w:r>
      <w:r w:rsidRPr="00527711">
        <w:rPr>
          <w:i w:val="0"/>
          <w:noProof/>
          <w:sz w:val="18"/>
        </w:rPr>
      </w:r>
      <w:r w:rsidRPr="00527711">
        <w:rPr>
          <w:i w:val="0"/>
          <w:noProof/>
          <w:sz w:val="18"/>
        </w:rPr>
        <w:fldChar w:fldCharType="separate"/>
      </w:r>
      <w:r w:rsidR="007D21BF">
        <w:rPr>
          <w:i w:val="0"/>
          <w:noProof/>
          <w:sz w:val="18"/>
        </w:rPr>
        <w:t>7</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6—Menstrual cups and tampons</w:t>
      </w:r>
      <w:r w:rsidRPr="00527711">
        <w:rPr>
          <w:noProof/>
          <w:sz w:val="18"/>
        </w:rPr>
        <w:tab/>
      </w:r>
      <w:r w:rsidRPr="00527711">
        <w:rPr>
          <w:noProof/>
          <w:sz w:val="18"/>
        </w:rPr>
        <w:fldChar w:fldCharType="begin"/>
      </w:r>
      <w:r w:rsidRPr="00527711">
        <w:rPr>
          <w:noProof/>
          <w:sz w:val="18"/>
        </w:rPr>
        <w:instrText xml:space="preserve"> PAGEREF _Toc514851994 \h </w:instrText>
      </w:r>
      <w:r w:rsidRPr="00527711">
        <w:rPr>
          <w:noProof/>
          <w:sz w:val="18"/>
        </w:rPr>
      </w:r>
      <w:r w:rsidRPr="00527711">
        <w:rPr>
          <w:noProof/>
          <w:sz w:val="18"/>
        </w:rPr>
        <w:fldChar w:fldCharType="separate"/>
      </w:r>
      <w:r w:rsidR="007D21BF">
        <w:rPr>
          <w:noProof/>
          <w:sz w:val="18"/>
        </w:rPr>
        <w:t>12</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_Toc514851995 \h </w:instrText>
      </w:r>
      <w:r w:rsidRPr="00527711">
        <w:rPr>
          <w:i w:val="0"/>
          <w:noProof/>
          <w:sz w:val="18"/>
        </w:rPr>
      </w:r>
      <w:r w:rsidRPr="00527711">
        <w:rPr>
          <w:i w:val="0"/>
          <w:noProof/>
          <w:sz w:val="18"/>
        </w:rPr>
        <w:fldChar w:fldCharType="separate"/>
      </w:r>
      <w:r w:rsidR="007D21BF">
        <w:rPr>
          <w:i w:val="0"/>
          <w:noProof/>
          <w:sz w:val="18"/>
        </w:rPr>
        <w:t>12</w:t>
      </w:r>
      <w:r w:rsidRPr="00527711">
        <w:rPr>
          <w:i w:val="0"/>
          <w:noProof/>
          <w:sz w:val="18"/>
        </w:rPr>
        <w:fldChar w:fldCharType="end"/>
      </w:r>
    </w:p>
    <w:p w:rsidR="005B50BD" w:rsidRPr="00527711" w:rsidRDefault="005B50BD">
      <w:pPr>
        <w:pStyle w:val="TOC7"/>
        <w:rPr>
          <w:rFonts w:asciiTheme="minorHAnsi" w:eastAsiaTheme="minorEastAsia" w:hAnsiTheme="minorHAnsi" w:cstheme="minorBidi"/>
          <w:noProof/>
          <w:kern w:val="0"/>
          <w:sz w:val="22"/>
          <w:szCs w:val="22"/>
        </w:rPr>
      </w:pPr>
      <w:r w:rsidRPr="00527711">
        <w:rPr>
          <w:noProof/>
        </w:rPr>
        <w:t>Part</w:t>
      </w:r>
      <w:r w:rsidR="00527711" w:rsidRPr="00527711">
        <w:rPr>
          <w:noProof/>
        </w:rPr>
        <w:t> </w:t>
      </w:r>
      <w:r w:rsidRPr="00527711">
        <w:rPr>
          <w:noProof/>
        </w:rPr>
        <w:t>7—Variation fees for OTC medicines</w:t>
      </w:r>
      <w:r w:rsidRPr="00527711">
        <w:rPr>
          <w:noProof/>
          <w:sz w:val="18"/>
        </w:rPr>
        <w:tab/>
      </w:r>
      <w:r w:rsidRPr="00527711">
        <w:rPr>
          <w:noProof/>
          <w:sz w:val="18"/>
        </w:rPr>
        <w:fldChar w:fldCharType="begin"/>
      </w:r>
      <w:r w:rsidRPr="00527711">
        <w:rPr>
          <w:noProof/>
          <w:sz w:val="18"/>
        </w:rPr>
        <w:instrText xml:space="preserve"> PAGEREF _Toc514851996 \h </w:instrText>
      </w:r>
      <w:r w:rsidRPr="00527711">
        <w:rPr>
          <w:noProof/>
          <w:sz w:val="18"/>
        </w:rPr>
      </w:r>
      <w:r w:rsidRPr="00527711">
        <w:rPr>
          <w:noProof/>
          <w:sz w:val="18"/>
        </w:rPr>
        <w:fldChar w:fldCharType="separate"/>
      </w:r>
      <w:r w:rsidR="007D21BF">
        <w:rPr>
          <w:noProof/>
          <w:sz w:val="18"/>
        </w:rPr>
        <w:t>14</w:t>
      </w:r>
      <w:r w:rsidRPr="00527711">
        <w:rPr>
          <w:noProof/>
          <w:sz w:val="18"/>
        </w:rPr>
        <w:fldChar w:fldCharType="end"/>
      </w:r>
    </w:p>
    <w:p w:rsidR="005B50BD" w:rsidRPr="00527711" w:rsidRDefault="005B50BD">
      <w:pPr>
        <w:pStyle w:val="TOC9"/>
        <w:rPr>
          <w:rFonts w:asciiTheme="minorHAnsi" w:eastAsiaTheme="minorEastAsia" w:hAnsiTheme="minorHAnsi" w:cstheme="minorBidi"/>
          <w:i w:val="0"/>
          <w:noProof/>
          <w:kern w:val="0"/>
          <w:sz w:val="22"/>
          <w:szCs w:val="22"/>
        </w:rPr>
      </w:pPr>
      <w:r w:rsidRPr="00527711">
        <w:rPr>
          <w:noProof/>
        </w:rPr>
        <w:t>Therapeutic Goods Regulations</w:t>
      </w:r>
      <w:r w:rsidR="00527711" w:rsidRPr="00527711">
        <w:rPr>
          <w:noProof/>
        </w:rPr>
        <w:t> </w:t>
      </w:r>
      <w:r w:rsidRPr="00527711">
        <w:rPr>
          <w:noProof/>
        </w:rPr>
        <w:t>1990</w:t>
      </w:r>
      <w:r w:rsidRPr="00527711">
        <w:rPr>
          <w:i w:val="0"/>
          <w:noProof/>
          <w:sz w:val="18"/>
        </w:rPr>
        <w:tab/>
      </w:r>
      <w:r w:rsidRPr="00527711">
        <w:rPr>
          <w:i w:val="0"/>
          <w:noProof/>
          <w:sz w:val="18"/>
        </w:rPr>
        <w:fldChar w:fldCharType="begin"/>
      </w:r>
      <w:r w:rsidRPr="00527711">
        <w:rPr>
          <w:i w:val="0"/>
          <w:noProof/>
          <w:sz w:val="18"/>
        </w:rPr>
        <w:instrText xml:space="preserve"> PAGEREF _Toc514851997 \h </w:instrText>
      </w:r>
      <w:r w:rsidRPr="00527711">
        <w:rPr>
          <w:i w:val="0"/>
          <w:noProof/>
          <w:sz w:val="18"/>
        </w:rPr>
      </w:r>
      <w:r w:rsidRPr="00527711">
        <w:rPr>
          <w:i w:val="0"/>
          <w:noProof/>
          <w:sz w:val="18"/>
        </w:rPr>
        <w:fldChar w:fldCharType="separate"/>
      </w:r>
      <w:r w:rsidR="007D21BF">
        <w:rPr>
          <w:i w:val="0"/>
          <w:noProof/>
          <w:sz w:val="18"/>
        </w:rPr>
        <w:t>14</w:t>
      </w:r>
      <w:r w:rsidRPr="00527711">
        <w:rPr>
          <w:i w:val="0"/>
          <w:noProof/>
          <w:sz w:val="18"/>
        </w:rPr>
        <w:fldChar w:fldCharType="end"/>
      </w:r>
    </w:p>
    <w:p w:rsidR="0048364F" w:rsidRPr="00527711" w:rsidRDefault="005B50BD" w:rsidP="0048364F">
      <w:pPr>
        <w:sectPr w:rsidR="0048364F" w:rsidRPr="00527711" w:rsidSect="005C141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527711">
        <w:fldChar w:fldCharType="end"/>
      </w:r>
    </w:p>
    <w:p w:rsidR="0048364F" w:rsidRPr="00527711" w:rsidRDefault="0048364F" w:rsidP="0048364F">
      <w:pPr>
        <w:pStyle w:val="ActHead5"/>
      </w:pPr>
      <w:bookmarkStart w:id="0" w:name="_Toc514851966"/>
      <w:r w:rsidRPr="00527711">
        <w:rPr>
          <w:rStyle w:val="CharSectno"/>
        </w:rPr>
        <w:lastRenderedPageBreak/>
        <w:t>1</w:t>
      </w:r>
      <w:r w:rsidRPr="00527711">
        <w:t xml:space="preserve">  </w:t>
      </w:r>
      <w:r w:rsidR="004F676E" w:rsidRPr="00527711">
        <w:t>Name</w:t>
      </w:r>
      <w:bookmarkEnd w:id="0"/>
    </w:p>
    <w:p w:rsidR="0048364F" w:rsidRPr="00527711" w:rsidRDefault="0048364F" w:rsidP="0048364F">
      <w:pPr>
        <w:pStyle w:val="subsection"/>
      </w:pPr>
      <w:r w:rsidRPr="00527711">
        <w:tab/>
      </w:r>
      <w:r w:rsidRPr="00527711">
        <w:tab/>
      </w:r>
      <w:r w:rsidR="00F36382" w:rsidRPr="00527711">
        <w:t>This instrument is</w:t>
      </w:r>
      <w:r w:rsidRPr="00527711">
        <w:t xml:space="preserve"> the </w:t>
      </w:r>
      <w:r w:rsidR="00414ADE" w:rsidRPr="00527711">
        <w:rPr>
          <w:i/>
        </w:rPr>
        <w:fldChar w:fldCharType="begin"/>
      </w:r>
      <w:r w:rsidR="00414ADE" w:rsidRPr="00527711">
        <w:rPr>
          <w:i/>
        </w:rPr>
        <w:instrText xml:space="preserve"> STYLEREF  ShortT </w:instrText>
      </w:r>
      <w:r w:rsidR="00414ADE" w:rsidRPr="00527711">
        <w:rPr>
          <w:i/>
        </w:rPr>
        <w:fldChar w:fldCharType="separate"/>
      </w:r>
      <w:r w:rsidR="007D21BF">
        <w:rPr>
          <w:i/>
          <w:noProof/>
        </w:rPr>
        <w:t>Therapeutic Goods Legislation Amendment (2018 Measures No. 2) Regulations 2018</w:t>
      </w:r>
      <w:r w:rsidR="00414ADE" w:rsidRPr="00527711">
        <w:rPr>
          <w:i/>
        </w:rPr>
        <w:fldChar w:fldCharType="end"/>
      </w:r>
      <w:r w:rsidRPr="00527711">
        <w:t>.</w:t>
      </w:r>
    </w:p>
    <w:p w:rsidR="004F676E" w:rsidRPr="00527711" w:rsidRDefault="0048364F" w:rsidP="005452CC">
      <w:pPr>
        <w:pStyle w:val="ActHead5"/>
      </w:pPr>
      <w:bookmarkStart w:id="1" w:name="_Toc514851967"/>
      <w:r w:rsidRPr="00527711">
        <w:rPr>
          <w:rStyle w:val="CharSectno"/>
        </w:rPr>
        <w:t>2</w:t>
      </w:r>
      <w:r w:rsidRPr="00527711">
        <w:t xml:space="preserve">  Commencement</w:t>
      </w:r>
      <w:bookmarkEnd w:id="1"/>
    </w:p>
    <w:p w:rsidR="005452CC" w:rsidRPr="00527711" w:rsidRDefault="005452CC" w:rsidP="003B40D0">
      <w:pPr>
        <w:pStyle w:val="subsection"/>
      </w:pPr>
      <w:r w:rsidRPr="00527711">
        <w:tab/>
        <w:t>(1)</w:t>
      </w:r>
      <w:r w:rsidRPr="00527711">
        <w:tab/>
        <w:t xml:space="preserve">Each provision of </w:t>
      </w:r>
      <w:r w:rsidR="00F36382" w:rsidRPr="00527711">
        <w:t>this instrument</w:t>
      </w:r>
      <w:r w:rsidRPr="00527711">
        <w:t xml:space="preserve"> specified in column 1 of the table commences, or is taken to have commenced, in accordance with column 2 of the table. Any other statement in column 2 has effect according to its terms.</w:t>
      </w:r>
    </w:p>
    <w:p w:rsidR="005452CC" w:rsidRPr="00527711" w:rsidRDefault="005452CC" w:rsidP="003B40D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27711" w:rsidTr="00D4737B">
        <w:trPr>
          <w:tblHeader/>
        </w:trPr>
        <w:tc>
          <w:tcPr>
            <w:tcW w:w="8364" w:type="dxa"/>
            <w:gridSpan w:val="3"/>
            <w:tcBorders>
              <w:top w:val="single" w:sz="12" w:space="0" w:color="auto"/>
              <w:bottom w:val="single" w:sz="6" w:space="0" w:color="auto"/>
            </w:tcBorders>
            <w:shd w:val="clear" w:color="auto" w:fill="auto"/>
            <w:hideMark/>
          </w:tcPr>
          <w:p w:rsidR="005452CC" w:rsidRPr="00527711" w:rsidRDefault="005452CC" w:rsidP="003B40D0">
            <w:pPr>
              <w:pStyle w:val="TableHeading"/>
            </w:pPr>
            <w:r w:rsidRPr="00527711">
              <w:t>Commencement information</w:t>
            </w:r>
          </w:p>
        </w:tc>
      </w:tr>
      <w:tr w:rsidR="005452CC" w:rsidRPr="00527711" w:rsidTr="00D4737B">
        <w:trPr>
          <w:tblHeader/>
        </w:trPr>
        <w:tc>
          <w:tcPr>
            <w:tcW w:w="2127" w:type="dxa"/>
            <w:tcBorders>
              <w:top w:val="single" w:sz="6" w:space="0" w:color="auto"/>
              <w:bottom w:val="single" w:sz="6" w:space="0" w:color="auto"/>
            </w:tcBorders>
            <w:shd w:val="clear" w:color="auto" w:fill="auto"/>
            <w:hideMark/>
          </w:tcPr>
          <w:p w:rsidR="005452CC" w:rsidRPr="00527711" w:rsidRDefault="005452CC" w:rsidP="003B40D0">
            <w:pPr>
              <w:pStyle w:val="TableHeading"/>
            </w:pPr>
            <w:r w:rsidRPr="00527711">
              <w:t>Column 1</w:t>
            </w:r>
          </w:p>
        </w:tc>
        <w:tc>
          <w:tcPr>
            <w:tcW w:w="4394" w:type="dxa"/>
            <w:tcBorders>
              <w:top w:val="single" w:sz="6" w:space="0" w:color="auto"/>
              <w:bottom w:val="single" w:sz="6" w:space="0" w:color="auto"/>
            </w:tcBorders>
            <w:shd w:val="clear" w:color="auto" w:fill="auto"/>
            <w:hideMark/>
          </w:tcPr>
          <w:p w:rsidR="005452CC" w:rsidRPr="00527711" w:rsidRDefault="005452CC" w:rsidP="003B40D0">
            <w:pPr>
              <w:pStyle w:val="TableHeading"/>
            </w:pPr>
            <w:r w:rsidRPr="00527711">
              <w:t>Column 2</w:t>
            </w:r>
          </w:p>
        </w:tc>
        <w:tc>
          <w:tcPr>
            <w:tcW w:w="1843" w:type="dxa"/>
            <w:tcBorders>
              <w:top w:val="single" w:sz="6" w:space="0" w:color="auto"/>
              <w:bottom w:val="single" w:sz="6" w:space="0" w:color="auto"/>
            </w:tcBorders>
            <w:shd w:val="clear" w:color="auto" w:fill="auto"/>
            <w:hideMark/>
          </w:tcPr>
          <w:p w:rsidR="005452CC" w:rsidRPr="00527711" w:rsidRDefault="005452CC" w:rsidP="003B40D0">
            <w:pPr>
              <w:pStyle w:val="TableHeading"/>
            </w:pPr>
            <w:r w:rsidRPr="00527711">
              <w:t>Column 3</w:t>
            </w:r>
          </w:p>
        </w:tc>
      </w:tr>
      <w:tr w:rsidR="005452CC" w:rsidRPr="00527711" w:rsidTr="00D4737B">
        <w:trPr>
          <w:tblHeader/>
        </w:trPr>
        <w:tc>
          <w:tcPr>
            <w:tcW w:w="2127" w:type="dxa"/>
            <w:tcBorders>
              <w:top w:val="single" w:sz="6" w:space="0" w:color="auto"/>
              <w:bottom w:val="single" w:sz="12" w:space="0" w:color="auto"/>
            </w:tcBorders>
            <w:shd w:val="clear" w:color="auto" w:fill="auto"/>
            <w:hideMark/>
          </w:tcPr>
          <w:p w:rsidR="005452CC" w:rsidRPr="00527711" w:rsidRDefault="005452CC" w:rsidP="003B40D0">
            <w:pPr>
              <w:pStyle w:val="TableHeading"/>
            </w:pPr>
            <w:r w:rsidRPr="00527711">
              <w:t>Provisions</w:t>
            </w:r>
          </w:p>
        </w:tc>
        <w:tc>
          <w:tcPr>
            <w:tcW w:w="4394" w:type="dxa"/>
            <w:tcBorders>
              <w:top w:val="single" w:sz="6" w:space="0" w:color="auto"/>
              <w:bottom w:val="single" w:sz="12" w:space="0" w:color="auto"/>
            </w:tcBorders>
            <w:shd w:val="clear" w:color="auto" w:fill="auto"/>
            <w:hideMark/>
          </w:tcPr>
          <w:p w:rsidR="005452CC" w:rsidRPr="00527711" w:rsidRDefault="005452CC" w:rsidP="003B40D0">
            <w:pPr>
              <w:pStyle w:val="TableHeading"/>
            </w:pPr>
            <w:r w:rsidRPr="00527711">
              <w:t>Commencement</w:t>
            </w:r>
          </w:p>
        </w:tc>
        <w:tc>
          <w:tcPr>
            <w:tcW w:w="1843" w:type="dxa"/>
            <w:tcBorders>
              <w:top w:val="single" w:sz="6" w:space="0" w:color="auto"/>
              <w:bottom w:val="single" w:sz="12" w:space="0" w:color="auto"/>
            </w:tcBorders>
            <w:shd w:val="clear" w:color="auto" w:fill="auto"/>
            <w:hideMark/>
          </w:tcPr>
          <w:p w:rsidR="005452CC" w:rsidRPr="00527711" w:rsidRDefault="005452CC" w:rsidP="003B40D0">
            <w:pPr>
              <w:pStyle w:val="TableHeading"/>
            </w:pPr>
            <w:r w:rsidRPr="00527711">
              <w:t>Date/Details</w:t>
            </w:r>
          </w:p>
        </w:tc>
      </w:tr>
      <w:tr w:rsidR="005452CC" w:rsidRPr="00527711" w:rsidTr="00D4737B">
        <w:tc>
          <w:tcPr>
            <w:tcW w:w="2127" w:type="dxa"/>
            <w:tcBorders>
              <w:top w:val="single" w:sz="12" w:space="0" w:color="auto"/>
            </w:tcBorders>
            <w:shd w:val="clear" w:color="auto" w:fill="auto"/>
            <w:hideMark/>
          </w:tcPr>
          <w:p w:rsidR="005452CC" w:rsidRPr="00527711" w:rsidRDefault="005452CC" w:rsidP="005452CC">
            <w:pPr>
              <w:pStyle w:val="Tabletext"/>
            </w:pPr>
            <w:r w:rsidRPr="00527711">
              <w:t>1.  Sections</w:t>
            </w:r>
            <w:r w:rsidR="00527711" w:rsidRPr="00527711">
              <w:t> </w:t>
            </w:r>
            <w:r w:rsidRPr="00527711">
              <w:t xml:space="preserve">1 to 4 and anything in </w:t>
            </w:r>
            <w:r w:rsidR="00F36382" w:rsidRPr="00527711">
              <w:t>this instrument</w:t>
            </w:r>
            <w:r w:rsidRPr="00527711">
              <w:t xml:space="preserve"> not elsewhere covered by this table</w:t>
            </w:r>
          </w:p>
        </w:tc>
        <w:tc>
          <w:tcPr>
            <w:tcW w:w="4394" w:type="dxa"/>
            <w:tcBorders>
              <w:top w:val="single" w:sz="12" w:space="0" w:color="auto"/>
            </w:tcBorders>
            <w:shd w:val="clear" w:color="auto" w:fill="auto"/>
            <w:hideMark/>
          </w:tcPr>
          <w:p w:rsidR="005452CC" w:rsidRPr="00527711" w:rsidRDefault="005452CC" w:rsidP="005452CC">
            <w:pPr>
              <w:pStyle w:val="Tabletext"/>
            </w:pPr>
            <w:r w:rsidRPr="00527711">
              <w:t xml:space="preserve">The day after </w:t>
            </w:r>
            <w:r w:rsidR="00F36382" w:rsidRPr="00527711">
              <w:t>this instrument is</w:t>
            </w:r>
            <w:r w:rsidRPr="00527711">
              <w:t xml:space="preserve"> registered.</w:t>
            </w:r>
          </w:p>
        </w:tc>
        <w:tc>
          <w:tcPr>
            <w:tcW w:w="1843" w:type="dxa"/>
            <w:tcBorders>
              <w:top w:val="single" w:sz="12" w:space="0" w:color="auto"/>
            </w:tcBorders>
            <w:shd w:val="clear" w:color="auto" w:fill="auto"/>
          </w:tcPr>
          <w:p w:rsidR="005452CC" w:rsidRPr="00527711" w:rsidRDefault="00E47EEC">
            <w:pPr>
              <w:pStyle w:val="Tabletext"/>
            </w:pPr>
            <w:r>
              <w:t>26 June 2018</w:t>
            </w:r>
            <w:bookmarkStart w:id="2" w:name="_GoBack"/>
            <w:bookmarkEnd w:id="2"/>
          </w:p>
        </w:tc>
      </w:tr>
      <w:tr w:rsidR="005452CC" w:rsidRPr="00527711" w:rsidTr="00D4737B">
        <w:tc>
          <w:tcPr>
            <w:tcW w:w="2127" w:type="dxa"/>
            <w:tcBorders>
              <w:bottom w:val="single" w:sz="2" w:space="0" w:color="auto"/>
            </w:tcBorders>
            <w:shd w:val="clear" w:color="auto" w:fill="auto"/>
            <w:hideMark/>
          </w:tcPr>
          <w:p w:rsidR="005452CC" w:rsidRPr="00527711" w:rsidRDefault="005452CC">
            <w:pPr>
              <w:pStyle w:val="Tabletext"/>
            </w:pPr>
            <w:r w:rsidRPr="00527711">
              <w:t xml:space="preserve">2.  </w:t>
            </w:r>
            <w:r w:rsidR="00C67B48" w:rsidRPr="00527711">
              <w:t>Schedule</w:t>
            </w:r>
            <w:r w:rsidR="00527711" w:rsidRPr="00527711">
              <w:t> </w:t>
            </w:r>
            <w:r w:rsidR="00C67B48" w:rsidRPr="00527711">
              <w:t>1, Part</w:t>
            </w:r>
            <w:r w:rsidR="00DA7ECA" w:rsidRPr="00527711">
              <w:t>s</w:t>
            </w:r>
            <w:r w:rsidR="00527711" w:rsidRPr="00527711">
              <w:t> </w:t>
            </w:r>
            <w:r w:rsidR="00C67B48" w:rsidRPr="00527711">
              <w:t>1</w:t>
            </w:r>
            <w:r w:rsidR="00D4737B" w:rsidRPr="00527711">
              <w:t xml:space="preserve"> to 6</w:t>
            </w:r>
          </w:p>
        </w:tc>
        <w:tc>
          <w:tcPr>
            <w:tcW w:w="4394" w:type="dxa"/>
            <w:tcBorders>
              <w:bottom w:val="single" w:sz="2" w:space="0" w:color="auto"/>
            </w:tcBorders>
            <w:shd w:val="clear" w:color="auto" w:fill="auto"/>
          </w:tcPr>
          <w:p w:rsidR="005452CC" w:rsidRPr="00527711" w:rsidRDefault="0012309C">
            <w:pPr>
              <w:pStyle w:val="Tabletext"/>
            </w:pPr>
            <w:r w:rsidRPr="00527711">
              <w:t>1</w:t>
            </w:r>
            <w:r w:rsidR="00527711" w:rsidRPr="00527711">
              <w:t> </w:t>
            </w:r>
            <w:r w:rsidRPr="00527711">
              <w:t>July 2018.</w:t>
            </w:r>
          </w:p>
        </w:tc>
        <w:tc>
          <w:tcPr>
            <w:tcW w:w="1843" w:type="dxa"/>
            <w:tcBorders>
              <w:bottom w:val="single" w:sz="2" w:space="0" w:color="auto"/>
            </w:tcBorders>
            <w:shd w:val="clear" w:color="auto" w:fill="auto"/>
          </w:tcPr>
          <w:p w:rsidR="005452CC" w:rsidRPr="00527711" w:rsidRDefault="0012309C">
            <w:pPr>
              <w:pStyle w:val="Tabletext"/>
            </w:pPr>
            <w:r w:rsidRPr="00527711">
              <w:t>1</w:t>
            </w:r>
            <w:r w:rsidR="00527711" w:rsidRPr="00527711">
              <w:t> </w:t>
            </w:r>
            <w:r w:rsidRPr="00527711">
              <w:t>July 2018</w:t>
            </w:r>
          </w:p>
        </w:tc>
      </w:tr>
      <w:tr w:rsidR="005452CC" w:rsidRPr="00527711" w:rsidTr="00D4737B">
        <w:tc>
          <w:tcPr>
            <w:tcW w:w="2127" w:type="dxa"/>
            <w:tcBorders>
              <w:top w:val="single" w:sz="2" w:space="0" w:color="auto"/>
              <w:bottom w:val="single" w:sz="12" w:space="0" w:color="auto"/>
            </w:tcBorders>
            <w:shd w:val="clear" w:color="auto" w:fill="auto"/>
            <w:hideMark/>
          </w:tcPr>
          <w:p w:rsidR="005452CC" w:rsidRPr="00527711" w:rsidRDefault="005452CC" w:rsidP="00D4737B">
            <w:pPr>
              <w:pStyle w:val="Tabletext"/>
            </w:pPr>
            <w:r w:rsidRPr="00527711">
              <w:t xml:space="preserve">3.  </w:t>
            </w:r>
            <w:r w:rsidR="00C67B48" w:rsidRPr="00527711">
              <w:t>Schedule</w:t>
            </w:r>
            <w:r w:rsidR="00527711" w:rsidRPr="00527711">
              <w:t> </w:t>
            </w:r>
            <w:r w:rsidR="00C67B48" w:rsidRPr="00527711">
              <w:t>1, Part</w:t>
            </w:r>
            <w:r w:rsidR="00527711" w:rsidRPr="00527711">
              <w:t> </w:t>
            </w:r>
            <w:r w:rsidR="00D4737B" w:rsidRPr="00527711">
              <w:t>7</w:t>
            </w:r>
          </w:p>
        </w:tc>
        <w:tc>
          <w:tcPr>
            <w:tcW w:w="4394" w:type="dxa"/>
            <w:tcBorders>
              <w:top w:val="single" w:sz="2" w:space="0" w:color="auto"/>
              <w:bottom w:val="single" w:sz="12" w:space="0" w:color="auto"/>
            </w:tcBorders>
            <w:shd w:val="clear" w:color="auto" w:fill="auto"/>
          </w:tcPr>
          <w:p w:rsidR="0012309C" w:rsidRPr="00527711" w:rsidRDefault="0012309C" w:rsidP="0012309C">
            <w:pPr>
              <w:pStyle w:val="Tabletext"/>
            </w:pPr>
            <w:r w:rsidRPr="00527711">
              <w:t>Immediately after the commencement of item</w:t>
            </w:r>
            <w:r w:rsidR="00527711" w:rsidRPr="00527711">
              <w:t> </w:t>
            </w:r>
            <w:r w:rsidRPr="00527711">
              <w:t>16 of Part</w:t>
            </w:r>
            <w:r w:rsidR="00527711" w:rsidRPr="00527711">
              <w:t> </w:t>
            </w:r>
            <w:r w:rsidRPr="00527711">
              <w:t>2 of Schedule</w:t>
            </w:r>
            <w:r w:rsidR="00527711" w:rsidRPr="00527711">
              <w:t> </w:t>
            </w:r>
            <w:r w:rsidR="008359B2" w:rsidRPr="00527711">
              <w:t>1 to</w:t>
            </w:r>
            <w:r w:rsidRPr="00527711">
              <w:t xml:space="preserve"> the </w:t>
            </w:r>
            <w:r w:rsidRPr="00527711">
              <w:rPr>
                <w:i/>
              </w:rPr>
              <w:t>Therapeutic Goods (Fees and Other Measures) Regulations</w:t>
            </w:r>
            <w:r w:rsidR="00527711" w:rsidRPr="00527711">
              <w:rPr>
                <w:i/>
              </w:rPr>
              <w:t> </w:t>
            </w:r>
            <w:r w:rsidRPr="00527711">
              <w:rPr>
                <w:i/>
              </w:rPr>
              <w:t>2018</w:t>
            </w:r>
            <w:r w:rsidRPr="00527711">
              <w:t>.</w:t>
            </w:r>
          </w:p>
          <w:p w:rsidR="005452CC" w:rsidRPr="00527711" w:rsidRDefault="0012309C" w:rsidP="0012309C">
            <w:pPr>
              <w:pStyle w:val="Tabletext"/>
            </w:pPr>
            <w:r w:rsidRPr="00527711">
              <w:t>However, the provisions do not commence at all if that item does not commence.</w:t>
            </w:r>
          </w:p>
        </w:tc>
        <w:tc>
          <w:tcPr>
            <w:tcW w:w="1843" w:type="dxa"/>
            <w:tcBorders>
              <w:top w:val="single" w:sz="2" w:space="0" w:color="auto"/>
              <w:bottom w:val="single" w:sz="12" w:space="0" w:color="auto"/>
            </w:tcBorders>
            <w:shd w:val="clear" w:color="auto" w:fill="auto"/>
          </w:tcPr>
          <w:p w:rsidR="005452CC" w:rsidRPr="00527711" w:rsidRDefault="0012309C">
            <w:pPr>
              <w:pStyle w:val="Tabletext"/>
            </w:pPr>
            <w:r w:rsidRPr="00527711">
              <w:t>1</w:t>
            </w:r>
            <w:r w:rsidR="00527711" w:rsidRPr="00527711">
              <w:t> </w:t>
            </w:r>
            <w:r w:rsidRPr="00527711">
              <w:t>July 2018</w:t>
            </w:r>
          </w:p>
        </w:tc>
      </w:tr>
    </w:tbl>
    <w:p w:rsidR="005452CC" w:rsidRPr="00527711" w:rsidRDefault="005452CC" w:rsidP="003B40D0">
      <w:pPr>
        <w:pStyle w:val="notetext"/>
      </w:pPr>
      <w:r w:rsidRPr="00527711">
        <w:rPr>
          <w:snapToGrid w:val="0"/>
          <w:lang w:eastAsia="en-US"/>
        </w:rPr>
        <w:t>Note:</w:t>
      </w:r>
      <w:r w:rsidRPr="00527711">
        <w:rPr>
          <w:snapToGrid w:val="0"/>
          <w:lang w:eastAsia="en-US"/>
        </w:rPr>
        <w:tab/>
        <w:t xml:space="preserve">This table relates only to the provisions of </w:t>
      </w:r>
      <w:r w:rsidR="00F36382" w:rsidRPr="00527711">
        <w:rPr>
          <w:snapToGrid w:val="0"/>
          <w:lang w:eastAsia="en-US"/>
        </w:rPr>
        <w:t>this instrument</w:t>
      </w:r>
      <w:r w:rsidRPr="00527711">
        <w:t xml:space="preserve"> </w:t>
      </w:r>
      <w:r w:rsidRPr="00527711">
        <w:rPr>
          <w:snapToGrid w:val="0"/>
          <w:lang w:eastAsia="en-US"/>
        </w:rPr>
        <w:t xml:space="preserve">as originally made. It will not be amended to deal with any later amendments of </w:t>
      </w:r>
      <w:r w:rsidR="00F36382" w:rsidRPr="00527711">
        <w:rPr>
          <w:snapToGrid w:val="0"/>
          <w:lang w:eastAsia="en-US"/>
        </w:rPr>
        <w:t>this instrument</w:t>
      </w:r>
      <w:r w:rsidRPr="00527711">
        <w:rPr>
          <w:snapToGrid w:val="0"/>
          <w:lang w:eastAsia="en-US"/>
        </w:rPr>
        <w:t>.</w:t>
      </w:r>
    </w:p>
    <w:p w:rsidR="005452CC" w:rsidRPr="00527711" w:rsidRDefault="005452CC" w:rsidP="003B40D0">
      <w:pPr>
        <w:pStyle w:val="subsection"/>
      </w:pPr>
      <w:r w:rsidRPr="00527711">
        <w:tab/>
        <w:t>(2)</w:t>
      </w:r>
      <w:r w:rsidRPr="00527711">
        <w:tab/>
        <w:t xml:space="preserve">Any information in column 3 of the table is not part of </w:t>
      </w:r>
      <w:r w:rsidR="00F36382" w:rsidRPr="00527711">
        <w:t>this instrument</w:t>
      </w:r>
      <w:r w:rsidRPr="00527711">
        <w:t xml:space="preserve">. Information may be inserted in this column, or information in it may be edited, in any published version of </w:t>
      </w:r>
      <w:r w:rsidR="00F36382" w:rsidRPr="00527711">
        <w:t>this instrument</w:t>
      </w:r>
      <w:r w:rsidRPr="00527711">
        <w:t>.</w:t>
      </w:r>
    </w:p>
    <w:p w:rsidR="00BF6650" w:rsidRPr="00527711" w:rsidRDefault="00BF6650" w:rsidP="00BF6650">
      <w:pPr>
        <w:pStyle w:val="ActHead5"/>
      </w:pPr>
      <w:bookmarkStart w:id="3" w:name="_Toc514851968"/>
      <w:r w:rsidRPr="00527711">
        <w:rPr>
          <w:rStyle w:val="CharSectno"/>
        </w:rPr>
        <w:t>3</w:t>
      </w:r>
      <w:r w:rsidRPr="00527711">
        <w:t xml:space="preserve">  Authority</w:t>
      </w:r>
      <w:bookmarkEnd w:id="3"/>
    </w:p>
    <w:p w:rsidR="00BF6650" w:rsidRPr="00527711" w:rsidRDefault="00BF6650" w:rsidP="00BF6650">
      <w:pPr>
        <w:pStyle w:val="subsection"/>
      </w:pPr>
      <w:r w:rsidRPr="00527711">
        <w:tab/>
      </w:r>
      <w:r w:rsidRPr="00527711">
        <w:tab/>
      </w:r>
      <w:r w:rsidR="00F36382" w:rsidRPr="00527711">
        <w:t>This instrument is</w:t>
      </w:r>
      <w:r w:rsidRPr="00527711">
        <w:t xml:space="preserve"> made under the</w:t>
      </w:r>
      <w:r w:rsidR="00F36382" w:rsidRPr="00527711">
        <w:t xml:space="preserve"> </w:t>
      </w:r>
      <w:r w:rsidR="00F36382" w:rsidRPr="00527711">
        <w:rPr>
          <w:i/>
        </w:rPr>
        <w:t>Therapeutic Goods Act 1989</w:t>
      </w:r>
      <w:r w:rsidR="00546FA3" w:rsidRPr="00527711">
        <w:rPr>
          <w:i/>
        </w:rPr>
        <w:t>.</w:t>
      </w:r>
    </w:p>
    <w:p w:rsidR="00557C7A" w:rsidRPr="00527711" w:rsidRDefault="00BF6650" w:rsidP="00557C7A">
      <w:pPr>
        <w:pStyle w:val="ActHead5"/>
      </w:pPr>
      <w:bookmarkStart w:id="4" w:name="_Toc514851969"/>
      <w:r w:rsidRPr="00527711">
        <w:rPr>
          <w:rStyle w:val="CharSectno"/>
        </w:rPr>
        <w:t>4</w:t>
      </w:r>
      <w:r w:rsidR="00557C7A" w:rsidRPr="00527711">
        <w:t xml:space="preserve">  </w:t>
      </w:r>
      <w:r w:rsidR="00083F48" w:rsidRPr="00527711">
        <w:t>Schedules</w:t>
      </w:r>
      <w:bookmarkEnd w:id="4"/>
    </w:p>
    <w:p w:rsidR="00557C7A" w:rsidRPr="00527711" w:rsidRDefault="00557C7A" w:rsidP="00557C7A">
      <w:pPr>
        <w:pStyle w:val="subsection"/>
      </w:pPr>
      <w:r w:rsidRPr="00527711">
        <w:tab/>
      </w:r>
      <w:r w:rsidRPr="00527711">
        <w:tab/>
      </w:r>
      <w:r w:rsidR="00083F48" w:rsidRPr="00527711">
        <w:t xml:space="preserve">Each </w:t>
      </w:r>
      <w:r w:rsidR="00160BD7" w:rsidRPr="00527711">
        <w:t>instrument</w:t>
      </w:r>
      <w:r w:rsidR="00083F48" w:rsidRPr="00527711">
        <w:t xml:space="preserve"> that is specified in a Schedule to </w:t>
      </w:r>
      <w:r w:rsidR="00F36382" w:rsidRPr="00527711">
        <w:t>this instrument</w:t>
      </w:r>
      <w:r w:rsidR="00083F48" w:rsidRPr="00527711">
        <w:t xml:space="preserve"> is amended or repealed as set out in the applicable items in the Schedule concerned, and any other item in a Schedule to </w:t>
      </w:r>
      <w:r w:rsidR="00F36382" w:rsidRPr="00527711">
        <w:t>this instrument</w:t>
      </w:r>
      <w:r w:rsidR="00083F48" w:rsidRPr="00527711">
        <w:t xml:space="preserve"> has effect according to its terms.</w:t>
      </w:r>
    </w:p>
    <w:p w:rsidR="0048364F" w:rsidRPr="00527711" w:rsidRDefault="0048364F" w:rsidP="009C5989">
      <w:pPr>
        <w:pStyle w:val="ActHead6"/>
        <w:pageBreakBefore/>
      </w:pPr>
      <w:bookmarkStart w:id="5" w:name="_Toc514851970"/>
      <w:bookmarkStart w:id="6" w:name="opcAmSched"/>
      <w:bookmarkStart w:id="7" w:name="opcCurrentFind"/>
      <w:r w:rsidRPr="00527711">
        <w:rPr>
          <w:rStyle w:val="CharAmSchNo"/>
        </w:rPr>
        <w:t>Schedule</w:t>
      </w:r>
      <w:r w:rsidR="00527711" w:rsidRPr="00527711">
        <w:rPr>
          <w:rStyle w:val="CharAmSchNo"/>
        </w:rPr>
        <w:t> </w:t>
      </w:r>
      <w:r w:rsidRPr="00527711">
        <w:rPr>
          <w:rStyle w:val="CharAmSchNo"/>
        </w:rPr>
        <w:t>1</w:t>
      </w:r>
      <w:r w:rsidRPr="00527711">
        <w:t>—</w:t>
      </w:r>
      <w:r w:rsidR="00460499" w:rsidRPr="00527711">
        <w:rPr>
          <w:rStyle w:val="CharAmSchText"/>
        </w:rPr>
        <w:t>Amendments</w:t>
      </w:r>
      <w:bookmarkEnd w:id="5"/>
    </w:p>
    <w:p w:rsidR="0084172C" w:rsidRPr="00527711" w:rsidRDefault="00F36382" w:rsidP="006D0239">
      <w:pPr>
        <w:pStyle w:val="ActHead7"/>
      </w:pPr>
      <w:bookmarkStart w:id="8" w:name="_Toc514851971"/>
      <w:bookmarkEnd w:id="6"/>
      <w:bookmarkEnd w:id="7"/>
      <w:r w:rsidRPr="00527711">
        <w:rPr>
          <w:rStyle w:val="CharAmPartNo"/>
        </w:rPr>
        <w:t>Part</w:t>
      </w:r>
      <w:r w:rsidR="00527711" w:rsidRPr="00527711">
        <w:rPr>
          <w:rStyle w:val="CharAmPartNo"/>
        </w:rPr>
        <w:t> </w:t>
      </w:r>
      <w:r w:rsidRPr="00527711">
        <w:rPr>
          <w:rStyle w:val="CharAmPartNo"/>
        </w:rPr>
        <w:t>1</w:t>
      </w:r>
      <w:r w:rsidRPr="00527711">
        <w:t>—</w:t>
      </w:r>
      <w:r w:rsidR="00426B04" w:rsidRPr="00527711">
        <w:rPr>
          <w:rStyle w:val="CharAmPartText"/>
        </w:rPr>
        <w:t>M</w:t>
      </w:r>
      <w:r w:rsidR="004D761A" w:rsidRPr="00527711">
        <w:rPr>
          <w:rStyle w:val="CharAmPartText"/>
        </w:rPr>
        <w:t>edical devices</w:t>
      </w:r>
      <w:bookmarkEnd w:id="8"/>
    </w:p>
    <w:p w:rsidR="009C5463" w:rsidRPr="00527711" w:rsidRDefault="009C5463" w:rsidP="009C5463">
      <w:pPr>
        <w:pStyle w:val="ActHead9"/>
      </w:pPr>
      <w:bookmarkStart w:id="9" w:name="_Toc514851972"/>
      <w:r w:rsidRPr="00527711">
        <w:t>Therapeutic Goods (Medical Devices) Regulations</w:t>
      </w:r>
      <w:r w:rsidR="00527711" w:rsidRPr="00527711">
        <w:t> </w:t>
      </w:r>
      <w:r w:rsidRPr="00527711">
        <w:t>2002</w:t>
      </w:r>
      <w:bookmarkEnd w:id="9"/>
    </w:p>
    <w:p w:rsidR="009C5463" w:rsidRPr="00527711" w:rsidRDefault="00455305" w:rsidP="009C5463">
      <w:pPr>
        <w:pStyle w:val="ItemHead"/>
      </w:pPr>
      <w:r w:rsidRPr="00527711">
        <w:t>1</w:t>
      </w:r>
      <w:r w:rsidR="009C5463" w:rsidRPr="00527711">
        <w:t xml:space="preserve">  After Division</w:t>
      </w:r>
      <w:r w:rsidR="00527711" w:rsidRPr="00527711">
        <w:t> </w:t>
      </w:r>
      <w:r w:rsidR="009C5463" w:rsidRPr="00527711">
        <w:t>4.1</w:t>
      </w:r>
      <w:r w:rsidR="00A23AC5" w:rsidRPr="00527711">
        <w:t>B</w:t>
      </w:r>
    </w:p>
    <w:p w:rsidR="009C5463" w:rsidRPr="00527711" w:rsidRDefault="009C5463" w:rsidP="009C5463">
      <w:pPr>
        <w:pStyle w:val="Item"/>
      </w:pPr>
      <w:r w:rsidRPr="00527711">
        <w:t>Insert:</w:t>
      </w:r>
    </w:p>
    <w:p w:rsidR="009C5463" w:rsidRPr="00527711" w:rsidRDefault="009C5463" w:rsidP="009C5463">
      <w:pPr>
        <w:pStyle w:val="ActHead3"/>
      </w:pPr>
      <w:bookmarkStart w:id="10" w:name="_Toc514851973"/>
      <w:r w:rsidRPr="00527711">
        <w:rPr>
          <w:rStyle w:val="CharDivNo"/>
        </w:rPr>
        <w:t>Division</w:t>
      </w:r>
      <w:r w:rsidR="00527711" w:rsidRPr="00527711">
        <w:rPr>
          <w:rStyle w:val="CharDivNo"/>
        </w:rPr>
        <w:t> </w:t>
      </w:r>
      <w:r w:rsidRPr="00527711">
        <w:rPr>
          <w:rStyle w:val="CharDivNo"/>
        </w:rPr>
        <w:t>4.1</w:t>
      </w:r>
      <w:r w:rsidR="00A23AC5" w:rsidRPr="00527711">
        <w:rPr>
          <w:rStyle w:val="CharDivNo"/>
        </w:rPr>
        <w:t>C</w:t>
      </w:r>
      <w:r w:rsidRPr="00527711">
        <w:t>—</w:t>
      </w:r>
      <w:r w:rsidRPr="00527711">
        <w:rPr>
          <w:rStyle w:val="CharDivText"/>
        </w:rPr>
        <w:t>Conditions</w:t>
      </w:r>
      <w:bookmarkEnd w:id="10"/>
    </w:p>
    <w:p w:rsidR="009C5463" w:rsidRPr="00527711" w:rsidRDefault="009C5463" w:rsidP="009C5463">
      <w:pPr>
        <w:pStyle w:val="ActHead5"/>
      </w:pPr>
      <w:bookmarkStart w:id="11" w:name="_Toc514851974"/>
      <w:r w:rsidRPr="00527711">
        <w:rPr>
          <w:rStyle w:val="CharSectno"/>
        </w:rPr>
        <w:t>4.</w:t>
      </w:r>
      <w:r w:rsidR="002E366F" w:rsidRPr="00527711">
        <w:rPr>
          <w:rStyle w:val="CharSectno"/>
        </w:rPr>
        <w:t>3</w:t>
      </w:r>
      <w:r w:rsidR="00A23AC5" w:rsidRPr="00527711">
        <w:rPr>
          <w:rStyle w:val="CharSectno"/>
        </w:rPr>
        <w:t>G</w:t>
      </w:r>
      <w:r w:rsidRPr="00527711">
        <w:t xml:space="preserve">  Conditions applying automatically—information about poisons</w:t>
      </w:r>
      <w:bookmarkEnd w:id="11"/>
    </w:p>
    <w:p w:rsidR="004F5D49" w:rsidRPr="00527711" w:rsidRDefault="009C5463" w:rsidP="004F5D49">
      <w:pPr>
        <w:pStyle w:val="subsection"/>
      </w:pPr>
      <w:r w:rsidRPr="00527711">
        <w:tab/>
        <w:t>(1)</w:t>
      </w:r>
      <w:r w:rsidRPr="00527711">
        <w:tab/>
        <w:t xml:space="preserve">This regulation applies to </w:t>
      </w:r>
      <w:r w:rsidR="00574842" w:rsidRPr="00527711">
        <w:t xml:space="preserve">a </w:t>
      </w:r>
      <w:r w:rsidRPr="00527711">
        <w:t>conformity assessment certificate</w:t>
      </w:r>
      <w:r w:rsidR="00F6227E" w:rsidRPr="00527711">
        <w:t xml:space="preserve"> </w:t>
      </w:r>
      <w:r w:rsidR="000D4E9B" w:rsidRPr="00527711">
        <w:t xml:space="preserve">that </w:t>
      </w:r>
      <w:r w:rsidRPr="00527711">
        <w:t>covers a kind of medical device</w:t>
      </w:r>
      <w:r w:rsidR="00F42936" w:rsidRPr="00527711">
        <w:t xml:space="preserve"> </w:t>
      </w:r>
      <w:r w:rsidR="004F5D49" w:rsidRPr="00527711">
        <w:t xml:space="preserve">that contains a </w:t>
      </w:r>
      <w:r w:rsidR="00373591" w:rsidRPr="00527711">
        <w:t>substance of a kind covered by an entry in a Schedule to the current Poisons Standard</w:t>
      </w:r>
      <w:r w:rsidR="004F5D49" w:rsidRPr="00527711">
        <w:t>.</w:t>
      </w:r>
    </w:p>
    <w:p w:rsidR="001B636E" w:rsidRPr="00527711" w:rsidRDefault="004F5D49" w:rsidP="004F5D49">
      <w:pPr>
        <w:pStyle w:val="subsection"/>
      </w:pPr>
      <w:r w:rsidRPr="00527711">
        <w:tab/>
        <w:t>(2)</w:t>
      </w:r>
      <w:r w:rsidRPr="00527711">
        <w:tab/>
        <w:t>However, this regulation does not apply</w:t>
      </w:r>
      <w:r w:rsidR="00A23AC5" w:rsidRPr="00527711">
        <w:t xml:space="preserve"> to the certificate</w:t>
      </w:r>
      <w:r w:rsidR="000D4E9B" w:rsidRPr="00527711">
        <w:t xml:space="preserve"> </w:t>
      </w:r>
      <w:r w:rsidRPr="00527711">
        <w:t xml:space="preserve">if, under Appendix A </w:t>
      </w:r>
      <w:r w:rsidR="00F42936" w:rsidRPr="00527711">
        <w:t xml:space="preserve">to </w:t>
      </w:r>
      <w:r w:rsidR="00373591" w:rsidRPr="00527711">
        <w:t xml:space="preserve">the </w:t>
      </w:r>
      <w:r w:rsidR="001B636E" w:rsidRPr="00527711">
        <w:t>current Poisons Standard</w:t>
      </w:r>
      <w:r w:rsidRPr="00527711">
        <w:t xml:space="preserve">, the Standard </w:t>
      </w:r>
      <w:r w:rsidR="00F42936" w:rsidRPr="00527711">
        <w:t xml:space="preserve">does </w:t>
      </w:r>
      <w:r w:rsidR="000D4E9B" w:rsidRPr="00527711">
        <w:t xml:space="preserve">not </w:t>
      </w:r>
      <w:r w:rsidR="001B636E" w:rsidRPr="00527711">
        <w:t>apply to poison</w:t>
      </w:r>
      <w:r w:rsidR="00373591" w:rsidRPr="00527711">
        <w:t>s</w:t>
      </w:r>
      <w:r w:rsidR="001B636E" w:rsidRPr="00527711">
        <w:t xml:space="preserve"> in </w:t>
      </w:r>
      <w:r w:rsidRPr="00527711">
        <w:t>that kind of device</w:t>
      </w:r>
      <w:r w:rsidR="001B636E" w:rsidRPr="00527711">
        <w:t>.</w:t>
      </w:r>
    </w:p>
    <w:p w:rsidR="009C5463" w:rsidRPr="00527711" w:rsidRDefault="009C5463" w:rsidP="009C5463">
      <w:pPr>
        <w:pStyle w:val="subsection"/>
      </w:pPr>
      <w:r w:rsidRPr="00527711">
        <w:tab/>
        <w:t>(</w:t>
      </w:r>
      <w:r w:rsidR="004F5D49" w:rsidRPr="00527711">
        <w:t>3</w:t>
      </w:r>
      <w:r w:rsidRPr="00527711">
        <w:t>)</w:t>
      </w:r>
      <w:r w:rsidRPr="00527711">
        <w:tab/>
        <w:t>For the purposes of subsection</w:t>
      </w:r>
      <w:r w:rsidR="00527711" w:rsidRPr="00527711">
        <w:t> </w:t>
      </w:r>
      <w:r w:rsidRPr="00527711">
        <w:t xml:space="preserve">41EJ(5A) of the Act, the certificate is subject to the condition that the manufacturer in respect of whom the certificate is issued will not supply a medical device of that kind if the supply would contravene </w:t>
      </w:r>
      <w:r w:rsidR="00B65F2F" w:rsidRPr="00527711">
        <w:t>Part</w:t>
      </w:r>
      <w:r w:rsidR="00527711" w:rsidRPr="00527711">
        <w:t> </w:t>
      </w:r>
      <w:r w:rsidR="00B65F2F" w:rsidRPr="00527711">
        <w:t xml:space="preserve">2 </w:t>
      </w:r>
      <w:r w:rsidRPr="00527711">
        <w:t>of the current Poisons Standard.</w:t>
      </w:r>
    </w:p>
    <w:p w:rsidR="009C5463" w:rsidRPr="00527711" w:rsidRDefault="00455305" w:rsidP="009C5463">
      <w:pPr>
        <w:pStyle w:val="ItemHead"/>
      </w:pPr>
      <w:r w:rsidRPr="00527711">
        <w:t>2</w:t>
      </w:r>
      <w:r w:rsidR="009C5463" w:rsidRPr="00527711">
        <w:t xml:space="preserve">  At the end of Division</w:t>
      </w:r>
      <w:r w:rsidR="00527711" w:rsidRPr="00527711">
        <w:t> </w:t>
      </w:r>
      <w:r w:rsidR="009C5463" w:rsidRPr="00527711">
        <w:t>5.2</w:t>
      </w:r>
    </w:p>
    <w:p w:rsidR="009C5463" w:rsidRPr="00527711" w:rsidRDefault="009C5463" w:rsidP="009C5463">
      <w:pPr>
        <w:pStyle w:val="Item"/>
      </w:pPr>
      <w:r w:rsidRPr="00527711">
        <w:t>Add:</w:t>
      </w:r>
    </w:p>
    <w:p w:rsidR="009C5463" w:rsidRPr="00527711" w:rsidRDefault="009C5463" w:rsidP="009C5463">
      <w:pPr>
        <w:pStyle w:val="ActHead5"/>
      </w:pPr>
      <w:bookmarkStart w:id="12" w:name="_Toc514851975"/>
      <w:r w:rsidRPr="00527711">
        <w:rPr>
          <w:rStyle w:val="CharSectno"/>
        </w:rPr>
        <w:t>5.13</w:t>
      </w:r>
      <w:r w:rsidRPr="00527711">
        <w:t xml:space="preserve">  Conditions applying automatically—information about poisons</w:t>
      </w:r>
      <w:r w:rsidR="00A90A15" w:rsidRPr="00527711">
        <w:t xml:space="preserve"> (Act s</w:t>
      </w:r>
      <w:r w:rsidR="001239A9" w:rsidRPr="00527711">
        <w:t xml:space="preserve"> </w:t>
      </w:r>
      <w:r w:rsidR="00A90A15" w:rsidRPr="00527711">
        <w:t>41FN)</w:t>
      </w:r>
      <w:bookmarkEnd w:id="12"/>
    </w:p>
    <w:p w:rsidR="005412C8" w:rsidRPr="00527711" w:rsidRDefault="005412C8" w:rsidP="005412C8">
      <w:pPr>
        <w:pStyle w:val="subsection"/>
      </w:pPr>
      <w:r w:rsidRPr="00527711">
        <w:tab/>
        <w:t>(1)</w:t>
      </w:r>
      <w:r w:rsidRPr="00527711">
        <w:tab/>
        <w:t>This regulation applies in relation to a kind of medical device that contains a substance of a kind covered by an entry in a Schedule to the current Poisons Standard.</w:t>
      </w:r>
    </w:p>
    <w:p w:rsidR="005412C8" w:rsidRPr="00527711" w:rsidRDefault="005412C8" w:rsidP="005412C8">
      <w:pPr>
        <w:pStyle w:val="subsection"/>
      </w:pPr>
      <w:r w:rsidRPr="00527711">
        <w:tab/>
        <w:t>(2)</w:t>
      </w:r>
      <w:r w:rsidRPr="00527711">
        <w:tab/>
        <w:t>However, this regulation does not apply</w:t>
      </w:r>
      <w:r w:rsidR="00A23AC5" w:rsidRPr="00527711">
        <w:t xml:space="preserve"> in relation to that kind of medical device</w:t>
      </w:r>
      <w:r w:rsidRPr="00527711">
        <w:t xml:space="preserve"> if, under Appendix A to the current Poisons Standard, the Standard does apply to poisons in that kind of medical device.</w:t>
      </w:r>
    </w:p>
    <w:p w:rsidR="009C5463" w:rsidRPr="00527711" w:rsidRDefault="009C5463" w:rsidP="009C5463">
      <w:pPr>
        <w:pStyle w:val="subsection"/>
      </w:pPr>
      <w:r w:rsidRPr="00527711">
        <w:tab/>
        <w:t>(</w:t>
      </w:r>
      <w:r w:rsidR="005412C8" w:rsidRPr="00527711">
        <w:t>3</w:t>
      </w:r>
      <w:r w:rsidRPr="00527711">
        <w:t>)</w:t>
      </w:r>
      <w:r w:rsidRPr="00527711">
        <w:tab/>
      </w:r>
      <w:r w:rsidR="00A90A15" w:rsidRPr="00527711">
        <w:t>For the purposes of subsection</w:t>
      </w:r>
      <w:r w:rsidR="00527711" w:rsidRPr="00527711">
        <w:t> </w:t>
      </w:r>
      <w:r w:rsidR="00A90A15" w:rsidRPr="00527711">
        <w:t>41FN(5A) of the Act, t</w:t>
      </w:r>
      <w:r w:rsidRPr="00527711">
        <w:t xml:space="preserve">he person in relation to whom a medical device of that kind is included in the Register must not supply the device in Australia if the </w:t>
      </w:r>
      <w:r w:rsidR="005D135C" w:rsidRPr="00527711">
        <w:t xml:space="preserve">supply would contravene </w:t>
      </w:r>
      <w:r w:rsidRPr="00527711">
        <w:t>Part</w:t>
      </w:r>
      <w:r w:rsidR="00527711" w:rsidRPr="00527711">
        <w:t> </w:t>
      </w:r>
      <w:r w:rsidR="00A90A15" w:rsidRPr="00527711">
        <w:t>2</w:t>
      </w:r>
      <w:r w:rsidRPr="00527711">
        <w:t xml:space="preserve"> of the current Poisons Standard.</w:t>
      </w:r>
    </w:p>
    <w:p w:rsidR="00CD3626" w:rsidRPr="00527711" w:rsidRDefault="00455305" w:rsidP="00CD3626">
      <w:pPr>
        <w:pStyle w:val="ItemHead"/>
      </w:pPr>
      <w:r w:rsidRPr="00527711">
        <w:t>3</w:t>
      </w:r>
      <w:r w:rsidR="00CD3626" w:rsidRPr="00527711">
        <w:t xml:space="preserve">  In the appropriate position in Part</w:t>
      </w:r>
      <w:r w:rsidR="00527711" w:rsidRPr="00527711">
        <w:t> </w:t>
      </w:r>
      <w:r w:rsidR="00CD3626" w:rsidRPr="00527711">
        <w:t>11</w:t>
      </w:r>
    </w:p>
    <w:p w:rsidR="00CD3626" w:rsidRPr="00527711" w:rsidRDefault="00CD3626" w:rsidP="00CD3626">
      <w:pPr>
        <w:pStyle w:val="Item"/>
      </w:pPr>
      <w:r w:rsidRPr="00527711">
        <w:t>Add:</w:t>
      </w:r>
    </w:p>
    <w:p w:rsidR="00CD3626" w:rsidRPr="00527711" w:rsidRDefault="00CD3626" w:rsidP="00CD3626">
      <w:pPr>
        <w:pStyle w:val="ActHead3"/>
      </w:pPr>
      <w:bookmarkStart w:id="13" w:name="_Toc514851976"/>
      <w:r w:rsidRPr="00527711">
        <w:rPr>
          <w:rStyle w:val="CharDivNo"/>
        </w:rPr>
        <w:t>Division</w:t>
      </w:r>
      <w:r w:rsidR="00527711" w:rsidRPr="00527711">
        <w:rPr>
          <w:rStyle w:val="CharDivNo"/>
        </w:rPr>
        <w:t> </w:t>
      </w:r>
      <w:r w:rsidR="00280FFF" w:rsidRPr="00527711">
        <w:rPr>
          <w:rStyle w:val="CharDivNo"/>
        </w:rPr>
        <w:t>11.8</w:t>
      </w:r>
      <w:r w:rsidRPr="00527711">
        <w:t>—</w:t>
      </w:r>
      <w:r w:rsidRPr="00527711">
        <w:rPr>
          <w:rStyle w:val="CharDivText"/>
        </w:rPr>
        <w:t>Transitional provisions relating to the Therapeutic Goods Legislation Amendment (2018 Measures No.</w:t>
      </w:r>
      <w:r w:rsidR="00527711" w:rsidRPr="00527711">
        <w:rPr>
          <w:rStyle w:val="CharDivText"/>
        </w:rPr>
        <w:t> </w:t>
      </w:r>
      <w:r w:rsidRPr="00527711">
        <w:rPr>
          <w:rStyle w:val="CharDivText"/>
        </w:rPr>
        <w:t>2) Regulations</w:t>
      </w:r>
      <w:r w:rsidR="00527711" w:rsidRPr="00527711">
        <w:rPr>
          <w:rStyle w:val="CharDivText"/>
        </w:rPr>
        <w:t> </w:t>
      </w:r>
      <w:r w:rsidRPr="00527711">
        <w:rPr>
          <w:rStyle w:val="CharDivText"/>
        </w:rPr>
        <w:t>2018</w:t>
      </w:r>
      <w:bookmarkEnd w:id="13"/>
    </w:p>
    <w:p w:rsidR="00F73579" w:rsidRPr="00527711" w:rsidRDefault="00280FFF" w:rsidP="0056224B">
      <w:pPr>
        <w:pStyle w:val="ActHead5"/>
      </w:pPr>
      <w:bookmarkStart w:id="14" w:name="_Toc514851977"/>
      <w:r w:rsidRPr="00527711">
        <w:rPr>
          <w:rStyle w:val="CharSectno"/>
        </w:rPr>
        <w:t>11.3</w:t>
      </w:r>
      <w:r w:rsidR="00BC6B61" w:rsidRPr="00527711">
        <w:rPr>
          <w:rStyle w:val="CharSectno"/>
        </w:rPr>
        <w:t>5</w:t>
      </w:r>
      <w:r w:rsidR="00F73579" w:rsidRPr="00527711">
        <w:t xml:space="preserve">  Application—</w:t>
      </w:r>
      <w:r w:rsidR="00987717" w:rsidRPr="00527711">
        <w:t>regulation</w:t>
      </w:r>
      <w:r w:rsidR="00527711" w:rsidRPr="00527711">
        <w:t> </w:t>
      </w:r>
      <w:r w:rsidR="00987717" w:rsidRPr="00527711">
        <w:t>4.</w:t>
      </w:r>
      <w:r w:rsidR="00DC25AC" w:rsidRPr="00527711">
        <w:t>3</w:t>
      </w:r>
      <w:r w:rsidR="00987717" w:rsidRPr="00527711">
        <w:t>G (conditions applying automatically to conformity assessment certificates)</w:t>
      </w:r>
      <w:bookmarkEnd w:id="14"/>
    </w:p>
    <w:p w:rsidR="00987717" w:rsidRPr="00527711" w:rsidRDefault="00F73579" w:rsidP="00987717">
      <w:pPr>
        <w:pStyle w:val="subsection"/>
      </w:pPr>
      <w:r w:rsidRPr="00527711">
        <w:tab/>
      </w:r>
      <w:r w:rsidRPr="00527711">
        <w:tab/>
      </w:r>
      <w:r w:rsidR="00987717" w:rsidRPr="00527711">
        <w:t>Regulation</w:t>
      </w:r>
      <w:r w:rsidR="00527711" w:rsidRPr="00527711">
        <w:t> </w:t>
      </w:r>
      <w:r w:rsidR="00DC25AC" w:rsidRPr="00527711">
        <w:t>4.3</w:t>
      </w:r>
      <w:r w:rsidR="00987717" w:rsidRPr="00527711">
        <w:t xml:space="preserve">G applies to a conformity assessment certificate issued before, </w:t>
      </w:r>
      <w:r w:rsidRPr="00527711">
        <w:t xml:space="preserve">on or after </w:t>
      </w:r>
      <w:r w:rsidR="00BC6B61" w:rsidRPr="00527711">
        <w:t>1</w:t>
      </w:r>
      <w:r w:rsidR="00527711" w:rsidRPr="00527711">
        <w:t> </w:t>
      </w:r>
      <w:r w:rsidR="00BC6B61" w:rsidRPr="00527711">
        <w:t>July 2018</w:t>
      </w:r>
      <w:r w:rsidRPr="00527711">
        <w:t>.</w:t>
      </w:r>
    </w:p>
    <w:p w:rsidR="005A01ED" w:rsidRPr="00527711" w:rsidRDefault="005A01ED" w:rsidP="0056224B">
      <w:pPr>
        <w:pStyle w:val="ActHead5"/>
      </w:pPr>
      <w:bookmarkStart w:id="15" w:name="_Toc514851978"/>
      <w:r w:rsidRPr="00527711">
        <w:rPr>
          <w:rStyle w:val="CharSectno"/>
        </w:rPr>
        <w:t>11.3</w:t>
      </w:r>
      <w:r w:rsidR="00BC6B61" w:rsidRPr="00527711">
        <w:rPr>
          <w:rStyle w:val="CharSectno"/>
        </w:rPr>
        <w:t>6</w:t>
      </w:r>
      <w:r w:rsidRPr="00527711">
        <w:t xml:space="preserve">  Application—regulation</w:t>
      </w:r>
      <w:r w:rsidR="00527711" w:rsidRPr="00527711">
        <w:t> </w:t>
      </w:r>
      <w:r w:rsidRPr="00527711">
        <w:t>5.13 (conditions applying automatically to medical devices included in the Register)</w:t>
      </w:r>
      <w:bookmarkEnd w:id="15"/>
    </w:p>
    <w:p w:rsidR="005A01ED" w:rsidRPr="00527711" w:rsidRDefault="005A01ED" w:rsidP="005A01ED">
      <w:pPr>
        <w:pStyle w:val="subsection"/>
      </w:pPr>
      <w:r w:rsidRPr="00527711">
        <w:tab/>
      </w:r>
      <w:r w:rsidRPr="00527711">
        <w:tab/>
        <w:t>Regulation</w:t>
      </w:r>
      <w:r w:rsidR="00527711" w:rsidRPr="00527711">
        <w:t> </w:t>
      </w:r>
      <w:r w:rsidRPr="00527711">
        <w:t xml:space="preserve">5.13 applies to a kind of medical device included in the Register before, on or after </w:t>
      </w:r>
      <w:r w:rsidR="00BC6B61" w:rsidRPr="00527711">
        <w:t>1</w:t>
      </w:r>
      <w:r w:rsidR="00527711" w:rsidRPr="00527711">
        <w:t> </w:t>
      </w:r>
      <w:r w:rsidR="00BC6B61" w:rsidRPr="00527711">
        <w:t>July 2018</w:t>
      </w:r>
      <w:r w:rsidRPr="00527711">
        <w:t>.</w:t>
      </w:r>
    </w:p>
    <w:p w:rsidR="004D761A" w:rsidRPr="00527711" w:rsidRDefault="004D761A" w:rsidP="004D761A">
      <w:pPr>
        <w:pStyle w:val="ActHead7"/>
        <w:pageBreakBefore/>
      </w:pPr>
      <w:bookmarkStart w:id="16" w:name="_Toc514851979"/>
      <w:r w:rsidRPr="00527711">
        <w:rPr>
          <w:rStyle w:val="CharAmPartNo"/>
        </w:rPr>
        <w:t>Part</w:t>
      </w:r>
      <w:r w:rsidR="00527711" w:rsidRPr="00527711">
        <w:rPr>
          <w:rStyle w:val="CharAmPartNo"/>
        </w:rPr>
        <w:t> </w:t>
      </w:r>
      <w:r w:rsidRPr="00527711">
        <w:rPr>
          <w:rStyle w:val="CharAmPartNo"/>
        </w:rPr>
        <w:t>2</w:t>
      </w:r>
      <w:r w:rsidRPr="00527711">
        <w:t>—</w:t>
      </w:r>
      <w:r w:rsidR="003660AE" w:rsidRPr="00527711">
        <w:rPr>
          <w:rStyle w:val="CharAmPartText"/>
        </w:rPr>
        <w:t>V</w:t>
      </w:r>
      <w:r w:rsidRPr="00527711">
        <w:rPr>
          <w:rStyle w:val="CharAmPartText"/>
        </w:rPr>
        <w:t>ariation</w:t>
      </w:r>
      <w:r w:rsidR="003660AE" w:rsidRPr="00527711">
        <w:rPr>
          <w:rStyle w:val="CharAmPartText"/>
        </w:rPr>
        <w:t xml:space="preserve"> of entries in Register</w:t>
      </w:r>
      <w:bookmarkEnd w:id="16"/>
    </w:p>
    <w:p w:rsidR="00F36382" w:rsidRPr="00527711" w:rsidRDefault="00F36382" w:rsidP="00987717">
      <w:pPr>
        <w:pStyle w:val="ActHead9"/>
      </w:pPr>
      <w:bookmarkStart w:id="17" w:name="_Toc514851980"/>
      <w:r w:rsidRPr="00527711">
        <w:t>Therapeutic Goods Regulations</w:t>
      </w:r>
      <w:r w:rsidR="00527711" w:rsidRPr="00527711">
        <w:t> </w:t>
      </w:r>
      <w:r w:rsidRPr="00527711">
        <w:t>1990</w:t>
      </w:r>
      <w:bookmarkEnd w:id="17"/>
    </w:p>
    <w:p w:rsidR="00F36382" w:rsidRPr="00527711" w:rsidRDefault="00455305" w:rsidP="00F36382">
      <w:pPr>
        <w:pStyle w:val="ItemHead"/>
      </w:pPr>
      <w:r w:rsidRPr="00527711">
        <w:t>4</w:t>
      </w:r>
      <w:r w:rsidR="00D60947" w:rsidRPr="00527711">
        <w:t xml:space="preserve">  Regulation</w:t>
      </w:r>
      <w:r w:rsidR="00527711" w:rsidRPr="00527711">
        <w:t> </w:t>
      </w:r>
      <w:r w:rsidR="00D60947" w:rsidRPr="00527711">
        <w:t xml:space="preserve">2 (definition of </w:t>
      </w:r>
      <w:r w:rsidR="00D60947" w:rsidRPr="00527711">
        <w:rPr>
          <w:i/>
        </w:rPr>
        <w:t>TGA notifications process guidance document</w:t>
      </w:r>
      <w:r w:rsidR="00D60947" w:rsidRPr="00527711">
        <w:t>)</w:t>
      </w:r>
    </w:p>
    <w:p w:rsidR="00D60947" w:rsidRPr="00527711" w:rsidRDefault="00D60947" w:rsidP="00D60947">
      <w:pPr>
        <w:pStyle w:val="Item"/>
      </w:pPr>
      <w:r w:rsidRPr="00527711">
        <w:t>Repeal the definition</w:t>
      </w:r>
      <w:r w:rsidR="00A23AC5" w:rsidRPr="00527711">
        <w:t xml:space="preserve"> (including the note)</w:t>
      </w:r>
      <w:r w:rsidRPr="00527711">
        <w:t>, substitute:</w:t>
      </w:r>
    </w:p>
    <w:p w:rsidR="00D60947" w:rsidRPr="00527711" w:rsidRDefault="00D60947" w:rsidP="00D60947">
      <w:pPr>
        <w:pStyle w:val="Definition"/>
      </w:pPr>
      <w:r w:rsidRPr="00527711">
        <w:rPr>
          <w:b/>
          <w:i/>
        </w:rPr>
        <w:t>TGA notifications process guidance document</w:t>
      </w:r>
      <w:r w:rsidRPr="00527711">
        <w:t xml:space="preserve"> means Version 3.0 of the document published by the Therapeutic Goods Administration entitled </w:t>
      </w:r>
      <w:r w:rsidRPr="00527711">
        <w:rPr>
          <w:i/>
        </w:rPr>
        <w:t>Notifications process—requests to vary biologicals and registered medicines where quality, safety and efficacy are not affected</w:t>
      </w:r>
      <w:r w:rsidRPr="00527711">
        <w:t xml:space="preserve"> (as in force on </w:t>
      </w:r>
      <w:r w:rsidR="00E13C67" w:rsidRPr="00527711">
        <w:t>1</w:t>
      </w:r>
      <w:r w:rsidR="00527711" w:rsidRPr="00527711">
        <w:t> </w:t>
      </w:r>
      <w:r w:rsidR="00E13C67" w:rsidRPr="00527711">
        <w:t>July 2018</w:t>
      </w:r>
      <w:r w:rsidRPr="00527711">
        <w:t>).</w:t>
      </w:r>
    </w:p>
    <w:p w:rsidR="00D60947" w:rsidRPr="00527711" w:rsidRDefault="00D60947" w:rsidP="00D60947">
      <w:pPr>
        <w:pStyle w:val="notetext"/>
      </w:pPr>
      <w:r w:rsidRPr="00527711">
        <w:t>Note:</w:t>
      </w:r>
      <w:r w:rsidRPr="00527711">
        <w:tab/>
        <w:t>The TGA notifications process guidance document could in 2018 be viewed on the Therapeutic Goods Administration</w:t>
      </w:r>
      <w:r w:rsidR="003C4EB4" w:rsidRPr="00527711">
        <w:t>’</w:t>
      </w:r>
      <w:r w:rsidRPr="00527711">
        <w:t>s website (http://www.tga.gov.au).</w:t>
      </w:r>
    </w:p>
    <w:p w:rsidR="00C1405F" w:rsidRPr="00527711" w:rsidRDefault="00455305" w:rsidP="00C1405F">
      <w:pPr>
        <w:pStyle w:val="ItemHead"/>
      </w:pPr>
      <w:r w:rsidRPr="00527711">
        <w:t>5</w:t>
      </w:r>
      <w:r w:rsidR="00C1405F" w:rsidRPr="00527711">
        <w:t xml:space="preserve">  Subregulation</w:t>
      </w:r>
      <w:r w:rsidR="00527711" w:rsidRPr="00527711">
        <w:t> </w:t>
      </w:r>
      <w:r w:rsidR="00C1405F" w:rsidRPr="00527711">
        <w:t>10AAB(2) (table item</w:t>
      </w:r>
      <w:r w:rsidR="00527711" w:rsidRPr="00527711">
        <w:t> </w:t>
      </w:r>
      <w:r w:rsidR="00C1405F" w:rsidRPr="00527711">
        <w:t>6)</w:t>
      </w:r>
    </w:p>
    <w:p w:rsidR="00C1405F" w:rsidRPr="00527711" w:rsidRDefault="00C1405F" w:rsidP="00C1405F">
      <w:pPr>
        <w:pStyle w:val="Item"/>
      </w:pPr>
      <w:r w:rsidRPr="00527711">
        <w:t>Repeal the item.</w:t>
      </w:r>
    </w:p>
    <w:p w:rsidR="004D761A" w:rsidRPr="00527711" w:rsidRDefault="004D761A" w:rsidP="004D761A">
      <w:pPr>
        <w:pStyle w:val="ActHead7"/>
        <w:pageBreakBefore/>
      </w:pPr>
      <w:bookmarkStart w:id="18" w:name="_Toc514851981"/>
      <w:r w:rsidRPr="00527711">
        <w:rPr>
          <w:rStyle w:val="CharAmPartNo"/>
        </w:rPr>
        <w:t>Part</w:t>
      </w:r>
      <w:r w:rsidR="00527711" w:rsidRPr="00527711">
        <w:rPr>
          <w:rStyle w:val="CharAmPartNo"/>
        </w:rPr>
        <w:t> </w:t>
      </w:r>
      <w:r w:rsidRPr="00527711">
        <w:rPr>
          <w:rStyle w:val="CharAmPartNo"/>
        </w:rPr>
        <w:t>3</w:t>
      </w:r>
      <w:r w:rsidRPr="00527711">
        <w:t>—</w:t>
      </w:r>
      <w:r w:rsidR="00B63007" w:rsidRPr="00527711">
        <w:rPr>
          <w:rStyle w:val="CharAmPartText"/>
        </w:rPr>
        <w:t>Evaluation of prescription and other medicines</w:t>
      </w:r>
      <w:bookmarkEnd w:id="18"/>
    </w:p>
    <w:p w:rsidR="004D761A" w:rsidRPr="00527711" w:rsidRDefault="004D761A" w:rsidP="004D761A">
      <w:pPr>
        <w:pStyle w:val="ActHead9"/>
      </w:pPr>
      <w:bookmarkStart w:id="19" w:name="_Toc514851982"/>
      <w:r w:rsidRPr="00527711">
        <w:t>Therapeutic Goods Regulations</w:t>
      </w:r>
      <w:r w:rsidR="00527711" w:rsidRPr="00527711">
        <w:t> </w:t>
      </w:r>
      <w:r w:rsidRPr="00527711">
        <w:t>1990</w:t>
      </w:r>
      <w:bookmarkEnd w:id="19"/>
    </w:p>
    <w:p w:rsidR="00A270C3" w:rsidRPr="00527711" w:rsidRDefault="00455305" w:rsidP="00A270C3">
      <w:pPr>
        <w:pStyle w:val="ItemHead"/>
      </w:pPr>
      <w:r w:rsidRPr="00527711">
        <w:t>6</w:t>
      </w:r>
      <w:r w:rsidR="00A270C3" w:rsidRPr="00527711">
        <w:t xml:space="preserve">  </w:t>
      </w:r>
      <w:r w:rsidR="00930E48" w:rsidRPr="00527711">
        <w:t>Subregulation</w:t>
      </w:r>
      <w:r w:rsidR="00527711" w:rsidRPr="00527711">
        <w:t> </w:t>
      </w:r>
      <w:r w:rsidR="00A270C3" w:rsidRPr="00527711">
        <w:t>16DA(1)</w:t>
      </w:r>
    </w:p>
    <w:p w:rsidR="00A270C3" w:rsidRPr="00527711" w:rsidRDefault="00A270C3" w:rsidP="00A270C3">
      <w:pPr>
        <w:pStyle w:val="Item"/>
      </w:pPr>
      <w:r w:rsidRPr="00527711">
        <w:t xml:space="preserve">Omit </w:t>
      </w:r>
      <w:r w:rsidR="003C4EB4" w:rsidRPr="00527711">
        <w:t>“</w:t>
      </w:r>
      <w:r w:rsidRPr="00527711">
        <w:t>16C(3)(b) and 16D(3)(b)</w:t>
      </w:r>
      <w:r w:rsidR="003C4EB4" w:rsidRPr="00527711">
        <w:t>”</w:t>
      </w:r>
      <w:r w:rsidRPr="00527711">
        <w:t xml:space="preserve">, substitute </w:t>
      </w:r>
      <w:r w:rsidR="003C4EB4" w:rsidRPr="00527711">
        <w:t>“</w:t>
      </w:r>
      <w:r w:rsidRPr="00527711">
        <w:t>16C(3)(a) and (b) and 16D(3)(a) and (b)</w:t>
      </w:r>
      <w:r w:rsidR="003C4EB4" w:rsidRPr="00527711">
        <w:t>”</w:t>
      </w:r>
      <w:r w:rsidRPr="00527711">
        <w:t>.</w:t>
      </w:r>
    </w:p>
    <w:p w:rsidR="00330DAC" w:rsidRPr="00527711" w:rsidRDefault="00455305" w:rsidP="00330DAC">
      <w:pPr>
        <w:pStyle w:val="ItemHead"/>
      </w:pPr>
      <w:r w:rsidRPr="00527711">
        <w:t>7</w:t>
      </w:r>
      <w:r w:rsidR="00330DAC" w:rsidRPr="00527711">
        <w:t xml:space="preserve">  Paragraph 16DA(1)(b)</w:t>
      </w:r>
    </w:p>
    <w:p w:rsidR="00330DAC" w:rsidRPr="00527711" w:rsidRDefault="00330DAC" w:rsidP="00330DAC">
      <w:pPr>
        <w:pStyle w:val="Item"/>
      </w:pPr>
      <w:r w:rsidRPr="00527711">
        <w:t>Repeal the paragraph.</w:t>
      </w:r>
    </w:p>
    <w:p w:rsidR="00330DAC" w:rsidRPr="00527711" w:rsidRDefault="00455305" w:rsidP="00330DAC">
      <w:pPr>
        <w:pStyle w:val="ItemHead"/>
      </w:pPr>
      <w:r w:rsidRPr="00527711">
        <w:t>8</w:t>
      </w:r>
      <w:r w:rsidR="00330DAC" w:rsidRPr="00527711">
        <w:t xml:space="preserve">  Before paragraph</w:t>
      </w:r>
      <w:r w:rsidR="00527711" w:rsidRPr="00527711">
        <w:t> </w:t>
      </w:r>
      <w:r w:rsidR="00330DAC" w:rsidRPr="00527711">
        <w:t>16DA(2)(a)</w:t>
      </w:r>
    </w:p>
    <w:p w:rsidR="00330DAC" w:rsidRPr="00527711" w:rsidRDefault="00330DAC" w:rsidP="00330DAC">
      <w:pPr>
        <w:pStyle w:val="Item"/>
      </w:pPr>
      <w:r w:rsidRPr="00527711">
        <w:t>Insert:</w:t>
      </w:r>
    </w:p>
    <w:p w:rsidR="00330DAC" w:rsidRPr="00527711" w:rsidRDefault="00330DAC" w:rsidP="00330DAC">
      <w:pPr>
        <w:pStyle w:val="paragraph"/>
      </w:pPr>
      <w:r w:rsidRPr="00527711">
        <w:tab/>
        <w:t>(aa)</w:t>
      </w:r>
      <w:r w:rsidRPr="00527711">
        <w:tab/>
        <w:t>the approval for the acceptable foreign approved medicine:</w:t>
      </w:r>
    </w:p>
    <w:p w:rsidR="00330DAC" w:rsidRPr="00527711" w:rsidRDefault="00330DAC" w:rsidP="00330DAC">
      <w:pPr>
        <w:pStyle w:val="paragraphsub"/>
      </w:pPr>
      <w:r w:rsidRPr="00527711">
        <w:tab/>
        <w:t>(i)</w:t>
      </w:r>
      <w:r w:rsidRPr="00527711">
        <w:tab/>
        <w:t>is in force; and</w:t>
      </w:r>
    </w:p>
    <w:p w:rsidR="00330DAC" w:rsidRPr="00527711" w:rsidRDefault="00330DAC" w:rsidP="00330DAC">
      <w:pPr>
        <w:pStyle w:val="paragraphsub"/>
      </w:pPr>
      <w:r w:rsidRPr="00527711">
        <w:tab/>
        <w:t>(ii)</w:t>
      </w:r>
      <w:r w:rsidRPr="00527711">
        <w:tab/>
        <w:t>was given not more than 12 months before the date of the application in relation to the evaluation;</w:t>
      </w:r>
    </w:p>
    <w:p w:rsidR="004D761A" w:rsidRPr="00527711" w:rsidRDefault="004D761A" w:rsidP="004D761A">
      <w:pPr>
        <w:pStyle w:val="ActHead7"/>
        <w:pageBreakBefore/>
      </w:pPr>
      <w:bookmarkStart w:id="20" w:name="_Toc514851983"/>
      <w:r w:rsidRPr="00527711">
        <w:rPr>
          <w:rStyle w:val="CharAmPartNo"/>
        </w:rPr>
        <w:t>Part</w:t>
      </w:r>
      <w:r w:rsidR="00527711" w:rsidRPr="00527711">
        <w:rPr>
          <w:rStyle w:val="CharAmPartNo"/>
        </w:rPr>
        <w:t> </w:t>
      </w:r>
      <w:r w:rsidR="00B754CB" w:rsidRPr="00527711">
        <w:rPr>
          <w:rStyle w:val="CharAmPartNo"/>
        </w:rPr>
        <w:t>4</w:t>
      </w:r>
      <w:r w:rsidRPr="00527711">
        <w:t>—</w:t>
      </w:r>
      <w:r w:rsidRPr="00527711">
        <w:rPr>
          <w:rStyle w:val="CharAmPartText"/>
        </w:rPr>
        <w:t>Homoeopathic preparations</w:t>
      </w:r>
      <w:bookmarkEnd w:id="20"/>
    </w:p>
    <w:p w:rsidR="004D761A" w:rsidRPr="00527711" w:rsidRDefault="004D761A" w:rsidP="004D761A">
      <w:pPr>
        <w:pStyle w:val="ActHead9"/>
      </w:pPr>
      <w:bookmarkStart w:id="21" w:name="_Toc514851984"/>
      <w:r w:rsidRPr="00527711">
        <w:t>Therapeutic Goods Regulations</w:t>
      </w:r>
      <w:r w:rsidR="00527711" w:rsidRPr="00527711">
        <w:t> </w:t>
      </w:r>
      <w:r w:rsidRPr="00527711">
        <w:t>1990</w:t>
      </w:r>
      <w:bookmarkEnd w:id="21"/>
    </w:p>
    <w:p w:rsidR="00CF509C" w:rsidRPr="00527711" w:rsidRDefault="00455305" w:rsidP="00CF509C">
      <w:pPr>
        <w:pStyle w:val="ItemHead"/>
      </w:pPr>
      <w:r w:rsidRPr="00527711">
        <w:t>9</w:t>
      </w:r>
      <w:r w:rsidR="00CF509C" w:rsidRPr="00527711">
        <w:t xml:space="preserve">  Schedule</w:t>
      </w:r>
      <w:r w:rsidR="00527711" w:rsidRPr="00527711">
        <w:t> </w:t>
      </w:r>
      <w:r w:rsidR="00CF509C" w:rsidRPr="00527711">
        <w:t>4 (items</w:t>
      </w:r>
      <w:r w:rsidR="00527711" w:rsidRPr="00527711">
        <w:t> </w:t>
      </w:r>
      <w:r w:rsidR="00CF509C" w:rsidRPr="00527711">
        <w:t>4A and 5)</w:t>
      </w:r>
    </w:p>
    <w:p w:rsidR="00CF509C" w:rsidRPr="00527711" w:rsidRDefault="00CF509C" w:rsidP="00CF509C">
      <w:pPr>
        <w:pStyle w:val="Item"/>
      </w:pPr>
      <w:r w:rsidRPr="00527711">
        <w:t xml:space="preserve">Omit </w:t>
      </w:r>
      <w:r w:rsidR="003C4EB4" w:rsidRPr="00527711">
        <w:t>“</w:t>
      </w:r>
      <w:r w:rsidRPr="00527711">
        <w:t>homeopathic</w:t>
      </w:r>
      <w:r w:rsidR="003C4EB4" w:rsidRPr="00527711">
        <w:t>”</w:t>
      </w:r>
      <w:r w:rsidRPr="00527711">
        <w:t xml:space="preserve">, substitute </w:t>
      </w:r>
      <w:r w:rsidR="003C4EB4" w:rsidRPr="00527711">
        <w:t>“</w:t>
      </w:r>
      <w:r w:rsidRPr="00527711">
        <w:t>homoeopathic</w:t>
      </w:r>
      <w:r w:rsidR="003C4EB4" w:rsidRPr="00527711">
        <w:t>”</w:t>
      </w:r>
      <w:r w:rsidRPr="00527711">
        <w:t>.</w:t>
      </w:r>
    </w:p>
    <w:p w:rsidR="00CF509C" w:rsidRPr="00527711" w:rsidRDefault="00455305" w:rsidP="00CF509C">
      <w:pPr>
        <w:pStyle w:val="ItemHead"/>
      </w:pPr>
      <w:r w:rsidRPr="00527711">
        <w:t>10</w:t>
      </w:r>
      <w:r w:rsidR="00CF509C" w:rsidRPr="00527711">
        <w:t xml:space="preserve">  Schedule</w:t>
      </w:r>
      <w:r w:rsidR="00527711" w:rsidRPr="00527711">
        <w:t> </w:t>
      </w:r>
      <w:r w:rsidR="00CF509C" w:rsidRPr="00527711">
        <w:t>14 (item</w:t>
      </w:r>
      <w:r w:rsidR="00527711" w:rsidRPr="00527711">
        <w:t> </w:t>
      </w:r>
      <w:r w:rsidR="00CF509C" w:rsidRPr="00527711">
        <w:t>6)</w:t>
      </w:r>
    </w:p>
    <w:p w:rsidR="00CF509C" w:rsidRPr="00527711" w:rsidRDefault="00CF509C" w:rsidP="00CF509C">
      <w:pPr>
        <w:pStyle w:val="Item"/>
      </w:pPr>
      <w:r w:rsidRPr="00527711">
        <w:t xml:space="preserve">Omit </w:t>
      </w:r>
      <w:r w:rsidR="003C4EB4" w:rsidRPr="00527711">
        <w:t>“</w:t>
      </w:r>
      <w:r w:rsidRPr="00527711">
        <w:t>homeopathic</w:t>
      </w:r>
      <w:r w:rsidR="003C4EB4" w:rsidRPr="00527711">
        <w:t>”</w:t>
      </w:r>
      <w:r w:rsidRPr="00527711">
        <w:t xml:space="preserve">, substitute </w:t>
      </w:r>
      <w:r w:rsidR="003C4EB4" w:rsidRPr="00527711">
        <w:t>“</w:t>
      </w:r>
      <w:r w:rsidRPr="00527711">
        <w:t>homoeopathic</w:t>
      </w:r>
      <w:r w:rsidR="003C4EB4" w:rsidRPr="00527711">
        <w:t>”</w:t>
      </w:r>
      <w:r w:rsidRPr="00527711">
        <w:t>.</w:t>
      </w:r>
    </w:p>
    <w:p w:rsidR="00D1240D" w:rsidRPr="00527711" w:rsidRDefault="00D1240D" w:rsidP="00D1240D">
      <w:pPr>
        <w:pStyle w:val="ActHead7"/>
        <w:pageBreakBefore/>
      </w:pPr>
      <w:bookmarkStart w:id="22" w:name="_Toc514851985"/>
      <w:r w:rsidRPr="00527711">
        <w:rPr>
          <w:rStyle w:val="CharAmPartNo"/>
        </w:rPr>
        <w:t>Part</w:t>
      </w:r>
      <w:r w:rsidR="00527711" w:rsidRPr="00527711">
        <w:rPr>
          <w:rStyle w:val="CharAmPartNo"/>
        </w:rPr>
        <w:t> </w:t>
      </w:r>
      <w:r w:rsidR="00B754CB" w:rsidRPr="00527711">
        <w:rPr>
          <w:rStyle w:val="CharAmPartNo"/>
        </w:rPr>
        <w:t>5</w:t>
      </w:r>
      <w:r w:rsidRPr="00527711">
        <w:t>—</w:t>
      </w:r>
      <w:r w:rsidR="00597F19" w:rsidRPr="00527711">
        <w:rPr>
          <w:rStyle w:val="CharAmPartText"/>
        </w:rPr>
        <w:t>Biologicals</w:t>
      </w:r>
      <w:bookmarkEnd w:id="22"/>
    </w:p>
    <w:p w:rsidR="003B40D0" w:rsidRPr="00527711" w:rsidRDefault="003B40D0" w:rsidP="003B40D0">
      <w:pPr>
        <w:pStyle w:val="ActHead9"/>
      </w:pPr>
      <w:bookmarkStart w:id="23" w:name="_Toc514851986"/>
      <w:r w:rsidRPr="00527711">
        <w:t>Therapeutic Goods Regulations</w:t>
      </w:r>
      <w:r w:rsidR="00527711" w:rsidRPr="00527711">
        <w:t> </w:t>
      </w:r>
      <w:r w:rsidRPr="00527711">
        <w:t>1990</w:t>
      </w:r>
      <w:bookmarkEnd w:id="23"/>
    </w:p>
    <w:p w:rsidR="009A2018" w:rsidRPr="00527711" w:rsidRDefault="00455305" w:rsidP="004050A3">
      <w:pPr>
        <w:pStyle w:val="ItemHead"/>
      </w:pPr>
      <w:r w:rsidRPr="00527711">
        <w:t>11</w:t>
      </w:r>
      <w:r w:rsidR="009A2018" w:rsidRPr="00527711">
        <w:t xml:space="preserve">  Regulation</w:t>
      </w:r>
      <w:r w:rsidR="00527711" w:rsidRPr="00527711">
        <w:t> </w:t>
      </w:r>
      <w:r w:rsidR="009A2018" w:rsidRPr="00527711">
        <w:t xml:space="preserve">2 (definition of </w:t>
      </w:r>
      <w:r w:rsidR="009A2018" w:rsidRPr="00527711">
        <w:rPr>
          <w:i/>
        </w:rPr>
        <w:t>Class 2 biological</w:t>
      </w:r>
      <w:r w:rsidR="009A2018" w:rsidRPr="00527711">
        <w:t>)</w:t>
      </w:r>
    </w:p>
    <w:p w:rsidR="009A2018" w:rsidRPr="00527711" w:rsidRDefault="009A2018" w:rsidP="009A2018">
      <w:pPr>
        <w:pStyle w:val="Item"/>
      </w:pPr>
      <w:r w:rsidRPr="00527711">
        <w:t>Repeal the definition, substitute:</w:t>
      </w:r>
    </w:p>
    <w:p w:rsidR="009A2018" w:rsidRPr="00527711" w:rsidRDefault="009A2018" w:rsidP="009A2018">
      <w:pPr>
        <w:pStyle w:val="Definition"/>
      </w:pPr>
      <w:r w:rsidRPr="00527711">
        <w:rPr>
          <w:b/>
          <w:i/>
        </w:rPr>
        <w:t>Class 2 biological</w:t>
      </w:r>
      <w:r w:rsidR="000D4E9B" w:rsidRPr="00527711">
        <w:t xml:space="preserve"> means a biological</w:t>
      </w:r>
      <w:r w:rsidRPr="00527711">
        <w:t>:</w:t>
      </w:r>
    </w:p>
    <w:p w:rsidR="009A2018" w:rsidRPr="00527711" w:rsidRDefault="009A2018" w:rsidP="009A2018">
      <w:pPr>
        <w:pStyle w:val="paragraph"/>
      </w:pPr>
      <w:r w:rsidRPr="00527711">
        <w:tab/>
        <w:t>(a)</w:t>
      </w:r>
      <w:r w:rsidRPr="00527711">
        <w:tab/>
      </w:r>
      <w:r w:rsidR="00EB184D" w:rsidRPr="00527711">
        <w:t>that</w:t>
      </w:r>
      <w:r w:rsidRPr="00527711">
        <w:t>:</w:t>
      </w:r>
    </w:p>
    <w:p w:rsidR="009A2018" w:rsidRPr="00527711" w:rsidRDefault="009A2018" w:rsidP="009A2018">
      <w:pPr>
        <w:pStyle w:val="paragraphsub"/>
      </w:pPr>
      <w:r w:rsidRPr="00527711">
        <w:tab/>
        <w:t>(i)</w:t>
      </w:r>
      <w:r w:rsidRPr="00527711">
        <w:tab/>
      </w:r>
      <w:r w:rsidR="00275DCF" w:rsidRPr="00527711">
        <w:t>has been</w:t>
      </w:r>
      <w:r w:rsidR="00272FCD" w:rsidRPr="00527711">
        <w:t xml:space="preserve"> subjected to</w:t>
      </w:r>
      <w:r w:rsidR="00B072A2" w:rsidRPr="00527711">
        <w:t xml:space="preserve"> only</w:t>
      </w:r>
      <w:r w:rsidR="00275DCF" w:rsidRPr="00527711">
        <w:t xml:space="preserve"> </w:t>
      </w:r>
      <w:r w:rsidR="00272FCD" w:rsidRPr="00527711">
        <w:t>minimal</w:t>
      </w:r>
      <w:r w:rsidR="0056023F" w:rsidRPr="00527711">
        <w:t xml:space="preserve"> </w:t>
      </w:r>
      <w:r w:rsidRPr="00527711">
        <w:t>manipulat</w:t>
      </w:r>
      <w:r w:rsidR="00272FCD" w:rsidRPr="00527711">
        <w:t>ion</w:t>
      </w:r>
      <w:r w:rsidRPr="00527711">
        <w:t>; and</w:t>
      </w:r>
    </w:p>
    <w:p w:rsidR="009A2018" w:rsidRPr="00527711" w:rsidRDefault="009A2018" w:rsidP="009A2018">
      <w:pPr>
        <w:pStyle w:val="paragraphsub"/>
      </w:pPr>
      <w:r w:rsidRPr="00527711">
        <w:tab/>
        <w:t>(ii)</w:t>
      </w:r>
      <w:r w:rsidRPr="00527711">
        <w:tab/>
      </w:r>
      <w:r w:rsidR="00275DCF" w:rsidRPr="00527711">
        <w:t xml:space="preserve">is </w:t>
      </w:r>
      <w:r w:rsidR="00DE7313" w:rsidRPr="00527711">
        <w:t xml:space="preserve">only </w:t>
      </w:r>
      <w:r w:rsidR="00EB184D" w:rsidRPr="00527711">
        <w:t>for homologous use; and</w:t>
      </w:r>
    </w:p>
    <w:p w:rsidR="00EB184D" w:rsidRPr="00527711" w:rsidRDefault="00EB184D" w:rsidP="009A2018">
      <w:pPr>
        <w:pStyle w:val="paragraphsub"/>
      </w:pPr>
      <w:r w:rsidRPr="00527711">
        <w:tab/>
        <w:t>(iii)</w:t>
      </w:r>
      <w:r w:rsidRPr="00527711">
        <w:tab/>
        <w:t>is not mentioned in Schedule</w:t>
      </w:r>
      <w:r w:rsidR="00527711" w:rsidRPr="00527711">
        <w:t> </w:t>
      </w:r>
      <w:r w:rsidRPr="00527711">
        <w:t>16 as a Class 1, 3 or 4 biological; or</w:t>
      </w:r>
    </w:p>
    <w:p w:rsidR="009A2018" w:rsidRPr="00527711" w:rsidRDefault="009A2018" w:rsidP="00EB184D">
      <w:pPr>
        <w:pStyle w:val="paragraph"/>
      </w:pPr>
      <w:r w:rsidRPr="00527711">
        <w:tab/>
        <w:t>(b)</w:t>
      </w:r>
      <w:r w:rsidRPr="00527711">
        <w:tab/>
      </w:r>
      <w:r w:rsidR="00964E07" w:rsidRPr="00527711">
        <w:t xml:space="preserve">that is </w:t>
      </w:r>
      <w:r w:rsidRPr="00527711">
        <w:t>mentioned in Schedule</w:t>
      </w:r>
      <w:r w:rsidR="00527711" w:rsidRPr="00527711">
        <w:t> </w:t>
      </w:r>
      <w:r w:rsidR="00EB184D" w:rsidRPr="00527711">
        <w:t>16 as a Class 2 biological.</w:t>
      </w:r>
    </w:p>
    <w:p w:rsidR="009A2018" w:rsidRPr="00527711" w:rsidRDefault="00455305" w:rsidP="009A2018">
      <w:pPr>
        <w:pStyle w:val="ItemHead"/>
      </w:pPr>
      <w:r w:rsidRPr="00527711">
        <w:t>12</w:t>
      </w:r>
      <w:r w:rsidR="009A2018" w:rsidRPr="00527711">
        <w:t xml:space="preserve">  Regulation</w:t>
      </w:r>
      <w:r w:rsidR="00527711" w:rsidRPr="00527711">
        <w:t> </w:t>
      </w:r>
      <w:r w:rsidR="009A2018" w:rsidRPr="00527711">
        <w:t xml:space="preserve">2 (definition of </w:t>
      </w:r>
      <w:r w:rsidR="009A2018" w:rsidRPr="00527711">
        <w:rPr>
          <w:i/>
        </w:rPr>
        <w:t>Class 3 biological</w:t>
      </w:r>
      <w:r w:rsidR="009A2018" w:rsidRPr="00527711">
        <w:t>)</w:t>
      </w:r>
    </w:p>
    <w:p w:rsidR="009A2018" w:rsidRPr="00527711" w:rsidRDefault="009A2018" w:rsidP="009A2018">
      <w:pPr>
        <w:pStyle w:val="Item"/>
      </w:pPr>
      <w:r w:rsidRPr="00527711">
        <w:t>Repeal the definition, substitute:</w:t>
      </w:r>
    </w:p>
    <w:p w:rsidR="00AE7FBC" w:rsidRPr="00527711" w:rsidRDefault="009A2018" w:rsidP="007D0730">
      <w:pPr>
        <w:pStyle w:val="Definition"/>
      </w:pPr>
      <w:r w:rsidRPr="00527711">
        <w:rPr>
          <w:b/>
          <w:i/>
        </w:rPr>
        <w:t>Class 3 biological</w:t>
      </w:r>
      <w:r w:rsidRPr="00527711">
        <w:t xml:space="preserve"> means a biological</w:t>
      </w:r>
      <w:r w:rsidR="00AE7FBC" w:rsidRPr="00527711">
        <w:t>:</w:t>
      </w:r>
    </w:p>
    <w:p w:rsidR="009A2018" w:rsidRPr="00527711" w:rsidRDefault="00AE7FBC" w:rsidP="00AE7FBC">
      <w:pPr>
        <w:pStyle w:val="paragraph"/>
      </w:pPr>
      <w:r w:rsidRPr="00527711">
        <w:tab/>
        <w:t>(a)</w:t>
      </w:r>
      <w:r w:rsidRPr="00527711">
        <w:tab/>
      </w:r>
      <w:r w:rsidR="00964E07" w:rsidRPr="00527711">
        <w:t>that</w:t>
      </w:r>
      <w:r w:rsidR="007D0730" w:rsidRPr="00527711">
        <w:t xml:space="preserve"> </w:t>
      </w:r>
      <w:r w:rsidR="00964E07" w:rsidRPr="00527711">
        <w:t>is not a Class 1, 2 or 4 biological</w:t>
      </w:r>
      <w:r w:rsidRPr="00527711">
        <w:t>; or</w:t>
      </w:r>
    </w:p>
    <w:p w:rsidR="00AE7FBC" w:rsidRPr="00527711" w:rsidRDefault="00AE7FBC" w:rsidP="00AE7FBC">
      <w:pPr>
        <w:pStyle w:val="paragraph"/>
      </w:pPr>
      <w:r w:rsidRPr="00527711">
        <w:tab/>
        <w:t>(b)</w:t>
      </w:r>
      <w:r w:rsidRPr="00527711">
        <w:tab/>
        <w:t>that is mentioned in Schedule</w:t>
      </w:r>
      <w:r w:rsidR="00527711" w:rsidRPr="00527711">
        <w:t> </w:t>
      </w:r>
      <w:r w:rsidRPr="00527711">
        <w:t>16 as a Class 3 biological.</w:t>
      </w:r>
    </w:p>
    <w:p w:rsidR="0037214E" w:rsidRPr="00527711" w:rsidRDefault="00455305" w:rsidP="0037214E">
      <w:pPr>
        <w:pStyle w:val="ItemHead"/>
      </w:pPr>
      <w:r w:rsidRPr="00527711">
        <w:t>13</w:t>
      </w:r>
      <w:r w:rsidR="0037214E" w:rsidRPr="00527711">
        <w:t xml:space="preserve">  Regulation</w:t>
      </w:r>
      <w:r w:rsidR="00527711" w:rsidRPr="00527711">
        <w:t> </w:t>
      </w:r>
      <w:r w:rsidR="0037214E" w:rsidRPr="00527711">
        <w:t xml:space="preserve">2 (definition of </w:t>
      </w:r>
      <w:r w:rsidR="0037214E" w:rsidRPr="00527711">
        <w:rPr>
          <w:i/>
        </w:rPr>
        <w:t>Class</w:t>
      </w:r>
      <w:r w:rsidR="0037214E" w:rsidRPr="00527711">
        <w:t xml:space="preserve"> </w:t>
      </w:r>
      <w:r w:rsidR="0037214E" w:rsidRPr="00527711">
        <w:rPr>
          <w:i/>
        </w:rPr>
        <w:t>4 biological</w:t>
      </w:r>
      <w:r w:rsidR="0037214E" w:rsidRPr="00527711">
        <w:t>)</w:t>
      </w:r>
    </w:p>
    <w:p w:rsidR="0037214E" w:rsidRPr="00527711" w:rsidRDefault="0037214E" w:rsidP="0037214E">
      <w:pPr>
        <w:pStyle w:val="Item"/>
      </w:pPr>
      <w:r w:rsidRPr="00527711">
        <w:t>Repeal the definition, substitute:</w:t>
      </w:r>
    </w:p>
    <w:p w:rsidR="0037214E" w:rsidRPr="00527711" w:rsidRDefault="0037214E" w:rsidP="00773E67">
      <w:pPr>
        <w:pStyle w:val="Definition"/>
      </w:pPr>
      <w:r w:rsidRPr="00527711">
        <w:rPr>
          <w:b/>
          <w:i/>
        </w:rPr>
        <w:t>Class 4 biological</w:t>
      </w:r>
      <w:r w:rsidRPr="00527711">
        <w:t xml:space="preserve"> means a biological that is</w:t>
      </w:r>
      <w:r w:rsidR="00773E67" w:rsidRPr="00527711">
        <w:t xml:space="preserve"> </w:t>
      </w:r>
      <w:r w:rsidRPr="00527711">
        <w:t>mentioned in Schedule</w:t>
      </w:r>
      <w:r w:rsidR="00527711" w:rsidRPr="00527711">
        <w:t> </w:t>
      </w:r>
      <w:r w:rsidRPr="00527711">
        <w:t>16 as a Class 4 biological.</w:t>
      </w:r>
    </w:p>
    <w:p w:rsidR="00D46E50" w:rsidRPr="00527711" w:rsidRDefault="00455305" w:rsidP="00D46E50">
      <w:pPr>
        <w:pStyle w:val="ItemHead"/>
      </w:pPr>
      <w:r w:rsidRPr="00527711">
        <w:t>14</w:t>
      </w:r>
      <w:r w:rsidR="00D46E50" w:rsidRPr="00527711">
        <w:t xml:space="preserve">  Regulation</w:t>
      </w:r>
      <w:r w:rsidR="00527711" w:rsidRPr="00527711">
        <w:t> </w:t>
      </w:r>
      <w:r w:rsidR="00D46E50" w:rsidRPr="00527711">
        <w:t xml:space="preserve">2 (definition of </w:t>
      </w:r>
      <w:r w:rsidR="00D46E50" w:rsidRPr="00527711">
        <w:rPr>
          <w:i/>
        </w:rPr>
        <w:t>homologous use</w:t>
      </w:r>
      <w:r w:rsidR="00D46E50" w:rsidRPr="00527711">
        <w:t>)</w:t>
      </w:r>
    </w:p>
    <w:p w:rsidR="00D46E50" w:rsidRPr="00527711" w:rsidRDefault="00D46E50" w:rsidP="00D46E50">
      <w:pPr>
        <w:pStyle w:val="Item"/>
      </w:pPr>
      <w:r w:rsidRPr="00527711">
        <w:t>Repeal the definition, substitute:</w:t>
      </w:r>
    </w:p>
    <w:p w:rsidR="00D46E50" w:rsidRPr="00527711" w:rsidRDefault="00D46E50" w:rsidP="00D46E50">
      <w:pPr>
        <w:pStyle w:val="Definition"/>
      </w:pPr>
      <w:r w:rsidRPr="00527711">
        <w:rPr>
          <w:b/>
          <w:i/>
        </w:rPr>
        <w:t>homologous use</w:t>
      </w:r>
      <w:r w:rsidRPr="00527711">
        <w:t>: see regulation</w:t>
      </w:r>
      <w:r w:rsidR="00527711" w:rsidRPr="00527711">
        <w:t> </w:t>
      </w:r>
      <w:r w:rsidRPr="00527711">
        <w:t>3B.</w:t>
      </w:r>
    </w:p>
    <w:p w:rsidR="003B40D0" w:rsidRPr="00527711" w:rsidRDefault="00455305" w:rsidP="003B40D0">
      <w:pPr>
        <w:pStyle w:val="ItemHead"/>
      </w:pPr>
      <w:r w:rsidRPr="00527711">
        <w:t>15</w:t>
      </w:r>
      <w:r w:rsidR="003B40D0" w:rsidRPr="00527711">
        <w:t xml:space="preserve">  Regulation</w:t>
      </w:r>
      <w:r w:rsidR="00527711" w:rsidRPr="00527711">
        <w:t> </w:t>
      </w:r>
      <w:r w:rsidR="003B40D0" w:rsidRPr="00527711">
        <w:t xml:space="preserve">2 (definition of </w:t>
      </w:r>
      <w:r w:rsidR="003B40D0" w:rsidRPr="00527711">
        <w:rPr>
          <w:i/>
        </w:rPr>
        <w:t>minimal manipulation</w:t>
      </w:r>
      <w:r w:rsidR="003B40D0" w:rsidRPr="00527711">
        <w:t>)</w:t>
      </w:r>
    </w:p>
    <w:p w:rsidR="003B40D0" w:rsidRPr="00527711" w:rsidRDefault="003B40D0" w:rsidP="009E328F">
      <w:pPr>
        <w:pStyle w:val="Item"/>
      </w:pPr>
      <w:r w:rsidRPr="00527711">
        <w:t>Repeal the definition</w:t>
      </w:r>
      <w:r w:rsidR="00B072A2" w:rsidRPr="00527711">
        <w:t>, substitute:</w:t>
      </w:r>
    </w:p>
    <w:p w:rsidR="00B072A2" w:rsidRPr="00527711" w:rsidRDefault="00B072A2" w:rsidP="00B072A2">
      <w:pPr>
        <w:pStyle w:val="Definition"/>
      </w:pPr>
      <w:r w:rsidRPr="00527711">
        <w:rPr>
          <w:b/>
          <w:i/>
        </w:rPr>
        <w:t>minimal manipulation</w:t>
      </w:r>
      <w:r w:rsidRPr="00527711">
        <w:t>: see regulation</w:t>
      </w:r>
      <w:r w:rsidR="00527711" w:rsidRPr="00527711">
        <w:t> </w:t>
      </w:r>
      <w:r w:rsidRPr="00527711">
        <w:t>3B.</w:t>
      </w:r>
    </w:p>
    <w:p w:rsidR="00085CB7" w:rsidRPr="00527711" w:rsidRDefault="00455305" w:rsidP="00085CB7">
      <w:pPr>
        <w:pStyle w:val="ItemHead"/>
      </w:pPr>
      <w:r w:rsidRPr="00527711">
        <w:t>16</w:t>
      </w:r>
      <w:r w:rsidR="00085CB7" w:rsidRPr="00527711">
        <w:t xml:space="preserve">  Regulation</w:t>
      </w:r>
      <w:r w:rsidR="00527711" w:rsidRPr="00527711">
        <w:t> </w:t>
      </w:r>
      <w:r w:rsidR="00085CB7" w:rsidRPr="00527711">
        <w:t>2</w:t>
      </w:r>
    </w:p>
    <w:p w:rsidR="00085CB7" w:rsidRPr="00527711" w:rsidRDefault="00085CB7" w:rsidP="00085CB7">
      <w:pPr>
        <w:pStyle w:val="Item"/>
      </w:pPr>
      <w:r w:rsidRPr="00527711">
        <w:t>Insert:</w:t>
      </w:r>
    </w:p>
    <w:p w:rsidR="00085CB7" w:rsidRPr="00527711" w:rsidRDefault="00085CB7" w:rsidP="00085CB7">
      <w:pPr>
        <w:pStyle w:val="Definition"/>
      </w:pPr>
      <w:r w:rsidRPr="00527711">
        <w:rPr>
          <w:b/>
          <w:i/>
        </w:rPr>
        <w:t>original cells or tissues</w:t>
      </w:r>
      <w:r w:rsidRPr="00527711">
        <w:t>: see regulation</w:t>
      </w:r>
      <w:r w:rsidR="00527711" w:rsidRPr="00527711">
        <w:t> </w:t>
      </w:r>
      <w:r w:rsidRPr="00527711">
        <w:t>3B.</w:t>
      </w:r>
    </w:p>
    <w:p w:rsidR="00D46E50" w:rsidRPr="00527711" w:rsidRDefault="00455305" w:rsidP="00D46E50">
      <w:pPr>
        <w:pStyle w:val="ItemHead"/>
      </w:pPr>
      <w:r w:rsidRPr="00527711">
        <w:t>17</w:t>
      </w:r>
      <w:r w:rsidR="00D46E50" w:rsidRPr="00527711">
        <w:t xml:space="preserve">  At the end of Part</w:t>
      </w:r>
      <w:r w:rsidR="00527711" w:rsidRPr="00527711">
        <w:t> </w:t>
      </w:r>
      <w:r w:rsidR="00D46E50" w:rsidRPr="00527711">
        <w:t>1</w:t>
      </w:r>
    </w:p>
    <w:p w:rsidR="00D46E50" w:rsidRPr="00527711" w:rsidRDefault="00D46E50" w:rsidP="00D46E50">
      <w:pPr>
        <w:pStyle w:val="Item"/>
      </w:pPr>
      <w:r w:rsidRPr="00527711">
        <w:t>Add:</w:t>
      </w:r>
    </w:p>
    <w:p w:rsidR="003B40D0" w:rsidRPr="00527711" w:rsidRDefault="00D46E50" w:rsidP="00DD0C47">
      <w:pPr>
        <w:pStyle w:val="ActHead5"/>
      </w:pPr>
      <w:bookmarkStart w:id="24" w:name="_Toc514851987"/>
      <w:r w:rsidRPr="00527711">
        <w:rPr>
          <w:rStyle w:val="CharSectno"/>
        </w:rPr>
        <w:t>3B</w:t>
      </w:r>
      <w:r w:rsidR="00DD0C47" w:rsidRPr="00527711">
        <w:t xml:space="preserve">  </w:t>
      </w:r>
      <w:r w:rsidR="003B40D0" w:rsidRPr="00527711">
        <w:t>Definitions relatin</w:t>
      </w:r>
      <w:r w:rsidR="00B63607" w:rsidRPr="00527711">
        <w:t>g</w:t>
      </w:r>
      <w:r w:rsidR="003B40D0" w:rsidRPr="00527711">
        <w:t xml:space="preserve"> to </w:t>
      </w:r>
      <w:r w:rsidR="00A23AC5" w:rsidRPr="00527711">
        <w:t>goods comprising etc.</w:t>
      </w:r>
      <w:r w:rsidR="001239A9" w:rsidRPr="00527711">
        <w:t xml:space="preserve"> </w:t>
      </w:r>
      <w:r w:rsidR="003B40D0" w:rsidRPr="00527711">
        <w:t>human cells and tissues</w:t>
      </w:r>
      <w:bookmarkEnd w:id="24"/>
    </w:p>
    <w:p w:rsidR="00085CB7" w:rsidRPr="00527711" w:rsidRDefault="003B40D0" w:rsidP="003B40D0">
      <w:pPr>
        <w:pStyle w:val="subsection"/>
      </w:pPr>
      <w:r w:rsidRPr="00527711">
        <w:tab/>
        <w:t>(1)</w:t>
      </w:r>
      <w:r w:rsidRPr="00527711">
        <w:tab/>
        <w:t xml:space="preserve">This regulation applies to goods that </w:t>
      </w:r>
      <w:r w:rsidR="00F25567" w:rsidRPr="00527711">
        <w:t>comprise, c</w:t>
      </w:r>
      <w:r w:rsidRPr="00527711">
        <w:t>ontain, or are derived from human cells or tissues</w:t>
      </w:r>
      <w:r w:rsidR="00085CB7" w:rsidRPr="00527711">
        <w:t>.</w:t>
      </w:r>
    </w:p>
    <w:p w:rsidR="003B40D0" w:rsidRPr="00527711" w:rsidRDefault="00085CB7" w:rsidP="003B40D0">
      <w:pPr>
        <w:pStyle w:val="subsection"/>
      </w:pPr>
      <w:r w:rsidRPr="00527711">
        <w:tab/>
        <w:t>(2)</w:t>
      </w:r>
      <w:r w:rsidRPr="00527711">
        <w:tab/>
        <w:t>The human cells or tissues are t</w:t>
      </w:r>
      <w:r w:rsidR="00FA5FF3" w:rsidRPr="00527711">
        <w:t xml:space="preserve">he </w:t>
      </w:r>
      <w:r w:rsidR="00FA5FF3" w:rsidRPr="00527711">
        <w:rPr>
          <w:b/>
          <w:i/>
        </w:rPr>
        <w:t>original cells or tissues</w:t>
      </w:r>
      <w:r w:rsidR="003B40D0" w:rsidRPr="00527711">
        <w:t>.</w:t>
      </w:r>
    </w:p>
    <w:p w:rsidR="00F25567" w:rsidRPr="00527711" w:rsidRDefault="003B40D0" w:rsidP="00085CB7">
      <w:pPr>
        <w:pStyle w:val="subsection"/>
      </w:pPr>
      <w:r w:rsidRPr="00527711">
        <w:tab/>
        <w:t>(</w:t>
      </w:r>
      <w:r w:rsidR="00085CB7" w:rsidRPr="00527711">
        <w:t>3</w:t>
      </w:r>
      <w:r w:rsidRPr="00527711">
        <w:t>)</w:t>
      </w:r>
      <w:r w:rsidRPr="00527711">
        <w:tab/>
      </w:r>
      <w:r w:rsidR="00F50ADA" w:rsidRPr="00527711">
        <w:t>T</w:t>
      </w:r>
      <w:r w:rsidR="00B072A2" w:rsidRPr="00527711">
        <w:t>he g</w:t>
      </w:r>
      <w:r w:rsidR="00275DCF" w:rsidRPr="00527711">
        <w:t xml:space="preserve">oods </w:t>
      </w:r>
      <w:r w:rsidR="00B072A2" w:rsidRPr="00527711">
        <w:t>have been</w:t>
      </w:r>
      <w:r w:rsidR="00272FCD" w:rsidRPr="00527711">
        <w:t xml:space="preserve"> subjected to</w:t>
      </w:r>
      <w:r w:rsidR="00B072A2" w:rsidRPr="00527711">
        <w:t xml:space="preserve"> </w:t>
      </w:r>
      <w:r w:rsidR="00B072A2" w:rsidRPr="00527711">
        <w:rPr>
          <w:b/>
          <w:i/>
        </w:rPr>
        <w:t>minimal</w:t>
      </w:r>
      <w:r w:rsidR="00272FCD" w:rsidRPr="00527711">
        <w:rPr>
          <w:b/>
          <w:i/>
        </w:rPr>
        <w:t xml:space="preserve"> manipulation</w:t>
      </w:r>
      <w:r w:rsidR="00B072A2" w:rsidRPr="00527711">
        <w:t xml:space="preserve"> if </w:t>
      </w:r>
      <w:r w:rsidR="00A23AC5" w:rsidRPr="00527711">
        <w:t>n</w:t>
      </w:r>
      <w:r w:rsidR="00085CB7" w:rsidRPr="00527711">
        <w:t xml:space="preserve">o process or processes to which the goods </w:t>
      </w:r>
      <w:r w:rsidR="00A23AC5" w:rsidRPr="00527711">
        <w:t>have been subjected have</w:t>
      </w:r>
      <w:r w:rsidR="00275DCF" w:rsidRPr="00527711">
        <w:t xml:space="preserve"> altered </w:t>
      </w:r>
      <w:r w:rsidRPr="00527711">
        <w:t>any of the biological characteristics, physiological functions or structural properties</w:t>
      </w:r>
      <w:r w:rsidR="00085CB7" w:rsidRPr="00527711">
        <w:t xml:space="preserve"> of the original cells or tissues</w:t>
      </w:r>
      <w:r w:rsidRPr="00527711">
        <w:t xml:space="preserve"> that </w:t>
      </w:r>
      <w:r w:rsidR="00D135B7" w:rsidRPr="00527711">
        <w:t>are relevant to th</w:t>
      </w:r>
      <w:r w:rsidR="002F1F1F" w:rsidRPr="00527711">
        <w:t xml:space="preserve">e </w:t>
      </w:r>
      <w:r w:rsidR="00F25567" w:rsidRPr="00527711">
        <w:t>purpose for which the manufacturer of the goods intend</w:t>
      </w:r>
      <w:r w:rsidR="00A23AC5" w:rsidRPr="00527711">
        <w:t>s</w:t>
      </w:r>
      <w:r w:rsidR="00F25567" w:rsidRPr="00527711">
        <w:t xml:space="preserve"> the goods to be used.</w:t>
      </w:r>
    </w:p>
    <w:p w:rsidR="005505F0" w:rsidRPr="00527711" w:rsidRDefault="005505F0" w:rsidP="005505F0">
      <w:pPr>
        <w:pStyle w:val="subsection"/>
      </w:pPr>
      <w:r w:rsidRPr="00527711">
        <w:tab/>
        <w:t>(</w:t>
      </w:r>
      <w:r w:rsidR="005F6DDD" w:rsidRPr="00527711">
        <w:t>4</w:t>
      </w:r>
      <w:r w:rsidRPr="00527711">
        <w:t>)</w:t>
      </w:r>
      <w:r w:rsidRPr="00527711">
        <w:tab/>
      </w:r>
      <w:r w:rsidRPr="00527711">
        <w:rPr>
          <w:b/>
          <w:i/>
        </w:rPr>
        <w:t>Homologous use</w:t>
      </w:r>
      <w:r w:rsidRPr="00527711">
        <w:t xml:space="preserve"> of the goods is use of the goods to repair, reconstruct, replace or supplement </w:t>
      </w:r>
      <w:r w:rsidR="00C05EE6" w:rsidRPr="00527711">
        <w:t>the</w:t>
      </w:r>
      <w:r w:rsidRPr="00527711">
        <w:t xml:space="preserve"> cells or tissues</w:t>
      </w:r>
      <w:r w:rsidR="00C05EE6" w:rsidRPr="00527711">
        <w:t xml:space="preserve"> of a person (the </w:t>
      </w:r>
      <w:r w:rsidR="00C05EE6" w:rsidRPr="00527711">
        <w:rPr>
          <w:b/>
          <w:i/>
        </w:rPr>
        <w:t>recipient</w:t>
      </w:r>
      <w:r w:rsidR="00C05EE6" w:rsidRPr="00527711">
        <w:t>)</w:t>
      </w:r>
      <w:r w:rsidRPr="00527711">
        <w:t xml:space="preserve">, if the goods will perform the same </w:t>
      </w:r>
      <w:r w:rsidR="00AC59D7" w:rsidRPr="00527711">
        <w:t>basic</w:t>
      </w:r>
      <w:r w:rsidR="00FA5FF3" w:rsidRPr="00527711">
        <w:t xml:space="preserve"> function or functions in the recipient as the </w:t>
      </w:r>
      <w:r w:rsidR="004050A3" w:rsidRPr="00527711">
        <w:t>original cells or tissues performed in the</w:t>
      </w:r>
      <w:r w:rsidR="00C76AD5" w:rsidRPr="00527711">
        <w:t xml:space="preserve"> person from whom they were collected</w:t>
      </w:r>
      <w:r w:rsidR="004050A3" w:rsidRPr="00527711">
        <w:t>.</w:t>
      </w:r>
    </w:p>
    <w:p w:rsidR="00B754CB" w:rsidRPr="00527711" w:rsidRDefault="00455305" w:rsidP="00B754CB">
      <w:pPr>
        <w:pStyle w:val="ItemHead"/>
      </w:pPr>
      <w:r w:rsidRPr="00527711">
        <w:t>18</w:t>
      </w:r>
      <w:r w:rsidR="00B754CB" w:rsidRPr="00527711">
        <w:t xml:space="preserve">  Regulation</w:t>
      </w:r>
      <w:r w:rsidR="00527711" w:rsidRPr="00527711">
        <w:t> </w:t>
      </w:r>
      <w:r w:rsidR="00B754CB" w:rsidRPr="00527711">
        <w:t>16AB</w:t>
      </w:r>
    </w:p>
    <w:p w:rsidR="00B754CB" w:rsidRPr="00527711" w:rsidRDefault="00B754CB" w:rsidP="00B754CB">
      <w:pPr>
        <w:pStyle w:val="Item"/>
      </w:pPr>
      <w:r w:rsidRPr="00527711">
        <w:t>After “of the Act”, insert “and item</w:t>
      </w:r>
      <w:r w:rsidR="00527711" w:rsidRPr="00527711">
        <w:t> </w:t>
      </w:r>
      <w:r w:rsidRPr="00527711">
        <w:t>14 of the table in Schedule</w:t>
      </w:r>
      <w:r w:rsidR="00527711" w:rsidRPr="00527711">
        <w:t> </w:t>
      </w:r>
      <w:r w:rsidRPr="00527711">
        <w:t>5A to these Regulations”.</w:t>
      </w:r>
    </w:p>
    <w:p w:rsidR="00B754CB" w:rsidRPr="00527711" w:rsidRDefault="00455305" w:rsidP="00B754CB">
      <w:pPr>
        <w:pStyle w:val="ItemHead"/>
      </w:pPr>
      <w:r w:rsidRPr="00527711">
        <w:t>19</w:t>
      </w:r>
      <w:r w:rsidR="00B754CB" w:rsidRPr="00527711">
        <w:t xml:space="preserve">  Paragraphs 16AB(b) and (c)</w:t>
      </w:r>
    </w:p>
    <w:p w:rsidR="00B754CB" w:rsidRPr="00527711" w:rsidRDefault="00B754CB" w:rsidP="00B754CB">
      <w:pPr>
        <w:pStyle w:val="Item"/>
      </w:pPr>
      <w:r w:rsidRPr="00527711">
        <w:t>Omit “biological”, substitute “relevant biological or other goods”.</w:t>
      </w:r>
    </w:p>
    <w:p w:rsidR="00A4598B" w:rsidRPr="00527711" w:rsidRDefault="00455305" w:rsidP="00A4598B">
      <w:pPr>
        <w:pStyle w:val="ItemHead"/>
      </w:pPr>
      <w:r w:rsidRPr="00527711">
        <w:t>20</w:t>
      </w:r>
      <w:r w:rsidR="00A4598B" w:rsidRPr="00527711">
        <w:t xml:space="preserve">  In the appropriate position in Part</w:t>
      </w:r>
      <w:r w:rsidR="00527711" w:rsidRPr="00527711">
        <w:t> </w:t>
      </w:r>
      <w:r w:rsidR="00A4598B" w:rsidRPr="00527711">
        <w:t>9</w:t>
      </w:r>
    </w:p>
    <w:p w:rsidR="00A4598B" w:rsidRPr="00527711" w:rsidRDefault="00A4598B" w:rsidP="00A4598B">
      <w:pPr>
        <w:pStyle w:val="Item"/>
      </w:pPr>
      <w:r w:rsidRPr="00527711">
        <w:t>Add:</w:t>
      </w:r>
    </w:p>
    <w:p w:rsidR="00A4598B" w:rsidRPr="00527711" w:rsidRDefault="00A4598B" w:rsidP="00A4598B">
      <w:pPr>
        <w:pStyle w:val="ActHead3"/>
      </w:pPr>
      <w:bookmarkStart w:id="25" w:name="_Toc514851988"/>
      <w:r w:rsidRPr="00527711">
        <w:rPr>
          <w:rStyle w:val="CharDivNo"/>
        </w:rPr>
        <w:t>Division</w:t>
      </w:r>
      <w:r w:rsidR="00527711" w:rsidRPr="00527711">
        <w:rPr>
          <w:rStyle w:val="CharDivNo"/>
        </w:rPr>
        <w:t> </w:t>
      </w:r>
      <w:r w:rsidRPr="00527711">
        <w:rPr>
          <w:rStyle w:val="CharDivNo"/>
        </w:rPr>
        <w:t>9</w:t>
      </w:r>
      <w:r w:rsidRPr="00527711">
        <w:t>—</w:t>
      </w:r>
      <w:r w:rsidRPr="00527711">
        <w:rPr>
          <w:rStyle w:val="CharDivText"/>
        </w:rPr>
        <w:t>Transitional provisions relating to the Therapeutic Goods Legislation Amendment (2018 Measures No.</w:t>
      </w:r>
      <w:r w:rsidR="00527711" w:rsidRPr="00527711">
        <w:rPr>
          <w:rStyle w:val="CharDivText"/>
        </w:rPr>
        <w:t> </w:t>
      </w:r>
      <w:r w:rsidRPr="00527711">
        <w:rPr>
          <w:rStyle w:val="CharDivText"/>
        </w:rPr>
        <w:t>2) Regulations</w:t>
      </w:r>
      <w:r w:rsidR="00527711" w:rsidRPr="00527711">
        <w:rPr>
          <w:rStyle w:val="CharDivText"/>
        </w:rPr>
        <w:t> </w:t>
      </w:r>
      <w:r w:rsidRPr="00527711">
        <w:rPr>
          <w:rStyle w:val="CharDivText"/>
        </w:rPr>
        <w:t>2018</w:t>
      </w:r>
      <w:bookmarkEnd w:id="25"/>
    </w:p>
    <w:p w:rsidR="00A4598B" w:rsidRPr="00527711" w:rsidRDefault="00A4598B" w:rsidP="00A4598B">
      <w:pPr>
        <w:pStyle w:val="ActHead5"/>
      </w:pPr>
      <w:bookmarkStart w:id="26" w:name="_Toc514851989"/>
      <w:r w:rsidRPr="00527711">
        <w:rPr>
          <w:rStyle w:val="CharSectno"/>
        </w:rPr>
        <w:t>64</w:t>
      </w:r>
      <w:r w:rsidRPr="00527711">
        <w:t xml:space="preserve">  Definitions</w:t>
      </w:r>
      <w:bookmarkEnd w:id="26"/>
    </w:p>
    <w:p w:rsidR="00A4598B" w:rsidRPr="00527711" w:rsidRDefault="00A4598B" w:rsidP="00A4598B">
      <w:pPr>
        <w:pStyle w:val="subsection"/>
      </w:pPr>
      <w:r w:rsidRPr="00527711">
        <w:tab/>
      </w:r>
      <w:r w:rsidRPr="00527711">
        <w:tab/>
        <w:t>In this Division:</w:t>
      </w:r>
    </w:p>
    <w:p w:rsidR="00A4598B" w:rsidRPr="00527711" w:rsidRDefault="00A4598B" w:rsidP="00A4598B">
      <w:pPr>
        <w:pStyle w:val="Definition"/>
      </w:pPr>
      <w:r w:rsidRPr="00527711">
        <w:rPr>
          <w:b/>
          <w:i/>
        </w:rPr>
        <w:t>Amendment Regulations</w:t>
      </w:r>
      <w:r w:rsidRPr="00527711">
        <w:t xml:space="preserve"> means the </w:t>
      </w:r>
      <w:r w:rsidRPr="00527711">
        <w:rPr>
          <w:i/>
        </w:rPr>
        <w:t>Therapeutic Goods Legislation Amendment (2018 Measures No.</w:t>
      </w:r>
      <w:r w:rsidR="00527711" w:rsidRPr="00527711">
        <w:rPr>
          <w:i/>
        </w:rPr>
        <w:t> </w:t>
      </w:r>
      <w:r w:rsidRPr="00527711">
        <w:rPr>
          <w:i/>
        </w:rPr>
        <w:t>2) Regulations</w:t>
      </w:r>
      <w:r w:rsidR="00527711" w:rsidRPr="00527711">
        <w:rPr>
          <w:i/>
        </w:rPr>
        <w:t> </w:t>
      </w:r>
      <w:r w:rsidRPr="00527711">
        <w:rPr>
          <w:i/>
        </w:rPr>
        <w:t>2018</w:t>
      </w:r>
      <w:r w:rsidRPr="00527711">
        <w:t>.</w:t>
      </w:r>
    </w:p>
    <w:p w:rsidR="00A4598B" w:rsidRPr="00527711" w:rsidRDefault="00A4598B" w:rsidP="00A4598B">
      <w:pPr>
        <w:pStyle w:val="Definition"/>
      </w:pPr>
      <w:r w:rsidRPr="00527711">
        <w:rPr>
          <w:b/>
          <w:i/>
        </w:rPr>
        <w:t>finally determined</w:t>
      </w:r>
      <w:r w:rsidRPr="00527711">
        <w:t xml:space="preserve"> has the same meaning as in Division</w:t>
      </w:r>
      <w:r w:rsidR="00527711" w:rsidRPr="00527711">
        <w:t> </w:t>
      </w:r>
      <w:r w:rsidRPr="00527711">
        <w:t xml:space="preserve">11.1 of the </w:t>
      </w:r>
      <w:r w:rsidRPr="00527711">
        <w:rPr>
          <w:i/>
        </w:rPr>
        <w:t>Therapeutic Goods (Medical Devices) Regulations</w:t>
      </w:r>
      <w:r w:rsidR="00527711" w:rsidRPr="00527711">
        <w:rPr>
          <w:i/>
        </w:rPr>
        <w:t> </w:t>
      </w:r>
      <w:r w:rsidRPr="00527711">
        <w:rPr>
          <w:i/>
        </w:rPr>
        <w:t>2002</w:t>
      </w:r>
      <w:r w:rsidRPr="00527711">
        <w:t>.</w:t>
      </w:r>
    </w:p>
    <w:p w:rsidR="00A4598B" w:rsidRPr="00527711" w:rsidRDefault="00A4598B" w:rsidP="00A4598B">
      <w:pPr>
        <w:pStyle w:val="Definition"/>
      </w:pPr>
      <w:r w:rsidRPr="00527711">
        <w:rPr>
          <w:b/>
          <w:i/>
        </w:rPr>
        <w:t>transitional goods</w:t>
      </w:r>
      <w:r w:rsidRPr="00527711">
        <w:t xml:space="preserve"> means goods:</w:t>
      </w:r>
    </w:p>
    <w:p w:rsidR="00A4598B" w:rsidRPr="00527711" w:rsidRDefault="00A4598B" w:rsidP="00A4598B">
      <w:pPr>
        <w:pStyle w:val="paragraph"/>
      </w:pPr>
      <w:r w:rsidRPr="00527711">
        <w:tab/>
        <w:t>(a)</w:t>
      </w:r>
      <w:r w:rsidRPr="00527711">
        <w:tab/>
        <w:t>to which paragraph</w:t>
      </w:r>
      <w:r w:rsidR="00527711" w:rsidRPr="00527711">
        <w:t> </w:t>
      </w:r>
      <w:r w:rsidRPr="00527711">
        <w:t>4(q) of the Therapeutic Goods (Excluded Goods) Order No.</w:t>
      </w:r>
      <w:r w:rsidR="00527711" w:rsidRPr="00527711">
        <w:t> </w:t>
      </w:r>
      <w:r w:rsidRPr="00527711">
        <w:t>1 of 2011 applied on 30</w:t>
      </w:r>
      <w:r w:rsidR="00527711" w:rsidRPr="00527711">
        <w:t> </w:t>
      </w:r>
      <w:r w:rsidRPr="00527711">
        <w:t>June 2018; and</w:t>
      </w:r>
    </w:p>
    <w:p w:rsidR="00A4598B" w:rsidRPr="00527711" w:rsidRDefault="00A4598B" w:rsidP="00A4598B">
      <w:pPr>
        <w:pStyle w:val="paragraph"/>
      </w:pPr>
      <w:r w:rsidRPr="00527711">
        <w:tab/>
        <w:t>(b)</w:t>
      </w:r>
      <w:r w:rsidRPr="00527711">
        <w:tab/>
        <w:t>of a kind supplied in Australia on or before 30</w:t>
      </w:r>
      <w:r w:rsidR="00527711" w:rsidRPr="00527711">
        <w:t> </w:t>
      </w:r>
      <w:r w:rsidRPr="00527711">
        <w:t>June 2018; and</w:t>
      </w:r>
    </w:p>
    <w:p w:rsidR="00A4598B" w:rsidRPr="00527711" w:rsidRDefault="00A4598B" w:rsidP="00A4598B">
      <w:pPr>
        <w:pStyle w:val="paragraph"/>
      </w:pPr>
      <w:r w:rsidRPr="00527711">
        <w:tab/>
        <w:t>(c)</w:t>
      </w:r>
      <w:r w:rsidRPr="00527711">
        <w:tab/>
        <w:t>to which column 2 of item</w:t>
      </w:r>
      <w:r w:rsidR="00527711" w:rsidRPr="00527711">
        <w:t> </w:t>
      </w:r>
      <w:r w:rsidRPr="00527711">
        <w:t>14 of Schedule</w:t>
      </w:r>
      <w:r w:rsidR="00527711" w:rsidRPr="00527711">
        <w:t> </w:t>
      </w:r>
      <w:r w:rsidRPr="00527711">
        <w:t>5A to these Regulations, as inserted by the Amendment Regulations, does not apply.</w:t>
      </w:r>
    </w:p>
    <w:p w:rsidR="00A4598B" w:rsidRPr="00527711" w:rsidRDefault="00A4598B" w:rsidP="00A4598B">
      <w:pPr>
        <w:pStyle w:val="ActHead5"/>
      </w:pPr>
      <w:bookmarkStart w:id="27" w:name="_Toc514851990"/>
      <w:r w:rsidRPr="00527711">
        <w:rPr>
          <w:rStyle w:val="CharSectno"/>
        </w:rPr>
        <w:t>65</w:t>
      </w:r>
      <w:r w:rsidRPr="00527711">
        <w:t xml:space="preserve">  Transitional provisions—exemptions from Parts</w:t>
      </w:r>
      <w:r w:rsidR="00527711" w:rsidRPr="00527711">
        <w:t> </w:t>
      </w:r>
      <w:r w:rsidRPr="00527711">
        <w:t>3</w:t>
      </w:r>
      <w:r w:rsidR="00527711">
        <w:noBreakHyphen/>
      </w:r>
      <w:r w:rsidRPr="00527711">
        <w:t>2 and 3</w:t>
      </w:r>
      <w:r w:rsidR="00527711">
        <w:noBreakHyphen/>
      </w:r>
      <w:r w:rsidRPr="00527711">
        <w:t>2A of the Act</w:t>
      </w:r>
      <w:bookmarkEnd w:id="27"/>
    </w:p>
    <w:p w:rsidR="00A4598B" w:rsidRPr="00527711" w:rsidRDefault="00A4598B" w:rsidP="00A4598B">
      <w:pPr>
        <w:pStyle w:val="SubsectionHead"/>
      </w:pPr>
      <w:r w:rsidRPr="00527711">
        <w:t>Exemptions</w:t>
      </w:r>
    </w:p>
    <w:p w:rsidR="00A4598B" w:rsidRPr="00527711" w:rsidRDefault="00A4598B" w:rsidP="00A4598B">
      <w:pPr>
        <w:pStyle w:val="subsection"/>
      </w:pPr>
      <w:r w:rsidRPr="00527711">
        <w:tab/>
        <w:t>(1)</w:t>
      </w:r>
      <w:r w:rsidRPr="00527711">
        <w:tab/>
        <w:t>For the purposes of subsections</w:t>
      </w:r>
      <w:r w:rsidR="00527711" w:rsidRPr="00527711">
        <w:t> </w:t>
      </w:r>
      <w:r w:rsidRPr="00527711">
        <w:t>18(1) and 32CA(2) of the Act, transitional goods are exempt from the operation of the following provisions of the Act:</w:t>
      </w:r>
    </w:p>
    <w:p w:rsidR="00A4598B" w:rsidRPr="00527711" w:rsidRDefault="00A4598B" w:rsidP="00A4598B">
      <w:pPr>
        <w:pStyle w:val="paragraph"/>
      </w:pPr>
      <w:r w:rsidRPr="00527711">
        <w:tab/>
        <w:t>(a)</w:t>
      </w:r>
      <w:r w:rsidRPr="00527711">
        <w:tab/>
        <w:t>Part</w:t>
      </w:r>
      <w:r w:rsidR="00527711" w:rsidRPr="00527711">
        <w:t> </w:t>
      </w:r>
      <w:r w:rsidRPr="00527711">
        <w:t>3</w:t>
      </w:r>
      <w:r w:rsidR="00527711">
        <w:noBreakHyphen/>
      </w:r>
      <w:r w:rsidRPr="00527711">
        <w:t>2 (except sections</w:t>
      </w:r>
      <w:r w:rsidR="00527711" w:rsidRPr="00527711">
        <w:t> </w:t>
      </w:r>
      <w:r w:rsidRPr="00527711">
        <w:t>30EA, 31A and 31C to 31F);</w:t>
      </w:r>
    </w:p>
    <w:p w:rsidR="00A4598B" w:rsidRPr="00527711" w:rsidRDefault="00A4598B" w:rsidP="00A4598B">
      <w:pPr>
        <w:pStyle w:val="paragraph"/>
      </w:pPr>
      <w:r w:rsidRPr="00527711">
        <w:tab/>
        <w:t>(b)</w:t>
      </w:r>
      <w:r w:rsidRPr="00527711">
        <w:tab/>
        <w:t>Division</w:t>
      </w:r>
      <w:r w:rsidR="00527711" w:rsidRPr="00527711">
        <w:t> </w:t>
      </w:r>
      <w:r w:rsidRPr="00527711">
        <w:t>4 of Part</w:t>
      </w:r>
      <w:r w:rsidR="00527711" w:rsidRPr="00527711">
        <w:t> </w:t>
      </w:r>
      <w:r w:rsidRPr="00527711">
        <w:t>3</w:t>
      </w:r>
      <w:r w:rsidR="00527711">
        <w:noBreakHyphen/>
      </w:r>
      <w:r w:rsidRPr="00527711">
        <w:t>2A.</w:t>
      </w:r>
    </w:p>
    <w:p w:rsidR="00A4598B" w:rsidRPr="00527711" w:rsidRDefault="00A4598B" w:rsidP="00A4598B">
      <w:pPr>
        <w:pStyle w:val="subsection"/>
      </w:pPr>
      <w:r w:rsidRPr="00527711">
        <w:tab/>
        <w:t>(2)</w:t>
      </w:r>
      <w:r w:rsidRPr="00527711">
        <w:tab/>
        <w:t>The exemptions mentioned in subregulation</w:t>
      </w:r>
      <w:r w:rsidR="00527711" w:rsidRPr="00527711">
        <w:t> </w:t>
      </w:r>
      <w:r w:rsidRPr="00527711">
        <w:t>(1) are subject to compliance with the condition that, if the sponsor of the goods knows that particular information relating to an event or occurrence indicates that use of the goods as intended by the sponsor may have an unintended harmful effect, the sponsor must give the information to the Secretary within the period specified by regulation</w:t>
      </w:r>
      <w:r w:rsidR="00527711" w:rsidRPr="00527711">
        <w:t> </w:t>
      </w:r>
      <w:r w:rsidRPr="00527711">
        <w:t>16AB.</w:t>
      </w:r>
    </w:p>
    <w:p w:rsidR="00A4598B" w:rsidRPr="00527711" w:rsidRDefault="00A4598B" w:rsidP="00A4598B">
      <w:pPr>
        <w:pStyle w:val="SubsectionHead"/>
      </w:pPr>
      <w:r w:rsidRPr="00527711">
        <w:t>When exemptions cease</w:t>
      </w:r>
    </w:p>
    <w:p w:rsidR="00A4598B" w:rsidRPr="00527711" w:rsidRDefault="00A4598B" w:rsidP="00A4598B">
      <w:pPr>
        <w:pStyle w:val="subsection"/>
      </w:pPr>
      <w:r w:rsidRPr="00527711">
        <w:tab/>
        <w:t>(3)</w:t>
      </w:r>
      <w:r w:rsidRPr="00527711">
        <w:tab/>
        <w:t>Subregulation (1) ceases to have effect on 1</w:t>
      </w:r>
      <w:r w:rsidR="00527711" w:rsidRPr="00527711">
        <w:t> </w:t>
      </w:r>
      <w:r w:rsidRPr="00527711">
        <w:t>July 2019, subject to subregulations (4) and (5).</w:t>
      </w:r>
    </w:p>
    <w:p w:rsidR="00A4598B" w:rsidRPr="00527711" w:rsidRDefault="00A4598B" w:rsidP="00A4598B">
      <w:pPr>
        <w:pStyle w:val="subsection"/>
      </w:pPr>
      <w:r w:rsidRPr="00527711">
        <w:tab/>
        <w:t>(4)</w:t>
      </w:r>
      <w:r w:rsidRPr="00527711">
        <w:tab/>
        <w:t>If:</w:t>
      </w:r>
    </w:p>
    <w:p w:rsidR="00A4598B" w:rsidRPr="00527711" w:rsidRDefault="00A4598B" w:rsidP="00A4598B">
      <w:pPr>
        <w:pStyle w:val="paragraph"/>
      </w:pPr>
      <w:r w:rsidRPr="00527711">
        <w:tab/>
        <w:t>(i)</w:t>
      </w:r>
      <w:r w:rsidRPr="00527711">
        <w:tab/>
        <w:t>a sponsor of transitional goods applies, on or before 30</w:t>
      </w:r>
      <w:r w:rsidR="00527711" w:rsidRPr="00527711">
        <w:t> </w:t>
      </w:r>
      <w:r w:rsidRPr="00527711">
        <w:t>June 2019, for registration, listing, or inclusion of the goods in the Register; and</w:t>
      </w:r>
    </w:p>
    <w:p w:rsidR="00A4598B" w:rsidRPr="00527711" w:rsidRDefault="00A4598B" w:rsidP="00A4598B">
      <w:pPr>
        <w:pStyle w:val="paragraph"/>
      </w:pPr>
      <w:r w:rsidRPr="00527711">
        <w:tab/>
        <w:t>(ii)</w:t>
      </w:r>
      <w:r w:rsidRPr="00527711">
        <w:tab/>
        <w:t>the application passes preliminary assessment on or before 30</w:t>
      </w:r>
      <w:r w:rsidR="00527711" w:rsidRPr="00527711">
        <w:t> </w:t>
      </w:r>
      <w:r w:rsidRPr="00527711">
        <w:t>June 2019;</w:t>
      </w:r>
    </w:p>
    <w:p w:rsidR="00A4598B" w:rsidRPr="00527711" w:rsidRDefault="00A4598B" w:rsidP="00A4598B">
      <w:pPr>
        <w:pStyle w:val="subsection2"/>
      </w:pPr>
      <w:r w:rsidRPr="00527711">
        <w:t>subregulation</w:t>
      </w:r>
      <w:r w:rsidR="00527711" w:rsidRPr="00527711">
        <w:t> </w:t>
      </w:r>
      <w:r w:rsidRPr="00527711">
        <w:t>(1) ceases to have effect in relation to the goods when the application is finally determined, lapses or is withdrawn, if that happens on or after 1</w:t>
      </w:r>
      <w:r w:rsidR="00527711" w:rsidRPr="00527711">
        <w:t> </w:t>
      </w:r>
      <w:r w:rsidRPr="00527711">
        <w:t>July 2019.</w:t>
      </w:r>
    </w:p>
    <w:p w:rsidR="00A4598B" w:rsidRPr="00527711" w:rsidRDefault="00A4598B" w:rsidP="00A4598B">
      <w:pPr>
        <w:pStyle w:val="subsection"/>
      </w:pPr>
      <w:r w:rsidRPr="00527711">
        <w:tab/>
        <w:t>(5)</w:t>
      </w:r>
      <w:r w:rsidRPr="00527711">
        <w:tab/>
        <w:t>If a sponsor of transitional goods applies, on or before 30</w:t>
      </w:r>
      <w:r w:rsidR="00527711" w:rsidRPr="00527711">
        <w:t> </w:t>
      </w:r>
      <w:r w:rsidRPr="00527711">
        <w:t>June 2019, for an approval under section</w:t>
      </w:r>
      <w:r w:rsidR="00527711" w:rsidRPr="00527711">
        <w:t> </w:t>
      </w:r>
      <w:r w:rsidRPr="00527711">
        <w:t>32CK in relation to the goods, subregulation</w:t>
      </w:r>
      <w:r w:rsidR="00527711" w:rsidRPr="00527711">
        <w:t> </w:t>
      </w:r>
      <w:r w:rsidRPr="00527711">
        <w:t>(1) ceases to have effect in relation to the goods when the application is finally determined or is withdrawn, if that happens on or after 1</w:t>
      </w:r>
      <w:r w:rsidR="00527711" w:rsidRPr="00527711">
        <w:t> </w:t>
      </w:r>
      <w:r w:rsidRPr="00527711">
        <w:t>July 2019.</w:t>
      </w:r>
    </w:p>
    <w:p w:rsidR="00A4598B" w:rsidRPr="00527711" w:rsidRDefault="00A4598B" w:rsidP="00A4598B">
      <w:pPr>
        <w:pStyle w:val="SubsectionHead"/>
      </w:pPr>
      <w:r w:rsidRPr="00527711">
        <w:t>Advertising offence and civil penalty</w:t>
      </w:r>
    </w:p>
    <w:p w:rsidR="00A4598B" w:rsidRPr="00527711" w:rsidRDefault="00A4598B" w:rsidP="00A4598B">
      <w:pPr>
        <w:pStyle w:val="subsection"/>
      </w:pPr>
      <w:r w:rsidRPr="00527711">
        <w:tab/>
        <w:t>(6)</w:t>
      </w:r>
      <w:r w:rsidRPr="00527711">
        <w:tab/>
        <w:t>While subregulation</w:t>
      </w:r>
      <w:r w:rsidR="00527711" w:rsidRPr="00527711">
        <w:t> </w:t>
      </w:r>
      <w:r w:rsidRPr="00527711">
        <w:t>(1) has effect in relation to transitional goods, paragraph</w:t>
      </w:r>
      <w:r w:rsidR="00527711" w:rsidRPr="00527711">
        <w:t> </w:t>
      </w:r>
      <w:r w:rsidRPr="00527711">
        <w:t>7(e) applies to the goods in the same way as that paragraph applies to goods mentioned in column 2 of an item in Schedule</w:t>
      </w:r>
      <w:r w:rsidR="00527711" w:rsidRPr="00527711">
        <w:t> </w:t>
      </w:r>
      <w:r w:rsidRPr="00527711">
        <w:t>5A.</w:t>
      </w:r>
    </w:p>
    <w:p w:rsidR="00A4598B" w:rsidRPr="00527711" w:rsidRDefault="00A4598B" w:rsidP="00A4598B">
      <w:pPr>
        <w:pStyle w:val="ActHead5"/>
      </w:pPr>
      <w:bookmarkStart w:id="28" w:name="_Toc514851991"/>
      <w:r w:rsidRPr="00527711">
        <w:rPr>
          <w:rStyle w:val="CharSectno"/>
        </w:rPr>
        <w:t>66</w:t>
      </w:r>
      <w:r w:rsidRPr="00527711">
        <w:t xml:space="preserve">  Transitional provisions—exemptions from Part</w:t>
      </w:r>
      <w:r w:rsidR="00527711" w:rsidRPr="00527711">
        <w:t> </w:t>
      </w:r>
      <w:r w:rsidRPr="00527711">
        <w:t>3</w:t>
      </w:r>
      <w:r w:rsidR="00527711">
        <w:noBreakHyphen/>
      </w:r>
      <w:r w:rsidRPr="00527711">
        <w:t>3 of the Act</w:t>
      </w:r>
      <w:bookmarkEnd w:id="28"/>
    </w:p>
    <w:p w:rsidR="00A4598B" w:rsidRPr="00527711" w:rsidRDefault="00A4598B" w:rsidP="00A4598B">
      <w:pPr>
        <w:pStyle w:val="subsection"/>
      </w:pPr>
      <w:r w:rsidRPr="00527711">
        <w:tab/>
        <w:t>(1)</w:t>
      </w:r>
      <w:r w:rsidRPr="00527711">
        <w:tab/>
        <w:t>For the purposes of subsection</w:t>
      </w:r>
      <w:r w:rsidR="00527711" w:rsidRPr="00527711">
        <w:t> </w:t>
      </w:r>
      <w:r w:rsidRPr="00527711">
        <w:t>34(1) of the Act, transitional goods are exempt from the operation of Part</w:t>
      </w:r>
      <w:r w:rsidR="00527711" w:rsidRPr="00527711">
        <w:t> </w:t>
      </w:r>
      <w:r w:rsidRPr="00527711">
        <w:t>3</w:t>
      </w:r>
      <w:r w:rsidR="00527711">
        <w:noBreakHyphen/>
      </w:r>
      <w:r w:rsidRPr="00527711">
        <w:t>3 of the Act.</w:t>
      </w:r>
    </w:p>
    <w:p w:rsidR="00A4598B" w:rsidRPr="00527711" w:rsidRDefault="00A4598B" w:rsidP="00A4598B">
      <w:pPr>
        <w:pStyle w:val="subsection"/>
      </w:pPr>
      <w:r w:rsidRPr="00527711">
        <w:tab/>
        <w:t>(2)</w:t>
      </w:r>
      <w:r w:rsidRPr="00527711">
        <w:tab/>
        <w:t>Subregulation (1) ceases to have effect on 1</w:t>
      </w:r>
      <w:r w:rsidR="00527711" w:rsidRPr="00527711">
        <w:t> </w:t>
      </w:r>
      <w:r w:rsidRPr="00527711">
        <w:t>July 2019, subject to subregulation</w:t>
      </w:r>
      <w:r w:rsidR="00527711" w:rsidRPr="00527711">
        <w:t> </w:t>
      </w:r>
      <w:r w:rsidRPr="00527711">
        <w:t>(3).</w:t>
      </w:r>
    </w:p>
    <w:p w:rsidR="00A4598B" w:rsidRPr="00527711" w:rsidRDefault="00A4598B" w:rsidP="00A4598B">
      <w:pPr>
        <w:pStyle w:val="subsection"/>
      </w:pPr>
      <w:r w:rsidRPr="00527711">
        <w:tab/>
        <w:t>(3)</w:t>
      </w:r>
      <w:r w:rsidRPr="00527711">
        <w:tab/>
        <w:t>If, on or before 30</w:t>
      </w:r>
      <w:r w:rsidR="00527711" w:rsidRPr="00527711">
        <w:t> </w:t>
      </w:r>
      <w:r w:rsidRPr="00527711">
        <w:t>June 2019, each person who carries out a step in the manufacture of transitional goods applies for a licence authorising the person to carry out the step on premises referred to in the application, subregulation</w:t>
      </w:r>
      <w:r w:rsidR="00527711" w:rsidRPr="00527711">
        <w:t> </w:t>
      </w:r>
      <w:r w:rsidRPr="00527711">
        <w:t>(1) ceases to have effect in relation to the transitional goods produced by those persons carrying out the steps on those premises when the last of those applications is finally determined or is withdrawn, if that happens on or after 1</w:t>
      </w:r>
      <w:r w:rsidR="00527711" w:rsidRPr="00527711">
        <w:t> </w:t>
      </w:r>
      <w:r w:rsidRPr="00527711">
        <w:t>July 2019.</w:t>
      </w:r>
    </w:p>
    <w:p w:rsidR="00972CB5" w:rsidRPr="00527711" w:rsidRDefault="00455305" w:rsidP="00972CB5">
      <w:pPr>
        <w:pStyle w:val="ItemHead"/>
      </w:pPr>
      <w:r w:rsidRPr="00527711">
        <w:t>21</w:t>
      </w:r>
      <w:r w:rsidR="00D366E1" w:rsidRPr="00527711">
        <w:t xml:space="preserve">  Schedule</w:t>
      </w:r>
      <w:r w:rsidR="00527711" w:rsidRPr="00527711">
        <w:t> </w:t>
      </w:r>
      <w:r w:rsidR="00D366E1" w:rsidRPr="00527711">
        <w:t>5A</w:t>
      </w:r>
      <w:r w:rsidR="00972CB5" w:rsidRPr="00527711">
        <w:t xml:space="preserve"> (</w:t>
      </w:r>
      <w:r w:rsidR="00CE64DC" w:rsidRPr="00527711">
        <w:t>at the end of the table</w:t>
      </w:r>
      <w:r w:rsidR="00972CB5" w:rsidRPr="00527711">
        <w:t>)</w:t>
      </w:r>
    </w:p>
    <w:p w:rsidR="00972CB5" w:rsidRPr="00527711" w:rsidRDefault="00CE64DC" w:rsidP="00972CB5">
      <w:pPr>
        <w:pStyle w:val="Item"/>
      </w:pPr>
      <w:r w:rsidRPr="00527711">
        <w:t>Add</w:t>
      </w:r>
      <w:r w:rsidR="00972CB5" w:rsidRPr="00527711">
        <w:t>:</w:t>
      </w:r>
    </w:p>
    <w:p w:rsidR="00D366E1" w:rsidRPr="00527711" w:rsidRDefault="00D366E1" w:rsidP="00006D1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74"/>
        <w:gridCol w:w="2635"/>
        <w:gridCol w:w="4720"/>
      </w:tblGrid>
      <w:tr w:rsidR="00D366E1" w:rsidRPr="00527711" w:rsidTr="00E460A7">
        <w:trPr>
          <w:trHeight w:val="20"/>
        </w:trPr>
        <w:tc>
          <w:tcPr>
            <w:tcW w:w="688" w:type="pct"/>
            <w:tcBorders>
              <w:top w:val="single" w:sz="2" w:space="0" w:color="auto"/>
              <w:bottom w:val="nil"/>
            </w:tcBorders>
            <w:shd w:val="clear" w:color="auto" w:fill="auto"/>
          </w:tcPr>
          <w:p w:rsidR="00D366E1" w:rsidRPr="00527711" w:rsidRDefault="00CE64DC" w:rsidP="00E460A7">
            <w:pPr>
              <w:pStyle w:val="Tabletext"/>
            </w:pPr>
            <w:r w:rsidRPr="00527711">
              <w:t>13</w:t>
            </w:r>
          </w:p>
        </w:tc>
        <w:tc>
          <w:tcPr>
            <w:tcW w:w="1545" w:type="pct"/>
            <w:tcBorders>
              <w:top w:val="single" w:sz="2" w:space="0" w:color="auto"/>
              <w:bottom w:val="nil"/>
            </w:tcBorders>
            <w:shd w:val="clear" w:color="auto" w:fill="auto"/>
          </w:tcPr>
          <w:p w:rsidR="00D366E1" w:rsidRPr="00527711" w:rsidRDefault="00D366E1" w:rsidP="00E460A7">
            <w:pPr>
              <w:pStyle w:val="Tabletext"/>
            </w:pPr>
            <w:r w:rsidRPr="00527711">
              <w:t>Therapeutic goods in relation to which all of the following paragraphs apply:</w:t>
            </w:r>
          </w:p>
          <w:p w:rsidR="00D366E1" w:rsidRPr="00527711" w:rsidRDefault="00D366E1" w:rsidP="00E460A7">
            <w:pPr>
              <w:pStyle w:val="Tablea"/>
            </w:pPr>
            <w:r w:rsidRPr="00527711">
              <w:t>(a) the goods comprise, contain or are derived from human cells or human tissues collected from a patient who is under the clinical care of a medical or dental practitioner;</w:t>
            </w:r>
          </w:p>
          <w:p w:rsidR="00D366E1" w:rsidRPr="00527711" w:rsidRDefault="00D366E1" w:rsidP="00E460A7">
            <w:pPr>
              <w:pStyle w:val="Tablea"/>
            </w:pPr>
            <w:r w:rsidRPr="00527711">
              <w:t>(b) the goods were manufactured by, or under the professional supervision of, the practitioner;</w:t>
            </w:r>
          </w:p>
          <w:p w:rsidR="00D366E1" w:rsidRPr="00527711" w:rsidRDefault="00D366E1" w:rsidP="00E460A7">
            <w:pPr>
              <w:pStyle w:val="Tablea"/>
            </w:pPr>
            <w:r w:rsidRPr="00527711">
              <w:t>(c) the single indication of the goods is homologous use:</w:t>
            </w:r>
          </w:p>
          <w:p w:rsidR="00D366E1" w:rsidRPr="00527711" w:rsidRDefault="00D366E1" w:rsidP="00E460A7">
            <w:pPr>
              <w:pStyle w:val="Tablei"/>
            </w:pPr>
            <w:r w:rsidRPr="00527711">
              <w:t>(i) on that patient; and</w:t>
            </w:r>
          </w:p>
          <w:p w:rsidR="00D366E1" w:rsidRPr="00527711" w:rsidRDefault="00D366E1" w:rsidP="00E460A7">
            <w:pPr>
              <w:pStyle w:val="Tablei"/>
            </w:pPr>
            <w:r w:rsidRPr="00527711">
              <w:t>(ii) in a single clinical procedure; and</w:t>
            </w:r>
          </w:p>
          <w:p w:rsidR="00D366E1" w:rsidRPr="00527711" w:rsidRDefault="00D366E1" w:rsidP="00E460A7">
            <w:pPr>
              <w:pStyle w:val="Tablei"/>
            </w:pPr>
            <w:r w:rsidRPr="00527711">
              <w:t>(iii) by, or under the professional supervision of, that practitioner;</w:t>
            </w:r>
          </w:p>
          <w:p w:rsidR="00D366E1" w:rsidRPr="00527711" w:rsidRDefault="00D366E1" w:rsidP="00E460A7">
            <w:pPr>
              <w:pStyle w:val="Tablea"/>
            </w:pPr>
            <w:r w:rsidRPr="00527711">
              <w:t>(d) the goods have been subjected to only minimal manipulation;</w:t>
            </w:r>
          </w:p>
          <w:p w:rsidR="00D366E1" w:rsidRPr="00527711" w:rsidRDefault="00D366E1" w:rsidP="00E460A7">
            <w:pPr>
              <w:pStyle w:val="Tablea"/>
            </w:pPr>
            <w:r w:rsidRPr="00527711">
              <w:t>(e) the practitioner is registered in a State or internal Territory</w:t>
            </w:r>
          </w:p>
        </w:tc>
        <w:tc>
          <w:tcPr>
            <w:tcW w:w="2767" w:type="pct"/>
            <w:tcBorders>
              <w:top w:val="single" w:sz="2" w:space="0" w:color="auto"/>
              <w:bottom w:val="nil"/>
            </w:tcBorders>
            <w:shd w:val="clear" w:color="auto" w:fill="auto"/>
          </w:tcPr>
          <w:p w:rsidR="00D366E1" w:rsidRPr="00527711" w:rsidRDefault="00D366E1" w:rsidP="00E460A7">
            <w:pPr>
              <w:pStyle w:val="Tabletext"/>
            </w:pPr>
            <w:r w:rsidRPr="00527711">
              <w:t>if the sponsor knows that particular information relating to an event or occurrence indicates that use of the goods as intended by the sponsor may have an unintended harmful effect, the sponsor must give the information to the Secretary within the period specified by regulation</w:t>
            </w:r>
            <w:r w:rsidR="00527711" w:rsidRPr="00527711">
              <w:t> </w:t>
            </w:r>
            <w:r w:rsidRPr="00527711">
              <w:t>16AB</w:t>
            </w:r>
          </w:p>
        </w:tc>
      </w:tr>
    </w:tbl>
    <w:p w:rsidR="009F16F8" w:rsidRPr="00527711" w:rsidRDefault="00455305" w:rsidP="009F16F8">
      <w:pPr>
        <w:pStyle w:val="ItemHead"/>
      </w:pPr>
      <w:r w:rsidRPr="00527711">
        <w:t>22</w:t>
      </w:r>
      <w:r w:rsidR="009F16F8" w:rsidRPr="00527711">
        <w:t xml:space="preserve">  Schedule</w:t>
      </w:r>
      <w:r w:rsidR="00527711" w:rsidRPr="00527711">
        <w:t> </w:t>
      </w:r>
      <w:r w:rsidR="009F16F8" w:rsidRPr="00527711">
        <w:t>7 (at the end of the table)</w:t>
      </w:r>
    </w:p>
    <w:p w:rsidR="009F16F8" w:rsidRPr="00527711" w:rsidRDefault="009F16F8" w:rsidP="009F16F8">
      <w:pPr>
        <w:pStyle w:val="Item"/>
      </w:pPr>
      <w:r w:rsidRPr="00527711">
        <w:t>Add:</w:t>
      </w:r>
    </w:p>
    <w:p w:rsidR="009F16F8" w:rsidRPr="00527711" w:rsidRDefault="009F16F8" w:rsidP="009F16F8">
      <w:pPr>
        <w:pStyle w:val="Tabletext"/>
      </w:pPr>
    </w:p>
    <w:tbl>
      <w:tblPr>
        <w:tblW w:w="5000" w:type="pct"/>
        <w:tblLook w:val="0000" w:firstRow="0" w:lastRow="0" w:firstColumn="0" w:lastColumn="0" w:noHBand="0" w:noVBand="0"/>
      </w:tblPr>
      <w:tblGrid>
        <w:gridCol w:w="1237"/>
        <w:gridCol w:w="7292"/>
      </w:tblGrid>
      <w:tr w:rsidR="009F16F8" w:rsidRPr="00527711" w:rsidTr="000B177A">
        <w:tc>
          <w:tcPr>
            <w:tcW w:w="725" w:type="pct"/>
            <w:shd w:val="clear" w:color="auto" w:fill="auto"/>
          </w:tcPr>
          <w:p w:rsidR="009F16F8" w:rsidRPr="00527711" w:rsidRDefault="009F16F8" w:rsidP="000B177A">
            <w:pPr>
              <w:pStyle w:val="Tabletext"/>
            </w:pPr>
            <w:r w:rsidRPr="00527711">
              <w:t>21</w:t>
            </w:r>
          </w:p>
        </w:tc>
        <w:tc>
          <w:tcPr>
            <w:tcW w:w="4275" w:type="pct"/>
            <w:shd w:val="clear" w:color="auto" w:fill="auto"/>
          </w:tcPr>
          <w:p w:rsidR="009F16F8" w:rsidRPr="00527711" w:rsidRDefault="009F16F8" w:rsidP="000B177A">
            <w:pPr>
              <w:pStyle w:val="Tabletext"/>
            </w:pPr>
            <w:r w:rsidRPr="00527711">
              <w:t>Therapeutic goods in relation to which all of the following paragraphs apply:</w:t>
            </w:r>
          </w:p>
          <w:p w:rsidR="009F16F8" w:rsidRPr="00527711" w:rsidRDefault="009F16F8" w:rsidP="000B177A">
            <w:pPr>
              <w:pStyle w:val="Tablea"/>
            </w:pPr>
            <w:r w:rsidRPr="00527711">
              <w:t>(a) the goods comprise, contain or are derived from human cells or human tissues collected from a patient who is under the clinical care of a medical or dental practitioner;</w:t>
            </w:r>
          </w:p>
          <w:p w:rsidR="009F16F8" w:rsidRPr="00527711" w:rsidRDefault="009F16F8" w:rsidP="000B177A">
            <w:pPr>
              <w:pStyle w:val="Tablea"/>
            </w:pPr>
            <w:r w:rsidRPr="00527711">
              <w:t>(b) the goods are manufactured by, or under the professional supervision of, the practitioner;</w:t>
            </w:r>
          </w:p>
          <w:p w:rsidR="009F16F8" w:rsidRPr="00527711" w:rsidRDefault="009F16F8" w:rsidP="000B177A">
            <w:pPr>
              <w:pStyle w:val="Tablea"/>
            </w:pPr>
            <w:r w:rsidRPr="00527711">
              <w:t>(c) the single indication of the goods is homologous use:</w:t>
            </w:r>
          </w:p>
          <w:p w:rsidR="009F16F8" w:rsidRPr="00527711" w:rsidRDefault="009F16F8" w:rsidP="000B177A">
            <w:pPr>
              <w:pStyle w:val="Tablei"/>
            </w:pPr>
            <w:r w:rsidRPr="00527711">
              <w:t>(i) on that patient; and</w:t>
            </w:r>
          </w:p>
          <w:p w:rsidR="009F16F8" w:rsidRPr="00527711" w:rsidRDefault="009F16F8" w:rsidP="000B177A">
            <w:pPr>
              <w:pStyle w:val="Tablei"/>
            </w:pPr>
            <w:r w:rsidRPr="00527711">
              <w:t>(ii) in a single clinical procedure; and</w:t>
            </w:r>
          </w:p>
          <w:p w:rsidR="009F16F8" w:rsidRPr="00527711" w:rsidRDefault="009F16F8" w:rsidP="000B177A">
            <w:pPr>
              <w:pStyle w:val="Tablei"/>
            </w:pPr>
            <w:r w:rsidRPr="00527711">
              <w:t>(iii) by, or under the professional supervision of, that practitioner;</w:t>
            </w:r>
          </w:p>
          <w:p w:rsidR="009F16F8" w:rsidRPr="00527711" w:rsidRDefault="009F16F8" w:rsidP="000B177A">
            <w:pPr>
              <w:pStyle w:val="Tablea"/>
            </w:pPr>
            <w:r w:rsidRPr="00527711">
              <w:t>(d) the goods have been subjected to only minimal manipulation;</w:t>
            </w:r>
          </w:p>
          <w:p w:rsidR="009F16F8" w:rsidRPr="00527711" w:rsidRDefault="009F16F8" w:rsidP="000B177A">
            <w:pPr>
              <w:pStyle w:val="Tablea"/>
            </w:pPr>
            <w:r w:rsidRPr="00527711">
              <w:t>(e) the practitioner is registered in a State or internal Territory</w:t>
            </w:r>
          </w:p>
        </w:tc>
      </w:tr>
    </w:tbl>
    <w:p w:rsidR="00F61730" w:rsidRPr="00527711" w:rsidRDefault="00455305" w:rsidP="00F61730">
      <w:pPr>
        <w:pStyle w:val="ItemHead"/>
      </w:pPr>
      <w:r w:rsidRPr="00527711">
        <w:t>23</w:t>
      </w:r>
      <w:r w:rsidR="00F61730" w:rsidRPr="00527711">
        <w:t xml:space="preserve">  Schedule</w:t>
      </w:r>
      <w:r w:rsidR="00527711" w:rsidRPr="00527711">
        <w:t> </w:t>
      </w:r>
      <w:r w:rsidR="00F61730" w:rsidRPr="00527711">
        <w:t>16</w:t>
      </w:r>
    </w:p>
    <w:p w:rsidR="00F61730" w:rsidRPr="00527711" w:rsidRDefault="00F61730" w:rsidP="00F61730">
      <w:pPr>
        <w:pStyle w:val="Item"/>
      </w:pPr>
      <w:r w:rsidRPr="00527711">
        <w:t>Repeal the Schedule, substitute:</w:t>
      </w:r>
    </w:p>
    <w:p w:rsidR="00F61730" w:rsidRPr="00527711" w:rsidRDefault="00F61730" w:rsidP="00F61730">
      <w:pPr>
        <w:pStyle w:val="ActHead1"/>
      </w:pPr>
      <w:bookmarkStart w:id="29" w:name="_Toc514851992"/>
      <w:r w:rsidRPr="00527711">
        <w:rPr>
          <w:rStyle w:val="CharChapNo"/>
        </w:rPr>
        <w:t>Schedule</w:t>
      </w:r>
      <w:r w:rsidR="00527711" w:rsidRPr="00527711">
        <w:rPr>
          <w:rStyle w:val="CharChapNo"/>
        </w:rPr>
        <w:t> </w:t>
      </w:r>
      <w:r w:rsidRPr="00527711">
        <w:rPr>
          <w:rStyle w:val="CharChapNo"/>
        </w:rPr>
        <w:t>16</w:t>
      </w:r>
      <w:r w:rsidRPr="00527711">
        <w:t>—</w:t>
      </w:r>
      <w:r w:rsidRPr="00527711">
        <w:rPr>
          <w:rStyle w:val="CharChapText"/>
        </w:rPr>
        <w:t>Classes of biologicals</w:t>
      </w:r>
      <w:bookmarkEnd w:id="29"/>
    </w:p>
    <w:p w:rsidR="00F61730" w:rsidRPr="00527711" w:rsidRDefault="00F61730" w:rsidP="00F61730">
      <w:pPr>
        <w:pStyle w:val="notemargin"/>
      </w:pPr>
      <w:r w:rsidRPr="00527711">
        <w:t>Note:</w:t>
      </w:r>
      <w:r w:rsidRPr="00527711">
        <w:tab/>
        <w:t>See regulation</w:t>
      </w:r>
      <w:r w:rsidR="00527711" w:rsidRPr="00527711">
        <w:t> </w:t>
      </w:r>
      <w:r w:rsidRPr="00527711">
        <w:t>2.</w:t>
      </w:r>
    </w:p>
    <w:p w:rsidR="00F61730" w:rsidRPr="00527711" w:rsidRDefault="00F61730" w:rsidP="00F61730">
      <w:pPr>
        <w:pStyle w:val="Header"/>
      </w:pPr>
      <w:bookmarkStart w:id="30" w:name="f_Check_Lines_below"/>
      <w:bookmarkEnd w:id="30"/>
      <w:r w:rsidRPr="00527711">
        <w:rPr>
          <w:rStyle w:val="CharPartNo"/>
        </w:rPr>
        <w:t xml:space="preserve"> </w:t>
      </w:r>
      <w:r w:rsidRPr="00527711">
        <w:rPr>
          <w:rStyle w:val="CharPartText"/>
        </w:rPr>
        <w:t xml:space="preserve"> </w:t>
      </w:r>
    </w:p>
    <w:p w:rsidR="00F61730" w:rsidRPr="00527711" w:rsidRDefault="00F61730" w:rsidP="00F61730">
      <w:pPr>
        <w:pStyle w:val="Header"/>
      </w:pPr>
      <w:r w:rsidRPr="00527711">
        <w:rPr>
          <w:rStyle w:val="CharDivNo"/>
        </w:rPr>
        <w:t xml:space="preserve"> </w:t>
      </w:r>
      <w:r w:rsidRPr="00527711">
        <w:rPr>
          <w:rStyle w:val="CharDivText"/>
        </w:rPr>
        <w:t xml:space="preserve"> </w:t>
      </w:r>
    </w:p>
    <w:p w:rsidR="00F61730" w:rsidRPr="00527711" w:rsidRDefault="00F61730" w:rsidP="00F61730">
      <w:pPr>
        <w:pStyle w:val="ActHead5"/>
      </w:pPr>
      <w:bookmarkStart w:id="31" w:name="_Toc514851993"/>
      <w:r w:rsidRPr="00527711">
        <w:rPr>
          <w:rStyle w:val="CharSectno"/>
        </w:rPr>
        <w:t>1</w:t>
      </w:r>
      <w:r w:rsidRPr="00527711">
        <w:t xml:space="preserve">  Class 4 biologicals</w:t>
      </w:r>
      <w:bookmarkEnd w:id="31"/>
    </w:p>
    <w:p w:rsidR="00F61730" w:rsidRPr="00527711" w:rsidRDefault="00F61730" w:rsidP="00F61730">
      <w:pPr>
        <w:pStyle w:val="subsection"/>
      </w:pPr>
      <w:r w:rsidRPr="00527711">
        <w:tab/>
      </w:r>
      <w:r w:rsidRPr="00527711">
        <w:tab/>
        <w:t xml:space="preserve">For the purposes of the definition of </w:t>
      </w:r>
      <w:r w:rsidRPr="00527711">
        <w:rPr>
          <w:b/>
          <w:i/>
        </w:rPr>
        <w:t>Class 4 biological</w:t>
      </w:r>
      <w:r w:rsidRPr="00527711">
        <w:t xml:space="preserve"> in regulation</w:t>
      </w:r>
      <w:r w:rsidR="00527711" w:rsidRPr="00527711">
        <w:t> </w:t>
      </w:r>
      <w:r w:rsidRPr="00527711">
        <w:t>2, the following biologicals are Class 4 biologicals:</w:t>
      </w:r>
    </w:p>
    <w:p w:rsidR="00F61730" w:rsidRPr="00527711" w:rsidRDefault="00F61730" w:rsidP="00F61730">
      <w:pPr>
        <w:pStyle w:val="paragraph"/>
      </w:pPr>
      <w:r w:rsidRPr="00527711">
        <w:tab/>
        <w:t>(a)</w:t>
      </w:r>
      <w:r w:rsidRPr="00527711">
        <w:tab/>
        <w:t>biologicals that comprise or contain:</w:t>
      </w:r>
    </w:p>
    <w:p w:rsidR="00F61730" w:rsidRPr="00527711" w:rsidRDefault="00F61730" w:rsidP="00F61730">
      <w:pPr>
        <w:pStyle w:val="paragraphsub"/>
      </w:pPr>
      <w:r w:rsidRPr="00527711">
        <w:tab/>
        <w:t>(i)</w:t>
      </w:r>
      <w:r w:rsidRPr="00527711">
        <w:tab/>
        <w:t>live animal cells; or</w:t>
      </w:r>
    </w:p>
    <w:p w:rsidR="00F61730" w:rsidRPr="00527711" w:rsidRDefault="00F61730" w:rsidP="00F61730">
      <w:pPr>
        <w:pStyle w:val="paragraphsub"/>
      </w:pPr>
      <w:r w:rsidRPr="00527711">
        <w:tab/>
        <w:t>(ii)</w:t>
      </w:r>
      <w:r w:rsidRPr="00527711">
        <w:tab/>
        <w:t>live animal tissues; or</w:t>
      </w:r>
    </w:p>
    <w:p w:rsidR="00F61730" w:rsidRPr="00527711" w:rsidRDefault="00F61730" w:rsidP="00F61730">
      <w:pPr>
        <w:pStyle w:val="paragraphsub"/>
      </w:pPr>
      <w:r w:rsidRPr="00527711">
        <w:tab/>
        <w:t>(iii)</w:t>
      </w:r>
      <w:r w:rsidRPr="00527711">
        <w:tab/>
        <w:t>live animal organs;</w:t>
      </w:r>
    </w:p>
    <w:p w:rsidR="00F61730" w:rsidRPr="00527711" w:rsidRDefault="00F61730" w:rsidP="00F61730">
      <w:pPr>
        <w:pStyle w:val="paragraph"/>
      </w:pPr>
      <w:r w:rsidRPr="00527711">
        <w:tab/>
        <w:t>(b)</w:t>
      </w:r>
      <w:r w:rsidRPr="00527711">
        <w:tab/>
        <w:t>biologicals to which both of the following paragraphs apply:</w:t>
      </w:r>
    </w:p>
    <w:p w:rsidR="00F61730" w:rsidRPr="00527711" w:rsidRDefault="00F61730" w:rsidP="00F61730">
      <w:pPr>
        <w:pStyle w:val="paragraphsub"/>
      </w:pPr>
      <w:r w:rsidRPr="00527711">
        <w:tab/>
        <w:t>(i)</w:t>
      </w:r>
      <w:r w:rsidRPr="00527711">
        <w:tab/>
        <w:t>the biologicals comprise, contain or are derived from human cells or human tissues that have been modified to artificially introduce a function or functions of the cells or tissues;</w:t>
      </w:r>
    </w:p>
    <w:p w:rsidR="00F61730" w:rsidRPr="00527711" w:rsidRDefault="00F61730" w:rsidP="00F61730">
      <w:pPr>
        <w:pStyle w:val="paragraphsub"/>
      </w:pPr>
      <w:r w:rsidRPr="00527711">
        <w:tab/>
        <w:t>(ii)</w:t>
      </w:r>
      <w:r w:rsidRPr="00527711">
        <w:tab/>
        <w:t>the artificially introduced function or functions were not intrinsic to the cells or tissues when they were collected from the donor;</w:t>
      </w:r>
    </w:p>
    <w:p w:rsidR="00F61730" w:rsidRPr="00527711" w:rsidRDefault="00F61730" w:rsidP="00F61730">
      <w:pPr>
        <w:pStyle w:val="paragraph"/>
      </w:pPr>
      <w:r w:rsidRPr="00527711">
        <w:tab/>
        <w:t>(c)</w:t>
      </w:r>
      <w:r w:rsidRPr="00527711">
        <w:tab/>
        <w:t>pluripotent stem cells;</w:t>
      </w:r>
    </w:p>
    <w:p w:rsidR="00F61730" w:rsidRPr="00527711" w:rsidRDefault="00F61730" w:rsidP="00F61730">
      <w:pPr>
        <w:pStyle w:val="paragraph"/>
      </w:pPr>
      <w:r w:rsidRPr="00527711">
        <w:tab/>
        <w:t>(d)</w:t>
      </w:r>
      <w:r w:rsidRPr="00527711">
        <w:tab/>
        <w:t>biologicals derived from pluripotent stem cells.</w:t>
      </w:r>
    </w:p>
    <w:p w:rsidR="00B754CB" w:rsidRPr="00527711" w:rsidRDefault="00B754CB" w:rsidP="00B754CB">
      <w:pPr>
        <w:pStyle w:val="ActHead7"/>
        <w:pageBreakBefore/>
      </w:pPr>
      <w:bookmarkStart w:id="32" w:name="_Toc514851994"/>
      <w:r w:rsidRPr="00527711">
        <w:rPr>
          <w:rStyle w:val="CharAmPartNo"/>
        </w:rPr>
        <w:t>Part</w:t>
      </w:r>
      <w:r w:rsidR="00527711" w:rsidRPr="00527711">
        <w:rPr>
          <w:rStyle w:val="CharAmPartNo"/>
        </w:rPr>
        <w:t> </w:t>
      </w:r>
      <w:r w:rsidR="00D4737B" w:rsidRPr="00527711">
        <w:rPr>
          <w:rStyle w:val="CharAmPartNo"/>
        </w:rPr>
        <w:t>6</w:t>
      </w:r>
      <w:r w:rsidRPr="00527711">
        <w:t>—</w:t>
      </w:r>
      <w:r w:rsidRPr="00527711">
        <w:rPr>
          <w:rStyle w:val="CharAmPartText"/>
        </w:rPr>
        <w:t>Menstrual cups and tampons</w:t>
      </w:r>
      <w:bookmarkEnd w:id="32"/>
    </w:p>
    <w:p w:rsidR="00B754CB" w:rsidRPr="00527711" w:rsidRDefault="00B754CB" w:rsidP="00B754CB">
      <w:pPr>
        <w:pStyle w:val="ActHead9"/>
      </w:pPr>
      <w:bookmarkStart w:id="33" w:name="_Toc514851995"/>
      <w:r w:rsidRPr="00527711">
        <w:t>Therapeutic Goods Regulations</w:t>
      </w:r>
      <w:r w:rsidR="00527711" w:rsidRPr="00527711">
        <w:t> </w:t>
      </w:r>
      <w:r w:rsidRPr="00527711">
        <w:t>1990</w:t>
      </w:r>
      <w:bookmarkEnd w:id="33"/>
    </w:p>
    <w:p w:rsidR="00365BC0" w:rsidRPr="00527711" w:rsidRDefault="00455305" w:rsidP="00365BC0">
      <w:pPr>
        <w:pStyle w:val="ItemHead"/>
      </w:pPr>
      <w:r w:rsidRPr="00527711">
        <w:t>24</w:t>
      </w:r>
      <w:r w:rsidR="00365BC0" w:rsidRPr="00527711">
        <w:t xml:space="preserve">  Schedule</w:t>
      </w:r>
      <w:r w:rsidR="00527711" w:rsidRPr="00527711">
        <w:t> </w:t>
      </w:r>
      <w:r w:rsidR="00365BC0" w:rsidRPr="00527711">
        <w:t>5 (at the end of the table)</w:t>
      </w:r>
    </w:p>
    <w:p w:rsidR="00365BC0" w:rsidRPr="00527711" w:rsidRDefault="00365BC0" w:rsidP="00365BC0">
      <w:pPr>
        <w:pStyle w:val="Item"/>
      </w:pPr>
      <w:r w:rsidRPr="00527711">
        <w:t>Add:</w:t>
      </w:r>
    </w:p>
    <w:p w:rsidR="005E4B74" w:rsidRPr="00527711" w:rsidRDefault="005E4B74" w:rsidP="005E4B74">
      <w:pPr>
        <w:pStyle w:val="Tabletext"/>
      </w:pPr>
    </w:p>
    <w:tbl>
      <w:tblPr>
        <w:tblW w:w="4999" w:type="pct"/>
        <w:tblLook w:val="0000" w:firstRow="0" w:lastRow="0" w:firstColumn="0" w:lastColumn="0" w:noHBand="0" w:noVBand="0"/>
      </w:tblPr>
      <w:tblGrid>
        <w:gridCol w:w="1146"/>
        <w:gridCol w:w="7381"/>
      </w:tblGrid>
      <w:tr w:rsidR="00365BC0" w:rsidRPr="00527711" w:rsidTr="003C4EB4">
        <w:tc>
          <w:tcPr>
            <w:tcW w:w="672" w:type="pct"/>
            <w:shd w:val="clear" w:color="auto" w:fill="auto"/>
          </w:tcPr>
          <w:p w:rsidR="00365BC0" w:rsidRPr="00527711" w:rsidRDefault="00365BC0" w:rsidP="007F31D5">
            <w:pPr>
              <w:pStyle w:val="Tabletext"/>
            </w:pPr>
            <w:r w:rsidRPr="00527711">
              <w:t>1</w:t>
            </w:r>
            <w:r w:rsidR="007F31D5" w:rsidRPr="00527711">
              <w:t>4</w:t>
            </w:r>
          </w:p>
        </w:tc>
        <w:tc>
          <w:tcPr>
            <w:tcW w:w="4328" w:type="pct"/>
            <w:shd w:val="clear" w:color="auto" w:fill="auto"/>
          </w:tcPr>
          <w:p w:rsidR="00365BC0" w:rsidRPr="00527711" w:rsidRDefault="00365BC0" w:rsidP="00365BC0">
            <w:pPr>
              <w:pStyle w:val="Tablea"/>
            </w:pPr>
            <w:r w:rsidRPr="00527711">
              <w:t>(a) tampons; and</w:t>
            </w:r>
          </w:p>
          <w:p w:rsidR="00365BC0" w:rsidRPr="00527711" w:rsidRDefault="00365BC0" w:rsidP="00365BC0">
            <w:pPr>
              <w:pStyle w:val="Tablea"/>
            </w:pPr>
            <w:r w:rsidRPr="00527711">
              <w:t>(b) menstrual cups</w:t>
            </w:r>
          </w:p>
        </w:tc>
      </w:tr>
    </w:tbl>
    <w:p w:rsidR="00365BC0" w:rsidRPr="00527711" w:rsidRDefault="00455305" w:rsidP="00365BC0">
      <w:pPr>
        <w:pStyle w:val="ItemHead"/>
      </w:pPr>
      <w:r w:rsidRPr="00527711">
        <w:t>25</w:t>
      </w:r>
      <w:r w:rsidR="00365BC0" w:rsidRPr="00527711">
        <w:t xml:space="preserve">  Schedule</w:t>
      </w:r>
      <w:r w:rsidR="00527711" w:rsidRPr="00527711">
        <w:t> </w:t>
      </w:r>
      <w:r w:rsidR="00365BC0" w:rsidRPr="00527711">
        <w:t>5A (at the end of the table)</w:t>
      </w:r>
    </w:p>
    <w:p w:rsidR="00365BC0" w:rsidRPr="00527711" w:rsidRDefault="00365BC0" w:rsidP="00365BC0">
      <w:pPr>
        <w:pStyle w:val="Item"/>
      </w:pPr>
      <w:r w:rsidRPr="00527711">
        <w:t>Add:</w:t>
      </w:r>
    </w:p>
    <w:p w:rsidR="005E4B74" w:rsidRPr="00527711" w:rsidRDefault="005E4B74" w:rsidP="005E4B74">
      <w:pPr>
        <w:pStyle w:val="Tabletext"/>
      </w:pPr>
    </w:p>
    <w:tbl>
      <w:tblPr>
        <w:tblW w:w="5000" w:type="pct"/>
        <w:tblLook w:val="0000" w:firstRow="0" w:lastRow="0" w:firstColumn="0" w:lastColumn="0" w:noHBand="0" w:noVBand="0"/>
      </w:tblPr>
      <w:tblGrid>
        <w:gridCol w:w="1174"/>
        <w:gridCol w:w="2635"/>
        <w:gridCol w:w="4720"/>
      </w:tblGrid>
      <w:tr w:rsidR="00365BC0" w:rsidRPr="00527711" w:rsidTr="007B4A2C">
        <w:trPr>
          <w:trHeight w:val="20"/>
        </w:trPr>
        <w:tc>
          <w:tcPr>
            <w:tcW w:w="688" w:type="pct"/>
            <w:shd w:val="clear" w:color="auto" w:fill="auto"/>
          </w:tcPr>
          <w:p w:rsidR="00365BC0" w:rsidRPr="00527711" w:rsidRDefault="00F61730" w:rsidP="003B40D0">
            <w:pPr>
              <w:pStyle w:val="Tabletext"/>
            </w:pPr>
            <w:r w:rsidRPr="00527711">
              <w:t>14</w:t>
            </w:r>
          </w:p>
        </w:tc>
        <w:tc>
          <w:tcPr>
            <w:tcW w:w="1545" w:type="pct"/>
            <w:shd w:val="clear" w:color="auto" w:fill="auto"/>
          </w:tcPr>
          <w:p w:rsidR="00365BC0" w:rsidRPr="00527711" w:rsidRDefault="00594234" w:rsidP="00365BC0">
            <w:pPr>
              <w:pStyle w:val="Tabletext"/>
            </w:pPr>
            <w:r w:rsidRPr="00527711">
              <w:t>Therapeutic goods in p</w:t>
            </w:r>
            <w:r w:rsidR="005F6DDD" w:rsidRPr="00527711">
              <w:t>acks</w:t>
            </w:r>
            <w:r w:rsidRPr="00527711">
              <w:t>, if</w:t>
            </w:r>
            <w:r w:rsidR="00365BC0" w:rsidRPr="00527711">
              <w:t>:</w:t>
            </w:r>
          </w:p>
          <w:p w:rsidR="00365BC0" w:rsidRPr="00527711" w:rsidRDefault="00365BC0" w:rsidP="00365BC0">
            <w:pPr>
              <w:pStyle w:val="Tablea"/>
            </w:pPr>
            <w:r w:rsidRPr="00527711">
              <w:t xml:space="preserve">(a) </w:t>
            </w:r>
            <w:r w:rsidR="00594234" w:rsidRPr="00527711">
              <w:t xml:space="preserve">the packs </w:t>
            </w:r>
            <w:r w:rsidRPr="00527711">
              <w:t>contain tampons or menstrual cups; and</w:t>
            </w:r>
          </w:p>
          <w:p w:rsidR="00594234" w:rsidRPr="00527711" w:rsidRDefault="00365BC0" w:rsidP="00C460EF">
            <w:pPr>
              <w:pStyle w:val="Tablea"/>
            </w:pPr>
            <w:r w:rsidRPr="00527711">
              <w:t xml:space="preserve">(b) </w:t>
            </w:r>
            <w:r w:rsidR="00FD28F4" w:rsidRPr="00527711">
              <w:t>any</w:t>
            </w:r>
            <w:r w:rsidR="00594234" w:rsidRPr="00527711">
              <w:t xml:space="preserve"> other therapeutic goods in the packs are included in the Register; and</w:t>
            </w:r>
          </w:p>
          <w:p w:rsidR="009A771C" w:rsidRPr="00527711" w:rsidRDefault="009A771C" w:rsidP="009A771C">
            <w:pPr>
              <w:pStyle w:val="Tablea"/>
            </w:pPr>
            <w:r w:rsidRPr="00527711">
              <w:t>(c) the packaging of any individually packaged medical devices or medicines in the pack is intact; and</w:t>
            </w:r>
          </w:p>
          <w:p w:rsidR="00C460EF" w:rsidRPr="00527711" w:rsidRDefault="009A771C" w:rsidP="00C460EF">
            <w:pPr>
              <w:pStyle w:val="Tablea"/>
            </w:pPr>
            <w:r w:rsidRPr="00527711">
              <w:t>(d</w:t>
            </w:r>
            <w:r w:rsidR="00594234" w:rsidRPr="00527711">
              <w:t xml:space="preserve">) the packs </w:t>
            </w:r>
            <w:r w:rsidR="00A3005C" w:rsidRPr="00527711">
              <w:t xml:space="preserve">do not </w:t>
            </w:r>
            <w:r w:rsidR="00365BC0" w:rsidRPr="00527711">
              <w:t>contain</w:t>
            </w:r>
            <w:r w:rsidR="00A3005C" w:rsidRPr="00527711">
              <w:t xml:space="preserve"> any of the following</w:t>
            </w:r>
            <w:r w:rsidR="00C460EF" w:rsidRPr="00527711">
              <w:t>:</w:t>
            </w:r>
          </w:p>
          <w:p w:rsidR="00D1789F" w:rsidRPr="00527711" w:rsidRDefault="00D1789F" w:rsidP="00C460EF">
            <w:pPr>
              <w:pStyle w:val="Tablei"/>
            </w:pPr>
            <w:r w:rsidRPr="00527711">
              <w:t>(i) a biological;</w:t>
            </w:r>
          </w:p>
          <w:p w:rsidR="00D1789F" w:rsidRPr="00527711" w:rsidRDefault="00D1789F" w:rsidP="00D1789F">
            <w:pPr>
              <w:pStyle w:val="Tablei"/>
            </w:pPr>
            <w:r w:rsidRPr="00527711">
              <w:t>(ii) a medicine mentioned in Part</w:t>
            </w:r>
            <w:r w:rsidR="00527711" w:rsidRPr="00527711">
              <w:t> </w:t>
            </w:r>
            <w:r w:rsidRPr="00527711">
              <w:t>1 of Schedule</w:t>
            </w:r>
            <w:r w:rsidR="00527711" w:rsidRPr="00527711">
              <w:t> </w:t>
            </w:r>
            <w:r w:rsidRPr="00527711">
              <w:t>10;</w:t>
            </w:r>
          </w:p>
          <w:p w:rsidR="00C460EF" w:rsidRPr="00527711" w:rsidRDefault="00C460EF" w:rsidP="00C460EF">
            <w:pPr>
              <w:pStyle w:val="Tablei"/>
            </w:pPr>
            <w:r w:rsidRPr="00527711">
              <w:t>(</w:t>
            </w:r>
            <w:r w:rsidR="00D1789F" w:rsidRPr="00527711">
              <w:t>ii</w:t>
            </w:r>
            <w:r w:rsidRPr="00527711">
              <w:t xml:space="preserve">i) </w:t>
            </w:r>
            <w:r w:rsidR="00A3005C" w:rsidRPr="00527711">
              <w:t xml:space="preserve">a </w:t>
            </w:r>
            <w:r w:rsidR="00074C12" w:rsidRPr="00527711">
              <w:t>medical device</w:t>
            </w:r>
            <w:r w:rsidR="007A7C55" w:rsidRPr="00527711">
              <w:t xml:space="preserve"> </w:t>
            </w:r>
            <w:r w:rsidR="0063317C" w:rsidRPr="00527711">
              <w:t xml:space="preserve">(other than an IVD medical device) </w:t>
            </w:r>
            <w:r w:rsidR="00D1789F" w:rsidRPr="00527711">
              <w:t xml:space="preserve">that is </w:t>
            </w:r>
            <w:r w:rsidR="007A7C55" w:rsidRPr="00527711">
              <w:t xml:space="preserve">classified </w:t>
            </w:r>
            <w:r w:rsidR="00D1789F" w:rsidRPr="00527711">
              <w:t xml:space="preserve">under the </w:t>
            </w:r>
            <w:r w:rsidR="00D1789F" w:rsidRPr="00527711">
              <w:rPr>
                <w:i/>
              </w:rPr>
              <w:t>Therapeutic Goods (Medical Devices) Regulations</w:t>
            </w:r>
            <w:r w:rsidR="00527711" w:rsidRPr="00527711">
              <w:rPr>
                <w:i/>
              </w:rPr>
              <w:t> </w:t>
            </w:r>
            <w:r w:rsidR="00D1789F" w:rsidRPr="00527711">
              <w:rPr>
                <w:i/>
              </w:rPr>
              <w:t xml:space="preserve">2002 </w:t>
            </w:r>
            <w:r w:rsidR="007A7C55" w:rsidRPr="00527711">
              <w:t>as Class II</w:t>
            </w:r>
            <w:r w:rsidR="00CE4925" w:rsidRPr="00527711">
              <w:t>a</w:t>
            </w:r>
            <w:r w:rsidR="00A3005C" w:rsidRPr="00527711">
              <w:t xml:space="preserve"> or higher</w:t>
            </w:r>
            <w:r w:rsidRPr="00527711">
              <w:t>;</w:t>
            </w:r>
          </w:p>
          <w:p w:rsidR="00365BC0" w:rsidRPr="00527711" w:rsidRDefault="00D1789F" w:rsidP="00D1789F">
            <w:pPr>
              <w:pStyle w:val="Tablei"/>
            </w:pPr>
            <w:r w:rsidRPr="00527711">
              <w:t>(iv</w:t>
            </w:r>
            <w:r w:rsidR="00C460EF" w:rsidRPr="00527711">
              <w:t xml:space="preserve">) </w:t>
            </w:r>
            <w:r w:rsidR="0063317C" w:rsidRPr="00527711">
              <w:t>an IVD medical device or in</w:t>
            </w:r>
            <w:r w:rsidR="00527711">
              <w:noBreakHyphen/>
            </w:r>
            <w:r w:rsidR="0063317C" w:rsidRPr="00527711">
              <w:t xml:space="preserve">house IVD medical device </w:t>
            </w:r>
            <w:r w:rsidRPr="00527711">
              <w:t xml:space="preserve">that is </w:t>
            </w:r>
            <w:r w:rsidR="0063317C" w:rsidRPr="00527711">
              <w:t>classified</w:t>
            </w:r>
            <w:r w:rsidRPr="00527711">
              <w:t xml:space="preserve"> under the </w:t>
            </w:r>
            <w:r w:rsidRPr="00527711">
              <w:rPr>
                <w:i/>
              </w:rPr>
              <w:t>Therapeutic Goods (Medical Devices) Regulations</w:t>
            </w:r>
            <w:r w:rsidR="00527711" w:rsidRPr="00527711">
              <w:rPr>
                <w:i/>
              </w:rPr>
              <w:t> </w:t>
            </w:r>
            <w:r w:rsidRPr="00527711">
              <w:rPr>
                <w:i/>
              </w:rPr>
              <w:t>2002</w:t>
            </w:r>
            <w:r w:rsidR="0063317C" w:rsidRPr="00527711">
              <w:t xml:space="preserve"> as Class 2 or higher</w:t>
            </w:r>
          </w:p>
        </w:tc>
        <w:tc>
          <w:tcPr>
            <w:tcW w:w="2767" w:type="pct"/>
            <w:shd w:val="clear" w:color="auto" w:fill="auto"/>
          </w:tcPr>
          <w:p w:rsidR="004F6C00" w:rsidRPr="00527711" w:rsidRDefault="00365BC0" w:rsidP="001239A9">
            <w:pPr>
              <w:pStyle w:val="Tabletext"/>
            </w:pPr>
            <w:r w:rsidRPr="00527711">
              <w:t xml:space="preserve">the </w:t>
            </w:r>
            <w:r w:rsidR="005F6DDD" w:rsidRPr="00527711">
              <w:t>packs</w:t>
            </w:r>
            <w:r w:rsidRPr="00527711">
              <w:t xml:space="preserve"> must</w:t>
            </w:r>
            <w:r w:rsidR="004F6C00" w:rsidRPr="00527711">
              <w:t xml:space="preserve"> not be supplied:</w:t>
            </w:r>
          </w:p>
          <w:p w:rsidR="00365BC0" w:rsidRPr="00527711" w:rsidRDefault="004F6C00" w:rsidP="00365BC0">
            <w:pPr>
              <w:pStyle w:val="Tablea"/>
            </w:pPr>
            <w:r w:rsidRPr="00527711">
              <w:t>(</w:t>
            </w:r>
            <w:r w:rsidR="00EC56D6" w:rsidRPr="00527711">
              <w:t>a</w:t>
            </w:r>
            <w:r w:rsidRPr="00527711">
              <w:t xml:space="preserve">) by persons other than </w:t>
            </w:r>
            <w:r w:rsidR="003F4CD4" w:rsidRPr="00527711">
              <w:t>charities</w:t>
            </w:r>
            <w:r w:rsidRPr="00527711">
              <w:t>; or</w:t>
            </w:r>
          </w:p>
          <w:p w:rsidR="004F6C00" w:rsidRPr="00527711" w:rsidRDefault="00EC56D6" w:rsidP="00365BC0">
            <w:pPr>
              <w:pStyle w:val="Tablea"/>
            </w:pPr>
            <w:r w:rsidRPr="00527711">
              <w:t>(b</w:t>
            </w:r>
            <w:r w:rsidR="00365BC0" w:rsidRPr="00527711">
              <w:t>)</w:t>
            </w:r>
            <w:r w:rsidR="004F6C00" w:rsidRPr="00527711">
              <w:t xml:space="preserve"> for a charge; or</w:t>
            </w:r>
          </w:p>
          <w:p w:rsidR="00365BC0" w:rsidRPr="00527711" w:rsidRDefault="004F6C00" w:rsidP="00EC56D6">
            <w:pPr>
              <w:pStyle w:val="Tablea"/>
            </w:pPr>
            <w:r w:rsidRPr="00527711">
              <w:t>(</w:t>
            </w:r>
            <w:r w:rsidR="00EC56D6" w:rsidRPr="00527711">
              <w:t>c</w:t>
            </w:r>
            <w:r w:rsidRPr="00527711">
              <w:t xml:space="preserve">) to persons other than </w:t>
            </w:r>
            <w:r w:rsidR="00365BC0" w:rsidRPr="00527711">
              <w:t xml:space="preserve">homeless </w:t>
            </w:r>
            <w:r w:rsidRPr="00527711">
              <w:t>or</w:t>
            </w:r>
            <w:r w:rsidR="00365BC0" w:rsidRPr="00527711">
              <w:t xml:space="preserve"> disadvantaged wom</w:t>
            </w:r>
            <w:r w:rsidRPr="00527711">
              <w:t>en</w:t>
            </w:r>
          </w:p>
        </w:tc>
      </w:tr>
    </w:tbl>
    <w:p w:rsidR="003F4CD4" w:rsidRPr="00527711" w:rsidRDefault="00455305" w:rsidP="00CF509C">
      <w:pPr>
        <w:pStyle w:val="ItemHead"/>
      </w:pPr>
      <w:r w:rsidRPr="00527711">
        <w:t>26</w:t>
      </w:r>
      <w:r w:rsidR="003F4CD4" w:rsidRPr="00527711">
        <w:t xml:space="preserve">  Schedule</w:t>
      </w:r>
      <w:r w:rsidR="00527711" w:rsidRPr="00527711">
        <w:t> </w:t>
      </w:r>
      <w:r w:rsidR="003F4CD4" w:rsidRPr="00527711">
        <w:t>8 (at the end of the table)</w:t>
      </w:r>
    </w:p>
    <w:p w:rsidR="003F4CD4" w:rsidRPr="00527711" w:rsidRDefault="003F4CD4" w:rsidP="003F4CD4">
      <w:pPr>
        <w:pStyle w:val="Item"/>
      </w:pPr>
      <w:r w:rsidRPr="00527711">
        <w:t>Add:</w:t>
      </w:r>
    </w:p>
    <w:p w:rsidR="003F4CD4" w:rsidRPr="00527711" w:rsidRDefault="003F4CD4" w:rsidP="003F4CD4">
      <w:pPr>
        <w:pStyle w:val="Tabletext"/>
      </w:pPr>
    </w:p>
    <w:tbl>
      <w:tblPr>
        <w:tblW w:w="5000" w:type="pct"/>
        <w:tblLook w:val="0000" w:firstRow="0" w:lastRow="0" w:firstColumn="0" w:lastColumn="0" w:noHBand="0" w:noVBand="0"/>
      </w:tblPr>
      <w:tblGrid>
        <w:gridCol w:w="1313"/>
        <w:gridCol w:w="3091"/>
        <w:gridCol w:w="4125"/>
      </w:tblGrid>
      <w:tr w:rsidR="003F4CD4" w:rsidRPr="00527711" w:rsidTr="00DE30EC">
        <w:tc>
          <w:tcPr>
            <w:tcW w:w="770" w:type="pct"/>
            <w:shd w:val="clear" w:color="auto" w:fill="auto"/>
          </w:tcPr>
          <w:p w:rsidR="003F4CD4" w:rsidRPr="00527711" w:rsidRDefault="00A23AC5" w:rsidP="000E0139">
            <w:pPr>
              <w:pStyle w:val="Tabletext"/>
            </w:pPr>
            <w:r w:rsidRPr="00527711">
              <w:t>7</w:t>
            </w:r>
          </w:p>
        </w:tc>
        <w:tc>
          <w:tcPr>
            <w:tcW w:w="1812" w:type="pct"/>
            <w:shd w:val="clear" w:color="auto" w:fill="auto"/>
          </w:tcPr>
          <w:p w:rsidR="003F4CD4" w:rsidRPr="00527711" w:rsidRDefault="003F4CD4" w:rsidP="000E0139">
            <w:pPr>
              <w:pStyle w:val="Tabletext"/>
            </w:pPr>
            <w:r w:rsidRPr="00527711">
              <w:t>charities</w:t>
            </w:r>
          </w:p>
        </w:tc>
        <w:tc>
          <w:tcPr>
            <w:tcW w:w="2418" w:type="pct"/>
            <w:shd w:val="clear" w:color="auto" w:fill="auto"/>
          </w:tcPr>
          <w:p w:rsidR="003F4CD4" w:rsidRPr="00527711" w:rsidRDefault="003F4CD4" w:rsidP="00594234">
            <w:pPr>
              <w:pStyle w:val="Tabletext"/>
            </w:pPr>
            <w:r w:rsidRPr="00527711">
              <w:t xml:space="preserve">the manufacture of </w:t>
            </w:r>
            <w:r w:rsidR="005F6DDD" w:rsidRPr="00527711">
              <w:t>packs</w:t>
            </w:r>
            <w:r w:rsidRPr="00527711">
              <w:t xml:space="preserve"> </w:t>
            </w:r>
            <w:r w:rsidR="00594234" w:rsidRPr="00527711">
              <w:t>mentioned in item</w:t>
            </w:r>
            <w:r w:rsidR="00527711" w:rsidRPr="00527711">
              <w:t> </w:t>
            </w:r>
            <w:r w:rsidR="00594234" w:rsidRPr="00527711">
              <w:t>14 of Schedule</w:t>
            </w:r>
            <w:r w:rsidR="00527711" w:rsidRPr="00527711">
              <w:t> </w:t>
            </w:r>
            <w:r w:rsidR="0052558F" w:rsidRPr="00527711">
              <w:t>5A</w:t>
            </w:r>
          </w:p>
        </w:tc>
      </w:tr>
    </w:tbl>
    <w:p w:rsidR="0012309C" w:rsidRPr="00527711" w:rsidRDefault="0012309C" w:rsidP="0012309C">
      <w:pPr>
        <w:pStyle w:val="ActHead7"/>
        <w:pageBreakBefore/>
      </w:pPr>
      <w:bookmarkStart w:id="34" w:name="_Toc514851996"/>
      <w:r w:rsidRPr="00527711">
        <w:rPr>
          <w:rStyle w:val="CharAmPartNo"/>
        </w:rPr>
        <w:t>Part</w:t>
      </w:r>
      <w:r w:rsidR="00527711" w:rsidRPr="00527711">
        <w:rPr>
          <w:rStyle w:val="CharAmPartNo"/>
        </w:rPr>
        <w:t> </w:t>
      </w:r>
      <w:r w:rsidR="00D4737B" w:rsidRPr="00527711">
        <w:rPr>
          <w:rStyle w:val="CharAmPartNo"/>
        </w:rPr>
        <w:t>7</w:t>
      </w:r>
      <w:r w:rsidRPr="00527711">
        <w:t>—</w:t>
      </w:r>
      <w:r w:rsidRPr="00527711">
        <w:rPr>
          <w:rStyle w:val="CharAmPartText"/>
        </w:rPr>
        <w:t>Variation fees for OTC medicines</w:t>
      </w:r>
      <w:bookmarkEnd w:id="34"/>
    </w:p>
    <w:p w:rsidR="00B21943" w:rsidRPr="00527711" w:rsidRDefault="00B21943" w:rsidP="00B21943">
      <w:pPr>
        <w:pStyle w:val="ActHead9"/>
      </w:pPr>
      <w:bookmarkStart w:id="35" w:name="_Toc514851997"/>
      <w:r w:rsidRPr="00527711">
        <w:t>Therapeutic Goods Regulations</w:t>
      </w:r>
      <w:r w:rsidR="00527711" w:rsidRPr="00527711">
        <w:t> </w:t>
      </w:r>
      <w:r w:rsidRPr="00527711">
        <w:t>1990</w:t>
      </w:r>
      <w:bookmarkEnd w:id="35"/>
    </w:p>
    <w:p w:rsidR="0012309C" w:rsidRPr="00527711" w:rsidRDefault="00455305" w:rsidP="0012309C">
      <w:pPr>
        <w:pStyle w:val="ItemHead"/>
      </w:pPr>
      <w:r w:rsidRPr="00527711">
        <w:t>27</w:t>
      </w:r>
      <w:r w:rsidR="0012309C" w:rsidRPr="00527711">
        <w:t xml:space="preserve">  Clause</w:t>
      </w:r>
      <w:r w:rsidR="00527711" w:rsidRPr="00527711">
        <w:t> </w:t>
      </w:r>
      <w:r w:rsidR="0012309C" w:rsidRPr="00527711">
        <w:t>3 of Schedule</w:t>
      </w:r>
      <w:r w:rsidR="00527711" w:rsidRPr="00527711">
        <w:t> </w:t>
      </w:r>
      <w:r w:rsidR="0012309C" w:rsidRPr="00527711">
        <w:t>9 (table item</w:t>
      </w:r>
      <w:r w:rsidR="00527711" w:rsidRPr="00527711">
        <w:t> </w:t>
      </w:r>
      <w:r w:rsidR="0012309C" w:rsidRPr="00527711">
        <w:t>2CB)</w:t>
      </w:r>
    </w:p>
    <w:p w:rsidR="0012309C" w:rsidRPr="00527711" w:rsidRDefault="0012309C" w:rsidP="0012309C">
      <w:pPr>
        <w:pStyle w:val="Item"/>
      </w:pPr>
      <w:r w:rsidRPr="00527711">
        <w:t>Repeal the item, substitute:</w:t>
      </w:r>
    </w:p>
    <w:p w:rsidR="0012309C" w:rsidRPr="00527711" w:rsidRDefault="0012309C" w:rsidP="0012309C">
      <w:pPr>
        <w:pStyle w:val="Tabletext"/>
      </w:pPr>
    </w:p>
    <w:tbl>
      <w:tblPr>
        <w:tblW w:w="5000" w:type="pct"/>
        <w:tblLook w:val="0000" w:firstRow="0" w:lastRow="0" w:firstColumn="0" w:lastColumn="0" w:noHBand="0" w:noVBand="0"/>
      </w:tblPr>
      <w:tblGrid>
        <w:gridCol w:w="1063"/>
        <w:gridCol w:w="5373"/>
        <w:gridCol w:w="2093"/>
      </w:tblGrid>
      <w:tr w:rsidR="0012309C" w:rsidRPr="00527711" w:rsidTr="000B177A">
        <w:tc>
          <w:tcPr>
            <w:tcW w:w="622" w:type="pct"/>
            <w:shd w:val="clear" w:color="auto" w:fill="auto"/>
          </w:tcPr>
          <w:p w:rsidR="0012309C" w:rsidRPr="00527711" w:rsidRDefault="0012309C" w:rsidP="000B177A">
            <w:pPr>
              <w:pStyle w:val="Tabletext"/>
            </w:pPr>
            <w:r w:rsidRPr="00527711">
              <w:t>2CB</w:t>
            </w:r>
          </w:p>
        </w:tc>
        <w:tc>
          <w:tcPr>
            <w:tcW w:w="3143" w:type="pct"/>
            <w:shd w:val="clear" w:color="auto" w:fill="auto"/>
          </w:tcPr>
          <w:p w:rsidR="0012309C" w:rsidRPr="00527711" w:rsidRDefault="0012309C" w:rsidP="000B177A">
            <w:pPr>
              <w:pStyle w:val="Tabletext"/>
              <w:ind w:right="-52"/>
            </w:pPr>
            <w:r w:rsidRPr="00527711">
              <w:t>Fee for a request under subsection</w:t>
            </w:r>
            <w:r w:rsidR="00527711" w:rsidRPr="00527711">
              <w:t> </w:t>
            </w:r>
            <w:r w:rsidRPr="00527711">
              <w:t>9D(2C) of the Act (other than a request to which item</w:t>
            </w:r>
            <w:r w:rsidR="00527711" w:rsidRPr="00527711">
              <w:t> </w:t>
            </w:r>
            <w:r w:rsidRPr="00527711">
              <w:t>2CC, 2CD or 2CE applies) to make one or more variations of one or more entries in the Register in relation to a medicine:</w:t>
            </w:r>
          </w:p>
        </w:tc>
        <w:tc>
          <w:tcPr>
            <w:tcW w:w="1224" w:type="pct"/>
            <w:shd w:val="clear" w:color="auto" w:fill="auto"/>
          </w:tcPr>
          <w:p w:rsidR="0012309C" w:rsidRPr="00527711" w:rsidRDefault="0012309C" w:rsidP="000B177A">
            <w:pPr>
              <w:pStyle w:val="Tabletext"/>
            </w:pPr>
          </w:p>
        </w:tc>
      </w:tr>
      <w:tr w:rsidR="0012309C" w:rsidRPr="00527711" w:rsidTr="000B177A">
        <w:tc>
          <w:tcPr>
            <w:tcW w:w="622" w:type="pct"/>
            <w:shd w:val="clear" w:color="auto" w:fill="auto"/>
          </w:tcPr>
          <w:p w:rsidR="0012309C" w:rsidRPr="00527711" w:rsidRDefault="0012309C" w:rsidP="000B177A">
            <w:pPr>
              <w:pStyle w:val="Tabletext"/>
            </w:pPr>
          </w:p>
        </w:tc>
        <w:tc>
          <w:tcPr>
            <w:tcW w:w="3143" w:type="pct"/>
            <w:shd w:val="clear" w:color="auto" w:fill="auto"/>
          </w:tcPr>
          <w:p w:rsidR="0012309C" w:rsidRPr="00527711" w:rsidRDefault="0012309C" w:rsidP="000B177A">
            <w:pPr>
              <w:pStyle w:val="Tablea"/>
            </w:pPr>
            <w:r w:rsidRPr="00527711">
              <w:t>(a)</w:t>
            </w:r>
            <w:r w:rsidR="00C17409" w:rsidRPr="00527711">
              <w:t xml:space="preserve"> </w:t>
            </w:r>
            <w:r w:rsidRPr="00527711">
              <w:t xml:space="preserve">for each entry, unless </w:t>
            </w:r>
            <w:r w:rsidR="00527711" w:rsidRPr="00527711">
              <w:t>paragraph (</w:t>
            </w:r>
            <w:r w:rsidRPr="00527711">
              <w:t>b) applies</w:t>
            </w:r>
          </w:p>
        </w:tc>
        <w:tc>
          <w:tcPr>
            <w:tcW w:w="1224" w:type="pct"/>
            <w:shd w:val="clear" w:color="auto" w:fill="auto"/>
          </w:tcPr>
          <w:p w:rsidR="0012309C" w:rsidRPr="00527711" w:rsidRDefault="0012309C" w:rsidP="000B177A">
            <w:pPr>
              <w:pStyle w:val="Tabletext"/>
            </w:pPr>
            <w:r w:rsidRPr="00527711">
              <w:t>790</w:t>
            </w:r>
          </w:p>
        </w:tc>
      </w:tr>
      <w:tr w:rsidR="0012309C" w:rsidRPr="00527711" w:rsidTr="000B177A">
        <w:tc>
          <w:tcPr>
            <w:tcW w:w="622" w:type="pct"/>
            <w:shd w:val="clear" w:color="auto" w:fill="auto"/>
          </w:tcPr>
          <w:p w:rsidR="0012309C" w:rsidRPr="00527711" w:rsidRDefault="0012309C" w:rsidP="000B177A">
            <w:pPr>
              <w:pStyle w:val="Tabletext"/>
            </w:pPr>
          </w:p>
        </w:tc>
        <w:tc>
          <w:tcPr>
            <w:tcW w:w="3143" w:type="pct"/>
            <w:shd w:val="clear" w:color="auto" w:fill="auto"/>
          </w:tcPr>
          <w:p w:rsidR="0012309C" w:rsidRPr="00527711" w:rsidRDefault="0012309C" w:rsidP="00DD0382">
            <w:pPr>
              <w:pStyle w:val="Tablea"/>
            </w:pPr>
            <w:r w:rsidRPr="00527711">
              <w:t>(b)</w:t>
            </w:r>
            <w:r w:rsidR="00C17409" w:rsidRPr="00527711">
              <w:t xml:space="preserve"> </w:t>
            </w:r>
            <w:r w:rsidRPr="00527711">
              <w:t>in the case of a single entry in the Register, if the request is made together with a request of a kind mentioned in item</w:t>
            </w:r>
            <w:r w:rsidR="00527711" w:rsidRPr="00527711">
              <w:t> </w:t>
            </w:r>
            <w:r w:rsidRPr="00527711">
              <w:t>5 of Part</w:t>
            </w:r>
            <w:r w:rsidR="00527711" w:rsidRPr="00527711">
              <w:t> </w:t>
            </w:r>
            <w:r w:rsidRPr="00527711">
              <w:t>3 in relation to the same entry</w:t>
            </w:r>
          </w:p>
        </w:tc>
        <w:tc>
          <w:tcPr>
            <w:tcW w:w="1224" w:type="pct"/>
            <w:shd w:val="clear" w:color="auto" w:fill="auto"/>
          </w:tcPr>
          <w:p w:rsidR="0012309C" w:rsidRPr="00527711" w:rsidRDefault="0012309C" w:rsidP="000B177A">
            <w:pPr>
              <w:pStyle w:val="Tabletext"/>
            </w:pPr>
            <w:r w:rsidRPr="00527711">
              <w:t>Nil</w:t>
            </w:r>
          </w:p>
        </w:tc>
      </w:tr>
    </w:tbl>
    <w:p w:rsidR="0012309C" w:rsidRPr="00527711" w:rsidRDefault="00455305" w:rsidP="0012309C">
      <w:pPr>
        <w:pStyle w:val="ItemHead"/>
      </w:pPr>
      <w:r w:rsidRPr="00527711">
        <w:t>28</w:t>
      </w:r>
      <w:r w:rsidR="0012309C" w:rsidRPr="00527711">
        <w:t xml:space="preserve">  Clause</w:t>
      </w:r>
      <w:r w:rsidR="00527711" w:rsidRPr="00527711">
        <w:t> </w:t>
      </w:r>
      <w:r w:rsidR="0012309C" w:rsidRPr="00527711">
        <w:t>3 of Schedule</w:t>
      </w:r>
      <w:r w:rsidR="00527711" w:rsidRPr="00527711">
        <w:t> </w:t>
      </w:r>
      <w:r w:rsidR="0012309C" w:rsidRPr="00527711">
        <w:t>9 (table item</w:t>
      </w:r>
      <w:r w:rsidR="00527711" w:rsidRPr="00527711">
        <w:t> </w:t>
      </w:r>
      <w:r w:rsidR="0012309C" w:rsidRPr="00527711">
        <w:t>2CD)</w:t>
      </w:r>
    </w:p>
    <w:p w:rsidR="0012309C" w:rsidRPr="00527711" w:rsidRDefault="0012309C" w:rsidP="0012309C">
      <w:pPr>
        <w:pStyle w:val="Item"/>
      </w:pPr>
      <w:r w:rsidRPr="00527711">
        <w:t>Repeal the item, substitute:</w:t>
      </w:r>
    </w:p>
    <w:p w:rsidR="0012309C" w:rsidRPr="00527711" w:rsidRDefault="0012309C" w:rsidP="0012309C">
      <w:pPr>
        <w:pStyle w:val="Tabletext"/>
      </w:pPr>
    </w:p>
    <w:tbl>
      <w:tblPr>
        <w:tblW w:w="5000" w:type="pct"/>
        <w:tblLook w:val="0000" w:firstRow="0" w:lastRow="0" w:firstColumn="0" w:lastColumn="0" w:noHBand="0" w:noVBand="0"/>
      </w:tblPr>
      <w:tblGrid>
        <w:gridCol w:w="1063"/>
        <w:gridCol w:w="5373"/>
        <w:gridCol w:w="2093"/>
      </w:tblGrid>
      <w:tr w:rsidR="0012309C" w:rsidRPr="00527711" w:rsidTr="000B177A">
        <w:tc>
          <w:tcPr>
            <w:tcW w:w="622" w:type="pct"/>
            <w:shd w:val="clear" w:color="auto" w:fill="auto"/>
          </w:tcPr>
          <w:p w:rsidR="0012309C" w:rsidRPr="00527711" w:rsidRDefault="0012309C" w:rsidP="000B177A">
            <w:pPr>
              <w:pStyle w:val="Tabletext"/>
            </w:pPr>
            <w:r w:rsidRPr="00527711">
              <w:t>2CD</w:t>
            </w:r>
          </w:p>
        </w:tc>
        <w:tc>
          <w:tcPr>
            <w:tcW w:w="3143" w:type="pct"/>
            <w:shd w:val="clear" w:color="auto" w:fill="auto"/>
          </w:tcPr>
          <w:p w:rsidR="0012309C" w:rsidRPr="00527711" w:rsidRDefault="0012309C" w:rsidP="000B177A">
            <w:pPr>
              <w:pStyle w:val="Tabletext"/>
              <w:ind w:right="-52"/>
            </w:pPr>
            <w:r w:rsidRPr="00527711">
              <w:t>Fee for a request under subsection</w:t>
            </w:r>
            <w:r w:rsidR="00527711" w:rsidRPr="00527711">
              <w:t> </w:t>
            </w:r>
            <w:r w:rsidRPr="00527711">
              <w:t>9D(2C) of the Act to make the same variation or variations of 2 or more entries in the Register that each relate to a registered OTC medicine:</w:t>
            </w:r>
          </w:p>
        </w:tc>
        <w:tc>
          <w:tcPr>
            <w:tcW w:w="1224" w:type="pct"/>
            <w:shd w:val="clear" w:color="auto" w:fill="auto"/>
          </w:tcPr>
          <w:p w:rsidR="0012309C" w:rsidRPr="00527711" w:rsidRDefault="0012309C" w:rsidP="000B177A">
            <w:pPr>
              <w:pStyle w:val="Tabletext"/>
            </w:pPr>
          </w:p>
        </w:tc>
      </w:tr>
      <w:tr w:rsidR="0012309C" w:rsidRPr="00527711" w:rsidTr="000B177A">
        <w:tc>
          <w:tcPr>
            <w:tcW w:w="622" w:type="pct"/>
            <w:shd w:val="clear" w:color="auto" w:fill="auto"/>
          </w:tcPr>
          <w:p w:rsidR="0012309C" w:rsidRPr="00527711" w:rsidRDefault="0012309C" w:rsidP="000B177A">
            <w:pPr>
              <w:pStyle w:val="Tabletext"/>
            </w:pPr>
          </w:p>
        </w:tc>
        <w:tc>
          <w:tcPr>
            <w:tcW w:w="3143" w:type="pct"/>
            <w:shd w:val="clear" w:color="auto" w:fill="auto"/>
          </w:tcPr>
          <w:p w:rsidR="0012309C" w:rsidRPr="00527711" w:rsidRDefault="0012309C" w:rsidP="000B177A">
            <w:pPr>
              <w:pStyle w:val="Tablea"/>
            </w:pPr>
            <w:r w:rsidRPr="00527711">
              <w:t>(a)</w:t>
            </w:r>
            <w:r w:rsidR="00C17409" w:rsidRPr="00527711">
              <w:t xml:space="preserve"> </w:t>
            </w:r>
            <w:r w:rsidRPr="00527711">
              <w:t xml:space="preserve">for each group of up to 7 entries, unless </w:t>
            </w:r>
            <w:r w:rsidR="00527711" w:rsidRPr="00527711">
              <w:t>paragraph (</w:t>
            </w:r>
            <w:r w:rsidRPr="00527711">
              <w:t>b) applies</w:t>
            </w:r>
          </w:p>
        </w:tc>
        <w:tc>
          <w:tcPr>
            <w:tcW w:w="1224" w:type="pct"/>
            <w:shd w:val="clear" w:color="auto" w:fill="auto"/>
          </w:tcPr>
          <w:p w:rsidR="0012309C" w:rsidRPr="00527711" w:rsidRDefault="0012309C" w:rsidP="000B177A">
            <w:pPr>
              <w:pStyle w:val="Tabletext"/>
            </w:pPr>
            <w:r w:rsidRPr="00527711">
              <w:t>790</w:t>
            </w:r>
          </w:p>
        </w:tc>
      </w:tr>
      <w:tr w:rsidR="0012309C" w:rsidRPr="00527711" w:rsidTr="000B177A">
        <w:tc>
          <w:tcPr>
            <w:tcW w:w="622" w:type="pct"/>
            <w:shd w:val="clear" w:color="auto" w:fill="auto"/>
          </w:tcPr>
          <w:p w:rsidR="0012309C" w:rsidRPr="00527711" w:rsidRDefault="0012309C" w:rsidP="000B177A">
            <w:pPr>
              <w:pStyle w:val="Tabletext"/>
            </w:pPr>
          </w:p>
        </w:tc>
        <w:tc>
          <w:tcPr>
            <w:tcW w:w="3143" w:type="pct"/>
            <w:shd w:val="clear" w:color="auto" w:fill="auto"/>
          </w:tcPr>
          <w:p w:rsidR="0012309C" w:rsidRPr="00527711" w:rsidRDefault="0012309C" w:rsidP="000B177A">
            <w:pPr>
              <w:pStyle w:val="Tablea"/>
            </w:pPr>
            <w:r w:rsidRPr="00527711">
              <w:t>(b)</w:t>
            </w:r>
            <w:r w:rsidR="00C17409" w:rsidRPr="00527711">
              <w:t xml:space="preserve"> </w:t>
            </w:r>
            <w:r w:rsidRPr="00527711">
              <w:t>for each group of up to 20 entries, if the request is made together with a request of a kind mentioned in item</w:t>
            </w:r>
            <w:r w:rsidR="00527711" w:rsidRPr="00527711">
              <w:t> </w:t>
            </w:r>
            <w:r w:rsidRPr="00527711">
              <w:t>5 of Part</w:t>
            </w:r>
            <w:r w:rsidR="00527711" w:rsidRPr="00527711">
              <w:t> </w:t>
            </w:r>
            <w:r w:rsidRPr="00527711">
              <w:t>3, in relation to the same group of entries</w:t>
            </w:r>
          </w:p>
        </w:tc>
        <w:tc>
          <w:tcPr>
            <w:tcW w:w="1224" w:type="pct"/>
            <w:shd w:val="clear" w:color="auto" w:fill="auto"/>
          </w:tcPr>
          <w:p w:rsidR="0012309C" w:rsidRPr="00527711" w:rsidRDefault="0012309C" w:rsidP="000B177A">
            <w:pPr>
              <w:pStyle w:val="Tabletext"/>
            </w:pPr>
            <w:r w:rsidRPr="00527711">
              <w:t>Nil</w:t>
            </w:r>
          </w:p>
        </w:tc>
      </w:tr>
    </w:tbl>
    <w:p w:rsidR="0012309C" w:rsidRPr="00527711" w:rsidRDefault="00455305" w:rsidP="0012309C">
      <w:pPr>
        <w:pStyle w:val="ItemHead"/>
      </w:pPr>
      <w:r w:rsidRPr="00527711">
        <w:t>29</w:t>
      </w:r>
      <w:r w:rsidR="0012309C" w:rsidRPr="00527711">
        <w:t xml:space="preserve">  Clause</w:t>
      </w:r>
      <w:r w:rsidR="00527711" w:rsidRPr="00527711">
        <w:t> </w:t>
      </w:r>
      <w:r w:rsidR="0012309C" w:rsidRPr="00527711">
        <w:t>4 of Schedule</w:t>
      </w:r>
      <w:r w:rsidR="00527711" w:rsidRPr="00527711">
        <w:t> </w:t>
      </w:r>
      <w:r w:rsidR="0012309C" w:rsidRPr="00527711">
        <w:t>9 (table items</w:t>
      </w:r>
      <w:r w:rsidR="00527711" w:rsidRPr="00527711">
        <w:t> </w:t>
      </w:r>
      <w:r w:rsidR="0012309C" w:rsidRPr="00527711">
        <w:t>5 and 6)</w:t>
      </w:r>
    </w:p>
    <w:p w:rsidR="0012309C" w:rsidRPr="00527711" w:rsidRDefault="0012309C" w:rsidP="0012309C">
      <w:pPr>
        <w:pStyle w:val="Item"/>
      </w:pPr>
      <w:r w:rsidRPr="00527711">
        <w:t>Repeal the items, substitute:</w:t>
      </w:r>
    </w:p>
    <w:p w:rsidR="0012309C" w:rsidRPr="00527711" w:rsidRDefault="0012309C" w:rsidP="0012309C">
      <w:pPr>
        <w:pStyle w:val="Tabletext"/>
      </w:pPr>
    </w:p>
    <w:tbl>
      <w:tblPr>
        <w:tblW w:w="4999" w:type="pct"/>
        <w:tblInd w:w="2" w:type="dxa"/>
        <w:tblBorders>
          <w:top w:val="single" w:sz="4" w:space="0" w:color="auto"/>
          <w:bottom w:val="single" w:sz="2" w:space="0" w:color="auto"/>
          <w:insideH w:val="single" w:sz="2" w:space="0" w:color="auto"/>
        </w:tblBorders>
        <w:tblLook w:val="0000" w:firstRow="0" w:lastRow="0" w:firstColumn="0" w:lastColumn="0" w:noHBand="0" w:noVBand="0"/>
      </w:tblPr>
      <w:tblGrid>
        <w:gridCol w:w="1138"/>
        <w:gridCol w:w="5295"/>
        <w:gridCol w:w="2094"/>
      </w:tblGrid>
      <w:tr w:rsidR="0012309C" w:rsidRPr="00527711" w:rsidTr="000B177A">
        <w:tc>
          <w:tcPr>
            <w:tcW w:w="667" w:type="pct"/>
            <w:tcBorders>
              <w:top w:val="nil"/>
              <w:bottom w:val="nil"/>
            </w:tcBorders>
            <w:shd w:val="clear" w:color="auto" w:fill="auto"/>
          </w:tcPr>
          <w:p w:rsidR="0012309C" w:rsidRPr="00527711" w:rsidRDefault="0012309C" w:rsidP="000B177A">
            <w:pPr>
              <w:pStyle w:val="Tabletext"/>
            </w:pPr>
            <w:r w:rsidRPr="00527711">
              <w:t>5</w:t>
            </w:r>
          </w:p>
        </w:tc>
        <w:tc>
          <w:tcPr>
            <w:tcW w:w="3105" w:type="pct"/>
            <w:tcBorders>
              <w:top w:val="nil"/>
              <w:bottom w:val="nil"/>
            </w:tcBorders>
            <w:shd w:val="clear" w:color="auto" w:fill="auto"/>
          </w:tcPr>
          <w:p w:rsidR="0012309C" w:rsidRPr="00527711" w:rsidRDefault="0012309C" w:rsidP="000B177A">
            <w:pPr>
              <w:pStyle w:val="Tabletext"/>
              <w:ind w:right="-52"/>
            </w:pPr>
            <w:r w:rsidRPr="00527711">
              <w:t>Application fee under paragraph</w:t>
            </w:r>
            <w:r w:rsidR="00527711" w:rsidRPr="00527711">
              <w:t> </w:t>
            </w:r>
            <w:r w:rsidRPr="00527711">
              <w:t>9D(7)(f) of the Act, for any of the following requests in relation to up to 20 entries in the Register:</w:t>
            </w:r>
          </w:p>
        </w:tc>
        <w:tc>
          <w:tcPr>
            <w:tcW w:w="1228" w:type="pct"/>
            <w:tcBorders>
              <w:top w:val="nil"/>
              <w:bottom w:val="nil"/>
            </w:tcBorders>
            <w:shd w:val="clear" w:color="auto" w:fill="auto"/>
          </w:tcPr>
          <w:p w:rsidR="0012309C" w:rsidRPr="00527711" w:rsidRDefault="0012309C" w:rsidP="000B177A">
            <w:pPr>
              <w:pStyle w:val="Tabletext"/>
            </w:pPr>
          </w:p>
        </w:tc>
      </w:tr>
      <w:tr w:rsidR="0012309C" w:rsidRPr="00527711" w:rsidTr="000B177A">
        <w:tc>
          <w:tcPr>
            <w:tcW w:w="667" w:type="pct"/>
            <w:tcBorders>
              <w:top w:val="nil"/>
              <w:bottom w:val="nil"/>
            </w:tcBorders>
            <w:shd w:val="clear" w:color="auto" w:fill="auto"/>
          </w:tcPr>
          <w:p w:rsidR="0012309C" w:rsidRPr="00527711" w:rsidRDefault="0012309C" w:rsidP="000B177A">
            <w:pPr>
              <w:pStyle w:val="Tabletext"/>
            </w:pPr>
          </w:p>
        </w:tc>
        <w:tc>
          <w:tcPr>
            <w:tcW w:w="3105" w:type="pct"/>
            <w:tcBorders>
              <w:top w:val="nil"/>
              <w:bottom w:val="nil"/>
            </w:tcBorders>
            <w:shd w:val="clear" w:color="auto" w:fill="auto"/>
          </w:tcPr>
          <w:p w:rsidR="0012309C" w:rsidRPr="00527711" w:rsidRDefault="0012309C" w:rsidP="000B177A">
            <w:pPr>
              <w:pStyle w:val="Tabletext"/>
              <w:ind w:right="-52"/>
            </w:pPr>
            <w:r w:rsidRPr="00527711">
              <w:t>(a) a C1 (section</w:t>
            </w:r>
            <w:r w:rsidR="00527711" w:rsidRPr="00527711">
              <w:t> </w:t>
            </w:r>
            <w:r w:rsidRPr="00527711">
              <w:t>9D) application</w:t>
            </w:r>
          </w:p>
        </w:tc>
        <w:tc>
          <w:tcPr>
            <w:tcW w:w="1228" w:type="pct"/>
            <w:tcBorders>
              <w:top w:val="nil"/>
              <w:bottom w:val="nil"/>
            </w:tcBorders>
            <w:shd w:val="clear" w:color="auto" w:fill="auto"/>
          </w:tcPr>
          <w:p w:rsidR="0012309C" w:rsidRPr="00527711" w:rsidRDefault="0012309C" w:rsidP="000B177A">
            <w:pPr>
              <w:pStyle w:val="Tabletext"/>
            </w:pPr>
            <w:r w:rsidRPr="00527711">
              <w:t>1,620</w:t>
            </w:r>
          </w:p>
        </w:tc>
      </w:tr>
      <w:tr w:rsidR="0012309C" w:rsidRPr="00527711" w:rsidTr="000B177A">
        <w:tc>
          <w:tcPr>
            <w:tcW w:w="667" w:type="pct"/>
            <w:tcBorders>
              <w:top w:val="nil"/>
              <w:bottom w:val="nil"/>
              <w:right w:val="nil"/>
            </w:tcBorders>
            <w:shd w:val="clear" w:color="auto" w:fill="auto"/>
          </w:tcPr>
          <w:p w:rsidR="0012309C" w:rsidRPr="00527711" w:rsidRDefault="0012309C" w:rsidP="000B177A">
            <w:pPr>
              <w:pStyle w:val="Tabletext"/>
            </w:pPr>
          </w:p>
        </w:tc>
        <w:tc>
          <w:tcPr>
            <w:tcW w:w="3105" w:type="pct"/>
            <w:tcBorders>
              <w:top w:val="nil"/>
              <w:left w:val="nil"/>
              <w:bottom w:val="nil"/>
              <w:right w:val="nil"/>
            </w:tcBorders>
            <w:shd w:val="clear" w:color="auto" w:fill="auto"/>
          </w:tcPr>
          <w:p w:rsidR="0012309C" w:rsidRPr="00527711" w:rsidRDefault="0012309C" w:rsidP="000B177A">
            <w:pPr>
              <w:pStyle w:val="Tablea"/>
            </w:pPr>
            <w:r w:rsidRPr="00527711">
              <w:t>(b) a C2 (section</w:t>
            </w:r>
            <w:r w:rsidR="00527711" w:rsidRPr="00527711">
              <w:t> </w:t>
            </w:r>
            <w:r w:rsidRPr="00527711">
              <w:t>9D) application</w:t>
            </w:r>
          </w:p>
        </w:tc>
        <w:tc>
          <w:tcPr>
            <w:tcW w:w="1228" w:type="pct"/>
            <w:tcBorders>
              <w:top w:val="nil"/>
              <w:left w:val="nil"/>
              <w:bottom w:val="nil"/>
            </w:tcBorders>
            <w:shd w:val="clear" w:color="auto" w:fill="auto"/>
          </w:tcPr>
          <w:p w:rsidR="0012309C" w:rsidRPr="00527711" w:rsidRDefault="0012309C" w:rsidP="000B177A">
            <w:pPr>
              <w:pStyle w:val="Tabletext"/>
            </w:pPr>
            <w:r w:rsidRPr="00527711">
              <w:t>5,620</w:t>
            </w:r>
          </w:p>
        </w:tc>
      </w:tr>
      <w:tr w:rsidR="0012309C" w:rsidRPr="00527711" w:rsidTr="000B177A">
        <w:tc>
          <w:tcPr>
            <w:tcW w:w="667" w:type="pct"/>
            <w:tcBorders>
              <w:top w:val="nil"/>
              <w:bottom w:val="nil"/>
              <w:right w:val="nil"/>
            </w:tcBorders>
            <w:shd w:val="clear" w:color="auto" w:fill="auto"/>
          </w:tcPr>
          <w:p w:rsidR="0012309C" w:rsidRPr="00527711" w:rsidRDefault="0012309C" w:rsidP="000B177A">
            <w:pPr>
              <w:pStyle w:val="Tabletext"/>
            </w:pPr>
          </w:p>
        </w:tc>
        <w:tc>
          <w:tcPr>
            <w:tcW w:w="3105" w:type="pct"/>
            <w:tcBorders>
              <w:top w:val="nil"/>
              <w:left w:val="nil"/>
              <w:bottom w:val="nil"/>
              <w:right w:val="nil"/>
            </w:tcBorders>
            <w:shd w:val="clear" w:color="auto" w:fill="auto"/>
          </w:tcPr>
          <w:p w:rsidR="0012309C" w:rsidRPr="00527711" w:rsidRDefault="0012309C" w:rsidP="000B177A">
            <w:pPr>
              <w:pStyle w:val="Tablea"/>
            </w:pPr>
            <w:r w:rsidRPr="00527711">
              <w:t>(c) a C3 (section</w:t>
            </w:r>
            <w:r w:rsidR="00527711" w:rsidRPr="00527711">
              <w:t> </w:t>
            </w:r>
            <w:r w:rsidRPr="00527711">
              <w:t>9D) application</w:t>
            </w:r>
          </w:p>
        </w:tc>
        <w:tc>
          <w:tcPr>
            <w:tcW w:w="1228" w:type="pct"/>
            <w:tcBorders>
              <w:top w:val="nil"/>
              <w:left w:val="nil"/>
              <w:bottom w:val="nil"/>
            </w:tcBorders>
            <w:shd w:val="clear" w:color="auto" w:fill="auto"/>
          </w:tcPr>
          <w:p w:rsidR="0012309C" w:rsidRPr="00527711" w:rsidRDefault="0012309C" w:rsidP="000B177A">
            <w:pPr>
              <w:pStyle w:val="Tabletext"/>
            </w:pPr>
            <w:r w:rsidRPr="00527711">
              <w:t>8,330</w:t>
            </w:r>
          </w:p>
        </w:tc>
      </w:tr>
      <w:tr w:rsidR="0012309C" w:rsidRPr="00527711" w:rsidTr="000B177A">
        <w:tblPrEx>
          <w:tblCellMar>
            <w:left w:w="107" w:type="dxa"/>
            <w:right w:w="107" w:type="dxa"/>
          </w:tblCellMar>
        </w:tblPrEx>
        <w:tc>
          <w:tcPr>
            <w:tcW w:w="667" w:type="pct"/>
            <w:tcBorders>
              <w:top w:val="nil"/>
              <w:bottom w:val="nil"/>
              <w:right w:val="nil"/>
            </w:tcBorders>
            <w:shd w:val="clear" w:color="auto" w:fill="auto"/>
          </w:tcPr>
          <w:p w:rsidR="0012309C" w:rsidRPr="00527711" w:rsidRDefault="0012309C" w:rsidP="000B177A">
            <w:pPr>
              <w:pStyle w:val="Tabletext"/>
            </w:pPr>
          </w:p>
        </w:tc>
        <w:tc>
          <w:tcPr>
            <w:tcW w:w="3105" w:type="pct"/>
            <w:tcBorders>
              <w:top w:val="nil"/>
              <w:left w:val="nil"/>
              <w:bottom w:val="nil"/>
              <w:right w:val="nil"/>
            </w:tcBorders>
            <w:shd w:val="clear" w:color="auto" w:fill="auto"/>
          </w:tcPr>
          <w:p w:rsidR="0012309C" w:rsidRPr="00527711" w:rsidRDefault="0012309C" w:rsidP="000B177A">
            <w:pPr>
              <w:pStyle w:val="Tablea"/>
            </w:pPr>
            <w:r w:rsidRPr="00527711">
              <w:t>(d) a C4 (section</w:t>
            </w:r>
            <w:r w:rsidR="00527711" w:rsidRPr="00527711">
              <w:t> </w:t>
            </w:r>
            <w:r w:rsidRPr="00527711">
              <w:t>9D) application</w:t>
            </w:r>
          </w:p>
        </w:tc>
        <w:tc>
          <w:tcPr>
            <w:tcW w:w="1228" w:type="pct"/>
            <w:tcBorders>
              <w:top w:val="nil"/>
              <w:left w:val="nil"/>
              <w:bottom w:val="nil"/>
            </w:tcBorders>
            <w:shd w:val="clear" w:color="auto" w:fill="auto"/>
          </w:tcPr>
          <w:p w:rsidR="0012309C" w:rsidRPr="00527711" w:rsidRDefault="0012309C" w:rsidP="000B177A">
            <w:pPr>
              <w:pStyle w:val="Tabletext"/>
            </w:pPr>
            <w:r w:rsidRPr="00527711">
              <w:t>11,400</w:t>
            </w:r>
          </w:p>
        </w:tc>
      </w:tr>
    </w:tbl>
    <w:p w:rsidR="00E753F5" w:rsidRPr="00527711" w:rsidRDefault="00E753F5" w:rsidP="00B849C1">
      <w:pPr>
        <w:pStyle w:val="Tabletext"/>
      </w:pPr>
    </w:p>
    <w:sectPr w:rsidR="00E753F5" w:rsidRPr="00527711" w:rsidSect="005C141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2C" w:rsidRDefault="007B4A2C" w:rsidP="0048364F">
      <w:pPr>
        <w:spacing w:line="240" w:lineRule="auto"/>
      </w:pPr>
      <w:r>
        <w:separator/>
      </w:r>
    </w:p>
  </w:endnote>
  <w:endnote w:type="continuationSeparator" w:id="0">
    <w:p w:rsidR="007B4A2C" w:rsidRDefault="007B4A2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5C1416" w:rsidRDefault="005C1416" w:rsidP="005C1416">
    <w:pPr>
      <w:pStyle w:val="Footer"/>
      <w:tabs>
        <w:tab w:val="clear" w:pos="4153"/>
        <w:tab w:val="clear" w:pos="8306"/>
        <w:tab w:val="center" w:pos="4150"/>
        <w:tab w:val="right" w:pos="8307"/>
      </w:tabs>
      <w:spacing w:before="120"/>
      <w:rPr>
        <w:i/>
        <w:sz w:val="18"/>
      </w:rPr>
    </w:pPr>
    <w:r w:rsidRPr="005C1416">
      <w:rPr>
        <w:i/>
        <w:sz w:val="18"/>
      </w:rPr>
      <w:t>OPC62847 -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Default="007B4A2C" w:rsidP="00E97334"/>
  <w:p w:rsidR="007B4A2C" w:rsidRPr="005C1416" w:rsidRDefault="005C1416" w:rsidP="005C1416">
    <w:pPr>
      <w:rPr>
        <w:rFonts w:cs="Times New Roman"/>
        <w:i/>
        <w:sz w:val="18"/>
      </w:rPr>
    </w:pPr>
    <w:r w:rsidRPr="005C1416">
      <w:rPr>
        <w:rFonts w:cs="Times New Roman"/>
        <w:i/>
        <w:sz w:val="18"/>
      </w:rPr>
      <w:t>OPC62847 -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5C1416" w:rsidRDefault="005C1416" w:rsidP="005C1416">
    <w:pPr>
      <w:pStyle w:val="Footer"/>
      <w:tabs>
        <w:tab w:val="clear" w:pos="4153"/>
        <w:tab w:val="clear" w:pos="8306"/>
        <w:tab w:val="center" w:pos="4150"/>
        <w:tab w:val="right" w:pos="8307"/>
      </w:tabs>
      <w:spacing w:before="120"/>
      <w:rPr>
        <w:i/>
        <w:sz w:val="18"/>
      </w:rPr>
    </w:pPr>
    <w:r w:rsidRPr="005C1416">
      <w:rPr>
        <w:i/>
        <w:sz w:val="18"/>
      </w:rPr>
      <w:t>OPC62847 -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33C1C" w:rsidRDefault="007B4A2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A2C" w:rsidTr="00527711">
      <w:tc>
        <w:tcPr>
          <w:tcW w:w="709" w:type="dxa"/>
          <w:tcBorders>
            <w:top w:val="nil"/>
            <w:left w:val="nil"/>
            <w:bottom w:val="nil"/>
            <w:right w:val="nil"/>
          </w:tcBorders>
        </w:tcPr>
        <w:p w:rsidR="007B4A2C" w:rsidRDefault="007B4A2C" w:rsidP="003B40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713">
            <w:rPr>
              <w:i/>
              <w:noProof/>
              <w:sz w:val="18"/>
            </w:rPr>
            <w:t>xiv</w:t>
          </w:r>
          <w:r w:rsidRPr="00ED79B6">
            <w:rPr>
              <w:i/>
              <w:sz w:val="18"/>
            </w:rPr>
            <w:fldChar w:fldCharType="end"/>
          </w:r>
        </w:p>
      </w:tc>
      <w:tc>
        <w:tcPr>
          <w:tcW w:w="6379" w:type="dxa"/>
          <w:tcBorders>
            <w:top w:val="nil"/>
            <w:left w:val="nil"/>
            <w:bottom w:val="nil"/>
            <w:right w:val="nil"/>
          </w:tcBorders>
        </w:tcPr>
        <w:p w:rsidR="007B4A2C" w:rsidRDefault="007B4A2C" w:rsidP="003B4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21BF">
            <w:rPr>
              <w:i/>
              <w:sz w:val="18"/>
            </w:rPr>
            <w:t>Therapeutic Goods Legislation Amendment (2018 Measures No. 2) Regulations 2018</w:t>
          </w:r>
          <w:r w:rsidRPr="007A1328">
            <w:rPr>
              <w:i/>
              <w:sz w:val="18"/>
            </w:rPr>
            <w:fldChar w:fldCharType="end"/>
          </w:r>
        </w:p>
      </w:tc>
      <w:tc>
        <w:tcPr>
          <w:tcW w:w="1384" w:type="dxa"/>
          <w:tcBorders>
            <w:top w:val="nil"/>
            <w:left w:val="nil"/>
            <w:bottom w:val="nil"/>
            <w:right w:val="nil"/>
          </w:tcBorders>
        </w:tcPr>
        <w:p w:rsidR="007B4A2C" w:rsidRDefault="007B4A2C" w:rsidP="003B40D0">
          <w:pPr>
            <w:spacing w:line="0" w:lineRule="atLeast"/>
            <w:jc w:val="right"/>
            <w:rPr>
              <w:sz w:val="18"/>
            </w:rPr>
          </w:pPr>
        </w:p>
      </w:tc>
    </w:tr>
  </w:tbl>
  <w:p w:rsidR="007B4A2C" w:rsidRPr="005C1416" w:rsidRDefault="005C1416" w:rsidP="005C1416">
    <w:pPr>
      <w:rPr>
        <w:rFonts w:cs="Times New Roman"/>
        <w:i/>
        <w:sz w:val="18"/>
      </w:rPr>
    </w:pPr>
    <w:r w:rsidRPr="005C1416">
      <w:rPr>
        <w:rFonts w:cs="Times New Roman"/>
        <w:i/>
        <w:sz w:val="18"/>
      </w:rPr>
      <w:t>OPC62847 -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33C1C" w:rsidRDefault="007B4A2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B4A2C" w:rsidTr="00527711">
      <w:tc>
        <w:tcPr>
          <w:tcW w:w="1383" w:type="dxa"/>
          <w:tcBorders>
            <w:top w:val="nil"/>
            <w:left w:val="nil"/>
            <w:bottom w:val="nil"/>
            <w:right w:val="nil"/>
          </w:tcBorders>
        </w:tcPr>
        <w:p w:rsidR="007B4A2C" w:rsidRDefault="007B4A2C" w:rsidP="003B40D0">
          <w:pPr>
            <w:spacing w:line="0" w:lineRule="atLeast"/>
            <w:rPr>
              <w:sz w:val="18"/>
            </w:rPr>
          </w:pPr>
        </w:p>
      </w:tc>
      <w:tc>
        <w:tcPr>
          <w:tcW w:w="6379" w:type="dxa"/>
          <w:tcBorders>
            <w:top w:val="nil"/>
            <w:left w:val="nil"/>
            <w:bottom w:val="nil"/>
            <w:right w:val="nil"/>
          </w:tcBorders>
        </w:tcPr>
        <w:p w:rsidR="007B4A2C" w:rsidRDefault="007B4A2C" w:rsidP="003B4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21BF">
            <w:rPr>
              <w:i/>
              <w:sz w:val="18"/>
            </w:rPr>
            <w:t>Therapeutic Goods Legislation Amendment (2018 Measures No. 2) Regulations 2018</w:t>
          </w:r>
          <w:r w:rsidRPr="007A1328">
            <w:rPr>
              <w:i/>
              <w:sz w:val="18"/>
            </w:rPr>
            <w:fldChar w:fldCharType="end"/>
          </w:r>
        </w:p>
      </w:tc>
      <w:tc>
        <w:tcPr>
          <w:tcW w:w="710" w:type="dxa"/>
          <w:tcBorders>
            <w:top w:val="nil"/>
            <w:left w:val="nil"/>
            <w:bottom w:val="nil"/>
            <w:right w:val="nil"/>
          </w:tcBorders>
        </w:tcPr>
        <w:p w:rsidR="007B4A2C" w:rsidRDefault="007B4A2C" w:rsidP="003B4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EEC">
            <w:rPr>
              <w:i/>
              <w:noProof/>
              <w:sz w:val="18"/>
            </w:rPr>
            <w:t>i</w:t>
          </w:r>
          <w:r w:rsidRPr="00ED79B6">
            <w:rPr>
              <w:i/>
              <w:sz w:val="18"/>
            </w:rPr>
            <w:fldChar w:fldCharType="end"/>
          </w:r>
        </w:p>
      </w:tc>
    </w:tr>
  </w:tbl>
  <w:p w:rsidR="007B4A2C" w:rsidRPr="005C1416" w:rsidRDefault="005C1416" w:rsidP="005C1416">
    <w:pPr>
      <w:rPr>
        <w:rFonts w:cs="Times New Roman"/>
        <w:i/>
        <w:sz w:val="18"/>
      </w:rPr>
    </w:pPr>
    <w:r w:rsidRPr="005C1416">
      <w:rPr>
        <w:rFonts w:cs="Times New Roman"/>
        <w:i/>
        <w:sz w:val="18"/>
      </w:rPr>
      <w:t>OPC62847 -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33C1C" w:rsidRDefault="007B4A2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B4A2C" w:rsidTr="00527711">
      <w:tc>
        <w:tcPr>
          <w:tcW w:w="709" w:type="dxa"/>
          <w:tcBorders>
            <w:top w:val="nil"/>
            <w:left w:val="nil"/>
            <w:bottom w:val="nil"/>
            <w:right w:val="nil"/>
          </w:tcBorders>
        </w:tcPr>
        <w:p w:rsidR="007B4A2C" w:rsidRDefault="007B4A2C" w:rsidP="003B40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EEC">
            <w:rPr>
              <w:i/>
              <w:noProof/>
              <w:sz w:val="18"/>
            </w:rPr>
            <w:t>14</w:t>
          </w:r>
          <w:r w:rsidRPr="00ED79B6">
            <w:rPr>
              <w:i/>
              <w:sz w:val="18"/>
            </w:rPr>
            <w:fldChar w:fldCharType="end"/>
          </w:r>
        </w:p>
      </w:tc>
      <w:tc>
        <w:tcPr>
          <w:tcW w:w="6379" w:type="dxa"/>
          <w:tcBorders>
            <w:top w:val="nil"/>
            <w:left w:val="nil"/>
            <w:bottom w:val="nil"/>
            <w:right w:val="nil"/>
          </w:tcBorders>
        </w:tcPr>
        <w:p w:rsidR="007B4A2C" w:rsidRDefault="007B4A2C" w:rsidP="003B4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21BF">
            <w:rPr>
              <w:i/>
              <w:sz w:val="18"/>
            </w:rPr>
            <w:t>Therapeutic Goods Legislation Amendment (2018 Measures No. 2) Regulations 2018</w:t>
          </w:r>
          <w:r w:rsidRPr="007A1328">
            <w:rPr>
              <w:i/>
              <w:sz w:val="18"/>
            </w:rPr>
            <w:fldChar w:fldCharType="end"/>
          </w:r>
        </w:p>
      </w:tc>
      <w:tc>
        <w:tcPr>
          <w:tcW w:w="1384" w:type="dxa"/>
          <w:tcBorders>
            <w:top w:val="nil"/>
            <w:left w:val="nil"/>
            <w:bottom w:val="nil"/>
            <w:right w:val="nil"/>
          </w:tcBorders>
        </w:tcPr>
        <w:p w:rsidR="007B4A2C" w:rsidRDefault="007B4A2C" w:rsidP="003B40D0">
          <w:pPr>
            <w:spacing w:line="0" w:lineRule="atLeast"/>
            <w:jc w:val="right"/>
            <w:rPr>
              <w:sz w:val="18"/>
            </w:rPr>
          </w:pPr>
        </w:p>
      </w:tc>
    </w:tr>
  </w:tbl>
  <w:p w:rsidR="007B4A2C" w:rsidRPr="005C1416" w:rsidRDefault="005C1416" w:rsidP="005C1416">
    <w:pPr>
      <w:rPr>
        <w:rFonts w:cs="Times New Roman"/>
        <w:i/>
        <w:sz w:val="18"/>
      </w:rPr>
    </w:pPr>
    <w:r w:rsidRPr="005C1416">
      <w:rPr>
        <w:rFonts w:cs="Times New Roman"/>
        <w:i/>
        <w:sz w:val="18"/>
      </w:rPr>
      <w:t>OPC62847 -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33C1C" w:rsidRDefault="007B4A2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4A2C" w:rsidTr="003B40D0">
      <w:tc>
        <w:tcPr>
          <w:tcW w:w="1384" w:type="dxa"/>
          <w:tcBorders>
            <w:top w:val="nil"/>
            <w:left w:val="nil"/>
            <w:bottom w:val="nil"/>
            <w:right w:val="nil"/>
          </w:tcBorders>
        </w:tcPr>
        <w:p w:rsidR="007B4A2C" w:rsidRDefault="007B4A2C" w:rsidP="003B40D0">
          <w:pPr>
            <w:spacing w:line="0" w:lineRule="atLeast"/>
            <w:rPr>
              <w:sz w:val="18"/>
            </w:rPr>
          </w:pPr>
        </w:p>
      </w:tc>
      <w:tc>
        <w:tcPr>
          <w:tcW w:w="6379" w:type="dxa"/>
          <w:tcBorders>
            <w:top w:val="nil"/>
            <w:left w:val="nil"/>
            <w:bottom w:val="nil"/>
            <w:right w:val="nil"/>
          </w:tcBorders>
        </w:tcPr>
        <w:p w:rsidR="007B4A2C" w:rsidRDefault="007B4A2C" w:rsidP="003B4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21BF">
            <w:rPr>
              <w:i/>
              <w:sz w:val="18"/>
            </w:rPr>
            <w:t>Therapeutic Goods Legislation Amendment (2018 Measures No. 2) Regulations 2018</w:t>
          </w:r>
          <w:r w:rsidRPr="007A1328">
            <w:rPr>
              <w:i/>
              <w:sz w:val="18"/>
            </w:rPr>
            <w:fldChar w:fldCharType="end"/>
          </w:r>
        </w:p>
      </w:tc>
      <w:tc>
        <w:tcPr>
          <w:tcW w:w="709" w:type="dxa"/>
          <w:tcBorders>
            <w:top w:val="nil"/>
            <w:left w:val="nil"/>
            <w:bottom w:val="nil"/>
            <w:right w:val="nil"/>
          </w:tcBorders>
        </w:tcPr>
        <w:p w:rsidR="007B4A2C" w:rsidRDefault="007B4A2C" w:rsidP="003B4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EEC">
            <w:rPr>
              <w:i/>
              <w:noProof/>
              <w:sz w:val="18"/>
            </w:rPr>
            <w:t>1</w:t>
          </w:r>
          <w:r w:rsidRPr="00ED79B6">
            <w:rPr>
              <w:i/>
              <w:sz w:val="18"/>
            </w:rPr>
            <w:fldChar w:fldCharType="end"/>
          </w:r>
        </w:p>
      </w:tc>
    </w:tr>
  </w:tbl>
  <w:p w:rsidR="007B4A2C" w:rsidRPr="005C1416" w:rsidRDefault="005C1416" w:rsidP="005C1416">
    <w:pPr>
      <w:rPr>
        <w:rFonts w:cs="Times New Roman"/>
        <w:i/>
        <w:sz w:val="18"/>
      </w:rPr>
    </w:pPr>
    <w:r w:rsidRPr="005C1416">
      <w:rPr>
        <w:rFonts w:cs="Times New Roman"/>
        <w:i/>
        <w:sz w:val="18"/>
      </w:rPr>
      <w:t>OPC62847 -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33C1C" w:rsidRDefault="007B4A2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B4A2C" w:rsidTr="007A6863">
      <w:tc>
        <w:tcPr>
          <w:tcW w:w="1384" w:type="dxa"/>
          <w:tcBorders>
            <w:top w:val="nil"/>
            <w:left w:val="nil"/>
            <w:bottom w:val="nil"/>
            <w:right w:val="nil"/>
          </w:tcBorders>
        </w:tcPr>
        <w:p w:rsidR="007B4A2C" w:rsidRDefault="007B4A2C" w:rsidP="003B40D0">
          <w:pPr>
            <w:spacing w:line="0" w:lineRule="atLeast"/>
            <w:rPr>
              <w:sz w:val="18"/>
            </w:rPr>
          </w:pPr>
        </w:p>
      </w:tc>
      <w:tc>
        <w:tcPr>
          <w:tcW w:w="6379" w:type="dxa"/>
          <w:tcBorders>
            <w:top w:val="nil"/>
            <w:left w:val="nil"/>
            <w:bottom w:val="nil"/>
            <w:right w:val="nil"/>
          </w:tcBorders>
        </w:tcPr>
        <w:p w:rsidR="007B4A2C" w:rsidRDefault="007B4A2C" w:rsidP="003B40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21BF">
            <w:rPr>
              <w:i/>
              <w:sz w:val="18"/>
            </w:rPr>
            <w:t>Therapeutic Goods Legislation Amendment (2018 Measures No. 2) Regulations 2018</w:t>
          </w:r>
          <w:r w:rsidRPr="007A1328">
            <w:rPr>
              <w:i/>
              <w:sz w:val="18"/>
            </w:rPr>
            <w:fldChar w:fldCharType="end"/>
          </w:r>
        </w:p>
      </w:tc>
      <w:tc>
        <w:tcPr>
          <w:tcW w:w="709" w:type="dxa"/>
          <w:tcBorders>
            <w:top w:val="nil"/>
            <w:left w:val="nil"/>
            <w:bottom w:val="nil"/>
            <w:right w:val="nil"/>
          </w:tcBorders>
        </w:tcPr>
        <w:p w:rsidR="007B4A2C" w:rsidRDefault="007B4A2C" w:rsidP="003B40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2713">
            <w:rPr>
              <w:i/>
              <w:noProof/>
              <w:sz w:val="18"/>
            </w:rPr>
            <w:t>14</w:t>
          </w:r>
          <w:r w:rsidRPr="00ED79B6">
            <w:rPr>
              <w:i/>
              <w:sz w:val="18"/>
            </w:rPr>
            <w:fldChar w:fldCharType="end"/>
          </w:r>
        </w:p>
      </w:tc>
    </w:tr>
  </w:tbl>
  <w:p w:rsidR="007B4A2C" w:rsidRPr="005C1416" w:rsidRDefault="005C1416" w:rsidP="005C1416">
    <w:pPr>
      <w:rPr>
        <w:rFonts w:cs="Times New Roman"/>
        <w:i/>
        <w:sz w:val="18"/>
      </w:rPr>
    </w:pPr>
    <w:r w:rsidRPr="005C1416">
      <w:rPr>
        <w:rFonts w:cs="Times New Roman"/>
        <w:i/>
        <w:sz w:val="18"/>
      </w:rPr>
      <w:t>OPC62847 -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2C" w:rsidRDefault="007B4A2C" w:rsidP="0048364F">
      <w:pPr>
        <w:spacing w:line="240" w:lineRule="auto"/>
      </w:pPr>
      <w:r>
        <w:separator/>
      </w:r>
    </w:p>
  </w:footnote>
  <w:footnote w:type="continuationSeparator" w:id="0">
    <w:p w:rsidR="007B4A2C" w:rsidRDefault="007B4A2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5F1388" w:rsidRDefault="007B4A2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5F1388" w:rsidRDefault="007B4A2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5F1388" w:rsidRDefault="007B4A2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D79B6" w:rsidRDefault="007B4A2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D79B6" w:rsidRDefault="007B4A2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ED79B6" w:rsidRDefault="007B4A2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A961C4" w:rsidRDefault="007B4A2C" w:rsidP="0048364F">
    <w:pPr>
      <w:rPr>
        <w:b/>
        <w:sz w:val="20"/>
      </w:rPr>
    </w:pPr>
    <w:r>
      <w:rPr>
        <w:b/>
        <w:sz w:val="20"/>
      </w:rPr>
      <w:fldChar w:fldCharType="begin"/>
    </w:r>
    <w:r>
      <w:rPr>
        <w:b/>
        <w:sz w:val="20"/>
      </w:rPr>
      <w:instrText xml:space="preserve"> STYLEREF CharAmSchNo </w:instrText>
    </w:r>
    <w:r>
      <w:rPr>
        <w:b/>
        <w:sz w:val="20"/>
      </w:rPr>
      <w:fldChar w:fldCharType="separate"/>
    </w:r>
    <w:r w:rsidR="00E47EE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47EEC">
      <w:rPr>
        <w:noProof/>
        <w:sz w:val="20"/>
      </w:rPr>
      <w:t>Amendments</w:t>
    </w:r>
    <w:r>
      <w:rPr>
        <w:sz w:val="20"/>
      </w:rPr>
      <w:fldChar w:fldCharType="end"/>
    </w:r>
  </w:p>
  <w:p w:rsidR="007B4A2C" w:rsidRPr="00A961C4" w:rsidRDefault="007B4A2C" w:rsidP="0048364F">
    <w:pPr>
      <w:rPr>
        <w:b/>
        <w:sz w:val="20"/>
      </w:rPr>
    </w:pPr>
    <w:r>
      <w:rPr>
        <w:b/>
        <w:sz w:val="20"/>
      </w:rPr>
      <w:fldChar w:fldCharType="begin"/>
    </w:r>
    <w:r>
      <w:rPr>
        <w:b/>
        <w:sz w:val="20"/>
      </w:rPr>
      <w:instrText xml:space="preserve"> STYLEREF CharAmPartNo </w:instrText>
    </w:r>
    <w:r>
      <w:rPr>
        <w:b/>
        <w:sz w:val="20"/>
      </w:rPr>
      <w:fldChar w:fldCharType="separate"/>
    </w:r>
    <w:r w:rsidR="00E47EEC">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E47EEC">
      <w:rPr>
        <w:noProof/>
        <w:sz w:val="20"/>
      </w:rPr>
      <w:t>Variation fees for OTC medicines</w:t>
    </w:r>
    <w:r>
      <w:rPr>
        <w:sz w:val="20"/>
      </w:rPr>
      <w:fldChar w:fldCharType="end"/>
    </w:r>
  </w:p>
  <w:p w:rsidR="007B4A2C" w:rsidRPr="00A961C4" w:rsidRDefault="007B4A2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A961C4" w:rsidRDefault="007B4A2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B4A2C" w:rsidRPr="00A961C4" w:rsidRDefault="007B4A2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B4A2C" w:rsidRPr="00A961C4" w:rsidRDefault="007B4A2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2C" w:rsidRPr="00A961C4" w:rsidRDefault="007B4A2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2"/>
    <w:rsid w:val="00000263"/>
    <w:rsid w:val="00001402"/>
    <w:rsid w:val="00004E3C"/>
    <w:rsid w:val="00006D11"/>
    <w:rsid w:val="000113BC"/>
    <w:rsid w:val="000136AF"/>
    <w:rsid w:val="00014C62"/>
    <w:rsid w:val="00026669"/>
    <w:rsid w:val="00036E5A"/>
    <w:rsid w:val="0004044E"/>
    <w:rsid w:val="00043D0F"/>
    <w:rsid w:val="0005120E"/>
    <w:rsid w:val="00054577"/>
    <w:rsid w:val="000614BF"/>
    <w:rsid w:val="00070C7C"/>
    <w:rsid w:val="0007169C"/>
    <w:rsid w:val="00074C12"/>
    <w:rsid w:val="00077593"/>
    <w:rsid w:val="00083F48"/>
    <w:rsid w:val="00084782"/>
    <w:rsid w:val="00085CB7"/>
    <w:rsid w:val="00095F2D"/>
    <w:rsid w:val="00097C9C"/>
    <w:rsid w:val="000A6CF4"/>
    <w:rsid w:val="000A79DE"/>
    <w:rsid w:val="000A7DF9"/>
    <w:rsid w:val="000B177A"/>
    <w:rsid w:val="000B24B5"/>
    <w:rsid w:val="000C0D58"/>
    <w:rsid w:val="000C1FBD"/>
    <w:rsid w:val="000C5C0F"/>
    <w:rsid w:val="000D05EF"/>
    <w:rsid w:val="000D33B0"/>
    <w:rsid w:val="000D4E9B"/>
    <w:rsid w:val="000D5485"/>
    <w:rsid w:val="000D7EA3"/>
    <w:rsid w:val="000E0139"/>
    <w:rsid w:val="000E2611"/>
    <w:rsid w:val="000F21C1"/>
    <w:rsid w:val="000F3561"/>
    <w:rsid w:val="001038B5"/>
    <w:rsid w:val="00105D72"/>
    <w:rsid w:val="0010745C"/>
    <w:rsid w:val="00113B7E"/>
    <w:rsid w:val="00117277"/>
    <w:rsid w:val="0012309C"/>
    <w:rsid w:val="001239A9"/>
    <w:rsid w:val="001307A0"/>
    <w:rsid w:val="00131F5A"/>
    <w:rsid w:val="00134C4B"/>
    <w:rsid w:val="00136420"/>
    <w:rsid w:val="00136DD5"/>
    <w:rsid w:val="001559B1"/>
    <w:rsid w:val="00160BD7"/>
    <w:rsid w:val="001643C9"/>
    <w:rsid w:val="00165568"/>
    <w:rsid w:val="00166082"/>
    <w:rsid w:val="00166C2F"/>
    <w:rsid w:val="001716C9"/>
    <w:rsid w:val="00174FF4"/>
    <w:rsid w:val="001817EC"/>
    <w:rsid w:val="00184261"/>
    <w:rsid w:val="00191FFE"/>
    <w:rsid w:val="00193461"/>
    <w:rsid w:val="001939E1"/>
    <w:rsid w:val="00195382"/>
    <w:rsid w:val="001A3B9F"/>
    <w:rsid w:val="001A65C0"/>
    <w:rsid w:val="001B4624"/>
    <w:rsid w:val="001B636E"/>
    <w:rsid w:val="001B6456"/>
    <w:rsid w:val="001B7A5D"/>
    <w:rsid w:val="001C1BB7"/>
    <w:rsid w:val="001C69C4"/>
    <w:rsid w:val="001C7E3B"/>
    <w:rsid w:val="001E0A8D"/>
    <w:rsid w:val="001E3590"/>
    <w:rsid w:val="001E4A87"/>
    <w:rsid w:val="001E7407"/>
    <w:rsid w:val="00201D27"/>
    <w:rsid w:val="0020300C"/>
    <w:rsid w:val="00220A0C"/>
    <w:rsid w:val="00222CD6"/>
    <w:rsid w:val="00223E4A"/>
    <w:rsid w:val="002302EA"/>
    <w:rsid w:val="0023463C"/>
    <w:rsid w:val="0023731D"/>
    <w:rsid w:val="002405B8"/>
    <w:rsid w:val="00240749"/>
    <w:rsid w:val="00240904"/>
    <w:rsid w:val="002468D7"/>
    <w:rsid w:val="002713EC"/>
    <w:rsid w:val="00272FCD"/>
    <w:rsid w:val="00275DCF"/>
    <w:rsid w:val="00280FFF"/>
    <w:rsid w:val="00281390"/>
    <w:rsid w:val="002857F0"/>
    <w:rsid w:val="00285CDD"/>
    <w:rsid w:val="00287E9D"/>
    <w:rsid w:val="00291167"/>
    <w:rsid w:val="00291F6C"/>
    <w:rsid w:val="00295696"/>
    <w:rsid w:val="00296DF7"/>
    <w:rsid w:val="00297ECB"/>
    <w:rsid w:val="002B0015"/>
    <w:rsid w:val="002C152A"/>
    <w:rsid w:val="002C39FA"/>
    <w:rsid w:val="002C54E2"/>
    <w:rsid w:val="002C7FB7"/>
    <w:rsid w:val="002D043A"/>
    <w:rsid w:val="002E366F"/>
    <w:rsid w:val="002E5B1A"/>
    <w:rsid w:val="002F1F1F"/>
    <w:rsid w:val="002F4A32"/>
    <w:rsid w:val="002F78F0"/>
    <w:rsid w:val="00313D01"/>
    <w:rsid w:val="0031713F"/>
    <w:rsid w:val="00320490"/>
    <w:rsid w:val="00321913"/>
    <w:rsid w:val="00324EE6"/>
    <w:rsid w:val="00325D1B"/>
    <w:rsid w:val="0032753C"/>
    <w:rsid w:val="00330DAC"/>
    <w:rsid w:val="003316DC"/>
    <w:rsid w:val="00332E0D"/>
    <w:rsid w:val="0033407A"/>
    <w:rsid w:val="003407D7"/>
    <w:rsid w:val="003415D3"/>
    <w:rsid w:val="00346335"/>
    <w:rsid w:val="003517BD"/>
    <w:rsid w:val="00352B0F"/>
    <w:rsid w:val="00353797"/>
    <w:rsid w:val="003561B0"/>
    <w:rsid w:val="00365BC0"/>
    <w:rsid w:val="003660AE"/>
    <w:rsid w:val="00367960"/>
    <w:rsid w:val="0037214E"/>
    <w:rsid w:val="00373591"/>
    <w:rsid w:val="00374B6F"/>
    <w:rsid w:val="00383E67"/>
    <w:rsid w:val="00387267"/>
    <w:rsid w:val="003A15AC"/>
    <w:rsid w:val="003A56EB"/>
    <w:rsid w:val="003B0627"/>
    <w:rsid w:val="003B0EB7"/>
    <w:rsid w:val="003B23F2"/>
    <w:rsid w:val="003B39D8"/>
    <w:rsid w:val="003B40D0"/>
    <w:rsid w:val="003B465D"/>
    <w:rsid w:val="003B5498"/>
    <w:rsid w:val="003C149E"/>
    <w:rsid w:val="003C2F2A"/>
    <w:rsid w:val="003C4EB4"/>
    <w:rsid w:val="003C5050"/>
    <w:rsid w:val="003C5F2B"/>
    <w:rsid w:val="003D0BFE"/>
    <w:rsid w:val="003D5700"/>
    <w:rsid w:val="003F0F5A"/>
    <w:rsid w:val="003F1B5E"/>
    <w:rsid w:val="003F3C9A"/>
    <w:rsid w:val="003F4CD4"/>
    <w:rsid w:val="003F52C3"/>
    <w:rsid w:val="003F67DB"/>
    <w:rsid w:val="00400A30"/>
    <w:rsid w:val="004022CA"/>
    <w:rsid w:val="00402E67"/>
    <w:rsid w:val="004050A3"/>
    <w:rsid w:val="0040562C"/>
    <w:rsid w:val="0040769B"/>
    <w:rsid w:val="004116CD"/>
    <w:rsid w:val="004122E0"/>
    <w:rsid w:val="004134EE"/>
    <w:rsid w:val="00414ADE"/>
    <w:rsid w:val="00424CA9"/>
    <w:rsid w:val="004257BB"/>
    <w:rsid w:val="004261D9"/>
    <w:rsid w:val="00426B04"/>
    <w:rsid w:val="00437B39"/>
    <w:rsid w:val="0044291A"/>
    <w:rsid w:val="00455305"/>
    <w:rsid w:val="00460499"/>
    <w:rsid w:val="00467D5B"/>
    <w:rsid w:val="00474835"/>
    <w:rsid w:val="004819C7"/>
    <w:rsid w:val="0048364F"/>
    <w:rsid w:val="00490F2E"/>
    <w:rsid w:val="00496257"/>
    <w:rsid w:val="00496DB3"/>
    <w:rsid w:val="00496F97"/>
    <w:rsid w:val="0049710A"/>
    <w:rsid w:val="00497F7D"/>
    <w:rsid w:val="004A4B5D"/>
    <w:rsid w:val="004A53EA"/>
    <w:rsid w:val="004B0E3E"/>
    <w:rsid w:val="004D0C81"/>
    <w:rsid w:val="004D3FE6"/>
    <w:rsid w:val="004D761A"/>
    <w:rsid w:val="004D7950"/>
    <w:rsid w:val="004E4A6D"/>
    <w:rsid w:val="004E62E4"/>
    <w:rsid w:val="004F1FAC"/>
    <w:rsid w:val="004F5D49"/>
    <w:rsid w:val="004F676E"/>
    <w:rsid w:val="004F6C00"/>
    <w:rsid w:val="005112E3"/>
    <w:rsid w:val="00511AAF"/>
    <w:rsid w:val="00516B8D"/>
    <w:rsid w:val="0052558F"/>
    <w:rsid w:val="0052686F"/>
    <w:rsid w:val="0052756C"/>
    <w:rsid w:val="00527711"/>
    <w:rsid w:val="00530230"/>
    <w:rsid w:val="00530CC9"/>
    <w:rsid w:val="00537FBC"/>
    <w:rsid w:val="005412C8"/>
    <w:rsid w:val="00541D73"/>
    <w:rsid w:val="00543469"/>
    <w:rsid w:val="005450B9"/>
    <w:rsid w:val="005452CC"/>
    <w:rsid w:val="00546FA3"/>
    <w:rsid w:val="005505F0"/>
    <w:rsid w:val="00553ED8"/>
    <w:rsid w:val="00554243"/>
    <w:rsid w:val="00557C7A"/>
    <w:rsid w:val="0056023F"/>
    <w:rsid w:val="0056224B"/>
    <w:rsid w:val="00562A58"/>
    <w:rsid w:val="005630C2"/>
    <w:rsid w:val="00563F18"/>
    <w:rsid w:val="00566825"/>
    <w:rsid w:val="00567FC6"/>
    <w:rsid w:val="0057173A"/>
    <w:rsid w:val="005722C2"/>
    <w:rsid w:val="00574842"/>
    <w:rsid w:val="00581211"/>
    <w:rsid w:val="00584811"/>
    <w:rsid w:val="00587F94"/>
    <w:rsid w:val="00593AA6"/>
    <w:rsid w:val="00594161"/>
    <w:rsid w:val="00594234"/>
    <w:rsid w:val="00594749"/>
    <w:rsid w:val="00597F19"/>
    <w:rsid w:val="005A01ED"/>
    <w:rsid w:val="005A482B"/>
    <w:rsid w:val="005B4067"/>
    <w:rsid w:val="005B50BD"/>
    <w:rsid w:val="005B72B6"/>
    <w:rsid w:val="005C1416"/>
    <w:rsid w:val="005C36E0"/>
    <w:rsid w:val="005C3F41"/>
    <w:rsid w:val="005D135C"/>
    <w:rsid w:val="005D168D"/>
    <w:rsid w:val="005D43B9"/>
    <w:rsid w:val="005D45B7"/>
    <w:rsid w:val="005D5EA1"/>
    <w:rsid w:val="005D6A7C"/>
    <w:rsid w:val="005D7693"/>
    <w:rsid w:val="005E071F"/>
    <w:rsid w:val="005E4B74"/>
    <w:rsid w:val="005E61D3"/>
    <w:rsid w:val="005F6DDD"/>
    <w:rsid w:val="005F7738"/>
    <w:rsid w:val="00600219"/>
    <w:rsid w:val="00600F42"/>
    <w:rsid w:val="0060521B"/>
    <w:rsid w:val="006132A0"/>
    <w:rsid w:val="00613EAD"/>
    <w:rsid w:val="006158AC"/>
    <w:rsid w:val="006208A2"/>
    <w:rsid w:val="0063317C"/>
    <w:rsid w:val="00640402"/>
    <w:rsid w:val="00640F78"/>
    <w:rsid w:val="00645C40"/>
    <w:rsid w:val="00646E7B"/>
    <w:rsid w:val="00655D6A"/>
    <w:rsid w:val="00656DE9"/>
    <w:rsid w:val="0065753B"/>
    <w:rsid w:val="00664D55"/>
    <w:rsid w:val="00667357"/>
    <w:rsid w:val="00672EE6"/>
    <w:rsid w:val="00675E28"/>
    <w:rsid w:val="00677CC2"/>
    <w:rsid w:val="00685F42"/>
    <w:rsid w:val="006866A1"/>
    <w:rsid w:val="0069207B"/>
    <w:rsid w:val="00693D2A"/>
    <w:rsid w:val="006A4309"/>
    <w:rsid w:val="006B0E55"/>
    <w:rsid w:val="006B7006"/>
    <w:rsid w:val="006C470C"/>
    <w:rsid w:val="006C4978"/>
    <w:rsid w:val="006C7F8C"/>
    <w:rsid w:val="006D0239"/>
    <w:rsid w:val="006D7AB9"/>
    <w:rsid w:val="006E1F9B"/>
    <w:rsid w:val="006E4AD8"/>
    <w:rsid w:val="006F4743"/>
    <w:rsid w:val="006F6C3A"/>
    <w:rsid w:val="00700B2C"/>
    <w:rsid w:val="007053F6"/>
    <w:rsid w:val="00713084"/>
    <w:rsid w:val="00720FC2"/>
    <w:rsid w:val="00731E00"/>
    <w:rsid w:val="00732E9D"/>
    <w:rsid w:val="0073491A"/>
    <w:rsid w:val="0073584D"/>
    <w:rsid w:val="00740830"/>
    <w:rsid w:val="007440B7"/>
    <w:rsid w:val="00747993"/>
    <w:rsid w:val="007634AD"/>
    <w:rsid w:val="007677A8"/>
    <w:rsid w:val="007715C9"/>
    <w:rsid w:val="00773E67"/>
    <w:rsid w:val="00774EDD"/>
    <w:rsid w:val="007757EC"/>
    <w:rsid w:val="0079201A"/>
    <w:rsid w:val="0079647B"/>
    <w:rsid w:val="007970B3"/>
    <w:rsid w:val="007976A6"/>
    <w:rsid w:val="00797AE8"/>
    <w:rsid w:val="00797CAA"/>
    <w:rsid w:val="007A115D"/>
    <w:rsid w:val="007A1FA8"/>
    <w:rsid w:val="007A35E6"/>
    <w:rsid w:val="007A6863"/>
    <w:rsid w:val="007A76FE"/>
    <w:rsid w:val="007A796F"/>
    <w:rsid w:val="007A7C55"/>
    <w:rsid w:val="007B4A2C"/>
    <w:rsid w:val="007C5642"/>
    <w:rsid w:val="007D0730"/>
    <w:rsid w:val="007D0E07"/>
    <w:rsid w:val="007D21BF"/>
    <w:rsid w:val="007D3043"/>
    <w:rsid w:val="007D45C1"/>
    <w:rsid w:val="007E5B0A"/>
    <w:rsid w:val="007E7D4A"/>
    <w:rsid w:val="007F31D5"/>
    <w:rsid w:val="007F3F73"/>
    <w:rsid w:val="007F48ED"/>
    <w:rsid w:val="007F7947"/>
    <w:rsid w:val="00812F45"/>
    <w:rsid w:val="00814496"/>
    <w:rsid w:val="00816C39"/>
    <w:rsid w:val="00823A5C"/>
    <w:rsid w:val="00833932"/>
    <w:rsid w:val="008359B2"/>
    <w:rsid w:val="008361ED"/>
    <w:rsid w:val="00841385"/>
    <w:rsid w:val="0084172C"/>
    <w:rsid w:val="008435D0"/>
    <w:rsid w:val="0085619A"/>
    <w:rsid w:val="00856A31"/>
    <w:rsid w:val="008626DC"/>
    <w:rsid w:val="00865661"/>
    <w:rsid w:val="008669F2"/>
    <w:rsid w:val="008754D0"/>
    <w:rsid w:val="00877D48"/>
    <w:rsid w:val="0088345B"/>
    <w:rsid w:val="008856FB"/>
    <w:rsid w:val="0088728B"/>
    <w:rsid w:val="008A16A5"/>
    <w:rsid w:val="008A7388"/>
    <w:rsid w:val="008B24C5"/>
    <w:rsid w:val="008C2B5D"/>
    <w:rsid w:val="008C61C6"/>
    <w:rsid w:val="008D0EE0"/>
    <w:rsid w:val="008D5B99"/>
    <w:rsid w:val="008D73DB"/>
    <w:rsid w:val="008D7A27"/>
    <w:rsid w:val="008E4702"/>
    <w:rsid w:val="008E4A26"/>
    <w:rsid w:val="008E69AA"/>
    <w:rsid w:val="008F4F1C"/>
    <w:rsid w:val="0090074A"/>
    <w:rsid w:val="0090591F"/>
    <w:rsid w:val="00915925"/>
    <w:rsid w:val="00922764"/>
    <w:rsid w:val="00930E48"/>
    <w:rsid w:val="00931709"/>
    <w:rsid w:val="00932377"/>
    <w:rsid w:val="00933118"/>
    <w:rsid w:val="00943102"/>
    <w:rsid w:val="00943B25"/>
    <w:rsid w:val="0094523D"/>
    <w:rsid w:val="00953D19"/>
    <w:rsid w:val="009559E6"/>
    <w:rsid w:val="00964E07"/>
    <w:rsid w:val="00972467"/>
    <w:rsid w:val="00972CB5"/>
    <w:rsid w:val="00976A63"/>
    <w:rsid w:val="00983419"/>
    <w:rsid w:val="00987717"/>
    <w:rsid w:val="009A148B"/>
    <w:rsid w:val="009A2018"/>
    <w:rsid w:val="009A2FA4"/>
    <w:rsid w:val="009A6E81"/>
    <w:rsid w:val="009A771C"/>
    <w:rsid w:val="009B09BB"/>
    <w:rsid w:val="009C3431"/>
    <w:rsid w:val="009C5463"/>
    <w:rsid w:val="009C5989"/>
    <w:rsid w:val="009C7BD0"/>
    <w:rsid w:val="009D08DA"/>
    <w:rsid w:val="009E21C1"/>
    <w:rsid w:val="009E328F"/>
    <w:rsid w:val="009E4462"/>
    <w:rsid w:val="009F16F8"/>
    <w:rsid w:val="009F5893"/>
    <w:rsid w:val="00A06860"/>
    <w:rsid w:val="00A136F5"/>
    <w:rsid w:val="00A1674D"/>
    <w:rsid w:val="00A16C72"/>
    <w:rsid w:val="00A209CC"/>
    <w:rsid w:val="00A231E2"/>
    <w:rsid w:val="00A23AC5"/>
    <w:rsid w:val="00A2550D"/>
    <w:rsid w:val="00A270C3"/>
    <w:rsid w:val="00A3005C"/>
    <w:rsid w:val="00A402F7"/>
    <w:rsid w:val="00A4169B"/>
    <w:rsid w:val="00A445F2"/>
    <w:rsid w:val="00A4589A"/>
    <w:rsid w:val="00A4598B"/>
    <w:rsid w:val="00A50D55"/>
    <w:rsid w:val="00A5165B"/>
    <w:rsid w:val="00A52FDA"/>
    <w:rsid w:val="00A64912"/>
    <w:rsid w:val="00A70A74"/>
    <w:rsid w:val="00A70E19"/>
    <w:rsid w:val="00A77653"/>
    <w:rsid w:val="00A8450B"/>
    <w:rsid w:val="00A90A15"/>
    <w:rsid w:val="00A979CB"/>
    <w:rsid w:val="00AA0343"/>
    <w:rsid w:val="00AA2A5C"/>
    <w:rsid w:val="00AA7357"/>
    <w:rsid w:val="00AB24AC"/>
    <w:rsid w:val="00AB5445"/>
    <w:rsid w:val="00AB78E9"/>
    <w:rsid w:val="00AC544A"/>
    <w:rsid w:val="00AC59D7"/>
    <w:rsid w:val="00AC7D3C"/>
    <w:rsid w:val="00AD1702"/>
    <w:rsid w:val="00AD20E8"/>
    <w:rsid w:val="00AD3467"/>
    <w:rsid w:val="00AD5641"/>
    <w:rsid w:val="00AD5A2F"/>
    <w:rsid w:val="00AE0F9B"/>
    <w:rsid w:val="00AE7FBC"/>
    <w:rsid w:val="00AF34FD"/>
    <w:rsid w:val="00AF55FF"/>
    <w:rsid w:val="00B01F1A"/>
    <w:rsid w:val="00B032D8"/>
    <w:rsid w:val="00B072A2"/>
    <w:rsid w:val="00B1540A"/>
    <w:rsid w:val="00B17252"/>
    <w:rsid w:val="00B21943"/>
    <w:rsid w:val="00B22771"/>
    <w:rsid w:val="00B27B06"/>
    <w:rsid w:val="00B30795"/>
    <w:rsid w:val="00B31487"/>
    <w:rsid w:val="00B33B3C"/>
    <w:rsid w:val="00B37B46"/>
    <w:rsid w:val="00B40D74"/>
    <w:rsid w:val="00B41729"/>
    <w:rsid w:val="00B46780"/>
    <w:rsid w:val="00B52663"/>
    <w:rsid w:val="00B56DCB"/>
    <w:rsid w:val="00B63007"/>
    <w:rsid w:val="00B63607"/>
    <w:rsid w:val="00B65F2F"/>
    <w:rsid w:val="00B75300"/>
    <w:rsid w:val="00B754CB"/>
    <w:rsid w:val="00B770D2"/>
    <w:rsid w:val="00B80B01"/>
    <w:rsid w:val="00B849C1"/>
    <w:rsid w:val="00B92BB9"/>
    <w:rsid w:val="00B935E6"/>
    <w:rsid w:val="00BA2673"/>
    <w:rsid w:val="00BA47A3"/>
    <w:rsid w:val="00BA5026"/>
    <w:rsid w:val="00BA7629"/>
    <w:rsid w:val="00BB127B"/>
    <w:rsid w:val="00BB3799"/>
    <w:rsid w:val="00BB6E79"/>
    <w:rsid w:val="00BC6B61"/>
    <w:rsid w:val="00BD18C5"/>
    <w:rsid w:val="00BD388A"/>
    <w:rsid w:val="00BE0131"/>
    <w:rsid w:val="00BE3B31"/>
    <w:rsid w:val="00BE63FE"/>
    <w:rsid w:val="00BE719A"/>
    <w:rsid w:val="00BE720A"/>
    <w:rsid w:val="00BF34B6"/>
    <w:rsid w:val="00BF41E8"/>
    <w:rsid w:val="00BF6650"/>
    <w:rsid w:val="00BF7B3B"/>
    <w:rsid w:val="00C00532"/>
    <w:rsid w:val="00C05EE6"/>
    <w:rsid w:val="00C067E5"/>
    <w:rsid w:val="00C103BA"/>
    <w:rsid w:val="00C114B3"/>
    <w:rsid w:val="00C1405F"/>
    <w:rsid w:val="00C164CA"/>
    <w:rsid w:val="00C17409"/>
    <w:rsid w:val="00C41438"/>
    <w:rsid w:val="00C42BF8"/>
    <w:rsid w:val="00C43194"/>
    <w:rsid w:val="00C4415F"/>
    <w:rsid w:val="00C460AE"/>
    <w:rsid w:val="00C460EF"/>
    <w:rsid w:val="00C50043"/>
    <w:rsid w:val="00C50A0F"/>
    <w:rsid w:val="00C66D97"/>
    <w:rsid w:val="00C67B48"/>
    <w:rsid w:val="00C705C2"/>
    <w:rsid w:val="00C7573B"/>
    <w:rsid w:val="00C76AD5"/>
    <w:rsid w:val="00C76CF3"/>
    <w:rsid w:val="00C92BA6"/>
    <w:rsid w:val="00C94301"/>
    <w:rsid w:val="00CA7844"/>
    <w:rsid w:val="00CB2252"/>
    <w:rsid w:val="00CB58EF"/>
    <w:rsid w:val="00CD3626"/>
    <w:rsid w:val="00CE4925"/>
    <w:rsid w:val="00CE62CA"/>
    <w:rsid w:val="00CE64DC"/>
    <w:rsid w:val="00CE7D64"/>
    <w:rsid w:val="00CF09DC"/>
    <w:rsid w:val="00CF0BB2"/>
    <w:rsid w:val="00CF2713"/>
    <w:rsid w:val="00CF509C"/>
    <w:rsid w:val="00D0054C"/>
    <w:rsid w:val="00D011B1"/>
    <w:rsid w:val="00D02169"/>
    <w:rsid w:val="00D1240D"/>
    <w:rsid w:val="00D13441"/>
    <w:rsid w:val="00D135B7"/>
    <w:rsid w:val="00D13B5E"/>
    <w:rsid w:val="00D16C41"/>
    <w:rsid w:val="00D1789F"/>
    <w:rsid w:val="00D17C56"/>
    <w:rsid w:val="00D243A3"/>
    <w:rsid w:val="00D30C7D"/>
    <w:rsid w:val="00D3200B"/>
    <w:rsid w:val="00D33440"/>
    <w:rsid w:val="00D33AD0"/>
    <w:rsid w:val="00D366E1"/>
    <w:rsid w:val="00D46C3D"/>
    <w:rsid w:val="00D46E50"/>
    <w:rsid w:val="00D4737B"/>
    <w:rsid w:val="00D52EFE"/>
    <w:rsid w:val="00D53B95"/>
    <w:rsid w:val="00D55976"/>
    <w:rsid w:val="00D56A0D"/>
    <w:rsid w:val="00D60947"/>
    <w:rsid w:val="00D63EF6"/>
    <w:rsid w:val="00D66518"/>
    <w:rsid w:val="00D70DFB"/>
    <w:rsid w:val="00D71EEA"/>
    <w:rsid w:val="00D735CD"/>
    <w:rsid w:val="00D74B74"/>
    <w:rsid w:val="00D766DF"/>
    <w:rsid w:val="00D77B47"/>
    <w:rsid w:val="00D85939"/>
    <w:rsid w:val="00D91416"/>
    <w:rsid w:val="00D949BF"/>
    <w:rsid w:val="00D95891"/>
    <w:rsid w:val="00D97D7B"/>
    <w:rsid w:val="00DA7ECA"/>
    <w:rsid w:val="00DB4F26"/>
    <w:rsid w:val="00DB5CB4"/>
    <w:rsid w:val="00DC25AC"/>
    <w:rsid w:val="00DD0382"/>
    <w:rsid w:val="00DD0C47"/>
    <w:rsid w:val="00DD2370"/>
    <w:rsid w:val="00DD3D5A"/>
    <w:rsid w:val="00DD7DC4"/>
    <w:rsid w:val="00DE149E"/>
    <w:rsid w:val="00DE30EC"/>
    <w:rsid w:val="00DE7313"/>
    <w:rsid w:val="00E008FA"/>
    <w:rsid w:val="00E05704"/>
    <w:rsid w:val="00E06A5F"/>
    <w:rsid w:val="00E12F1A"/>
    <w:rsid w:val="00E13C67"/>
    <w:rsid w:val="00E15541"/>
    <w:rsid w:val="00E162B9"/>
    <w:rsid w:val="00E200AD"/>
    <w:rsid w:val="00E21CFB"/>
    <w:rsid w:val="00E22935"/>
    <w:rsid w:val="00E30DD9"/>
    <w:rsid w:val="00E31549"/>
    <w:rsid w:val="00E35D00"/>
    <w:rsid w:val="00E422FF"/>
    <w:rsid w:val="00E460A7"/>
    <w:rsid w:val="00E47EEC"/>
    <w:rsid w:val="00E51FA1"/>
    <w:rsid w:val="00E54292"/>
    <w:rsid w:val="00E60191"/>
    <w:rsid w:val="00E72845"/>
    <w:rsid w:val="00E74DC7"/>
    <w:rsid w:val="00E753F5"/>
    <w:rsid w:val="00E84280"/>
    <w:rsid w:val="00E86D5A"/>
    <w:rsid w:val="00E87699"/>
    <w:rsid w:val="00E9279E"/>
    <w:rsid w:val="00E92E27"/>
    <w:rsid w:val="00E9586B"/>
    <w:rsid w:val="00E97334"/>
    <w:rsid w:val="00EA0D36"/>
    <w:rsid w:val="00EA5E4F"/>
    <w:rsid w:val="00EB184D"/>
    <w:rsid w:val="00EC1C80"/>
    <w:rsid w:val="00EC2F53"/>
    <w:rsid w:val="00EC56D6"/>
    <w:rsid w:val="00EC6E57"/>
    <w:rsid w:val="00ED4928"/>
    <w:rsid w:val="00EE6190"/>
    <w:rsid w:val="00EE7921"/>
    <w:rsid w:val="00EF2E3A"/>
    <w:rsid w:val="00EF335E"/>
    <w:rsid w:val="00EF387F"/>
    <w:rsid w:val="00EF4704"/>
    <w:rsid w:val="00EF6402"/>
    <w:rsid w:val="00F025DF"/>
    <w:rsid w:val="00F047E2"/>
    <w:rsid w:val="00F04D57"/>
    <w:rsid w:val="00F078DC"/>
    <w:rsid w:val="00F1168D"/>
    <w:rsid w:val="00F1308F"/>
    <w:rsid w:val="00F13E86"/>
    <w:rsid w:val="00F225CF"/>
    <w:rsid w:val="00F2357E"/>
    <w:rsid w:val="00F25567"/>
    <w:rsid w:val="00F32FCB"/>
    <w:rsid w:val="00F36382"/>
    <w:rsid w:val="00F42936"/>
    <w:rsid w:val="00F50ADA"/>
    <w:rsid w:val="00F578F8"/>
    <w:rsid w:val="00F61730"/>
    <w:rsid w:val="00F6227E"/>
    <w:rsid w:val="00F66D06"/>
    <w:rsid w:val="00F6709F"/>
    <w:rsid w:val="00F677A9"/>
    <w:rsid w:val="00F732EA"/>
    <w:rsid w:val="00F73579"/>
    <w:rsid w:val="00F829B6"/>
    <w:rsid w:val="00F84CF5"/>
    <w:rsid w:val="00F85526"/>
    <w:rsid w:val="00F8612E"/>
    <w:rsid w:val="00F863CA"/>
    <w:rsid w:val="00F93106"/>
    <w:rsid w:val="00F93A3B"/>
    <w:rsid w:val="00F9670E"/>
    <w:rsid w:val="00F97002"/>
    <w:rsid w:val="00FA1C8A"/>
    <w:rsid w:val="00FA420B"/>
    <w:rsid w:val="00FA5006"/>
    <w:rsid w:val="00FA5FF3"/>
    <w:rsid w:val="00FC1A4D"/>
    <w:rsid w:val="00FC545E"/>
    <w:rsid w:val="00FD09A3"/>
    <w:rsid w:val="00FD130E"/>
    <w:rsid w:val="00FD28F4"/>
    <w:rsid w:val="00FD2A54"/>
    <w:rsid w:val="00FD7251"/>
    <w:rsid w:val="00FE0781"/>
    <w:rsid w:val="00FF39DE"/>
    <w:rsid w:val="00FF3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711"/>
    <w:pPr>
      <w:spacing w:line="260" w:lineRule="atLeast"/>
    </w:pPr>
    <w:rPr>
      <w:sz w:val="22"/>
    </w:rPr>
  </w:style>
  <w:style w:type="paragraph" w:styleId="Heading1">
    <w:name w:val="heading 1"/>
    <w:basedOn w:val="Normal"/>
    <w:next w:val="Normal"/>
    <w:link w:val="Heading1Char"/>
    <w:uiPriority w:val="9"/>
    <w:qFormat/>
    <w:rsid w:val="00527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77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77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77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77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77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77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77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77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7711"/>
  </w:style>
  <w:style w:type="paragraph" w:customStyle="1" w:styleId="OPCParaBase">
    <w:name w:val="OPCParaBase"/>
    <w:qFormat/>
    <w:rsid w:val="00527711"/>
    <w:pPr>
      <w:spacing w:line="260" w:lineRule="atLeast"/>
    </w:pPr>
    <w:rPr>
      <w:rFonts w:eastAsia="Times New Roman" w:cs="Times New Roman"/>
      <w:sz w:val="22"/>
      <w:lang w:eastAsia="en-AU"/>
    </w:rPr>
  </w:style>
  <w:style w:type="paragraph" w:customStyle="1" w:styleId="ShortT">
    <w:name w:val="ShortT"/>
    <w:basedOn w:val="OPCParaBase"/>
    <w:next w:val="Normal"/>
    <w:qFormat/>
    <w:rsid w:val="00527711"/>
    <w:pPr>
      <w:spacing w:line="240" w:lineRule="auto"/>
    </w:pPr>
    <w:rPr>
      <w:b/>
      <w:sz w:val="40"/>
    </w:rPr>
  </w:style>
  <w:style w:type="paragraph" w:customStyle="1" w:styleId="ActHead1">
    <w:name w:val="ActHead 1"/>
    <w:aliases w:val="c"/>
    <w:basedOn w:val="OPCParaBase"/>
    <w:next w:val="Normal"/>
    <w:qFormat/>
    <w:rsid w:val="005277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7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7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7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77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7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7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7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7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711"/>
  </w:style>
  <w:style w:type="paragraph" w:customStyle="1" w:styleId="Blocks">
    <w:name w:val="Blocks"/>
    <w:aliases w:val="bb"/>
    <w:basedOn w:val="OPCParaBase"/>
    <w:qFormat/>
    <w:rsid w:val="00527711"/>
    <w:pPr>
      <w:spacing w:line="240" w:lineRule="auto"/>
    </w:pPr>
    <w:rPr>
      <w:sz w:val="24"/>
    </w:rPr>
  </w:style>
  <w:style w:type="paragraph" w:customStyle="1" w:styleId="BoxText">
    <w:name w:val="BoxText"/>
    <w:aliases w:val="bt"/>
    <w:basedOn w:val="OPCParaBase"/>
    <w:qFormat/>
    <w:rsid w:val="005277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711"/>
    <w:rPr>
      <w:b/>
    </w:rPr>
  </w:style>
  <w:style w:type="paragraph" w:customStyle="1" w:styleId="BoxHeadItalic">
    <w:name w:val="BoxHeadItalic"/>
    <w:aliases w:val="bhi"/>
    <w:basedOn w:val="BoxText"/>
    <w:next w:val="BoxStep"/>
    <w:qFormat/>
    <w:rsid w:val="00527711"/>
    <w:rPr>
      <w:i/>
    </w:rPr>
  </w:style>
  <w:style w:type="paragraph" w:customStyle="1" w:styleId="BoxList">
    <w:name w:val="BoxList"/>
    <w:aliases w:val="bl"/>
    <w:basedOn w:val="BoxText"/>
    <w:qFormat/>
    <w:rsid w:val="00527711"/>
    <w:pPr>
      <w:ind w:left="1559" w:hanging="425"/>
    </w:pPr>
  </w:style>
  <w:style w:type="paragraph" w:customStyle="1" w:styleId="BoxNote">
    <w:name w:val="BoxNote"/>
    <w:aliases w:val="bn"/>
    <w:basedOn w:val="BoxText"/>
    <w:qFormat/>
    <w:rsid w:val="00527711"/>
    <w:pPr>
      <w:tabs>
        <w:tab w:val="left" w:pos="1985"/>
      </w:tabs>
      <w:spacing w:before="122" w:line="198" w:lineRule="exact"/>
      <w:ind w:left="2948" w:hanging="1814"/>
    </w:pPr>
    <w:rPr>
      <w:sz w:val="18"/>
    </w:rPr>
  </w:style>
  <w:style w:type="paragraph" w:customStyle="1" w:styleId="BoxPara">
    <w:name w:val="BoxPara"/>
    <w:aliases w:val="bp"/>
    <w:basedOn w:val="BoxText"/>
    <w:qFormat/>
    <w:rsid w:val="00527711"/>
    <w:pPr>
      <w:tabs>
        <w:tab w:val="right" w:pos="2268"/>
      </w:tabs>
      <w:ind w:left="2552" w:hanging="1418"/>
    </w:pPr>
  </w:style>
  <w:style w:type="paragraph" w:customStyle="1" w:styleId="BoxStep">
    <w:name w:val="BoxStep"/>
    <w:aliases w:val="bs"/>
    <w:basedOn w:val="BoxText"/>
    <w:qFormat/>
    <w:rsid w:val="00527711"/>
    <w:pPr>
      <w:ind w:left="1985" w:hanging="851"/>
    </w:pPr>
  </w:style>
  <w:style w:type="character" w:customStyle="1" w:styleId="CharAmPartNo">
    <w:name w:val="CharAmPartNo"/>
    <w:basedOn w:val="OPCCharBase"/>
    <w:qFormat/>
    <w:rsid w:val="00527711"/>
  </w:style>
  <w:style w:type="character" w:customStyle="1" w:styleId="CharAmPartText">
    <w:name w:val="CharAmPartText"/>
    <w:basedOn w:val="OPCCharBase"/>
    <w:qFormat/>
    <w:rsid w:val="00527711"/>
  </w:style>
  <w:style w:type="character" w:customStyle="1" w:styleId="CharAmSchNo">
    <w:name w:val="CharAmSchNo"/>
    <w:basedOn w:val="OPCCharBase"/>
    <w:qFormat/>
    <w:rsid w:val="00527711"/>
  </w:style>
  <w:style w:type="character" w:customStyle="1" w:styleId="CharAmSchText">
    <w:name w:val="CharAmSchText"/>
    <w:basedOn w:val="OPCCharBase"/>
    <w:qFormat/>
    <w:rsid w:val="00527711"/>
  </w:style>
  <w:style w:type="character" w:customStyle="1" w:styleId="CharBoldItalic">
    <w:name w:val="CharBoldItalic"/>
    <w:basedOn w:val="OPCCharBase"/>
    <w:uiPriority w:val="1"/>
    <w:qFormat/>
    <w:rsid w:val="00527711"/>
    <w:rPr>
      <w:b/>
      <w:i/>
    </w:rPr>
  </w:style>
  <w:style w:type="character" w:customStyle="1" w:styleId="CharChapNo">
    <w:name w:val="CharChapNo"/>
    <w:basedOn w:val="OPCCharBase"/>
    <w:uiPriority w:val="1"/>
    <w:qFormat/>
    <w:rsid w:val="00527711"/>
  </w:style>
  <w:style w:type="character" w:customStyle="1" w:styleId="CharChapText">
    <w:name w:val="CharChapText"/>
    <w:basedOn w:val="OPCCharBase"/>
    <w:uiPriority w:val="1"/>
    <w:qFormat/>
    <w:rsid w:val="00527711"/>
  </w:style>
  <w:style w:type="character" w:customStyle="1" w:styleId="CharDivNo">
    <w:name w:val="CharDivNo"/>
    <w:basedOn w:val="OPCCharBase"/>
    <w:uiPriority w:val="1"/>
    <w:qFormat/>
    <w:rsid w:val="00527711"/>
  </w:style>
  <w:style w:type="character" w:customStyle="1" w:styleId="CharDivText">
    <w:name w:val="CharDivText"/>
    <w:basedOn w:val="OPCCharBase"/>
    <w:uiPriority w:val="1"/>
    <w:qFormat/>
    <w:rsid w:val="00527711"/>
  </w:style>
  <w:style w:type="character" w:customStyle="1" w:styleId="CharItalic">
    <w:name w:val="CharItalic"/>
    <w:basedOn w:val="OPCCharBase"/>
    <w:uiPriority w:val="1"/>
    <w:qFormat/>
    <w:rsid w:val="00527711"/>
    <w:rPr>
      <w:i/>
    </w:rPr>
  </w:style>
  <w:style w:type="character" w:customStyle="1" w:styleId="CharPartNo">
    <w:name w:val="CharPartNo"/>
    <w:basedOn w:val="OPCCharBase"/>
    <w:uiPriority w:val="1"/>
    <w:qFormat/>
    <w:rsid w:val="00527711"/>
  </w:style>
  <w:style w:type="character" w:customStyle="1" w:styleId="CharPartText">
    <w:name w:val="CharPartText"/>
    <w:basedOn w:val="OPCCharBase"/>
    <w:uiPriority w:val="1"/>
    <w:qFormat/>
    <w:rsid w:val="00527711"/>
  </w:style>
  <w:style w:type="character" w:customStyle="1" w:styleId="CharSectno">
    <w:name w:val="CharSectno"/>
    <w:basedOn w:val="OPCCharBase"/>
    <w:qFormat/>
    <w:rsid w:val="00527711"/>
  </w:style>
  <w:style w:type="character" w:customStyle="1" w:styleId="CharSubdNo">
    <w:name w:val="CharSubdNo"/>
    <w:basedOn w:val="OPCCharBase"/>
    <w:uiPriority w:val="1"/>
    <w:qFormat/>
    <w:rsid w:val="00527711"/>
  </w:style>
  <w:style w:type="character" w:customStyle="1" w:styleId="CharSubdText">
    <w:name w:val="CharSubdText"/>
    <w:basedOn w:val="OPCCharBase"/>
    <w:uiPriority w:val="1"/>
    <w:qFormat/>
    <w:rsid w:val="00527711"/>
  </w:style>
  <w:style w:type="paragraph" w:customStyle="1" w:styleId="CTA--">
    <w:name w:val="CTA --"/>
    <w:basedOn w:val="OPCParaBase"/>
    <w:next w:val="Normal"/>
    <w:rsid w:val="00527711"/>
    <w:pPr>
      <w:spacing w:before="60" w:line="240" w:lineRule="atLeast"/>
      <w:ind w:left="142" w:hanging="142"/>
    </w:pPr>
    <w:rPr>
      <w:sz w:val="20"/>
    </w:rPr>
  </w:style>
  <w:style w:type="paragraph" w:customStyle="1" w:styleId="CTA-">
    <w:name w:val="CTA -"/>
    <w:basedOn w:val="OPCParaBase"/>
    <w:rsid w:val="00527711"/>
    <w:pPr>
      <w:spacing w:before="60" w:line="240" w:lineRule="atLeast"/>
      <w:ind w:left="85" w:hanging="85"/>
    </w:pPr>
    <w:rPr>
      <w:sz w:val="20"/>
    </w:rPr>
  </w:style>
  <w:style w:type="paragraph" w:customStyle="1" w:styleId="CTA---">
    <w:name w:val="CTA ---"/>
    <w:basedOn w:val="OPCParaBase"/>
    <w:next w:val="Normal"/>
    <w:rsid w:val="00527711"/>
    <w:pPr>
      <w:spacing w:before="60" w:line="240" w:lineRule="atLeast"/>
      <w:ind w:left="198" w:hanging="198"/>
    </w:pPr>
    <w:rPr>
      <w:sz w:val="20"/>
    </w:rPr>
  </w:style>
  <w:style w:type="paragraph" w:customStyle="1" w:styleId="CTA----">
    <w:name w:val="CTA ----"/>
    <w:basedOn w:val="OPCParaBase"/>
    <w:next w:val="Normal"/>
    <w:rsid w:val="00527711"/>
    <w:pPr>
      <w:spacing w:before="60" w:line="240" w:lineRule="atLeast"/>
      <w:ind w:left="255" w:hanging="255"/>
    </w:pPr>
    <w:rPr>
      <w:sz w:val="20"/>
    </w:rPr>
  </w:style>
  <w:style w:type="paragraph" w:customStyle="1" w:styleId="CTA1a">
    <w:name w:val="CTA 1(a)"/>
    <w:basedOn w:val="OPCParaBase"/>
    <w:rsid w:val="00527711"/>
    <w:pPr>
      <w:tabs>
        <w:tab w:val="right" w:pos="414"/>
      </w:tabs>
      <w:spacing w:before="40" w:line="240" w:lineRule="atLeast"/>
      <w:ind w:left="675" w:hanging="675"/>
    </w:pPr>
    <w:rPr>
      <w:sz w:val="20"/>
    </w:rPr>
  </w:style>
  <w:style w:type="paragraph" w:customStyle="1" w:styleId="CTA1ai">
    <w:name w:val="CTA 1(a)(i)"/>
    <w:basedOn w:val="OPCParaBase"/>
    <w:rsid w:val="00527711"/>
    <w:pPr>
      <w:tabs>
        <w:tab w:val="right" w:pos="1004"/>
      </w:tabs>
      <w:spacing w:before="40" w:line="240" w:lineRule="atLeast"/>
      <w:ind w:left="1253" w:hanging="1253"/>
    </w:pPr>
    <w:rPr>
      <w:sz w:val="20"/>
    </w:rPr>
  </w:style>
  <w:style w:type="paragraph" w:customStyle="1" w:styleId="CTA2a">
    <w:name w:val="CTA 2(a)"/>
    <w:basedOn w:val="OPCParaBase"/>
    <w:rsid w:val="00527711"/>
    <w:pPr>
      <w:tabs>
        <w:tab w:val="right" w:pos="482"/>
      </w:tabs>
      <w:spacing w:before="40" w:line="240" w:lineRule="atLeast"/>
      <w:ind w:left="748" w:hanging="748"/>
    </w:pPr>
    <w:rPr>
      <w:sz w:val="20"/>
    </w:rPr>
  </w:style>
  <w:style w:type="paragraph" w:customStyle="1" w:styleId="CTA2ai">
    <w:name w:val="CTA 2(a)(i)"/>
    <w:basedOn w:val="OPCParaBase"/>
    <w:rsid w:val="00527711"/>
    <w:pPr>
      <w:tabs>
        <w:tab w:val="right" w:pos="1089"/>
      </w:tabs>
      <w:spacing w:before="40" w:line="240" w:lineRule="atLeast"/>
      <w:ind w:left="1327" w:hanging="1327"/>
    </w:pPr>
    <w:rPr>
      <w:sz w:val="20"/>
    </w:rPr>
  </w:style>
  <w:style w:type="paragraph" w:customStyle="1" w:styleId="CTA3a">
    <w:name w:val="CTA 3(a)"/>
    <w:basedOn w:val="OPCParaBase"/>
    <w:rsid w:val="00527711"/>
    <w:pPr>
      <w:tabs>
        <w:tab w:val="right" w:pos="556"/>
      </w:tabs>
      <w:spacing w:before="40" w:line="240" w:lineRule="atLeast"/>
      <w:ind w:left="805" w:hanging="805"/>
    </w:pPr>
    <w:rPr>
      <w:sz w:val="20"/>
    </w:rPr>
  </w:style>
  <w:style w:type="paragraph" w:customStyle="1" w:styleId="CTA3ai">
    <w:name w:val="CTA 3(a)(i)"/>
    <w:basedOn w:val="OPCParaBase"/>
    <w:rsid w:val="00527711"/>
    <w:pPr>
      <w:tabs>
        <w:tab w:val="right" w:pos="1140"/>
      </w:tabs>
      <w:spacing w:before="40" w:line="240" w:lineRule="atLeast"/>
      <w:ind w:left="1361" w:hanging="1361"/>
    </w:pPr>
    <w:rPr>
      <w:sz w:val="20"/>
    </w:rPr>
  </w:style>
  <w:style w:type="paragraph" w:customStyle="1" w:styleId="CTA4a">
    <w:name w:val="CTA 4(a)"/>
    <w:basedOn w:val="OPCParaBase"/>
    <w:rsid w:val="00527711"/>
    <w:pPr>
      <w:tabs>
        <w:tab w:val="right" w:pos="624"/>
      </w:tabs>
      <w:spacing w:before="40" w:line="240" w:lineRule="atLeast"/>
      <w:ind w:left="873" w:hanging="873"/>
    </w:pPr>
    <w:rPr>
      <w:sz w:val="20"/>
    </w:rPr>
  </w:style>
  <w:style w:type="paragraph" w:customStyle="1" w:styleId="CTA4ai">
    <w:name w:val="CTA 4(a)(i)"/>
    <w:basedOn w:val="OPCParaBase"/>
    <w:rsid w:val="00527711"/>
    <w:pPr>
      <w:tabs>
        <w:tab w:val="right" w:pos="1213"/>
      </w:tabs>
      <w:spacing w:before="40" w:line="240" w:lineRule="atLeast"/>
      <w:ind w:left="1452" w:hanging="1452"/>
    </w:pPr>
    <w:rPr>
      <w:sz w:val="20"/>
    </w:rPr>
  </w:style>
  <w:style w:type="paragraph" w:customStyle="1" w:styleId="CTACAPS">
    <w:name w:val="CTA CAPS"/>
    <w:basedOn w:val="OPCParaBase"/>
    <w:rsid w:val="00527711"/>
    <w:pPr>
      <w:spacing w:before="60" w:line="240" w:lineRule="atLeast"/>
    </w:pPr>
    <w:rPr>
      <w:sz w:val="20"/>
    </w:rPr>
  </w:style>
  <w:style w:type="paragraph" w:customStyle="1" w:styleId="CTAright">
    <w:name w:val="CTA right"/>
    <w:basedOn w:val="OPCParaBase"/>
    <w:rsid w:val="00527711"/>
    <w:pPr>
      <w:spacing w:before="60" w:line="240" w:lineRule="auto"/>
      <w:jc w:val="right"/>
    </w:pPr>
    <w:rPr>
      <w:sz w:val="20"/>
    </w:rPr>
  </w:style>
  <w:style w:type="paragraph" w:customStyle="1" w:styleId="subsection">
    <w:name w:val="subsection"/>
    <w:aliases w:val="ss,Subsection"/>
    <w:basedOn w:val="OPCParaBase"/>
    <w:link w:val="subsectionChar"/>
    <w:rsid w:val="00527711"/>
    <w:pPr>
      <w:tabs>
        <w:tab w:val="right" w:pos="1021"/>
      </w:tabs>
      <w:spacing w:before="180" w:line="240" w:lineRule="auto"/>
      <w:ind w:left="1134" w:hanging="1134"/>
    </w:pPr>
  </w:style>
  <w:style w:type="paragraph" w:customStyle="1" w:styleId="Definition">
    <w:name w:val="Definition"/>
    <w:aliases w:val="dd"/>
    <w:basedOn w:val="OPCParaBase"/>
    <w:rsid w:val="00527711"/>
    <w:pPr>
      <w:spacing w:before="180" w:line="240" w:lineRule="auto"/>
      <w:ind w:left="1134"/>
    </w:pPr>
  </w:style>
  <w:style w:type="paragraph" w:customStyle="1" w:styleId="ETAsubitem">
    <w:name w:val="ETA(subitem)"/>
    <w:basedOn w:val="OPCParaBase"/>
    <w:rsid w:val="00527711"/>
    <w:pPr>
      <w:tabs>
        <w:tab w:val="right" w:pos="340"/>
      </w:tabs>
      <w:spacing w:before="60" w:line="240" w:lineRule="auto"/>
      <w:ind w:left="454" w:hanging="454"/>
    </w:pPr>
    <w:rPr>
      <w:sz w:val="20"/>
    </w:rPr>
  </w:style>
  <w:style w:type="paragraph" w:customStyle="1" w:styleId="ETApara">
    <w:name w:val="ETA(para)"/>
    <w:basedOn w:val="OPCParaBase"/>
    <w:rsid w:val="00527711"/>
    <w:pPr>
      <w:tabs>
        <w:tab w:val="right" w:pos="754"/>
      </w:tabs>
      <w:spacing w:before="60" w:line="240" w:lineRule="auto"/>
      <w:ind w:left="828" w:hanging="828"/>
    </w:pPr>
    <w:rPr>
      <w:sz w:val="20"/>
    </w:rPr>
  </w:style>
  <w:style w:type="paragraph" w:customStyle="1" w:styleId="ETAsubpara">
    <w:name w:val="ETA(subpara)"/>
    <w:basedOn w:val="OPCParaBase"/>
    <w:rsid w:val="00527711"/>
    <w:pPr>
      <w:tabs>
        <w:tab w:val="right" w:pos="1083"/>
      </w:tabs>
      <w:spacing w:before="60" w:line="240" w:lineRule="auto"/>
      <w:ind w:left="1191" w:hanging="1191"/>
    </w:pPr>
    <w:rPr>
      <w:sz w:val="20"/>
    </w:rPr>
  </w:style>
  <w:style w:type="paragraph" w:customStyle="1" w:styleId="ETAsub-subpara">
    <w:name w:val="ETA(sub-subpara)"/>
    <w:basedOn w:val="OPCParaBase"/>
    <w:rsid w:val="00527711"/>
    <w:pPr>
      <w:tabs>
        <w:tab w:val="right" w:pos="1412"/>
      </w:tabs>
      <w:spacing w:before="60" w:line="240" w:lineRule="auto"/>
      <w:ind w:left="1525" w:hanging="1525"/>
    </w:pPr>
    <w:rPr>
      <w:sz w:val="20"/>
    </w:rPr>
  </w:style>
  <w:style w:type="paragraph" w:customStyle="1" w:styleId="Formula">
    <w:name w:val="Formula"/>
    <w:basedOn w:val="OPCParaBase"/>
    <w:rsid w:val="00527711"/>
    <w:pPr>
      <w:spacing w:line="240" w:lineRule="auto"/>
      <w:ind w:left="1134"/>
    </w:pPr>
    <w:rPr>
      <w:sz w:val="20"/>
    </w:rPr>
  </w:style>
  <w:style w:type="paragraph" w:styleId="Header">
    <w:name w:val="header"/>
    <w:basedOn w:val="OPCParaBase"/>
    <w:link w:val="HeaderChar"/>
    <w:unhideWhenUsed/>
    <w:rsid w:val="005277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7711"/>
    <w:rPr>
      <w:rFonts w:eastAsia="Times New Roman" w:cs="Times New Roman"/>
      <w:sz w:val="16"/>
      <w:lang w:eastAsia="en-AU"/>
    </w:rPr>
  </w:style>
  <w:style w:type="paragraph" w:customStyle="1" w:styleId="House">
    <w:name w:val="House"/>
    <w:basedOn w:val="OPCParaBase"/>
    <w:rsid w:val="00527711"/>
    <w:pPr>
      <w:spacing w:line="240" w:lineRule="auto"/>
    </w:pPr>
    <w:rPr>
      <w:sz w:val="28"/>
    </w:rPr>
  </w:style>
  <w:style w:type="paragraph" w:customStyle="1" w:styleId="Item">
    <w:name w:val="Item"/>
    <w:aliases w:val="i"/>
    <w:basedOn w:val="OPCParaBase"/>
    <w:next w:val="ItemHead"/>
    <w:rsid w:val="00527711"/>
    <w:pPr>
      <w:keepLines/>
      <w:spacing w:before="80" w:line="240" w:lineRule="auto"/>
      <w:ind w:left="709"/>
    </w:pPr>
  </w:style>
  <w:style w:type="paragraph" w:customStyle="1" w:styleId="ItemHead">
    <w:name w:val="ItemHead"/>
    <w:aliases w:val="ih"/>
    <w:basedOn w:val="OPCParaBase"/>
    <w:next w:val="Item"/>
    <w:rsid w:val="005277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7711"/>
    <w:pPr>
      <w:spacing w:line="240" w:lineRule="auto"/>
    </w:pPr>
    <w:rPr>
      <w:b/>
      <w:sz w:val="32"/>
    </w:rPr>
  </w:style>
  <w:style w:type="paragraph" w:customStyle="1" w:styleId="notedraft">
    <w:name w:val="note(draft)"/>
    <w:aliases w:val="nd"/>
    <w:basedOn w:val="OPCParaBase"/>
    <w:rsid w:val="00527711"/>
    <w:pPr>
      <w:spacing w:before="240" w:line="240" w:lineRule="auto"/>
      <w:ind w:left="284" w:hanging="284"/>
    </w:pPr>
    <w:rPr>
      <w:i/>
      <w:sz w:val="24"/>
    </w:rPr>
  </w:style>
  <w:style w:type="paragraph" w:customStyle="1" w:styleId="notemargin">
    <w:name w:val="note(margin)"/>
    <w:aliases w:val="nm"/>
    <w:basedOn w:val="OPCParaBase"/>
    <w:rsid w:val="00527711"/>
    <w:pPr>
      <w:tabs>
        <w:tab w:val="left" w:pos="709"/>
      </w:tabs>
      <w:spacing w:before="122" w:line="198" w:lineRule="exact"/>
      <w:ind w:left="709" w:hanging="709"/>
    </w:pPr>
    <w:rPr>
      <w:sz w:val="18"/>
    </w:rPr>
  </w:style>
  <w:style w:type="paragraph" w:customStyle="1" w:styleId="noteToPara">
    <w:name w:val="noteToPara"/>
    <w:aliases w:val="ntp"/>
    <w:basedOn w:val="OPCParaBase"/>
    <w:rsid w:val="00527711"/>
    <w:pPr>
      <w:spacing w:before="122" w:line="198" w:lineRule="exact"/>
      <w:ind w:left="2353" w:hanging="709"/>
    </w:pPr>
    <w:rPr>
      <w:sz w:val="18"/>
    </w:rPr>
  </w:style>
  <w:style w:type="paragraph" w:customStyle="1" w:styleId="noteParlAmend">
    <w:name w:val="note(ParlAmend)"/>
    <w:aliases w:val="npp"/>
    <w:basedOn w:val="OPCParaBase"/>
    <w:next w:val="ParlAmend"/>
    <w:rsid w:val="00527711"/>
    <w:pPr>
      <w:spacing w:line="240" w:lineRule="auto"/>
      <w:jc w:val="right"/>
    </w:pPr>
    <w:rPr>
      <w:rFonts w:ascii="Arial" w:hAnsi="Arial"/>
      <w:b/>
      <w:i/>
    </w:rPr>
  </w:style>
  <w:style w:type="paragraph" w:customStyle="1" w:styleId="Page1">
    <w:name w:val="Page1"/>
    <w:basedOn w:val="OPCParaBase"/>
    <w:rsid w:val="00527711"/>
    <w:pPr>
      <w:spacing w:before="5600" w:line="240" w:lineRule="auto"/>
    </w:pPr>
    <w:rPr>
      <w:b/>
      <w:sz w:val="32"/>
    </w:rPr>
  </w:style>
  <w:style w:type="paragraph" w:customStyle="1" w:styleId="PageBreak">
    <w:name w:val="PageBreak"/>
    <w:aliases w:val="pb"/>
    <w:basedOn w:val="OPCParaBase"/>
    <w:rsid w:val="00527711"/>
    <w:pPr>
      <w:spacing w:line="240" w:lineRule="auto"/>
    </w:pPr>
    <w:rPr>
      <w:sz w:val="20"/>
    </w:rPr>
  </w:style>
  <w:style w:type="paragraph" w:customStyle="1" w:styleId="paragraphsub">
    <w:name w:val="paragraph(sub)"/>
    <w:aliases w:val="aa"/>
    <w:basedOn w:val="OPCParaBase"/>
    <w:rsid w:val="00527711"/>
    <w:pPr>
      <w:tabs>
        <w:tab w:val="right" w:pos="1985"/>
      </w:tabs>
      <w:spacing w:before="40" w:line="240" w:lineRule="auto"/>
      <w:ind w:left="2098" w:hanging="2098"/>
    </w:pPr>
  </w:style>
  <w:style w:type="paragraph" w:customStyle="1" w:styleId="paragraphsub-sub">
    <w:name w:val="paragraph(sub-sub)"/>
    <w:aliases w:val="aaa"/>
    <w:basedOn w:val="OPCParaBase"/>
    <w:rsid w:val="00527711"/>
    <w:pPr>
      <w:tabs>
        <w:tab w:val="right" w:pos="2722"/>
      </w:tabs>
      <w:spacing w:before="40" w:line="240" w:lineRule="auto"/>
      <w:ind w:left="2835" w:hanging="2835"/>
    </w:pPr>
  </w:style>
  <w:style w:type="paragraph" w:customStyle="1" w:styleId="paragraph">
    <w:name w:val="paragraph"/>
    <w:aliases w:val="a"/>
    <w:basedOn w:val="OPCParaBase"/>
    <w:rsid w:val="00527711"/>
    <w:pPr>
      <w:tabs>
        <w:tab w:val="right" w:pos="1531"/>
      </w:tabs>
      <w:spacing w:before="40" w:line="240" w:lineRule="auto"/>
      <w:ind w:left="1644" w:hanging="1644"/>
    </w:pPr>
  </w:style>
  <w:style w:type="paragraph" w:customStyle="1" w:styleId="ParlAmend">
    <w:name w:val="ParlAmend"/>
    <w:aliases w:val="pp"/>
    <w:basedOn w:val="OPCParaBase"/>
    <w:rsid w:val="00527711"/>
    <w:pPr>
      <w:spacing w:before="240" w:line="240" w:lineRule="atLeast"/>
      <w:ind w:hanging="567"/>
    </w:pPr>
    <w:rPr>
      <w:sz w:val="24"/>
    </w:rPr>
  </w:style>
  <w:style w:type="paragraph" w:customStyle="1" w:styleId="Penalty">
    <w:name w:val="Penalty"/>
    <w:basedOn w:val="OPCParaBase"/>
    <w:rsid w:val="00527711"/>
    <w:pPr>
      <w:tabs>
        <w:tab w:val="left" w:pos="2977"/>
      </w:tabs>
      <w:spacing w:before="180" w:line="240" w:lineRule="auto"/>
      <w:ind w:left="1985" w:hanging="851"/>
    </w:pPr>
  </w:style>
  <w:style w:type="paragraph" w:customStyle="1" w:styleId="Portfolio">
    <w:name w:val="Portfolio"/>
    <w:basedOn w:val="OPCParaBase"/>
    <w:rsid w:val="00527711"/>
    <w:pPr>
      <w:spacing w:line="240" w:lineRule="auto"/>
    </w:pPr>
    <w:rPr>
      <w:i/>
      <w:sz w:val="20"/>
    </w:rPr>
  </w:style>
  <w:style w:type="paragraph" w:customStyle="1" w:styleId="Preamble">
    <w:name w:val="Preamble"/>
    <w:basedOn w:val="OPCParaBase"/>
    <w:next w:val="Normal"/>
    <w:rsid w:val="005277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711"/>
    <w:pPr>
      <w:spacing w:line="240" w:lineRule="auto"/>
    </w:pPr>
    <w:rPr>
      <w:i/>
      <w:sz w:val="20"/>
    </w:rPr>
  </w:style>
  <w:style w:type="paragraph" w:customStyle="1" w:styleId="Session">
    <w:name w:val="Session"/>
    <w:basedOn w:val="OPCParaBase"/>
    <w:rsid w:val="00527711"/>
    <w:pPr>
      <w:spacing w:line="240" w:lineRule="auto"/>
    </w:pPr>
    <w:rPr>
      <w:sz w:val="28"/>
    </w:rPr>
  </w:style>
  <w:style w:type="paragraph" w:customStyle="1" w:styleId="Sponsor">
    <w:name w:val="Sponsor"/>
    <w:basedOn w:val="OPCParaBase"/>
    <w:rsid w:val="00527711"/>
    <w:pPr>
      <w:spacing w:line="240" w:lineRule="auto"/>
    </w:pPr>
    <w:rPr>
      <w:i/>
    </w:rPr>
  </w:style>
  <w:style w:type="paragraph" w:customStyle="1" w:styleId="Subitem">
    <w:name w:val="Subitem"/>
    <w:aliases w:val="iss"/>
    <w:basedOn w:val="OPCParaBase"/>
    <w:rsid w:val="00527711"/>
    <w:pPr>
      <w:spacing w:before="180" w:line="240" w:lineRule="auto"/>
      <w:ind w:left="709" w:hanging="709"/>
    </w:pPr>
  </w:style>
  <w:style w:type="paragraph" w:customStyle="1" w:styleId="SubitemHead">
    <w:name w:val="SubitemHead"/>
    <w:aliases w:val="issh"/>
    <w:basedOn w:val="OPCParaBase"/>
    <w:rsid w:val="005277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7711"/>
    <w:pPr>
      <w:spacing w:before="40" w:line="240" w:lineRule="auto"/>
      <w:ind w:left="1134"/>
    </w:pPr>
  </w:style>
  <w:style w:type="paragraph" w:customStyle="1" w:styleId="SubsectionHead">
    <w:name w:val="SubsectionHead"/>
    <w:aliases w:val="ssh"/>
    <w:basedOn w:val="OPCParaBase"/>
    <w:next w:val="subsection"/>
    <w:rsid w:val="00527711"/>
    <w:pPr>
      <w:keepNext/>
      <w:keepLines/>
      <w:spacing w:before="240" w:line="240" w:lineRule="auto"/>
      <w:ind w:left="1134"/>
    </w:pPr>
    <w:rPr>
      <w:i/>
    </w:rPr>
  </w:style>
  <w:style w:type="paragraph" w:customStyle="1" w:styleId="Tablea">
    <w:name w:val="Table(a)"/>
    <w:aliases w:val="ta"/>
    <w:basedOn w:val="OPCParaBase"/>
    <w:rsid w:val="00527711"/>
    <w:pPr>
      <w:spacing w:before="60" w:line="240" w:lineRule="auto"/>
      <w:ind w:left="284" w:hanging="284"/>
    </w:pPr>
    <w:rPr>
      <w:sz w:val="20"/>
    </w:rPr>
  </w:style>
  <w:style w:type="paragraph" w:customStyle="1" w:styleId="TableAA">
    <w:name w:val="Table(AA)"/>
    <w:aliases w:val="taaa"/>
    <w:basedOn w:val="OPCParaBase"/>
    <w:rsid w:val="005277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77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7711"/>
    <w:pPr>
      <w:spacing w:before="60" w:line="240" w:lineRule="atLeast"/>
    </w:pPr>
    <w:rPr>
      <w:sz w:val="20"/>
    </w:rPr>
  </w:style>
  <w:style w:type="paragraph" w:customStyle="1" w:styleId="TLPBoxTextnote">
    <w:name w:val="TLPBoxText(note"/>
    <w:aliases w:val="right)"/>
    <w:basedOn w:val="OPCParaBase"/>
    <w:rsid w:val="005277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7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711"/>
    <w:pPr>
      <w:spacing w:before="122" w:line="198" w:lineRule="exact"/>
      <w:ind w:left="1985" w:hanging="851"/>
      <w:jc w:val="right"/>
    </w:pPr>
    <w:rPr>
      <w:sz w:val="18"/>
    </w:rPr>
  </w:style>
  <w:style w:type="paragraph" w:customStyle="1" w:styleId="TLPTableBullet">
    <w:name w:val="TLPTableBullet"/>
    <w:aliases w:val="ttb"/>
    <w:basedOn w:val="OPCParaBase"/>
    <w:rsid w:val="00527711"/>
    <w:pPr>
      <w:spacing w:line="240" w:lineRule="exact"/>
      <w:ind w:left="284" w:hanging="284"/>
    </w:pPr>
    <w:rPr>
      <w:sz w:val="20"/>
    </w:rPr>
  </w:style>
  <w:style w:type="paragraph" w:styleId="TOC1">
    <w:name w:val="toc 1"/>
    <w:basedOn w:val="Normal"/>
    <w:next w:val="Normal"/>
    <w:uiPriority w:val="39"/>
    <w:unhideWhenUsed/>
    <w:rsid w:val="00527711"/>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27711"/>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27711"/>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2771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2771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2771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71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771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2771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711"/>
    <w:pPr>
      <w:keepLines/>
      <w:spacing w:before="240" w:after="120" w:line="240" w:lineRule="auto"/>
      <w:ind w:left="794"/>
    </w:pPr>
    <w:rPr>
      <w:b/>
      <w:kern w:val="28"/>
      <w:sz w:val="20"/>
    </w:rPr>
  </w:style>
  <w:style w:type="paragraph" w:customStyle="1" w:styleId="TofSectsHeading">
    <w:name w:val="TofSects(Heading)"/>
    <w:basedOn w:val="OPCParaBase"/>
    <w:rsid w:val="00527711"/>
    <w:pPr>
      <w:spacing w:before="240" w:after="120" w:line="240" w:lineRule="auto"/>
    </w:pPr>
    <w:rPr>
      <w:b/>
      <w:sz w:val="24"/>
    </w:rPr>
  </w:style>
  <w:style w:type="paragraph" w:customStyle="1" w:styleId="TofSectsSection">
    <w:name w:val="TofSects(Section)"/>
    <w:basedOn w:val="OPCParaBase"/>
    <w:rsid w:val="00527711"/>
    <w:pPr>
      <w:keepLines/>
      <w:spacing w:before="40" w:line="240" w:lineRule="auto"/>
      <w:ind w:left="1588" w:hanging="794"/>
    </w:pPr>
    <w:rPr>
      <w:kern w:val="28"/>
      <w:sz w:val="18"/>
    </w:rPr>
  </w:style>
  <w:style w:type="paragraph" w:customStyle="1" w:styleId="TofSectsSubdiv">
    <w:name w:val="TofSects(Subdiv)"/>
    <w:basedOn w:val="OPCParaBase"/>
    <w:rsid w:val="00527711"/>
    <w:pPr>
      <w:keepLines/>
      <w:spacing w:before="80" w:line="240" w:lineRule="auto"/>
      <w:ind w:left="1588" w:hanging="794"/>
    </w:pPr>
    <w:rPr>
      <w:kern w:val="28"/>
    </w:rPr>
  </w:style>
  <w:style w:type="paragraph" w:customStyle="1" w:styleId="WRStyle">
    <w:name w:val="WR Style"/>
    <w:aliases w:val="WR"/>
    <w:basedOn w:val="OPCParaBase"/>
    <w:rsid w:val="00527711"/>
    <w:pPr>
      <w:spacing w:before="240" w:line="240" w:lineRule="auto"/>
      <w:ind w:left="284" w:hanging="284"/>
    </w:pPr>
    <w:rPr>
      <w:b/>
      <w:i/>
      <w:kern w:val="28"/>
      <w:sz w:val="24"/>
    </w:rPr>
  </w:style>
  <w:style w:type="paragraph" w:customStyle="1" w:styleId="notepara">
    <w:name w:val="note(para)"/>
    <w:aliases w:val="na"/>
    <w:basedOn w:val="OPCParaBase"/>
    <w:rsid w:val="00527711"/>
    <w:pPr>
      <w:spacing w:before="40" w:line="198" w:lineRule="exact"/>
      <w:ind w:left="2354" w:hanging="369"/>
    </w:pPr>
    <w:rPr>
      <w:sz w:val="18"/>
    </w:rPr>
  </w:style>
  <w:style w:type="paragraph" w:styleId="Footer">
    <w:name w:val="footer"/>
    <w:link w:val="FooterChar"/>
    <w:rsid w:val="005277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7711"/>
    <w:rPr>
      <w:rFonts w:eastAsia="Times New Roman" w:cs="Times New Roman"/>
      <w:sz w:val="22"/>
      <w:szCs w:val="24"/>
      <w:lang w:eastAsia="en-AU"/>
    </w:rPr>
  </w:style>
  <w:style w:type="character" w:styleId="LineNumber">
    <w:name w:val="line number"/>
    <w:basedOn w:val="OPCCharBase"/>
    <w:uiPriority w:val="99"/>
    <w:semiHidden/>
    <w:unhideWhenUsed/>
    <w:rsid w:val="00527711"/>
    <w:rPr>
      <w:sz w:val="16"/>
    </w:rPr>
  </w:style>
  <w:style w:type="table" w:customStyle="1" w:styleId="CFlag">
    <w:name w:val="CFlag"/>
    <w:basedOn w:val="TableNormal"/>
    <w:uiPriority w:val="99"/>
    <w:rsid w:val="00527711"/>
    <w:rPr>
      <w:rFonts w:eastAsia="Times New Roman" w:cs="Times New Roman"/>
      <w:lang w:eastAsia="en-AU"/>
    </w:rPr>
    <w:tblPr/>
  </w:style>
  <w:style w:type="paragraph" w:styleId="BalloonText">
    <w:name w:val="Balloon Text"/>
    <w:basedOn w:val="Normal"/>
    <w:link w:val="BalloonTextChar"/>
    <w:uiPriority w:val="99"/>
    <w:semiHidden/>
    <w:unhideWhenUsed/>
    <w:rsid w:val="00527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11"/>
    <w:rPr>
      <w:rFonts w:ascii="Tahoma" w:hAnsi="Tahoma" w:cs="Tahoma"/>
      <w:sz w:val="16"/>
      <w:szCs w:val="16"/>
    </w:rPr>
  </w:style>
  <w:style w:type="table" w:styleId="TableGrid">
    <w:name w:val="Table Grid"/>
    <w:basedOn w:val="TableNormal"/>
    <w:uiPriority w:val="59"/>
    <w:rsid w:val="0052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7711"/>
    <w:rPr>
      <w:b/>
      <w:sz w:val="28"/>
      <w:szCs w:val="32"/>
    </w:rPr>
  </w:style>
  <w:style w:type="paragraph" w:customStyle="1" w:styleId="LegislationMadeUnder">
    <w:name w:val="LegislationMadeUnder"/>
    <w:basedOn w:val="OPCParaBase"/>
    <w:next w:val="Normal"/>
    <w:rsid w:val="00527711"/>
    <w:rPr>
      <w:i/>
      <w:sz w:val="32"/>
      <w:szCs w:val="32"/>
    </w:rPr>
  </w:style>
  <w:style w:type="paragraph" w:customStyle="1" w:styleId="SignCoverPageEnd">
    <w:name w:val="SignCoverPageEnd"/>
    <w:basedOn w:val="OPCParaBase"/>
    <w:next w:val="Normal"/>
    <w:rsid w:val="0052771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7711"/>
    <w:pPr>
      <w:pBdr>
        <w:top w:val="single" w:sz="4" w:space="1" w:color="auto"/>
      </w:pBdr>
      <w:spacing w:before="360"/>
      <w:ind w:right="397"/>
      <w:jc w:val="both"/>
    </w:pPr>
  </w:style>
  <w:style w:type="paragraph" w:customStyle="1" w:styleId="NotesHeading1">
    <w:name w:val="NotesHeading 1"/>
    <w:basedOn w:val="OPCParaBase"/>
    <w:next w:val="Normal"/>
    <w:rsid w:val="00527711"/>
    <w:rPr>
      <w:b/>
      <w:sz w:val="28"/>
      <w:szCs w:val="28"/>
    </w:rPr>
  </w:style>
  <w:style w:type="paragraph" w:customStyle="1" w:styleId="NotesHeading2">
    <w:name w:val="NotesHeading 2"/>
    <w:basedOn w:val="OPCParaBase"/>
    <w:next w:val="Normal"/>
    <w:rsid w:val="00527711"/>
    <w:rPr>
      <w:b/>
      <w:sz w:val="28"/>
      <w:szCs w:val="28"/>
    </w:rPr>
  </w:style>
  <w:style w:type="paragraph" w:customStyle="1" w:styleId="ENotesText">
    <w:name w:val="ENotesText"/>
    <w:aliases w:val="Ent"/>
    <w:basedOn w:val="OPCParaBase"/>
    <w:next w:val="Normal"/>
    <w:rsid w:val="00527711"/>
    <w:pPr>
      <w:spacing w:before="120"/>
    </w:pPr>
  </w:style>
  <w:style w:type="paragraph" w:customStyle="1" w:styleId="CompiledActNo">
    <w:name w:val="CompiledActNo"/>
    <w:basedOn w:val="OPCParaBase"/>
    <w:next w:val="Normal"/>
    <w:rsid w:val="00527711"/>
    <w:rPr>
      <w:b/>
      <w:sz w:val="24"/>
      <w:szCs w:val="24"/>
    </w:rPr>
  </w:style>
  <w:style w:type="paragraph" w:customStyle="1" w:styleId="CompiledMadeUnder">
    <w:name w:val="CompiledMadeUnder"/>
    <w:basedOn w:val="OPCParaBase"/>
    <w:next w:val="Normal"/>
    <w:rsid w:val="00527711"/>
    <w:rPr>
      <w:i/>
      <w:sz w:val="24"/>
      <w:szCs w:val="24"/>
    </w:rPr>
  </w:style>
  <w:style w:type="paragraph" w:customStyle="1" w:styleId="Paragraphsub-sub-sub">
    <w:name w:val="Paragraph(sub-sub-sub)"/>
    <w:aliases w:val="aaaa"/>
    <w:basedOn w:val="OPCParaBase"/>
    <w:rsid w:val="005277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7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7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7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7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7711"/>
    <w:pPr>
      <w:spacing w:before="60" w:line="240" w:lineRule="auto"/>
    </w:pPr>
    <w:rPr>
      <w:rFonts w:cs="Arial"/>
      <w:sz w:val="20"/>
      <w:szCs w:val="22"/>
    </w:rPr>
  </w:style>
  <w:style w:type="paragraph" w:customStyle="1" w:styleId="NoteToSubpara">
    <w:name w:val="NoteToSubpara"/>
    <w:aliases w:val="nts"/>
    <w:basedOn w:val="OPCParaBase"/>
    <w:rsid w:val="00527711"/>
    <w:pPr>
      <w:spacing w:before="40" w:line="198" w:lineRule="exact"/>
      <w:ind w:left="2835" w:hanging="709"/>
    </w:pPr>
    <w:rPr>
      <w:sz w:val="18"/>
    </w:rPr>
  </w:style>
  <w:style w:type="paragraph" w:customStyle="1" w:styleId="ENoteTableHeading">
    <w:name w:val="ENoteTableHeading"/>
    <w:aliases w:val="enth"/>
    <w:basedOn w:val="OPCParaBase"/>
    <w:rsid w:val="00527711"/>
    <w:pPr>
      <w:keepNext/>
      <w:spacing w:before="60" w:line="240" w:lineRule="atLeast"/>
    </w:pPr>
    <w:rPr>
      <w:rFonts w:ascii="Arial" w:hAnsi="Arial"/>
      <w:b/>
      <w:sz w:val="16"/>
    </w:rPr>
  </w:style>
  <w:style w:type="paragraph" w:customStyle="1" w:styleId="ENoteTTi">
    <w:name w:val="ENoteTTi"/>
    <w:aliases w:val="entti"/>
    <w:basedOn w:val="OPCParaBase"/>
    <w:rsid w:val="00527711"/>
    <w:pPr>
      <w:keepNext/>
      <w:spacing w:before="60" w:line="240" w:lineRule="atLeast"/>
      <w:ind w:left="170"/>
    </w:pPr>
    <w:rPr>
      <w:sz w:val="16"/>
    </w:rPr>
  </w:style>
  <w:style w:type="paragraph" w:customStyle="1" w:styleId="ENotesHeading1">
    <w:name w:val="ENotesHeading 1"/>
    <w:aliases w:val="Enh1"/>
    <w:basedOn w:val="OPCParaBase"/>
    <w:next w:val="Normal"/>
    <w:rsid w:val="00527711"/>
    <w:pPr>
      <w:spacing w:before="120"/>
      <w:outlineLvl w:val="1"/>
    </w:pPr>
    <w:rPr>
      <w:b/>
      <w:sz w:val="28"/>
      <w:szCs w:val="28"/>
    </w:rPr>
  </w:style>
  <w:style w:type="paragraph" w:customStyle="1" w:styleId="ENotesHeading2">
    <w:name w:val="ENotesHeading 2"/>
    <w:aliases w:val="Enh2"/>
    <w:basedOn w:val="OPCParaBase"/>
    <w:next w:val="Normal"/>
    <w:rsid w:val="00527711"/>
    <w:pPr>
      <w:spacing w:before="120" w:after="120"/>
      <w:outlineLvl w:val="2"/>
    </w:pPr>
    <w:rPr>
      <w:b/>
      <w:sz w:val="24"/>
      <w:szCs w:val="28"/>
    </w:rPr>
  </w:style>
  <w:style w:type="paragraph" w:customStyle="1" w:styleId="ENoteTTIndentHeading">
    <w:name w:val="ENoteTTIndentHeading"/>
    <w:aliases w:val="enTTHi"/>
    <w:basedOn w:val="OPCParaBase"/>
    <w:rsid w:val="005277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711"/>
    <w:pPr>
      <w:spacing w:before="60" w:line="240" w:lineRule="atLeast"/>
    </w:pPr>
    <w:rPr>
      <w:sz w:val="16"/>
    </w:rPr>
  </w:style>
  <w:style w:type="paragraph" w:customStyle="1" w:styleId="MadeunderText">
    <w:name w:val="MadeunderText"/>
    <w:basedOn w:val="OPCParaBase"/>
    <w:next w:val="CompiledMadeUnder"/>
    <w:rsid w:val="00527711"/>
    <w:pPr>
      <w:spacing w:before="240"/>
    </w:pPr>
    <w:rPr>
      <w:sz w:val="24"/>
      <w:szCs w:val="24"/>
    </w:rPr>
  </w:style>
  <w:style w:type="paragraph" w:customStyle="1" w:styleId="ENotesHeading3">
    <w:name w:val="ENotesHeading 3"/>
    <w:aliases w:val="Enh3"/>
    <w:basedOn w:val="OPCParaBase"/>
    <w:next w:val="Normal"/>
    <w:rsid w:val="00527711"/>
    <w:pPr>
      <w:keepNext/>
      <w:spacing w:before="120" w:line="240" w:lineRule="auto"/>
      <w:outlineLvl w:val="4"/>
    </w:pPr>
    <w:rPr>
      <w:b/>
      <w:szCs w:val="24"/>
    </w:rPr>
  </w:style>
  <w:style w:type="character" w:customStyle="1" w:styleId="CharSubPartTextCASA">
    <w:name w:val="CharSubPartText(CASA)"/>
    <w:basedOn w:val="OPCCharBase"/>
    <w:uiPriority w:val="1"/>
    <w:rsid w:val="00527711"/>
  </w:style>
  <w:style w:type="character" w:customStyle="1" w:styleId="CharSubPartNoCASA">
    <w:name w:val="CharSubPartNo(CASA)"/>
    <w:basedOn w:val="OPCCharBase"/>
    <w:uiPriority w:val="1"/>
    <w:rsid w:val="00527711"/>
  </w:style>
  <w:style w:type="paragraph" w:customStyle="1" w:styleId="ENoteTTIndentHeadingSub">
    <w:name w:val="ENoteTTIndentHeadingSub"/>
    <w:aliases w:val="enTTHis"/>
    <w:basedOn w:val="OPCParaBase"/>
    <w:rsid w:val="00527711"/>
    <w:pPr>
      <w:keepNext/>
      <w:spacing w:before="60" w:line="240" w:lineRule="atLeast"/>
      <w:ind w:left="340"/>
    </w:pPr>
    <w:rPr>
      <w:b/>
      <w:sz w:val="16"/>
    </w:rPr>
  </w:style>
  <w:style w:type="paragraph" w:customStyle="1" w:styleId="ENoteTTiSub">
    <w:name w:val="ENoteTTiSub"/>
    <w:aliases w:val="enttis"/>
    <w:basedOn w:val="OPCParaBase"/>
    <w:rsid w:val="00527711"/>
    <w:pPr>
      <w:keepNext/>
      <w:spacing w:before="60" w:line="240" w:lineRule="atLeast"/>
      <w:ind w:left="340"/>
    </w:pPr>
    <w:rPr>
      <w:sz w:val="16"/>
    </w:rPr>
  </w:style>
  <w:style w:type="paragraph" w:customStyle="1" w:styleId="SubDivisionMigration">
    <w:name w:val="SubDivisionMigration"/>
    <w:aliases w:val="sdm"/>
    <w:basedOn w:val="OPCParaBase"/>
    <w:rsid w:val="005277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7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771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277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7711"/>
    <w:rPr>
      <w:sz w:val="22"/>
    </w:rPr>
  </w:style>
  <w:style w:type="paragraph" w:customStyle="1" w:styleId="SOTextNote">
    <w:name w:val="SO TextNote"/>
    <w:aliases w:val="sont"/>
    <w:basedOn w:val="SOText"/>
    <w:qFormat/>
    <w:rsid w:val="00527711"/>
    <w:pPr>
      <w:spacing w:before="122" w:line="198" w:lineRule="exact"/>
      <w:ind w:left="1843" w:hanging="709"/>
    </w:pPr>
    <w:rPr>
      <w:sz w:val="18"/>
    </w:rPr>
  </w:style>
  <w:style w:type="paragraph" w:customStyle="1" w:styleId="SOPara">
    <w:name w:val="SO Para"/>
    <w:aliases w:val="soa"/>
    <w:basedOn w:val="SOText"/>
    <w:link w:val="SOParaChar"/>
    <w:qFormat/>
    <w:rsid w:val="00527711"/>
    <w:pPr>
      <w:tabs>
        <w:tab w:val="right" w:pos="1786"/>
      </w:tabs>
      <w:spacing w:before="40"/>
      <w:ind w:left="2070" w:hanging="936"/>
    </w:pPr>
  </w:style>
  <w:style w:type="character" w:customStyle="1" w:styleId="SOParaChar">
    <w:name w:val="SO Para Char"/>
    <w:aliases w:val="soa Char"/>
    <w:basedOn w:val="DefaultParagraphFont"/>
    <w:link w:val="SOPara"/>
    <w:rsid w:val="00527711"/>
    <w:rPr>
      <w:sz w:val="22"/>
    </w:rPr>
  </w:style>
  <w:style w:type="paragraph" w:customStyle="1" w:styleId="FileName">
    <w:name w:val="FileName"/>
    <w:basedOn w:val="Normal"/>
    <w:rsid w:val="00527711"/>
  </w:style>
  <w:style w:type="paragraph" w:customStyle="1" w:styleId="TableHeading">
    <w:name w:val="TableHeading"/>
    <w:aliases w:val="th"/>
    <w:basedOn w:val="OPCParaBase"/>
    <w:next w:val="Tabletext"/>
    <w:rsid w:val="00527711"/>
    <w:pPr>
      <w:keepNext/>
      <w:spacing w:before="60" w:line="240" w:lineRule="atLeast"/>
    </w:pPr>
    <w:rPr>
      <w:b/>
      <w:sz w:val="20"/>
    </w:rPr>
  </w:style>
  <w:style w:type="paragraph" w:customStyle="1" w:styleId="SOHeadBold">
    <w:name w:val="SO HeadBold"/>
    <w:aliases w:val="sohb"/>
    <w:basedOn w:val="SOText"/>
    <w:next w:val="SOText"/>
    <w:link w:val="SOHeadBoldChar"/>
    <w:qFormat/>
    <w:rsid w:val="00527711"/>
    <w:rPr>
      <w:b/>
    </w:rPr>
  </w:style>
  <w:style w:type="character" w:customStyle="1" w:styleId="SOHeadBoldChar">
    <w:name w:val="SO HeadBold Char"/>
    <w:aliases w:val="sohb Char"/>
    <w:basedOn w:val="DefaultParagraphFont"/>
    <w:link w:val="SOHeadBold"/>
    <w:rsid w:val="00527711"/>
    <w:rPr>
      <w:b/>
      <w:sz w:val="22"/>
    </w:rPr>
  </w:style>
  <w:style w:type="paragraph" w:customStyle="1" w:styleId="SOHeadItalic">
    <w:name w:val="SO HeadItalic"/>
    <w:aliases w:val="sohi"/>
    <w:basedOn w:val="SOText"/>
    <w:next w:val="SOText"/>
    <w:link w:val="SOHeadItalicChar"/>
    <w:qFormat/>
    <w:rsid w:val="00527711"/>
    <w:rPr>
      <w:i/>
    </w:rPr>
  </w:style>
  <w:style w:type="character" w:customStyle="1" w:styleId="SOHeadItalicChar">
    <w:name w:val="SO HeadItalic Char"/>
    <w:aliases w:val="sohi Char"/>
    <w:basedOn w:val="DefaultParagraphFont"/>
    <w:link w:val="SOHeadItalic"/>
    <w:rsid w:val="00527711"/>
    <w:rPr>
      <w:i/>
      <w:sz w:val="22"/>
    </w:rPr>
  </w:style>
  <w:style w:type="paragraph" w:customStyle="1" w:styleId="SOBullet">
    <w:name w:val="SO Bullet"/>
    <w:aliases w:val="sotb"/>
    <w:basedOn w:val="SOText"/>
    <w:link w:val="SOBulletChar"/>
    <w:qFormat/>
    <w:rsid w:val="00527711"/>
    <w:pPr>
      <w:ind w:left="1559" w:hanging="425"/>
    </w:pPr>
  </w:style>
  <w:style w:type="character" w:customStyle="1" w:styleId="SOBulletChar">
    <w:name w:val="SO Bullet Char"/>
    <w:aliases w:val="sotb Char"/>
    <w:basedOn w:val="DefaultParagraphFont"/>
    <w:link w:val="SOBullet"/>
    <w:rsid w:val="00527711"/>
    <w:rPr>
      <w:sz w:val="22"/>
    </w:rPr>
  </w:style>
  <w:style w:type="paragraph" w:customStyle="1" w:styleId="SOBulletNote">
    <w:name w:val="SO BulletNote"/>
    <w:aliases w:val="sonb"/>
    <w:basedOn w:val="SOTextNote"/>
    <w:link w:val="SOBulletNoteChar"/>
    <w:qFormat/>
    <w:rsid w:val="00527711"/>
    <w:pPr>
      <w:tabs>
        <w:tab w:val="left" w:pos="1560"/>
      </w:tabs>
      <w:ind w:left="2268" w:hanging="1134"/>
    </w:pPr>
  </w:style>
  <w:style w:type="character" w:customStyle="1" w:styleId="SOBulletNoteChar">
    <w:name w:val="SO BulletNote Char"/>
    <w:aliases w:val="sonb Char"/>
    <w:basedOn w:val="DefaultParagraphFont"/>
    <w:link w:val="SOBulletNote"/>
    <w:rsid w:val="00527711"/>
    <w:rPr>
      <w:sz w:val="18"/>
    </w:rPr>
  </w:style>
  <w:style w:type="paragraph" w:customStyle="1" w:styleId="SOText2">
    <w:name w:val="SO Text2"/>
    <w:aliases w:val="sot2"/>
    <w:basedOn w:val="Normal"/>
    <w:next w:val="SOText"/>
    <w:link w:val="SOText2Char"/>
    <w:rsid w:val="005277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7711"/>
    <w:rPr>
      <w:sz w:val="22"/>
    </w:rPr>
  </w:style>
  <w:style w:type="paragraph" w:customStyle="1" w:styleId="SubPartCASA">
    <w:name w:val="SubPart(CASA)"/>
    <w:aliases w:val="csp"/>
    <w:basedOn w:val="OPCParaBase"/>
    <w:next w:val="ActHead3"/>
    <w:rsid w:val="005277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7711"/>
    <w:rPr>
      <w:rFonts w:eastAsia="Times New Roman" w:cs="Times New Roman"/>
      <w:sz w:val="22"/>
      <w:lang w:eastAsia="en-AU"/>
    </w:rPr>
  </w:style>
  <w:style w:type="character" w:customStyle="1" w:styleId="notetextChar">
    <w:name w:val="note(text) Char"/>
    <w:aliases w:val="n Char"/>
    <w:basedOn w:val="DefaultParagraphFont"/>
    <w:link w:val="notetext"/>
    <w:rsid w:val="00527711"/>
    <w:rPr>
      <w:rFonts w:eastAsia="Times New Roman" w:cs="Times New Roman"/>
      <w:sz w:val="18"/>
      <w:lang w:eastAsia="en-AU"/>
    </w:rPr>
  </w:style>
  <w:style w:type="character" w:customStyle="1" w:styleId="Heading1Char">
    <w:name w:val="Heading 1 Char"/>
    <w:basedOn w:val="DefaultParagraphFont"/>
    <w:link w:val="Heading1"/>
    <w:uiPriority w:val="9"/>
    <w:rsid w:val="005277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77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77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77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77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77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77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77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771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711"/>
    <w:pPr>
      <w:spacing w:line="260" w:lineRule="atLeast"/>
    </w:pPr>
    <w:rPr>
      <w:sz w:val="22"/>
    </w:rPr>
  </w:style>
  <w:style w:type="paragraph" w:styleId="Heading1">
    <w:name w:val="heading 1"/>
    <w:basedOn w:val="Normal"/>
    <w:next w:val="Normal"/>
    <w:link w:val="Heading1Char"/>
    <w:uiPriority w:val="9"/>
    <w:qFormat/>
    <w:rsid w:val="00527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77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77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77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77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77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77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77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77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7711"/>
  </w:style>
  <w:style w:type="paragraph" w:customStyle="1" w:styleId="OPCParaBase">
    <w:name w:val="OPCParaBase"/>
    <w:qFormat/>
    <w:rsid w:val="00527711"/>
    <w:pPr>
      <w:spacing w:line="260" w:lineRule="atLeast"/>
    </w:pPr>
    <w:rPr>
      <w:rFonts w:eastAsia="Times New Roman" w:cs="Times New Roman"/>
      <w:sz w:val="22"/>
      <w:lang w:eastAsia="en-AU"/>
    </w:rPr>
  </w:style>
  <w:style w:type="paragraph" w:customStyle="1" w:styleId="ShortT">
    <w:name w:val="ShortT"/>
    <w:basedOn w:val="OPCParaBase"/>
    <w:next w:val="Normal"/>
    <w:qFormat/>
    <w:rsid w:val="00527711"/>
    <w:pPr>
      <w:spacing w:line="240" w:lineRule="auto"/>
    </w:pPr>
    <w:rPr>
      <w:b/>
      <w:sz w:val="40"/>
    </w:rPr>
  </w:style>
  <w:style w:type="paragraph" w:customStyle="1" w:styleId="ActHead1">
    <w:name w:val="ActHead 1"/>
    <w:aliases w:val="c"/>
    <w:basedOn w:val="OPCParaBase"/>
    <w:next w:val="Normal"/>
    <w:qFormat/>
    <w:rsid w:val="005277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7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7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7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77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7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7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7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7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711"/>
  </w:style>
  <w:style w:type="paragraph" w:customStyle="1" w:styleId="Blocks">
    <w:name w:val="Blocks"/>
    <w:aliases w:val="bb"/>
    <w:basedOn w:val="OPCParaBase"/>
    <w:qFormat/>
    <w:rsid w:val="00527711"/>
    <w:pPr>
      <w:spacing w:line="240" w:lineRule="auto"/>
    </w:pPr>
    <w:rPr>
      <w:sz w:val="24"/>
    </w:rPr>
  </w:style>
  <w:style w:type="paragraph" w:customStyle="1" w:styleId="BoxText">
    <w:name w:val="BoxText"/>
    <w:aliases w:val="bt"/>
    <w:basedOn w:val="OPCParaBase"/>
    <w:qFormat/>
    <w:rsid w:val="005277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711"/>
    <w:rPr>
      <w:b/>
    </w:rPr>
  </w:style>
  <w:style w:type="paragraph" w:customStyle="1" w:styleId="BoxHeadItalic">
    <w:name w:val="BoxHeadItalic"/>
    <w:aliases w:val="bhi"/>
    <w:basedOn w:val="BoxText"/>
    <w:next w:val="BoxStep"/>
    <w:qFormat/>
    <w:rsid w:val="00527711"/>
    <w:rPr>
      <w:i/>
    </w:rPr>
  </w:style>
  <w:style w:type="paragraph" w:customStyle="1" w:styleId="BoxList">
    <w:name w:val="BoxList"/>
    <w:aliases w:val="bl"/>
    <w:basedOn w:val="BoxText"/>
    <w:qFormat/>
    <w:rsid w:val="00527711"/>
    <w:pPr>
      <w:ind w:left="1559" w:hanging="425"/>
    </w:pPr>
  </w:style>
  <w:style w:type="paragraph" w:customStyle="1" w:styleId="BoxNote">
    <w:name w:val="BoxNote"/>
    <w:aliases w:val="bn"/>
    <w:basedOn w:val="BoxText"/>
    <w:qFormat/>
    <w:rsid w:val="00527711"/>
    <w:pPr>
      <w:tabs>
        <w:tab w:val="left" w:pos="1985"/>
      </w:tabs>
      <w:spacing w:before="122" w:line="198" w:lineRule="exact"/>
      <w:ind w:left="2948" w:hanging="1814"/>
    </w:pPr>
    <w:rPr>
      <w:sz w:val="18"/>
    </w:rPr>
  </w:style>
  <w:style w:type="paragraph" w:customStyle="1" w:styleId="BoxPara">
    <w:name w:val="BoxPara"/>
    <w:aliases w:val="bp"/>
    <w:basedOn w:val="BoxText"/>
    <w:qFormat/>
    <w:rsid w:val="00527711"/>
    <w:pPr>
      <w:tabs>
        <w:tab w:val="right" w:pos="2268"/>
      </w:tabs>
      <w:ind w:left="2552" w:hanging="1418"/>
    </w:pPr>
  </w:style>
  <w:style w:type="paragraph" w:customStyle="1" w:styleId="BoxStep">
    <w:name w:val="BoxStep"/>
    <w:aliases w:val="bs"/>
    <w:basedOn w:val="BoxText"/>
    <w:qFormat/>
    <w:rsid w:val="00527711"/>
    <w:pPr>
      <w:ind w:left="1985" w:hanging="851"/>
    </w:pPr>
  </w:style>
  <w:style w:type="character" w:customStyle="1" w:styleId="CharAmPartNo">
    <w:name w:val="CharAmPartNo"/>
    <w:basedOn w:val="OPCCharBase"/>
    <w:qFormat/>
    <w:rsid w:val="00527711"/>
  </w:style>
  <w:style w:type="character" w:customStyle="1" w:styleId="CharAmPartText">
    <w:name w:val="CharAmPartText"/>
    <w:basedOn w:val="OPCCharBase"/>
    <w:qFormat/>
    <w:rsid w:val="00527711"/>
  </w:style>
  <w:style w:type="character" w:customStyle="1" w:styleId="CharAmSchNo">
    <w:name w:val="CharAmSchNo"/>
    <w:basedOn w:val="OPCCharBase"/>
    <w:qFormat/>
    <w:rsid w:val="00527711"/>
  </w:style>
  <w:style w:type="character" w:customStyle="1" w:styleId="CharAmSchText">
    <w:name w:val="CharAmSchText"/>
    <w:basedOn w:val="OPCCharBase"/>
    <w:qFormat/>
    <w:rsid w:val="00527711"/>
  </w:style>
  <w:style w:type="character" w:customStyle="1" w:styleId="CharBoldItalic">
    <w:name w:val="CharBoldItalic"/>
    <w:basedOn w:val="OPCCharBase"/>
    <w:uiPriority w:val="1"/>
    <w:qFormat/>
    <w:rsid w:val="00527711"/>
    <w:rPr>
      <w:b/>
      <w:i/>
    </w:rPr>
  </w:style>
  <w:style w:type="character" w:customStyle="1" w:styleId="CharChapNo">
    <w:name w:val="CharChapNo"/>
    <w:basedOn w:val="OPCCharBase"/>
    <w:uiPriority w:val="1"/>
    <w:qFormat/>
    <w:rsid w:val="00527711"/>
  </w:style>
  <w:style w:type="character" w:customStyle="1" w:styleId="CharChapText">
    <w:name w:val="CharChapText"/>
    <w:basedOn w:val="OPCCharBase"/>
    <w:uiPriority w:val="1"/>
    <w:qFormat/>
    <w:rsid w:val="00527711"/>
  </w:style>
  <w:style w:type="character" w:customStyle="1" w:styleId="CharDivNo">
    <w:name w:val="CharDivNo"/>
    <w:basedOn w:val="OPCCharBase"/>
    <w:uiPriority w:val="1"/>
    <w:qFormat/>
    <w:rsid w:val="00527711"/>
  </w:style>
  <w:style w:type="character" w:customStyle="1" w:styleId="CharDivText">
    <w:name w:val="CharDivText"/>
    <w:basedOn w:val="OPCCharBase"/>
    <w:uiPriority w:val="1"/>
    <w:qFormat/>
    <w:rsid w:val="00527711"/>
  </w:style>
  <w:style w:type="character" w:customStyle="1" w:styleId="CharItalic">
    <w:name w:val="CharItalic"/>
    <w:basedOn w:val="OPCCharBase"/>
    <w:uiPriority w:val="1"/>
    <w:qFormat/>
    <w:rsid w:val="00527711"/>
    <w:rPr>
      <w:i/>
    </w:rPr>
  </w:style>
  <w:style w:type="character" w:customStyle="1" w:styleId="CharPartNo">
    <w:name w:val="CharPartNo"/>
    <w:basedOn w:val="OPCCharBase"/>
    <w:uiPriority w:val="1"/>
    <w:qFormat/>
    <w:rsid w:val="00527711"/>
  </w:style>
  <w:style w:type="character" w:customStyle="1" w:styleId="CharPartText">
    <w:name w:val="CharPartText"/>
    <w:basedOn w:val="OPCCharBase"/>
    <w:uiPriority w:val="1"/>
    <w:qFormat/>
    <w:rsid w:val="00527711"/>
  </w:style>
  <w:style w:type="character" w:customStyle="1" w:styleId="CharSectno">
    <w:name w:val="CharSectno"/>
    <w:basedOn w:val="OPCCharBase"/>
    <w:qFormat/>
    <w:rsid w:val="00527711"/>
  </w:style>
  <w:style w:type="character" w:customStyle="1" w:styleId="CharSubdNo">
    <w:name w:val="CharSubdNo"/>
    <w:basedOn w:val="OPCCharBase"/>
    <w:uiPriority w:val="1"/>
    <w:qFormat/>
    <w:rsid w:val="00527711"/>
  </w:style>
  <w:style w:type="character" w:customStyle="1" w:styleId="CharSubdText">
    <w:name w:val="CharSubdText"/>
    <w:basedOn w:val="OPCCharBase"/>
    <w:uiPriority w:val="1"/>
    <w:qFormat/>
    <w:rsid w:val="00527711"/>
  </w:style>
  <w:style w:type="paragraph" w:customStyle="1" w:styleId="CTA--">
    <w:name w:val="CTA --"/>
    <w:basedOn w:val="OPCParaBase"/>
    <w:next w:val="Normal"/>
    <w:rsid w:val="00527711"/>
    <w:pPr>
      <w:spacing w:before="60" w:line="240" w:lineRule="atLeast"/>
      <w:ind w:left="142" w:hanging="142"/>
    </w:pPr>
    <w:rPr>
      <w:sz w:val="20"/>
    </w:rPr>
  </w:style>
  <w:style w:type="paragraph" w:customStyle="1" w:styleId="CTA-">
    <w:name w:val="CTA -"/>
    <w:basedOn w:val="OPCParaBase"/>
    <w:rsid w:val="00527711"/>
    <w:pPr>
      <w:spacing w:before="60" w:line="240" w:lineRule="atLeast"/>
      <w:ind w:left="85" w:hanging="85"/>
    </w:pPr>
    <w:rPr>
      <w:sz w:val="20"/>
    </w:rPr>
  </w:style>
  <w:style w:type="paragraph" w:customStyle="1" w:styleId="CTA---">
    <w:name w:val="CTA ---"/>
    <w:basedOn w:val="OPCParaBase"/>
    <w:next w:val="Normal"/>
    <w:rsid w:val="00527711"/>
    <w:pPr>
      <w:spacing w:before="60" w:line="240" w:lineRule="atLeast"/>
      <w:ind w:left="198" w:hanging="198"/>
    </w:pPr>
    <w:rPr>
      <w:sz w:val="20"/>
    </w:rPr>
  </w:style>
  <w:style w:type="paragraph" w:customStyle="1" w:styleId="CTA----">
    <w:name w:val="CTA ----"/>
    <w:basedOn w:val="OPCParaBase"/>
    <w:next w:val="Normal"/>
    <w:rsid w:val="00527711"/>
    <w:pPr>
      <w:spacing w:before="60" w:line="240" w:lineRule="atLeast"/>
      <w:ind w:left="255" w:hanging="255"/>
    </w:pPr>
    <w:rPr>
      <w:sz w:val="20"/>
    </w:rPr>
  </w:style>
  <w:style w:type="paragraph" w:customStyle="1" w:styleId="CTA1a">
    <w:name w:val="CTA 1(a)"/>
    <w:basedOn w:val="OPCParaBase"/>
    <w:rsid w:val="00527711"/>
    <w:pPr>
      <w:tabs>
        <w:tab w:val="right" w:pos="414"/>
      </w:tabs>
      <w:spacing w:before="40" w:line="240" w:lineRule="atLeast"/>
      <w:ind w:left="675" w:hanging="675"/>
    </w:pPr>
    <w:rPr>
      <w:sz w:val="20"/>
    </w:rPr>
  </w:style>
  <w:style w:type="paragraph" w:customStyle="1" w:styleId="CTA1ai">
    <w:name w:val="CTA 1(a)(i)"/>
    <w:basedOn w:val="OPCParaBase"/>
    <w:rsid w:val="00527711"/>
    <w:pPr>
      <w:tabs>
        <w:tab w:val="right" w:pos="1004"/>
      </w:tabs>
      <w:spacing w:before="40" w:line="240" w:lineRule="atLeast"/>
      <w:ind w:left="1253" w:hanging="1253"/>
    </w:pPr>
    <w:rPr>
      <w:sz w:val="20"/>
    </w:rPr>
  </w:style>
  <w:style w:type="paragraph" w:customStyle="1" w:styleId="CTA2a">
    <w:name w:val="CTA 2(a)"/>
    <w:basedOn w:val="OPCParaBase"/>
    <w:rsid w:val="00527711"/>
    <w:pPr>
      <w:tabs>
        <w:tab w:val="right" w:pos="482"/>
      </w:tabs>
      <w:spacing w:before="40" w:line="240" w:lineRule="atLeast"/>
      <w:ind w:left="748" w:hanging="748"/>
    </w:pPr>
    <w:rPr>
      <w:sz w:val="20"/>
    </w:rPr>
  </w:style>
  <w:style w:type="paragraph" w:customStyle="1" w:styleId="CTA2ai">
    <w:name w:val="CTA 2(a)(i)"/>
    <w:basedOn w:val="OPCParaBase"/>
    <w:rsid w:val="00527711"/>
    <w:pPr>
      <w:tabs>
        <w:tab w:val="right" w:pos="1089"/>
      </w:tabs>
      <w:spacing w:before="40" w:line="240" w:lineRule="atLeast"/>
      <w:ind w:left="1327" w:hanging="1327"/>
    </w:pPr>
    <w:rPr>
      <w:sz w:val="20"/>
    </w:rPr>
  </w:style>
  <w:style w:type="paragraph" w:customStyle="1" w:styleId="CTA3a">
    <w:name w:val="CTA 3(a)"/>
    <w:basedOn w:val="OPCParaBase"/>
    <w:rsid w:val="00527711"/>
    <w:pPr>
      <w:tabs>
        <w:tab w:val="right" w:pos="556"/>
      </w:tabs>
      <w:spacing w:before="40" w:line="240" w:lineRule="atLeast"/>
      <w:ind w:left="805" w:hanging="805"/>
    </w:pPr>
    <w:rPr>
      <w:sz w:val="20"/>
    </w:rPr>
  </w:style>
  <w:style w:type="paragraph" w:customStyle="1" w:styleId="CTA3ai">
    <w:name w:val="CTA 3(a)(i)"/>
    <w:basedOn w:val="OPCParaBase"/>
    <w:rsid w:val="00527711"/>
    <w:pPr>
      <w:tabs>
        <w:tab w:val="right" w:pos="1140"/>
      </w:tabs>
      <w:spacing w:before="40" w:line="240" w:lineRule="atLeast"/>
      <w:ind w:left="1361" w:hanging="1361"/>
    </w:pPr>
    <w:rPr>
      <w:sz w:val="20"/>
    </w:rPr>
  </w:style>
  <w:style w:type="paragraph" w:customStyle="1" w:styleId="CTA4a">
    <w:name w:val="CTA 4(a)"/>
    <w:basedOn w:val="OPCParaBase"/>
    <w:rsid w:val="00527711"/>
    <w:pPr>
      <w:tabs>
        <w:tab w:val="right" w:pos="624"/>
      </w:tabs>
      <w:spacing w:before="40" w:line="240" w:lineRule="atLeast"/>
      <w:ind w:left="873" w:hanging="873"/>
    </w:pPr>
    <w:rPr>
      <w:sz w:val="20"/>
    </w:rPr>
  </w:style>
  <w:style w:type="paragraph" w:customStyle="1" w:styleId="CTA4ai">
    <w:name w:val="CTA 4(a)(i)"/>
    <w:basedOn w:val="OPCParaBase"/>
    <w:rsid w:val="00527711"/>
    <w:pPr>
      <w:tabs>
        <w:tab w:val="right" w:pos="1213"/>
      </w:tabs>
      <w:spacing w:before="40" w:line="240" w:lineRule="atLeast"/>
      <w:ind w:left="1452" w:hanging="1452"/>
    </w:pPr>
    <w:rPr>
      <w:sz w:val="20"/>
    </w:rPr>
  </w:style>
  <w:style w:type="paragraph" w:customStyle="1" w:styleId="CTACAPS">
    <w:name w:val="CTA CAPS"/>
    <w:basedOn w:val="OPCParaBase"/>
    <w:rsid w:val="00527711"/>
    <w:pPr>
      <w:spacing w:before="60" w:line="240" w:lineRule="atLeast"/>
    </w:pPr>
    <w:rPr>
      <w:sz w:val="20"/>
    </w:rPr>
  </w:style>
  <w:style w:type="paragraph" w:customStyle="1" w:styleId="CTAright">
    <w:name w:val="CTA right"/>
    <w:basedOn w:val="OPCParaBase"/>
    <w:rsid w:val="00527711"/>
    <w:pPr>
      <w:spacing w:before="60" w:line="240" w:lineRule="auto"/>
      <w:jc w:val="right"/>
    </w:pPr>
    <w:rPr>
      <w:sz w:val="20"/>
    </w:rPr>
  </w:style>
  <w:style w:type="paragraph" w:customStyle="1" w:styleId="subsection">
    <w:name w:val="subsection"/>
    <w:aliases w:val="ss,Subsection"/>
    <w:basedOn w:val="OPCParaBase"/>
    <w:link w:val="subsectionChar"/>
    <w:rsid w:val="00527711"/>
    <w:pPr>
      <w:tabs>
        <w:tab w:val="right" w:pos="1021"/>
      </w:tabs>
      <w:spacing w:before="180" w:line="240" w:lineRule="auto"/>
      <w:ind w:left="1134" w:hanging="1134"/>
    </w:pPr>
  </w:style>
  <w:style w:type="paragraph" w:customStyle="1" w:styleId="Definition">
    <w:name w:val="Definition"/>
    <w:aliases w:val="dd"/>
    <w:basedOn w:val="OPCParaBase"/>
    <w:rsid w:val="00527711"/>
    <w:pPr>
      <w:spacing w:before="180" w:line="240" w:lineRule="auto"/>
      <w:ind w:left="1134"/>
    </w:pPr>
  </w:style>
  <w:style w:type="paragraph" w:customStyle="1" w:styleId="ETAsubitem">
    <w:name w:val="ETA(subitem)"/>
    <w:basedOn w:val="OPCParaBase"/>
    <w:rsid w:val="00527711"/>
    <w:pPr>
      <w:tabs>
        <w:tab w:val="right" w:pos="340"/>
      </w:tabs>
      <w:spacing w:before="60" w:line="240" w:lineRule="auto"/>
      <w:ind w:left="454" w:hanging="454"/>
    </w:pPr>
    <w:rPr>
      <w:sz w:val="20"/>
    </w:rPr>
  </w:style>
  <w:style w:type="paragraph" w:customStyle="1" w:styleId="ETApara">
    <w:name w:val="ETA(para)"/>
    <w:basedOn w:val="OPCParaBase"/>
    <w:rsid w:val="00527711"/>
    <w:pPr>
      <w:tabs>
        <w:tab w:val="right" w:pos="754"/>
      </w:tabs>
      <w:spacing w:before="60" w:line="240" w:lineRule="auto"/>
      <w:ind w:left="828" w:hanging="828"/>
    </w:pPr>
    <w:rPr>
      <w:sz w:val="20"/>
    </w:rPr>
  </w:style>
  <w:style w:type="paragraph" w:customStyle="1" w:styleId="ETAsubpara">
    <w:name w:val="ETA(subpara)"/>
    <w:basedOn w:val="OPCParaBase"/>
    <w:rsid w:val="00527711"/>
    <w:pPr>
      <w:tabs>
        <w:tab w:val="right" w:pos="1083"/>
      </w:tabs>
      <w:spacing w:before="60" w:line="240" w:lineRule="auto"/>
      <w:ind w:left="1191" w:hanging="1191"/>
    </w:pPr>
    <w:rPr>
      <w:sz w:val="20"/>
    </w:rPr>
  </w:style>
  <w:style w:type="paragraph" w:customStyle="1" w:styleId="ETAsub-subpara">
    <w:name w:val="ETA(sub-subpara)"/>
    <w:basedOn w:val="OPCParaBase"/>
    <w:rsid w:val="00527711"/>
    <w:pPr>
      <w:tabs>
        <w:tab w:val="right" w:pos="1412"/>
      </w:tabs>
      <w:spacing w:before="60" w:line="240" w:lineRule="auto"/>
      <w:ind w:left="1525" w:hanging="1525"/>
    </w:pPr>
    <w:rPr>
      <w:sz w:val="20"/>
    </w:rPr>
  </w:style>
  <w:style w:type="paragraph" w:customStyle="1" w:styleId="Formula">
    <w:name w:val="Formula"/>
    <w:basedOn w:val="OPCParaBase"/>
    <w:rsid w:val="00527711"/>
    <w:pPr>
      <w:spacing w:line="240" w:lineRule="auto"/>
      <w:ind w:left="1134"/>
    </w:pPr>
    <w:rPr>
      <w:sz w:val="20"/>
    </w:rPr>
  </w:style>
  <w:style w:type="paragraph" w:styleId="Header">
    <w:name w:val="header"/>
    <w:basedOn w:val="OPCParaBase"/>
    <w:link w:val="HeaderChar"/>
    <w:unhideWhenUsed/>
    <w:rsid w:val="005277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7711"/>
    <w:rPr>
      <w:rFonts w:eastAsia="Times New Roman" w:cs="Times New Roman"/>
      <w:sz w:val="16"/>
      <w:lang w:eastAsia="en-AU"/>
    </w:rPr>
  </w:style>
  <w:style w:type="paragraph" w:customStyle="1" w:styleId="House">
    <w:name w:val="House"/>
    <w:basedOn w:val="OPCParaBase"/>
    <w:rsid w:val="00527711"/>
    <w:pPr>
      <w:spacing w:line="240" w:lineRule="auto"/>
    </w:pPr>
    <w:rPr>
      <w:sz w:val="28"/>
    </w:rPr>
  </w:style>
  <w:style w:type="paragraph" w:customStyle="1" w:styleId="Item">
    <w:name w:val="Item"/>
    <w:aliases w:val="i"/>
    <w:basedOn w:val="OPCParaBase"/>
    <w:next w:val="ItemHead"/>
    <w:rsid w:val="00527711"/>
    <w:pPr>
      <w:keepLines/>
      <w:spacing w:before="80" w:line="240" w:lineRule="auto"/>
      <w:ind w:left="709"/>
    </w:pPr>
  </w:style>
  <w:style w:type="paragraph" w:customStyle="1" w:styleId="ItemHead">
    <w:name w:val="ItemHead"/>
    <w:aliases w:val="ih"/>
    <w:basedOn w:val="OPCParaBase"/>
    <w:next w:val="Item"/>
    <w:rsid w:val="005277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7711"/>
    <w:pPr>
      <w:spacing w:line="240" w:lineRule="auto"/>
    </w:pPr>
    <w:rPr>
      <w:b/>
      <w:sz w:val="32"/>
    </w:rPr>
  </w:style>
  <w:style w:type="paragraph" w:customStyle="1" w:styleId="notedraft">
    <w:name w:val="note(draft)"/>
    <w:aliases w:val="nd"/>
    <w:basedOn w:val="OPCParaBase"/>
    <w:rsid w:val="00527711"/>
    <w:pPr>
      <w:spacing w:before="240" w:line="240" w:lineRule="auto"/>
      <w:ind w:left="284" w:hanging="284"/>
    </w:pPr>
    <w:rPr>
      <w:i/>
      <w:sz w:val="24"/>
    </w:rPr>
  </w:style>
  <w:style w:type="paragraph" w:customStyle="1" w:styleId="notemargin">
    <w:name w:val="note(margin)"/>
    <w:aliases w:val="nm"/>
    <w:basedOn w:val="OPCParaBase"/>
    <w:rsid w:val="00527711"/>
    <w:pPr>
      <w:tabs>
        <w:tab w:val="left" w:pos="709"/>
      </w:tabs>
      <w:spacing w:before="122" w:line="198" w:lineRule="exact"/>
      <w:ind w:left="709" w:hanging="709"/>
    </w:pPr>
    <w:rPr>
      <w:sz w:val="18"/>
    </w:rPr>
  </w:style>
  <w:style w:type="paragraph" w:customStyle="1" w:styleId="noteToPara">
    <w:name w:val="noteToPara"/>
    <w:aliases w:val="ntp"/>
    <w:basedOn w:val="OPCParaBase"/>
    <w:rsid w:val="00527711"/>
    <w:pPr>
      <w:spacing w:before="122" w:line="198" w:lineRule="exact"/>
      <w:ind w:left="2353" w:hanging="709"/>
    </w:pPr>
    <w:rPr>
      <w:sz w:val="18"/>
    </w:rPr>
  </w:style>
  <w:style w:type="paragraph" w:customStyle="1" w:styleId="noteParlAmend">
    <w:name w:val="note(ParlAmend)"/>
    <w:aliases w:val="npp"/>
    <w:basedOn w:val="OPCParaBase"/>
    <w:next w:val="ParlAmend"/>
    <w:rsid w:val="00527711"/>
    <w:pPr>
      <w:spacing w:line="240" w:lineRule="auto"/>
      <w:jc w:val="right"/>
    </w:pPr>
    <w:rPr>
      <w:rFonts w:ascii="Arial" w:hAnsi="Arial"/>
      <w:b/>
      <w:i/>
    </w:rPr>
  </w:style>
  <w:style w:type="paragraph" w:customStyle="1" w:styleId="Page1">
    <w:name w:val="Page1"/>
    <w:basedOn w:val="OPCParaBase"/>
    <w:rsid w:val="00527711"/>
    <w:pPr>
      <w:spacing w:before="5600" w:line="240" w:lineRule="auto"/>
    </w:pPr>
    <w:rPr>
      <w:b/>
      <w:sz w:val="32"/>
    </w:rPr>
  </w:style>
  <w:style w:type="paragraph" w:customStyle="1" w:styleId="PageBreak">
    <w:name w:val="PageBreak"/>
    <w:aliases w:val="pb"/>
    <w:basedOn w:val="OPCParaBase"/>
    <w:rsid w:val="00527711"/>
    <w:pPr>
      <w:spacing w:line="240" w:lineRule="auto"/>
    </w:pPr>
    <w:rPr>
      <w:sz w:val="20"/>
    </w:rPr>
  </w:style>
  <w:style w:type="paragraph" w:customStyle="1" w:styleId="paragraphsub">
    <w:name w:val="paragraph(sub)"/>
    <w:aliases w:val="aa"/>
    <w:basedOn w:val="OPCParaBase"/>
    <w:rsid w:val="00527711"/>
    <w:pPr>
      <w:tabs>
        <w:tab w:val="right" w:pos="1985"/>
      </w:tabs>
      <w:spacing w:before="40" w:line="240" w:lineRule="auto"/>
      <w:ind w:left="2098" w:hanging="2098"/>
    </w:pPr>
  </w:style>
  <w:style w:type="paragraph" w:customStyle="1" w:styleId="paragraphsub-sub">
    <w:name w:val="paragraph(sub-sub)"/>
    <w:aliases w:val="aaa"/>
    <w:basedOn w:val="OPCParaBase"/>
    <w:rsid w:val="00527711"/>
    <w:pPr>
      <w:tabs>
        <w:tab w:val="right" w:pos="2722"/>
      </w:tabs>
      <w:spacing w:before="40" w:line="240" w:lineRule="auto"/>
      <w:ind w:left="2835" w:hanging="2835"/>
    </w:pPr>
  </w:style>
  <w:style w:type="paragraph" w:customStyle="1" w:styleId="paragraph">
    <w:name w:val="paragraph"/>
    <w:aliases w:val="a"/>
    <w:basedOn w:val="OPCParaBase"/>
    <w:rsid w:val="00527711"/>
    <w:pPr>
      <w:tabs>
        <w:tab w:val="right" w:pos="1531"/>
      </w:tabs>
      <w:spacing w:before="40" w:line="240" w:lineRule="auto"/>
      <w:ind w:left="1644" w:hanging="1644"/>
    </w:pPr>
  </w:style>
  <w:style w:type="paragraph" w:customStyle="1" w:styleId="ParlAmend">
    <w:name w:val="ParlAmend"/>
    <w:aliases w:val="pp"/>
    <w:basedOn w:val="OPCParaBase"/>
    <w:rsid w:val="00527711"/>
    <w:pPr>
      <w:spacing w:before="240" w:line="240" w:lineRule="atLeast"/>
      <w:ind w:hanging="567"/>
    </w:pPr>
    <w:rPr>
      <w:sz w:val="24"/>
    </w:rPr>
  </w:style>
  <w:style w:type="paragraph" w:customStyle="1" w:styleId="Penalty">
    <w:name w:val="Penalty"/>
    <w:basedOn w:val="OPCParaBase"/>
    <w:rsid w:val="00527711"/>
    <w:pPr>
      <w:tabs>
        <w:tab w:val="left" w:pos="2977"/>
      </w:tabs>
      <w:spacing w:before="180" w:line="240" w:lineRule="auto"/>
      <w:ind w:left="1985" w:hanging="851"/>
    </w:pPr>
  </w:style>
  <w:style w:type="paragraph" w:customStyle="1" w:styleId="Portfolio">
    <w:name w:val="Portfolio"/>
    <w:basedOn w:val="OPCParaBase"/>
    <w:rsid w:val="00527711"/>
    <w:pPr>
      <w:spacing w:line="240" w:lineRule="auto"/>
    </w:pPr>
    <w:rPr>
      <w:i/>
      <w:sz w:val="20"/>
    </w:rPr>
  </w:style>
  <w:style w:type="paragraph" w:customStyle="1" w:styleId="Preamble">
    <w:name w:val="Preamble"/>
    <w:basedOn w:val="OPCParaBase"/>
    <w:next w:val="Normal"/>
    <w:rsid w:val="005277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711"/>
    <w:pPr>
      <w:spacing w:line="240" w:lineRule="auto"/>
    </w:pPr>
    <w:rPr>
      <w:i/>
      <w:sz w:val="20"/>
    </w:rPr>
  </w:style>
  <w:style w:type="paragraph" w:customStyle="1" w:styleId="Session">
    <w:name w:val="Session"/>
    <w:basedOn w:val="OPCParaBase"/>
    <w:rsid w:val="00527711"/>
    <w:pPr>
      <w:spacing w:line="240" w:lineRule="auto"/>
    </w:pPr>
    <w:rPr>
      <w:sz w:val="28"/>
    </w:rPr>
  </w:style>
  <w:style w:type="paragraph" w:customStyle="1" w:styleId="Sponsor">
    <w:name w:val="Sponsor"/>
    <w:basedOn w:val="OPCParaBase"/>
    <w:rsid w:val="00527711"/>
    <w:pPr>
      <w:spacing w:line="240" w:lineRule="auto"/>
    </w:pPr>
    <w:rPr>
      <w:i/>
    </w:rPr>
  </w:style>
  <w:style w:type="paragraph" w:customStyle="1" w:styleId="Subitem">
    <w:name w:val="Subitem"/>
    <w:aliases w:val="iss"/>
    <w:basedOn w:val="OPCParaBase"/>
    <w:rsid w:val="00527711"/>
    <w:pPr>
      <w:spacing w:before="180" w:line="240" w:lineRule="auto"/>
      <w:ind w:left="709" w:hanging="709"/>
    </w:pPr>
  </w:style>
  <w:style w:type="paragraph" w:customStyle="1" w:styleId="SubitemHead">
    <w:name w:val="SubitemHead"/>
    <w:aliases w:val="issh"/>
    <w:basedOn w:val="OPCParaBase"/>
    <w:rsid w:val="005277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7711"/>
    <w:pPr>
      <w:spacing w:before="40" w:line="240" w:lineRule="auto"/>
      <w:ind w:left="1134"/>
    </w:pPr>
  </w:style>
  <w:style w:type="paragraph" w:customStyle="1" w:styleId="SubsectionHead">
    <w:name w:val="SubsectionHead"/>
    <w:aliases w:val="ssh"/>
    <w:basedOn w:val="OPCParaBase"/>
    <w:next w:val="subsection"/>
    <w:rsid w:val="00527711"/>
    <w:pPr>
      <w:keepNext/>
      <w:keepLines/>
      <w:spacing w:before="240" w:line="240" w:lineRule="auto"/>
      <w:ind w:left="1134"/>
    </w:pPr>
    <w:rPr>
      <w:i/>
    </w:rPr>
  </w:style>
  <w:style w:type="paragraph" w:customStyle="1" w:styleId="Tablea">
    <w:name w:val="Table(a)"/>
    <w:aliases w:val="ta"/>
    <w:basedOn w:val="OPCParaBase"/>
    <w:rsid w:val="00527711"/>
    <w:pPr>
      <w:spacing w:before="60" w:line="240" w:lineRule="auto"/>
      <w:ind w:left="284" w:hanging="284"/>
    </w:pPr>
    <w:rPr>
      <w:sz w:val="20"/>
    </w:rPr>
  </w:style>
  <w:style w:type="paragraph" w:customStyle="1" w:styleId="TableAA">
    <w:name w:val="Table(AA)"/>
    <w:aliases w:val="taaa"/>
    <w:basedOn w:val="OPCParaBase"/>
    <w:rsid w:val="005277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77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7711"/>
    <w:pPr>
      <w:spacing w:before="60" w:line="240" w:lineRule="atLeast"/>
    </w:pPr>
    <w:rPr>
      <w:sz w:val="20"/>
    </w:rPr>
  </w:style>
  <w:style w:type="paragraph" w:customStyle="1" w:styleId="TLPBoxTextnote">
    <w:name w:val="TLPBoxText(note"/>
    <w:aliases w:val="right)"/>
    <w:basedOn w:val="OPCParaBase"/>
    <w:rsid w:val="005277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7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711"/>
    <w:pPr>
      <w:spacing w:before="122" w:line="198" w:lineRule="exact"/>
      <w:ind w:left="1985" w:hanging="851"/>
      <w:jc w:val="right"/>
    </w:pPr>
    <w:rPr>
      <w:sz w:val="18"/>
    </w:rPr>
  </w:style>
  <w:style w:type="paragraph" w:customStyle="1" w:styleId="TLPTableBullet">
    <w:name w:val="TLPTableBullet"/>
    <w:aliases w:val="ttb"/>
    <w:basedOn w:val="OPCParaBase"/>
    <w:rsid w:val="00527711"/>
    <w:pPr>
      <w:spacing w:line="240" w:lineRule="exact"/>
      <w:ind w:left="284" w:hanging="284"/>
    </w:pPr>
    <w:rPr>
      <w:sz w:val="20"/>
    </w:rPr>
  </w:style>
  <w:style w:type="paragraph" w:styleId="TOC1">
    <w:name w:val="toc 1"/>
    <w:basedOn w:val="Normal"/>
    <w:next w:val="Normal"/>
    <w:uiPriority w:val="39"/>
    <w:unhideWhenUsed/>
    <w:rsid w:val="00527711"/>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27711"/>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27711"/>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52771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2771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2771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71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771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2771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711"/>
    <w:pPr>
      <w:keepLines/>
      <w:spacing w:before="240" w:after="120" w:line="240" w:lineRule="auto"/>
      <w:ind w:left="794"/>
    </w:pPr>
    <w:rPr>
      <w:b/>
      <w:kern w:val="28"/>
      <w:sz w:val="20"/>
    </w:rPr>
  </w:style>
  <w:style w:type="paragraph" w:customStyle="1" w:styleId="TofSectsHeading">
    <w:name w:val="TofSects(Heading)"/>
    <w:basedOn w:val="OPCParaBase"/>
    <w:rsid w:val="00527711"/>
    <w:pPr>
      <w:spacing w:before="240" w:after="120" w:line="240" w:lineRule="auto"/>
    </w:pPr>
    <w:rPr>
      <w:b/>
      <w:sz w:val="24"/>
    </w:rPr>
  </w:style>
  <w:style w:type="paragraph" w:customStyle="1" w:styleId="TofSectsSection">
    <w:name w:val="TofSects(Section)"/>
    <w:basedOn w:val="OPCParaBase"/>
    <w:rsid w:val="00527711"/>
    <w:pPr>
      <w:keepLines/>
      <w:spacing w:before="40" w:line="240" w:lineRule="auto"/>
      <w:ind w:left="1588" w:hanging="794"/>
    </w:pPr>
    <w:rPr>
      <w:kern w:val="28"/>
      <w:sz w:val="18"/>
    </w:rPr>
  </w:style>
  <w:style w:type="paragraph" w:customStyle="1" w:styleId="TofSectsSubdiv">
    <w:name w:val="TofSects(Subdiv)"/>
    <w:basedOn w:val="OPCParaBase"/>
    <w:rsid w:val="00527711"/>
    <w:pPr>
      <w:keepLines/>
      <w:spacing w:before="80" w:line="240" w:lineRule="auto"/>
      <w:ind w:left="1588" w:hanging="794"/>
    </w:pPr>
    <w:rPr>
      <w:kern w:val="28"/>
    </w:rPr>
  </w:style>
  <w:style w:type="paragraph" w:customStyle="1" w:styleId="WRStyle">
    <w:name w:val="WR Style"/>
    <w:aliases w:val="WR"/>
    <w:basedOn w:val="OPCParaBase"/>
    <w:rsid w:val="00527711"/>
    <w:pPr>
      <w:spacing w:before="240" w:line="240" w:lineRule="auto"/>
      <w:ind w:left="284" w:hanging="284"/>
    </w:pPr>
    <w:rPr>
      <w:b/>
      <w:i/>
      <w:kern w:val="28"/>
      <w:sz w:val="24"/>
    </w:rPr>
  </w:style>
  <w:style w:type="paragraph" w:customStyle="1" w:styleId="notepara">
    <w:name w:val="note(para)"/>
    <w:aliases w:val="na"/>
    <w:basedOn w:val="OPCParaBase"/>
    <w:rsid w:val="00527711"/>
    <w:pPr>
      <w:spacing w:before="40" w:line="198" w:lineRule="exact"/>
      <w:ind w:left="2354" w:hanging="369"/>
    </w:pPr>
    <w:rPr>
      <w:sz w:val="18"/>
    </w:rPr>
  </w:style>
  <w:style w:type="paragraph" w:styleId="Footer">
    <w:name w:val="footer"/>
    <w:link w:val="FooterChar"/>
    <w:rsid w:val="005277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7711"/>
    <w:rPr>
      <w:rFonts w:eastAsia="Times New Roman" w:cs="Times New Roman"/>
      <w:sz w:val="22"/>
      <w:szCs w:val="24"/>
      <w:lang w:eastAsia="en-AU"/>
    </w:rPr>
  </w:style>
  <w:style w:type="character" w:styleId="LineNumber">
    <w:name w:val="line number"/>
    <w:basedOn w:val="OPCCharBase"/>
    <w:uiPriority w:val="99"/>
    <w:semiHidden/>
    <w:unhideWhenUsed/>
    <w:rsid w:val="00527711"/>
    <w:rPr>
      <w:sz w:val="16"/>
    </w:rPr>
  </w:style>
  <w:style w:type="table" w:customStyle="1" w:styleId="CFlag">
    <w:name w:val="CFlag"/>
    <w:basedOn w:val="TableNormal"/>
    <w:uiPriority w:val="99"/>
    <w:rsid w:val="00527711"/>
    <w:rPr>
      <w:rFonts w:eastAsia="Times New Roman" w:cs="Times New Roman"/>
      <w:lang w:eastAsia="en-AU"/>
    </w:rPr>
    <w:tblPr/>
  </w:style>
  <w:style w:type="paragraph" w:styleId="BalloonText">
    <w:name w:val="Balloon Text"/>
    <w:basedOn w:val="Normal"/>
    <w:link w:val="BalloonTextChar"/>
    <w:uiPriority w:val="99"/>
    <w:semiHidden/>
    <w:unhideWhenUsed/>
    <w:rsid w:val="00527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11"/>
    <w:rPr>
      <w:rFonts w:ascii="Tahoma" w:hAnsi="Tahoma" w:cs="Tahoma"/>
      <w:sz w:val="16"/>
      <w:szCs w:val="16"/>
    </w:rPr>
  </w:style>
  <w:style w:type="table" w:styleId="TableGrid">
    <w:name w:val="Table Grid"/>
    <w:basedOn w:val="TableNormal"/>
    <w:uiPriority w:val="59"/>
    <w:rsid w:val="0052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7711"/>
    <w:rPr>
      <w:b/>
      <w:sz w:val="28"/>
      <w:szCs w:val="32"/>
    </w:rPr>
  </w:style>
  <w:style w:type="paragraph" w:customStyle="1" w:styleId="LegislationMadeUnder">
    <w:name w:val="LegislationMadeUnder"/>
    <w:basedOn w:val="OPCParaBase"/>
    <w:next w:val="Normal"/>
    <w:rsid w:val="00527711"/>
    <w:rPr>
      <w:i/>
      <w:sz w:val="32"/>
      <w:szCs w:val="32"/>
    </w:rPr>
  </w:style>
  <w:style w:type="paragraph" w:customStyle="1" w:styleId="SignCoverPageEnd">
    <w:name w:val="SignCoverPageEnd"/>
    <w:basedOn w:val="OPCParaBase"/>
    <w:next w:val="Normal"/>
    <w:rsid w:val="0052771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7711"/>
    <w:pPr>
      <w:pBdr>
        <w:top w:val="single" w:sz="4" w:space="1" w:color="auto"/>
      </w:pBdr>
      <w:spacing w:before="360"/>
      <w:ind w:right="397"/>
      <w:jc w:val="both"/>
    </w:pPr>
  </w:style>
  <w:style w:type="paragraph" w:customStyle="1" w:styleId="NotesHeading1">
    <w:name w:val="NotesHeading 1"/>
    <w:basedOn w:val="OPCParaBase"/>
    <w:next w:val="Normal"/>
    <w:rsid w:val="00527711"/>
    <w:rPr>
      <w:b/>
      <w:sz w:val="28"/>
      <w:szCs w:val="28"/>
    </w:rPr>
  </w:style>
  <w:style w:type="paragraph" w:customStyle="1" w:styleId="NotesHeading2">
    <w:name w:val="NotesHeading 2"/>
    <w:basedOn w:val="OPCParaBase"/>
    <w:next w:val="Normal"/>
    <w:rsid w:val="00527711"/>
    <w:rPr>
      <w:b/>
      <w:sz w:val="28"/>
      <w:szCs w:val="28"/>
    </w:rPr>
  </w:style>
  <w:style w:type="paragraph" w:customStyle="1" w:styleId="ENotesText">
    <w:name w:val="ENotesText"/>
    <w:aliases w:val="Ent"/>
    <w:basedOn w:val="OPCParaBase"/>
    <w:next w:val="Normal"/>
    <w:rsid w:val="00527711"/>
    <w:pPr>
      <w:spacing w:before="120"/>
    </w:pPr>
  </w:style>
  <w:style w:type="paragraph" w:customStyle="1" w:styleId="CompiledActNo">
    <w:name w:val="CompiledActNo"/>
    <w:basedOn w:val="OPCParaBase"/>
    <w:next w:val="Normal"/>
    <w:rsid w:val="00527711"/>
    <w:rPr>
      <w:b/>
      <w:sz w:val="24"/>
      <w:szCs w:val="24"/>
    </w:rPr>
  </w:style>
  <w:style w:type="paragraph" w:customStyle="1" w:styleId="CompiledMadeUnder">
    <w:name w:val="CompiledMadeUnder"/>
    <w:basedOn w:val="OPCParaBase"/>
    <w:next w:val="Normal"/>
    <w:rsid w:val="00527711"/>
    <w:rPr>
      <w:i/>
      <w:sz w:val="24"/>
      <w:szCs w:val="24"/>
    </w:rPr>
  </w:style>
  <w:style w:type="paragraph" w:customStyle="1" w:styleId="Paragraphsub-sub-sub">
    <w:name w:val="Paragraph(sub-sub-sub)"/>
    <w:aliases w:val="aaaa"/>
    <w:basedOn w:val="OPCParaBase"/>
    <w:rsid w:val="005277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7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7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7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7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7711"/>
    <w:pPr>
      <w:spacing w:before="60" w:line="240" w:lineRule="auto"/>
    </w:pPr>
    <w:rPr>
      <w:rFonts w:cs="Arial"/>
      <w:sz w:val="20"/>
      <w:szCs w:val="22"/>
    </w:rPr>
  </w:style>
  <w:style w:type="paragraph" w:customStyle="1" w:styleId="NoteToSubpara">
    <w:name w:val="NoteToSubpara"/>
    <w:aliases w:val="nts"/>
    <w:basedOn w:val="OPCParaBase"/>
    <w:rsid w:val="00527711"/>
    <w:pPr>
      <w:spacing w:before="40" w:line="198" w:lineRule="exact"/>
      <w:ind w:left="2835" w:hanging="709"/>
    </w:pPr>
    <w:rPr>
      <w:sz w:val="18"/>
    </w:rPr>
  </w:style>
  <w:style w:type="paragraph" w:customStyle="1" w:styleId="ENoteTableHeading">
    <w:name w:val="ENoteTableHeading"/>
    <w:aliases w:val="enth"/>
    <w:basedOn w:val="OPCParaBase"/>
    <w:rsid w:val="00527711"/>
    <w:pPr>
      <w:keepNext/>
      <w:spacing w:before="60" w:line="240" w:lineRule="atLeast"/>
    </w:pPr>
    <w:rPr>
      <w:rFonts w:ascii="Arial" w:hAnsi="Arial"/>
      <w:b/>
      <w:sz w:val="16"/>
    </w:rPr>
  </w:style>
  <w:style w:type="paragraph" w:customStyle="1" w:styleId="ENoteTTi">
    <w:name w:val="ENoteTTi"/>
    <w:aliases w:val="entti"/>
    <w:basedOn w:val="OPCParaBase"/>
    <w:rsid w:val="00527711"/>
    <w:pPr>
      <w:keepNext/>
      <w:spacing w:before="60" w:line="240" w:lineRule="atLeast"/>
      <w:ind w:left="170"/>
    </w:pPr>
    <w:rPr>
      <w:sz w:val="16"/>
    </w:rPr>
  </w:style>
  <w:style w:type="paragraph" w:customStyle="1" w:styleId="ENotesHeading1">
    <w:name w:val="ENotesHeading 1"/>
    <w:aliases w:val="Enh1"/>
    <w:basedOn w:val="OPCParaBase"/>
    <w:next w:val="Normal"/>
    <w:rsid w:val="00527711"/>
    <w:pPr>
      <w:spacing w:before="120"/>
      <w:outlineLvl w:val="1"/>
    </w:pPr>
    <w:rPr>
      <w:b/>
      <w:sz w:val="28"/>
      <w:szCs w:val="28"/>
    </w:rPr>
  </w:style>
  <w:style w:type="paragraph" w:customStyle="1" w:styleId="ENotesHeading2">
    <w:name w:val="ENotesHeading 2"/>
    <w:aliases w:val="Enh2"/>
    <w:basedOn w:val="OPCParaBase"/>
    <w:next w:val="Normal"/>
    <w:rsid w:val="00527711"/>
    <w:pPr>
      <w:spacing w:before="120" w:after="120"/>
      <w:outlineLvl w:val="2"/>
    </w:pPr>
    <w:rPr>
      <w:b/>
      <w:sz w:val="24"/>
      <w:szCs w:val="28"/>
    </w:rPr>
  </w:style>
  <w:style w:type="paragraph" w:customStyle="1" w:styleId="ENoteTTIndentHeading">
    <w:name w:val="ENoteTTIndentHeading"/>
    <w:aliases w:val="enTTHi"/>
    <w:basedOn w:val="OPCParaBase"/>
    <w:rsid w:val="005277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711"/>
    <w:pPr>
      <w:spacing w:before="60" w:line="240" w:lineRule="atLeast"/>
    </w:pPr>
    <w:rPr>
      <w:sz w:val="16"/>
    </w:rPr>
  </w:style>
  <w:style w:type="paragraph" w:customStyle="1" w:styleId="MadeunderText">
    <w:name w:val="MadeunderText"/>
    <w:basedOn w:val="OPCParaBase"/>
    <w:next w:val="CompiledMadeUnder"/>
    <w:rsid w:val="00527711"/>
    <w:pPr>
      <w:spacing w:before="240"/>
    </w:pPr>
    <w:rPr>
      <w:sz w:val="24"/>
      <w:szCs w:val="24"/>
    </w:rPr>
  </w:style>
  <w:style w:type="paragraph" w:customStyle="1" w:styleId="ENotesHeading3">
    <w:name w:val="ENotesHeading 3"/>
    <w:aliases w:val="Enh3"/>
    <w:basedOn w:val="OPCParaBase"/>
    <w:next w:val="Normal"/>
    <w:rsid w:val="00527711"/>
    <w:pPr>
      <w:keepNext/>
      <w:spacing w:before="120" w:line="240" w:lineRule="auto"/>
      <w:outlineLvl w:val="4"/>
    </w:pPr>
    <w:rPr>
      <w:b/>
      <w:szCs w:val="24"/>
    </w:rPr>
  </w:style>
  <w:style w:type="character" w:customStyle="1" w:styleId="CharSubPartTextCASA">
    <w:name w:val="CharSubPartText(CASA)"/>
    <w:basedOn w:val="OPCCharBase"/>
    <w:uiPriority w:val="1"/>
    <w:rsid w:val="00527711"/>
  </w:style>
  <w:style w:type="character" w:customStyle="1" w:styleId="CharSubPartNoCASA">
    <w:name w:val="CharSubPartNo(CASA)"/>
    <w:basedOn w:val="OPCCharBase"/>
    <w:uiPriority w:val="1"/>
    <w:rsid w:val="00527711"/>
  </w:style>
  <w:style w:type="paragraph" w:customStyle="1" w:styleId="ENoteTTIndentHeadingSub">
    <w:name w:val="ENoteTTIndentHeadingSub"/>
    <w:aliases w:val="enTTHis"/>
    <w:basedOn w:val="OPCParaBase"/>
    <w:rsid w:val="00527711"/>
    <w:pPr>
      <w:keepNext/>
      <w:spacing w:before="60" w:line="240" w:lineRule="atLeast"/>
      <w:ind w:left="340"/>
    </w:pPr>
    <w:rPr>
      <w:b/>
      <w:sz w:val="16"/>
    </w:rPr>
  </w:style>
  <w:style w:type="paragraph" w:customStyle="1" w:styleId="ENoteTTiSub">
    <w:name w:val="ENoteTTiSub"/>
    <w:aliases w:val="enttis"/>
    <w:basedOn w:val="OPCParaBase"/>
    <w:rsid w:val="00527711"/>
    <w:pPr>
      <w:keepNext/>
      <w:spacing w:before="60" w:line="240" w:lineRule="atLeast"/>
      <w:ind w:left="340"/>
    </w:pPr>
    <w:rPr>
      <w:sz w:val="16"/>
    </w:rPr>
  </w:style>
  <w:style w:type="paragraph" w:customStyle="1" w:styleId="SubDivisionMigration">
    <w:name w:val="SubDivisionMigration"/>
    <w:aliases w:val="sdm"/>
    <w:basedOn w:val="OPCParaBase"/>
    <w:rsid w:val="005277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7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7711"/>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277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7711"/>
    <w:rPr>
      <w:sz w:val="22"/>
    </w:rPr>
  </w:style>
  <w:style w:type="paragraph" w:customStyle="1" w:styleId="SOTextNote">
    <w:name w:val="SO TextNote"/>
    <w:aliases w:val="sont"/>
    <w:basedOn w:val="SOText"/>
    <w:qFormat/>
    <w:rsid w:val="00527711"/>
    <w:pPr>
      <w:spacing w:before="122" w:line="198" w:lineRule="exact"/>
      <w:ind w:left="1843" w:hanging="709"/>
    </w:pPr>
    <w:rPr>
      <w:sz w:val="18"/>
    </w:rPr>
  </w:style>
  <w:style w:type="paragraph" w:customStyle="1" w:styleId="SOPara">
    <w:name w:val="SO Para"/>
    <w:aliases w:val="soa"/>
    <w:basedOn w:val="SOText"/>
    <w:link w:val="SOParaChar"/>
    <w:qFormat/>
    <w:rsid w:val="00527711"/>
    <w:pPr>
      <w:tabs>
        <w:tab w:val="right" w:pos="1786"/>
      </w:tabs>
      <w:spacing w:before="40"/>
      <w:ind w:left="2070" w:hanging="936"/>
    </w:pPr>
  </w:style>
  <w:style w:type="character" w:customStyle="1" w:styleId="SOParaChar">
    <w:name w:val="SO Para Char"/>
    <w:aliases w:val="soa Char"/>
    <w:basedOn w:val="DefaultParagraphFont"/>
    <w:link w:val="SOPara"/>
    <w:rsid w:val="00527711"/>
    <w:rPr>
      <w:sz w:val="22"/>
    </w:rPr>
  </w:style>
  <w:style w:type="paragraph" w:customStyle="1" w:styleId="FileName">
    <w:name w:val="FileName"/>
    <w:basedOn w:val="Normal"/>
    <w:rsid w:val="00527711"/>
  </w:style>
  <w:style w:type="paragraph" w:customStyle="1" w:styleId="TableHeading">
    <w:name w:val="TableHeading"/>
    <w:aliases w:val="th"/>
    <w:basedOn w:val="OPCParaBase"/>
    <w:next w:val="Tabletext"/>
    <w:rsid w:val="00527711"/>
    <w:pPr>
      <w:keepNext/>
      <w:spacing w:before="60" w:line="240" w:lineRule="atLeast"/>
    </w:pPr>
    <w:rPr>
      <w:b/>
      <w:sz w:val="20"/>
    </w:rPr>
  </w:style>
  <w:style w:type="paragraph" w:customStyle="1" w:styleId="SOHeadBold">
    <w:name w:val="SO HeadBold"/>
    <w:aliases w:val="sohb"/>
    <w:basedOn w:val="SOText"/>
    <w:next w:val="SOText"/>
    <w:link w:val="SOHeadBoldChar"/>
    <w:qFormat/>
    <w:rsid w:val="00527711"/>
    <w:rPr>
      <w:b/>
    </w:rPr>
  </w:style>
  <w:style w:type="character" w:customStyle="1" w:styleId="SOHeadBoldChar">
    <w:name w:val="SO HeadBold Char"/>
    <w:aliases w:val="sohb Char"/>
    <w:basedOn w:val="DefaultParagraphFont"/>
    <w:link w:val="SOHeadBold"/>
    <w:rsid w:val="00527711"/>
    <w:rPr>
      <w:b/>
      <w:sz w:val="22"/>
    </w:rPr>
  </w:style>
  <w:style w:type="paragraph" w:customStyle="1" w:styleId="SOHeadItalic">
    <w:name w:val="SO HeadItalic"/>
    <w:aliases w:val="sohi"/>
    <w:basedOn w:val="SOText"/>
    <w:next w:val="SOText"/>
    <w:link w:val="SOHeadItalicChar"/>
    <w:qFormat/>
    <w:rsid w:val="00527711"/>
    <w:rPr>
      <w:i/>
    </w:rPr>
  </w:style>
  <w:style w:type="character" w:customStyle="1" w:styleId="SOHeadItalicChar">
    <w:name w:val="SO HeadItalic Char"/>
    <w:aliases w:val="sohi Char"/>
    <w:basedOn w:val="DefaultParagraphFont"/>
    <w:link w:val="SOHeadItalic"/>
    <w:rsid w:val="00527711"/>
    <w:rPr>
      <w:i/>
      <w:sz w:val="22"/>
    </w:rPr>
  </w:style>
  <w:style w:type="paragraph" w:customStyle="1" w:styleId="SOBullet">
    <w:name w:val="SO Bullet"/>
    <w:aliases w:val="sotb"/>
    <w:basedOn w:val="SOText"/>
    <w:link w:val="SOBulletChar"/>
    <w:qFormat/>
    <w:rsid w:val="00527711"/>
    <w:pPr>
      <w:ind w:left="1559" w:hanging="425"/>
    </w:pPr>
  </w:style>
  <w:style w:type="character" w:customStyle="1" w:styleId="SOBulletChar">
    <w:name w:val="SO Bullet Char"/>
    <w:aliases w:val="sotb Char"/>
    <w:basedOn w:val="DefaultParagraphFont"/>
    <w:link w:val="SOBullet"/>
    <w:rsid w:val="00527711"/>
    <w:rPr>
      <w:sz w:val="22"/>
    </w:rPr>
  </w:style>
  <w:style w:type="paragraph" w:customStyle="1" w:styleId="SOBulletNote">
    <w:name w:val="SO BulletNote"/>
    <w:aliases w:val="sonb"/>
    <w:basedOn w:val="SOTextNote"/>
    <w:link w:val="SOBulletNoteChar"/>
    <w:qFormat/>
    <w:rsid w:val="00527711"/>
    <w:pPr>
      <w:tabs>
        <w:tab w:val="left" w:pos="1560"/>
      </w:tabs>
      <w:ind w:left="2268" w:hanging="1134"/>
    </w:pPr>
  </w:style>
  <w:style w:type="character" w:customStyle="1" w:styleId="SOBulletNoteChar">
    <w:name w:val="SO BulletNote Char"/>
    <w:aliases w:val="sonb Char"/>
    <w:basedOn w:val="DefaultParagraphFont"/>
    <w:link w:val="SOBulletNote"/>
    <w:rsid w:val="00527711"/>
    <w:rPr>
      <w:sz w:val="18"/>
    </w:rPr>
  </w:style>
  <w:style w:type="paragraph" w:customStyle="1" w:styleId="SOText2">
    <w:name w:val="SO Text2"/>
    <w:aliases w:val="sot2"/>
    <w:basedOn w:val="Normal"/>
    <w:next w:val="SOText"/>
    <w:link w:val="SOText2Char"/>
    <w:rsid w:val="005277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7711"/>
    <w:rPr>
      <w:sz w:val="22"/>
    </w:rPr>
  </w:style>
  <w:style w:type="paragraph" w:customStyle="1" w:styleId="SubPartCASA">
    <w:name w:val="SubPart(CASA)"/>
    <w:aliases w:val="csp"/>
    <w:basedOn w:val="OPCParaBase"/>
    <w:next w:val="ActHead3"/>
    <w:rsid w:val="005277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7711"/>
    <w:rPr>
      <w:rFonts w:eastAsia="Times New Roman" w:cs="Times New Roman"/>
      <w:sz w:val="22"/>
      <w:lang w:eastAsia="en-AU"/>
    </w:rPr>
  </w:style>
  <w:style w:type="character" w:customStyle="1" w:styleId="notetextChar">
    <w:name w:val="note(text) Char"/>
    <w:aliases w:val="n Char"/>
    <w:basedOn w:val="DefaultParagraphFont"/>
    <w:link w:val="notetext"/>
    <w:rsid w:val="00527711"/>
    <w:rPr>
      <w:rFonts w:eastAsia="Times New Roman" w:cs="Times New Roman"/>
      <w:sz w:val="18"/>
      <w:lang w:eastAsia="en-AU"/>
    </w:rPr>
  </w:style>
  <w:style w:type="character" w:customStyle="1" w:styleId="Heading1Char">
    <w:name w:val="Heading 1 Char"/>
    <w:basedOn w:val="DefaultParagraphFont"/>
    <w:link w:val="Heading1"/>
    <w:uiPriority w:val="9"/>
    <w:rsid w:val="005277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77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77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277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77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77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77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77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771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38173">
      <w:bodyDiv w:val="1"/>
      <w:marLeft w:val="0"/>
      <w:marRight w:val="0"/>
      <w:marTop w:val="0"/>
      <w:marBottom w:val="0"/>
      <w:divBdr>
        <w:top w:val="none" w:sz="0" w:space="0" w:color="auto"/>
        <w:left w:val="none" w:sz="0" w:space="0" w:color="auto"/>
        <w:bottom w:val="none" w:sz="0" w:space="0" w:color="auto"/>
        <w:right w:val="none" w:sz="0" w:space="0" w:color="auto"/>
      </w:divBdr>
      <w:divsChild>
        <w:div w:id="61605120">
          <w:marLeft w:val="0"/>
          <w:marRight w:val="0"/>
          <w:marTop w:val="0"/>
          <w:marBottom w:val="0"/>
          <w:divBdr>
            <w:top w:val="none" w:sz="0" w:space="0" w:color="auto"/>
            <w:left w:val="none" w:sz="0" w:space="0" w:color="auto"/>
            <w:bottom w:val="none" w:sz="0" w:space="0" w:color="auto"/>
            <w:right w:val="none" w:sz="0" w:space="0" w:color="auto"/>
          </w:divBdr>
          <w:divsChild>
            <w:div w:id="1988121332">
              <w:marLeft w:val="0"/>
              <w:marRight w:val="0"/>
              <w:marTop w:val="0"/>
              <w:marBottom w:val="0"/>
              <w:divBdr>
                <w:top w:val="none" w:sz="0" w:space="0" w:color="auto"/>
                <w:left w:val="none" w:sz="0" w:space="0" w:color="auto"/>
                <w:bottom w:val="none" w:sz="0" w:space="0" w:color="auto"/>
                <w:right w:val="none" w:sz="0" w:space="0" w:color="auto"/>
              </w:divBdr>
              <w:divsChild>
                <w:div w:id="450324897">
                  <w:marLeft w:val="0"/>
                  <w:marRight w:val="0"/>
                  <w:marTop w:val="0"/>
                  <w:marBottom w:val="0"/>
                  <w:divBdr>
                    <w:top w:val="none" w:sz="0" w:space="0" w:color="auto"/>
                    <w:left w:val="none" w:sz="0" w:space="0" w:color="auto"/>
                    <w:bottom w:val="none" w:sz="0" w:space="0" w:color="auto"/>
                    <w:right w:val="none" w:sz="0" w:space="0" w:color="auto"/>
                  </w:divBdr>
                  <w:divsChild>
                    <w:div w:id="1412039921">
                      <w:marLeft w:val="0"/>
                      <w:marRight w:val="0"/>
                      <w:marTop w:val="0"/>
                      <w:marBottom w:val="0"/>
                      <w:divBdr>
                        <w:top w:val="none" w:sz="0" w:space="0" w:color="auto"/>
                        <w:left w:val="none" w:sz="0" w:space="0" w:color="auto"/>
                        <w:bottom w:val="none" w:sz="0" w:space="0" w:color="auto"/>
                        <w:right w:val="none" w:sz="0" w:space="0" w:color="auto"/>
                      </w:divBdr>
                      <w:divsChild>
                        <w:div w:id="1222132529">
                          <w:marLeft w:val="0"/>
                          <w:marRight w:val="0"/>
                          <w:marTop w:val="0"/>
                          <w:marBottom w:val="0"/>
                          <w:divBdr>
                            <w:top w:val="none" w:sz="0" w:space="0" w:color="auto"/>
                            <w:left w:val="none" w:sz="0" w:space="0" w:color="auto"/>
                            <w:bottom w:val="none" w:sz="0" w:space="0" w:color="auto"/>
                            <w:right w:val="none" w:sz="0" w:space="0" w:color="auto"/>
                          </w:divBdr>
                          <w:divsChild>
                            <w:div w:id="1367565768">
                              <w:marLeft w:val="0"/>
                              <w:marRight w:val="0"/>
                              <w:marTop w:val="0"/>
                              <w:marBottom w:val="0"/>
                              <w:divBdr>
                                <w:top w:val="none" w:sz="0" w:space="0" w:color="auto"/>
                                <w:left w:val="none" w:sz="0" w:space="0" w:color="auto"/>
                                <w:bottom w:val="none" w:sz="0" w:space="0" w:color="auto"/>
                                <w:right w:val="none" w:sz="0" w:space="0" w:color="auto"/>
                              </w:divBdr>
                              <w:divsChild>
                                <w:div w:id="1835603438">
                                  <w:marLeft w:val="0"/>
                                  <w:marRight w:val="0"/>
                                  <w:marTop w:val="0"/>
                                  <w:marBottom w:val="0"/>
                                  <w:divBdr>
                                    <w:top w:val="none" w:sz="0" w:space="0" w:color="auto"/>
                                    <w:left w:val="none" w:sz="0" w:space="0" w:color="auto"/>
                                    <w:bottom w:val="none" w:sz="0" w:space="0" w:color="auto"/>
                                    <w:right w:val="none" w:sz="0" w:space="0" w:color="auto"/>
                                  </w:divBdr>
                                  <w:divsChild>
                                    <w:div w:id="1099327815">
                                      <w:marLeft w:val="0"/>
                                      <w:marRight w:val="0"/>
                                      <w:marTop w:val="0"/>
                                      <w:marBottom w:val="0"/>
                                      <w:divBdr>
                                        <w:top w:val="none" w:sz="0" w:space="0" w:color="auto"/>
                                        <w:left w:val="none" w:sz="0" w:space="0" w:color="auto"/>
                                        <w:bottom w:val="none" w:sz="0" w:space="0" w:color="auto"/>
                                        <w:right w:val="none" w:sz="0" w:space="0" w:color="auto"/>
                                      </w:divBdr>
                                      <w:divsChild>
                                        <w:div w:id="1418400958">
                                          <w:marLeft w:val="0"/>
                                          <w:marRight w:val="0"/>
                                          <w:marTop w:val="0"/>
                                          <w:marBottom w:val="0"/>
                                          <w:divBdr>
                                            <w:top w:val="none" w:sz="0" w:space="0" w:color="auto"/>
                                            <w:left w:val="none" w:sz="0" w:space="0" w:color="auto"/>
                                            <w:bottom w:val="none" w:sz="0" w:space="0" w:color="auto"/>
                                            <w:right w:val="none" w:sz="0" w:space="0" w:color="auto"/>
                                          </w:divBdr>
                                          <w:divsChild>
                                            <w:div w:id="2098791943">
                                              <w:marLeft w:val="0"/>
                                              <w:marRight w:val="0"/>
                                              <w:marTop w:val="0"/>
                                              <w:marBottom w:val="0"/>
                                              <w:divBdr>
                                                <w:top w:val="none" w:sz="0" w:space="0" w:color="auto"/>
                                                <w:left w:val="none" w:sz="0" w:space="0" w:color="auto"/>
                                                <w:bottom w:val="none" w:sz="0" w:space="0" w:color="auto"/>
                                                <w:right w:val="none" w:sz="0" w:space="0" w:color="auto"/>
                                              </w:divBdr>
                                              <w:divsChild>
                                                <w:div w:id="1530414965">
                                                  <w:marLeft w:val="0"/>
                                                  <w:marRight w:val="0"/>
                                                  <w:marTop w:val="0"/>
                                                  <w:marBottom w:val="0"/>
                                                  <w:divBdr>
                                                    <w:top w:val="none" w:sz="0" w:space="0" w:color="auto"/>
                                                    <w:left w:val="none" w:sz="0" w:space="0" w:color="auto"/>
                                                    <w:bottom w:val="none" w:sz="0" w:space="0" w:color="auto"/>
                                                    <w:right w:val="none" w:sz="0" w:space="0" w:color="auto"/>
                                                  </w:divBdr>
                                                  <w:divsChild>
                                                    <w:div w:id="562376606">
                                                      <w:marLeft w:val="0"/>
                                                      <w:marRight w:val="0"/>
                                                      <w:marTop w:val="0"/>
                                                      <w:marBottom w:val="0"/>
                                                      <w:divBdr>
                                                        <w:top w:val="none" w:sz="0" w:space="0" w:color="auto"/>
                                                        <w:left w:val="none" w:sz="0" w:space="0" w:color="auto"/>
                                                        <w:bottom w:val="none" w:sz="0" w:space="0" w:color="auto"/>
                                                        <w:right w:val="none" w:sz="0" w:space="0" w:color="auto"/>
                                                      </w:divBdr>
                                                      <w:divsChild>
                                                        <w:div w:id="2769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18</Pages>
  <Words>2307</Words>
  <Characters>15625</Characters>
  <Application>Microsoft Office Word</Application>
  <DocSecurity>0</DocSecurity>
  <PresentationFormat/>
  <Lines>538</Lines>
  <Paragraphs>365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2018-04-13T06:53:00Z</cp:lastPrinted>
  <dcterms:created xsi:type="dcterms:W3CDTF">2018-06-25T00:48:00Z</dcterms:created>
  <dcterms:modified xsi:type="dcterms:W3CDTF">2018-06-25T00:48:00Z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Therapeutic Goods Legislation Amendment (2018 Measures No. 2)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21 June 2018</vt:lpwstr>
  </property>
  <property fmtid="{D5CDD505-2E9C-101B-9397-08002B2CF9AE}" pid="10" name="ID">
    <vt:lpwstr>OPC62847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21 June 2018</vt:lpwstr>
  </property>
</Properties>
</file>