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1F" w:rsidRDefault="00826A1F" w:rsidP="007F26C2">
      <w:pPr>
        <w:jc w:val="center"/>
        <w:rPr>
          <w:b/>
        </w:rPr>
      </w:pPr>
    </w:p>
    <w:p w:rsidR="007F26C2" w:rsidRPr="00D552B4" w:rsidRDefault="007F26C2" w:rsidP="007F26C2">
      <w:pPr>
        <w:jc w:val="center"/>
        <w:rPr>
          <w:b/>
        </w:rPr>
      </w:pPr>
      <w:r w:rsidRPr="00D552B4">
        <w:rPr>
          <w:b/>
        </w:rPr>
        <w:t xml:space="preserve">EXPLANATORY </w:t>
      </w:r>
      <w:r w:rsidR="00D552B4" w:rsidRPr="00D552B4">
        <w:rPr>
          <w:b/>
        </w:rPr>
        <w:t>STATEMENT</w:t>
      </w:r>
    </w:p>
    <w:p w:rsidR="007F26C2" w:rsidRPr="00134023" w:rsidRDefault="007F26C2" w:rsidP="007F26C2">
      <w:pPr>
        <w:jc w:val="center"/>
        <w:rPr>
          <w:b/>
          <w:u w:val="single"/>
        </w:rPr>
      </w:pPr>
    </w:p>
    <w:p w:rsidR="007F26C2" w:rsidRPr="00134023" w:rsidRDefault="007F26C2" w:rsidP="007F26C2">
      <w:pPr>
        <w:jc w:val="center"/>
        <w:rPr>
          <w:b/>
          <w:u w:val="single"/>
        </w:rPr>
      </w:pPr>
    </w:p>
    <w:p w:rsidR="007F26C2" w:rsidRPr="00D552B4" w:rsidRDefault="00D552B4" w:rsidP="00D552B4">
      <w:pPr>
        <w:pStyle w:val="Heading6"/>
        <w:tabs>
          <w:tab w:val="right" w:pos="9072"/>
        </w:tabs>
        <w:spacing w:before="0"/>
        <w:jc w:val="center"/>
        <w:rPr>
          <w:u w:val="none"/>
        </w:rPr>
      </w:pPr>
      <w:r w:rsidRPr="00D552B4">
        <w:rPr>
          <w:u w:val="none"/>
        </w:rPr>
        <w:t>Issued by the authority</w:t>
      </w:r>
      <w:r w:rsidR="007F26C2" w:rsidRPr="00D552B4">
        <w:rPr>
          <w:u w:val="none"/>
        </w:rPr>
        <w:t xml:space="preserve"> </w:t>
      </w:r>
      <w:r w:rsidRPr="00D552B4">
        <w:rPr>
          <w:u w:val="none"/>
        </w:rPr>
        <w:t xml:space="preserve">of the </w:t>
      </w:r>
      <w:r w:rsidR="007F26C2" w:rsidRPr="00D552B4">
        <w:rPr>
          <w:u w:val="none"/>
        </w:rPr>
        <w:t>Minis</w:t>
      </w:r>
      <w:r>
        <w:rPr>
          <w:u w:val="none"/>
        </w:rPr>
        <w:t xml:space="preserve">ter for </w:t>
      </w:r>
      <w:r w:rsidR="006F1D1D">
        <w:rPr>
          <w:u w:val="none"/>
        </w:rPr>
        <w:t>Regional Development, Territories and Local Government</w:t>
      </w:r>
    </w:p>
    <w:p w:rsidR="007F26C2" w:rsidRPr="00134023" w:rsidRDefault="007F26C2" w:rsidP="007F26C2">
      <w:pPr>
        <w:jc w:val="center"/>
      </w:pPr>
    </w:p>
    <w:p w:rsidR="007F26C2" w:rsidRDefault="007F26C2" w:rsidP="00D552B4">
      <w:pPr>
        <w:autoSpaceDE w:val="0"/>
        <w:autoSpaceDN w:val="0"/>
        <w:adjustRightInd w:val="0"/>
        <w:jc w:val="center"/>
        <w:rPr>
          <w:i/>
        </w:rPr>
      </w:pPr>
      <w:r>
        <w:rPr>
          <w:i/>
        </w:rPr>
        <w:t>Norfolk Island Act 1979</w:t>
      </w:r>
    </w:p>
    <w:p w:rsidR="007F26C2" w:rsidRDefault="007F26C2" w:rsidP="00D552B4">
      <w:pPr>
        <w:tabs>
          <w:tab w:val="right" w:pos="9072"/>
        </w:tabs>
        <w:ind w:right="91"/>
        <w:jc w:val="center"/>
        <w:rPr>
          <w:sz w:val="20"/>
        </w:rPr>
      </w:pPr>
    </w:p>
    <w:p w:rsidR="007F26C2" w:rsidRPr="00D552B4" w:rsidRDefault="007F26C2" w:rsidP="00D552B4">
      <w:pPr>
        <w:autoSpaceDE w:val="0"/>
        <w:autoSpaceDN w:val="0"/>
        <w:adjustRightInd w:val="0"/>
        <w:jc w:val="center"/>
        <w:rPr>
          <w:b/>
          <w:i/>
        </w:rPr>
      </w:pPr>
      <w:r w:rsidRPr="00D552B4">
        <w:rPr>
          <w:b/>
          <w:i/>
        </w:rPr>
        <w:t xml:space="preserve">Norfolk Island </w:t>
      </w:r>
      <w:r w:rsidR="00201BDF">
        <w:rPr>
          <w:b/>
          <w:i/>
        </w:rPr>
        <w:t>Land Transfer (Mulberry Lane)</w:t>
      </w:r>
      <w:r w:rsidRPr="00295787">
        <w:rPr>
          <w:b/>
          <w:i/>
        </w:rPr>
        <w:t xml:space="preserve"> Ordinance</w:t>
      </w:r>
      <w:r w:rsidRPr="00D552B4">
        <w:rPr>
          <w:b/>
          <w:i/>
        </w:rPr>
        <w:t xml:space="preserve"> </w:t>
      </w:r>
      <w:r w:rsidR="003E2D97" w:rsidRPr="00D552B4">
        <w:rPr>
          <w:b/>
          <w:i/>
        </w:rPr>
        <w:t>201</w:t>
      </w:r>
      <w:r w:rsidR="003E2D97">
        <w:rPr>
          <w:b/>
          <w:i/>
        </w:rPr>
        <w:t>8</w:t>
      </w:r>
    </w:p>
    <w:p w:rsidR="007F26C2" w:rsidRPr="00134023" w:rsidRDefault="007F26C2" w:rsidP="007F26C2">
      <w:pPr>
        <w:spacing w:before="120" w:after="120"/>
        <w:rPr>
          <w:i/>
          <w:u w:val="single"/>
        </w:rPr>
      </w:pPr>
      <w:r w:rsidRPr="00134023">
        <w:rPr>
          <w:i/>
          <w:u w:val="single"/>
        </w:rPr>
        <w:t>Authority</w:t>
      </w:r>
    </w:p>
    <w:p w:rsidR="00AD57CA" w:rsidRPr="00AD57CA" w:rsidRDefault="00AD57CA" w:rsidP="00AD57CA">
      <w:pPr>
        <w:shd w:val="clear" w:color="auto" w:fill="FFFFFF"/>
        <w:spacing w:before="100" w:beforeAutospacing="1" w:after="120"/>
        <w:rPr>
          <w:rFonts w:ascii="Arial" w:hAnsi="Arial" w:cs="Arial"/>
          <w:sz w:val="19"/>
          <w:szCs w:val="19"/>
          <w:lang w:val="en-US" w:eastAsia="en-AU"/>
        </w:rPr>
      </w:pPr>
      <w:r w:rsidRPr="00AD57CA">
        <w:rPr>
          <w:lang w:eastAsia="en-AU"/>
        </w:rPr>
        <w:t xml:space="preserve">The </w:t>
      </w:r>
      <w:r w:rsidRPr="00AD57CA">
        <w:rPr>
          <w:i/>
          <w:iCs/>
          <w:lang w:eastAsia="en-AU"/>
        </w:rPr>
        <w:t>Norfolk Island Act 1979</w:t>
      </w:r>
      <w:r w:rsidRPr="00AD57CA">
        <w:rPr>
          <w:lang w:eastAsia="en-AU"/>
        </w:rPr>
        <w:t xml:space="preserve"> (the </w:t>
      </w:r>
      <w:r>
        <w:rPr>
          <w:lang w:eastAsia="en-AU"/>
        </w:rPr>
        <w:t>NI Act) provides for the g</w:t>
      </w:r>
      <w:r w:rsidRPr="00AD57CA">
        <w:rPr>
          <w:lang w:eastAsia="en-AU"/>
        </w:rPr>
        <w:t>overnment of th</w:t>
      </w:r>
      <w:r>
        <w:rPr>
          <w:lang w:eastAsia="en-AU"/>
        </w:rPr>
        <w:t>e Territory of Norfolk Island.</w:t>
      </w:r>
      <w:r>
        <w:rPr>
          <w:rFonts w:ascii="Arial" w:hAnsi="Arial" w:cs="Arial"/>
          <w:sz w:val="19"/>
          <w:szCs w:val="19"/>
          <w:lang w:val="en-US" w:eastAsia="en-AU"/>
        </w:rPr>
        <w:t xml:space="preserve"> </w:t>
      </w:r>
      <w:r w:rsidRPr="00AD57CA">
        <w:rPr>
          <w:lang w:eastAsia="en-AU"/>
        </w:rPr>
        <w:t xml:space="preserve">Section 19A of the </w:t>
      </w:r>
      <w:r>
        <w:rPr>
          <w:lang w:eastAsia="en-AU"/>
        </w:rPr>
        <w:t>NI</w:t>
      </w:r>
      <w:r w:rsidRPr="00AD57CA">
        <w:rPr>
          <w:lang w:eastAsia="en-AU"/>
        </w:rPr>
        <w:t xml:space="preserve"> Act provides that the Governor-General may make Ordinances for the peace, order and good government of the Territory of Norfolk Island.</w:t>
      </w:r>
    </w:p>
    <w:p w:rsidR="00AD57CA" w:rsidRPr="00AD57CA" w:rsidRDefault="00AD57CA" w:rsidP="00AD57CA">
      <w:pPr>
        <w:shd w:val="clear" w:color="auto" w:fill="FFFFFF"/>
        <w:spacing w:before="100" w:beforeAutospacing="1" w:after="100" w:afterAutospacing="1"/>
        <w:rPr>
          <w:rFonts w:ascii="Arial" w:hAnsi="Arial" w:cs="Arial"/>
          <w:sz w:val="19"/>
          <w:szCs w:val="19"/>
          <w:lang w:val="en-US" w:eastAsia="en-AU"/>
        </w:rPr>
      </w:pPr>
      <w:r w:rsidRPr="00AD57CA">
        <w:rPr>
          <w:lang w:eastAsia="en-AU"/>
        </w:rPr>
        <w:t xml:space="preserve">The </w:t>
      </w:r>
      <w:r w:rsidRPr="00AD57CA">
        <w:rPr>
          <w:i/>
          <w:iCs/>
          <w:lang w:eastAsia="en-AU"/>
        </w:rPr>
        <w:t>Norfolk Island Land Transfer (Mulberry Lane)</w:t>
      </w:r>
      <w:r>
        <w:rPr>
          <w:i/>
          <w:iCs/>
          <w:lang w:eastAsia="en-AU"/>
        </w:rPr>
        <w:t xml:space="preserve"> Ordinance 2018 </w:t>
      </w:r>
      <w:r w:rsidRPr="00AD57CA">
        <w:rPr>
          <w:iCs/>
          <w:lang w:eastAsia="en-AU"/>
        </w:rPr>
        <w:t>(the Ordinance)</w:t>
      </w:r>
      <w:r>
        <w:rPr>
          <w:i/>
          <w:iCs/>
          <w:lang w:eastAsia="en-AU"/>
        </w:rPr>
        <w:t xml:space="preserve"> </w:t>
      </w:r>
      <w:r w:rsidRPr="00AD57CA">
        <w:rPr>
          <w:lang w:eastAsia="en-AU"/>
        </w:rPr>
        <w:t xml:space="preserve">is made under section 19A of the </w:t>
      </w:r>
      <w:r w:rsidR="00236034">
        <w:rPr>
          <w:lang w:eastAsia="en-AU"/>
        </w:rPr>
        <w:t>NI</w:t>
      </w:r>
      <w:r w:rsidRPr="00AD57CA">
        <w:rPr>
          <w:lang w:eastAsia="en-AU"/>
        </w:rPr>
        <w:t xml:space="preserve"> Act</w:t>
      </w:r>
      <w:r w:rsidRPr="00AD57CA">
        <w:rPr>
          <w:i/>
          <w:iCs/>
          <w:lang w:eastAsia="en-AU"/>
        </w:rPr>
        <w:t>.</w:t>
      </w:r>
    </w:p>
    <w:p w:rsidR="007F26C2" w:rsidRPr="00CD79D7" w:rsidRDefault="007F26C2" w:rsidP="007F26C2">
      <w:pPr>
        <w:autoSpaceDE w:val="0"/>
        <w:autoSpaceDN w:val="0"/>
        <w:adjustRightInd w:val="0"/>
        <w:spacing w:before="120" w:after="120"/>
      </w:pPr>
      <w:r w:rsidRPr="00CD79D7">
        <w:rPr>
          <w:i/>
          <w:u w:val="single"/>
        </w:rPr>
        <w:t>Purpose and operation</w:t>
      </w:r>
    </w:p>
    <w:p w:rsidR="00E643E6" w:rsidRDefault="00E643E6" w:rsidP="00E643E6">
      <w:pPr>
        <w:spacing w:before="120" w:after="120"/>
      </w:pPr>
      <w:r w:rsidRPr="00CD79D7">
        <w:rPr>
          <w:noProof/>
        </w:rPr>
        <w:t xml:space="preserve">The </w:t>
      </w:r>
      <w:r>
        <w:rPr>
          <w:noProof/>
        </w:rPr>
        <w:t xml:space="preserve">purpose of the </w:t>
      </w:r>
      <w:r>
        <w:t>Ordinance</w:t>
      </w:r>
      <w:r w:rsidRPr="00CD79D7">
        <w:t xml:space="preserve"> </w:t>
      </w:r>
      <w:r>
        <w:t xml:space="preserve">is to </w:t>
      </w:r>
      <w:bookmarkStart w:id="0" w:name="_GoBack"/>
      <w:r>
        <w:t>transfer certain interests in land situated around Mulberry Lane in Norfolk Island. The transfer would resolve an outstanding matter arising under a 1999 Agreement (the Agreement) made between the Commonwealth and Resort Investments Pty Limited (Resort In</w:t>
      </w:r>
      <w:r w:rsidR="006D47A3">
        <w:t>vestments) to facilitate the re</w:t>
      </w:r>
      <w:r>
        <w:t>ali</w:t>
      </w:r>
      <w:r w:rsidR="006D47A3">
        <w:t>gnment of Mulberry Lane. The re</w:t>
      </w:r>
      <w:r>
        <w:t>alignment was intended to improve road safety and access to Queen Elizabeth Avenue</w:t>
      </w:r>
      <w:bookmarkEnd w:id="0"/>
      <w:r>
        <w:t>.</w:t>
      </w:r>
    </w:p>
    <w:p w:rsidR="00E643E6" w:rsidRDefault="00E643E6" w:rsidP="00E643E6">
      <w:pPr>
        <w:spacing w:before="120" w:after="120"/>
      </w:pPr>
      <w:r>
        <w:t>Under the Agreement, Resort Investments agreed to pay for the construction of a road (new Mulberry Lane) on their land and to transfer the land on which the new road would be located to the Commonwealth. In exchange, the Commonwealth agreed to transfer part of the original Mulberry Lane road reserve (old Mulberry Lane) to Resort Investments.</w:t>
      </w:r>
    </w:p>
    <w:p w:rsidR="00E643E6" w:rsidRDefault="00E643E6" w:rsidP="00E643E6">
      <w:pPr>
        <w:spacing w:before="120" w:after="120"/>
      </w:pPr>
      <w:r>
        <w:t>In 2002, Resort Investments constructed new Mulberry Lane, in accordance with the Agreement. Public access to old</w:t>
      </w:r>
      <w:r w:rsidR="00236034">
        <w:t xml:space="preserve"> Mulberry Lane ceased.</w:t>
      </w:r>
    </w:p>
    <w:p w:rsidR="00E643E6" w:rsidRDefault="00E643E6" w:rsidP="00E643E6">
      <w:pPr>
        <w:spacing w:before="120" w:after="120"/>
      </w:pPr>
      <w:r>
        <w:t xml:space="preserve">Attempts </w:t>
      </w:r>
      <w:r w:rsidR="004E1A62">
        <w:t>have</w:t>
      </w:r>
      <w:r>
        <w:t xml:space="preserve"> </w:t>
      </w:r>
      <w:r w:rsidR="00236034">
        <w:t xml:space="preserve">since </w:t>
      </w:r>
      <w:r w:rsidR="004E1A62">
        <w:t xml:space="preserve">been </w:t>
      </w:r>
      <w:r>
        <w:t>initiated by both Resort Investments, and</w:t>
      </w:r>
      <w:r w:rsidR="008A236C">
        <w:t xml:space="preserve"> the</w:t>
      </w:r>
      <w:r>
        <w:t xml:space="preserve"> </w:t>
      </w:r>
      <w:r w:rsidR="00236034">
        <w:t>subsequent</w:t>
      </w:r>
      <w:r>
        <w:t xml:space="preserve"> landholders, to subdivide and transfer the land in accordance with the Agreement, the </w:t>
      </w:r>
      <w:r>
        <w:rPr>
          <w:i/>
        </w:rPr>
        <w:t xml:space="preserve">Subdivision Act 2002 </w:t>
      </w:r>
      <w:r>
        <w:t xml:space="preserve">(NI) and the </w:t>
      </w:r>
      <w:r>
        <w:rPr>
          <w:i/>
        </w:rPr>
        <w:t xml:space="preserve">Land Titles Act 1996 </w:t>
      </w:r>
      <w:r>
        <w:t>(NI). However, for a number of reasons, the subdivision and transfer was</w:t>
      </w:r>
      <w:r w:rsidR="00236034">
        <w:t xml:space="preserve"> never completed.</w:t>
      </w:r>
    </w:p>
    <w:p w:rsidR="00E643E6" w:rsidRDefault="00E643E6" w:rsidP="00E643E6">
      <w:pPr>
        <w:spacing w:before="120" w:after="120"/>
      </w:pPr>
      <w:r>
        <w:t xml:space="preserve">In light of </w:t>
      </w:r>
      <w:r w:rsidR="00236034">
        <w:t xml:space="preserve">these </w:t>
      </w:r>
      <w:r>
        <w:t xml:space="preserve">previous difficulties, and to prevent further delays in honouring the original intent of the Agreement, the Ordinance is now the preferred mechanism to effect the subdivision and transfer. Section 62 of the NI Act allows land to be dealt with and transferred outside of the framework of the </w:t>
      </w:r>
      <w:r w:rsidR="00A21D7A">
        <w:rPr>
          <w:i/>
        </w:rPr>
        <w:t>Lands Acquisition Act 1989</w:t>
      </w:r>
      <w:r>
        <w:t xml:space="preserve">, provided the acquisition is on just terms. When compared with </w:t>
      </w:r>
      <w:r w:rsidR="00236034">
        <w:t xml:space="preserve">other </w:t>
      </w:r>
      <w:r>
        <w:t>administrative processes</w:t>
      </w:r>
      <w:r w:rsidR="008A236C">
        <w:t xml:space="preserve"> available</w:t>
      </w:r>
      <w:r>
        <w:t>, the Ordinance would implement a more efficient and expedited process</w:t>
      </w:r>
      <w:r w:rsidR="00F16022">
        <w:t xml:space="preserve"> for all parties concerned</w:t>
      </w:r>
      <w:r>
        <w:t xml:space="preserve">. </w:t>
      </w:r>
    </w:p>
    <w:p w:rsidR="005D40DE" w:rsidRPr="005D40DE" w:rsidRDefault="00E643E6" w:rsidP="00201BDF">
      <w:pPr>
        <w:spacing w:before="120" w:after="120"/>
      </w:pPr>
      <w:r>
        <w:lastRenderedPageBreak/>
        <w:t xml:space="preserve">The Commonwealth intends to subsequently transfer the land it acquires by virtue of the Ordinance to the Norfolk Island Regional Council pursuant to the </w:t>
      </w:r>
      <w:r>
        <w:rPr>
          <w:i/>
        </w:rPr>
        <w:t>Norfolk Island Land Transfer Ordinance 2016</w:t>
      </w:r>
      <w:r>
        <w:t>.</w:t>
      </w:r>
    </w:p>
    <w:p w:rsidR="007F26C2" w:rsidRDefault="007F26C2" w:rsidP="007F26C2">
      <w:pPr>
        <w:keepNext/>
        <w:widowControl w:val="0"/>
        <w:spacing w:before="120" w:after="120"/>
        <w:rPr>
          <w:i/>
          <w:u w:val="single"/>
        </w:rPr>
      </w:pPr>
      <w:r w:rsidRPr="00134023">
        <w:rPr>
          <w:i/>
          <w:u w:val="single"/>
        </w:rPr>
        <w:t>Consultation</w:t>
      </w:r>
    </w:p>
    <w:p w:rsidR="00F3671A" w:rsidRPr="00F3671A" w:rsidRDefault="00EE05CF" w:rsidP="00044C9E">
      <w:pPr>
        <w:keepNext/>
        <w:widowControl w:val="0"/>
        <w:spacing w:before="120" w:after="120"/>
      </w:pPr>
      <w:r w:rsidRPr="00044C9E">
        <w:t xml:space="preserve">The </w:t>
      </w:r>
      <w:r w:rsidR="00431EC3" w:rsidRPr="00044C9E">
        <w:t>Department of Finance</w:t>
      </w:r>
      <w:r w:rsidR="00044C9E">
        <w:t xml:space="preserve"> was consulted on the proposal, who advised</w:t>
      </w:r>
      <w:r w:rsidR="00431EC3" w:rsidRPr="00044C9E">
        <w:t xml:space="preserve"> that the </w:t>
      </w:r>
      <w:r w:rsidR="0081322C" w:rsidRPr="00EA55B9">
        <w:t xml:space="preserve">Commonwealth </w:t>
      </w:r>
      <w:r w:rsidR="0081322C">
        <w:t>Property Disposal</w:t>
      </w:r>
      <w:r w:rsidR="0081322C" w:rsidRPr="00EA55B9">
        <w:t xml:space="preserve"> Policy</w:t>
      </w:r>
      <w:r w:rsidR="00431EC3" w:rsidRPr="00044C9E">
        <w:t xml:space="preserve"> does not apply in these circumstances.</w:t>
      </w:r>
      <w:r w:rsidR="00A92684" w:rsidRPr="00044C9E">
        <w:t xml:space="preserve"> The relevant landholders were also consulted</w:t>
      </w:r>
      <w:r w:rsidR="00044C9E">
        <w:t>, as was the Registrar of Titles of Norfolk</w:t>
      </w:r>
      <w:r w:rsidR="00595BEE">
        <w:t xml:space="preserve"> Island</w:t>
      </w:r>
      <w:r w:rsidR="00044C9E">
        <w:t xml:space="preserve">. Geoscience Australia and the </w:t>
      </w:r>
      <w:r w:rsidR="00A2338F">
        <w:rPr>
          <w:rFonts w:ascii="Times" w:hAnsi="Times" w:cs="Times"/>
        </w:rPr>
        <w:t>Surveyor-General for Norfolk Island</w:t>
      </w:r>
      <w:r w:rsidR="00A2338F">
        <w:t xml:space="preserve"> </w:t>
      </w:r>
      <w:r w:rsidR="00044C9E">
        <w:t>were also consulted</w:t>
      </w:r>
      <w:r w:rsidR="004F5AFF">
        <w:t xml:space="preserve"> and provided technical advice</w:t>
      </w:r>
      <w:r w:rsidR="00A92684" w:rsidRPr="00044C9E">
        <w:t>.</w:t>
      </w:r>
    </w:p>
    <w:p w:rsidR="007F26C2" w:rsidRPr="005E1BCF" w:rsidRDefault="008B673D" w:rsidP="007F26C2">
      <w:pPr>
        <w:tabs>
          <w:tab w:val="left" w:pos="1701"/>
          <w:tab w:val="right" w:pos="9072"/>
        </w:tabs>
        <w:spacing w:before="120" w:after="120"/>
        <w:ind w:right="91"/>
        <w:rPr>
          <w:i/>
          <w:u w:val="single"/>
        </w:rPr>
      </w:pPr>
      <w:r w:rsidRPr="005E1BCF">
        <w:rPr>
          <w:i/>
          <w:u w:val="single"/>
        </w:rPr>
        <w:t>Other matters</w:t>
      </w:r>
    </w:p>
    <w:p w:rsidR="007F26C2" w:rsidRPr="00A42950" w:rsidRDefault="007F26C2" w:rsidP="00A42950">
      <w:pPr>
        <w:tabs>
          <w:tab w:val="left" w:pos="1701"/>
          <w:tab w:val="right" w:pos="9072"/>
        </w:tabs>
        <w:spacing w:before="120" w:after="120"/>
        <w:ind w:right="91"/>
      </w:pPr>
      <w:r w:rsidRPr="00A42950">
        <w:t xml:space="preserve">The </w:t>
      </w:r>
      <w:r w:rsidR="00C772E1" w:rsidRPr="00A42950">
        <w:t>Ordinance</w:t>
      </w:r>
      <w:r w:rsidRPr="00A42950">
        <w:t xml:space="preserve"> </w:t>
      </w:r>
      <w:r w:rsidR="0069509D" w:rsidRPr="00A42950">
        <w:t>is</w:t>
      </w:r>
      <w:r w:rsidRPr="00A42950">
        <w:t xml:space="preserve"> a legislative instrument for the purposes of the </w:t>
      </w:r>
      <w:r w:rsidRPr="00A42950">
        <w:rPr>
          <w:i/>
        </w:rPr>
        <w:t>Legislation Act 2003</w:t>
      </w:r>
      <w:r w:rsidR="00192C54" w:rsidRPr="00A42950">
        <w:t xml:space="preserve"> (Cth).</w:t>
      </w:r>
    </w:p>
    <w:p w:rsidR="008B673D" w:rsidRPr="00A42950" w:rsidRDefault="007F26C2" w:rsidP="00A42950">
      <w:pPr>
        <w:tabs>
          <w:tab w:val="left" w:pos="1701"/>
          <w:tab w:val="right" w:pos="9072"/>
        </w:tabs>
        <w:spacing w:before="120" w:after="120"/>
        <w:ind w:right="91"/>
      </w:pPr>
      <w:r w:rsidRPr="00A42950">
        <w:t xml:space="preserve">The </w:t>
      </w:r>
      <w:r w:rsidR="00C772E1" w:rsidRPr="00A42950">
        <w:t>Ordinance</w:t>
      </w:r>
      <w:r w:rsidRPr="00A42950">
        <w:t xml:space="preserve"> commence</w:t>
      </w:r>
      <w:r w:rsidR="0069509D" w:rsidRPr="00A42950">
        <w:t>s</w:t>
      </w:r>
      <w:r w:rsidRPr="00A42950">
        <w:t xml:space="preserve"> </w:t>
      </w:r>
      <w:r w:rsidR="00FE4AAA" w:rsidRPr="00A42950">
        <w:t>the day after it is registered on the Federal Register of Legislation.</w:t>
      </w:r>
    </w:p>
    <w:p w:rsidR="00676816" w:rsidRPr="00A42950" w:rsidRDefault="00B56609" w:rsidP="00A42950">
      <w:pPr>
        <w:tabs>
          <w:tab w:val="left" w:pos="1701"/>
          <w:tab w:val="right" w:pos="9072"/>
        </w:tabs>
        <w:spacing w:before="120" w:after="120"/>
        <w:ind w:right="91"/>
      </w:pPr>
      <w:r w:rsidRPr="00A42950">
        <w:t>A Statement of Compatibility with Human Rights f</w:t>
      </w:r>
      <w:r w:rsidR="00370A85" w:rsidRPr="00A42950">
        <w:t>ollows.</w:t>
      </w:r>
    </w:p>
    <w:p w:rsidR="008B673D" w:rsidRPr="00A42950" w:rsidRDefault="00B56609" w:rsidP="00A42950">
      <w:pPr>
        <w:tabs>
          <w:tab w:val="left" w:pos="1701"/>
          <w:tab w:val="right" w:pos="9072"/>
        </w:tabs>
        <w:spacing w:before="120" w:after="120"/>
        <w:ind w:right="91"/>
      </w:pPr>
      <w:r w:rsidRPr="00A42950">
        <w:t xml:space="preserve">A detailed explanation of the provisions of </w:t>
      </w:r>
      <w:r w:rsidR="008B673D" w:rsidRPr="00A42950">
        <w:t xml:space="preserve">the </w:t>
      </w:r>
      <w:r w:rsidR="00C772E1" w:rsidRPr="00A42950">
        <w:t>Ordinance</w:t>
      </w:r>
      <w:r w:rsidR="008B673D" w:rsidRPr="00A42950">
        <w:t xml:space="preserve"> </w:t>
      </w:r>
      <w:r w:rsidRPr="00A42950">
        <w:t>is</w:t>
      </w:r>
      <w:r w:rsidR="008B673D" w:rsidRPr="00A42950">
        <w:t xml:space="preserve"> set out in the Attachment.</w:t>
      </w:r>
    </w:p>
    <w:p w:rsidR="00307F0C" w:rsidRDefault="0017693A" w:rsidP="007F26C2">
      <w:pPr>
        <w:tabs>
          <w:tab w:val="left" w:pos="1701"/>
          <w:tab w:val="right" w:pos="9072"/>
        </w:tabs>
        <w:spacing w:before="120" w:after="120"/>
        <w:ind w:right="91"/>
      </w:pPr>
      <w:r>
        <w:br w:type="page"/>
      </w:r>
    </w:p>
    <w:p w:rsidR="00132784" w:rsidRDefault="00132784" w:rsidP="00132784">
      <w:pPr>
        <w:spacing w:before="360" w:after="120"/>
        <w:jc w:val="center"/>
        <w:rPr>
          <w:b/>
          <w:bCs/>
          <w:sz w:val="28"/>
          <w:szCs w:val="28"/>
        </w:rPr>
      </w:pPr>
      <w:r>
        <w:rPr>
          <w:b/>
          <w:bCs/>
          <w:sz w:val="28"/>
          <w:szCs w:val="28"/>
        </w:rPr>
        <w:lastRenderedPageBreak/>
        <w:t>Statement of Compatibility with Human Rights</w:t>
      </w:r>
    </w:p>
    <w:p w:rsidR="00132784" w:rsidRDefault="00132784" w:rsidP="00132784">
      <w:pPr>
        <w:spacing w:before="120" w:after="120"/>
        <w:jc w:val="center"/>
        <w:rPr>
          <w:i/>
          <w:iCs/>
        </w:rPr>
      </w:pPr>
      <w:r>
        <w:rPr>
          <w:i/>
          <w:iCs/>
        </w:rPr>
        <w:t>Prepared in accordance with Part 3 of the Human Rights (Parliamentary Scrutiny) Act 2011</w:t>
      </w:r>
    </w:p>
    <w:p w:rsidR="00763AEE" w:rsidRDefault="00763AEE" w:rsidP="00132784">
      <w:pPr>
        <w:spacing w:before="120" w:after="120"/>
        <w:jc w:val="center"/>
      </w:pPr>
    </w:p>
    <w:p w:rsidR="00132784" w:rsidRDefault="00132784" w:rsidP="00132784">
      <w:pPr>
        <w:ind w:right="91"/>
        <w:jc w:val="center"/>
        <w:rPr>
          <w:b/>
          <w:bCs/>
          <w:i/>
          <w:iCs/>
        </w:rPr>
      </w:pPr>
      <w:r>
        <w:rPr>
          <w:b/>
          <w:bCs/>
          <w:i/>
          <w:iCs/>
        </w:rPr>
        <w:t xml:space="preserve">Norfolk Island </w:t>
      </w:r>
      <w:r w:rsidR="00201BDF">
        <w:rPr>
          <w:b/>
          <w:bCs/>
          <w:i/>
          <w:iCs/>
        </w:rPr>
        <w:t>Land Transfer (Mulberry Lane)</w:t>
      </w:r>
      <w:r>
        <w:rPr>
          <w:b/>
          <w:bCs/>
          <w:i/>
          <w:iCs/>
        </w:rPr>
        <w:t xml:space="preserve"> Ordinance 201</w:t>
      </w:r>
      <w:r w:rsidR="008B673D">
        <w:rPr>
          <w:b/>
          <w:bCs/>
          <w:i/>
          <w:iCs/>
        </w:rPr>
        <w:t>8</w:t>
      </w:r>
    </w:p>
    <w:p w:rsidR="00763AEE" w:rsidRDefault="00763AEE" w:rsidP="00132784">
      <w:pPr>
        <w:ind w:right="91"/>
        <w:jc w:val="center"/>
        <w:rPr>
          <w:b/>
          <w:bCs/>
          <w:i/>
          <w:iCs/>
          <w:sz w:val="22"/>
          <w:szCs w:val="22"/>
        </w:rPr>
      </w:pPr>
    </w:p>
    <w:p w:rsidR="00132784" w:rsidRDefault="00132784" w:rsidP="004E1A62">
      <w:pPr>
        <w:spacing w:before="120" w:after="120"/>
      </w:pPr>
      <w:r>
        <w:t xml:space="preserve">This </w:t>
      </w:r>
      <w:r w:rsidR="006D1415">
        <w:t>Ordinance</w:t>
      </w:r>
      <w:r w:rsidR="00E60628">
        <w:t xml:space="preserve"> </w:t>
      </w:r>
      <w:r>
        <w:t xml:space="preserve">is compatible with the human rights and freedoms recognised or declared </w:t>
      </w:r>
      <w:r w:rsidR="00B85BC8">
        <w:t>in</w:t>
      </w:r>
      <w:r w:rsidR="008B673D">
        <w:t xml:space="preserve"> </w:t>
      </w:r>
      <w:r>
        <w:t>the international instruments listed in</w:t>
      </w:r>
      <w:r w:rsidR="008B673D">
        <w:t xml:space="preserve"> </w:t>
      </w:r>
      <w:r w:rsidR="00B85BC8">
        <w:t>section 3</w:t>
      </w:r>
      <w:r>
        <w:t xml:space="preserve"> of the </w:t>
      </w:r>
      <w:r>
        <w:rPr>
          <w:i/>
          <w:iCs/>
        </w:rPr>
        <w:t>Human Rights (Parliamentary Scrutiny) Act 2011</w:t>
      </w:r>
      <w:r>
        <w:t>.</w:t>
      </w:r>
    </w:p>
    <w:p w:rsidR="00B906C6" w:rsidRDefault="00B906C6" w:rsidP="00763AEE">
      <w:pPr>
        <w:spacing w:before="120" w:after="120"/>
        <w:jc w:val="center"/>
      </w:pPr>
    </w:p>
    <w:p w:rsidR="00132784" w:rsidRDefault="00132784" w:rsidP="00132784">
      <w:pPr>
        <w:spacing w:before="120" w:after="120"/>
        <w:jc w:val="both"/>
        <w:rPr>
          <w:b/>
          <w:bCs/>
        </w:rPr>
      </w:pPr>
      <w:r>
        <w:rPr>
          <w:b/>
          <w:bCs/>
        </w:rPr>
        <w:t>Overvie</w:t>
      </w:r>
      <w:r w:rsidR="00B85BC8">
        <w:rPr>
          <w:b/>
          <w:bCs/>
        </w:rPr>
        <w:t xml:space="preserve">w of the </w:t>
      </w:r>
      <w:r w:rsidR="006D1415">
        <w:rPr>
          <w:b/>
          <w:bCs/>
        </w:rPr>
        <w:t>Ordinance</w:t>
      </w:r>
    </w:p>
    <w:p w:rsidR="004E1A62" w:rsidRDefault="004E1A62" w:rsidP="004E1A62">
      <w:pPr>
        <w:spacing w:before="120" w:after="120"/>
      </w:pPr>
      <w:r w:rsidRPr="00CD79D7">
        <w:rPr>
          <w:noProof/>
        </w:rPr>
        <w:t xml:space="preserve">The </w:t>
      </w:r>
      <w:r>
        <w:rPr>
          <w:noProof/>
        </w:rPr>
        <w:t xml:space="preserve">purpose of the </w:t>
      </w:r>
      <w:r>
        <w:t>Ordinance</w:t>
      </w:r>
      <w:r w:rsidRPr="00CD79D7">
        <w:t xml:space="preserve"> </w:t>
      </w:r>
      <w:r>
        <w:t>is to transfer certain interests in land situated around Mulberry Lane in Norfolk Island. The transfer would resolve an outstanding matter arising under a 1999 Agreement (the Agreement) made between the Commonwealth and Resort Investments Pty Limited (Resort Investments)</w:t>
      </w:r>
      <w:r w:rsidR="006D47A3">
        <w:t xml:space="preserve"> to facilitate the re</w:t>
      </w:r>
      <w:r>
        <w:t>ali</w:t>
      </w:r>
      <w:r w:rsidR="006D47A3">
        <w:t>gnment of Mulberry Lane. The re</w:t>
      </w:r>
      <w:r>
        <w:t>alignment was intended to improve road safety and access to Queen Elizabeth Avenue.</w:t>
      </w:r>
    </w:p>
    <w:p w:rsidR="004E1A62" w:rsidRDefault="004E1A62" w:rsidP="004E1A62">
      <w:pPr>
        <w:spacing w:before="120" w:after="120"/>
      </w:pPr>
      <w:r>
        <w:t>Under the Agreement, Resort Investments agreed to pay for the construction of a road (new Mulberry Lane) on their land and to transfer the land on which the new road would be located to the Commonwealth. In exchange, the Commonwealth agreed to transfer part of the original Mulberry Lane road reserve (old Mulberry Lane) to Resort Investments.</w:t>
      </w:r>
    </w:p>
    <w:p w:rsidR="004E1A62" w:rsidRDefault="004E1A62" w:rsidP="004E1A62">
      <w:pPr>
        <w:spacing w:before="120" w:after="120"/>
      </w:pPr>
      <w:r>
        <w:t>In 2002, Resort Investments constructed new Mulberry Lane, in accordance with the Agreement. Public access to old Mulberry Lane ceased.</w:t>
      </w:r>
    </w:p>
    <w:p w:rsidR="004E1A62" w:rsidRDefault="004E1A62" w:rsidP="004E1A62">
      <w:pPr>
        <w:spacing w:before="120" w:after="120"/>
      </w:pPr>
      <w:r>
        <w:t xml:space="preserve">Attempts have since been initiated by both Resort Investments, and the subsequent landholders, to subdivide and transfer the land in accordance with the Agreement, the </w:t>
      </w:r>
      <w:r>
        <w:rPr>
          <w:i/>
        </w:rPr>
        <w:t xml:space="preserve">Subdivision Act 2002 </w:t>
      </w:r>
      <w:r>
        <w:t xml:space="preserve">(NI) and the </w:t>
      </w:r>
      <w:r>
        <w:rPr>
          <w:i/>
        </w:rPr>
        <w:t xml:space="preserve">Land Titles Act 1996 </w:t>
      </w:r>
      <w:r>
        <w:t>(NI). However, for a number of reasons, the subdivision and transfer was never completed.</w:t>
      </w:r>
    </w:p>
    <w:p w:rsidR="004E1A62" w:rsidRDefault="004E1A62" w:rsidP="004E1A62">
      <w:pPr>
        <w:spacing w:before="120" w:after="120"/>
      </w:pPr>
      <w:r>
        <w:t xml:space="preserve">In light of these previous difficulties, and to prevent further delays in honouring the original intent of the Agreement, the Ordinance is now the preferred mechanism to effect the subdivision and transfer. Section 62 of the NI Act allows land to be dealt with and transferred outside of the framework of the </w:t>
      </w:r>
      <w:r>
        <w:rPr>
          <w:i/>
        </w:rPr>
        <w:t xml:space="preserve">Lands Acquisition Act 1989 </w:t>
      </w:r>
      <w:r>
        <w:t xml:space="preserve">(Cth), provided the acquisition is on just terms. When compared with other administrative processes available, the Ordinance would implement a more efficient and expedited process for all parties concerned. </w:t>
      </w:r>
    </w:p>
    <w:p w:rsidR="004E1A62" w:rsidRPr="005D40DE" w:rsidRDefault="004E1A62" w:rsidP="004E1A62">
      <w:pPr>
        <w:spacing w:before="120" w:after="120"/>
      </w:pPr>
      <w:r>
        <w:t xml:space="preserve">The Commonwealth intends to subsequently transfer the land it acquires by virtue of the Ordinance to the Norfolk Island Regional Council pursuant to the </w:t>
      </w:r>
      <w:r>
        <w:rPr>
          <w:i/>
        </w:rPr>
        <w:t>Norfolk Island Land Transfer Ordinance 2016</w:t>
      </w:r>
      <w:r>
        <w:t>.</w:t>
      </w:r>
    </w:p>
    <w:p w:rsidR="00132784" w:rsidRDefault="00132784" w:rsidP="00132784">
      <w:pPr>
        <w:spacing w:before="120" w:after="120"/>
        <w:rPr>
          <w:b/>
          <w:bCs/>
        </w:rPr>
      </w:pPr>
      <w:r>
        <w:rPr>
          <w:b/>
          <w:bCs/>
        </w:rPr>
        <w:t>Human rights implications</w:t>
      </w:r>
    </w:p>
    <w:p w:rsidR="00B906C6" w:rsidRPr="00AC65EB" w:rsidRDefault="00132784" w:rsidP="00FB4D9E">
      <w:pPr>
        <w:keepNext/>
        <w:spacing w:before="120" w:after="120"/>
        <w:rPr>
          <w:color w:val="000000" w:themeColor="text1"/>
        </w:rPr>
      </w:pPr>
      <w:r w:rsidRPr="00132784">
        <w:rPr>
          <w:color w:val="000000" w:themeColor="text1"/>
        </w:rPr>
        <w:lastRenderedPageBreak/>
        <w:t xml:space="preserve">This </w:t>
      </w:r>
      <w:r w:rsidR="006D1415">
        <w:rPr>
          <w:color w:val="000000" w:themeColor="text1"/>
        </w:rPr>
        <w:t>Ordinance</w:t>
      </w:r>
      <w:r w:rsidR="00E60628" w:rsidRPr="00132784">
        <w:rPr>
          <w:color w:val="000000" w:themeColor="text1"/>
        </w:rPr>
        <w:t xml:space="preserve"> </w:t>
      </w:r>
      <w:r w:rsidR="0094608D">
        <w:rPr>
          <w:color w:val="000000" w:themeColor="text1"/>
        </w:rPr>
        <w:t>does not engage any of the applicable rights or freedoms.</w:t>
      </w:r>
    </w:p>
    <w:p w:rsidR="00132784" w:rsidRDefault="00B906C6" w:rsidP="00FB4D9E">
      <w:pPr>
        <w:keepNext/>
        <w:spacing w:before="120" w:after="120"/>
        <w:rPr>
          <w:b/>
          <w:bCs/>
        </w:rPr>
      </w:pPr>
      <w:r>
        <w:rPr>
          <w:b/>
          <w:bCs/>
        </w:rPr>
        <w:t>Conclusion</w:t>
      </w:r>
    </w:p>
    <w:p w:rsidR="00132784" w:rsidRDefault="00132784" w:rsidP="00132784">
      <w:pPr>
        <w:spacing w:before="120" w:after="120"/>
      </w:pPr>
      <w:r>
        <w:t xml:space="preserve">This </w:t>
      </w:r>
      <w:r w:rsidR="00F669F2">
        <w:t>Ordinance</w:t>
      </w:r>
      <w:r w:rsidR="00E60628">
        <w:t xml:space="preserve"> </w:t>
      </w:r>
      <w:r>
        <w:t>is compatible with human rights as it</w:t>
      </w:r>
      <w:r w:rsidR="0094608D">
        <w:t xml:space="preserve"> does not raise any human rights issues</w:t>
      </w:r>
      <w:r>
        <w:t>.</w:t>
      </w:r>
    </w:p>
    <w:p w:rsidR="00132784" w:rsidRDefault="00132784" w:rsidP="00132784">
      <w:pPr>
        <w:spacing w:before="120" w:after="120"/>
      </w:pPr>
    </w:p>
    <w:p w:rsidR="0094608D" w:rsidRDefault="00132784" w:rsidP="00132784">
      <w:pPr>
        <w:spacing w:after="200" w:line="276" w:lineRule="auto"/>
        <w:jc w:val="center"/>
        <w:rPr>
          <w:b/>
          <w:bCs/>
        </w:rPr>
      </w:pPr>
      <w:r>
        <w:rPr>
          <w:b/>
          <w:bCs/>
        </w:rPr>
        <w:t xml:space="preserve">Minister for </w:t>
      </w:r>
      <w:r w:rsidR="00B906C6">
        <w:rPr>
          <w:b/>
          <w:bCs/>
        </w:rPr>
        <w:t>Regional Development, Territories and Local Government</w:t>
      </w:r>
      <w:r>
        <w:rPr>
          <w:b/>
          <w:bCs/>
        </w:rPr>
        <w:t xml:space="preserve">, </w:t>
      </w:r>
      <w:r>
        <w:rPr>
          <w:b/>
          <w:bCs/>
        </w:rPr>
        <w:br/>
      </w:r>
      <w:r w:rsidR="00647DB1">
        <w:rPr>
          <w:b/>
          <w:bCs/>
        </w:rPr>
        <w:t>T</w:t>
      </w:r>
      <w:r>
        <w:rPr>
          <w:b/>
          <w:bCs/>
        </w:rPr>
        <w:t>he Hon </w:t>
      </w:r>
      <w:r w:rsidR="00B906C6">
        <w:rPr>
          <w:b/>
          <w:bCs/>
        </w:rPr>
        <w:t xml:space="preserve">Dr John McVeigh </w:t>
      </w:r>
      <w:r w:rsidR="00647DB1">
        <w:rPr>
          <w:b/>
          <w:bCs/>
        </w:rPr>
        <w:t>MP</w:t>
      </w:r>
    </w:p>
    <w:p w:rsidR="0094608D" w:rsidRDefault="0094608D">
      <w:pPr>
        <w:spacing w:after="200" w:line="276" w:lineRule="auto"/>
        <w:rPr>
          <w:b/>
          <w:bCs/>
        </w:rPr>
      </w:pPr>
      <w:r>
        <w:rPr>
          <w:b/>
          <w:bCs/>
        </w:rPr>
        <w:br w:type="page"/>
      </w:r>
    </w:p>
    <w:p w:rsidR="00307F0C" w:rsidRPr="00083143" w:rsidRDefault="00083143" w:rsidP="00745501">
      <w:pPr>
        <w:tabs>
          <w:tab w:val="left" w:pos="1701"/>
          <w:tab w:val="right" w:pos="9072"/>
        </w:tabs>
        <w:spacing w:before="120" w:after="120"/>
        <w:ind w:right="91"/>
        <w:jc w:val="right"/>
        <w:rPr>
          <w:b/>
          <w:u w:val="single"/>
        </w:rPr>
      </w:pPr>
      <w:r w:rsidRPr="00083143">
        <w:rPr>
          <w:b/>
          <w:u w:val="single"/>
        </w:rPr>
        <w:lastRenderedPageBreak/>
        <w:t>ATTACHMENT</w:t>
      </w:r>
    </w:p>
    <w:p w:rsidR="00FE4AAA" w:rsidRPr="00CD38CE" w:rsidRDefault="00FE4AAA" w:rsidP="00FE4AAA">
      <w:pPr>
        <w:tabs>
          <w:tab w:val="left" w:pos="1701"/>
          <w:tab w:val="right" w:pos="9072"/>
        </w:tabs>
        <w:spacing w:before="120" w:after="120"/>
        <w:ind w:right="91"/>
        <w:rPr>
          <w:b/>
          <w:u w:val="single"/>
        </w:rPr>
      </w:pPr>
      <w:r>
        <w:rPr>
          <w:i/>
        </w:rPr>
        <w:br/>
      </w:r>
      <w:r w:rsidRPr="00CD38CE">
        <w:rPr>
          <w:b/>
          <w:u w:val="single"/>
        </w:rPr>
        <w:t xml:space="preserve">Norfolk Island </w:t>
      </w:r>
      <w:r w:rsidR="00201BDF">
        <w:rPr>
          <w:b/>
          <w:u w:val="single"/>
        </w:rPr>
        <w:t>Land Transfer (Mulberry Lane)</w:t>
      </w:r>
      <w:r w:rsidRPr="00CD38CE">
        <w:rPr>
          <w:b/>
          <w:u w:val="single"/>
        </w:rPr>
        <w:t xml:space="preserve"> Ordinance 201</w:t>
      </w:r>
      <w:r w:rsidR="00702341">
        <w:rPr>
          <w:b/>
          <w:u w:val="single"/>
        </w:rPr>
        <w:t>8</w:t>
      </w:r>
      <w:r w:rsidR="003965B7">
        <w:rPr>
          <w:b/>
          <w:u w:val="single"/>
        </w:rPr>
        <w:t xml:space="preserve"> (the </w:t>
      </w:r>
      <w:r w:rsidR="00C772E1">
        <w:rPr>
          <w:b/>
          <w:u w:val="single"/>
        </w:rPr>
        <w:t>Ordinance</w:t>
      </w:r>
      <w:r w:rsidR="003965B7">
        <w:rPr>
          <w:b/>
          <w:u w:val="single"/>
        </w:rPr>
        <w:t>)</w:t>
      </w:r>
    </w:p>
    <w:p w:rsidR="00FE4AAA" w:rsidRPr="00CD38CE" w:rsidRDefault="00FE4AAA" w:rsidP="00FE4AAA">
      <w:pPr>
        <w:tabs>
          <w:tab w:val="left" w:pos="1701"/>
          <w:tab w:val="right" w:pos="9072"/>
        </w:tabs>
        <w:spacing w:before="120" w:after="120"/>
        <w:ind w:right="91"/>
        <w:rPr>
          <w:b/>
        </w:rPr>
      </w:pPr>
      <w:r w:rsidRPr="00CD38CE">
        <w:rPr>
          <w:b/>
        </w:rPr>
        <w:t>Section 1</w:t>
      </w:r>
      <w:r w:rsidR="004F195D">
        <w:rPr>
          <w:b/>
        </w:rPr>
        <w:t>—</w:t>
      </w:r>
      <w:r w:rsidRPr="00CD38CE">
        <w:rPr>
          <w:b/>
        </w:rPr>
        <w:t>Name</w:t>
      </w:r>
    </w:p>
    <w:p w:rsidR="00201BDF" w:rsidRPr="00F3671A" w:rsidRDefault="005F20AC" w:rsidP="00201BDF">
      <w:pPr>
        <w:spacing w:before="120" w:after="120"/>
      </w:pPr>
      <w:r>
        <w:t>Section 1</w:t>
      </w:r>
      <w:r w:rsidR="00FE4AAA">
        <w:t xml:space="preserve"> </w:t>
      </w:r>
      <w:r w:rsidR="00192C54">
        <w:t xml:space="preserve">of the </w:t>
      </w:r>
      <w:r w:rsidR="00C772E1">
        <w:t>Ordinance</w:t>
      </w:r>
      <w:r w:rsidR="00192C54">
        <w:t xml:space="preserve"> </w:t>
      </w:r>
      <w:r>
        <w:t>provides</w:t>
      </w:r>
      <w:r w:rsidR="00FE4AAA" w:rsidRPr="00025AEF">
        <w:t xml:space="preserve"> that the title of the </w:t>
      </w:r>
      <w:r w:rsidR="00C772E1">
        <w:t>Ordinance</w:t>
      </w:r>
      <w:r w:rsidR="00FE4AAA" w:rsidRPr="00025AEF">
        <w:t xml:space="preserve"> </w:t>
      </w:r>
      <w:r w:rsidR="00D70C39">
        <w:t>is</w:t>
      </w:r>
      <w:r w:rsidR="00FE4AAA" w:rsidRPr="00025AEF">
        <w:t xml:space="preserve"> the </w:t>
      </w:r>
      <w:r w:rsidR="00F3671A">
        <w:rPr>
          <w:i/>
        </w:rPr>
        <w:t>Norfolk Island Land Transfer (Mulberry Lane) Ordinance 2018</w:t>
      </w:r>
      <w:r w:rsidR="00F3671A">
        <w:t>.</w:t>
      </w:r>
    </w:p>
    <w:p w:rsidR="00FE4AAA" w:rsidRPr="00CD38CE" w:rsidRDefault="00FE4AAA" w:rsidP="00201BDF">
      <w:pPr>
        <w:spacing w:before="120" w:after="120"/>
        <w:rPr>
          <w:b/>
        </w:rPr>
      </w:pPr>
      <w:r w:rsidRPr="00CD38CE">
        <w:rPr>
          <w:b/>
        </w:rPr>
        <w:t>Section 2</w:t>
      </w:r>
      <w:r w:rsidR="004F195D">
        <w:rPr>
          <w:b/>
        </w:rPr>
        <w:t>—</w:t>
      </w:r>
      <w:r w:rsidRPr="00CD38CE">
        <w:rPr>
          <w:b/>
        </w:rPr>
        <w:t>Commencement</w:t>
      </w:r>
    </w:p>
    <w:p w:rsidR="00FE4AAA" w:rsidRPr="00025AEF" w:rsidRDefault="005F20AC" w:rsidP="00FE4AAA">
      <w:pPr>
        <w:spacing w:before="120" w:after="120"/>
      </w:pPr>
      <w:r>
        <w:t>Section 2</w:t>
      </w:r>
      <w:r w:rsidR="00FE4AAA">
        <w:t xml:space="preserve"> </w:t>
      </w:r>
      <w:r w:rsidR="00192C54">
        <w:t xml:space="preserve">of the </w:t>
      </w:r>
      <w:r w:rsidR="00C772E1">
        <w:t>Ordinance</w:t>
      </w:r>
      <w:r w:rsidR="00192C54">
        <w:t xml:space="preserve"> </w:t>
      </w:r>
      <w:r w:rsidR="00FE4AAA">
        <w:t xml:space="preserve">provides that the </w:t>
      </w:r>
      <w:r w:rsidR="00C772E1">
        <w:t>Ordinance</w:t>
      </w:r>
      <w:r w:rsidR="00FE4AAA">
        <w:t xml:space="preserve"> </w:t>
      </w:r>
      <w:r w:rsidR="00D40C6F">
        <w:t>commence</w:t>
      </w:r>
      <w:r w:rsidR="00D70C39">
        <w:t>s</w:t>
      </w:r>
      <w:r w:rsidR="00FE4AAA">
        <w:t xml:space="preserve"> on the day after it is registered</w:t>
      </w:r>
      <w:r w:rsidR="002F77E0">
        <w:t xml:space="preserve"> on the Federal Register of Legislation</w:t>
      </w:r>
      <w:r w:rsidR="00FE4AAA">
        <w:t>.</w:t>
      </w:r>
    </w:p>
    <w:p w:rsidR="00FE4AAA" w:rsidRPr="00CD38CE" w:rsidRDefault="00FE4AAA" w:rsidP="00CD38CE">
      <w:pPr>
        <w:tabs>
          <w:tab w:val="left" w:pos="1701"/>
          <w:tab w:val="right" w:pos="9072"/>
        </w:tabs>
        <w:spacing w:before="120" w:after="120"/>
        <w:ind w:right="91"/>
        <w:rPr>
          <w:b/>
        </w:rPr>
      </w:pPr>
      <w:r w:rsidRPr="00CD38CE">
        <w:rPr>
          <w:b/>
        </w:rPr>
        <w:t>Section 3</w:t>
      </w:r>
      <w:r w:rsidR="004F195D">
        <w:rPr>
          <w:b/>
        </w:rPr>
        <w:t>—</w:t>
      </w:r>
      <w:r w:rsidRPr="00CD38CE">
        <w:rPr>
          <w:b/>
        </w:rPr>
        <w:t>Authority</w:t>
      </w:r>
    </w:p>
    <w:p w:rsidR="00FE4AAA" w:rsidRDefault="005F20AC" w:rsidP="00FE4AAA">
      <w:pPr>
        <w:spacing w:before="120" w:after="120"/>
      </w:pPr>
      <w:r>
        <w:t>Section 3</w:t>
      </w:r>
      <w:r w:rsidR="00FE4AAA" w:rsidRPr="00025AEF">
        <w:t xml:space="preserve"> </w:t>
      </w:r>
      <w:r w:rsidR="00192C54">
        <w:t xml:space="preserve">of the </w:t>
      </w:r>
      <w:r w:rsidR="00C772E1">
        <w:t>Ordinance</w:t>
      </w:r>
      <w:r w:rsidR="00192C54">
        <w:t xml:space="preserve"> </w:t>
      </w:r>
      <w:r w:rsidR="00E60628">
        <w:t xml:space="preserve">states </w:t>
      </w:r>
      <w:r w:rsidR="004C1B0A">
        <w:t>that the</w:t>
      </w:r>
      <w:r w:rsidR="00FE4AAA" w:rsidRPr="00025AEF">
        <w:t xml:space="preserve"> </w:t>
      </w:r>
      <w:r w:rsidR="00C772E1">
        <w:t>Ordinance</w:t>
      </w:r>
      <w:r w:rsidR="00FE4AAA" w:rsidRPr="00025AEF">
        <w:t xml:space="preserve"> </w:t>
      </w:r>
      <w:r w:rsidR="00D70C39">
        <w:t>is</w:t>
      </w:r>
      <w:r w:rsidR="00FE4AAA" w:rsidRPr="00025AEF">
        <w:t xml:space="preserve"> made under </w:t>
      </w:r>
      <w:r w:rsidR="00CB565B">
        <w:t xml:space="preserve">section 19A of </w:t>
      </w:r>
      <w:r w:rsidR="00FE4AAA" w:rsidRPr="00025AEF">
        <w:t xml:space="preserve">the </w:t>
      </w:r>
      <w:r w:rsidR="00344029">
        <w:rPr>
          <w:i/>
        </w:rPr>
        <w:t xml:space="preserve">Norfolk Island Act 1979 </w:t>
      </w:r>
      <w:r w:rsidR="00344029">
        <w:t xml:space="preserve">(Cth) (the </w:t>
      </w:r>
      <w:r w:rsidR="00EE3FA4" w:rsidRPr="00EE3FA4">
        <w:t>NI Act</w:t>
      </w:r>
      <w:r w:rsidR="00344029">
        <w:t>)</w:t>
      </w:r>
      <w:r w:rsidR="00FE4AAA" w:rsidRPr="00025AEF">
        <w:t>.</w:t>
      </w:r>
    </w:p>
    <w:p w:rsidR="008771F4" w:rsidRDefault="00F3671A" w:rsidP="006B1DA5">
      <w:pPr>
        <w:spacing w:after="120"/>
        <w:rPr>
          <w:b/>
        </w:rPr>
      </w:pPr>
      <w:r>
        <w:rPr>
          <w:rFonts w:eastAsiaTheme="minorHAnsi"/>
          <w:b/>
        </w:rPr>
        <w:t>Section 4</w:t>
      </w:r>
      <w:r>
        <w:rPr>
          <w:b/>
        </w:rPr>
        <w:t>—Definitions</w:t>
      </w:r>
    </w:p>
    <w:p w:rsidR="00F3671A" w:rsidRDefault="004E1A62" w:rsidP="006B1DA5">
      <w:pPr>
        <w:spacing w:after="120"/>
      </w:pPr>
      <w:r>
        <w:t>Subs</w:t>
      </w:r>
      <w:r w:rsidR="00F3671A">
        <w:t>ection 4</w:t>
      </w:r>
      <w:r>
        <w:t>(1)</w:t>
      </w:r>
      <w:r w:rsidR="00F3671A">
        <w:t xml:space="preserve"> of the Ordinance contains a list of terms defined in the Ordinance for the purposes of interpreting </w:t>
      </w:r>
      <w:r w:rsidR="009C73CE">
        <w:t>the Ordinance</w:t>
      </w:r>
      <w:r w:rsidR="00AC65EB">
        <w:t>. It provides that ‘landholders’</w:t>
      </w:r>
      <w:r w:rsidR="00CE6585">
        <w:t xml:space="preserve"> means </w:t>
      </w:r>
      <w:r w:rsidRPr="004E1A62">
        <w:t>Sandra</w:t>
      </w:r>
      <w:r w:rsidR="00AC65EB" w:rsidRPr="004E1A62">
        <w:t xml:space="preserve"> Williamson and Lauren Hancock</w:t>
      </w:r>
      <w:r>
        <w:t xml:space="preserve">, </w:t>
      </w:r>
      <w:r w:rsidR="00AC65EB">
        <w:t>‘minerals’</w:t>
      </w:r>
      <w:r w:rsidR="00CE6585">
        <w:t xml:space="preserve"> means minerals in any form, whether solid, liquid or gaseous and whether organic or inorganic</w:t>
      </w:r>
      <w:r>
        <w:t xml:space="preserve"> and ‘Official Survey’ </w:t>
      </w:r>
      <w:r w:rsidRPr="006E392B">
        <w:t xml:space="preserve">means the Official Survey as existing under section 4 of the </w:t>
      </w:r>
      <w:r w:rsidRPr="006E392B">
        <w:rPr>
          <w:i/>
        </w:rPr>
        <w:t>Official Survey Act 1978</w:t>
      </w:r>
      <w:r w:rsidRPr="006E392B">
        <w:t xml:space="preserve"> (</w:t>
      </w:r>
      <w:r>
        <w:t>NI</w:t>
      </w:r>
      <w:r w:rsidRPr="006E392B">
        <w:t>) immediately before the commencement of this Ordinance</w:t>
      </w:r>
      <w:r w:rsidR="00CE6585">
        <w:t xml:space="preserve">. </w:t>
      </w:r>
      <w:r w:rsidR="00F3671A">
        <w:t xml:space="preserve">It also provides cross-references to the </w:t>
      </w:r>
      <w:r w:rsidR="00211818">
        <w:t>provisions</w:t>
      </w:r>
      <w:r w:rsidR="00AC65EB">
        <w:t xml:space="preserve"> containing the definitions of ‘current Mulberry Lane land’ and ‘</w:t>
      </w:r>
      <w:r w:rsidR="00211818">
        <w:t>old Mulbe</w:t>
      </w:r>
      <w:r w:rsidR="00AC65EB">
        <w:t>rry Lane land’</w:t>
      </w:r>
      <w:r w:rsidR="00211818">
        <w:t>.</w:t>
      </w:r>
    </w:p>
    <w:p w:rsidR="004E1A62" w:rsidRDefault="004E1A62" w:rsidP="006B1DA5">
      <w:pPr>
        <w:spacing w:after="120"/>
      </w:pPr>
      <w:r>
        <w:t xml:space="preserve">Subsection 4(2) </w:t>
      </w:r>
      <w:r w:rsidR="00AF1EA9">
        <w:t xml:space="preserve">of the Ordinance </w:t>
      </w:r>
      <w:r>
        <w:t xml:space="preserve">provides that the </w:t>
      </w:r>
      <w:r w:rsidRPr="004E1A62">
        <w:rPr>
          <w:i/>
        </w:rPr>
        <w:t>Acts Interpretation Act 1901</w:t>
      </w:r>
      <w:r w:rsidRPr="004E1A62">
        <w:t xml:space="preserve"> does not apply to this Ordinance</w:t>
      </w:r>
      <w:r>
        <w:t xml:space="preserve">. As mentioned in the note to this subsection, the </w:t>
      </w:r>
      <w:r w:rsidR="00FB54F4" w:rsidRPr="00FB54F4">
        <w:rPr>
          <w:i/>
        </w:rPr>
        <w:t>Interpretation Act 1979</w:t>
      </w:r>
      <w:r w:rsidR="00FB54F4" w:rsidRPr="00FB54F4">
        <w:t xml:space="preserve"> (</w:t>
      </w:r>
      <w:r w:rsidR="00FB54F4">
        <w:t>NI</w:t>
      </w:r>
      <w:r w:rsidR="00FB54F4" w:rsidRPr="00FB54F4">
        <w:t>) applies</w:t>
      </w:r>
      <w:r w:rsidR="00FB54F4">
        <w:t xml:space="preserve"> to the Ordinance instead (because the</w:t>
      </w:r>
      <w:r w:rsidR="00FB54F4" w:rsidRPr="00FB54F4">
        <w:t xml:space="preserve"> Ordinance is an enactment for the purposes of that Act).</w:t>
      </w:r>
    </w:p>
    <w:p w:rsidR="00FB54F4" w:rsidRPr="00FB54F4" w:rsidRDefault="00FB54F4" w:rsidP="00FB54F4">
      <w:pPr>
        <w:spacing w:after="120"/>
      </w:pPr>
      <w:r w:rsidRPr="00FB54F4">
        <w:t xml:space="preserve">Although the </w:t>
      </w:r>
      <w:r w:rsidRPr="00FB54F4">
        <w:rPr>
          <w:i/>
          <w:iCs/>
        </w:rPr>
        <w:t>Acts Interpretation Act 1901</w:t>
      </w:r>
      <w:r w:rsidRPr="00FB54F4">
        <w:t xml:space="preserve"> does not apply to this Ordinance, it should be noted that many of the provisions contained in </w:t>
      </w:r>
      <w:r>
        <w:t>this Act</w:t>
      </w:r>
      <w:r w:rsidRPr="00FB54F4">
        <w:t xml:space="preserve"> do apply to section 19A Ordinances by virtue of section 8A of the </w:t>
      </w:r>
      <w:r w:rsidRPr="00FB54F4">
        <w:rPr>
          <w:i/>
          <w:iCs/>
        </w:rPr>
        <w:t>Interpretation Act 1979</w:t>
      </w:r>
      <w:r w:rsidRPr="00FB54F4">
        <w:t xml:space="preserve"> (NI).</w:t>
      </w:r>
    </w:p>
    <w:p w:rsidR="00211818" w:rsidRDefault="00211818" w:rsidP="006B1DA5">
      <w:pPr>
        <w:spacing w:after="120"/>
        <w:rPr>
          <w:b/>
        </w:rPr>
      </w:pPr>
      <w:r>
        <w:rPr>
          <w:b/>
        </w:rPr>
        <w:t>Section 5—Vesting of current Mulberry Lane land in the Commonwealth</w:t>
      </w:r>
    </w:p>
    <w:p w:rsidR="0042416F" w:rsidRDefault="00211818" w:rsidP="006B1DA5">
      <w:pPr>
        <w:spacing w:after="120"/>
      </w:pPr>
      <w:r>
        <w:t>Subsection 5(1)</w:t>
      </w:r>
      <w:r w:rsidR="00973AA7">
        <w:t xml:space="preserve"> of the Ordinance</w:t>
      </w:r>
      <w:r>
        <w:t xml:space="preserve"> provides that the fee simple interest in the current Mulberry Lane land that, immediately before the commencement of the Ordinance, was held </w:t>
      </w:r>
      <w:r w:rsidR="00FB54F4">
        <w:t xml:space="preserve">as joint tenants </w:t>
      </w:r>
      <w:r>
        <w:t xml:space="preserve">by the </w:t>
      </w:r>
      <w:r w:rsidR="00C721ED">
        <w:t>landholders</w:t>
      </w:r>
      <w:r>
        <w:t xml:space="preserve">, </w:t>
      </w:r>
      <w:r w:rsidR="00FB54F4" w:rsidRPr="006E392B">
        <w:t xml:space="preserve">as trustees for the Sandy Williamson Super Fund, </w:t>
      </w:r>
      <w:r w:rsidR="00C65B5B">
        <w:t>is</w:t>
      </w:r>
      <w:r>
        <w:t xml:space="preserve"> vested in the Commonwealth</w:t>
      </w:r>
      <w:r w:rsidR="00C721ED">
        <w:t>.</w:t>
      </w:r>
    </w:p>
    <w:p w:rsidR="00D30D66" w:rsidRDefault="00211818" w:rsidP="006B1DA5">
      <w:pPr>
        <w:spacing w:after="120"/>
      </w:pPr>
      <w:r>
        <w:t xml:space="preserve">Subsection 5(2) </w:t>
      </w:r>
      <w:r w:rsidR="00973AA7">
        <w:t xml:space="preserve">of the Ordinance </w:t>
      </w:r>
      <w:r>
        <w:t xml:space="preserve">provides that the current Mulberry Lane land is freed and discharged from all other interests and from all trusts, restrictions, dedications, reservations, obligations, mortgages, encumbrances, contracts, licences, charges and rates, other than a dedication of any part of the land as a public road under the </w:t>
      </w:r>
      <w:r>
        <w:rPr>
          <w:i/>
        </w:rPr>
        <w:t xml:space="preserve">Roads Act 2002 </w:t>
      </w:r>
      <w:r>
        <w:t>(</w:t>
      </w:r>
      <w:r w:rsidR="00254DFE">
        <w:t>NI</w:t>
      </w:r>
      <w:r w:rsidR="00D30D66">
        <w:t>).</w:t>
      </w:r>
    </w:p>
    <w:p w:rsidR="00211818" w:rsidRDefault="00211818" w:rsidP="006B1DA5">
      <w:pPr>
        <w:spacing w:after="120"/>
      </w:pPr>
      <w:r>
        <w:lastRenderedPageBreak/>
        <w:t xml:space="preserve">The note to subsection 5(2) </w:t>
      </w:r>
      <w:r w:rsidR="0025148F">
        <w:t>states</w:t>
      </w:r>
      <w:r>
        <w:t xml:space="preserve"> that the </w:t>
      </w:r>
      <w:r>
        <w:rPr>
          <w:i/>
        </w:rPr>
        <w:t xml:space="preserve">Lands Acquisition Act 1989 </w:t>
      </w:r>
      <w:r w:rsidR="00254DFE">
        <w:t xml:space="preserve">(the LLA) </w:t>
      </w:r>
      <w:r>
        <w:t xml:space="preserve">does not prevent or affect the making or operation of section 5 </w:t>
      </w:r>
      <w:r w:rsidR="00D30D66">
        <w:t>(or section 6: see below)</w:t>
      </w:r>
      <w:r>
        <w:t xml:space="preserve">, because of the operation of section 62 of the </w:t>
      </w:r>
      <w:r w:rsidR="00254DFE" w:rsidRPr="00254DFE">
        <w:t>NI Act</w:t>
      </w:r>
      <w:r>
        <w:rPr>
          <w:i/>
        </w:rPr>
        <w:t xml:space="preserve"> </w:t>
      </w:r>
      <w:r>
        <w:t xml:space="preserve">and subsection 5(3) of </w:t>
      </w:r>
      <w:r w:rsidR="00254DFE">
        <w:t>the LLA</w:t>
      </w:r>
      <w:r>
        <w:t>.</w:t>
      </w:r>
      <w:r w:rsidR="00D30D66">
        <w:t xml:space="preserve"> Section 62 of the NI Act </w:t>
      </w:r>
      <w:r w:rsidR="0025148F">
        <w:t xml:space="preserve">relevantly </w:t>
      </w:r>
      <w:r w:rsidR="00D30D66">
        <w:t xml:space="preserve">provides that the LLA does not prevent or affect the making of an enactment by which the Commonwealth acquires, disposes of or otherwise deals with Norfolk Island land, provided that any acquisition of land is on just terms. </w:t>
      </w:r>
      <w:r w:rsidR="008E30EA">
        <w:t>Subsection 5(3) of the LLA provides that if a provision referred to in section 62 of the NI Act is in operation, the LLA does not apply to anything dealt with by the provision.</w:t>
      </w:r>
    </w:p>
    <w:p w:rsidR="00211818" w:rsidRDefault="00211818" w:rsidP="006B1DA5">
      <w:pPr>
        <w:spacing w:after="120"/>
      </w:pPr>
      <w:r>
        <w:t xml:space="preserve">Subsection 5(3) </w:t>
      </w:r>
      <w:r w:rsidR="00973AA7">
        <w:t xml:space="preserve">of the Ordinance </w:t>
      </w:r>
      <w:r w:rsidR="00644C8A">
        <w:t xml:space="preserve">provides </w:t>
      </w:r>
      <w:r w:rsidR="008E30EA">
        <w:t>a description of the land referred to as the</w:t>
      </w:r>
      <w:r w:rsidR="00F16022">
        <w:t xml:space="preserve"> ‘current Mulberry Lane land’</w:t>
      </w:r>
      <w:r w:rsidR="00644C8A">
        <w:t xml:space="preserve"> </w:t>
      </w:r>
      <w:r w:rsidR="008E30EA">
        <w:t xml:space="preserve">for the purposes of the Ordinance. </w:t>
      </w:r>
      <w:r w:rsidR="00527853">
        <w:t xml:space="preserve">The note to subsection 5(3) clarifies that </w:t>
      </w:r>
      <w:r w:rsidR="001B39FB">
        <w:t>the current Mulberry Lane land is part of the land on which Mulberry Lane was located at the commencement of the Ordinance.</w:t>
      </w:r>
      <w:r w:rsidR="00B47234">
        <w:t xml:space="preserve"> </w:t>
      </w:r>
      <w:r w:rsidR="006D47A3">
        <w:t xml:space="preserve">This </w:t>
      </w:r>
      <w:r w:rsidR="00691241">
        <w:t xml:space="preserve">parcel of </w:t>
      </w:r>
      <w:r w:rsidR="006D47A3">
        <w:t xml:space="preserve">land </w:t>
      </w:r>
      <w:r w:rsidR="00691241">
        <w:t xml:space="preserve">is the land </w:t>
      </w:r>
      <w:r w:rsidR="006D47A3">
        <w:t>belonging to the landholders</w:t>
      </w:r>
      <w:r w:rsidR="00A21D7A">
        <w:t>,</w:t>
      </w:r>
      <w:r w:rsidR="00691241">
        <w:t xml:space="preserve"> immediately before the commencement of the Ordinance,</w:t>
      </w:r>
      <w:r w:rsidR="006D47A3">
        <w:t xml:space="preserve"> on which the realigned Mulberry Lane is</w:t>
      </w:r>
      <w:r w:rsidR="00691241">
        <w:t xml:space="preserve"> currently</w:t>
      </w:r>
      <w:r w:rsidR="006D47A3">
        <w:t xml:space="preserve"> located. This description reflects </w:t>
      </w:r>
      <w:r w:rsidR="00691241">
        <w:t xml:space="preserve">the </w:t>
      </w:r>
      <w:r w:rsidR="006D47A3">
        <w:t xml:space="preserve">advice </w:t>
      </w:r>
      <w:r w:rsidR="00691241">
        <w:t xml:space="preserve">of Geoscience Australia and the Cadastral Management Unit, Spatial Services, New South Wales Department of Finance, Services &amp; Innovation, which provides cadastral services in Norfolk Island. </w:t>
      </w:r>
      <w:r w:rsidR="00B47234">
        <w:t xml:space="preserve">Subsection 5(3) </w:t>
      </w:r>
      <w:r w:rsidR="006D47A3">
        <w:t xml:space="preserve">also </w:t>
      </w:r>
      <w:r w:rsidR="00B47234">
        <w:t xml:space="preserve">refers to the Official Survey, </w:t>
      </w:r>
      <w:r w:rsidR="00B47234" w:rsidRPr="006A27B1">
        <w:t xml:space="preserve">which is available </w:t>
      </w:r>
      <w:r w:rsidR="006A27B1">
        <w:t xml:space="preserve">for inspection at the office of the Registrar of Titles of Norfolk Island during the business hours of that office (see section 10 of the </w:t>
      </w:r>
      <w:r w:rsidR="006A27B1" w:rsidRPr="006A27B1">
        <w:rPr>
          <w:i/>
        </w:rPr>
        <w:t>Official Survey Act 1978</w:t>
      </w:r>
      <w:r w:rsidR="006A27B1">
        <w:t xml:space="preserve"> (NI)).</w:t>
      </w:r>
      <w:r w:rsidR="005F0DCB">
        <w:t xml:space="preserve"> The reference is intended to be a reference to the </w:t>
      </w:r>
      <w:r w:rsidR="006F15E8">
        <w:t xml:space="preserve">Official </w:t>
      </w:r>
      <w:r w:rsidR="005F0DCB">
        <w:t>Survey as at the point in time immediately before the commencement of the Ordinance.</w:t>
      </w:r>
    </w:p>
    <w:p w:rsidR="00211818" w:rsidRDefault="00211818" w:rsidP="0025148F">
      <w:pPr>
        <w:keepNext/>
        <w:widowControl w:val="0"/>
        <w:spacing w:after="120"/>
        <w:rPr>
          <w:b/>
        </w:rPr>
      </w:pPr>
      <w:r>
        <w:rPr>
          <w:b/>
        </w:rPr>
        <w:t xml:space="preserve">Section 6—Granting of fee simple interest in old Mulberry Lane land to the </w:t>
      </w:r>
      <w:r w:rsidR="001666EC">
        <w:rPr>
          <w:b/>
        </w:rPr>
        <w:t>landholders</w:t>
      </w:r>
    </w:p>
    <w:p w:rsidR="00A669B4" w:rsidRDefault="008E30EA" w:rsidP="0025148F">
      <w:pPr>
        <w:keepNext/>
        <w:widowControl w:val="0"/>
        <w:spacing w:after="120"/>
      </w:pPr>
      <w:r>
        <w:t>S</w:t>
      </w:r>
      <w:r w:rsidR="001A0A66">
        <w:t xml:space="preserve">ubsection </w:t>
      </w:r>
      <w:r>
        <w:t>6</w:t>
      </w:r>
      <w:r w:rsidR="001A0A66">
        <w:t>(1)</w:t>
      </w:r>
      <w:r w:rsidR="00973AA7">
        <w:t xml:space="preserve"> of the Ordinance</w:t>
      </w:r>
      <w:r w:rsidR="008D0DBE">
        <w:t xml:space="preserve"> provides that the </w:t>
      </w:r>
      <w:r w:rsidR="001666EC">
        <w:t>landholders</w:t>
      </w:r>
      <w:r w:rsidR="008D0DBE">
        <w:t xml:space="preserve"> are granted a fee simple interest in the old Mulberry Lane land</w:t>
      </w:r>
      <w:r w:rsidR="00A669B4">
        <w:t xml:space="preserve"> </w:t>
      </w:r>
      <w:r w:rsidR="00A669B4" w:rsidRPr="006E392B">
        <w:t>as joint tenants and as trustees for the Sandy Williamson Super Fund</w:t>
      </w:r>
      <w:r w:rsidR="00A669B4">
        <w:t>.</w:t>
      </w:r>
    </w:p>
    <w:p w:rsidR="00C526FB" w:rsidRDefault="00A669B4" w:rsidP="0025148F">
      <w:pPr>
        <w:keepNext/>
        <w:widowControl w:val="0"/>
        <w:spacing w:after="120"/>
      </w:pPr>
      <w:r>
        <w:t>Subsection 6(2) of the Ordinance provides that</w:t>
      </w:r>
      <w:r w:rsidR="00211818">
        <w:t xml:space="preserve"> the old Mulberry Lane land is</w:t>
      </w:r>
      <w:r>
        <w:t xml:space="preserve">, by force of this subsection, </w:t>
      </w:r>
      <w:r w:rsidR="008D0DBE">
        <w:t>freed and discharged from all other interests and from all trusts, restrictions, dedications, reservations, obligations, encumbrances, contracts, licences, charges and rates.</w:t>
      </w:r>
      <w:r w:rsidR="00ED46C6">
        <w:t xml:space="preserve"> A</w:t>
      </w:r>
      <w:r w:rsidR="009C73CE">
        <w:t>s</w:t>
      </w:r>
      <w:r w:rsidR="00ED46C6">
        <w:t xml:space="preserve"> mentioned above, this provision is permitted by section 62 of the NI Act.</w:t>
      </w:r>
    </w:p>
    <w:p w:rsidR="003A2261" w:rsidRDefault="001500E4" w:rsidP="006B1DA5">
      <w:pPr>
        <w:spacing w:after="120"/>
      </w:pPr>
      <w:r>
        <w:t>Subsection</w:t>
      </w:r>
      <w:r w:rsidR="008E30EA">
        <w:t xml:space="preserve"> 6</w:t>
      </w:r>
      <w:r w:rsidR="00A669B4">
        <w:t>(3)</w:t>
      </w:r>
      <w:r w:rsidR="008E30EA">
        <w:t xml:space="preserve"> </w:t>
      </w:r>
      <w:r w:rsidR="00C526FB">
        <w:t xml:space="preserve">provides that </w:t>
      </w:r>
      <w:r w:rsidR="00A669B4">
        <w:t>subsections 6(1) or</w:t>
      </w:r>
      <w:r w:rsidR="008E30EA">
        <w:t xml:space="preserve"> </w:t>
      </w:r>
      <w:r w:rsidR="00A669B4">
        <w:t xml:space="preserve">6(2) do </w:t>
      </w:r>
      <w:r w:rsidR="008E30EA">
        <w:t>not affect any of the Commonwealth’s rights to any mine</w:t>
      </w:r>
      <w:r w:rsidR="009C73CE">
        <w:t>rals in or on the old Mulberry L</w:t>
      </w:r>
      <w:r w:rsidR="008E30EA">
        <w:t>ane</w:t>
      </w:r>
      <w:r w:rsidR="009C73CE">
        <w:t xml:space="preserve"> land</w:t>
      </w:r>
      <w:r w:rsidR="008E30EA">
        <w:t>. This includes ownership rights as well as rights to authorise others to explore.</w:t>
      </w:r>
      <w:r w:rsidR="00C526FB">
        <w:t xml:space="preserve"> This</w:t>
      </w:r>
      <w:r w:rsidR="009C73CE">
        <w:t xml:space="preserve"> reservation</w:t>
      </w:r>
      <w:r w:rsidR="00C526FB">
        <w:t xml:space="preserve"> is to give effect to </w:t>
      </w:r>
      <w:r w:rsidR="003A2261">
        <w:t xml:space="preserve">the 1999 Agreement made between the Commonwealth and Resort Investments Pty Limited (the Agreement). The Agreement </w:t>
      </w:r>
      <w:r w:rsidR="004147C3">
        <w:t xml:space="preserve">relevantly </w:t>
      </w:r>
      <w:r w:rsidR="003A2261">
        <w:t>provided for a r</w:t>
      </w:r>
      <w:r w:rsidR="00A21D7A">
        <w:t>eservation to the Commonwealth ‘</w:t>
      </w:r>
      <w:r w:rsidR="003A2261">
        <w:t>of all minerals and mineral substances in or upon the land described … together with the right to authorise any persons to enter upon the land to mine, work for, win, recover and move them or any of them and to do all things necessary or convenient for those purp</w:t>
      </w:r>
      <w:r w:rsidR="00A21D7A">
        <w:t>oses.’</w:t>
      </w:r>
    </w:p>
    <w:p w:rsidR="003D761C" w:rsidRDefault="00CD1B0D" w:rsidP="003D761C">
      <w:pPr>
        <w:spacing w:after="120"/>
      </w:pPr>
      <w:r>
        <w:t xml:space="preserve">Subsection 6(4) </w:t>
      </w:r>
      <w:r w:rsidR="00ED46C6">
        <w:t>provides a description of the land referred to as the</w:t>
      </w:r>
      <w:r w:rsidR="00F16022">
        <w:t xml:space="preserve"> ‘old Mulberry Lane land’</w:t>
      </w:r>
      <w:r>
        <w:t xml:space="preserve"> </w:t>
      </w:r>
      <w:r w:rsidR="00ED46C6">
        <w:t>for the purposes of the Ordinance</w:t>
      </w:r>
      <w:r>
        <w:t>.</w:t>
      </w:r>
      <w:r w:rsidR="00701FE7">
        <w:t xml:space="preserve"> The note</w:t>
      </w:r>
      <w:r w:rsidR="00527853">
        <w:t xml:space="preserve"> to subsection 6(4)</w:t>
      </w:r>
      <w:r w:rsidR="00701FE7">
        <w:t xml:space="preserve"> clarifies that the old Mulberry Lane land</w:t>
      </w:r>
      <w:r w:rsidR="00527853">
        <w:t xml:space="preserve"> is where part of Mulberry Lane was located before</w:t>
      </w:r>
      <w:r w:rsidR="006D47A3">
        <w:t xml:space="preserve"> it was re</w:t>
      </w:r>
      <w:r w:rsidR="00527853">
        <w:t>aligned</w:t>
      </w:r>
      <w:r w:rsidR="00A21D7A">
        <w:t xml:space="preserve"> onto the current Mulberry Lane land</w:t>
      </w:r>
      <w:r w:rsidR="00527853">
        <w:t>.</w:t>
      </w:r>
      <w:r w:rsidR="003D761C">
        <w:t xml:space="preserve"> </w:t>
      </w:r>
      <w:r w:rsidR="00691241">
        <w:t>This parcel of land is the land belonging to the Commonwealth</w:t>
      </w:r>
      <w:r w:rsidR="00A21D7A">
        <w:t>,</w:t>
      </w:r>
      <w:r w:rsidR="00691241">
        <w:t xml:space="preserve"> immediately before the commencement of the Ordinance, on which the former Mulberry Lane was located before the realignment of the road. This description reflects the advice of Geoscience Australia and the</w:t>
      </w:r>
      <w:r w:rsidR="00595BEE">
        <w:t xml:space="preserve"> office of the</w:t>
      </w:r>
      <w:r w:rsidR="00691241">
        <w:t xml:space="preserve"> </w:t>
      </w:r>
      <w:r w:rsidR="00595BEE">
        <w:rPr>
          <w:rFonts w:ascii="Times" w:hAnsi="Times" w:cs="Times"/>
        </w:rPr>
        <w:t>Surveyor-General for Norfolk Island</w:t>
      </w:r>
      <w:r w:rsidR="00691241">
        <w:t xml:space="preserve">. </w:t>
      </w:r>
      <w:r w:rsidR="003D761C">
        <w:t>Subsection</w:t>
      </w:r>
      <w:r w:rsidR="00595BEE">
        <w:t> </w:t>
      </w:r>
      <w:r w:rsidR="003D761C">
        <w:t xml:space="preserve">6(4) refers to the Official Survey, </w:t>
      </w:r>
      <w:r w:rsidR="006A27B1" w:rsidRPr="006A27B1">
        <w:t xml:space="preserve">which is available </w:t>
      </w:r>
      <w:r w:rsidR="006A27B1">
        <w:t xml:space="preserve">for inspection at the office of the Registrar of Titles of Norfolk Island during the business hours of that office (see </w:t>
      </w:r>
      <w:r w:rsidR="006A27B1">
        <w:lastRenderedPageBreak/>
        <w:t xml:space="preserve">section 10 of the </w:t>
      </w:r>
      <w:r w:rsidR="006A27B1" w:rsidRPr="006A27B1">
        <w:rPr>
          <w:i/>
        </w:rPr>
        <w:t>Official Survey Act 1978</w:t>
      </w:r>
      <w:r w:rsidR="006A27B1">
        <w:t xml:space="preserve"> (NI)).</w:t>
      </w:r>
      <w:r w:rsidR="005F0DCB">
        <w:t xml:space="preserve"> The reference is intended to be a reference to the </w:t>
      </w:r>
      <w:r w:rsidR="00DA4572">
        <w:t xml:space="preserve">Official </w:t>
      </w:r>
      <w:r w:rsidR="005F0DCB">
        <w:t>Survey as at the point in time immediately before the commencement of the Ordinance.</w:t>
      </w:r>
    </w:p>
    <w:p w:rsidR="00644C8A" w:rsidRDefault="00644C8A" w:rsidP="00D94942">
      <w:pPr>
        <w:keepNext/>
        <w:spacing w:after="120"/>
        <w:rPr>
          <w:b/>
        </w:rPr>
      </w:pPr>
      <w:r>
        <w:rPr>
          <w:b/>
        </w:rPr>
        <w:t>Section 7—Registering the interests in land etc.</w:t>
      </w:r>
    </w:p>
    <w:p w:rsidR="004E0DBB" w:rsidRDefault="004E0DBB" w:rsidP="006B1DA5">
      <w:pPr>
        <w:spacing w:after="120"/>
      </w:pPr>
      <w:r>
        <w:t>Subsection 7</w:t>
      </w:r>
      <w:r w:rsidR="00AF1EA9">
        <w:t xml:space="preserve">(1) of the Ordinance provides that this section applies if there is lodged with the Registrar of Titles a certificate that is signed by the Minister </w:t>
      </w:r>
      <w:r w:rsidR="005767BB">
        <w:t xml:space="preserve">that identifies an interest in land that has </w:t>
      </w:r>
      <w:r w:rsidR="00691241">
        <w:t xml:space="preserve">either </w:t>
      </w:r>
      <w:r w:rsidR="005767BB">
        <w:t xml:space="preserve">been vested or granted </w:t>
      </w:r>
      <w:r w:rsidR="00006B80">
        <w:t>under the Ordinance and states that the interest has so vested or has been so granted (as the case requires).</w:t>
      </w:r>
    </w:p>
    <w:p w:rsidR="00DB2019" w:rsidRDefault="00006B80" w:rsidP="006B1DA5">
      <w:pPr>
        <w:spacing w:after="120"/>
      </w:pPr>
      <w:r>
        <w:t>Subsection 7(2) of the Ordinance</w:t>
      </w:r>
      <w:r w:rsidR="00F16022">
        <w:t xml:space="preserve"> </w:t>
      </w:r>
      <w:r>
        <w:t xml:space="preserve">provides that </w:t>
      </w:r>
      <w:r w:rsidR="00F16022">
        <w:t>the Registrar may</w:t>
      </w:r>
      <w:r w:rsidR="00215846">
        <w:t xml:space="preserve"> register the matter in a way that is similar to the way in which dealings in land of that kind </w:t>
      </w:r>
      <w:r w:rsidR="00ED46C6">
        <w:t>are usually</w:t>
      </w:r>
      <w:r w:rsidR="00DB2019">
        <w:t xml:space="preserve"> registered</w:t>
      </w:r>
      <w:r>
        <w:t xml:space="preserve"> and deal with, and give effect to, the certificate</w:t>
      </w:r>
      <w:r w:rsidR="00DB2019">
        <w:t>.</w:t>
      </w:r>
      <w:r w:rsidR="00691241">
        <w:t xml:space="preserve"> This means that the Registrar may register the </w:t>
      </w:r>
      <w:r w:rsidR="00A21D7A">
        <w:t>relevant</w:t>
      </w:r>
      <w:r w:rsidR="00691241">
        <w:t xml:space="preserve"> land interests </w:t>
      </w:r>
      <w:r w:rsidR="00A21D7A">
        <w:t xml:space="preserve">vested or granted under the Ordinance </w:t>
      </w:r>
      <w:r w:rsidR="00691241">
        <w:t xml:space="preserve">under the </w:t>
      </w:r>
      <w:r w:rsidR="00691241">
        <w:rPr>
          <w:i/>
        </w:rPr>
        <w:t xml:space="preserve">Land Titles Act 1996 </w:t>
      </w:r>
      <w:r w:rsidR="00691241">
        <w:t xml:space="preserve">(NI) and issue </w:t>
      </w:r>
      <w:r w:rsidR="00A21D7A">
        <w:t>any</w:t>
      </w:r>
      <w:r w:rsidR="00691241">
        <w:t xml:space="preserve"> appropriate documentation, for instance a certificate of title reflecting these transferred land interests.</w:t>
      </w:r>
      <w:r w:rsidR="004F5AFF">
        <w:t xml:space="preserve"> </w:t>
      </w:r>
      <w:r w:rsidR="004F5AFF" w:rsidRPr="00F16022">
        <w:t xml:space="preserve">This item is a standard provision contained in Commonwealth laws effecting the transfer </w:t>
      </w:r>
      <w:r w:rsidR="004F5AFF">
        <w:t xml:space="preserve">or vesting </w:t>
      </w:r>
      <w:r w:rsidR="004F5AFF" w:rsidRPr="00F16022">
        <w:t xml:space="preserve">of </w:t>
      </w:r>
      <w:r w:rsidR="004F5AFF">
        <w:t>land</w:t>
      </w:r>
      <w:r w:rsidR="0005606A">
        <w:t xml:space="preserve"> and allows land registration officials to deal with these interests as they would with the transfer or vesting of other land interests</w:t>
      </w:r>
      <w:r w:rsidR="004F5AFF">
        <w:t>.</w:t>
      </w:r>
    </w:p>
    <w:p w:rsidR="000E4048" w:rsidRDefault="000E4048" w:rsidP="006B1DA5">
      <w:pPr>
        <w:spacing w:after="120"/>
      </w:pPr>
      <w:r>
        <w:t>Sub</w:t>
      </w:r>
      <w:r w:rsidR="00215846">
        <w:t>section 7</w:t>
      </w:r>
      <w:r>
        <w:t>(3)</w:t>
      </w:r>
      <w:r w:rsidR="00215846">
        <w:t xml:space="preserve"> </w:t>
      </w:r>
      <w:r>
        <w:t xml:space="preserve">of the Ordinance </w:t>
      </w:r>
      <w:r w:rsidR="00215846">
        <w:t xml:space="preserve">provides that where such a certificate identifies land granted to the </w:t>
      </w:r>
      <w:r w:rsidR="00ED46C6">
        <w:t>landholders</w:t>
      </w:r>
      <w:r w:rsidR="00215846">
        <w:t xml:space="preserve"> as mentioned in section 6 of the Ordinance, the certificate is taken to be a deed of grant for the purposes of the </w:t>
      </w:r>
      <w:r w:rsidR="00215846">
        <w:rPr>
          <w:i/>
        </w:rPr>
        <w:t xml:space="preserve">Land Titles Act 1996 </w:t>
      </w:r>
      <w:r w:rsidR="00215846">
        <w:t>(NI).</w:t>
      </w:r>
      <w:r w:rsidR="00DB2019">
        <w:t xml:space="preserve"> </w:t>
      </w:r>
    </w:p>
    <w:p w:rsidR="00DB2019" w:rsidRDefault="000E4048" w:rsidP="006B1DA5">
      <w:pPr>
        <w:spacing w:after="120"/>
      </w:pPr>
      <w:r>
        <w:t>Subsection 7(4) of the Ordinance provides that s</w:t>
      </w:r>
      <w:r w:rsidR="00DB2019">
        <w:t xml:space="preserve">ection 40 of the </w:t>
      </w:r>
      <w:r w:rsidR="00DB2019">
        <w:rPr>
          <w:i/>
        </w:rPr>
        <w:t xml:space="preserve">Land Titles Act 1996 </w:t>
      </w:r>
      <w:r w:rsidR="00DB2019">
        <w:t>(NI) is</w:t>
      </w:r>
      <w:r w:rsidR="00F16022">
        <w:t xml:space="preserve"> also</w:t>
      </w:r>
      <w:r w:rsidR="00DB2019">
        <w:t xml:space="preserve"> to apply as if it required the Registrar to </w:t>
      </w:r>
      <w:r w:rsidR="00215846">
        <w:t xml:space="preserve">create a single registered title covering the old Mulberry Lane land and any adjoining parcels of land that are held in fee simple by the </w:t>
      </w:r>
      <w:r w:rsidR="00DB2019">
        <w:t>landowners</w:t>
      </w:r>
      <w:r w:rsidR="00B719CE">
        <w:t xml:space="preserve">. Section 40 </w:t>
      </w:r>
      <w:r w:rsidR="00DB2019">
        <w:t>of that Act is to apply</w:t>
      </w:r>
      <w:r w:rsidR="00B719CE">
        <w:t xml:space="preserve"> in this context as if</w:t>
      </w:r>
      <w:r w:rsidR="00DB2019">
        <w:t xml:space="preserve"> subsection 40(2) were omitted. Subsection 40(2) would ordinarily outline the </w:t>
      </w:r>
      <w:r w:rsidR="00F16022">
        <w:t xml:space="preserve">discretionary </w:t>
      </w:r>
      <w:r w:rsidR="00DB2019">
        <w:t xml:space="preserve">circumstances in which the Registrar may combine parcels of land in a single registered title. However </w:t>
      </w:r>
      <w:r w:rsidR="009C73CE">
        <w:t xml:space="preserve">subsection 40(2) </w:t>
      </w:r>
      <w:r w:rsidR="00DB2019">
        <w:t xml:space="preserve">is not appropriate in this case because it </w:t>
      </w:r>
      <w:r w:rsidR="009C73CE">
        <w:t>is</w:t>
      </w:r>
      <w:r w:rsidR="00DB2019">
        <w:t xml:space="preserve"> mandatory for the Registrar to combine the </w:t>
      </w:r>
      <w:r w:rsidR="004F5AFF">
        <w:t xml:space="preserve">relevant </w:t>
      </w:r>
      <w:r w:rsidR="00DB2019">
        <w:t>parcels of land under section 7</w:t>
      </w:r>
      <w:r w:rsidR="009C73CE">
        <w:t xml:space="preserve"> of the Ordinance</w:t>
      </w:r>
      <w:r w:rsidR="00DB2019">
        <w:t>.</w:t>
      </w:r>
      <w:r>
        <w:t xml:space="preserve"> </w:t>
      </w:r>
      <w:r w:rsidRPr="004F5AFF">
        <w:t xml:space="preserve">The effect of this provision is that the </w:t>
      </w:r>
      <w:r w:rsidR="00A21D7A" w:rsidRPr="004F5AFF">
        <w:t>Registrar</w:t>
      </w:r>
      <w:r w:rsidRPr="004F5AFF">
        <w:t xml:space="preserve"> may issue a </w:t>
      </w:r>
      <w:r w:rsidR="004F5AFF" w:rsidRPr="004F5AFF">
        <w:t xml:space="preserve">single </w:t>
      </w:r>
      <w:r w:rsidRPr="004F5AFF">
        <w:t xml:space="preserve">certificate of title </w:t>
      </w:r>
      <w:r w:rsidR="00F47205">
        <w:t>with respect to</w:t>
      </w:r>
      <w:r w:rsidR="004F5AFF" w:rsidRPr="004F5AFF">
        <w:t xml:space="preserve"> </w:t>
      </w:r>
      <w:r w:rsidR="004F5AFF">
        <w:t xml:space="preserve">separate </w:t>
      </w:r>
      <w:r w:rsidR="004F5AFF" w:rsidRPr="004F5AFF">
        <w:t>parcels of land</w:t>
      </w:r>
      <w:r w:rsidR="00034C35" w:rsidRPr="004F5AFF">
        <w:t xml:space="preserve"> </w:t>
      </w:r>
      <w:r w:rsidR="00A21D7A">
        <w:t xml:space="preserve">presently </w:t>
      </w:r>
      <w:r w:rsidR="00034C35" w:rsidRPr="004F5AFF">
        <w:t>held in fee simple by the landholders</w:t>
      </w:r>
      <w:r w:rsidR="004F5AFF">
        <w:t>, where these parcels include</w:t>
      </w:r>
      <w:r w:rsidR="004F5AFF" w:rsidRPr="004F5AFF">
        <w:t xml:space="preserve"> the old Mulberry Lane land and any adjoining parcels of land</w:t>
      </w:r>
      <w:r w:rsidR="00034C35" w:rsidRPr="004F5AFF">
        <w:t>.</w:t>
      </w:r>
    </w:p>
    <w:p w:rsidR="00215846" w:rsidRDefault="009C73CE" w:rsidP="006B1DA5">
      <w:pPr>
        <w:spacing w:after="120"/>
      </w:pPr>
      <w:r>
        <w:t>S</w:t>
      </w:r>
      <w:r w:rsidR="00034C35">
        <w:t>ubs</w:t>
      </w:r>
      <w:r w:rsidR="00215846">
        <w:t>ection 7</w:t>
      </w:r>
      <w:r w:rsidR="00034C35">
        <w:t>(5) of the Ordinance</w:t>
      </w:r>
      <w:r w:rsidR="00215846">
        <w:t xml:space="preserve"> also provides that any document purporting to be a certificate under section 7 is taken to be such a certificate, properly given, unless the contrary is established.</w:t>
      </w:r>
      <w:r w:rsidR="00DB2019">
        <w:t xml:space="preserve"> This puts the burden on the person attempting to challenge the authenticity</w:t>
      </w:r>
      <w:r w:rsidR="00D12698">
        <w:t xml:space="preserve"> or validity of the certificate to establish that it is not a certificate under subsection 7(1) or not properly given.</w:t>
      </w:r>
    </w:p>
    <w:p w:rsidR="00644C8A" w:rsidRDefault="00644C8A" w:rsidP="006B1DA5">
      <w:pPr>
        <w:spacing w:after="120"/>
        <w:rPr>
          <w:b/>
        </w:rPr>
      </w:pPr>
      <w:r>
        <w:rPr>
          <w:b/>
        </w:rPr>
        <w:t>Section 8—Exemption from taxes and fees</w:t>
      </w:r>
    </w:p>
    <w:p w:rsidR="00644C8A" w:rsidRDefault="00644C8A" w:rsidP="006B1DA5">
      <w:pPr>
        <w:spacing w:after="120"/>
      </w:pPr>
      <w:r>
        <w:t xml:space="preserve">Section 8 </w:t>
      </w:r>
      <w:r w:rsidR="00973AA7">
        <w:t xml:space="preserve">of the Ordinance </w:t>
      </w:r>
      <w:r>
        <w:t>provides that no tax or fee is payable in relation to the vesting or granting of an interest in land under th</w:t>
      </w:r>
      <w:r w:rsidR="009C73CE">
        <w:t>e</w:t>
      </w:r>
      <w:r>
        <w:t xml:space="preserve"> Ordinance.</w:t>
      </w:r>
      <w:r w:rsidR="00D12698">
        <w:t xml:space="preserve"> </w:t>
      </w:r>
      <w:r w:rsidR="00F16022" w:rsidRPr="00F16022">
        <w:t xml:space="preserve">This item is a standard provision contained in Commonwealth laws effecting the transfer </w:t>
      </w:r>
      <w:r w:rsidR="00F16022">
        <w:t xml:space="preserve">or vesting </w:t>
      </w:r>
      <w:r w:rsidR="00F16022" w:rsidRPr="00F16022">
        <w:t xml:space="preserve">of </w:t>
      </w:r>
      <w:r w:rsidR="00F16022">
        <w:t xml:space="preserve">land and other </w:t>
      </w:r>
      <w:r w:rsidR="00F16022" w:rsidRPr="00F16022">
        <w:t>assets</w:t>
      </w:r>
      <w:r w:rsidR="00F16022">
        <w:t>.</w:t>
      </w:r>
    </w:p>
    <w:p w:rsidR="00484D1F" w:rsidRDefault="00E2227E" w:rsidP="003D761C">
      <w:pPr>
        <w:keepNext/>
        <w:spacing w:after="120"/>
        <w:rPr>
          <w:b/>
        </w:rPr>
      </w:pPr>
      <w:r>
        <w:rPr>
          <w:b/>
        </w:rPr>
        <w:t>Section 9—</w:t>
      </w:r>
      <w:r w:rsidR="00484D1F">
        <w:rPr>
          <w:b/>
        </w:rPr>
        <w:t>Compensation for acquisition of property</w:t>
      </w:r>
    </w:p>
    <w:p w:rsidR="00484D1F" w:rsidRPr="00484D1F" w:rsidRDefault="003254A2" w:rsidP="006B1DA5">
      <w:pPr>
        <w:spacing w:after="120"/>
      </w:pPr>
      <w:r>
        <w:t>Section 9</w:t>
      </w:r>
      <w:r w:rsidR="00973AA7">
        <w:t xml:space="preserve"> of the Ordinance</w:t>
      </w:r>
      <w:r>
        <w:t xml:space="preserve"> provides that </w:t>
      </w:r>
      <w:r w:rsidR="002B4F28">
        <w:t xml:space="preserve">if the operation of the Ordinance would result in an acquisition of property from a person otherwise than on just terms, the Commonwealth is liable to pay a reasonable amount of compensation to the person, which may be sued for in a court of competent jurisdiction. This section ensures that the Ordinance complies with the terms of subsection 62(2) of the NI Act, </w:t>
      </w:r>
      <w:r w:rsidR="006F1F71">
        <w:lastRenderedPageBreak/>
        <w:t xml:space="preserve">which </w:t>
      </w:r>
      <w:r w:rsidR="004147C3">
        <w:t>relevantly provides that an enactment under which land in the Territory</w:t>
      </w:r>
      <w:r w:rsidR="00482EC7">
        <w:t xml:space="preserve"> is </w:t>
      </w:r>
      <w:r w:rsidR="004147C3">
        <w:t xml:space="preserve">acquired by or vested in the Commonwealth </w:t>
      </w:r>
      <w:r w:rsidR="00482EC7">
        <w:t xml:space="preserve">and which </w:t>
      </w:r>
      <w:r w:rsidR="004147C3">
        <w:t>provides for the acquisition of land must not be acquired otherwise than on just terms</w:t>
      </w:r>
      <w:r w:rsidR="00484D1F">
        <w:t>.</w:t>
      </w:r>
    </w:p>
    <w:sectPr w:rsidR="00484D1F" w:rsidRPr="00484D1F" w:rsidSect="000C7C69">
      <w:footerReference w:type="default" r:id="rId11"/>
      <w:pgSz w:w="11906" w:h="16838"/>
      <w:pgMar w:top="1245" w:right="1274"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23D" w:rsidRDefault="00B5723D">
      <w:r>
        <w:separator/>
      </w:r>
    </w:p>
  </w:endnote>
  <w:endnote w:type="continuationSeparator" w:id="0">
    <w:p w:rsidR="00B5723D" w:rsidRDefault="00B5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377497"/>
      <w:docPartObj>
        <w:docPartGallery w:val="Page Numbers (Bottom of Page)"/>
        <w:docPartUnique/>
      </w:docPartObj>
    </w:sdtPr>
    <w:sdtEndPr>
      <w:rPr>
        <w:noProof/>
      </w:rPr>
    </w:sdtEndPr>
    <w:sdtContent>
      <w:p w:rsidR="00F15A85" w:rsidRDefault="00F15A85">
        <w:pPr>
          <w:pStyle w:val="Footer"/>
          <w:jc w:val="center"/>
        </w:pPr>
        <w:r>
          <w:fldChar w:fldCharType="begin"/>
        </w:r>
        <w:r>
          <w:instrText xml:space="preserve"> PAGE   \* MERGEFORMAT </w:instrText>
        </w:r>
        <w:r>
          <w:fldChar w:fldCharType="separate"/>
        </w:r>
        <w:r w:rsidR="0061450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23D" w:rsidRDefault="00B5723D">
      <w:r>
        <w:separator/>
      </w:r>
    </w:p>
  </w:footnote>
  <w:footnote w:type="continuationSeparator" w:id="0">
    <w:p w:rsidR="00B5723D" w:rsidRDefault="00B5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C237C"/>
    <w:multiLevelType w:val="hybridMultilevel"/>
    <w:tmpl w:val="06204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5D408F"/>
    <w:multiLevelType w:val="hybridMultilevel"/>
    <w:tmpl w:val="F758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6B4626"/>
    <w:multiLevelType w:val="hybridMultilevel"/>
    <w:tmpl w:val="BD644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0"/>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411C"/>
    <w:rsid w:val="00005019"/>
    <w:rsid w:val="00006B80"/>
    <w:rsid w:val="00007709"/>
    <w:rsid w:val="000107F8"/>
    <w:rsid w:val="00011B32"/>
    <w:rsid w:val="0001245F"/>
    <w:rsid w:val="00013102"/>
    <w:rsid w:val="00014581"/>
    <w:rsid w:val="00014A11"/>
    <w:rsid w:val="00020DC8"/>
    <w:rsid w:val="000214EE"/>
    <w:rsid w:val="00021582"/>
    <w:rsid w:val="00024161"/>
    <w:rsid w:val="00024AD0"/>
    <w:rsid w:val="000255B2"/>
    <w:rsid w:val="000305B9"/>
    <w:rsid w:val="00031DAC"/>
    <w:rsid w:val="00032291"/>
    <w:rsid w:val="00034889"/>
    <w:rsid w:val="00034C35"/>
    <w:rsid w:val="0003552B"/>
    <w:rsid w:val="000411A0"/>
    <w:rsid w:val="000423D8"/>
    <w:rsid w:val="00044C9E"/>
    <w:rsid w:val="00045473"/>
    <w:rsid w:val="00045BF5"/>
    <w:rsid w:val="00046B6C"/>
    <w:rsid w:val="00050A8C"/>
    <w:rsid w:val="00053D7B"/>
    <w:rsid w:val="00055464"/>
    <w:rsid w:val="0005606A"/>
    <w:rsid w:val="00056DF5"/>
    <w:rsid w:val="00057ED5"/>
    <w:rsid w:val="00060145"/>
    <w:rsid w:val="0006120B"/>
    <w:rsid w:val="0006143E"/>
    <w:rsid w:val="00063D02"/>
    <w:rsid w:val="000652B8"/>
    <w:rsid w:val="00074D77"/>
    <w:rsid w:val="000776CC"/>
    <w:rsid w:val="00080B44"/>
    <w:rsid w:val="000814FC"/>
    <w:rsid w:val="00083143"/>
    <w:rsid w:val="00085086"/>
    <w:rsid w:val="000853D9"/>
    <w:rsid w:val="00091467"/>
    <w:rsid w:val="00091C8D"/>
    <w:rsid w:val="0009203D"/>
    <w:rsid w:val="000926C6"/>
    <w:rsid w:val="000940A9"/>
    <w:rsid w:val="00097407"/>
    <w:rsid w:val="000A0985"/>
    <w:rsid w:val="000A45BE"/>
    <w:rsid w:val="000A5C26"/>
    <w:rsid w:val="000B406A"/>
    <w:rsid w:val="000C06FD"/>
    <w:rsid w:val="000C0DE3"/>
    <w:rsid w:val="000C1790"/>
    <w:rsid w:val="000C7C69"/>
    <w:rsid w:val="000D3498"/>
    <w:rsid w:val="000D46BB"/>
    <w:rsid w:val="000D5B27"/>
    <w:rsid w:val="000D79CF"/>
    <w:rsid w:val="000E11FC"/>
    <w:rsid w:val="000E270D"/>
    <w:rsid w:val="000E3703"/>
    <w:rsid w:val="000E4048"/>
    <w:rsid w:val="000E4289"/>
    <w:rsid w:val="000F1248"/>
    <w:rsid w:val="000F19D2"/>
    <w:rsid w:val="000F3CEF"/>
    <w:rsid w:val="000F7709"/>
    <w:rsid w:val="00100024"/>
    <w:rsid w:val="00101755"/>
    <w:rsid w:val="00101BCB"/>
    <w:rsid w:val="00104258"/>
    <w:rsid w:val="001043FE"/>
    <w:rsid w:val="00106987"/>
    <w:rsid w:val="00112AE3"/>
    <w:rsid w:val="00115542"/>
    <w:rsid w:val="00116FE5"/>
    <w:rsid w:val="00116FFF"/>
    <w:rsid w:val="001171A3"/>
    <w:rsid w:val="001202BB"/>
    <w:rsid w:val="0012606C"/>
    <w:rsid w:val="00132784"/>
    <w:rsid w:val="00136001"/>
    <w:rsid w:val="00136B03"/>
    <w:rsid w:val="001372EA"/>
    <w:rsid w:val="00137516"/>
    <w:rsid w:val="00144538"/>
    <w:rsid w:val="00144850"/>
    <w:rsid w:val="001475DD"/>
    <w:rsid w:val="001500E4"/>
    <w:rsid w:val="00156E38"/>
    <w:rsid w:val="001576A3"/>
    <w:rsid w:val="00162376"/>
    <w:rsid w:val="001658E6"/>
    <w:rsid w:val="001666EC"/>
    <w:rsid w:val="00166B84"/>
    <w:rsid w:val="00166EFA"/>
    <w:rsid w:val="00167447"/>
    <w:rsid w:val="00172845"/>
    <w:rsid w:val="00172F68"/>
    <w:rsid w:val="001730EC"/>
    <w:rsid w:val="001754F1"/>
    <w:rsid w:val="00175AE7"/>
    <w:rsid w:val="0017693A"/>
    <w:rsid w:val="0018215E"/>
    <w:rsid w:val="00182341"/>
    <w:rsid w:val="00182BDB"/>
    <w:rsid w:val="00184C62"/>
    <w:rsid w:val="00186719"/>
    <w:rsid w:val="0018724B"/>
    <w:rsid w:val="00191D03"/>
    <w:rsid w:val="00191E3B"/>
    <w:rsid w:val="00192C54"/>
    <w:rsid w:val="00193DF9"/>
    <w:rsid w:val="001A0A66"/>
    <w:rsid w:val="001A1C5F"/>
    <w:rsid w:val="001A27DE"/>
    <w:rsid w:val="001A320D"/>
    <w:rsid w:val="001A46B1"/>
    <w:rsid w:val="001A60AC"/>
    <w:rsid w:val="001A7409"/>
    <w:rsid w:val="001B03F1"/>
    <w:rsid w:val="001B39FB"/>
    <w:rsid w:val="001B6A02"/>
    <w:rsid w:val="001B7957"/>
    <w:rsid w:val="001C032F"/>
    <w:rsid w:val="001C273F"/>
    <w:rsid w:val="001C27D3"/>
    <w:rsid w:val="001C30DC"/>
    <w:rsid w:val="001C6779"/>
    <w:rsid w:val="001D4C38"/>
    <w:rsid w:val="001D7F15"/>
    <w:rsid w:val="001E18B4"/>
    <w:rsid w:val="001E4418"/>
    <w:rsid w:val="001E52FB"/>
    <w:rsid w:val="001E7E31"/>
    <w:rsid w:val="001F3A20"/>
    <w:rsid w:val="001F4D6A"/>
    <w:rsid w:val="001F7A08"/>
    <w:rsid w:val="00200F77"/>
    <w:rsid w:val="00201306"/>
    <w:rsid w:val="00201379"/>
    <w:rsid w:val="00201BDF"/>
    <w:rsid w:val="00202272"/>
    <w:rsid w:val="00202A96"/>
    <w:rsid w:val="00203BD9"/>
    <w:rsid w:val="00206616"/>
    <w:rsid w:val="0021113C"/>
    <w:rsid w:val="002117A8"/>
    <w:rsid w:val="00211818"/>
    <w:rsid w:val="002149D1"/>
    <w:rsid w:val="00215846"/>
    <w:rsid w:val="0022072E"/>
    <w:rsid w:val="00220D2F"/>
    <w:rsid w:val="0022239A"/>
    <w:rsid w:val="00226ADC"/>
    <w:rsid w:val="00232D38"/>
    <w:rsid w:val="00232E26"/>
    <w:rsid w:val="002338DB"/>
    <w:rsid w:val="002354C1"/>
    <w:rsid w:val="00236034"/>
    <w:rsid w:val="00236131"/>
    <w:rsid w:val="002362CB"/>
    <w:rsid w:val="002374D1"/>
    <w:rsid w:val="00237ED7"/>
    <w:rsid w:val="00241AC3"/>
    <w:rsid w:val="00245FEE"/>
    <w:rsid w:val="00246518"/>
    <w:rsid w:val="0025148F"/>
    <w:rsid w:val="00252BE4"/>
    <w:rsid w:val="00252C82"/>
    <w:rsid w:val="00252E1C"/>
    <w:rsid w:val="00253A65"/>
    <w:rsid w:val="00254DFE"/>
    <w:rsid w:val="00255A5C"/>
    <w:rsid w:val="00260FFD"/>
    <w:rsid w:val="00262C9A"/>
    <w:rsid w:val="00262DB5"/>
    <w:rsid w:val="00264A17"/>
    <w:rsid w:val="002656F8"/>
    <w:rsid w:val="0026639C"/>
    <w:rsid w:val="002678EE"/>
    <w:rsid w:val="00267E40"/>
    <w:rsid w:val="00267EAB"/>
    <w:rsid w:val="00271134"/>
    <w:rsid w:val="00275398"/>
    <w:rsid w:val="0027678E"/>
    <w:rsid w:val="00276E70"/>
    <w:rsid w:val="00283060"/>
    <w:rsid w:val="002856F5"/>
    <w:rsid w:val="00285728"/>
    <w:rsid w:val="002863E7"/>
    <w:rsid w:val="002934F3"/>
    <w:rsid w:val="00294141"/>
    <w:rsid w:val="00294BF0"/>
    <w:rsid w:val="00295787"/>
    <w:rsid w:val="00296F9A"/>
    <w:rsid w:val="002A1049"/>
    <w:rsid w:val="002A175F"/>
    <w:rsid w:val="002A1EC0"/>
    <w:rsid w:val="002A2ACD"/>
    <w:rsid w:val="002A43F3"/>
    <w:rsid w:val="002B050D"/>
    <w:rsid w:val="002B1070"/>
    <w:rsid w:val="002B17E3"/>
    <w:rsid w:val="002B4F28"/>
    <w:rsid w:val="002B6BFD"/>
    <w:rsid w:val="002B72F5"/>
    <w:rsid w:val="002C3830"/>
    <w:rsid w:val="002D553E"/>
    <w:rsid w:val="002D7054"/>
    <w:rsid w:val="002E1DF5"/>
    <w:rsid w:val="002E5C00"/>
    <w:rsid w:val="002F1C17"/>
    <w:rsid w:val="002F52F1"/>
    <w:rsid w:val="002F77E0"/>
    <w:rsid w:val="002F7C22"/>
    <w:rsid w:val="003008A4"/>
    <w:rsid w:val="003013B0"/>
    <w:rsid w:val="00301F46"/>
    <w:rsid w:val="003052B7"/>
    <w:rsid w:val="00305DE5"/>
    <w:rsid w:val="00306819"/>
    <w:rsid w:val="00307F0C"/>
    <w:rsid w:val="00310C5A"/>
    <w:rsid w:val="00312283"/>
    <w:rsid w:val="0031314A"/>
    <w:rsid w:val="00314C77"/>
    <w:rsid w:val="003206F2"/>
    <w:rsid w:val="00321FC3"/>
    <w:rsid w:val="003229F0"/>
    <w:rsid w:val="00323343"/>
    <w:rsid w:val="00323497"/>
    <w:rsid w:val="00323F30"/>
    <w:rsid w:val="003254A2"/>
    <w:rsid w:val="003338F3"/>
    <w:rsid w:val="00334F38"/>
    <w:rsid w:val="00337071"/>
    <w:rsid w:val="003405FC"/>
    <w:rsid w:val="00344029"/>
    <w:rsid w:val="003464FA"/>
    <w:rsid w:val="00346B6E"/>
    <w:rsid w:val="00346E86"/>
    <w:rsid w:val="00353197"/>
    <w:rsid w:val="00353900"/>
    <w:rsid w:val="003546F1"/>
    <w:rsid w:val="00354913"/>
    <w:rsid w:val="00354D23"/>
    <w:rsid w:val="003570AA"/>
    <w:rsid w:val="0036000D"/>
    <w:rsid w:val="003602F8"/>
    <w:rsid w:val="003610C4"/>
    <w:rsid w:val="00361A3A"/>
    <w:rsid w:val="003630FA"/>
    <w:rsid w:val="00364293"/>
    <w:rsid w:val="00365F82"/>
    <w:rsid w:val="00366A8D"/>
    <w:rsid w:val="00370A85"/>
    <w:rsid w:val="003728E5"/>
    <w:rsid w:val="00374DC9"/>
    <w:rsid w:val="00375808"/>
    <w:rsid w:val="003810C6"/>
    <w:rsid w:val="003830AC"/>
    <w:rsid w:val="003907FF"/>
    <w:rsid w:val="00392B16"/>
    <w:rsid w:val="003939BB"/>
    <w:rsid w:val="00393E9E"/>
    <w:rsid w:val="003965B7"/>
    <w:rsid w:val="00396BDA"/>
    <w:rsid w:val="00397EA5"/>
    <w:rsid w:val="003A17EA"/>
    <w:rsid w:val="003A2261"/>
    <w:rsid w:val="003A2C22"/>
    <w:rsid w:val="003A3AD6"/>
    <w:rsid w:val="003B0F9C"/>
    <w:rsid w:val="003B150E"/>
    <w:rsid w:val="003B1941"/>
    <w:rsid w:val="003B1F62"/>
    <w:rsid w:val="003B48F9"/>
    <w:rsid w:val="003B6F76"/>
    <w:rsid w:val="003B761C"/>
    <w:rsid w:val="003C0CF7"/>
    <w:rsid w:val="003C25CD"/>
    <w:rsid w:val="003C2EDB"/>
    <w:rsid w:val="003C3727"/>
    <w:rsid w:val="003C536D"/>
    <w:rsid w:val="003D1456"/>
    <w:rsid w:val="003D166D"/>
    <w:rsid w:val="003D5331"/>
    <w:rsid w:val="003D59FC"/>
    <w:rsid w:val="003D761C"/>
    <w:rsid w:val="003E296D"/>
    <w:rsid w:val="003E2D97"/>
    <w:rsid w:val="003E38DE"/>
    <w:rsid w:val="003E470B"/>
    <w:rsid w:val="003F02C0"/>
    <w:rsid w:val="003F2EFF"/>
    <w:rsid w:val="003F4796"/>
    <w:rsid w:val="003F6884"/>
    <w:rsid w:val="003F79F6"/>
    <w:rsid w:val="0040377B"/>
    <w:rsid w:val="00405259"/>
    <w:rsid w:val="004057C9"/>
    <w:rsid w:val="0041269F"/>
    <w:rsid w:val="00412892"/>
    <w:rsid w:val="00412D88"/>
    <w:rsid w:val="004147C3"/>
    <w:rsid w:val="0041674E"/>
    <w:rsid w:val="00417E03"/>
    <w:rsid w:val="00421D61"/>
    <w:rsid w:val="0042416F"/>
    <w:rsid w:val="00424C71"/>
    <w:rsid w:val="00427863"/>
    <w:rsid w:val="00431EC3"/>
    <w:rsid w:val="0043257B"/>
    <w:rsid w:val="00433A4D"/>
    <w:rsid w:val="00435228"/>
    <w:rsid w:val="004408F0"/>
    <w:rsid w:val="0044155F"/>
    <w:rsid w:val="00442487"/>
    <w:rsid w:val="00443DD1"/>
    <w:rsid w:val="004467E5"/>
    <w:rsid w:val="00450FBA"/>
    <w:rsid w:val="00460602"/>
    <w:rsid w:val="00463882"/>
    <w:rsid w:val="0046512D"/>
    <w:rsid w:val="00467D68"/>
    <w:rsid w:val="00472A7E"/>
    <w:rsid w:val="00473B59"/>
    <w:rsid w:val="0047507E"/>
    <w:rsid w:val="00482EC7"/>
    <w:rsid w:val="0048414F"/>
    <w:rsid w:val="0048418A"/>
    <w:rsid w:val="00484333"/>
    <w:rsid w:val="00484D1F"/>
    <w:rsid w:val="00493D1B"/>
    <w:rsid w:val="0049642B"/>
    <w:rsid w:val="004A3C85"/>
    <w:rsid w:val="004A58C7"/>
    <w:rsid w:val="004A5C90"/>
    <w:rsid w:val="004A66C6"/>
    <w:rsid w:val="004A6ACE"/>
    <w:rsid w:val="004B0535"/>
    <w:rsid w:val="004B17D6"/>
    <w:rsid w:val="004B2F37"/>
    <w:rsid w:val="004B5241"/>
    <w:rsid w:val="004C08EC"/>
    <w:rsid w:val="004C1B0A"/>
    <w:rsid w:val="004C2B66"/>
    <w:rsid w:val="004C7DB7"/>
    <w:rsid w:val="004D4467"/>
    <w:rsid w:val="004D4CB7"/>
    <w:rsid w:val="004E0DBB"/>
    <w:rsid w:val="004E1A62"/>
    <w:rsid w:val="004E33D5"/>
    <w:rsid w:val="004E45A1"/>
    <w:rsid w:val="004E59F4"/>
    <w:rsid w:val="004E75E1"/>
    <w:rsid w:val="004E78C3"/>
    <w:rsid w:val="004F195D"/>
    <w:rsid w:val="004F5AFF"/>
    <w:rsid w:val="004F7DCE"/>
    <w:rsid w:val="00502A91"/>
    <w:rsid w:val="00503C83"/>
    <w:rsid w:val="00503F62"/>
    <w:rsid w:val="0051064D"/>
    <w:rsid w:val="00511C3D"/>
    <w:rsid w:val="005129D2"/>
    <w:rsid w:val="00513249"/>
    <w:rsid w:val="00517216"/>
    <w:rsid w:val="00524A08"/>
    <w:rsid w:val="00527853"/>
    <w:rsid w:val="00531629"/>
    <w:rsid w:val="00532439"/>
    <w:rsid w:val="00533EC5"/>
    <w:rsid w:val="0053555B"/>
    <w:rsid w:val="00537F17"/>
    <w:rsid w:val="0054246B"/>
    <w:rsid w:val="00542E5B"/>
    <w:rsid w:val="005437D7"/>
    <w:rsid w:val="0055332B"/>
    <w:rsid w:val="00553A70"/>
    <w:rsid w:val="00556F94"/>
    <w:rsid w:val="005572B9"/>
    <w:rsid w:val="00563DF2"/>
    <w:rsid w:val="00564B43"/>
    <w:rsid w:val="00565D4D"/>
    <w:rsid w:val="00567637"/>
    <w:rsid w:val="00567A29"/>
    <w:rsid w:val="00573F5D"/>
    <w:rsid w:val="005743F6"/>
    <w:rsid w:val="005767BB"/>
    <w:rsid w:val="0057734F"/>
    <w:rsid w:val="00577B3C"/>
    <w:rsid w:val="00577D60"/>
    <w:rsid w:val="00587C97"/>
    <w:rsid w:val="00595BEE"/>
    <w:rsid w:val="005966E9"/>
    <w:rsid w:val="005A02B3"/>
    <w:rsid w:val="005A0C5B"/>
    <w:rsid w:val="005A1ACF"/>
    <w:rsid w:val="005A4335"/>
    <w:rsid w:val="005A4C17"/>
    <w:rsid w:val="005A6113"/>
    <w:rsid w:val="005A6891"/>
    <w:rsid w:val="005A7399"/>
    <w:rsid w:val="005A79BF"/>
    <w:rsid w:val="005B1E09"/>
    <w:rsid w:val="005B2C52"/>
    <w:rsid w:val="005B45F7"/>
    <w:rsid w:val="005B7109"/>
    <w:rsid w:val="005B7B42"/>
    <w:rsid w:val="005C0822"/>
    <w:rsid w:val="005C1EDC"/>
    <w:rsid w:val="005C2F2D"/>
    <w:rsid w:val="005C5334"/>
    <w:rsid w:val="005C685B"/>
    <w:rsid w:val="005C6D17"/>
    <w:rsid w:val="005D405B"/>
    <w:rsid w:val="005D40DE"/>
    <w:rsid w:val="005D5BB4"/>
    <w:rsid w:val="005E0B25"/>
    <w:rsid w:val="005E1BCF"/>
    <w:rsid w:val="005E2DF0"/>
    <w:rsid w:val="005F0DCB"/>
    <w:rsid w:val="005F160F"/>
    <w:rsid w:val="005F20AC"/>
    <w:rsid w:val="005F47BC"/>
    <w:rsid w:val="005F758A"/>
    <w:rsid w:val="005F7B12"/>
    <w:rsid w:val="005F7D1E"/>
    <w:rsid w:val="005F7F15"/>
    <w:rsid w:val="00600A4B"/>
    <w:rsid w:val="00601061"/>
    <w:rsid w:val="00601E19"/>
    <w:rsid w:val="006056AB"/>
    <w:rsid w:val="00610694"/>
    <w:rsid w:val="00611019"/>
    <w:rsid w:val="0061450B"/>
    <w:rsid w:val="00614D2E"/>
    <w:rsid w:val="00616E84"/>
    <w:rsid w:val="00621DC7"/>
    <w:rsid w:val="0062370E"/>
    <w:rsid w:val="006346DC"/>
    <w:rsid w:val="00634AA5"/>
    <w:rsid w:val="00634B31"/>
    <w:rsid w:val="006369CE"/>
    <w:rsid w:val="00644C8A"/>
    <w:rsid w:val="00645F38"/>
    <w:rsid w:val="00646A1E"/>
    <w:rsid w:val="00647DB1"/>
    <w:rsid w:val="0065655D"/>
    <w:rsid w:val="006608F7"/>
    <w:rsid w:val="0066182B"/>
    <w:rsid w:val="00663C28"/>
    <w:rsid w:val="00663F67"/>
    <w:rsid w:val="00664AA9"/>
    <w:rsid w:val="00667570"/>
    <w:rsid w:val="00670F73"/>
    <w:rsid w:val="00672B9A"/>
    <w:rsid w:val="00676816"/>
    <w:rsid w:val="00676AF4"/>
    <w:rsid w:val="00684102"/>
    <w:rsid w:val="00684958"/>
    <w:rsid w:val="00685FAB"/>
    <w:rsid w:val="00687450"/>
    <w:rsid w:val="00690D42"/>
    <w:rsid w:val="00691241"/>
    <w:rsid w:val="00693399"/>
    <w:rsid w:val="0069389F"/>
    <w:rsid w:val="0069509D"/>
    <w:rsid w:val="006A27B1"/>
    <w:rsid w:val="006A4E39"/>
    <w:rsid w:val="006A5ACA"/>
    <w:rsid w:val="006A6A36"/>
    <w:rsid w:val="006A7977"/>
    <w:rsid w:val="006B1DA5"/>
    <w:rsid w:val="006B55AA"/>
    <w:rsid w:val="006C0690"/>
    <w:rsid w:val="006C0EF8"/>
    <w:rsid w:val="006C3082"/>
    <w:rsid w:val="006C3187"/>
    <w:rsid w:val="006C321F"/>
    <w:rsid w:val="006C477C"/>
    <w:rsid w:val="006C6501"/>
    <w:rsid w:val="006C7A3E"/>
    <w:rsid w:val="006D1415"/>
    <w:rsid w:val="006D47A3"/>
    <w:rsid w:val="006D6FBD"/>
    <w:rsid w:val="006E0152"/>
    <w:rsid w:val="006E2912"/>
    <w:rsid w:val="006E599B"/>
    <w:rsid w:val="006E5D59"/>
    <w:rsid w:val="006E7029"/>
    <w:rsid w:val="006F15E8"/>
    <w:rsid w:val="006F1918"/>
    <w:rsid w:val="006F1D1D"/>
    <w:rsid w:val="006F1F71"/>
    <w:rsid w:val="006F4891"/>
    <w:rsid w:val="00700F49"/>
    <w:rsid w:val="00701FE7"/>
    <w:rsid w:val="00702341"/>
    <w:rsid w:val="00702598"/>
    <w:rsid w:val="00713397"/>
    <w:rsid w:val="00713EDD"/>
    <w:rsid w:val="00715F37"/>
    <w:rsid w:val="007202DF"/>
    <w:rsid w:val="0072086E"/>
    <w:rsid w:val="00720E17"/>
    <w:rsid w:val="00727604"/>
    <w:rsid w:val="0073282F"/>
    <w:rsid w:val="00732B54"/>
    <w:rsid w:val="00735BFE"/>
    <w:rsid w:val="00745501"/>
    <w:rsid w:val="0075005A"/>
    <w:rsid w:val="007516B9"/>
    <w:rsid w:val="007527FC"/>
    <w:rsid w:val="00760387"/>
    <w:rsid w:val="007616F2"/>
    <w:rsid w:val="00763AEE"/>
    <w:rsid w:val="00770343"/>
    <w:rsid w:val="007709D0"/>
    <w:rsid w:val="00772980"/>
    <w:rsid w:val="00773FB3"/>
    <w:rsid w:val="00774ED8"/>
    <w:rsid w:val="00776DDA"/>
    <w:rsid w:val="00777772"/>
    <w:rsid w:val="007838B7"/>
    <w:rsid w:val="00784562"/>
    <w:rsid w:val="00786373"/>
    <w:rsid w:val="00792072"/>
    <w:rsid w:val="00792CD7"/>
    <w:rsid w:val="007932F4"/>
    <w:rsid w:val="00793E77"/>
    <w:rsid w:val="00793F0E"/>
    <w:rsid w:val="00796E80"/>
    <w:rsid w:val="007A1EFC"/>
    <w:rsid w:val="007A3011"/>
    <w:rsid w:val="007A378B"/>
    <w:rsid w:val="007A4574"/>
    <w:rsid w:val="007A4A5F"/>
    <w:rsid w:val="007A5675"/>
    <w:rsid w:val="007B4474"/>
    <w:rsid w:val="007C12CD"/>
    <w:rsid w:val="007C41A9"/>
    <w:rsid w:val="007C5BBB"/>
    <w:rsid w:val="007C791B"/>
    <w:rsid w:val="007D04EC"/>
    <w:rsid w:val="007D38FF"/>
    <w:rsid w:val="007D570E"/>
    <w:rsid w:val="007D6D94"/>
    <w:rsid w:val="007D769B"/>
    <w:rsid w:val="007D7D3E"/>
    <w:rsid w:val="007E1C81"/>
    <w:rsid w:val="007E3397"/>
    <w:rsid w:val="007E4A83"/>
    <w:rsid w:val="007F26C2"/>
    <w:rsid w:val="007F2731"/>
    <w:rsid w:val="007F27B5"/>
    <w:rsid w:val="007F3847"/>
    <w:rsid w:val="007F69FE"/>
    <w:rsid w:val="007F7E58"/>
    <w:rsid w:val="00802C80"/>
    <w:rsid w:val="00804693"/>
    <w:rsid w:val="00805091"/>
    <w:rsid w:val="008055CD"/>
    <w:rsid w:val="00807DC8"/>
    <w:rsid w:val="0081322C"/>
    <w:rsid w:val="00813FEE"/>
    <w:rsid w:val="00814CAD"/>
    <w:rsid w:val="00822560"/>
    <w:rsid w:val="008229A6"/>
    <w:rsid w:val="00826867"/>
    <w:rsid w:val="00826A1F"/>
    <w:rsid w:val="00835B71"/>
    <w:rsid w:val="008372A9"/>
    <w:rsid w:val="0083748E"/>
    <w:rsid w:val="00837FCA"/>
    <w:rsid w:val="0084383E"/>
    <w:rsid w:val="00845400"/>
    <w:rsid w:val="00847636"/>
    <w:rsid w:val="0085110E"/>
    <w:rsid w:val="008526C8"/>
    <w:rsid w:val="00853853"/>
    <w:rsid w:val="00853F5F"/>
    <w:rsid w:val="008548AD"/>
    <w:rsid w:val="00856CB5"/>
    <w:rsid w:val="00857448"/>
    <w:rsid w:val="008604ED"/>
    <w:rsid w:val="00860CE3"/>
    <w:rsid w:val="00863DCB"/>
    <w:rsid w:val="008657A6"/>
    <w:rsid w:val="00867E52"/>
    <w:rsid w:val="00870BB4"/>
    <w:rsid w:val="0087373A"/>
    <w:rsid w:val="00875BB3"/>
    <w:rsid w:val="008771F4"/>
    <w:rsid w:val="00880468"/>
    <w:rsid w:val="00881F18"/>
    <w:rsid w:val="008833B8"/>
    <w:rsid w:val="00884726"/>
    <w:rsid w:val="00884C6E"/>
    <w:rsid w:val="00884CCB"/>
    <w:rsid w:val="00887FBE"/>
    <w:rsid w:val="00893E10"/>
    <w:rsid w:val="0089448C"/>
    <w:rsid w:val="00895123"/>
    <w:rsid w:val="00896438"/>
    <w:rsid w:val="00897D7E"/>
    <w:rsid w:val="00897F81"/>
    <w:rsid w:val="008A04BD"/>
    <w:rsid w:val="008A236C"/>
    <w:rsid w:val="008A2516"/>
    <w:rsid w:val="008A649D"/>
    <w:rsid w:val="008B1110"/>
    <w:rsid w:val="008B134A"/>
    <w:rsid w:val="008B41D0"/>
    <w:rsid w:val="008B45B3"/>
    <w:rsid w:val="008B673D"/>
    <w:rsid w:val="008B6895"/>
    <w:rsid w:val="008B724F"/>
    <w:rsid w:val="008B7BE7"/>
    <w:rsid w:val="008C7CA8"/>
    <w:rsid w:val="008D0DBE"/>
    <w:rsid w:val="008D1104"/>
    <w:rsid w:val="008D4DB6"/>
    <w:rsid w:val="008D55ED"/>
    <w:rsid w:val="008E2C0D"/>
    <w:rsid w:val="008E30EA"/>
    <w:rsid w:val="008E6C51"/>
    <w:rsid w:val="008F21A4"/>
    <w:rsid w:val="00901E80"/>
    <w:rsid w:val="009113B8"/>
    <w:rsid w:val="009119CE"/>
    <w:rsid w:val="00912488"/>
    <w:rsid w:val="00913E07"/>
    <w:rsid w:val="00916222"/>
    <w:rsid w:val="00916EFE"/>
    <w:rsid w:val="009206EA"/>
    <w:rsid w:val="00920A96"/>
    <w:rsid w:val="009213BE"/>
    <w:rsid w:val="00924ACA"/>
    <w:rsid w:val="00926B2D"/>
    <w:rsid w:val="00930561"/>
    <w:rsid w:val="00932B18"/>
    <w:rsid w:val="00934825"/>
    <w:rsid w:val="00935BDD"/>
    <w:rsid w:val="00936014"/>
    <w:rsid w:val="00942305"/>
    <w:rsid w:val="009451AE"/>
    <w:rsid w:val="00945576"/>
    <w:rsid w:val="0094608D"/>
    <w:rsid w:val="009505F7"/>
    <w:rsid w:val="00950C89"/>
    <w:rsid w:val="00953293"/>
    <w:rsid w:val="00953A42"/>
    <w:rsid w:val="00953BCD"/>
    <w:rsid w:val="009540FC"/>
    <w:rsid w:val="00973AA7"/>
    <w:rsid w:val="009754E1"/>
    <w:rsid w:val="009766CC"/>
    <w:rsid w:val="00980D59"/>
    <w:rsid w:val="00981F93"/>
    <w:rsid w:val="00983595"/>
    <w:rsid w:val="0098503C"/>
    <w:rsid w:val="00985E41"/>
    <w:rsid w:val="00986496"/>
    <w:rsid w:val="00991626"/>
    <w:rsid w:val="0099187C"/>
    <w:rsid w:val="00993FB8"/>
    <w:rsid w:val="009943E1"/>
    <w:rsid w:val="009A1021"/>
    <w:rsid w:val="009A3A1F"/>
    <w:rsid w:val="009A432B"/>
    <w:rsid w:val="009A710B"/>
    <w:rsid w:val="009B05EF"/>
    <w:rsid w:val="009B10BD"/>
    <w:rsid w:val="009B125C"/>
    <w:rsid w:val="009B225C"/>
    <w:rsid w:val="009B3A8B"/>
    <w:rsid w:val="009B4D2A"/>
    <w:rsid w:val="009B5B1F"/>
    <w:rsid w:val="009B76BC"/>
    <w:rsid w:val="009C00C5"/>
    <w:rsid w:val="009C3BBE"/>
    <w:rsid w:val="009C5EBC"/>
    <w:rsid w:val="009C6380"/>
    <w:rsid w:val="009C6B2A"/>
    <w:rsid w:val="009C73CE"/>
    <w:rsid w:val="009C7C3D"/>
    <w:rsid w:val="009D1B0D"/>
    <w:rsid w:val="009D1B3A"/>
    <w:rsid w:val="009D20F1"/>
    <w:rsid w:val="009D23C6"/>
    <w:rsid w:val="009D3097"/>
    <w:rsid w:val="009D3501"/>
    <w:rsid w:val="009D3747"/>
    <w:rsid w:val="009D40D4"/>
    <w:rsid w:val="009D59AA"/>
    <w:rsid w:val="009D6A75"/>
    <w:rsid w:val="009D7C92"/>
    <w:rsid w:val="009E1216"/>
    <w:rsid w:val="009E4B73"/>
    <w:rsid w:val="009E5F2F"/>
    <w:rsid w:val="009E6D2E"/>
    <w:rsid w:val="009E7086"/>
    <w:rsid w:val="009F037D"/>
    <w:rsid w:val="009F36EB"/>
    <w:rsid w:val="009F4069"/>
    <w:rsid w:val="00A01653"/>
    <w:rsid w:val="00A02D02"/>
    <w:rsid w:val="00A058ED"/>
    <w:rsid w:val="00A11751"/>
    <w:rsid w:val="00A12F9D"/>
    <w:rsid w:val="00A21D7A"/>
    <w:rsid w:val="00A2338F"/>
    <w:rsid w:val="00A243AD"/>
    <w:rsid w:val="00A33233"/>
    <w:rsid w:val="00A336F2"/>
    <w:rsid w:val="00A41152"/>
    <w:rsid w:val="00A42263"/>
    <w:rsid w:val="00A4287C"/>
    <w:rsid w:val="00A42950"/>
    <w:rsid w:val="00A43292"/>
    <w:rsid w:val="00A441C9"/>
    <w:rsid w:val="00A44909"/>
    <w:rsid w:val="00A44E49"/>
    <w:rsid w:val="00A45591"/>
    <w:rsid w:val="00A45AA3"/>
    <w:rsid w:val="00A45E27"/>
    <w:rsid w:val="00A46431"/>
    <w:rsid w:val="00A47F7D"/>
    <w:rsid w:val="00A51373"/>
    <w:rsid w:val="00A5140D"/>
    <w:rsid w:val="00A52083"/>
    <w:rsid w:val="00A52DB1"/>
    <w:rsid w:val="00A53565"/>
    <w:rsid w:val="00A54BA8"/>
    <w:rsid w:val="00A61212"/>
    <w:rsid w:val="00A61DF3"/>
    <w:rsid w:val="00A639AD"/>
    <w:rsid w:val="00A63CFA"/>
    <w:rsid w:val="00A65E00"/>
    <w:rsid w:val="00A669B4"/>
    <w:rsid w:val="00A6733C"/>
    <w:rsid w:val="00A71C2F"/>
    <w:rsid w:val="00A72578"/>
    <w:rsid w:val="00A7309F"/>
    <w:rsid w:val="00A7659E"/>
    <w:rsid w:val="00A7695C"/>
    <w:rsid w:val="00A80FC6"/>
    <w:rsid w:val="00A81180"/>
    <w:rsid w:val="00A81A2D"/>
    <w:rsid w:val="00A836DC"/>
    <w:rsid w:val="00A8471B"/>
    <w:rsid w:val="00A9244B"/>
    <w:rsid w:val="00A92684"/>
    <w:rsid w:val="00A930D5"/>
    <w:rsid w:val="00A9460B"/>
    <w:rsid w:val="00A94DEF"/>
    <w:rsid w:val="00A960C8"/>
    <w:rsid w:val="00A97AE3"/>
    <w:rsid w:val="00AA1250"/>
    <w:rsid w:val="00AA15A3"/>
    <w:rsid w:val="00AA1729"/>
    <w:rsid w:val="00AA36EF"/>
    <w:rsid w:val="00AA520A"/>
    <w:rsid w:val="00AA6832"/>
    <w:rsid w:val="00AA79D2"/>
    <w:rsid w:val="00AB1513"/>
    <w:rsid w:val="00AB7971"/>
    <w:rsid w:val="00AC0A9F"/>
    <w:rsid w:val="00AC1897"/>
    <w:rsid w:val="00AC65EB"/>
    <w:rsid w:val="00AC74EB"/>
    <w:rsid w:val="00AC7B52"/>
    <w:rsid w:val="00AD13FE"/>
    <w:rsid w:val="00AD1EAD"/>
    <w:rsid w:val="00AD4145"/>
    <w:rsid w:val="00AD57CA"/>
    <w:rsid w:val="00AD741E"/>
    <w:rsid w:val="00AE36EB"/>
    <w:rsid w:val="00AE4072"/>
    <w:rsid w:val="00AF1A3F"/>
    <w:rsid w:val="00AF1B45"/>
    <w:rsid w:val="00AF1EA9"/>
    <w:rsid w:val="00AF1EDD"/>
    <w:rsid w:val="00AF2C50"/>
    <w:rsid w:val="00AF4DE1"/>
    <w:rsid w:val="00AF602F"/>
    <w:rsid w:val="00B0141B"/>
    <w:rsid w:val="00B01966"/>
    <w:rsid w:val="00B02089"/>
    <w:rsid w:val="00B07701"/>
    <w:rsid w:val="00B133C6"/>
    <w:rsid w:val="00B150E5"/>
    <w:rsid w:val="00B15E0C"/>
    <w:rsid w:val="00B16D20"/>
    <w:rsid w:val="00B17B58"/>
    <w:rsid w:val="00B237A9"/>
    <w:rsid w:val="00B23A30"/>
    <w:rsid w:val="00B23AC6"/>
    <w:rsid w:val="00B2401D"/>
    <w:rsid w:val="00B25DC8"/>
    <w:rsid w:val="00B26037"/>
    <w:rsid w:val="00B2774C"/>
    <w:rsid w:val="00B306CF"/>
    <w:rsid w:val="00B30A50"/>
    <w:rsid w:val="00B3773B"/>
    <w:rsid w:val="00B37EAA"/>
    <w:rsid w:val="00B457C4"/>
    <w:rsid w:val="00B45DAD"/>
    <w:rsid w:val="00B4617F"/>
    <w:rsid w:val="00B46426"/>
    <w:rsid w:val="00B47234"/>
    <w:rsid w:val="00B52660"/>
    <w:rsid w:val="00B532AB"/>
    <w:rsid w:val="00B54E4F"/>
    <w:rsid w:val="00B55016"/>
    <w:rsid w:val="00B55568"/>
    <w:rsid w:val="00B56609"/>
    <w:rsid w:val="00B56B19"/>
    <w:rsid w:val="00B5723D"/>
    <w:rsid w:val="00B6306F"/>
    <w:rsid w:val="00B63D04"/>
    <w:rsid w:val="00B665C5"/>
    <w:rsid w:val="00B717A4"/>
    <w:rsid w:val="00B718D0"/>
    <w:rsid w:val="00B719CE"/>
    <w:rsid w:val="00B71DD6"/>
    <w:rsid w:val="00B72B1C"/>
    <w:rsid w:val="00B770B1"/>
    <w:rsid w:val="00B825C5"/>
    <w:rsid w:val="00B85942"/>
    <w:rsid w:val="00B85BC8"/>
    <w:rsid w:val="00B90035"/>
    <w:rsid w:val="00B906C6"/>
    <w:rsid w:val="00B92EC6"/>
    <w:rsid w:val="00B94C1E"/>
    <w:rsid w:val="00BA1470"/>
    <w:rsid w:val="00BB0F67"/>
    <w:rsid w:val="00BB1AF0"/>
    <w:rsid w:val="00BB2792"/>
    <w:rsid w:val="00BB7976"/>
    <w:rsid w:val="00BC0144"/>
    <w:rsid w:val="00BC14D3"/>
    <w:rsid w:val="00BC6568"/>
    <w:rsid w:val="00BD08AD"/>
    <w:rsid w:val="00BD176A"/>
    <w:rsid w:val="00BD261D"/>
    <w:rsid w:val="00BD4509"/>
    <w:rsid w:val="00BD485D"/>
    <w:rsid w:val="00BD71B5"/>
    <w:rsid w:val="00BE0591"/>
    <w:rsid w:val="00BE11BF"/>
    <w:rsid w:val="00BE2BE6"/>
    <w:rsid w:val="00BF0F06"/>
    <w:rsid w:val="00BF19EA"/>
    <w:rsid w:val="00BF2729"/>
    <w:rsid w:val="00BF2CFE"/>
    <w:rsid w:val="00BF6D00"/>
    <w:rsid w:val="00C00EB9"/>
    <w:rsid w:val="00C047E9"/>
    <w:rsid w:val="00C10B7B"/>
    <w:rsid w:val="00C12043"/>
    <w:rsid w:val="00C13039"/>
    <w:rsid w:val="00C149E0"/>
    <w:rsid w:val="00C2061A"/>
    <w:rsid w:val="00C207A7"/>
    <w:rsid w:val="00C21537"/>
    <w:rsid w:val="00C21ACC"/>
    <w:rsid w:val="00C24328"/>
    <w:rsid w:val="00C26DF5"/>
    <w:rsid w:val="00C273F7"/>
    <w:rsid w:val="00C32ABD"/>
    <w:rsid w:val="00C359FF"/>
    <w:rsid w:val="00C3789D"/>
    <w:rsid w:val="00C40FC5"/>
    <w:rsid w:val="00C42664"/>
    <w:rsid w:val="00C433AB"/>
    <w:rsid w:val="00C4588E"/>
    <w:rsid w:val="00C46CB8"/>
    <w:rsid w:val="00C472B9"/>
    <w:rsid w:val="00C50276"/>
    <w:rsid w:val="00C526FB"/>
    <w:rsid w:val="00C56F2D"/>
    <w:rsid w:val="00C65210"/>
    <w:rsid w:val="00C65B5B"/>
    <w:rsid w:val="00C6619C"/>
    <w:rsid w:val="00C705ED"/>
    <w:rsid w:val="00C721ED"/>
    <w:rsid w:val="00C727A4"/>
    <w:rsid w:val="00C76F1E"/>
    <w:rsid w:val="00C772E1"/>
    <w:rsid w:val="00C7764B"/>
    <w:rsid w:val="00C77B86"/>
    <w:rsid w:val="00C80CEB"/>
    <w:rsid w:val="00C84B7D"/>
    <w:rsid w:val="00C8535C"/>
    <w:rsid w:val="00C909A3"/>
    <w:rsid w:val="00C9191F"/>
    <w:rsid w:val="00C92967"/>
    <w:rsid w:val="00C939F1"/>
    <w:rsid w:val="00C949CA"/>
    <w:rsid w:val="00C94A38"/>
    <w:rsid w:val="00C9702F"/>
    <w:rsid w:val="00CA00BB"/>
    <w:rsid w:val="00CA1A9D"/>
    <w:rsid w:val="00CA22BF"/>
    <w:rsid w:val="00CA23F7"/>
    <w:rsid w:val="00CA2539"/>
    <w:rsid w:val="00CA33CA"/>
    <w:rsid w:val="00CA3BFC"/>
    <w:rsid w:val="00CA7794"/>
    <w:rsid w:val="00CB03F9"/>
    <w:rsid w:val="00CB1186"/>
    <w:rsid w:val="00CB2AE6"/>
    <w:rsid w:val="00CB3F63"/>
    <w:rsid w:val="00CB4E15"/>
    <w:rsid w:val="00CB565B"/>
    <w:rsid w:val="00CC21BC"/>
    <w:rsid w:val="00CC321E"/>
    <w:rsid w:val="00CC5062"/>
    <w:rsid w:val="00CC62B2"/>
    <w:rsid w:val="00CD0A05"/>
    <w:rsid w:val="00CD1B0D"/>
    <w:rsid w:val="00CD29A2"/>
    <w:rsid w:val="00CD2A24"/>
    <w:rsid w:val="00CD3094"/>
    <w:rsid w:val="00CD38CE"/>
    <w:rsid w:val="00CD79D7"/>
    <w:rsid w:val="00CD7EB0"/>
    <w:rsid w:val="00CE1E9B"/>
    <w:rsid w:val="00CE2116"/>
    <w:rsid w:val="00CE539B"/>
    <w:rsid w:val="00CE6555"/>
    <w:rsid w:val="00CE6585"/>
    <w:rsid w:val="00D00962"/>
    <w:rsid w:val="00D070A0"/>
    <w:rsid w:val="00D07162"/>
    <w:rsid w:val="00D1209F"/>
    <w:rsid w:val="00D12528"/>
    <w:rsid w:val="00D12698"/>
    <w:rsid w:val="00D13A39"/>
    <w:rsid w:val="00D15D01"/>
    <w:rsid w:val="00D20501"/>
    <w:rsid w:val="00D20608"/>
    <w:rsid w:val="00D20A01"/>
    <w:rsid w:val="00D20A5D"/>
    <w:rsid w:val="00D20BE8"/>
    <w:rsid w:val="00D2226F"/>
    <w:rsid w:val="00D23AEE"/>
    <w:rsid w:val="00D23DE1"/>
    <w:rsid w:val="00D257AC"/>
    <w:rsid w:val="00D265C7"/>
    <w:rsid w:val="00D26BA8"/>
    <w:rsid w:val="00D30287"/>
    <w:rsid w:val="00D30D66"/>
    <w:rsid w:val="00D32581"/>
    <w:rsid w:val="00D325B9"/>
    <w:rsid w:val="00D329EE"/>
    <w:rsid w:val="00D3394A"/>
    <w:rsid w:val="00D35917"/>
    <w:rsid w:val="00D35A54"/>
    <w:rsid w:val="00D35BFB"/>
    <w:rsid w:val="00D35E2E"/>
    <w:rsid w:val="00D367E3"/>
    <w:rsid w:val="00D40C6F"/>
    <w:rsid w:val="00D42EAA"/>
    <w:rsid w:val="00D45372"/>
    <w:rsid w:val="00D45CE3"/>
    <w:rsid w:val="00D467DF"/>
    <w:rsid w:val="00D50A0E"/>
    <w:rsid w:val="00D51B93"/>
    <w:rsid w:val="00D523DE"/>
    <w:rsid w:val="00D52B6C"/>
    <w:rsid w:val="00D552B4"/>
    <w:rsid w:val="00D561B5"/>
    <w:rsid w:val="00D570F7"/>
    <w:rsid w:val="00D578B8"/>
    <w:rsid w:val="00D60B36"/>
    <w:rsid w:val="00D6135F"/>
    <w:rsid w:val="00D66FA7"/>
    <w:rsid w:val="00D6783A"/>
    <w:rsid w:val="00D67AFA"/>
    <w:rsid w:val="00D70C39"/>
    <w:rsid w:val="00D70E9F"/>
    <w:rsid w:val="00D71AA3"/>
    <w:rsid w:val="00D74A14"/>
    <w:rsid w:val="00D76076"/>
    <w:rsid w:val="00D7629B"/>
    <w:rsid w:val="00D77919"/>
    <w:rsid w:val="00D81B97"/>
    <w:rsid w:val="00D87A38"/>
    <w:rsid w:val="00D91DDF"/>
    <w:rsid w:val="00D94942"/>
    <w:rsid w:val="00D94A45"/>
    <w:rsid w:val="00D95D23"/>
    <w:rsid w:val="00D97864"/>
    <w:rsid w:val="00DA4572"/>
    <w:rsid w:val="00DB1A1E"/>
    <w:rsid w:val="00DB2019"/>
    <w:rsid w:val="00DB27A8"/>
    <w:rsid w:val="00DB4208"/>
    <w:rsid w:val="00DB5355"/>
    <w:rsid w:val="00DB5760"/>
    <w:rsid w:val="00DB5920"/>
    <w:rsid w:val="00DC2140"/>
    <w:rsid w:val="00DC302C"/>
    <w:rsid w:val="00DC7615"/>
    <w:rsid w:val="00DD3079"/>
    <w:rsid w:val="00DD7B72"/>
    <w:rsid w:val="00DE2F6A"/>
    <w:rsid w:val="00DE5380"/>
    <w:rsid w:val="00DF0C1B"/>
    <w:rsid w:val="00DF15AE"/>
    <w:rsid w:val="00DF28CF"/>
    <w:rsid w:val="00DF2BCC"/>
    <w:rsid w:val="00E00D00"/>
    <w:rsid w:val="00E02906"/>
    <w:rsid w:val="00E04353"/>
    <w:rsid w:val="00E0436C"/>
    <w:rsid w:val="00E05656"/>
    <w:rsid w:val="00E11575"/>
    <w:rsid w:val="00E131C2"/>
    <w:rsid w:val="00E17AA9"/>
    <w:rsid w:val="00E20C03"/>
    <w:rsid w:val="00E214A0"/>
    <w:rsid w:val="00E2227E"/>
    <w:rsid w:val="00E27829"/>
    <w:rsid w:val="00E27DF7"/>
    <w:rsid w:val="00E30772"/>
    <w:rsid w:val="00E31E78"/>
    <w:rsid w:val="00E372E8"/>
    <w:rsid w:val="00E412A7"/>
    <w:rsid w:val="00E41354"/>
    <w:rsid w:val="00E46A45"/>
    <w:rsid w:val="00E51EB2"/>
    <w:rsid w:val="00E547A5"/>
    <w:rsid w:val="00E575B9"/>
    <w:rsid w:val="00E60628"/>
    <w:rsid w:val="00E643E6"/>
    <w:rsid w:val="00E671C9"/>
    <w:rsid w:val="00E7177C"/>
    <w:rsid w:val="00E732C1"/>
    <w:rsid w:val="00E76623"/>
    <w:rsid w:val="00E76CF5"/>
    <w:rsid w:val="00E85444"/>
    <w:rsid w:val="00E866F0"/>
    <w:rsid w:val="00E90895"/>
    <w:rsid w:val="00E91062"/>
    <w:rsid w:val="00E926A1"/>
    <w:rsid w:val="00EA0AB2"/>
    <w:rsid w:val="00EA350D"/>
    <w:rsid w:val="00EA649D"/>
    <w:rsid w:val="00EA74CD"/>
    <w:rsid w:val="00EB35E1"/>
    <w:rsid w:val="00EB37A1"/>
    <w:rsid w:val="00EB37A8"/>
    <w:rsid w:val="00EC12A7"/>
    <w:rsid w:val="00EC1D99"/>
    <w:rsid w:val="00EC24D7"/>
    <w:rsid w:val="00EC2B5A"/>
    <w:rsid w:val="00EC40F4"/>
    <w:rsid w:val="00EC4380"/>
    <w:rsid w:val="00EC6ED2"/>
    <w:rsid w:val="00ED3F81"/>
    <w:rsid w:val="00ED46C6"/>
    <w:rsid w:val="00ED5958"/>
    <w:rsid w:val="00EE05CF"/>
    <w:rsid w:val="00EE3FA4"/>
    <w:rsid w:val="00EE4D56"/>
    <w:rsid w:val="00EE5062"/>
    <w:rsid w:val="00EE54B6"/>
    <w:rsid w:val="00EE6610"/>
    <w:rsid w:val="00EF10A0"/>
    <w:rsid w:val="00EF16F8"/>
    <w:rsid w:val="00EF4B37"/>
    <w:rsid w:val="00EF5B99"/>
    <w:rsid w:val="00F0172A"/>
    <w:rsid w:val="00F04290"/>
    <w:rsid w:val="00F04908"/>
    <w:rsid w:val="00F059B5"/>
    <w:rsid w:val="00F13F16"/>
    <w:rsid w:val="00F15A85"/>
    <w:rsid w:val="00F15DD6"/>
    <w:rsid w:val="00F16022"/>
    <w:rsid w:val="00F1733F"/>
    <w:rsid w:val="00F204FC"/>
    <w:rsid w:val="00F25421"/>
    <w:rsid w:val="00F25C97"/>
    <w:rsid w:val="00F26268"/>
    <w:rsid w:val="00F264F5"/>
    <w:rsid w:val="00F2769B"/>
    <w:rsid w:val="00F318A5"/>
    <w:rsid w:val="00F3671A"/>
    <w:rsid w:val="00F40ADD"/>
    <w:rsid w:val="00F47205"/>
    <w:rsid w:val="00F47FCA"/>
    <w:rsid w:val="00F533E9"/>
    <w:rsid w:val="00F53CCD"/>
    <w:rsid w:val="00F617D6"/>
    <w:rsid w:val="00F62C03"/>
    <w:rsid w:val="00F632A8"/>
    <w:rsid w:val="00F65D8B"/>
    <w:rsid w:val="00F66505"/>
    <w:rsid w:val="00F669F2"/>
    <w:rsid w:val="00F66F1A"/>
    <w:rsid w:val="00F672C6"/>
    <w:rsid w:val="00F7263F"/>
    <w:rsid w:val="00F72E28"/>
    <w:rsid w:val="00F72E62"/>
    <w:rsid w:val="00F72E82"/>
    <w:rsid w:val="00F762E6"/>
    <w:rsid w:val="00F76C12"/>
    <w:rsid w:val="00F77F2E"/>
    <w:rsid w:val="00F8275C"/>
    <w:rsid w:val="00F84CF5"/>
    <w:rsid w:val="00F86FCA"/>
    <w:rsid w:val="00F91CBB"/>
    <w:rsid w:val="00FA035A"/>
    <w:rsid w:val="00FA0466"/>
    <w:rsid w:val="00FA14DA"/>
    <w:rsid w:val="00FA3EAE"/>
    <w:rsid w:val="00FB0743"/>
    <w:rsid w:val="00FB080C"/>
    <w:rsid w:val="00FB2416"/>
    <w:rsid w:val="00FB2C1A"/>
    <w:rsid w:val="00FB394E"/>
    <w:rsid w:val="00FB45D1"/>
    <w:rsid w:val="00FB4D9E"/>
    <w:rsid w:val="00FB53F3"/>
    <w:rsid w:val="00FB54F4"/>
    <w:rsid w:val="00FB5A63"/>
    <w:rsid w:val="00FC009A"/>
    <w:rsid w:val="00FC0947"/>
    <w:rsid w:val="00FC3BB4"/>
    <w:rsid w:val="00FC5F06"/>
    <w:rsid w:val="00FD1183"/>
    <w:rsid w:val="00FD1FEE"/>
    <w:rsid w:val="00FD3230"/>
    <w:rsid w:val="00FE0C5F"/>
    <w:rsid w:val="00FE2240"/>
    <w:rsid w:val="00FE4AAA"/>
    <w:rsid w:val="00FF141E"/>
    <w:rsid w:val="00FF3D96"/>
    <w:rsid w:val="00FF5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5290C1-0CEC-48EF-8A3F-DC10754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818420637">
      <w:bodyDiv w:val="1"/>
      <w:marLeft w:val="0"/>
      <w:marRight w:val="0"/>
      <w:marTop w:val="0"/>
      <w:marBottom w:val="0"/>
      <w:divBdr>
        <w:top w:val="none" w:sz="0" w:space="0" w:color="auto"/>
        <w:left w:val="none" w:sz="0" w:space="0" w:color="auto"/>
        <w:bottom w:val="none" w:sz="0" w:space="0" w:color="auto"/>
        <w:right w:val="none" w:sz="0" w:space="0" w:color="auto"/>
      </w:divBdr>
    </w:div>
    <w:div w:id="1396975558">
      <w:bodyDiv w:val="1"/>
      <w:marLeft w:val="0"/>
      <w:marRight w:val="0"/>
      <w:marTop w:val="0"/>
      <w:marBottom w:val="0"/>
      <w:divBdr>
        <w:top w:val="none" w:sz="0" w:space="0" w:color="auto"/>
        <w:left w:val="none" w:sz="0" w:space="0" w:color="auto"/>
        <w:bottom w:val="none" w:sz="0" w:space="0" w:color="auto"/>
        <w:right w:val="none" w:sz="0" w:space="0" w:color="auto"/>
      </w:divBdr>
      <w:divsChild>
        <w:div w:id="1555122567">
          <w:marLeft w:val="0"/>
          <w:marRight w:val="0"/>
          <w:marTop w:val="0"/>
          <w:marBottom w:val="0"/>
          <w:divBdr>
            <w:top w:val="none" w:sz="0" w:space="0" w:color="auto"/>
            <w:left w:val="none" w:sz="0" w:space="0" w:color="auto"/>
            <w:bottom w:val="none" w:sz="0" w:space="0" w:color="auto"/>
            <w:right w:val="none" w:sz="0" w:space="0" w:color="auto"/>
          </w:divBdr>
          <w:divsChild>
            <w:div w:id="362175016">
              <w:marLeft w:val="0"/>
              <w:marRight w:val="0"/>
              <w:marTop w:val="0"/>
              <w:marBottom w:val="0"/>
              <w:divBdr>
                <w:top w:val="none" w:sz="0" w:space="0" w:color="auto"/>
                <w:left w:val="none" w:sz="0" w:space="0" w:color="auto"/>
                <w:bottom w:val="none" w:sz="0" w:space="0" w:color="auto"/>
                <w:right w:val="none" w:sz="0" w:space="0" w:color="auto"/>
              </w:divBdr>
              <w:divsChild>
                <w:div w:id="403576027">
                  <w:marLeft w:val="0"/>
                  <w:marRight w:val="0"/>
                  <w:marTop w:val="0"/>
                  <w:marBottom w:val="0"/>
                  <w:divBdr>
                    <w:top w:val="none" w:sz="0" w:space="0" w:color="auto"/>
                    <w:left w:val="none" w:sz="0" w:space="0" w:color="auto"/>
                    <w:bottom w:val="none" w:sz="0" w:space="0" w:color="auto"/>
                    <w:right w:val="none" w:sz="0" w:space="0" w:color="auto"/>
                  </w:divBdr>
                  <w:divsChild>
                    <w:div w:id="208996780">
                      <w:marLeft w:val="0"/>
                      <w:marRight w:val="0"/>
                      <w:marTop w:val="0"/>
                      <w:marBottom w:val="0"/>
                      <w:divBdr>
                        <w:top w:val="none" w:sz="0" w:space="0" w:color="auto"/>
                        <w:left w:val="none" w:sz="0" w:space="0" w:color="auto"/>
                        <w:bottom w:val="none" w:sz="0" w:space="0" w:color="auto"/>
                        <w:right w:val="none" w:sz="0" w:space="0" w:color="auto"/>
                      </w:divBdr>
                      <w:divsChild>
                        <w:div w:id="2083208860">
                          <w:marLeft w:val="0"/>
                          <w:marRight w:val="0"/>
                          <w:marTop w:val="0"/>
                          <w:marBottom w:val="0"/>
                          <w:divBdr>
                            <w:top w:val="none" w:sz="0" w:space="0" w:color="auto"/>
                            <w:left w:val="none" w:sz="0" w:space="0" w:color="auto"/>
                            <w:bottom w:val="none" w:sz="0" w:space="0" w:color="auto"/>
                            <w:right w:val="none" w:sz="0" w:space="0" w:color="auto"/>
                          </w:divBdr>
                          <w:divsChild>
                            <w:div w:id="1719892377">
                              <w:marLeft w:val="0"/>
                              <w:marRight w:val="0"/>
                              <w:marTop w:val="0"/>
                              <w:marBottom w:val="0"/>
                              <w:divBdr>
                                <w:top w:val="none" w:sz="0" w:space="0" w:color="auto"/>
                                <w:left w:val="none" w:sz="0" w:space="0" w:color="auto"/>
                                <w:bottom w:val="none" w:sz="0" w:space="0" w:color="auto"/>
                                <w:right w:val="none" w:sz="0" w:space="0" w:color="auto"/>
                              </w:divBdr>
                              <w:divsChild>
                                <w:div w:id="1715546154">
                                  <w:marLeft w:val="0"/>
                                  <w:marRight w:val="0"/>
                                  <w:marTop w:val="0"/>
                                  <w:marBottom w:val="0"/>
                                  <w:divBdr>
                                    <w:top w:val="none" w:sz="0" w:space="0" w:color="auto"/>
                                    <w:left w:val="none" w:sz="0" w:space="0" w:color="auto"/>
                                    <w:bottom w:val="none" w:sz="0" w:space="0" w:color="auto"/>
                                    <w:right w:val="none" w:sz="0" w:space="0" w:color="auto"/>
                                  </w:divBdr>
                                  <w:divsChild>
                                    <w:div w:id="162358372">
                                      <w:marLeft w:val="0"/>
                                      <w:marRight w:val="0"/>
                                      <w:marTop w:val="0"/>
                                      <w:marBottom w:val="0"/>
                                      <w:divBdr>
                                        <w:top w:val="none" w:sz="0" w:space="0" w:color="auto"/>
                                        <w:left w:val="none" w:sz="0" w:space="0" w:color="auto"/>
                                        <w:bottom w:val="none" w:sz="0" w:space="0" w:color="auto"/>
                                        <w:right w:val="none" w:sz="0" w:space="0" w:color="auto"/>
                                      </w:divBdr>
                                      <w:divsChild>
                                        <w:div w:id="2079553381">
                                          <w:marLeft w:val="0"/>
                                          <w:marRight w:val="0"/>
                                          <w:marTop w:val="0"/>
                                          <w:marBottom w:val="0"/>
                                          <w:divBdr>
                                            <w:top w:val="none" w:sz="0" w:space="0" w:color="auto"/>
                                            <w:left w:val="none" w:sz="0" w:space="0" w:color="auto"/>
                                            <w:bottom w:val="none" w:sz="0" w:space="0" w:color="auto"/>
                                            <w:right w:val="none" w:sz="0" w:space="0" w:color="auto"/>
                                          </w:divBdr>
                                          <w:divsChild>
                                            <w:div w:id="858394498">
                                              <w:marLeft w:val="0"/>
                                              <w:marRight w:val="0"/>
                                              <w:marTop w:val="0"/>
                                              <w:marBottom w:val="0"/>
                                              <w:divBdr>
                                                <w:top w:val="none" w:sz="0" w:space="0" w:color="auto"/>
                                                <w:left w:val="none" w:sz="0" w:space="0" w:color="auto"/>
                                                <w:bottom w:val="none" w:sz="0" w:space="0" w:color="auto"/>
                                                <w:right w:val="none" w:sz="0" w:space="0" w:color="auto"/>
                                              </w:divBdr>
                                              <w:divsChild>
                                                <w:div w:id="2058044852">
                                                  <w:marLeft w:val="0"/>
                                                  <w:marRight w:val="0"/>
                                                  <w:marTop w:val="0"/>
                                                  <w:marBottom w:val="0"/>
                                                  <w:divBdr>
                                                    <w:top w:val="none" w:sz="0" w:space="0" w:color="auto"/>
                                                    <w:left w:val="none" w:sz="0" w:space="0" w:color="auto"/>
                                                    <w:bottom w:val="none" w:sz="0" w:space="0" w:color="auto"/>
                                                    <w:right w:val="none" w:sz="0" w:space="0" w:color="auto"/>
                                                  </w:divBdr>
                                                  <w:divsChild>
                                                    <w:div w:id="126629014">
                                                      <w:marLeft w:val="0"/>
                                                      <w:marRight w:val="0"/>
                                                      <w:marTop w:val="0"/>
                                                      <w:marBottom w:val="0"/>
                                                      <w:divBdr>
                                                        <w:top w:val="none" w:sz="0" w:space="0" w:color="auto"/>
                                                        <w:left w:val="none" w:sz="0" w:space="0" w:color="auto"/>
                                                        <w:bottom w:val="none" w:sz="0" w:space="0" w:color="auto"/>
                                                        <w:right w:val="none" w:sz="0" w:space="0" w:color="auto"/>
                                                      </w:divBdr>
                                                      <w:divsChild>
                                                        <w:div w:id="13350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0246671">
      <w:bodyDiv w:val="1"/>
      <w:marLeft w:val="0"/>
      <w:marRight w:val="0"/>
      <w:marTop w:val="0"/>
      <w:marBottom w:val="0"/>
      <w:divBdr>
        <w:top w:val="none" w:sz="0" w:space="0" w:color="auto"/>
        <w:left w:val="none" w:sz="0" w:space="0" w:color="auto"/>
        <w:bottom w:val="none" w:sz="0" w:space="0" w:color="auto"/>
        <w:right w:val="none" w:sz="0" w:space="0" w:color="auto"/>
      </w:divBdr>
      <w:divsChild>
        <w:div w:id="564798536">
          <w:marLeft w:val="0"/>
          <w:marRight w:val="0"/>
          <w:marTop w:val="0"/>
          <w:marBottom w:val="0"/>
          <w:divBdr>
            <w:top w:val="none" w:sz="0" w:space="0" w:color="auto"/>
            <w:left w:val="none" w:sz="0" w:space="0" w:color="auto"/>
            <w:bottom w:val="none" w:sz="0" w:space="0" w:color="auto"/>
            <w:right w:val="none" w:sz="0" w:space="0" w:color="auto"/>
          </w:divBdr>
          <w:divsChild>
            <w:div w:id="805047378">
              <w:marLeft w:val="0"/>
              <w:marRight w:val="0"/>
              <w:marTop w:val="0"/>
              <w:marBottom w:val="0"/>
              <w:divBdr>
                <w:top w:val="none" w:sz="0" w:space="0" w:color="auto"/>
                <w:left w:val="none" w:sz="0" w:space="0" w:color="auto"/>
                <w:bottom w:val="none" w:sz="0" w:space="0" w:color="auto"/>
                <w:right w:val="none" w:sz="0" w:space="0" w:color="auto"/>
              </w:divBdr>
              <w:divsChild>
                <w:div w:id="744451675">
                  <w:marLeft w:val="0"/>
                  <w:marRight w:val="0"/>
                  <w:marTop w:val="0"/>
                  <w:marBottom w:val="0"/>
                  <w:divBdr>
                    <w:top w:val="none" w:sz="0" w:space="0" w:color="auto"/>
                    <w:left w:val="none" w:sz="0" w:space="0" w:color="auto"/>
                    <w:bottom w:val="none" w:sz="0" w:space="0" w:color="auto"/>
                    <w:right w:val="none" w:sz="0" w:space="0" w:color="auto"/>
                  </w:divBdr>
                  <w:divsChild>
                    <w:div w:id="1615792293">
                      <w:marLeft w:val="0"/>
                      <w:marRight w:val="0"/>
                      <w:marTop w:val="0"/>
                      <w:marBottom w:val="0"/>
                      <w:divBdr>
                        <w:top w:val="none" w:sz="0" w:space="0" w:color="auto"/>
                        <w:left w:val="none" w:sz="0" w:space="0" w:color="auto"/>
                        <w:bottom w:val="none" w:sz="0" w:space="0" w:color="auto"/>
                        <w:right w:val="none" w:sz="0" w:space="0" w:color="auto"/>
                      </w:divBdr>
                      <w:divsChild>
                        <w:div w:id="1538471505">
                          <w:marLeft w:val="0"/>
                          <w:marRight w:val="0"/>
                          <w:marTop w:val="0"/>
                          <w:marBottom w:val="0"/>
                          <w:divBdr>
                            <w:top w:val="none" w:sz="0" w:space="0" w:color="auto"/>
                            <w:left w:val="none" w:sz="0" w:space="0" w:color="auto"/>
                            <w:bottom w:val="none" w:sz="0" w:space="0" w:color="auto"/>
                            <w:right w:val="none" w:sz="0" w:space="0" w:color="auto"/>
                          </w:divBdr>
                          <w:divsChild>
                            <w:div w:id="828524495">
                              <w:marLeft w:val="0"/>
                              <w:marRight w:val="0"/>
                              <w:marTop w:val="0"/>
                              <w:marBottom w:val="0"/>
                              <w:divBdr>
                                <w:top w:val="none" w:sz="0" w:space="0" w:color="auto"/>
                                <w:left w:val="none" w:sz="0" w:space="0" w:color="auto"/>
                                <w:bottom w:val="none" w:sz="0" w:space="0" w:color="auto"/>
                                <w:right w:val="none" w:sz="0" w:space="0" w:color="auto"/>
                              </w:divBdr>
                              <w:divsChild>
                                <w:div w:id="561214293">
                                  <w:marLeft w:val="0"/>
                                  <w:marRight w:val="0"/>
                                  <w:marTop w:val="0"/>
                                  <w:marBottom w:val="0"/>
                                  <w:divBdr>
                                    <w:top w:val="none" w:sz="0" w:space="0" w:color="auto"/>
                                    <w:left w:val="none" w:sz="0" w:space="0" w:color="auto"/>
                                    <w:bottom w:val="none" w:sz="0" w:space="0" w:color="auto"/>
                                    <w:right w:val="none" w:sz="0" w:space="0" w:color="auto"/>
                                  </w:divBdr>
                                  <w:divsChild>
                                    <w:div w:id="1049375331">
                                      <w:marLeft w:val="0"/>
                                      <w:marRight w:val="0"/>
                                      <w:marTop w:val="0"/>
                                      <w:marBottom w:val="0"/>
                                      <w:divBdr>
                                        <w:top w:val="none" w:sz="0" w:space="0" w:color="auto"/>
                                        <w:left w:val="none" w:sz="0" w:space="0" w:color="auto"/>
                                        <w:bottom w:val="none" w:sz="0" w:space="0" w:color="auto"/>
                                        <w:right w:val="none" w:sz="0" w:space="0" w:color="auto"/>
                                      </w:divBdr>
                                      <w:divsChild>
                                        <w:div w:id="670833521">
                                          <w:marLeft w:val="0"/>
                                          <w:marRight w:val="0"/>
                                          <w:marTop w:val="0"/>
                                          <w:marBottom w:val="0"/>
                                          <w:divBdr>
                                            <w:top w:val="none" w:sz="0" w:space="0" w:color="auto"/>
                                            <w:left w:val="none" w:sz="0" w:space="0" w:color="auto"/>
                                            <w:bottom w:val="none" w:sz="0" w:space="0" w:color="auto"/>
                                            <w:right w:val="none" w:sz="0" w:space="0" w:color="auto"/>
                                          </w:divBdr>
                                          <w:divsChild>
                                            <w:div w:id="2081752105">
                                              <w:marLeft w:val="0"/>
                                              <w:marRight w:val="0"/>
                                              <w:marTop w:val="0"/>
                                              <w:marBottom w:val="0"/>
                                              <w:divBdr>
                                                <w:top w:val="none" w:sz="0" w:space="0" w:color="auto"/>
                                                <w:left w:val="none" w:sz="0" w:space="0" w:color="auto"/>
                                                <w:bottom w:val="none" w:sz="0" w:space="0" w:color="auto"/>
                                                <w:right w:val="none" w:sz="0" w:space="0" w:color="auto"/>
                                              </w:divBdr>
                                              <w:divsChild>
                                                <w:div w:id="2103718495">
                                                  <w:marLeft w:val="0"/>
                                                  <w:marRight w:val="0"/>
                                                  <w:marTop w:val="0"/>
                                                  <w:marBottom w:val="0"/>
                                                  <w:divBdr>
                                                    <w:top w:val="none" w:sz="0" w:space="0" w:color="auto"/>
                                                    <w:left w:val="none" w:sz="0" w:space="0" w:color="auto"/>
                                                    <w:bottom w:val="none" w:sz="0" w:space="0" w:color="auto"/>
                                                    <w:right w:val="none" w:sz="0" w:space="0" w:color="auto"/>
                                                  </w:divBdr>
                                                  <w:divsChild>
                                                    <w:div w:id="797453592">
                                                      <w:marLeft w:val="0"/>
                                                      <w:marRight w:val="0"/>
                                                      <w:marTop w:val="0"/>
                                                      <w:marBottom w:val="0"/>
                                                      <w:divBdr>
                                                        <w:top w:val="none" w:sz="0" w:space="0" w:color="auto"/>
                                                        <w:left w:val="none" w:sz="0" w:space="0" w:color="auto"/>
                                                        <w:bottom w:val="none" w:sz="0" w:space="0" w:color="auto"/>
                                                        <w:right w:val="none" w:sz="0" w:space="0" w:color="auto"/>
                                                      </w:divBdr>
                                                      <w:divsChild>
                                                        <w:div w:id="21084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CCFAB34-F6D8-4183-AD7F-7F9FEFD92D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84E3ABEEB3D247904FFE94D24B0679" ma:contentTypeVersion="" ma:contentTypeDescription="PDMS Document Site Content Type" ma:contentTypeScope="" ma:versionID="18089e01cc3126277c391a61c89ddd0b">
  <xsd:schema xmlns:xsd="http://www.w3.org/2001/XMLSchema" xmlns:xs="http://www.w3.org/2001/XMLSchema" xmlns:p="http://schemas.microsoft.com/office/2006/metadata/properties" xmlns:ns2="BCCFAB34-F6D8-4183-AD7F-7F9FEFD92D19" targetNamespace="http://schemas.microsoft.com/office/2006/metadata/properties" ma:root="true" ma:fieldsID="97a0b3cc2f873d1182c7e9982865e3b0" ns2:_="">
    <xsd:import namespace="BCCFAB34-F6D8-4183-AD7F-7F9FEFD92D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FAB34-F6D8-4183-AD7F-7F9FEFD92D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7920-75FD-4DB4-9130-647D991E0BBF}">
  <ds:schemaRefs>
    <ds:schemaRef ds:uri="http://schemas.microsoft.com/office/2006/metadata/properties"/>
    <ds:schemaRef ds:uri="http://schemas.microsoft.com/office/infopath/2007/PartnerControls"/>
    <ds:schemaRef ds:uri="BCCFAB34-F6D8-4183-AD7F-7F9FEFD92D19"/>
  </ds:schemaRefs>
</ds:datastoreItem>
</file>

<file path=customXml/itemProps2.xml><?xml version="1.0" encoding="utf-8"?>
<ds:datastoreItem xmlns:ds="http://schemas.openxmlformats.org/officeDocument/2006/customXml" ds:itemID="{20172209-C8CC-4D28-8E06-CE93E848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FAB34-F6D8-4183-AD7F-7F9FEFD92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17ED9-F481-4E9D-BAF6-59707B3CA8B7}">
  <ds:schemaRefs>
    <ds:schemaRef ds:uri="http://schemas.microsoft.com/sharepoint/v3/contenttype/forms"/>
  </ds:schemaRefs>
</ds:datastoreItem>
</file>

<file path=customXml/itemProps4.xml><?xml version="1.0" encoding="utf-8"?>
<ds:datastoreItem xmlns:ds="http://schemas.openxmlformats.org/officeDocument/2006/customXml" ds:itemID="{FFEBE5BD-00D2-4A2C-AB4E-7EE7EF7A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Lauren</dc:creator>
  <cp:lastModifiedBy>EDSOR Peter</cp:lastModifiedBy>
  <cp:revision>2</cp:revision>
  <cp:lastPrinted>2017-12-15T06:53:00Z</cp:lastPrinted>
  <dcterms:created xsi:type="dcterms:W3CDTF">2018-06-19T06:01:00Z</dcterms:created>
  <dcterms:modified xsi:type="dcterms:W3CDTF">2018-06-19T06:01:00Z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0x010100266966F133664895A6EE3632470D45F5007284E3ABEEB3D247904FFE94D24B0679</vt:lpwstr>
  </property>
</Properties>
</file>