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5C" w:rsidRPr="0066798F" w:rsidRDefault="00D4785C" w:rsidP="00D4785C">
      <w:pPr>
        <w:pStyle w:val="BodyText"/>
        <w:spacing w:line="260" w:lineRule="atLeast"/>
        <w:jc w:val="center"/>
        <w:rPr>
          <w:rFonts w:ascii="Arial" w:hAnsi="Arial" w:cs="Arial"/>
          <w:b/>
          <w:sz w:val="20"/>
        </w:rPr>
      </w:pPr>
      <w:bookmarkStart w:id="0" w:name="_GoBack"/>
      <w:bookmarkEnd w:id="0"/>
      <w:r w:rsidRPr="0066798F">
        <w:rPr>
          <w:rFonts w:ascii="Arial" w:hAnsi="Arial" w:cs="Arial"/>
          <w:b/>
          <w:sz w:val="20"/>
        </w:rPr>
        <w:t>EXPLANATORY STATEMENT</w:t>
      </w:r>
    </w:p>
    <w:p w:rsidR="00D4785C" w:rsidRPr="0066798F" w:rsidRDefault="00251D97" w:rsidP="00D4785C">
      <w:pPr>
        <w:pStyle w:val="BodyText"/>
        <w:spacing w:line="260" w:lineRule="atLeast"/>
        <w:jc w:val="center"/>
        <w:rPr>
          <w:rFonts w:ascii="Arial" w:hAnsi="Arial" w:cs="Arial"/>
          <w:b/>
          <w:sz w:val="20"/>
        </w:rPr>
      </w:pPr>
      <w:r w:rsidRPr="0066798F">
        <w:rPr>
          <w:rFonts w:ascii="Arial" w:hAnsi="Arial" w:cs="Arial"/>
          <w:sz w:val="20"/>
        </w:rPr>
        <w:t xml:space="preserve">Approved </w:t>
      </w:r>
      <w:r w:rsidR="00D4785C" w:rsidRPr="0066798F">
        <w:rPr>
          <w:rFonts w:ascii="Arial" w:hAnsi="Arial" w:cs="Arial"/>
          <w:sz w:val="20"/>
        </w:rPr>
        <w:t>by the Australian Communications and Media Authority</w:t>
      </w:r>
    </w:p>
    <w:p w:rsidR="009C13A4" w:rsidRPr="0066798F" w:rsidRDefault="009C13A4" w:rsidP="009C13A4">
      <w:pPr>
        <w:pStyle w:val="BodyText"/>
        <w:spacing w:line="260" w:lineRule="atLeast"/>
        <w:jc w:val="center"/>
        <w:rPr>
          <w:rFonts w:ascii="Arial" w:hAnsi="Arial" w:cs="Arial"/>
          <w:i/>
          <w:sz w:val="20"/>
        </w:rPr>
      </w:pPr>
      <w:r w:rsidRPr="0066798F">
        <w:rPr>
          <w:rFonts w:ascii="Arial" w:hAnsi="Arial" w:cs="Arial"/>
          <w:i/>
          <w:sz w:val="20"/>
        </w:rPr>
        <w:t>Radiocommunications Act 1992</w:t>
      </w:r>
    </w:p>
    <w:p w:rsidR="00D4785C" w:rsidRPr="0066798F" w:rsidRDefault="00D4785C" w:rsidP="00D4785C">
      <w:pPr>
        <w:pStyle w:val="BodyText"/>
        <w:spacing w:line="260" w:lineRule="atLeast"/>
        <w:jc w:val="center"/>
        <w:rPr>
          <w:rFonts w:ascii="Arial" w:hAnsi="Arial" w:cs="Arial"/>
          <w:b/>
          <w:i/>
          <w:sz w:val="20"/>
        </w:rPr>
      </w:pPr>
      <w:r w:rsidRPr="0066798F">
        <w:rPr>
          <w:rFonts w:ascii="Arial" w:hAnsi="Arial" w:cs="Arial"/>
          <w:b/>
          <w:i/>
          <w:sz w:val="20"/>
        </w:rPr>
        <w:t>Radiocommunications (Low Interference Potential Devices) Class Licence Variation 201</w:t>
      </w:r>
      <w:r w:rsidR="00C23AD1" w:rsidRPr="0066798F">
        <w:rPr>
          <w:rFonts w:ascii="Arial" w:hAnsi="Arial" w:cs="Arial"/>
          <w:b/>
          <w:i/>
          <w:sz w:val="20"/>
        </w:rPr>
        <w:t>8</w:t>
      </w:r>
      <w:r w:rsidRPr="0066798F">
        <w:rPr>
          <w:rFonts w:ascii="Arial" w:hAnsi="Arial" w:cs="Arial"/>
          <w:b/>
          <w:i/>
          <w:sz w:val="20"/>
        </w:rPr>
        <w:t xml:space="preserve"> (No. 1)</w:t>
      </w:r>
    </w:p>
    <w:p w:rsidR="00D4785C" w:rsidRPr="0066798F" w:rsidRDefault="00D4785C" w:rsidP="00D4785C">
      <w:pPr>
        <w:pStyle w:val="BodyText"/>
        <w:spacing w:line="260" w:lineRule="atLeast"/>
        <w:jc w:val="center"/>
        <w:rPr>
          <w:rFonts w:ascii="Arial" w:hAnsi="Arial" w:cs="Arial"/>
          <w:b/>
          <w:i/>
          <w:sz w:val="20"/>
        </w:rPr>
      </w:pPr>
    </w:p>
    <w:p w:rsidR="009C13A4" w:rsidRPr="0066798F" w:rsidRDefault="009C13A4" w:rsidP="00D4785C">
      <w:pPr>
        <w:pStyle w:val="indenta"/>
        <w:tabs>
          <w:tab w:val="left" w:pos="720"/>
        </w:tabs>
        <w:spacing w:before="120" w:after="120"/>
        <w:ind w:left="0" w:firstLine="0"/>
        <w:jc w:val="both"/>
        <w:rPr>
          <w:rFonts w:ascii="Arial" w:hAnsi="Arial" w:cs="Arial"/>
          <w:b/>
          <w:sz w:val="20"/>
        </w:rPr>
      </w:pPr>
      <w:r w:rsidRPr="0066798F">
        <w:rPr>
          <w:rFonts w:ascii="Arial" w:hAnsi="Arial" w:cs="Arial"/>
          <w:b/>
          <w:sz w:val="20"/>
        </w:rPr>
        <w:t>Authority</w:t>
      </w:r>
    </w:p>
    <w:p w:rsidR="009C13A4" w:rsidRPr="0066798F" w:rsidRDefault="009C13A4" w:rsidP="009C13A4">
      <w:pPr>
        <w:pStyle w:val="BodyText"/>
        <w:spacing w:line="260" w:lineRule="atLeast"/>
        <w:rPr>
          <w:rFonts w:ascii="Arial" w:hAnsi="Arial" w:cs="Arial"/>
          <w:sz w:val="20"/>
        </w:rPr>
      </w:pPr>
      <w:r w:rsidRPr="0066798F">
        <w:rPr>
          <w:rFonts w:ascii="Arial" w:hAnsi="Arial" w:cs="Arial"/>
          <w:sz w:val="20"/>
        </w:rPr>
        <w:t>The Australian Communications and Media Authority (</w:t>
      </w:r>
      <w:r w:rsidRPr="0066798F">
        <w:rPr>
          <w:rFonts w:ascii="Arial" w:hAnsi="Arial" w:cs="Arial"/>
          <w:b/>
          <w:sz w:val="20"/>
        </w:rPr>
        <w:t>the ACMA</w:t>
      </w:r>
      <w:r w:rsidRPr="0066798F">
        <w:rPr>
          <w:rFonts w:ascii="Arial" w:hAnsi="Arial" w:cs="Arial"/>
          <w:sz w:val="20"/>
        </w:rPr>
        <w:t xml:space="preserve">) has made the </w:t>
      </w:r>
      <w:r w:rsidRPr="0066798F">
        <w:rPr>
          <w:rFonts w:ascii="Arial" w:hAnsi="Arial" w:cs="Arial"/>
          <w:i/>
          <w:sz w:val="20"/>
        </w:rPr>
        <w:t>Radiocommunications (Low Interference Potential Devices) Class Licence Variation 2018 (No. 1)</w:t>
      </w:r>
      <w:r w:rsidRPr="0066798F">
        <w:rPr>
          <w:rFonts w:ascii="Arial" w:hAnsi="Arial" w:cs="Arial"/>
          <w:sz w:val="20"/>
        </w:rPr>
        <w:t xml:space="preserve"> (</w:t>
      </w:r>
      <w:r w:rsidRPr="0066798F">
        <w:rPr>
          <w:rFonts w:ascii="Arial" w:hAnsi="Arial" w:cs="Arial"/>
          <w:b/>
          <w:sz w:val="20"/>
        </w:rPr>
        <w:t>the instrument</w:t>
      </w:r>
      <w:r w:rsidRPr="0066798F">
        <w:rPr>
          <w:rFonts w:ascii="Arial" w:hAnsi="Arial" w:cs="Arial"/>
          <w:sz w:val="20"/>
        </w:rPr>
        <w:t xml:space="preserve">) under section 132 of the </w:t>
      </w:r>
      <w:r w:rsidRPr="0066798F">
        <w:rPr>
          <w:rFonts w:ascii="Arial" w:hAnsi="Arial" w:cs="Arial"/>
          <w:i/>
          <w:sz w:val="20"/>
        </w:rPr>
        <w:t xml:space="preserve">Radiocommunications Act 1992 </w:t>
      </w:r>
      <w:r w:rsidR="00263F69" w:rsidRPr="0066798F">
        <w:rPr>
          <w:rFonts w:ascii="Arial" w:hAnsi="Arial" w:cs="Arial"/>
          <w:sz w:val="20"/>
        </w:rPr>
        <w:t>(</w:t>
      </w:r>
      <w:r w:rsidR="00263F69" w:rsidRPr="0066798F">
        <w:rPr>
          <w:rFonts w:ascii="Arial" w:hAnsi="Arial" w:cs="Arial"/>
          <w:b/>
          <w:sz w:val="20"/>
        </w:rPr>
        <w:t>the Act</w:t>
      </w:r>
      <w:r w:rsidR="00263F69" w:rsidRPr="0066798F">
        <w:rPr>
          <w:rFonts w:ascii="Arial" w:hAnsi="Arial" w:cs="Arial"/>
          <w:sz w:val="20"/>
        </w:rPr>
        <w:t xml:space="preserve">) </w:t>
      </w:r>
      <w:r w:rsidRPr="0066798F">
        <w:rPr>
          <w:rFonts w:ascii="Arial" w:hAnsi="Arial" w:cs="Arial"/>
          <w:sz w:val="20"/>
        </w:rPr>
        <w:t xml:space="preserve">and subsection 33(3) of the </w:t>
      </w:r>
      <w:r w:rsidRPr="0066798F">
        <w:rPr>
          <w:rFonts w:ascii="Arial" w:hAnsi="Arial" w:cs="Arial"/>
          <w:i/>
          <w:sz w:val="20"/>
        </w:rPr>
        <w:t>Acts Interpretation Act 1901</w:t>
      </w:r>
      <w:r w:rsidRPr="0066798F">
        <w:rPr>
          <w:rFonts w:ascii="Arial" w:hAnsi="Arial" w:cs="Arial"/>
          <w:sz w:val="20"/>
        </w:rPr>
        <w:t xml:space="preserve"> (</w:t>
      </w:r>
      <w:r w:rsidRPr="0066798F">
        <w:rPr>
          <w:rFonts w:ascii="Arial" w:hAnsi="Arial" w:cs="Arial"/>
          <w:b/>
          <w:sz w:val="20"/>
        </w:rPr>
        <w:t>the AIA</w:t>
      </w:r>
      <w:r w:rsidRPr="0066798F">
        <w:rPr>
          <w:rFonts w:ascii="Arial" w:hAnsi="Arial" w:cs="Arial"/>
          <w:sz w:val="20"/>
        </w:rPr>
        <w:t xml:space="preserve">). </w:t>
      </w:r>
    </w:p>
    <w:p w:rsidR="004C7AD2" w:rsidRPr="0066798F" w:rsidRDefault="004C7AD2" w:rsidP="004C7AD2">
      <w:pPr>
        <w:spacing w:before="120" w:after="120" w:line="260" w:lineRule="atLeast"/>
        <w:rPr>
          <w:rFonts w:ascii="Arial" w:hAnsi="Arial" w:cs="Arial"/>
        </w:rPr>
      </w:pPr>
      <w:r w:rsidRPr="0066798F">
        <w:rPr>
          <w:rFonts w:ascii="Arial" w:hAnsi="Arial" w:cs="Arial"/>
        </w:rPr>
        <w:t xml:space="preserve">Section 132 of the </w:t>
      </w:r>
      <w:r w:rsidR="00263F69" w:rsidRPr="0066798F">
        <w:rPr>
          <w:rFonts w:ascii="Arial" w:hAnsi="Arial" w:cs="Arial"/>
        </w:rPr>
        <w:t xml:space="preserve">Act </w:t>
      </w:r>
      <w:r w:rsidRPr="0066798F">
        <w:rPr>
          <w:rFonts w:ascii="Arial" w:hAnsi="Arial" w:cs="Arial"/>
        </w:rPr>
        <w:t>allows the ACMA, by legislative instrument, to issue class licences.</w:t>
      </w:r>
    </w:p>
    <w:p w:rsidR="004C7AD2" w:rsidRPr="0066798F" w:rsidRDefault="004C7AD2" w:rsidP="004C7AD2">
      <w:pPr>
        <w:spacing w:before="120" w:after="120" w:line="260" w:lineRule="atLeast"/>
        <w:rPr>
          <w:rFonts w:ascii="Arial" w:hAnsi="Arial" w:cs="Arial"/>
        </w:rPr>
      </w:pPr>
      <w:r w:rsidRPr="0066798F">
        <w:rPr>
          <w:rFonts w:ascii="Arial" w:hAnsi="Arial" w:cs="Arial"/>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rsidR="004C7AD2" w:rsidRPr="0066798F" w:rsidRDefault="004C7AD2" w:rsidP="004C7AD2">
      <w:pPr>
        <w:spacing w:before="120" w:after="120" w:line="260" w:lineRule="atLeast"/>
        <w:rPr>
          <w:rFonts w:ascii="Arial" w:hAnsi="Arial" w:cs="Arial"/>
        </w:rPr>
      </w:pPr>
      <w:r w:rsidRPr="0066798F">
        <w:rPr>
          <w:rFonts w:ascii="Arial" w:hAnsi="Arial" w:cs="Arial"/>
        </w:rPr>
        <w:t xml:space="preserve">Section 134 of the Act provides that, to avoid doubt, the power to vary a class licence in accordance with subsection 33(3) of the AIA includes the power to vary the class licence by including one or more further conditions; or revoking any conditions of the class licence. </w:t>
      </w:r>
    </w:p>
    <w:p w:rsidR="004C7AD2" w:rsidRPr="0066798F" w:rsidRDefault="004C7AD2" w:rsidP="004C7AD2">
      <w:pPr>
        <w:spacing w:before="120" w:after="120" w:line="260" w:lineRule="atLeast"/>
        <w:rPr>
          <w:rFonts w:ascii="Arial" w:hAnsi="Arial" w:cs="Arial"/>
        </w:rPr>
      </w:pPr>
      <w:r w:rsidRPr="0066798F">
        <w:rPr>
          <w:rFonts w:ascii="Arial" w:hAnsi="Arial" w:cs="Arial"/>
          <w:color w:val="000000"/>
        </w:rPr>
        <w:t xml:space="preserve">Section 136 of the Act requires </w:t>
      </w:r>
      <w:r w:rsidR="00A21636">
        <w:rPr>
          <w:rFonts w:ascii="Arial" w:hAnsi="Arial" w:cs="Arial"/>
          <w:color w:val="000000"/>
        </w:rPr>
        <w:t xml:space="preserve">the </w:t>
      </w:r>
      <w:r w:rsidRPr="0066798F">
        <w:rPr>
          <w:rFonts w:ascii="Arial" w:hAnsi="Arial" w:cs="Arial"/>
          <w:color w:val="000000"/>
        </w:rPr>
        <w:t>ACMA, before varying a class licence, to invite persons to make representations about the proposed variation and provid</w:t>
      </w:r>
      <w:r w:rsidR="00A21636">
        <w:rPr>
          <w:rFonts w:ascii="Arial" w:hAnsi="Arial" w:cs="Arial"/>
          <w:color w:val="000000"/>
        </w:rPr>
        <w:t>e</w:t>
      </w:r>
      <w:r w:rsidRPr="0066798F">
        <w:rPr>
          <w:rFonts w:ascii="Arial" w:hAnsi="Arial" w:cs="Arial"/>
          <w:color w:val="000000"/>
        </w:rPr>
        <w:t xml:space="preserve"> those persons with at least one month from the date of publication in which to make those representations</w:t>
      </w:r>
      <w:r w:rsidRPr="0066798F">
        <w:rPr>
          <w:rFonts w:ascii="Arial" w:hAnsi="Arial" w:cs="Arial"/>
        </w:rPr>
        <w:t xml:space="preserve">.  </w:t>
      </w:r>
      <w:r w:rsidR="00D75373">
        <w:rPr>
          <w:rFonts w:ascii="Arial" w:hAnsi="Arial" w:cs="Arial"/>
        </w:rPr>
        <w:t>D</w:t>
      </w:r>
      <w:r w:rsidRPr="0066798F">
        <w:rPr>
          <w:rFonts w:ascii="Arial" w:hAnsi="Arial" w:cs="Arial"/>
        </w:rPr>
        <w:t xml:space="preserve">etails about the consultation undertaken </w:t>
      </w:r>
      <w:r w:rsidR="00D75373">
        <w:rPr>
          <w:rFonts w:ascii="Arial" w:hAnsi="Arial" w:cs="Arial"/>
        </w:rPr>
        <w:t>are</w:t>
      </w:r>
      <w:r w:rsidRPr="0066798F">
        <w:rPr>
          <w:rFonts w:ascii="Arial" w:hAnsi="Arial" w:cs="Arial"/>
        </w:rPr>
        <w:t xml:space="preserve"> set out below</w:t>
      </w:r>
      <w:r w:rsidRPr="009B72C5">
        <w:rPr>
          <w:rFonts w:ascii="Arial" w:hAnsi="Arial" w:cs="Arial"/>
        </w:rPr>
        <w:t>.</w:t>
      </w:r>
      <w:r w:rsidR="00C76278" w:rsidRPr="009B72C5">
        <w:rPr>
          <w:rFonts w:ascii="Arial" w:hAnsi="Arial" w:cs="Arial"/>
        </w:rPr>
        <w:t xml:space="preserve">  Section 136 also requires the ACMA, before varying a class licence, if the variation would affect spectrum allocated, to be allocated or to be re-allocated by issuing or re-issuing spectrum licences, to be satisfied that the variation would not result in unacceptable levels of interference to the operation of radiocommunications devices operated, or likely to be operated, under spectrum licences, and that the variation of the class licence would be in the public interest.  . </w:t>
      </w:r>
      <w:r w:rsidR="00B427EA" w:rsidRPr="009B72C5">
        <w:rPr>
          <w:rFonts w:ascii="Arial" w:hAnsi="Arial" w:cs="Arial"/>
        </w:rPr>
        <w:t xml:space="preserve">There are no spectrum licences affected by the proposed variation. </w:t>
      </w:r>
    </w:p>
    <w:p w:rsidR="004C7AD2" w:rsidRPr="0066798F" w:rsidRDefault="004C7AD2" w:rsidP="004C7AD2">
      <w:pPr>
        <w:spacing w:before="120" w:after="120" w:line="260" w:lineRule="atLeast"/>
        <w:rPr>
          <w:rFonts w:ascii="Arial" w:hAnsi="Arial" w:cs="Arial"/>
        </w:rPr>
      </w:pPr>
      <w:r w:rsidRPr="0066798F">
        <w:rPr>
          <w:rFonts w:ascii="Arial" w:hAnsi="Arial" w:cs="Arial"/>
        </w:rPr>
        <w:t xml:space="preserve">Section 137 provides that the ACMA must not issue a class licence that is inconsistent with the spectrum plan or any relevant frequency band plans.  The ACMA has made the </w:t>
      </w:r>
      <w:r w:rsidR="00C76278">
        <w:rPr>
          <w:rFonts w:ascii="Arial" w:hAnsi="Arial" w:cs="Arial"/>
        </w:rPr>
        <w:t>i</w:t>
      </w:r>
      <w:r w:rsidR="00263F69" w:rsidRPr="0066798F">
        <w:rPr>
          <w:rFonts w:ascii="Arial" w:hAnsi="Arial" w:cs="Arial"/>
        </w:rPr>
        <w:t>nstrument</w:t>
      </w:r>
      <w:r w:rsidRPr="0066798F">
        <w:rPr>
          <w:rFonts w:ascii="Arial" w:hAnsi="Arial" w:cs="Arial"/>
        </w:rPr>
        <w:t xml:space="preserve"> in accordance with sections 132</w:t>
      </w:r>
      <w:r w:rsidR="00C76278">
        <w:rPr>
          <w:rFonts w:ascii="Arial" w:hAnsi="Arial" w:cs="Arial"/>
        </w:rPr>
        <w:t>,</w:t>
      </w:r>
      <w:r w:rsidRPr="0066798F">
        <w:rPr>
          <w:rFonts w:ascii="Arial" w:hAnsi="Arial" w:cs="Arial"/>
        </w:rPr>
        <w:t xml:space="preserve"> 136 </w:t>
      </w:r>
      <w:r w:rsidR="00C76278">
        <w:rPr>
          <w:rFonts w:ascii="Arial" w:hAnsi="Arial" w:cs="Arial"/>
        </w:rPr>
        <w:t xml:space="preserve">and 137 </w:t>
      </w:r>
      <w:r w:rsidRPr="0066798F">
        <w:rPr>
          <w:rFonts w:ascii="Arial" w:hAnsi="Arial" w:cs="Arial"/>
        </w:rPr>
        <w:t>of the Act, and subsection 33(3) of the AIA.</w:t>
      </w:r>
    </w:p>
    <w:p w:rsidR="00D4785C" w:rsidRPr="0066798F" w:rsidRDefault="00D4785C" w:rsidP="00D4785C">
      <w:pPr>
        <w:pStyle w:val="indenta"/>
        <w:tabs>
          <w:tab w:val="left" w:pos="720"/>
        </w:tabs>
        <w:spacing w:before="120" w:after="120"/>
        <w:ind w:left="0" w:firstLine="0"/>
        <w:jc w:val="both"/>
        <w:rPr>
          <w:rFonts w:ascii="Arial" w:hAnsi="Arial" w:cs="Arial"/>
          <w:b/>
          <w:sz w:val="20"/>
        </w:rPr>
      </w:pPr>
      <w:r w:rsidRPr="0066798F">
        <w:rPr>
          <w:rFonts w:ascii="Arial" w:hAnsi="Arial" w:cs="Arial"/>
          <w:b/>
          <w:sz w:val="20"/>
        </w:rPr>
        <w:t>Purpose</w:t>
      </w:r>
      <w:r w:rsidR="004C7AD2" w:rsidRPr="0066798F">
        <w:rPr>
          <w:rFonts w:ascii="Arial" w:hAnsi="Arial" w:cs="Arial"/>
          <w:b/>
          <w:sz w:val="20"/>
        </w:rPr>
        <w:t xml:space="preserve"> and operation of the instrument</w:t>
      </w:r>
    </w:p>
    <w:p w:rsidR="00D4785C" w:rsidRPr="0066798F" w:rsidRDefault="00D4785C" w:rsidP="00302DBB">
      <w:pPr>
        <w:pStyle w:val="BodyText"/>
        <w:spacing w:before="120" w:line="260" w:lineRule="atLeast"/>
        <w:rPr>
          <w:rFonts w:ascii="Arial" w:hAnsi="Arial" w:cs="Arial"/>
          <w:sz w:val="20"/>
        </w:rPr>
      </w:pPr>
      <w:r w:rsidRPr="004447A2">
        <w:rPr>
          <w:rFonts w:ascii="Arial" w:hAnsi="Arial" w:cs="Arial"/>
          <w:sz w:val="20"/>
        </w:rPr>
        <w:t xml:space="preserve">The </w:t>
      </w:r>
      <w:r w:rsidR="00480684" w:rsidRPr="004447A2">
        <w:rPr>
          <w:rFonts w:ascii="Arial" w:hAnsi="Arial" w:cs="Arial"/>
          <w:sz w:val="20"/>
        </w:rPr>
        <w:t>instrument</w:t>
      </w:r>
      <w:r w:rsidRPr="004447A2">
        <w:rPr>
          <w:rFonts w:ascii="Arial" w:hAnsi="Arial" w:cs="Arial"/>
          <w:sz w:val="20"/>
        </w:rPr>
        <w:t xml:space="preserve"> varies the </w:t>
      </w:r>
      <w:r w:rsidRPr="004447A2">
        <w:rPr>
          <w:rFonts w:ascii="Arial" w:hAnsi="Arial" w:cs="Arial"/>
          <w:i/>
          <w:sz w:val="20"/>
        </w:rPr>
        <w:t xml:space="preserve">Radiocommunications (Low Interference Potential Devices) Class Licence 2015 </w:t>
      </w:r>
      <w:r w:rsidRPr="004447A2">
        <w:rPr>
          <w:rFonts w:ascii="Arial" w:hAnsi="Arial" w:cs="Arial"/>
          <w:sz w:val="20"/>
        </w:rPr>
        <w:t>(</w:t>
      </w:r>
      <w:r w:rsidRPr="004447A2">
        <w:rPr>
          <w:rFonts w:ascii="Arial" w:hAnsi="Arial" w:cs="Arial"/>
          <w:b/>
          <w:sz w:val="20"/>
        </w:rPr>
        <w:t>the</w:t>
      </w:r>
      <w:r w:rsidRPr="004447A2">
        <w:rPr>
          <w:rFonts w:ascii="Arial" w:hAnsi="Arial" w:cs="Arial"/>
          <w:sz w:val="20"/>
        </w:rPr>
        <w:t xml:space="preserve"> </w:t>
      </w:r>
      <w:r w:rsidRPr="004447A2">
        <w:rPr>
          <w:rFonts w:ascii="Arial" w:hAnsi="Arial" w:cs="Arial"/>
          <w:b/>
          <w:sz w:val="20"/>
        </w:rPr>
        <w:t>LIPD</w:t>
      </w:r>
      <w:r w:rsidRPr="004447A2">
        <w:rPr>
          <w:rFonts w:ascii="Arial" w:hAnsi="Arial" w:cs="Arial"/>
          <w:sz w:val="20"/>
        </w:rPr>
        <w:t xml:space="preserve"> </w:t>
      </w:r>
      <w:r w:rsidRPr="004447A2">
        <w:rPr>
          <w:rFonts w:ascii="Arial" w:hAnsi="Arial" w:cs="Arial"/>
          <w:b/>
          <w:sz w:val="20"/>
        </w:rPr>
        <w:t>Class</w:t>
      </w:r>
      <w:r w:rsidRPr="004447A2">
        <w:rPr>
          <w:rFonts w:ascii="Arial" w:hAnsi="Arial" w:cs="Arial"/>
          <w:sz w:val="20"/>
        </w:rPr>
        <w:t xml:space="preserve"> </w:t>
      </w:r>
      <w:r w:rsidRPr="004447A2">
        <w:rPr>
          <w:rFonts w:ascii="Arial" w:hAnsi="Arial" w:cs="Arial"/>
          <w:b/>
          <w:sz w:val="20"/>
        </w:rPr>
        <w:t>Licence</w:t>
      </w:r>
      <w:r w:rsidRPr="004447A2">
        <w:rPr>
          <w:rFonts w:ascii="Arial" w:hAnsi="Arial" w:cs="Arial"/>
          <w:sz w:val="20"/>
        </w:rPr>
        <w:t xml:space="preserve">) to include </w:t>
      </w:r>
      <w:r w:rsidR="004270E0" w:rsidRPr="004447A2">
        <w:rPr>
          <w:rFonts w:ascii="Arial" w:hAnsi="Arial" w:cs="Arial"/>
          <w:sz w:val="20"/>
        </w:rPr>
        <w:t>new arrangement</w:t>
      </w:r>
      <w:r w:rsidR="00A21636" w:rsidRPr="004447A2">
        <w:rPr>
          <w:rFonts w:ascii="Arial" w:hAnsi="Arial" w:cs="Arial"/>
          <w:sz w:val="20"/>
        </w:rPr>
        <w:t>s</w:t>
      </w:r>
      <w:r w:rsidR="00827661" w:rsidRPr="004447A2">
        <w:rPr>
          <w:rFonts w:ascii="Arial" w:hAnsi="Arial" w:cs="Arial"/>
          <w:sz w:val="20"/>
        </w:rPr>
        <w:t xml:space="preserve"> for </w:t>
      </w:r>
      <w:r w:rsidR="004270E0" w:rsidRPr="004447A2">
        <w:rPr>
          <w:rFonts w:ascii="Arial" w:hAnsi="Arial" w:cs="Arial"/>
          <w:sz w:val="20"/>
        </w:rPr>
        <w:t>all transmitters operating in the 122</w:t>
      </w:r>
      <w:r w:rsidR="00043909" w:rsidRPr="004447A2">
        <w:rPr>
          <w:rFonts w:ascii="Arial" w:hAnsi="Arial" w:cs="Arial"/>
          <w:sz w:val="20"/>
        </w:rPr>
        <w:t>000-122</w:t>
      </w:r>
      <w:r w:rsidR="004270E0" w:rsidRPr="004447A2">
        <w:rPr>
          <w:rFonts w:ascii="Arial" w:hAnsi="Arial" w:cs="Arial"/>
          <w:sz w:val="20"/>
        </w:rPr>
        <w:t>25</w:t>
      </w:r>
      <w:r w:rsidR="00043909" w:rsidRPr="004447A2">
        <w:rPr>
          <w:rFonts w:ascii="Arial" w:hAnsi="Arial" w:cs="Arial"/>
          <w:sz w:val="20"/>
        </w:rPr>
        <w:t>0</w:t>
      </w:r>
      <w:r w:rsidR="004270E0" w:rsidRPr="004447A2">
        <w:rPr>
          <w:rFonts w:ascii="Arial" w:hAnsi="Arial" w:cs="Arial"/>
          <w:sz w:val="20"/>
        </w:rPr>
        <w:t xml:space="preserve"> </w:t>
      </w:r>
      <w:r w:rsidR="00043909" w:rsidRPr="004447A2">
        <w:rPr>
          <w:rFonts w:ascii="Arial" w:hAnsi="Arial" w:cs="Arial"/>
          <w:sz w:val="20"/>
        </w:rPr>
        <w:t>M</w:t>
      </w:r>
      <w:r w:rsidR="004270E0" w:rsidRPr="004447A2">
        <w:rPr>
          <w:rFonts w:ascii="Arial" w:hAnsi="Arial" w:cs="Arial"/>
          <w:sz w:val="20"/>
        </w:rPr>
        <w:t xml:space="preserve">Hz </w:t>
      </w:r>
      <w:r w:rsidR="00916FA5" w:rsidRPr="004447A2">
        <w:rPr>
          <w:rFonts w:ascii="Arial" w:hAnsi="Arial" w:cs="Arial"/>
          <w:sz w:val="20"/>
        </w:rPr>
        <w:t xml:space="preserve">band </w:t>
      </w:r>
      <w:r w:rsidR="004270E0" w:rsidRPr="004447A2">
        <w:rPr>
          <w:rFonts w:ascii="Arial" w:hAnsi="Arial" w:cs="Arial"/>
          <w:sz w:val="20"/>
        </w:rPr>
        <w:t xml:space="preserve">and new arrangements for medical telemetry and </w:t>
      </w:r>
      <w:proofErr w:type="spellStart"/>
      <w:r w:rsidR="004270E0" w:rsidRPr="004447A2">
        <w:rPr>
          <w:rFonts w:ascii="Arial" w:hAnsi="Arial" w:cs="Arial"/>
          <w:sz w:val="20"/>
        </w:rPr>
        <w:t>telecommand</w:t>
      </w:r>
      <w:proofErr w:type="spellEnd"/>
      <w:r w:rsidR="004270E0" w:rsidRPr="004447A2">
        <w:rPr>
          <w:rFonts w:ascii="Arial" w:hAnsi="Arial" w:cs="Arial"/>
          <w:sz w:val="20"/>
        </w:rPr>
        <w:t xml:space="preserve"> transmitters operating in</w:t>
      </w:r>
      <w:r w:rsidR="00043909" w:rsidRPr="004447A2">
        <w:rPr>
          <w:rFonts w:ascii="Arial" w:hAnsi="Arial" w:cs="Arial"/>
          <w:sz w:val="20"/>
        </w:rPr>
        <w:t xml:space="preserve"> the 430</w:t>
      </w:r>
      <w:r w:rsidR="00916FA5" w:rsidRPr="004447A2">
        <w:rPr>
          <w:rFonts w:ascii="Arial" w:hAnsi="Arial" w:cs="Arial"/>
          <w:sz w:val="20"/>
        </w:rPr>
        <w:noBreakHyphen/>
        <w:t>440 </w:t>
      </w:r>
      <w:r w:rsidR="00B41741" w:rsidRPr="004447A2">
        <w:rPr>
          <w:rFonts w:ascii="Arial" w:hAnsi="Arial" w:cs="Arial"/>
          <w:sz w:val="20"/>
        </w:rPr>
        <w:t>MHz and 2483.5-</w:t>
      </w:r>
      <w:r w:rsidR="004270E0" w:rsidRPr="004447A2">
        <w:rPr>
          <w:rFonts w:ascii="Arial" w:hAnsi="Arial" w:cs="Arial"/>
          <w:sz w:val="20"/>
        </w:rPr>
        <w:t xml:space="preserve">2500 MHz bands.  The </w:t>
      </w:r>
      <w:r w:rsidR="00263F69" w:rsidRPr="004447A2">
        <w:rPr>
          <w:rFonts w:ascii="Arial" w:hAnsi="Arial" w:cs="Arial"/>
          <w:sz w:val="20"/>
        </w:rPr>
        <w:t xml:space="preserve">instrument </w:t>
      </w:r>
      <w:r w:rsidR="00750031" w:rsidRPr="004447A2">
        <w:rPr>
          <w:rFonts w:ascii="Arial" w:hAnsi="Arial" w:cs="Arial"/>
          <w:sz w:val="20"/>
        </w:rPr>
        <w:t xml:space="preserve">also </w:t>
      </w:r>
      <w:r w:rsidR="00916FA5" w:rsidRPr="004447A2">
        <w:rPr>
          <w:rFonts w:ascii="Arial" w:hAnsi="Arial" w:cs="Arial"/>
          <w:sz w:val="20"/>
        </w:rPr>
        <w:t>r</w:t>
      </w:r>
      <w:r w:rsidR="008F1EFE" w:rsidRPr="004447A2">
        <w:rPr>
          <w:rFonts w:ascii="Arial" w:hAnsi="Arial" w:cs="Arial"/>
          <w:sz w:val="20"/>
        </w:rPr>
        <w:t>emoves</w:t>
      </w:r>
      <w:r w:rsidR="004270E0" w:rsidRPr="004447A2">
        <w:rPr>
          <w:rFonts w:ascii="Arial" w:hAnsi="Arial" w:cs="Arial"/>
          <w:sz w:val="20"/>
        </w:rPr>
        <w:t xml:space="preserve"> the indoor </w:t>
      </w:r>
      <w:r w:rsidR="00916FA5" w:rsidRPr="004447A2">
        <w:rPr>
          <w:rFonts w:ascii="Arial" w:hAnsi="Arial" w:cs="Arial"/>
          <w:sz w:val="20"/>
        </w:rPr>
        <w:t>restriction</w:t>
      </w:r>
      <w:r w:rsidR="004270E0" w:rsidRPr="004447A2">
        <w:rPr>
          <w:rFonts w:ascii="Arial" w:hAnsi="Arial" w:cs="Arial"/>
          <w:sz w:val="20"/>
        </w:rPr>
        <w:t xml:space="preserve"> for digital communication transmitters in the 57</w:t>
      </w:r>
      <w:r w:rsidR="00043909" w:rsidRPr="004447A2">
        <w:rPr>
          <w:rFonts w:ascii="Arial" w:hAnsi="Arial" w:cs="Arial"/>
          <w:sz w:val="20"/>
        </w:rPr>
        <w:t>000-</w:t>
      </w:r>
      <w:r w:rsidR="004270E0" w:rsidRPr="004447A2">
        <w:rPr>
          <w:rFonts w:ascii="Arial" w:hAnsi="Arial" w:cs="Arial"/>
          <w:sz w:val="20"/>
        </w:rPr>
        <w:t>66</w:t>
      </w:r>
      <w:r w:rsidR="00043909" w:rsidRPr="004447A2">
        <w:rPr>
          <w:rFonts w:ascii="Arial" w:hAnsi="Arial" w:cs="Arial"/>
          <w:sz w:val="20"/>
        </w:rPr>
        <w:t>000</w:t>
      </w:r>
      <w:r w:rsidR="004270E0" w:rsidRPr="004447A2">
        <w:rPr>
          <w:rFonts w:ascii="Arial" w:hAnsi="Arial" w:cs="Arial"/>
          <w:sz w:val="20"/>
        </w:rPr>
        <w:t xml:space="preserve"> </w:t>
      </w:r>
      <w:r w:rsidR="00043909" w:rsidRPr="004447A2">
        <w:rPr>
          <w:rFonts w:ascii="Arial" w:hAnsi="Arial" w:cs="Arial"/>
          <w:sz w:val="20"/>
        </w:rPr>
        <w:t>M</w:t>
      </w:r>
      <w:r w:rsidR="004270E0" w:rsidRPr="004447A2">
        <w:rPr>
          <w:rFonts w:ascii="Arial" w:hAnsi="Arial" w:cs="Arial"/>
          <w:sz w:val="20"/>
        </w:rPr>
        <w:t>Hz band</w:t>
      </w:r>
      <w:r w:rsidR="00750031" w:rsidRPr="004447A2">
        <w:rPr>
          <w:rFonts w:ascii="Arial" w:hAnsi="Arial" w:cs="Arial"/>
          <w:sz w:val="20"/>
        </w:rPr>
        <w:t xml:space="preserve"> and</w:t>
      </w:r>
      <w:r w:rsidR="00544EBF" w:rsidRPr="004447A2">
        <w:rPr>
          <w:rFonts w:ascii="Arial" w:hAnsi="Arial" w:cs="Arial"/>
          <w:sz w:val="20"/>
        </w:rPr>
        <w:t xml:space="preserve"> updates reference</w:t>
      </w:r>
      <w:r w:rsidR="00750031" w:rsidRPr="004447A2">
        <w:rPr>
          <w:rFonts w:ascii="Arial" w:hAnsi="Arial" w:cs="Arial"/>
          <w:sz w:val="20"/>
        </w:rPr>
        <w:t>s</w:t>
      </w:r>
      <w:r w:rsidR="00544EBF" w:rsidRPr="004447A2">
        <w:rPr>
          <w:rFonts w:ascii="Arial" w:hAnsi="Arial" w:cs="Arial"/>
          <w:sz w:val="20"/>
        </w:rPr>
        <w:t xml:space="preserve"> for medical implant communication tr</w:t>
      </w:r>
      <w:r w:rsidR="00B41741" w:rsidRPr="004447A2">
        <w:rPr>
          <w:rFonts w:ascii="Arial" w:hAnsi="Arial" w:cs="Arial"/>
          <w:sz w:val="20"/>
        </w:rPr>
        <w:t>ansmitters operating in the 402-</w:t>
      </w:r>
      <w:r w:rsidR="00916FA5" w:rsidRPr="004447A2">
        <w:rPr>
          <w:rFonts w:ascii="Arial" w:hAnsi="Arial" w:cs="Arial"/>
          <w:sz w:val="20"/>
        </w:rPr>
        <w:t>405 MHz band</w:t>
      </w:r>
      <w:r w:rsidR="00750031" w:rsidRPr="004447A2">
        <w:rPr>
          <w:rFonts w:ascii="Arial" w:hAnsi="Arial" w:cs="Arial"/>
          <w:sz w:val="20"/>
        </w:rPr>
        <w:t>.</w:t>
      </w:r>
      <w:r w:rsidR="00916FA5" w:rsidRPr="004447A2">
        <w:rPr>
          <w:rFonts w:ascii="Arial" w:hAnsi="Arial" w:cs="Arial"/>
          <w:sz w:val="20"/>
        </w:rPr>
        <w:t xml:space="preserve"> </w:t>
      </w:r>
      <w:r w:rsidR="003C4208" w:rsidRPr="004447A2">
        <w:rPr>
          <w:rFonts w:ascii="Arial" w:hAnsi="Arial" w:cs="Arial"/>
          <w:sz w:val="20"/>
        </w:rPr>
        <w:t xml:space="preserve">  </w:t>
      </w:r>
      <w:r w:rsidRPr="0066798F">
        <w:rPr>
          <w:rFonts w:ascii="Arial" w:hAnsi="Arial" w:cs="Arial"/>
          <w:sz w:val="20"/>
        </w:rPr>
        <w:t xml:space="preserve">It is </w:t>
      </w:r>
      <w:r w:rsidR="00A21636">
        <w:rPr>
          <w:rFonts w:ascii="Arial" w:hAnsi="Arial" w:cs="Arial"/>
          <w:sz w:val="20"/>
        </w:rPr>
        <w:t xml:space="preserve">a </w:t>
      </w:r>
      <w:r w:rsidRPr="0066798F">
        <w:rPr>
          <w:rFonts w:ascii="Arial" w:hAnsi="Arial" w:cs="Arial"/>
          <w:sz w:val="20"/>
        </w:rPr>
        <w:t>general requirement of the Act</w:t>
      </w:r>
      <w:r w:rsidRPr="0066798F">
        <w:rPr>
          <w:rFonts w:ascii="Arial" w:hAnsi="Arial" w:cs="Arial"/>
          <w:i/>
          <w:sz w:val="20"/>
        </w:rPr>
        <w:t xml:space="preserve"> </w:t>
      </w:r>
      <w:r w:rsidRPr="0066798F">
        <w:rPr>
          <w:rFonts w:ascii="Arial" w:hAnsi="Arial" w:cs="Arial"/>
          <w:sz w:val="20"/>
        </w:rPr>
        <w:t xml:space="preserve">that the operation of all radiocommunications devices within Australia be authorised by a radiocommunications licence. </w:t>
      </w:r>
    </w:p>
    <w:p w:rsidR="00D4785C" w:rsidRPr="0066798F" w:rsidRDefault="00D4785C" w:rsidP="00302DBB">
      <w:pPr>
        <w:pStyle w:val="BodyText"/>
        <w:spacing w:before="120" w:line="260" w:lineRule="atLeast"/>
        <w:rPr>
          <w:rFonts w:ascii="Arial" w:hAnsi="Arial" w:cs="Arial"/>
          <w:sz w:val="20"/>
        </w:rPr>
      </w:pPr>
      <w:r w:rsidRPr="0066798F">
        <w:rPr>
          <w:rFonts w:ascii="Arial" w:hAnsi="Arial" w:cs="Arial"/>
          <w:sz w:val="20"/>
        </w:rPr>
        <w:t xml:space="preserve">A class licence is one type of licence available to authorise the operation of radiocommunications devices.  It is an effective and efficient means of spectrum management for services where a limited set of common frequencies </w:t>
      </w:r>
      <w:r w:rsidR="00750031">
        <w:rPr>
          <w:rFonts w:ascii="Arial" w:hAnsi="Arial" w:cs="Arial"/>
          <w:sz w:val="20"/>
        </w:rPr>
        <w:t>are</w:t>
      </w:r>
      <w:r w:rsidRPr="0066798F">
        <w:rPr>
          <w:rFonts w:ascii="Arial" w:hAnsi="Arial" w:cs="Arial"/>
          <w:sz w:val="20"/>
        </w:rPr>
        <w:t xml:space="preserve"> employed, and equipment is operated under a common set of conditions.  A class licence is not issued to an individual user, and does not involve the payment of licence fees</w:t>
      </w:r>
      <w:r w:rsidR="00B61C08" w:rsidRPr="00B61C08">
        <w:rPr>
          <w:rFonts w:ascii="Arial" w:hAnsi="Arial" w:cs="Arial"/>
          <w:i/>
          <w:sz w:val="20"/>
        </w:rPr>
        <w:t>.</w:t>
      </w:r>
    </w:p>
    <w:p w:rsidR="003F3719" w:rsidRPr="0066798F" w:rsidRDefault="00D4785C" w:rsidP="00302DBB">
      <w:pPr>
        <w:spacing w:before="120" w:after="120" w:line="260" w:lineRule="atLeast"/>
        <w:rPr>
          <w:rFonts w:ascii="Arial" w:hAnsi="Arial" w:cs="Arial"/>
        </w:rPr>
      </w:pPr>
      <w:r w:rsidRPr="0066798F">
        <w:rPr>
          <w:rFonts w:ascii="Arial" w:hAnsi="Arial" w:cs="Arial"/>
        </w:rPr>
        <w:t>The LIPD Class Licence</w:t>
      </w:r>
      <w:r w:rsidRPr="0066798F">
        <w:rPr>
          <w:rStyle w:val="Emphasis"/>
          <w:rFonts w:ascii="Arial" w:hAnsi="Arial" w:cs="Arial"/>
        </w:rPr>
        <w:t xml:space="preserve"> </w:t>
      </w:r>
      <w:r w:rsidRPr="0066798F">
        <w:rPr>
          <w:rFonts w:ascii="Arial" w:hAnsi="Arial" w:cs="Arial"/>
        </w:rPr>
        <w:t xml:space="preserve">authorises the operation of a wide range of low interference radiocommunications transmitters in various segments of the radiofrequency spectrum.  The LIPD Class Licence sets out the conditions under which these transmitters may be operated.  These transmitters do not require individual frequency coordination because of their low interference potential characteristics.  Examples of transmitters </w:t>
      </w:r>
      <w:r w:rsidRPr="0066798F">
        <w:rPr>
          <w:rFonts w:ascii="Arial" w:hAnsi="Arial" w:cs="Arial"/>
        </w:rPr>
        <w:lastRenderedPageBreak/>
        <w:t>covered by the LI</w:t>
      </w:r>
      <w:r w:rsidR="00043909" w:rsidRPr="0066798F">
        <w:rPr>
          <w:rFonts w:ascii="Arial" w:hAnsi="Arial" w:cs="Arial"/>
        </w:rPr>
        <w:t xml:space="preserve">PD Class Licence include </w:t>
      </w:r>
      <w:proofErr w:type="spellStart"/>
      <w:r w:rsidRPr="0066798F">
        <w:rPr>
          <w:rFonts w:ascii="Arial" w:hAnsi="Arial" w:cs="Arial"/>
        </w:rPr>
        <w:t>WiFi</w:t>
      </w:r>
      <w:proofErr w:type="spellEnd"/>
      <w:r w:rsidRPr="0066798F">
        <w:rPr>
          <w:rFonts w:ascii="Arial" w:hAnsi="Arial" w:cs="Arial"/>
        </w:rPr>
        <w:t xml:space="preserve"> equipment</w:t>
      </w:r>
      <w:r w:rsidR="00043909" w:rsidRPr="0066798F">
        <w:rPr>
          <w:rFonts w:ascii="Arial" w:hAnsi="Arial" w:cs="Arial"/>
        </w:rPr>
        <w:t>,</w:t>
      </w:r>
      <w:r w:rsidRPr="0066798F">
        <w:rPr>
          <w:rFonts w:ascii="Arial" w:hAnsi="Arial" w:cs="Arial"/>
        </w:rPr>
        <w:t xml:space="preserve"> </w:t>
      </w:r>
      <w:r w:rsidR="00B61C08">
        <w:rPr>
          <w:rFonts w:ascii="Arial" w:hAnsi="Arial" w:cs="Arial"/>
        </w:rPr>
        <w:t>r</w:t>
      </w:r>
      <w:r w:rsidR="00A21636" w:rsidRPr="00A21636">
        <w:rPr>
          <w:rFonts w:ascii="Arial" w:hAnsi="Arial" w:cs="Arial"/>
        </w:rPr>
        <w:t>adio-frequency identification</w:t>
      </w:r>
      <w:r w:rsidR="00043909" w:rsidRPr="0066798F">
        <w:rPr>
          <w:rFonts w:ascii="Arial" w:hAnsi="Arial" w:cs="Arial"/>
        </w:rPr>
        <w:t xml:space="preserve"> transmitters </w:t>
      </w:r>
      <w:r w:rsidRPr="0066798F">
        <w:rPr>
          <w:rFonts w:ascii="Arial" w:hAnsi="Arial" w:cs="Arial"/>
        </w:rPr>
        <w:t xml:space="preserve">and personal alarms. </w:t>
      </w:r>
      <w:r w:rsidR="003F3719">
        <w:rPr>
          <w:rFonts w:ascii="Arial" w:hAnsi="Arial" w:cs="Arial"/>
        </w:rPr>
        <w:t xml:space="preserve">A provision-by-provision description of the instrument is set out in the notes at </w:t>
      </w:r>
      <w:r w:rsidR="003F3719" w:rsidRPr="003F3719">
        <w:rPr>
          <w:rFonts w:ascii="Arial" w:hAnsi="Arial" w:cs="Arial"/>
          <w:b/>
        </w:rPr>
        <w:t>Attachment A</w:t>
      </w:r>
      <w:r w:rsidR="003F3719">
        <w:rPr>
          <w:rFonts w:ascii="Arial" w:hAnsi="Arial" w:cs="Arial"/>
        </w:rPr>
        <w:t>.</w:t>
      </w:r>
    </w:p>
    <w:p w:rsidR="00D4785C" w:rsidRPr="0066798F" w:rsidRDefault="00D4785C" w:rsidP="00D75373">
      <w:pPr>
        <w:spacing w:before="120" w:line="260" w:lineRule="atLeast"/>
        <w:rPr>
          <w:rFonts w:ascii="Arial" w:hAnsi="Arial" w:cs="Arial"/>
        </w:rPr>
      </w:pPr>
    </w:p>
    <w:p w:rsidR="004C7AD2" w:rsidRPr="0066798F" w:rsidRDefault="004C7AD2" w:rsidP="004C7AD2">
      <w:pPr>
        <w:spacing w:before="120" w:after="120" w:line="260" w:lineRule="atLeast"/>
        <w:rPr>
          <w:rFonts w:ascii="Arial" w:hAnsi="Arial" w:cs="Arial"/>
          <w:i/>
        </w:rPr>
      </w:pPr>
      <w:r w:rsidRPr="0066798F">
        <w:rPr>
          <w:rFonts w:ascii="Arial" w:hAnsi="Arial" w:cs="Arial"/>
        </w:rPr>
        <w:t xml:space="preserve">The </w:t>
      </w:r>
      <w:r w:rsidR="00263F69" w:rsidRPr="0066798F">
        <w:rPr>
          <w:rFonts w:ascii="Arial" w:hAnsi="Arial" w:cs="Arial"/>
        </w:rPr>
        <w:t>instrument</w:t>
      </w:r>
      <w:r w:rsidRPr="0066798F">
        <w:rPr>
          <w:rFonts w:ascii="Arial" w:hAnsi="Arial" w:cs="Arial"/>
        </w:rPr>
        <w:t xml:space="preserve"> is a </w:t>
      </w:r>
      <w:r w:rsidR="00D75373">
        <w:rPr>
          <w:rFonts w:ascii="Arial" w:hAnsi="Arial" w:cs="Arial"/>
        </w:rPr>
        <w:t xml:space="preserve">disallowable </w:t>
      </w:r>
      <w:r w:rsidRPr="0066798F">
        <w:rPr>
          <w:rFonts w:ascii="Arial" w:hAnsi="Arial" w:cs="Arial"/>
        </w:rPr>
        <w:t xml:space="preserve">legislative instrument for the purposes of the </w:t>
      </w:r>
      <w:r w:rsidRPr="0066798F">
        <w:rPr>
          <w:rFonts w:ascii="Arial" w:hAnsi="Arial" w:cs="Arial"/>
          <w:i/>
        </w:rPr>
        <w:t>Legislation Act 2003</w:t>
      </w:r>
      <w:r w:rsidR="00D75373">
        <w:rPr>
          <w:rFonts w:ascii="Arial" w:hAnsi="Arial" w:cs="Arial"/>
        </w:rPr>
        <w:t xml:space="preserve"> (</w:t>
      </w:r>
      <w:r w:rsidR="00D75373" w:rsidRPr="00D75373">
        <w:rPr>
          <w:rFonts w:ascii="Arial" w:hAnsi="Arial" w:cs="Arial"/>
          <w:b/>
        </w:rPr>
        <w:t>the LA</w:t>
      </w:r>
      <w:r w:rsidR="00D75373">
        <w:rPr>
          <w:rFonts w:ascii="Arial" w:hAnsi="Arial" w:cs="Arial"/>
        </w:rPr>
        <w:t>)</w:t>
      </w:r>
      <w:r w:rsidRPr="0066798F">
        <w:rPr>
          <w:rFonts w:ascii="Arial" w:hAnsi="Arial" w:cs="Arial"/>
          <w:i/>
        </w:rPr>
        <w:t>.</w:t>
      </w:r>
    </w:p>
    <w:p w:rsidR="00D4785C" w:rsidRPr="0066798F" w:rsidRDefault="004C7AD2" w:rsidP="00302DBB">
      <w:pPr>
        <w:pStyle w:val="BodyText"/>
        <w:spacing w:before="120" w:line="260" w:lineRule="atLeast"/>
        <w:rPr>
          <w:rFonts w:ascii="Arial" w:hAnsi="Arial" w:cs="Arial"/>
          <w:b/>
          <w:sz w:val="20"/>
        </w:rPr>
      </w:pPr>
      <w:r w:rsidRPr="0066798F">
        <w:rPr>
          <w:rFonts w:ascii="Arial" w:hAnsi="Arial" w:cs="Arial"/>
          <w:b/>
          <w:sz w:val="20"/>
        </w:rPr>
        <w:t>Documents i</w:t>
      </w:r>
      <w:r w:rsidR="00D4785C" w:rsidRPr="0066798F">
        <w:rPr>
          <w:rFonts w:ascii="Arial" w:hAnsi="Arial" w:cs="Arial"/>
          <w:b/>
          <w:sz w:val="20"/>
        </w:rPr>
        <w:t>ncorporat</w:t>
      </w:r>
      <w:r w:rsidRPr="0066798F">
        <w:rPr>
          <w:rFonts w:ascii="Arial" w:hAnsi="Arial" w:cs="Arial"/>
          <w:b/>
          <w:sz w:val="20"/>
        </w:rPr>
        <w:t>ed</w:t>
      </w:r>
      <w:r w:rsidR="00D4785C" w:rsidRPr="0066798F">
        <w:rPr>
          <w:rFonts w:ascii="Arial" w:hAnsi="Arial" w:cs="Arial"/>
          <w:b/>
          <w:sz w:val="20"/>
        </w:rPr>
        <w:t xml:space="preserve"> by reference</w:t>
      </w:r>
    </w:p>
    <w:p w:rsidR="00D4785C" w:rsidRPr="0066798F" w:rsidRDefault="00D4785C" w:rsidP="00302DBB">
      <w:pPr>
        <w:pStyle w:val="BodyText"/>
        <w:spacing w:before="120" w:line="260" w:lineRule="atLeast"/>
        <w:rPr>
          <w:rFonts w:ascii="Arial" w:hAnsi="Arial" w:cs="Arial"/>
          <w:sz w:val="20"/>
        </w:rPr>
      </w:pPr>
      <w:r w:rsidRPr="0066798F">
        <w:rPr>
          <w:rFonts w:ascii="Arial" w:hAnsi="Arial" w:cs="Arial"/>
          <w:sz w:val="20"/>
        </w:rPr>
        <w:t xml:space="preserve">The </w:t>
      </w:r>
      <w:r w:rsidR="00C76278">
        <w:rPr>
          <w:rFonts w:ascii="Arial" w:hAnsi="Arial" w:cs="Arial"/>
          <w:sz w:val="20"/>
        </w:rPr>
        <w:t>instrument</w:t>
      </w:r>
      <w:r w:rsidR="00C76278" w:rsidRPr="0066798F">
        <w:rPr>
          <w:rFonts w:ascii="Arial" w:hAnsi="Arial" w:cs="Arial"/>
          <w:sz w:val="20"/>
        </w:rPr>
        <w:t xml:space="preserve"> </w:t>
      </w:r>
      <w:r w:rsidRPr="0066798F">
        <w:rPr>
          <w:rFonts w:ascii="Arial" w:hAnsi="Arial" w:cs="Arial"/>
          <w:sz w:val="20"/>
        </w:rPr>
        <w:t xml:space="preserve">inserts into the LIPD Class Licence references to documents and writing as </w:t>
      </w:r>
      <w:r w:rsidR="003C6381">
        <w:rPr>
          <w:rFonts w:ascii="Arial" w:hAnsi="Arial" w:cs="Arial"/>
          <w:sz w:val="20"/>
        </w:rPr>
        <w:t>in force</w:t>
      </w:r>
      <w:r w:rsidR="003C6381" w:rsidRPr="0066798F">
        <w:rPr>
          <w:rFonts w:ascii="Arial" w:hAnsi="Arial" w:cs="Arial"/>
          <w:sz w:val="20"/>
        </w:rPr>
        <w:t xml:space="preserve"> </w:t>
      </w:r>
      <w:r w:rsidR="003C6381">
        <w:rPr>
          <w:rFonts w:ascii="Arial" w:hAnsi="Arial" w:cs="Arial"/>
          <w:sz w:val="20"/>
        </w:rPr>
        <w:t>from time to time</w:t>
      </w:r>
      <w:r w:rsidRPr="0066798F">
        <w:rPr>
          <w:rFonts w:ascii="Arial" w:hAnsi="Arial" w:cs="Arial"/>
          <w:sz w:val="20"/>
        </w:rPr>
        <w:t xml:space="preserve"> as permitted by section 314A of the Act.  These documents are:</w:t>
      </w:r>
    </w:p>
    <w:p w:rsidR="00D4785C" w:rsidRPr="0066798F" w:rsidRDefault="00644BC8" w:rsidP="00302DBB">
      <w:pPr>
        <w:pStyle w:val="BodyText"/>
        <w:numPr>
          <w:ilvl w:val="0"/>
          <w:numId w:val="22"/>
        </w:numPr>
        <w:spacing w:before="120" w:line="260" w:lineRule="atLeast"/>
        <w:rPr>
          <w:rFonts w:ascii="Arial" w:hAnsi="Arial" w:cs="Arial"/>
          <w:sz w:val="20"/>
        </w:rPr>
      </w:pPr>
      <w:r w:rsidRPr="0066798F">
        <w:rPr>
          <w:rFonts w:ascii="Arial" w:hAnsi="Arial" w:cs="Arial"/>
          <w:sz w:val="20"/>
        </w:rPr>
        <w:t>ETSI Standard EN 303 203</w:t>
      </w:r>
      <w:r w:rsidR="00D4785C" w:rsidRPr="0066798F">
        <w:rPr>
          <w:rFonts w:ascii="Arial" w:hAnsi="Arial" w:cs="Arial"/>
          <w:sz w:val="20"/>
        </w:rPr>
        <w:t xml:space="preserve"> </w:t>
      </w:r>
      <w:r w:rsidRPr="0066798F">
        <w:rPr>
          <w:rFonts w:ascii="Arial" w:hAnsi="Arial" w:cs="Arial"/>
          <w:i/>
          <w:sz w:val="20"/>
        </w:rPr>
        <w:t>Electromagnetic compatibility and Radio spectrum Matters (ERM); Short Range Devices (SRD); Medical Body Area Network Systems (MBANSs) operating in the 2483.5 MHz to 2500 MHz range;</w:t>
      </w:r>
    </w:p>
    <w:p w:rsidR="00644BC8" w:rsidRPr="0066798F" w:rsidRDefault="00644BC8" w:rsidP="00302DBB">
      <w:pPr>
        <w:pStyle w:val="BodyText"/>
        <w:numPr>
          <w:ilvl w:val="0"/>
          <w:numId w:val="22"/>
        </w:numPr>
        <w:spacing w:before="120" w:line="260" w:lineRule="atLeast"/>
        <w:rPr>
          <w:rFonts w:ascii="Arial" w:hAnsi="Arial" w:cs="Arial"/>
          <w:sz w:val="20"/>
        </w:rPr>
      </w:pPr>
      <w:r w:rsidRPr="0066798F">
        <w:rPr>
          <w:rFonts w:ascii="Arial" w:hAnsi="Arial" w:cs="Arial"/>
          <w:sz w:val="20"/>
        </w:rPr>
        <w:t xml:space="preserve">ETSI Standard EN 301 559 </w:t>
      </w:r>
      <w:r w:rsidRPr="0066798F">
        <w:rPr>
          <w:rFonts w:ascii="Arial" w:hAnsi="Arial" w:cs="Arial"/>
          <w:i/>
          <w:sz w:val="20"/>
        </w:rPr>
        <w:t>Electromagnetic compatibility and Radio spectrum Matters (ERM); Short Range Devices (SRD); Low Power Active Medical Implants (LP-AMI) operating in the 2483.5 MHz to 2500 MHz range;</w:t>
      </w:r>
    </w:p>
    <w:p w:rsidR="004B44A0" w:rsidRPr="0066798F" w:rsidRDefault="002B2763" w:rsidP="004B44A0">
      <w:pPr>
        <w:pStyle w:val="BodyText"/>
        <w:numPr>
          <w:ilvl w:val="0"/>
          <w:numId w:val="22"/>
        </w:numPr>
        <w:spacing w:before="120" w:line="260" w:lineRule="atLeast"/>
        <w:rPr>
          <w:rFonts w:ascii="Arial" w:hAnsi="Arial" w:cs="Arial"/>
          <w:sz w:val="20"/>
        </w:rPr>
      </w:pPr>
      <w:r w:rsidRPr="0066798F">
        <w:rPr>
          <w:rFonts w:ascii="Arial" w:hAnsi="Arial" w:cs="Arial"/>
          <w:sz w:val="20"/>
        </w:rPr>
        <w:t>Code of Federal R</w:t>
      </w:r>
      <w:r w:rsidR="004B44A0" w:rsidRPr="0066798F">
        <w:rPr>
          <w:rFonts w:ascii="Arial" w:hAnsi="Arial" w:cs="Arial"/>
          <w:sz w:val="20"/>
        </w:rPr>
        <w:t>egulation Title 47 §95</w:t>
      </w:r>
      <w:r w:rsidR="00D62D18" w:rsidRPr="0066798F">
        <w:rPr>
          <w:rFonts w:ascii="Arial" w:hAnsi="Arial" w:cs="Arial"/>
          <w:sz w:val="20"/>
        </w:rPr>
        <w:t xml:space="preserve">, </w:t>
      </w:r>
      <w:r w:rsidR="00D62D18" w:rsidRPr="0066798F">
        <w:rPr>
          <w:rFonts w:ascii="Arial" w:hAnsi="Arial" w:cs="Arial"/>
          <w:i/>
          <w:sz w:val="20"/>
        </w:rPr>
        <w:t>Part 95,</w:t>
      </w:r>
      <w:r w:rsidR="004B44A0" w:rsidRPr="0066798F">
        <w:rPr>
          <w:rFonts w:ascii="Arial" w:hAnsi="Arial" w:cs="Arial"/>
          <w:sz w:val="20"/>
        </w:rPr>
        <w:t xml:space="preserve"> </w:t>
      </w:r>
      <w:r w:rsidR="00D62D18" w:rsidRPr="0066798F">
        <w:rPr>
          <w:rFonts w:ascii="Arial" w:hAnsi="Arial" w:cs="Arial"/>
          <w:i/>
          <w:sz w:val="20"/>
        </w:rPr>
        <w:t>Section 2573</w:t>
      </w:r>
      <w:r w:rsidR="004B44A0" w:rsidRPr="0066798F">
        <w:rPr>
          <w:rFonts w:ascii="Arial" w:hAnsi="Arial" w:cs="Arial"/>
          <w:i/>
          <w:sz w:val="20"/>
        </w:rPr>
        <w:t xml:space="preserve">, </w:t>
      </w:r>
      <w:proofErr w:type="spellStart"/>
      <w:r w:rsidR="00D62D18" w:rsidRPr="0066798F">
        <w:rPr>
          <w:rFonts w:ascii="Arial" w:hAnsi="Arial" w:cs="Arial"/>
          <w:i/>
          <w:sz w:val="20"/>
        </w:rPr>
        <w:t>MedRadio</w:t>
      </w:r>
      <w:proofErr w:type="spellEnd"/>
      <w:r w:rsidR="00D62D18" w:rsidRPr="0066798F">
        <w:rPr>
          <w:rFonts w:ascii="Arial" w:hAnsi="Arial" w:cs="Arial"/>
          <w:i/>
          <w:sz w:val="20"/>
        </w:rPr>
        <w:t xml:space="preserve"> </w:t>
      </w:r>
      <w:r w:rsidR="0009747A">
        <w:rPr>
          <w:rFonts w:ascii="Arial" w:hAnsi="Arial" w:cs="Arial"/>
          <w:i/>
          <w:sz w:val="20"/>
        </w:rPr>
        <w:t>authorized</w:t>
      </w:r>
      <w:r w:rsidR="00D62D18" w:rsidRPr="0066798F">
        <w:rPr>
          <w:rFonts w:ascii="Arial" w:hAnsi="Arial" w:cs="Arial"/>
          <w:i/>
          <w:sz w:val="20"/>
        </w:rPr>
        <w:t xml:space="preserve"> bandwidths</w:t>
      </w:r>
      <w:r w:rsidR="00E50B55">
        <w:rPr>
          <w:rFonts w:ascii="Arial" w:hAnsi="Arial" w:cs="Arial"/>
          <w:i/>
          <w:sz w:val="20"/>
        </w:rPr>
        <w:t>;</w:t>
      </w:r>
    </w:p>
    <w:p w:rsidR="00D62D18" w:rsidRPr="0066798F" w:rsidRDefault="002B2763" w:rsidP="00D62D18">
      <w:pPr>
        <w:pStyle w:val="BodyText"/>
        <w:numPr>
          <w:ilvl w:val="0"/>
          <w:numId w:val="22"/>
        </w:numPr>
        <w:spacing w:before="120" w:line="260" w:lineRule="atLeast"/>
        <w:rPr>
          <w:rFonts w:ascii="Arial" w:hAnsi="Arial" w:cs="Arial"/>
          <w:sz w:val="20"/>
        </w:rPr>
      </w:pPr>
      <w:r w:rsidRPr="0066798F">
        <w:rPr>
          <w:rFonts w:ascii="Arial" w:hAnsi="Arial" w:cs="Arial"/>
          <w:sz w:val="20"/>
        </w:rPr>
        <w:t>Code of Federal R</w:t>
      </w:r>
      <w:r w:rsidR="00D62D18" w:rsidRPr="0066798F">
        <w:rPr>
          <w:rFonts w:ascii="Arial" w:hAnsi="Arial" w:cs="Arial"/>
          <w:sz w:val="20"/>
        </w:rPr>
        <w:t>egulation</w:t>
      </w:r>
      <w:r w:rsidR="00B61C08">
        <w:rPr>
          <w:rFonts w:ascii="Arial" w:hAnsi="Arial" w:cs="Arial"/>
          <w:sz w:val="20"/>
        </w:rPr>
        <w:t xml:space="preserve"> </w:t>
      </w:r>
      <w:r w:rsidR="00D62D18" w:rsidRPr="0066798F">
        <w:rPr>
          <w:rFonts w:ascii="Arial" w:hAnsi="Arial" w:cs="Arial"/>
          <w:sz w:val="20"/>
        </w:rPr>
        <w:t xml:space="preserve">Title 47 §95, </w:t>
      </w:r>
      <w:r w:rsidR="00D62D18" w:rsidRPr="0066798F">
        <w:rPr>
          <w:rFonts w:ascii="Arial" w:hAnsi="Arial" w:cs="Arial"/>
          <w:i/>
          <w:sz w:val="20"/>
        </w:rPr>
        <w:t>Part 95</w:t>
      </w:r>
      <w:r w:rsidR="00D62D18" w:rsidRPr="0066798F">
        <w:rPr>
          <w:rFonts w:ascii="Arial" w:hAnsi="Arial" w:cs="Arial"/>
          <w:sz w:val="20"/>
        </w:rPr>
        <w:t xml:space="preserve">, </w:t>
      </w:r>
      <w:r w:rsidR="00D62D18" w:rsidRPr="0066798F">
        <w:rPr>
          <w:rFonts w:ascii="Arial" w:hAnsi="Arial" w:cs="Arial"/>
          <w:i/>
          <w:sz w:val="20"/>
        </w:rPr>
        <w:t xml:space="preserve">Section 2579, </w:t>
      </w:r>
      <w:proofErr w:type="spellStart"/>
      <w:r w:rsidR="00D62D18" w:rsidRPr="0066798F">
        <w:rPr>
          <w:rFonts w:ascii="Arial" w:hAnsi="Arial" w:cs="Arial"/>
          <w:i/>
          <w:sz w:val="20"/>
        </w:rPr>
        <w:t>MedRadio</w:t>
      </w:r>
      <w:proofErr w:type="spellEnd"/>
      <w:r w:rsidR="00D62D18" w:rsidRPr="0066798F">
        <w:rPr>
          <w:rFonts w:ascii="Arial" w:hAnsi="Arial" w:cs="Arial"/>
          <w:i/>
          <w:sz w:val="20"/>
        </w:rPr>
        <w:t xml:space="preserve"> unwanted emission limits</w:t>
      </w:r>
      <w:r w:rsidR="00E50B55">
        <w:rPr>
          <w:rFonts w:ascii="Arial" w:hAnsi="Arial" w:cs="Arial"/>
          <w:i/>
          <w:sz w:val="20"/>
        </w:rPr>
        <w:t>;</w:t>
      </w:r>
    </w:p>
    <w:p w:rsidR="00644BC8" w:rsidRPr="0066798F" w:rsidRDefault="002B2763" w:rsidP="00302DBB">
      <w:pPr>
        <w:pStyle w:val="BodyText"/>
        <w:numPr>
          <w:ilvl w:val="0"/>
          <w:numId w:val="22"/>
        </w:numPr>
        <w:spacing w:before="120" w:line="260" w:lineRule="atLeast"/>
        <w:rPr>
          <w:rFonts w:ascii="Arial" w:hAnsi="Arial" w:cs="Arial"/>
          <w:sz w:val="20"/>
        </w:rPr>
      </w:pPr>
      <w:r w:rsidRPr="0066798F">
        <w:rPr>
          <w:rFonts w:ascii="Arial" w:hAnsi="Arial" w:cs="Arial"/>
          <w:sz w:val="20"/>
        </w:rPr>
        <w:t>Code of Federal R</w:t>
      </w:r>
      <w:r w:rsidR="00644BC8" w:rsidRPr="0066798F">
        <w:rPr>
          <w:rFonts w:ascii="Arial" w:hAnsi="Arial" w:cs="Arial"/>
          <w:sz w:val="20"/>
        </w:rPr>
        <w:t>egulation</w:t>
      </w:r>
      <w:r w:rsidR="00B61C08">
        <w:rPr>
          <w:rFonts w:ascii="Arial" w:hAnsi="Arial" w:cs="Arial"/>
          <w:sz w:val="20"/>
        </w:rPr>
        <w:t xml:space="preserve"> </w:t>
      </w:r>
      <w:r w:rsidR="00644BC8" w:rsidRPr="0066798F">
        <w:rPr>
          <w:rFonts w:ascii="Arial" w:hAnsi="Arial" w:cs="Arial"/>
          <w:sz w:val="20"/>
        </w:rPr>
        <w:t>Title 47 §15.255</w:t>
      </w:r>
      <w:r w:rsidR="00D62D18" w:rsidRPr="0066798F">
        <w:rPr>
          <w:rFonts w:ascii="Arial" w:hAnsi="Arial" w:cs="Arial"/>
          <w:sz w:val="20"/>
        </w:rPr>
        <w:t>,</w:t>
      </w:r>
      <w:r w:rsidR="00644BC8" w:rsidRPr="0066798F">
        <w:rPr>
          <w:rFonts w:ascii="Arial" w:hAnsi="Arial" w:cs="Arial"/>
          <w:sz w:val="20"/>
        </w:rPr>
        <w:t xml:space="preserve"> </w:t>
      </w:r>
      <w:r w:rsidR="00644BC8" w:rsidRPr="0066798F">
        <w:rPr>
          <w:rFonts w:ascii="Arial" w:hAnsi="Arial" w:cs="Arial"/>
          <w:i/>
          <w:sz w:val="20"/>
        </w:rPr>
        <w:t>Part 15, Section 255 Operation within the band 57-71 GHz</w:t>
      </w:r>
      <w:r w:rsidR="00E50B55">
        <w:rPr>
          <w:rFonts w:ascii="Arial" w:hAnsi="Arial" w:cs="Arial"/>
          <w:i/>
          <w:sz w:val="20"/>
        </w:rPr>
        <w:t>.</w:t>
      </w:r>
    </w:p>
    <w:p w:rsidR="00D4785C" w:rsidRPr="0066798F" w:rsidRDefault="00B61C08" w:rsidP="00302DBB">
      <w:pPr>
        <w:pStyle w:val="BodyText"/>
        <w:spacing w:before="120" w:line="260" w:lineRule="atLeast"/>
        <w:rPr>
          <w:rFonts w:ascii="Arial" w:hAnsi="Arial" w:cs="Arial"/>
          <w:sz w:val="20"/>
        </w:rPr>
      </w:pPr>
      <w:r>
        <w:rPr>
          <w:rFonts w:ascii="Arial" w:hAnsi="Arial" w:cs="Arial"/>
          <w:sz w:val="20"/>
        </w:rPr>
        <w:t>At the date of making the instrument, t</w:t>
      </w:r>
      <w:r w:rsidR="00D4785C" w:rsidRPr="0066798F">
        <w:rPr>
          <w:rFonts w:ascii="Arial" w:hAnsi="Arial" w:cs="Arial"/>
          <w:sz w:val="20"/>
        </w:rPr>
        <w:t>he ETSI Standard</w:t>
      </w:r>
      <w:r>
        <w:rPr>
          <w:rFonts w:ascii="Arial" w:hAnsi="Arial" w:cs="Arial"/>
          <w:sz w:val="20"/>
        </w:rPr>
        <w:t>s</w:t>
      </w:r>
      <w:r w:rsidR="00D4785C" w:rsidRPr="0066798F">
        <w:rPr>
          <w:rFonts w:ascii="Arial" w:hAnsi="Arial" w:cs="Arial"/>
          <w:sz w:val="20"/>
        </w:rPr>
        <w:t xml:space="preserve"> </w:t>
      </w:r>
      <w:r>
        <w:rPr>
          <w:rFonts w:ascii="Arial" w:hAnsi="Arial" w:cs="Arial"/>
          <w:sz w:val="20"/>
        </w:rPr>
        <w:t>are</w:t>
      </w:r>
      <w:r w:rsidR="00D4785C" w:rsidRPr="0066798F">
        <w:rPr>
          <w:rFonts w:ascii="Arial" w:hAnsi="Arial" w:cs="Arial"/>
          <w:sz w:val="20"/>
        </w:rPr>
        <w:t xml:space="preserve"> available</w:t>
      </w:r>
      <w:r>
        <w:rPr>
          <w:rFonts w:ascii="Arial" w:hAnsi="Arial" w:cs="Arial"/>
          <w:sz w:val="20"/>
        </w:rPr>
        <w:t xml:space="preserve"> free of charge</w:t>
      </w:r>
      <w:r w:rsidR="00D4785C" w:rsidRPr="0066798F">
        <w:rPr>
          <w:rFonts w:ascii="Arial" w:hAnsi="Arial" w:cs="Arial"/>
          <w:sz w:val="20"/>
        </w:rPr>
        <w:t xml:space="preserve"> from the ETSI website: </w:t>
      </w:r>
      <w:hyperlink r:id="rId12" w:history="1">
        <w:r w:rsidR="00D4785C" w:rsidRPr="0066798F">
          <w:rPr>
            <w:rStyle w:val="Hyperlink"/>
            <w:rFonts w:ascii="Arial" w:hAnsi="Arial" w:cs="Arial"/>
            <w:sz w:val="20"/>
          </w:rPr>
          <w:t>www.etsi.org</w:t>
        </w:r>
      </w:hyperlink>
      <w:r w:rsidR="00D4785C" w:rsidRPr="0066798F">
        <w:rPr>
          <w:rFonts w:ascii="Arial" w:hAnsi="Arial" w:cs="Arial"/>
          <w:sz w:val="20"/>
        </w:rPr>
        <w:t>.</w:t>
      </w:r>
      <w:r w:rsidR="00644BC8" w:rsidRPr="0066798F">
        <w:rPr>
          <w:rFonts w:ascii="Arial" w:hAnsi="Arial" w:cs="Arial"/>
          <w:sz w:val="20"/>
        </w:rPr>
        <w:t xml:space="preserve">  The Code of Federal Regulation is available</w:t>
      </w:r>
      <w:r>
        <w:rPr>
          <w:rFonts w:ascii="Arial" w:hAnsi="Arial" w:cs="Arial"/>
          <w:sz w:val="20"/>
        </w:rPr>
        <w:t xml:space="preserve"> free of charge</w:t>
      </w:r>
      <w:r w:rsidR="00644BC8" w:rsidRPr="0066798F">
        <w:rPr>
          <w:rFonts w:ascii="Arial" w:hAnsi="Arial" w:cs="Arial"/>
          <w:sz w:val="20"/>
        </w:rPr>
        <w:t xml:space="preserve"> from e-CFR website: </w:t>
      </w:r>
      <w:hyperlink r:id="rId13" w:history="1">
        <w:r w:rsidR="00644BC8" w:rsidRPr="0066798F">
          <w:rPr>
            <w:rStyle w:val="Hyperlink"/>
            <w:rFonts w:ascii="Arial" w:hAnsi="Arial" w:cs="Arial"/>
            <w:sz w:val="20"/>
          </w:rPr>
          <w:t>www.ecfr.gov</w:t>
        </w:r>
      </w:hyperlink>
      <w:r w:rsidR="00DA10A4" w:rsidRPr="0066798F">
        <w:rPr>
          <w:rStyle w:val="Hyperlink"/>
          <w:rFonts w:ascii="Arial" w:hAnsi="Arial" w:cs="Arial"/>
          <w:sz w:val="20"/>
        </w:rPr>
        <w:t>.</w:t>
      </w:r>
    </w:p>
    <w:p w:rsidR="00D4785C" w:rsidRPr="0066798F" w:rsidRDefault="00D4785C" w:rsidP="00302DBB">
      <w:pPr>
        <w:pStyle w:val="BodyText"/>
        <w:spacing w:before="120" w:line="260" w:lineRule="atLeast"/>
        <w:rPr>
          <w:rFonts w:ascii="Arial" w:hAnsi="Arial" w:cs="Arial"/>
          <w:b/>
          <w:sz w:val="20"/>
        </w:rPr>
      </w:pPr>
      <w:r w:rsidRPr="0066798F">
        <w:rPr>
          <w:rFonts w:ascii="Arial" w:hAnsi="Arial" w:cs="Arial"/>
          <w:b/>
          <w:sz w:val="20"/>
        </w:rPr>
        <w:t>Consultation</w:t>
      </w:r>
    </w:p>
    <w:p w:rsidR="002559A7" w:rsidRDefault="002559A7" w:rsidP="00302DBB">
      <w:pPr>
        <w:spacing w:before="120" w:after="120" w:line="260" w:lineRule="atLeast"/>
        <w:rPr>
          <w:rFonts w:ascii="Arial" w:hAnsi="Arial" w:cs="Arial"/>
          <w:color w:val="000000"/>
        </w:rPr>
      </w:pPr>
      <w:r>
        <w:rPr>
          <w:rFonts w:ascii="Arial" w:hAnsi="Arial" w:cs="Arial"/>
          <w:color w:val="000000"/>
        </w:rPr>
        <w:t xml:space="preserve">Before the instrument was made, the ACMA was satisfied that consultation was undertaken to the extent appropriate and reasonably practicable, in accordance with section 17 of the </w:t>
      </w:r>
      <w:r w:rsidR="00D4785C" w:rsidRPr="0066798F">
        <w:rPr>
          <w:rFonts w:ascii="Arial" w:hAnsi="Arial" w:cs="Arial"/>
          <w:i/>
          <w:color w:val="000000"/>
        </w:rPr>
        <w:t>Legislation Act 2003</w:t>
      </w:r>
      <w:r w:rsidR="00D4785C" w:rsidRPr="0066798F">
        <w:rPr>
          <w:rFonts w:ascii="Arial" w:hAnsi="Arial" w:cs="Arial"/>
          <w:color w:val="000000"/>
        </w:rPr>
        <w:t>.</w:t>
      </w:r>
    </w:p>
    <w:p w:rsidR="00D4785C" w:rsidRPr="0066798F" w:rsidRDefault="00D4785C" w:rsidP="00302DBB">
      <w:pPr>
        <w:spacing w:before="120" w:after="120" w:line="260" w:lineRule="atLeast"/>
        <w:rPr>
          <w:rFonts w:ascii="Arial" w:hAnsi="Arial" w:cs="Arial"/>
          <w:color w:val="000000"/>
        </w:rPr>
      </w:pPr>
      <w:r w:rsidRPr="0066798F">
        <w:rPr>
          <w:rFonts w:ascii="Arial" w:hAnsi="Arial" w:cs="Arial"/>
          <w:color w:val="000000"/>
        </w:rPr>
        <w:t>Section 136 of the Act requires that a notice setting out particular details of the variation be published on the ACMA’s website</w:t>
      </w:r>
      <w:r w:rsidR="00E50B55">
        <w:rPr>
          <w:rFonts w:ascii="Arial" w:hAnsi="Arial" w:cs="Arial"/>
          <w:color w:val="000000"/>
        </w:rPr>
        <w:t>,</w:t>
      </w:r>
      <w:r w:rsidRPr="0066798F">
        <w:rPr>
          <w:rFonts w:ascii="Arial" w:hAnsi="Arial" w:cs="Arial"/>
          <w:color w:val="000000"/>
        </w:rPr>
        <w:t xml:space="preserve"> and in one</w:t>
      </w:r>
      <w:r w:rsidR="00E50B55">
        <w:rPr>
          <w:rFonts w:ascii="Arial" w:hAnsi="Arial" w:cs="Arial"/>
          <w:color w:val="000000"/>
        </w:rPr>
        <w:t>,</w:t>
      </w:r>
      <w:r w:rsidRPr="0066798F">
        <w:rPr>
          <w:rFonts w:ascii="Arial" w:hAnsi="Arial" w:cs="Arial"/>
          <w:color w:val="000000"/>
        </w:rPr>
        <w:t xml:space="preserve"> or more</w:t>
      </w:r>
      <w:r w:rsidR="00E50B55">
        <w:rPr>
          <w:rFonts w:ascii="Arial" w:hAnsi="Arial" w:cs="Arial"/>
          <w:color w:val="000000"/>
        </w:rPr>
        <w:t>,</w:t>
      </w:r>
      <w:r w:rsidRPr="0066798F">
        <w:rPr>
          <w:rFonts w:ascii="Arial" w:hAnsi="Arial" w:cs="Arial"/>
          <w:color w:val="000000"/>
        </w:rPr>
        <w:t xml:space="preserve"> other forms that are readily accessible by the public. The notice must allow for a</w:t>
      </w:r>
      <w:r w:rsidRPr="0066798F">
        <w:rPr>
          <w:rFonts w:ascii="Arial" w:hAnsi="Arial" w:cs="Arial"/>
          <w:i/>
          <w:color w:val="000000"/>
        </w:rPr>
        <w:t xml:space="preserve"> </w:t>
      </w:r>
      <w:r w:rsidRPr="0066798F">
        <w:rPr>
          <w:rFonts w:ascii="Arial" w:hAnsi="Arial" w:cs="Arial"/>
          <w:color w:val="000000"/>
        </w:rPr>
        <w:t xml:space="preserve">period of at least one month </w:t>
      </w:r>
      <w:r w:rsidR="00C17DB3" w:rsidRPr="0066798F">
        <w:rPr>
          <w:rFonts w:ascii="Arial" w:hAnsi="Arial" w:cs="Arial"/>
          <w:color w:val="000000"/>
        </w:rPr>
        <w:t xml:space="preserve">to </w:t>
      </w:r>
      <w:r w:rsidRPr="0066798F">
        <w:rPr>
          <w:rFonts w:ascii="Arial" w:hAnsi="Arial" w:cs="Arial"/>
          <w:color w:val="000000"/>
        </w:rPr>
        <w:t xml:space="preserve">be provided for public comment. </w:t>
      </w:r>
      <w:r w:rsidR="002559A7">
        <w:rPr>
          <w:rFonts w:ascii="Arial" w:hAnsi="Arial" w:cs="Arial"/>
          <w:color w:val="000000"/>
        </w:rPr>
        <w:t xml:space="preserve"> </w:t>
      </w:r>
      <w:r w:rsidR="002559A7" w:rsidRPr="009B72C5">
        <w:rPr>
          <w:rFonts w:ascii="Arial" w:hAnsi="Arial" w:cs="Arial"/>
          <w:color w:val="000000"/>
        </w:rPr>
        <w:t>Section 136 also requires consultation with spectrum licensees if the</w:t>
      </w:r>
      <w:r w:rsidR="00E74424" w:rsidRPr="009B72C5">
        <w:rPr>
          <w:rFonts w:ascii="Arial" w:hAnsi="Arial" w:cs="Arial"/>
          <w:color w:val="000000"/>
        </w:rPr>
        <w:t xml:space="preserve">ir licences would be affected by the instrument. </w:t>
      </w:r>
      <w:r w:rsidR="00B427EA" w:rsidRPr="009B72C5">
        <w:rPr>
          <w:rFonts w:ascii="Arial" w:hAnsi="Arial" w:cs="Arial"/>
          <w:color w:val="000000"/>
        </w:rPr>
        <w:t xml:space="preserve"> No spectrum licences </w:t>
      </w:r>
      <w:r w:rsidR="009B72C5">
        <w:rPr>
          <w:rFonts w:ascii="Arial" w:hAnsi="Arial" w:cs="Arial"/>
          <w:color w:val="000000"/>
        </w:rPr>
        <w:t>are</w:t>
      </w:r>
      <w:r w:rsidR="00B427EA" w:rsidRPr="009B72C5">
        <w:rPr>
          <w:rFonts w:ascii="Arial" w:hAnsi="Arial" w:cs="Arial"/>
          <w:color w:val="000000"/>
        </w:rPr>
        <w:t xml:space="preserve"> affected</w:t>
      </w:r>
      <w:r w:rsidR="009B72C5">
        <w:rPr>
          <w:rFonts w:ascii="Arial" w:hAnsi="Arial" w:cs="Arial"/>
          <w:color w:val="000000"/>
        </w:rPr>
        <w:t xml:space="preserve"> by the variation.</w:t>
      </w:r>
    </w:p>
    <w:p w:rsidR="00D4785C" w:rsidRPr="0066798F" w:rsidRDefault="00D4785C" w:rsidP="00302DBB">
      <w:pPr>
        <w:spacing w:before="120" w:after="120" w:line="260" w:lineRule="atLeast"/>
        <w:rPr>
          <w:rFonts w:ascii="Arial" w:hAnsi="Arial" w:cs="Arial"/>
          <w:color w:val="000000"/>
        </w:rPr>
      </w:pPr>
      <w:r w:rsidRPr="0066798F">
        <w:rPr>
          <w:rFonts w:ascii="Arial" w:hAnsi="Arial" w:cs="Arial"/>
          <w:color w:val="000000"/>
        </w:rPr>
        <w:t xml:space="preserve">On 22 </w:t>
      </w:r>
      <w:r w:rsidR="000E2B69" w:rsidRPr="0066798F">
        <w:rPr>
          <w:rFonts w:ascii="Arial" w:hAnsi="Arial" w:cs="Arial"/>
          <w:color w:val="000000"/>
        </w:rPr>
        <w:t>November</w:t>
      </w:r>
      <w:r w:rsidRPr="0066798F">
        <w:rPr>
          <w:rFonts w:ascii="Arial" w:hAnsi="Arial" w:cs="Arial"/>
          <w:color w:val="000000"/>
        </w:rPr>
        <w:t xml:space="preserve"> 201</w:t>
      </w:r>
      <w:r w:rsidR="000E2B69" w:rsidRPr="0066798F">
        <w:rPr>
          <w:rFonts w:ascii="Arial" w:hAnsi="Arial" w:cs="Arial"/>
          <w:color w:val="000000"/>
        </w:rPr>
        <w:t>7</w:t>
      </w:r>
      <w:r w:rsidRPr="0066798F">
        <w:rPr>
          <w:rFonts w:ascii="Arial" w:hAnsi="Arial" w:cs="Arial"/>
          <w:color w:val="000000"/>
        </w:rPr>
        <w:t xml:space="preserve">, the ACMA published a notice on its website and in the </w:t>
      </w:r>
      <w:r w:rsidR="003F3719" w:rsidRPr="003F3719">
        <w:rPr>
          <w:rFonts w:ascii="Arial" w:hAnsi="Arial" w:cs="Arial"/>
          <w:i/>
          <w:color w:val="000000"/>
        </w:rPr>
        <w:t xml:space="preserve">Government </w:t>
      </w:r>
      <w:r w:rsidRPr="0066798F">
        <w:rPr>
          <w:rFonts w:ascii="Arial" w:hAnsi="Arial" w:cs="Arial"/>
          <w:i/>
          <w:color w:val="000000"/>
        </w:rPr>
        <w:t>Gazette</w:t>
      </w:r>
      <w:r w:rsidRPr="0066798F">
        <w:rPr>
          <w:rFonts w:ascii="Arial" w:hAnsi="Arial" w:cs="Arial"/>
          <w:color w:val="000000"/>
        </w:rPr>
        <w:t>,</w:t>
      </w:r>
      <w:r w:rsidRPr="0066798F">
        <w:rPr>
          <w:rFonts w:ascii="Arial" w:hAnsi="Arial" w:cs="Arial"/>
          <w:i/>
          <w:color w:val="000000"/>
        </w:rPr>
        <w:t xml:space="preserve"> </w:t>
      </w:r>
      <w:r w:rsidRPr="0066798F">
        <w:rPr>
          <w:rFonts w:ascii="Arial" w:hAnsi="Arial" w:cs="Arial"/>
          <w:color w:val="000000"/>
        </w:rPr>
        <w:t xml:space="preserve">inviting public comment on the draft </w:t>
      </w:r>
      <w:r w:rsidR="00D75373">
        <w:rPr>
          <w:rFonts w:ascii="Arial" w:hAnsi="Arial" w:cs="Arial"/>
          <w:color w:val="000000"/>
        </w:rPr>
        <w:t xml:space="preserve">variation </w:t>
      </w:r>
      <w:r w:rsidR="003F3719">
        <w:rPr>
          <w:rFonts w:ascii="Arial" w:hAnsi="Arial" w:cs="Arial"/>
          <w:color w:val="000000"/>
        </w:rPr>
        <w:t>i</w:t>
      </w:r>
      <w:r w:rsidR="00263F69" w:rsidRPr="0066798F">
        <w:rPr>
          <w:rFonts w:ascii="Arial" w:hAnsi="Arial" w:cs="Arial"/>
          <w:color w:val="000000"/>
        </w:rPr>
        <w:t xml:space="preserve">nstrument </w:t>
      </w:r>
      <w:r w:rsidRPr="0066798F">
        <w:rPr>
          <w:rFonts w:ascii="Arial" w:hAnsi="Arial" w:cs="Arial"/>
          <w:color w:val="000000"/>
        </w:rPr>
        <w:t xml:space="preserve">until </w:t>
      </w:r>
      <w:r w:rsidR="009F71D6" w:rsidRPr="0066798F">
        <w:rPr>
          <w:rFonts w:ascii="Arial" w:hAnsi="Arial" w:cs="Arial"/>
          <w:color w:val="000000"/>
        </w:rPr>
        <w:t>19</w:t>
      </w:r>
      <w:r w:rsidRPr="0066798F">
        <w:rPr>
          <w:rFonts w:ascii="Arial" w:hAnsi="Arial" w:cs="Arial"/>
          <w:color w:val="000000"/>
        </w:rPr>
        <w:t> </w:t>
      </w:r>
      <w:r w:rsidR="009F71D6" w:rsidRPr="0066798F">
        <w:rPr>
          <w:rFonts w:ascii="Arial" w:hAnsi="Arial" w:cs="Arial"/>
          <w:color w:val="000000"/>
        </w:rPr>
        <w:t>January</w:t>
      </w:r>
      <w:r w:rsidRPr="0066798F">
        <w:rPr>
          <w:rFonts w:ascii="Arial" w:hAnsi="Arial" w:cs="Arial"/>
          <w:color w:val="000000"/>
        </w:rPr>
        <w:t xml:space="preserve"> 201</w:t>
      </w:r>
      <w:r w:rsidR="009F71D6" w:rsidRPr="0066798F">
        <w:rPr>
          <w:rFonts w:ascii="Arial" w:hAnsi="Arial" w:cs="Arial"/>
          <w:color w:val="000000"/>
        </w:rPr>
        <w:t>8</w:t>
      </w:r>
      <w:r w:rsidRPr="0066798F">
        <w:rPr>
          <w:rFonts w:ascii="Arial" w:hAnsi="Arial" w:cs="Arial"/>
          <w:color w:val="000000"/>
        </w:rPr>
        <w:t xml:space="preserve">.  </w:t>
      </w:r>
    </w:p>
    <w:p w:rsidR="000E4CB3" w:rsidRPr="0066798F" w:rsidRDefault="009F71D6" w:rsidP="00EC646E">
      <w:pPr>
        <w:spacing w:before="120" w:after="120" w:line="260" w:lineRule="atLeast"/>
        <w:rPr>
          <w:rFonts w:ascii="Arial" w:hAnsi="Arial" w:cs="Arial"/>
        </w:rPr>
      </w:pPr>
      <w:r w:rsidRPr="0066798F">
        <w:rPr>
          <w:rFonts w:ascii="Arial" w:hAnsi="Arial" w:cs="Arial"/>
          <w:color w:val="000000"/>
        </w:rPr>
        <w:t>Thirteen</w:t>
      </w:r>
      <w:r w:rsidR="00D4785C" w:rsidRPr="0066798F">
        <w:rPr>
          <w:rFonts w:ascii="Arial" w:hAnsi="Arial" w:cs="Arial"/>
          <w:color w:val="000000"/>
        </w:rPr>
        <w:t xml:space="preserve"> submissions were received in response to the invitation for public comment.</w:t>
      </w:r>
      <w:r w:rsidR="00236DB0" w:rsidRPr="0066798F">
        <w:rPr>
          <w:rFonts w:ascii="Arial" w:hAnsi="Arial" w:cs="Arial"/>
          <w:color w:val="000000"/>
        </w:rPr>
        <w:t xml:space="preserve"> </w:t>
      </w:r>
      <w:r w:rsidR="00D4785C" w:rsidRPr="0066798F">
        <w:rPr>
          <w:rFonts w:ascii="Arial" w:hAnsi="Arial" w:cs="Arial"/>
          <w:color w:val="000000"/>
        </w:rPr>
        <w:t xml:space="preserve"> </w:t>
      </w:r>
      <w:r w:rsidR="00E86B30" w:rsidRPr="0066798F">
        <w:rPr>
          <w:rFonts w:ascii="Arial" w:hAnsi="Arial" w:cs="Arial"/>
          <w:color w:val="000000"/>
        </w:rPr>
        <w:t>All</w:t>
      </w:r>
      <w:r w:rsidR="00D4785C" w:rsidRPr="0066798F">
        <w:rPr>
          <w:rFonts w:ascii="Arial" w:hAnsi="Arial" w:cs="Arial"/>
          <w:color w:val="000000"/>
        </w:rPr>
        <w:t xml:space="preserve"> submissions </w:t>
      </w:r>
      <w:r w:rsidR="00D75373">
        <w:rPr>
          <w:rFonts w:ascii="Arial" w:hAnsi="Arial" w:cs="Arial"/>
          <w:color w:val="000000"/>
        </w:rPr>
        <w:t>were supportive of</w:t>
      </w:r>
      <w:r w:rsidR="00D75373" w:rsidRPr="0066798F">
        <w:rPr>
          <w:rFonts w:ascii="Arial" w:hAnsi="Arial" w:cs="Arial"/>
          <w:color w:val="000000"/>
        </w:rPr>
        <w:t xml:space="preserve"> </w:t>
      </w:r>
      <w:r w:rsidR="00D4785C" w:rsidRPr="0066798F">
        <w:rPr>
          <w:rFonts w:ascii="Arial" w:hAnsi="Arial" w:cs="Arial"/>
          <w:color w:val="000000"/>
        </w:rPr>
        <w:t xml:space="preserve">the changes proposed in the draft </w:t>
      </w:r>
      <w:r w:rsidR="00D75373">
        <w:rPr>
          <w:rFonts w:ascii="Arial" w:hAnsi="Arial" w:cs="Arial"/>
          <w:color w:val="000000"/>
        </w:rPr>
        <w:t xml:space="preserve">variation </w:t>
      </w:r>
      <w:r w:rsidR="00E50B55">
        <w:rPr>
          <w:rFonts w:ascii="Arial" w:hAnsi="Arial" w:cs="Arial"/>
          <w:color w:val="000000"/>
        </w:rPr>
        <w:t>i</w:t>
      </w:r>
      <w:r w:rsidR="00263F69" w:rsidRPr="0066798F">
        <w:rPr>
          <w:rFonts w:ascii="Arial" w:hAnsi="Arial" w:cs="Arial"/>
          <w:color w:val="000000"/>
        </w:rPr>
        <w:t>nstrument</w:t>
      </w:r>
      <w:r w:rsidR="00D4785C" w:rsidRPr="0066798F">
        <w:rPr>
          <w:rFonts w:ascii="Arial" w:hAnsi="Arial" w:cs="Arial"/>
          <w:color w:val="000000"/>
        </w:rPr>
        <w:t xml:space="preserve">.  </w:t>
      </w:r>
    </w:p>
    <w:p w:rsidR="004C7AD2" w:rsidRPr="0066798F" w:rsidRDefault="004C7AD2" w:rsidP="004C7AD2">
      <w:pPr>
        <w:pStyle w:val="ACMAHeading3"/>
        <w:spacing w:before="120" w:after="120" w:line="260" w:lineRule="atLeast"/>
        <w:rPr>
          <w:rFonts w:cs="Arial"/>
          <w:sz w:val="20"/>
        </w:rPr>
      </w:pPr>
      <w:r w:rsidRPr="0066798F">
        <w:rPr>
          <w:rFonts w:cs="Arial"/>
          <w:sz w:val="20"/>
        </w:rPr>
        <w:t>Regulation Impact Statement</w:t>
      </w:r>
    </w:p>
    <w:p w:rsidR="004C7AD2" w:rsidRPr="0066798F" w:rsidRDefault="004C7AD2" w:rsidP="004C7AD2">
      <w:pPr>
        <w:pStyle w:val="ListParagraph"/>
        <w:spacing w:before="80" w:after="120" w:line="280" w:lineRule="atLeast"/>
        <w:ind w:left="1"/>
        <w:contextualSpacing w:val="0"/>
        <w:rPr>
          <w:rFonts w:cs="Arial"/>
          <w:color w:val="000000"/>
          <w:lang w:eastAsia="en-AU" w:bidi="ar-SA"/>
        </w:rPr>
      </w:pPr>
      <w:r w:rsidRPr="0066798F">
        <w:rPr>
          <w:rFonts w:cs="Arial"/>
          <w:color w:val="000000"/>
          <w:lang w:eastAsia="en-AU" w:bidi="ar-SA"/>
        </w:rPr>
        <w:t xml:space="preserve">Prior to releasing the draft </w:t>
      </w:r>
      <w:r w:rsidR="00D75373">
        <w:rPr>
          <w:rFonts w:cs="Arial"/>
          <w:color w:val="000000"/>
          <w:lang w:eastAsia="en-AU" w:bidi="ar-SA"/>
        </w:rPr>
        <w:t xml:space="preserve">variation </w:t>
      </w:r>
      <w:r w:rsidR="00263F69" w:rsidRPr="0066798F">
        <w:rPr>
          <w:rFonts w:cs="Arial"/>
          <w:color w:val="000000"/>
          <w:lang w:eastAsia="en-AU" w:bidi="ar-SA"/>
        </w:rPr>
        <w:t>instrument</w:t>
      </w:r>
      <w:r w:rsidRPr="0066798F">
        <w:rPr>
          <w:rFonts w:cs="Arial"/>
          <w:color w:val="000000"/>
          <w:lang w:eastAsia="en-AU" w:bidi="ar-SA"/>
        </w:rPr>
        <w:t xml:space="preserve"> for comment, the ACMA consulted with the Office of Best Practice Regulation (</w:t>
      </w:r>
      <w:r w:rsidRPr="0066798F">
        <w:rPr>
          <w:rFonts w:cs="Arial"/>
          <w:b/>
          <w:color w:val="000000"/>
          <w:lang w:eastAsia="en-AU" w:bidi="ar-SA"/>
        </w:rPr>
        <w:t>the</w:t>
      </w:r>
      <w:r w:rsidRPr="0066798F">
        <w:rPr>
          <w:rFonts w:cs="Arial"/>
          <w:color w:val="000000"/>
          <w:lang w:eastAsia="en-AU" w:bidi="ar-SA"/>
        </w:rPr>
        <w:t xml:space="preserve"> </w:t>
      </w:r>
      <w:r w:rsidRPr="0066798F">
        <w:rPr>
          <w:rFonts w:cs="Arial"/>
          <w:b/>
          <w:color w:val="000000"/>
          <w:lang w:eastAsia="en-AU" w:bidi="ar-SA"/>
        </w:rPr>
        <w:t>OBPR</w:t>
      </w:r>
      <w:r w:rsidRPr="0066798F">
        <w:rPr>
          <w:rFonts w:cs="Arial"/>
          <w:color w:val="000000"/>
          <w:lang w:eastAsia="en-AU" w:bidi="ar-SA"/>
        </w:rPr>
        <w:t>) on the requirement for a Regulation Impact Statement (</w:t>
      </w:r>
      <w:r w:rsidRPr="0066798F">
        <w:rPr>
          <w:rFonts w:cs="Arial"/>
          <w:b/>
          <w:color w:val="000000"/>
          <w:lang w:eastAsia="en-AU" w:bidi="ar-SA"/>
        </w:rPr>
        <w:t>the RIS</w:t>
      </w:r>
      <w:r w:rsidRPr="0066798F">
        <w:rPr>
          <w:rFonts w:cs="Arial"/>
          <w:color w:val="000000"/>
          <w:lang w:eastAsia="en-AU" w:bidi="ar-SA"/>
        </w:rPr>
        <w:t>) for th</w:t>
      </w:r>
      <w:r w:rsidR="003F3719">
        <w:rPr>
          <w:rFonts w:cs="Arial"/>
          <w:color w:val="000000"/>
          <w:lang w:eastAsia="en-AU" w:bidi="ar-SA"/>
        </w:rPr>
        <w:t>e</w:t>
      </w:r>
      <w:r w:rsidRPr="0066798F">
        <w:rPr>
          <w:rFonts w:cs="Arial"/>
          <w:color w:val="000000"/>
          <w:lang w:eastAsia="en-AU" w:bidi="ar-SA"/>
        </w:rPr>
        <w:t xml:space="preserve"> </w:t>
      </w:r>
      <w:r w:rsidR="00E50B55">
        <w:rPr>
          <w:rFonts w:cs="Arial"/>
          <w:color w:val="000000"/>
          <w:lang w:eastAsia="en-AU" w:bidi="ar-SA"/>
        </w:rPr>
        <w:t>i</w:t>
      </w:r>
      <w:r w:rsidR="00263F69" w:rsidRPr="0066798F">
        <w:rPr>
          <w:rFonts w:cs="Arial"/>
          <w:color w:val="000000"/>
          <w:lang w:eastAsia="en-AU" w:bidi="ar-SA"/>
        </w:rPr>
        <w:t>nstrument</w:t>
      </w:r>
      <w:r w:rsidRPr="0066798F">
        <w:rPr>
          <w:rFonts w:cs="Arial"/>
          <w:color w:val="000000"/>
          <w:lang w:eastAsia="en-AU" w:bidi="ar-SA"/>
        </w:rPr>
        <w:t xml:space="preserve">.  The OBPR advised that the ACMA </w:t>
      </w:r>
      <w:r w:rsidR="00D75373">
        <w:rPr>
          <w:rFonts w:cs="Arial"/>
          <w:color w:val="000000"/>
          <w:lang w:eastAsia="en-AU" w:bidi="ar-SA"/>
        </w:rPr>
        <w:t>could</w:t>
      </w:r>
      <w:r w:rsidR="00D75373" w:rsidRPr="0066798F">
        <w:rPr>
          <w:rFonts w:cs="Arial"/>
          <w:color w:val="000000"/>
          <w:lang w:eastAsia="en-AU" w:bidi="ar-SA"/>
        </w:rPr>
        <w:t xml:space="preserve"> </w:t>
      </w:r>
      <w:r w:rsidRPr="0066798F">
        <w:rPr>
          <w:rFonts w:cs="Arial"/>
          <w:color w:val="000000"/>
          <w:lang w:eastAsia="en-AU" w:bidi="ar-SA"/>
        </w:rPr>
        <w:t xml:space="preserve">self-assess the performance of the </w:t>
      </w:r>
      <w:r w:rsidR="00E50B55">
        <w:rPr>
          <w:rFonts w:cs="Arial"/>
          <w:color w:val="000000"/>
          <w:lang w:eastAsia="en-AU" w:bidi="ar-SA"/>
        </w:rPr>
        <w:t>i</w:t>
      </w:r>
      <w:r w:rsidR="00263F69" w:rsidRPr="0066798F">
        <w:rPr>
          <w:rFonts w:cs="Arial"/>
          <w:color w:val="000000"/>
          <w:lang w:eastAsia="en-AU" w:bidi="ar-SA"/>
        </w:rPr>
        <w:t>nstrument</w:t>
      </w:r>
      <w:r w:rsidRPr="0066798F">
        <w:rPr>
          <w:rFonts w:cs="Arial"/>
          <w:color w:val="000000"/>
          <w:lang w:eastAsia="en-AU" w:bidi="ar-SA"/>
        </w:rPr>
        <w:t xml:space="preserve"> and the regulatory change made by the </w:t>
      </w:r>
      <w:r w:rsidR="00E50B55">
        <w:rPr>
          <w:rFonts w:cs="Arial"/>
          <w:color w:val="000000"/>
          <w:lang w:eastAsia="en-AU" w:bidi="ar-SA"/>
        </w:rPr>
        <w:t>i</w:t>
      </w:r>
      <w:r w:rsidR="00263F69" w:rsidRPr="0066798F">
        <w:rPr>
          <w:rFonts w:cs="Arial"/>
          <w:color w:val="000000"/>
          <w:lang w:eastAsia="en-AU" w:bidi="ar-SA"/>
        </w:rPr>
        <w:t>nstrument</w:t>
      </w:r>
      <w:r w:rsidRPr="0066798F">
        <w:rPr>
          <w:rFonts w:cs="Arial"/>
          <w:color w:val="000000"/>
          <w:lang w:eastAsia="en-AU" w:bidi="ar-SA"/>
        </w:rPr>
        <w:t xml:space="preserve">.  The ACMA considers that the </w:t>
      </w:r>
      <w:r w:rsidR="00E50B55">
        <w:rPr>
          <w:rFonts w:cs="Arial"/>
          <w:color w:val="000000"/>
          <w:lang w:eastAsia="en-AU" w:bidi="ar-SA"/>
        </w:rPr>
        <w:t>i</w:t>
      </w:r>
      <w:r w:rsidR="00263F69" w:rsidRPr="0066798F">
        <w:rPr>
          <w:rFonts w:cs="Arial"/>
          <w:color w:val="000000"/>
          <w:lang w:eastAsia="en-AU" w:bidi="ar-SA"/>
        </w:rPr>
        <w:t>nstrument</w:t>
      </w:r>
      <w:r w:rsidRPr="0066798F">
        <w:rPr>
          <w:rFonts w:cs="Arial"/>
          <w:color w:val="000000"/>
          <w:lang w:eastAsia="en-AU" w:bidi="ar-SA"/>
        </w:rPr>
        <w:t xml:space="preserve"> does not give rise to the need for a RIS because it is only likely to have minor and machinery impacts. The OBPR reference for this assessment is ID 22710.</w:t>
      </w:r>
    </w:p>
    <w:p w:rsidR="004C7AD2" w:rsidRPr="0066798F" w:rsidRDefault="004C7AD2" w:rsidP="004C7AD2">
      <w:pPr>
        <w:pStyle w:val="ListParagraph"/>
        <w:spacing w:before="80" w:after="120" w:line="280" w:lineRule="atLeast"/>
        <w:ind w:left="1"/>
        <w:contextualSpacing w:val="0"/>
        <w:rPr>
          <w:rFonts w:cs="Arial"/>
          <w:color w:val="000000"/>
          <w:lang w:eastAsia="en-AU" w:bidi="ar-SA"/>
        </w:rPr>
      </w:pPr>
    </w:p>
    <w:p w:rsidR="00D4785C" w:rsidRPr="0066798F" w:rsidRDefault="00D4785C" w:rsidP="00302DBB">
      <w:pPr>
        <w:pStyle w:val="ACMAHeading3"/>
        <w:spacing w:before="120" w:after="120" w:line="360" w:lineRule="auto"/>
        <w:rPr>
          <w:rFonts w:cs="Arial"/>
          <w:sz w:val="20"/>
        </w:rPr>
      </w:pPr>
      <w:r w:rsidRPr="0066798F">
        <w:rPr>
          <w:rFonts w:cs="Arial"/>
          <w:sz w:val="20"/>
        </w:rPr>
        <w:lastRenderedPageBreak/>
        <w:t>Statement of Compatibility with Human Rights</w:t>
      </w:r>
    </w:p>
    <w:p w:rsidR="003F3719" w:rsidRPr="003F3719" w:rsidRDefault="003F3719" w:rsidP="003F3719">
      <w:pPr>
        <w:spacing w:before="120" w:after="120" w:line="260" w:lineRule="atLeast"/>
        <w:rPr>
          <w:rFonts w:ascii="Arial" w:hAnsi="Arial" w:cs="Arial"/>
          <w:color w:val="000000"/>
        </w:rPr>
      </w:pPr>
      <w:r w:rsidRPr="003F3719">
        <w:rPr>
          <w:rFonts w:ascii="Arial" w:hAnsi="Arial" w:cs="Arial"/>
          <w:color w:val="000000"/>
        </w:rPr>
        <w:t xml:space="preserve">Subsection 9(1) of the </w:t>
      </w:r>
      <w:r w:rsidRPr="003F3719">
        <w:rPr>
          <w:rFonts w:ascii="Arial" w:hAnsi="Arial" w:cs="Arial"/>
          <w:i/>
          <w:color w:val="000000"/>
        </w:rPr>
        <w:t>Human Rights (Parliamentary Scrutiny) Act 2011</w:t>
      </w:r>
      <w:r w:rsidRPr="003F3719">
        <w:rPr>
          <w:rFonts w:ascii="Arial" w:hAnsi="Arial" w:cs="Arial"/>
          <w:color w:val="000000"/>
        </w:rPr>
        <w:t xml:space="preserve"> requires the rule-maker in relation to a legislative instrument to which section 42 (disallowance) of the LA applies to cause a statement of compatibility to be prepared in respect of that legislative instrument.</w:t>
      </w:r>
    </w:p>
    <w:p w:rsidR="003F3719" w:rsidRPr="003F3719" w:rsidRDefault="003F3719" w:rsidP="003F3719">
      <w:pPr>
        <w:spacing w:before="120" w:after="120" w:line="260" w:lineRule="atLeast"/>
        <w:rPr>
          <w:rFonts w:ascii="Arial" w:hAnsi="Arial" w:cs="Arial"/>
          <w:color w:val="000000"/>
        </w:rPr>
      </w:pPr>
      <w:r w:rsidRPr="003F3719">
        <w:rPr>
          <w:rFonts w:ascii="Arial" w:hAnsi="Arial" w:cs="Arial"/>
          <w:color w:val="000000"/>
        </w:rPr>
        <w:t>The statement of compatibility set out below has been prepared to meet that requirement.</w:t>
      </w:r>
    </w:p>
    <w:p w:rsidR="003F3719" w:rsidRDefault="003F3719" w:rsidP="003F3719">
      <w:pPr>
        <w:pStyle w:val="ListParagraph"/>
        <w:spacing w:before="80" w:after="120" w:line="280" w:lineRule="atLeast"/>
        <w:ind w:left="0"/>
        <w:contextualSpacing w:val="0"/>
        <w:rPr>
          <w:rFonts w:cs="Arial"/>
          <w:b/>
          <w:i/>
          <w:color w:val="000000"/>
        </w:rPr>
      </w:pPr>
      <w:r>
        <w:rPr>
          <w:rFonts w:cs="Arial"/>
          <w:b/>
          <w:i/>
          <w:color w:val="000000"/>
        </w:rPr>
        <w:t>Overview of the instrument</w:t>
      </w:r>
    </w:p>
    <w:p w:rsidR="003F3719" w:rsidRDefault="003F3719" w:rsidP="003F3719">
      <w:pPr>
        <w:pStyle w:val="ListParagraph"/>
        <w:spacing w:before="240" w:after="120" w:line="280" w:lineRule="atLeast"/>
        <w:ind w:left="0"/>
        <w:rPr>
          <w:rFonts w:cs="Arial"/>
          <w:b/>
          <w:i/>
          <w:color w:val="000000"/>
        </w:rPr>
      </w:pPr>
      <w:r w:rsidRPr="0066798F">
        <w:rPr>
          <w:rFonts w:cs="Arial"/>
        </w:rPr>
        <w:t xml:space="preserve">The instrument varies the </w:t>
      </w:r>
      <w:r>
        <w:rPr>
          <w:rFonts w:cs="Arial"/>
        </w:rPr>
        <w:t>LIPD Class Licence</w:t>
      </w:r>
      <w:r w:rsidRPr="0066798F">
        <w:rPr>
          <w:rFonts w:cs="Arial"/>
        </w:rPr>
        <w:t xml:space="preserve"> to include new arrangement</w:t>
      </w:r>
      <w:r>
        <w:rPr>
          <w:rFonts w:cs="Arial"/>
        </w:rPr>
        <w:t>s</w:t>
      </w:r>
      <w:r w:rsidRPr="0066798F">
        <w:rPr>
          <w:rFonts w:cs="Arial"/>
        </w:rPr>
        <w:t xml:space="preserve"> for all transmitters operating in the 122000-122250 MHz band and new arrangements for medical telemetry and </w:t>
      </w:r>
      <w:proofErr w:type="spellStart"/>
      <w:r w:rsidRPr="0066798F">
        <w:rPr>
          <w:rFonts w:cs="Arial"/>
        </w:rPr>
        <w:t>telecommand</w:t>
      </w:r>
      <w:proofErr w:type="spellEnd"/>
      <w:r w:rsidRPr="0066798F">
        <w:rPr>
          <w:rFonts w:cs="Arial"/>
        </w:rPr>
        <w:t xml:space="preserve"> transmitters operating in the 430</w:t>
      </w:r>
      <w:r w:rsidRPr="0066798F">
        <w:rPr>
          <w:rFonts w:cs="Arial"/>
        </w:rPr>
        <w:noBreakHyphen/>
        <w:t xml:space="preserve">440 MHz and 2483.5-2500 MHz bands.  The instrument </w:t>
      </w:r>
      <w:r>
        <w:rPr>
          <w:rFonts w:cs="Arial"/>
        </w:rPr>
        <w:t xml:space="preserve">also </w:t>
      </w:r>
      <w:r w:rsidRPr="0066798F">
        <w:rPr>
          <w:rFonts w:cs="Arial"/>
        </w:rPr>
        <w:t>removes the indoor restriction for digital communication transmitters in the 57000-66000 MHz band</w:t>
      </w:r>
      <w:r>
        <w:rPr>
          <w:rFonts w:cs="Arial"/>
        </w:rPr>
        <w:t xml:space="preserve"> and</w:t>
      </w:r>
      <w:r w:rsidRPr="0066798F">
        <w:rPr>
          <w:rFonts w:cs="Arial"/>
        </w:rPr>
        <w:t xml:space="preserve"> updates reference</w:t>
      </w:r>
      <w:r>
        <w:rPr>
          <w:rFonts w:cs="Arial"/>
        </w:rPr>
        <w:t>s</w:t>
      </w:r>
      <w:r w:rsidRPr="0066798F">
        <w:rPr>
          <w:rFonts w:cs="Arial"/>
        </w:rPr>
        <w:t xml:space="preserve"> for medical implant communication transmitters operating in the 402-405 MHz band</w:t>
      </w:r>
      <w:r>
        <w:rPr>
          <w:rFonts w:cs="Arial"/>
        </w:rPr>
        <w:t>.</w:t>
      </w:r>
      <w:r w:rsidRPr="0066798F">
        <w:rPr>
          <w:rFonts w:cs="Arial"/>
        </w:rPr>
        <w:t xml:space="preserve">   </w:t>
      </w:r>
    </w:p>
    <w:p w:rsidR="003F3719" w:rsidRDefault="003F3719" w:rsidP="004C7AD2">
      <w:pPr>
        <w:pStyle w:val="ListParagraph"/>
        <w:spacing w:before="80" w:after="120" w:line="280" w:lineRule="atLeast"/>
        <w:ind w:left="1"/>
        <w:rPr>
          <w:rFonts w:cs="Arial"/>
          <w:b/>
          <w:i/>
          <w:color w:val="000000"/>
        </w:rPr>
      </w:pPr>
    </w:p>
    <w:p w:rsidR="004C7AD2" w:rsidRPr="0066798F" w:rsidRDefault="004C7AD2" w:rsidP="004C7AD2">
      <w:pPr>
        <w:pStyle w:val="ListParagraph"/>
        <w:spacing w:before="80" w:after="120" w:line="280" w:lineRule="atLeast"/>
        <w:ind w:left="1"/>
        <w:rPr>
          <w:rFonts w:cs="Arial"/>
          <w:b/>
          <w:i/>
          <w:color w:val="000000"/>
        </w:rPr>
      </w:pPr>
      <w:r w:rsidRPr="0066798F">
        <w:rPr>
          <w:rFonts w:cs="Arial"/>
          <w:b/>
          <w:i/>
          <w:color w:val="000000"/>
        </w:rPr>
        <w:t>Human rights implications</w:t>
      </w:r>
    </w:p>
    <w:p w:rsidR="009C0DBE" w:rsidRPr="0066798F" w:rsidRDefault="009C0DBE" w:rsidP="004C7AD2">
      <w:pPr>
        <w:pStyle w:val="ListParagraph"/>
        <w:spacing w:before="80" w:after="120" w:line="280" w:lineRule="atLeast"/>
        <w:ind w:left="1"/>
        <w:rPr>
          <w:rFonts w:cs="Arial"/>
          <w:b/>
          <w:i/>
          <w:color w:val="000000"/>
        </w:rPr>
      </w:pPr>
    </w:p>
    <w:p w:rsidR="004C7AD2" w:rsidRDefault="004C7AD2" w:rsidP="004C7AD2">
      <w:pPr>
        <w:pStyle w:val="ListParagraph"/>
        <w:spacing w:before="80" w:after="120" w:line="280" w:lineRule="atLeast"/>
        <w:ind w:left="1"/>
        <w:rPr>
          <w:rFonts w:cs="Arial"/>
          <w:color w:val="000000"/>
        </w:rPr>
      </w:pPr>
      <w:r w:rsidRPr="0066798F">
        <w:rPr>
          <w:rFonts w:cs="Arial"/>
          <w:color w:val="000000"/>
        </w:rPr>
        <w:t>The ACMA has assessed whether the instrument is compatible with human rights, being the rights and freedoms recognised or declared by the international instruments listed in subsection 3(1) of the</w:t>
      </w:r>
      <w:r w:rsidRPr="0066798F">
        <w:rPr>
          <w:rFonts w:cs="Arial"/>
          <w:i/>
          <w:color w:val="000000"/>
        </w:rPr>
        <w:t xml:space="preserve"> Human Rights (Parliamentary Scrutiny) Act 2011 </w:t>
      </w:r>
      <w:r w:rsidRPr="0066798F">
        <w:rPr>
          <w:rFonts w:cs="Arial"/>
          <w:color w:val="000000"/>
        </w:rPr>
        <w:t xml:space="preserve">as they apply to Australia. </w:t>
      </w:r>
    </w:p>
    <w:p w:rsidR="00395667" w:rsidRPr="0066798F" w:rsidRDefault="00395667" w:rsidP="004C7AD2">
      <w:pPr>
        <w:pStyle w:val="ListParagraph"/>
        <w:spacing w:before="80" w:after="120" w:line="280" w:lineRule="atLeast"/>
        <w:ind w:left="1"/>
        <w:rPr>
          <w:rFonts w:cs="Arial"/>
          <w:color w:val="000000"/>
        </w:rPr>
      </w:pPr>
    </w:p>
    <w:p w:rsidR="004C7AD2" w:rsidRPr="0066798F" w:rsidRDefault="004C7AD2" w:rsidP="004C7AD2">
      <w:pPr>
        <w:pStyle w:val="ListParagraph"/>
        <w:spacing w:before="80" w:after="120" w:line="280" w:lineRule="atLeast"/>
        <w:ind w:left="1"/>
        <w:rPr>
          <w:rFonts w:cs="Arial"/>
          <w:color w:val="000000"/>
        </w:rPr>
      </w:pPr>
      <w:r w:rsidRPr="0066798F">
        <w:rPr>
          <w:rFonts w:cs="Arial"/>
          <w:color w:val="000000"/>
        </w:rPr>
        <w:t xml:space="preserve">Having considered the likely impact of the instrument and the nature of the applicable rights and freedoms, the ACMA has formed the view that the instrument does not engage any of those rights or freedoms.  </w:t>
      </w:r>
    </w:p>
    <w:p w:rsidR="009C0DBE" w:rsidRPr="0066798F" w:rsidRDefault="009C0DBE" w:rsidP="004C7AD2">
      <w:pPr>
        <w:pStyle w:val="ListParagraph"/>
        <w:spacing w:before="80" w:after="120" w:line="280" w:lineRule="atLeast"/>
        <w:ind w:left="1"/>
        <w:rPr>
          <w:rFonts w:cs="Arial"/>
          <w:b/>
          <w:i/>
          <w:color w:val="000000"/>
        </w:rPr>
      </w:pPr>
    </w:p>
    <w:p w:rsidR="004C7AD2" w:rsidRPr="0066798F" w:rsidRDefault="004C7AD2" w:rsidP="004C7AD2">
      <w:pPr>
        <w:pStyle w:val="ListParagraph"/>
        <w:spacing w:before="80" w:after="120" w:line="280" w:lineRule="atLeast"/>
        <w:ind w:left="1"/>
        <w:rPr>
          <w:rFonts w:cs="Arial"/>
          <w:b/>
          <w:i/>
          <w:color w:val="000000"/>
        </w:rPr>
      </w:pPr>
      <w:r w:rsidRPr="0066798F">
        <w:rPr>
          <w:rFonts w:cs="Arial"/>
          <w:b/>
          <w:i/>
          <w:color w:val="000000"/>
        </w:rPr>
        <w:t>Conclusion</w:t>
      </w:r>
    </w:p>
    <w:p w:rsidR="009C0DBE" w:rsidRPr="0066798F" w:rsidRDefault="009C0DBE" w:rsidP="004C7AD2">
      <w:pPr>
        <w:pStyle w:val="ListParagraph"/>
        <w:spacing w:before="80" w:after="120" w:line="280" w:lineRule="atLeast"/>
        <w:ind w:left="1"/>
        <w:rPr>
          <w:rFonts w:cs="Arial"/>
          <w:b/>
          <w:i/>
          <w:color w:val="000000"/>
        </w:rPr>
      </w:pPr>
    </w:p>
    <w:p w:rsidR="004C7AD2" w:rsidRPr="0066798F" w:rsidRDefault="004C7AD2" w:rsidP="004C7AD2">
      <w:pPr>
        <w:pStyle w:val="ListParagraph"/>
        <w:spacing w:before="80" w:after="120" w:line="280" w:lineRule="atLeast"/>
        <w:ind w:left="1"/>
        <w:rPr>
          <w:rFonts w:cs="Arial"/>
          <w:color w:val="000000"/>
        </w:rPr>
      </w:pPr>
      <w:r w:rsidRPr="0066798F">
        <w:rPr>
          <w:rFonts w:cs="Arial"/>
          <w:color w:val="000000"/>
        </w:rPr>
        <w:t>The instrument is compatible with human rights as it does not raise any human rights issues.</w:t>
      </w:r>
    </w:p>
    <w:p w:rsidR="00D4785C" w:rsidRPr="0066798F" w:rsidRDefault="00D4785C" w:rsidP="00302DBB">
      <w:pPr>
        <w:pStyle w:val="ListParagraph"/>
        <w:spacing w:before="80" w:after="120" w:line="280" w:lineRule="atLeast"/>
        <w:ind w:left="1"/>
        <w:contextualSpacing w:val="0"/>
        <w:rPr>
          <w:rFonts w:cs="Arial"/>
          <w:color w:val="000000"/>
          <w:lang w:eastAsia="en-AU" w:bidi="ar-SA"/>
        </w:rPr>
      </w:pPr>
    </w:p>
    <w:p w:rsidR="00D4785C" w:rsidRPr="0066798F" w:rsidRDefault="00D4785C" w:rsidP="00302DBB">
      <w:pPr>
        <w:pStyle w:val="ListParagraph"/>
        <w:spacing w:before="80" w:after="120" w:line="280" w:lineRule="atLeast"/>
        <w:ind w:left="1"/>
        <w:contextualSpacing w:val="0"/>
        <w:rPr>
          <w:rFonts w:cs="Arial"/>
          <w:color w:val="000000"/>
          <w:lang w:eastAsia="en-AU" w:bidi="ar-SA"/>
        </w:rPr>
      </w:pPr>
    </w:p>
    <w:p w:rsidR="00D4785C" w:rsidRPr="0066798F" w:rsidRDefault="00D4785C" w:rsidP="00302DBB">
      <w:pPr>
        <w:pStyle w:val="RGPara"/>
        <w:spacing w:after="120" w:line="260" w:lineRule="atLeast"/>
        <w:jc w:val="left"/>
        <w:rPr>
          <w:rFonts w:ascii="Arial" w:hAnsi="Arial" w:cs="Arial"/>
          <w:b/>
          <w:sz w:val="20"/>
        </w:rPr>
      </w:pPr>
      <w:r w:rsidRPr="0066798F">
        <w:rPr>
          <w:rFonts w:ascii="Arial" w:hAnsi="Arial" w:cs="Arial"/>
          <w:b/>
          <w:sz w:val="20"/>
        </w:rPr>
        <w:br w:type="page"/>
      </w:r>
    </w:p>
    <w:p w:rsidR="00D4785C" w:rsidRPr="0066798F" w:rsidRDefault="00D4785C" w:rsidP="00302DBB">
      <w:pPr>
        <w:spacing w:before="120" w:after="120" w:line="260" w:lineRule="atLeast"/>
        <w:rPr>
          <w:rFonts w:ascii="Arial" w:hAnsi="Arial" w:cs="Arial"/>
          <w:b/>
        </w:rPr>
      </w:pPr>
      <w:r w:rsidRPr="0066798F">
        <w:rPr>
          <w:rFonts w:ascii="Arial" w:hAnsi="Arial" w:cs="Arial"/>
          <w:b/>
        </w:rPr>
        <w:lastRenderedPageBreak/>
        <w:t>ATTACHMENT A</w:t>
      </w:r>
    </w:p>
    <w:p w:rsidR="00D4785C" w:rsidRPr="0066798F" w:rsidRDefault="00D4785C" w:rsidP="00302DBB">
      <w:pPr>
        <w:pStyle w:val="Heading5"/>
        <w:spacing w:before="120" w:after="120" w:line="260" w:lineRule="atLeast"/>
        <w:rPr>
          <w:rFonts w:ascii="Arial" w:hAnsi="Arial" w:cs="Arial"/>
          <w:bCs w:val="0"/>
          <w:i w:val="0"/>
          <w:iCs w:val="0"/>
          <w:sz w:val="20"/>
          <w:szCs w:val="20"/>
        </w:rPr>
      </w:pPr>
      <w:r w:rsidRPr="0066798F">
        <w:rPr>
          <w:rFonts w:ascii="Arial" w:hAnsi="Arial" w:cs="Arial"/>
          <w:i w:val="0"/>
          <w:sz w:val="20"/>
          <w:szCs w:val="20"/>
        </w:rPr>
        <w:t xml:space="preserve">Details of the </w:t>
      </w:r>
      <w:r w:rsidRPr="0066798F">
        <w:rPr>
          <w:rFonts w:ascii="Arial" w:hAnsi="Arial" w:cs="Arial"/>
          <w:sz w:val="20"/>
          <w:szCs w:val="20"/>
        </w:rPr>
        <w:t>Radiocommunications (Low Interference Potential Devices) Class Licence Variation 201</w:t>
      </w:r>
      <w:r w:rsidR="000E4CB3" w:rsidRPr="0066798F">
        <w:rPr>
          <w:rFonts w:ascii="Arial" w:hAnsi="Arial" w:cs="Arial"/>
          <w:sz w:val="20"/>
          <w:szCs w:val="20"/>
        </w:rPr>
        <w:t>8</w:t>
      </w:r>
      <w:r w:rsidRPr="0066798F">
        <w:rPr>
          <w:rFonts w:ascii="Arial" w:hAnsi="Arial" w:cs="Arial"/>
          <w:sz w:val="20"/>
          <w:szCs w:val="20"/>
        </w:rPr>
        <w:t xml:space="preserve"> (No.1)</w:t>
      </w:r>
    </w:p>
    <w:p w:rsidR="00D4785C" w:rsidRPr="0066798F" w:rsidRDefault="00D4785C" w:rsidP="00302DBB">
      <w:pPr>
        <w:spacing w:before="120" w:after="120" w:line="260" w:lineRule="atLeast"/>
        <w:rPr>
          <w:rFonts w:ascii="Arial" w:hAnsi="Arial" w:cs="Arial"/>
          <w:b/>
        </w:rPr>
      </w:pPr>
      <w:r w:rsidRPr="0066798F">
        <w:rPr>
          <w:rFonts w:ascii="Arial" w:hAnsi="Arial" w:cs="Arial"/>
          <w:b/>
        </w:rPr>
        <w:t>Section 1</w:t>
      </w:r>
      <w:r w:rsidRPr="0066798F">
        <w:rPr>
          <w:rFonts w:ascii="Arial" w:hAnsi="Arial" w:cs="Arial"/>
        </w:rPr>
        <w:tab/>
      </w:r>
      <w:r w:rsidRPr="0066798F">
        <w:rPr>
          <w:rFonts w:ascii="Arial" w:hAnsi="Arial" w:cs="Arial"/>
          <w:b/>
        </w:rPr>
        <w:t xml:space="preserve">Name of </w:t>
      </w:r>
      <w:r w:rsidR="00F07545">
        <w:rPr>
          <w:rFonts w:ascii="Arial" w:hAnsi="Arial" w:cs="Arial"/>
          <w:b/>
        </w:rPr>
        <w:t>i</w:t>
      </w:r>
      <w:r w:rsidR="00263F69" w:rsidRPr="0066798F">
        <w:rPr>
          <w:rFonts w:ascii="Arial" w:hAnsi="Arial" w:cs="Arial"/>
          <w:b/>
        </w:rPr>
        <w:t>nstrument</w:t>
      </w:r>
    </w:p>
    <w:p w:rsidR="00D4785C" w:rsidRPr="0066798F" w:rsidRDefault="00B43251" w:rsidP="00302DBB">
      <w:pPr>
        <w:spacing w:before="120" w:after="120" w:line="260" w:lineRule="atLeast"/>
        <w:rPr>
          <w:rFonts w:ascii="Arial" w:hAnsi="Arial" w:cs="Arial"/>
        </w:rPr>
      </w:pPr>
      <w:r w:rsidRPr="0066798F">
        <w:rPr>
          <w:rFonts w:ascii="Arial" w:hAnsi="Arial" w:cs="Arial"/>
        </w:rPr>
        <w:t>This s</w:t>
      </w:r>
      <w:r w:rsidR="00D4785C" w:rsidRPr="0066798F">
        <w:rPr>
          <w:rFonts w:ascii="Arial" w:hAnsi="Arial" w:cs="Arial"/>
        </w:rPr>
        <w:t xml:space="preserve">ection provides </w:t>
      </w:r>
      <w:r w:rsidR="00A1060B" w:rsidRPr="0066798F">
        <w:rPr>
          <w:rFonts w:ascii="Arial" w:hAnsi="Arial" w:cs="Arial"/>
        </w:rPr>
        <w:t>for the</w:t>
      </w:r>
      <w:r w:rsidR="00D4785C" w:rsidRPr="0066798F">
        <w:rPr>
          <w:rFonts w:ascii="Arial" w:hAnsi="Arial" w:cs="Arial"/>
        </w:rPr>
        <w:t xml:space="preserve"> instrument </w:t>
      </w:r>
      <w:r w:rsidR="00A1060B" w:rsidRPr="0066798F">
        <w:rPr>
          <w:rFonts w:ascii="Arial" w:hAnsi="Arial" w:cs="Arial"/>
        </w:rPr>
        <w:t>to be cited as</w:t>
      </w:r>
      <w:r w:rsidR="00D4785C" w:rsidRPr="0066798F">
        <w:rPr>
          <w:rFonts w:ascii="Arial" w:hAnsi="Arial" w:cs="Arial"/>
        </w:rPr>
        <w:t xml:space="preserve"> the </w:t>
      </w:r>
      <w:r w:rsidR="00D4785C" w:rsidRPr="0066798F">
        <w:rPr>
          <w:rFonts w:ascii="Arial" w:hAnsi="Arial" w:cs="Arial"/>
          <w:i/>
        </w:rPr>
        <w:t>Radiocommunications (Low Interference Potential Devices) Class Licence Variation 201</w:t>
      </w:r>
      <w:r w:rsidR="00DC3BFC" w:rsidRPr="0066798F">
        <w:rPr>
          <w:rFonts w:ascii="Arial" w:hAnsi="Arial" w:cs="Arial"/>
          <w:i/>
        </w:rPr>
        <w:t>8</w:t>
      </w:r>
      <w:r w:rsidR="00D4785C" w:rsidRPr="0066798F">
        <w:rPr>
          <w:rFonts w:ascii="Arial" w:hAnsi="Arial" w:cs="Arial"/>
          <w:i/>
        </w:rPr>
        <w:t xml:space="preserve"> (No.1)</w:t>
      </w:r>
      <w:r w:rsidR="00D4785C" w:rsidRPr="0066798F">
        <w:rPr>
          <w:rFonts w:ascii="Arial" w:hAnsi="Arial" w:cs="Arial"/>
        </w:rPr>
        <w:t xml:space="preserve"> (</w:t>
      </w:r>
      <w:r w:rsidR="00D4785C" w:rsidRPr="0066798F">
        <w:rPr>
          <w:rFonts w:ascii="Arial" w:hAnsi="Arial" w:cs="Arial"/>
          <w:b/>
        </w:rPr>
        <w:t>the</w:t>
      </w:r>
      <w:r w:rsidR="00D4785C" w:rsidRPr="0066798F">
        <w:rPr>
          <w:rFonts w:ascii="Arial" w:hAnsi="Arial" w:cs="Arial"/>
        </w:rPr>
        <w:t xml:space="preserve"> </w:t>
      </w:r>
      <w:r w:rsidR="00E50B55">
        <w:rPr>
          <w:rFonts w:ascii="Arial" w:hAnsi="Arial" w:cs="Arial"/>
          <w:b/>
        </w:rPr>
        <w:t>i</w:t>
      </w:r>
      <w:r w:rsidR="00263F69" w:rsidRPr="0066798F">
        <w:rPr>
          <w:rFonts w:ascii="Arial" w:hAnsi="Arial" w:cs="Arial"/>
          <w:b/>
        </w:rPr>
        <w:t>nstrument</w:t>
      </w:r>
      <w:r w:rsidR="00D4785C" w:rsidRPr="0066798F">
        <w:rPr>
          <w:rFonts w:ascii="Arial" w:hAnsi="Arial" w:cs="Arial"/>
        </w:rPr>
        <w:t>).</w:t>
      </w:r>
    </w:p>
    <w:p w:rsidR="00D4785C" w:rsidRPr="0066798F" w:rsidRDefault="00D4785C" w:rsidP="00302DBB">
      <w:pPr>
        <w:spacing w:before="120" w:after="120" w:line="260" w:lineRule="atLeast"/>
        <w:rPr>
          <w:rFonts w:ascii="Arial" w:hAnsi="Arial" w:cs="Arial"/>
        </w:rPr>
      </w:pPr>
      <w:r w:rsidRPr="0066798F">
        <w:rPr>
          <w:rFonts w:ascii="Arial" w:hAnsi="Arial" w:cs="Arial"/>
          <w:b/>
        </w:rPr>
        <w:t>Section 2</w:t>
      </w:r>
      <w:r w:rsidRPr="0066798F">
        <w:rPr>
          <w:rFonts w:ascii="Arial" w:hAnsi="Arial" w:cs="Arial"/>
        </w:rPr>
        <w:tab/>
      </w:r>
      <w:r w:rsidRPr="0066798F">
        <w:rPr>
          <w:rFonts w:ascii="Arial" w:hAnsi="Arial" w:cs="Arial"/>
          <w:b/>
        </w:rPr>
        <w:t>Commencement</w:t>
      </w:r>
    </w:p>
    <w:p w:rsidR="00D4785C" w:rsidRPr="0066798F" w:rsidRDefault="00B43251" w:rsidP="00302DBB">
      <w:pPr>
        <w:spacing w:before="120" w:after="120" w:line="260" w:lineRule="atLeast"/>
        <w:rPr>
          <w:rFonts w:ascii="Arial" w:hAnsi="Arial" w:cs="Arial"/>
        </w:rPr>
      </w:pPr>
      <w:r w:rsidRPr="0066798F">
        <w:rPr>
          <w:rFonts w:ascii="Arial" w:hAnsi="Arial" w:cs="Arial"/>
        </w:rPr>
        <w:t>This s</w:t>
      </w:r>
      <w:r w:rsidR="00D4785C" w:rsidRPr="0066798F">
        <w:rPr>
          <w:rFonts w:ascii="Arial" w:hAnsi="Arial" w:cs="Arial"/>
        </w:rPr>
        <w:t xml:space="preserve">ection provides that the </w:t>
      </w:r>
      <w:r w:rsidR="00395667">
        <w:rPr>
          <w:rFonts w:ascii="Arial" w:hAnsi="Arial" w:cs="Arial"/>
        </w:rPr>
        <w:t>i</w:t>
      </w:r>
      <w:r w:rsidR="00263F69" w:rsidRPr="0066798F">
        <w:rPr>
          <w:rFonts w:ascii="Arial" w:hAnsi="Arial" w:cs="Arial"/>
        </w:rPr>
        <w:t>nstrument</w:t>
      </w:r>
      <w:r w:rsidR="00D4785C" w:rsidRPr="0066798F">
        <w:rPr>
          <w:rFonts w:ascii="Arial" w:hAnsi="Arial" w:cs="Arial"/>
        </w:rPr>
        <w:t xml:space="preserve"> commences</w:t>
      </w:r>
      <w:r w:rsidR="0009747A">
        <w:rPr>
          <w:rFonts w:ascii="Arial" w:hAnsi="Arial" w:cs="Arial"/>
        </w:rPr>
        <w:t xml:space="preserve"> at the start of the day </w:t>
      </w:r>
      <w:r w:rsidR="00D4785C" w:rsidRPr="0066798F">
        <w:rPr>
          <w:rFonts w:ascii="Arial" w:hAnsi="Arial" w:cs="Arial"/>
        </w:rPr>
        <w:t>after it is registered on the Federal Register of Legislation.</w:t>
      </w:r>
    </w:p>
    <w:p w:rsidR="00B43251" w:rsidRPr="0066798F" w:rsidRDefault="00B43251" w:rsidP="00302DBB">
      <w:pPr>
        <w:spacing w:before="120" w:after="120" w:line="260" w:lineRule="atLeast"/>
        <w:ind w:left="1440" w:hanging="1440"/>
        <w:rPr>
          <w:rFonts w:ascii="Arial" w:hAnsi="Arial" w:cs="Arial"/>
          <w:b/>
        </w:rPr>
      </w:pPr>
      <w:r w:rsidRPr="0066798F">
        <w:rPr>
          <w:rFonts w:ascii="Arial" w:hAnsi="Arial" w:cs="Arial"/>
          <w:b/>
        </w:rPr>
        <w:t>Section 3</w:t>
      </w:r>
      <w:r w:rsidRPr="0066798F">
        <w:rPr>
          <w:rFonts w:ascii="Arial" w:hAnsi="Arial" w:cs="Arial"/>
          <w:b/>
        </w:rPr>
        <w:tab/>
        <w:t>Authority</w:t>
      </w:r>
    </w:p>
    <w:p w:rsidR="00B43251" w:rsidRPr="0066798F" w:rsidRDefault="00B43251" w:rsidP="00B43251">
      <w:pPr>
        <w:spacing w:before="120" w:after="120" w:line="260" w:lineRule="atLeast"/>
        <w:rPr>
          <w:rFonts w:ascii="Arial" w:hAnsi="Arial" w:cs="Arial"/>
        </w:rPr>
      </w:pPr>
      <w:r w:rsidRPr="0066798F">
        <w:rPr>
          <w:rFonts w:ascii="Arial" w:hAnsi="Arial" w:cs="Arial"/>
        </w:rPr>
        <w:t xml:space="preserve">This section identifies the provision that authorises the making of the instrument, namely section 132 of the </w:t>
      </w:r>
      <w:r w:rsidRPr="0066798F">
        <w:rPr>
          <w:rFonts w:ascii="Arial" w:hAnsi="Arial" w:cs="Arial"/>
          <w:i/>
        </w:rPr>
        <w:t>Radiocommunications Act 1991</w:t>
      </w:r>
      <w:r w:rsidRPr="0066798F">
        <w:rPr>
          <w:rFonts w:ascii="Arial" w:hAnsi="Arial" w:cs="Arial"/>
        </w:rPr>
        <w:t xml:space="preserve"> (</w:t>
      </w:r>
      <w:r w:rsidRPr="0066798F">
        <w:rPr>
          <w:rFonts w:ascii="Arial" w:hAnsi="Arial" w:cs="Arial"/>
          <w:b/>
        </w:rPr>
        <w:t>the Act</w:t>
      </w:r>
      <w:r w:rsidRPr="0066798F">
        <w:rPr>
          <w:rFonts w:ascii="Arial" w:hAnsi="Arial" w:cs="Arial"/>
        </w:rPr>
        <w:t xml:space="preserve">).  </w:t>
      </w:r>
    </w:p>
    <w:p w:rsidR="00D4785C" w:rsidRPr="0066798F" w:rsidRDefault="00D4785C" w:rsidP="00302DBB">
      <w:pPr>
        <w:spacing w:before="120" w:after="120" w:line="260" w:lineRule="atLeast"/>
        <w:ind w:left="1440" w:hanging="1440"/>
        <w:rPr>
          <w:rFonts w:ascii="Arial" w:hAnsi="Arial" w:cs="Arial"/>
        </w:rPr>
      </w:pPr>
      <w:r w:rsidRPr="0066798F">
        <w:rPr>
          <w:rFonts w:ascii="Arial" w:hAnsi="Arial" w:cs="Arial"/>
          <w:b/>
        </w:rPr>
        <w:t xml:space="preserve">Section </w:t>
      </w:r>
      <w:r w:rsidR="00B43251" w:rsidRPr="0066798F">
        <w:rPr>
          <w:rFonts w:ascii="Arial" w:hAnsi="Arial" w:cs="Arial"/>
          <w:b/>
        </w:rPr>
        <w:t>4</w:t>
      </w:r>
      <w:r w:rsidRPr="0066798F">
        <w:rPr>
          <w:rFonts w:ascii="Arial" w:hAnsi="Arial" w:cs="Arial"/>
        </w:rPr>
        <w:tab/>
      </w:r>
      <w:r w:rsidRPr="0066798F">
        <w:rPr>
          <w:rFonts w:ascii="Arial" w:hAnsi="Arial" w:cs="Arial"/>
          <w:b/>
        </w:rPr>
        <w:t xml:space="preserve">Variation of </w:t>
      </w:r>
      <w:r w:rsidRPr="0066798F">
        <w:rPr>
          <w:rFonts w:ascii="Arial" w:hAnsi="Arial" w:cs="Arial"/>
          <w:b/>
          <w:i/>
        </w:rPr>
        <w:t>Radiocommunications (Low Interference Potential Devices) Class Licence 2015</w:t>
      </w:r>
    </w:p>
    <w:p w:rsidR="00D4785C" w:rsidRPr="0066798F" w:rsidRDefault="00B43251" w:rsidP="00302DBB">
      <w:pPr>
        <w:spacing w:before="120" w:after="120" w:line="260" w:lineRule="atLeast"/>
        <w:rPr>
          <w:rFonts w:ascii="Arial" w:hAnsi="Arial" w:cs="Arial"/>
          <w:i/>
        </w:rPr>
      </w:pPr>
      <w:r w:rsidRPr="0066798F">
        <w:rPr>
          <w:rFonts w:ascii="Arial" w:hAnsi="Arial" w:cs="Arial"/>
        </w:rPr>
        <w:t>This s</w:t>
      </w:r>
      <w:r w:rsidR="00D4785C" w:rsidRPr="0066798F">
        <w:rPr>
          <w:rFonts w:ascii="Arial" w:hAnsi="Arial" w:cs="Arial"/>
        </w:rPr>
        <w:t xml:space="preserve">ection provides that the </w:t>
      </w:r>
      <w:r w:rsidR="00D4785C" w:rsidRPr="0066798F">
        <w:rPr>
          <w:rFonts w:ascii="Arial" w:hAnsi="Arial" w:cs="Arial"/>
          <w:i/>
        </w:rPr>
        <w:t xml:space="preserve">Radiocommunications (Low Interference Potential Devices) Class Licence 2015 </w:t>
      </w:r>
      <w:r w:rsidR="00D4785C" w:rsidRPr="0066798F">
        <w:rPr>
          <w:rFonts w:ascii="Arial" w:hAnsi="Arial" w:cs="Arial"/>
        </w:rPr>
        <w:t>(</w:t>
      </w:r>
      <w:r w:rsidR="00D4785C" w:rsidRPr="0066798F">
        <w:rPr>
          <w:rFonts w:ascii="Arial" w:hAnsi="Arial" w:cs="Arial"/>
          <w:b/>
        </w:rPr>
        <w:t>the LIPD Class Licence</w:t>
      </w:r>
      <w:r w:rsidR="00D4785C" w:rsidRPr="0066798F">
        <w:rPr>
          <w:rFonts w:ascii="Arial" w:hAnsi="Arial" w:cs="Arial"/>
        </w:rPr>
        <w:t xml:space="preserve">) is varied as set out in Schedule 1 to the </w:t>
      </w:r>
      <w:r w:rsidR="00395667">
        <w:rPr>
          <w:rFonts w:ascii="Arial" w:hAnsi="Arial" w:cs="Arial"/>
        </w:rPr>
        <w:t>i</w:t>
      </w:r>
      <w:r w:rsidR="00263F69" w:rsidRPr="0066798F">
        <w:rPr>
          <w:rFonts w:ascii="Arial" w:hAnsi="Arial" w:cs="Arial"/>
        </w:rPr>
        <w:t>nstrument</w:t>
      </w:r>
      <w:r w:rsidR="00D4785C" w:rsidRPr="0066798F">
        <w:rPr>
          <w:rFonts w:ascii="Arial" w:hAnsi="Arial" w:cs="Arial"/>
          <w:i/>
        </w:rPr>
        <w:t>.</w:t>
      </w:r>
    </w:p>
    <w:p w:rsidR="00D4785C" w:rsidRPr="0066798F" w:rsidRDefault="00D4785C" w:rsidP="00302DBB">
      <w:pPr>
        <w:spacing w:before="120" w:after="120" w:line="260" w:lineRule="atLeast"/>
        <w:rPr>
          <w:rFonts w:ascii="Arial" w:hAnsi="Arial" w:cs="Arial"/>
          <w:b/>
        </w:rPr>
      </w:pPr>
    </w:p>
    <w:p w:rsidR="00D4785C" w:rsidRPr="0066798F" w:rsidRDefault="00D4785C" w:rsidP="00302DBB">
      <w:pPr>
        <w:spacing w:before="120" w:after="120" w:line="260" w:lineRule="atLeast"/>
        <w:rPr>
          <w:rFonts w:ascii="Arial" w:hAnsi="Arial" w:cs="Arial"/>
          <w:b/>
        </w:rPr>
      </w:pPr>
      <w:r w:rsidRPr="0066798F">
        <w:rPr>
          <w:rFonts w:ascii="Arial" w:hAnsi="Arial" w:cs="Arial"/>
          <w:b/>
        </w:rPr>
        <w:t>Schedule 1</w:t>
      </w:r>
      <w:r w:rsidRPr="0066798F">
        <w:rPr>
          <w:rFonts w:ascii="Arial" w:hAnsi="Arial" w:cs="Arial"/>
          <w:b/>
        </w:rPr>
        <w:tab/>
        <w:t>Variations</w:t>
      </w:r>
    </w:p>
    <w:p w:rsidR="00DC3BFC" w:rsidRPr="0066798F" w:rsidRDefault="00DC3BFC" w:rsidP="00302DBB">
      <w:pPr>
        <w:pStyle w:val="BodyT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Pr="0066798F">
        <w:rPr>
          <w:rFonts w:ascii="Arial" w:hAnsi="Arial" w:cs="Arial"/>
          <w:b/>
          <w:sz w:val="20"/>
        </w:rPr>
        <w:t>1  Schedule</w:t>
      </w:r>
      <w:proofErr w:type="gramEnd"/>
      <w:r w:rsidRPr="0066798F">
        <w:rPr>
          <w:rFonts w:ascii="Arial" w:hAnsi="Arial" w:cs="Arial"/>
          <w:b/>
          <w:sz w:val="20"/>
        </w:rPr>
        <w:t xml:space="preserve"> 1, after item 23</w:t>
      </w:r>
    </w:p>
    <w:p w:rsidR="00DC3BFC" w:rsidRPr="0066798F" w:rsidRDefault="00E50B55" w:rsidP="00302DBB">
      <w:pPr>
        <w:pStyle w:val="BodyText"/>
        <w:tabs>
          <w:tab w:val="left" w:pos="360"/>
        </w:tabs>
        <w:spacing w:before="120" w:line="260" w:lineRule="atLeast"/>
        <w:rPr>
          <w:rFonts w:ascii="Arial" w:hAnsi="Arial" w:cs="Arial"/>
          <w:sz w:val="20"/>
        </w:rPr>
      </w:pPr>
      <w:r>
        <w:rPr>
          <w:rFonts w:ascii="Arial" w:hAnsi="Arial" w:cs="Arial"/>
          <w:sz w:val="20"/>
        </w:rPr>
        <w:t>A</w:t>
      </w:r>
      <w:r w:rsidR="00DC3BFC" w:rsidRPr="0066798F">
        <w:rPr>
          <w:rFonts w:ascii="Arial" w:hAnsi="Arial" w:cs="Arial"/>
          <w:sz w:val="20"/>
        </w:rPr>
        <w:t xml:space="preserve"> new item </w:t>
      </w:r>
      <w:r>
        <w:rPr>
          <w:rFonts w:ascii="Arial" w:hAnsi="Arial" w:cs="Arial"/>
          <w:sz w:val="20"/>
        </w:rPr>
        <w:t xml:space="preserve">is inserted </w:t>
      </w:r>
      <w:r w:rsidR="00DC3BFC" w:rsidRPr="0066798F">
        <w:rPr>
          <w:rFonts w:ascii="Arial" w:hAnsi="Arial" w:cs="Arial"/>
          <w:sz w:val="20"/>
        </w:rPr>
        <w:t xml:space="preserve">in Schedule 1 to the LIPD Class Licence to authorise the use of transmitters within the 122000-122250 MHz frequency band. The maximum </w:t>
      </w:r>
      <w:r w:rsidR="00FF15EF" w:rsidRPr="00FF15EF">
        <w:rPr>
          <w:rFonts w:ascii="Arial" w:hAnsi="Arial" w:cs="Arial"/>
          <w:sz w:val="20"/>
        </w:rPr>
        <w:t>radiated power spectral density</w:t>
      </w:r>
      <w:r w:rsidR="00FF15EF">
        <w:rPr>
          <w:rFonts w:ascii="Arial" w:hAnsi="Arial" w:cs="Arial"/>
          <w:sz w:val="20"/>
        </w:rPr>
        <w:t xml:space="preserve"> </w:t>
      </w:r>
      <w:r w:rsidR="00F470DA" w:rsidRPr="0066798F">
        <w:rPr>
          <w:rFonts w:ascii="Arial" w:hAnsi="Arial" w:cs="Arial"/>
          <w:sz w:val="20"/>
        </w:rPr>
        <w:t xml:space="preserve">is </w:t>
      </w:r>
      <w:r w:rsidR="00DC3BFC" w:rsidRPr="0066798F">
        <w:rPr>
          <w:rFonts w:ascii="Arial" w:hAnsi="Arial" w:cs="Arial"/>
          <w:sz w:val="20"/>
        </w:rPr>
        <w:t>limi</w:t>
      </w:r>
      <w:r w:rsidR="003B37D4" w:rsidRPr="0066798F">
        <w:rPr>
          <w:rFonts w:ascii="Arial" w:hAnsi="Arial" w:cs="Arial"/>
          <w:sz w:val="20"/>
        </w:rPr>
        <w:t>t</w:t>
      </w:r>
      <w:r w:rsidR="00F470DA" w:rsidRPr="0066798F">
        <w:rPr>
          <w:rFonts w:ascii="Arial" w:hAnsi="Arial" w:cs="Arial"/>
          <w:sz w:val="20"/>
        </w:rPr>
        <w:t>ed</w:t>
      </w:r>
      <w:r w:rsidR="003B37D4" w:rsidRPr="0066798F">
        <w:rPr>
          <w:rFonts w:ascii="Arial" w:hAnsi="Arial" w:cs="Arial"/>
          <w:sz w:val="20"/>
        </w:rPr>
        <w:t xml:space="preserve"> </w:t>
      </w:r>
      <w:r w:rsidR="00FF15EF">
        <w:rPr>
          <w:rFonts w:ascii="Arial" w:hAnsi="Arial" w:cs="Arial"/>
          <w:sz w:val="20"/>
        </w:rPr>
        <w:t>by</w:t>
      </w:r>
      <w:r w:rsidR="00FF15EF" w:rsidRPr="0066798F">
        <w:rPr>
          <w:rFonts w:ascii="Arial" w:hAnsi="Arial" w:cs="Arial"/>
          <w:sz w:val="20"/>
        </w:rPr>
        <w:t xml:space="preserve"> </w:t>
      </w:r>
      <w:r w:rsidR="00273F4A" w:rsidRPr="0066798F">
        <w:rPr>
          <w:rFonts w:ascii="Arial" w:hAnsi="Arial" w:cs="Arial"/>
          <w:sz w:val="20"/>
        </w:rPr>
        <w:t xml:space="preserve">paragraphs </w:t>
      </w:r>
      <w:r w:rsidR="003B37D4" w:rsidRPr="0066798F">
        <w:rPr>
          <w:rFonts w:ascii="Arial" w:hAnsi="Arial" w:cs="Arial"/>
          <w:sz w:val="20"/>
        </w:rPr>
        <w:t xml:space="preserve">(a) and (b) </w:t>
      </w:r>
      <w:r w:rsidR="00273F4A" w:rsidRPr="0066798F">
        <w:rPr>
          <w:rFonts w:ascii="Arial" w:hAnsi="Arial" w:cs="Arial"/>
          <w:sz w:val="20"/>
        </w:rPr>
        <w:t xml:space="preserve">of </w:t>
      </w:r>
      <w:r w:rsidR="00F470DA" w:rsidRPr="0066798F">
        <w:rPr>
          <w:rFonts w:ascii="Arial" w:hAnsi="Arial" w:cs="Arial"/>
          <w:sz w:val="20"/>
        </w:rPr>
        <w:t>C</w:t>
      </w:r>
      <w:r w:rsidR="00273F4A" w:rsidRPr="0066798F">
        <w:rPr>
          <w:rFonts w:ascii="Arial" w:hAnsi="Arial" w:cs="Arial"/>
          <w:sz w:val="20"/>
        </w:rPr>
        <w:t>olumn 4</w:t>
      </w:r>
      <w:r w:rsidR="003B37D4" w:rsidRPr="0066798F">
        <w:rPr>
          <w:rFonts w:ascii="Arial" w:hAnsi="Arial" w:cs="Arial"/>
          <w:sz w:val="20"/>
        </w:rPr>
        <w:t>.</w:t>
      </w:r>
      <w:r w:rsidR="00F07545">
        <w:rPr>
          <w:rFonts w:ascii="Arial" w:hAnsi="Arial" w:cs="Arial"/>
          <w:sz w:val="20"/>
        </w:rPr>
        <w:t xml:space="preserve"> </w:t>
      </w:r>
      <w:r w:rsidR="003B37D4" w:rsidRPr="0066798F">
        <w:rPr>
          <w:rFonts w:ascii="Arial" w:hAnsi="Arial" w:cs="Arial"/>
          <w:sz w:val="20"/>
        </w:rPr>
        <w:t xml:space="preserve"> </w:t>
      </w:r>
      <w:r w:rsidR="00273F4A" w:rsidRPr="0066798F">
        <w:rPr>
          <w:rFonts w:ascii="Arial" w:hAnsi="Arial" w:cs="Arial"/>
          <w:sz w:val="20"/>
        </w:rPr>
        <w:t xml:space="preserve">In paragraph </w:t>
      </w:r>
      <w:r w:rsidR="003B37D4" w:rsidRPr="0066798F">
        <w:rPr>
          <w:rFonts w:ascii="Arial" w:hAnsi="Arial" w:cs="Arial"/>
          <w:sz w:val="20"/>
        </w:rPr>
        <w:t xml:space="preserve">(a) the maximum radiated power spectral density </w:t>
      </w:r>
      <w:r w:rsidR="00273F4A" w:rsidRPr="0066798F">
        <w:rPr>
          <w:rFonts w:ascii="Arial" w:hAnsi="Arial" w:cs="Arial"/>
          <w:sz w:val="20"/>
        </w:rPr>
        <w:t xml:space="preserve">has been limited to </w:t>
      </w:r>
      <w:r w:rsidR="003B37D4" w:rsidRPr="0066798F">
        <w:rPr>
          <w:rFonts w:ascii="Arial" w:hAnsi="Arial" w:cs="Arial"/>
          <w:sz w:val="20"/>
        </w:rPr>
        <w:t xml:space="preserve">10 </w:t>
      </w:r>
      <w:proofErr w:type="spellStart"/>
      <w:r w:rsidR="003B37D4" w:rsidRPr="0066798F">
        <w:rPr>
          <w:rFonts w:ascii="Arial" w:hAnsi="Arial" w:cs="Arial"/>
          <w:sz w:val="20"/>
        </w:rPr>
        <w:t>dBm</w:t>
      </w:r>
      <w:proofErr w:type="spellEnd"/>
      <w:r w:rsidR="003B37D4" w:rsidRPr="0066798F">
        <w:rPr>
          <w:rFonts w:ascii="Arial" w:hAnsi="Arial" w:cs="Arial"/>
          <w:sz w:val="20"/>
        </w:rPr>
        <w:t xml:space="preserve"> per 2</w:t>
      </w:r>
      <w:r w:rsidR="000E4CB3" w:rsidRPr="0066798F">
        <w:rPr>
          <w:rFonts w:ascii="Arial" w:hAnsi="Arial" w:cs="Arial"/>
          <w:sz w:val="20"/>
        </w:rPr>
        <w:t>5</w:t>
      </w:r>
      <w:r w:rsidR="003B37D4" w:rsidRPr="0066798F">
        <w:rPr>
          <w:rFonts w:ascii="Arial" w:hAnsi="Arial" w:cs="Arial"/>
          <w:sz w:val="20"/>
        </w:rPr>
        <w:t xml:space="preserve">0 MHz, while </w:t>
      </w:r>
      <w:r w:rsidR="00273F4A" w:rsidRPr="0066798F">
        <w:rPr>
          <w:rFonts w:ascii="Arial" w:hAnsi="Arial" w:cs="Arial"/>
          <w:sz w:val="20"/>
        </w:rPr>
        <w:t>in paragraph</w:t>
      </w:r>
      <w:r w:rsidR="003B37D4" w:rsidRPr="0066798F">
        <w:rPr>
          <w:rFonts w:ascii="Arial" w:hAnsi="Arial" w:cs="Arial"/>
          <w:sz w:val="20"/>
        </w:rPr>
        <w:t xml:space="preserve"> (b) the maximum radiated power spectral density </w:t>
      </w:r>
      <w:r w:rsidR="00273F4A" w:rsidRPr="0066798F">
        <w:rPr>
          <w:rFonts w:ascii="Arial" w:hAnsi="Arial" w:cs="Arial"/>
          <w:sz w:val="20"/>
        </w:rPr>
        <w:t>has been limited to</w:t>
      </w:r>
      <w:r w:rsidR="003B37D4" w:rsidRPr="0066798F">
        <w:rPr>
          <w:rFonts w:ascii="Arial" w:hAnsi="Arial" w:cs="Arial"/>
          <w:sz w:val="20"/>
        </w:rPr>
        <w:t xml:space="preserve"> </w:t>
      </w:r>
      <w:r w:rsidR="000E4CB3" w:rsidRPr="0066798F">
        <w:rPr>
          <w:rFonts w:ascii="Arial" w:hAnsi="Arial" w:cs="Arial"/>
          <w:sz w:val="20"/>
        </w:rPr>
        <w:t xml:space="preserve">minus </w:t>
      </w:r>
      <w:r w:rsidR="003B37D4" w:rsidRPr="0066798F">
        <w:rPr>
          <w:rFonts w:ascii="Arial" w:hAnsi="Arial" w:cs="Arial"/>
          <w:sz w:val="20"/>
        </w:rPr>
        <w:t xml:space="preserve">48 </w:t>
      </w:r>
      <w:proofErr w:type="spellStart"/>
      <w:r w:rsidR="003B37D4" w:rsidRPr="0066798F">
        <w:rPr>
          <w:rFonts w:ascii="Arial" w:hAnsi="Arial" w:cs="Arial"/>
          <w:sz w:val="20"/>
        </w:rPr>
        <w:t>dBm</w:t>
      </w:r>
      <w:proofErr w:type="spellEnd"/>
      <w:r w:rsidR="003B37D4" w:rsidRPr="0066798F">
        <w:rPr>
          <w:rFonts w:ascii="Arial" w:hAnsi="Arial" w:cs="Arial"/>
          <w:sz w:val="20"/>
        </w:rPr>
        <w:t xml:space="preserve"> per MHz</w:t>
      </w:r>
      <w:r w:rsidR="00273F4A" w:rsidRPr="0066798F">
        <w:rPr>
          <w:rFonts w:ascii="Arial" w:hAnsi="Arial" w:cs="Arial"/>
          <w:sz w:val="20"/>
        </w:rPr>
        <w:t xml:space="preserve"> for elevation</w:t>
      </w:r>
      <w:r w:rsidR="00CB000F" w:rsidRPr="0066798F">
        <w:rPr>
          <w:rFonts w:ascii="Arial" w:hAnsi="Arial" w:cs="Arial"/>
          <w:sz w:val="20"/>
        </w:rPr>
        <w:t>s</w:t>
      </w:r>
      <w:r w:rsidR="00273F4A" w:rsidRPr="0066798F">
        <w:rPr>
          <w:rFonts w:ascii="Arial" w:hAnsi="Arial" w:cs="Arial"/>
          <w:sz w:val="20"/>
        </w:rPr>
        <w:t xml:space="preserve"> above 30 degrees.</w:t>
      </w:r>
    </w:p>
    <w:p w:rsidR="00B61D52" w:rsidRPr="0066798F" w:rsidRDefault="00B61D52" w:rsidP="00302DBB">
      <w:pPr>
        <w:pStyle w:val="BodyT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Pr="0066798F">
        <w:rPr>
          <w:rFonts w:ascii="Arial" w:hAnsi="Arial" w:cs="Arial"/>
          <w:b/>
          <w:sz w:val="20"/>
        </w:rPr>
        <w:t>2  Schedule</w:t>
      </w:r>
      <w:proofErr w:type="gramEnd"/>
      <w:r w:rsidRPr="0066798F">
        <w:rPr>
          <w:rFonts w:ascii="Arial" w:hAnsi="Arial" w:cs="Arial"/>
          <w:b/>
          <w:sz w:val="20"/>
        </w:rPr>
        <w:t xml:space="preserve"> 1, item 33, Column 4</w:t>
      </w:r>
      <w:r w:rsidR="00D75373">
        <w:rPr>
          <w:rFonts w:ascii="Arial" w:hAnsi="Arial" w:cs="Arial"/>
          <w:b/>
          <w:sz w:val="20"/>
        </w:rPr>
        <w:t xml:space="preserve"> - Limitations</w:t>
      </w:r>
    </w:p>
    <w:p w:rsidR="00B61D52"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851315">
        <w:rPr>
          <w:rFonts w:ascii="Arial" w:hAnsi="Arial" w:cs="Arial"/>
          <w:sz w:val="20"/>
        </w:rPr>
        <w:t xml:space="preserve"> </w:t>
      </w:r>
      <w:r w:rsidR="00B61D52" w:rsidRPr="0066798F">
        <w:rPr>
          <w:rFonts w:ascii="Arial" w:hAnsi="Arial" w:cs="Arial"/>
          <w:sz w:val="20"/>
        </w:rPr>
        <w:t>removes an outdate</w:t>
      </w:r>
      <w:r w:rsidR="00CB000F" w:rsidRPr="0066798F">
        <w:rPr>
          <w:rFonts w:ascii="Arial" w:hAnsi="Arial" w:cs="Arial"/>
          <w:sz w:val="20"/>
        </w:rPr>
        <w:t>d</w:t>
      </w:r>
      <w:r w:rsidR="00B61D52" w:rsidRPr="0066798F">
        <w:rPr>
          <w:rFonts w:ascii="Arial" w:hAnsi="Arial" w:cs="Arial"/>
          <w:sz w:val="20"/>
        </w:rPr>
        <w:t xml:space="preserve"> reference to </w:t>
      </w:r>
      <w:r w:rsidR="00FF15EF">
        <w:rPr>
          <w:rFonts w:ascii="Arial" w:hAnsi="Arial" w:cs="Arial"/>
          <w:sz w:val="20"/>
        </w:rPr>
        <w:t xml:space="preserve">the </w:t>
      </w:r>
      <w:r w:rsidR="00F07545">
        <w:rPr>
          <w:rFonts w:ascii="Arial" w:hAnsi="Arial" w:cs="Arial"/>
          <w:sz w:val="20"/>
        </w:rPr>
        <w:t>United States Federal Communications Commission (</w:t>
      </w:r>
      <w:r w:rsidR="00FF15EF" w:rsidRPr="00F07545">
        <w:rPr>
          <w:rFonts w:ascii="Arial" w:hAnsi="Arial" w:cs="Arial"/>
          <w:b/>
          <w:sz w:val="20"/>
        </w:rPr>
        <w:t>FCC</w:t>
      </w:r>
      <w:r w:rsidR="00F07545">
        <w:rPr>
          <w:rFonts w:ascii="Arial" w:hAnsi="Arial" w:cs="Arial"/>
          <w:sz w:val="20"/>
        </w:rPr>
        <w:t>)</w:t>
      </w:r>
      <w:r w:rsidR="00FF15EF">
        <w:rPr>
          <w:rFonts w:ascii="Arial" w:hAnsi="Arial" w:cs="Arial"/>
          <w:sz w:val="20"/>
        </w:rPr>
        <w:t xml:space="preserve"> Rules contained in the </w:t>
      </w:r>
      <w:r w:rsidR="00FB155C" w:rsidRPr="00FB155C">
        <w:rPr>
          <w:rFonts w:ascii="Arial" w:hAnsi="Arial" w:cs="Arial"/>
          <w:sz w:val="20"/>
        </w:rPr>
        <w:t>US Code of Federal Regulation</w:t>
      </w:r>
      <w:r w:rsidR="00FB155C">
        <w:rPr>
          <w:rFonts w:ascii="Arial" w:hAnsi="Arial" w:cs="Arial"/>
          <w:sz w:val="20"/>
        </w:rPr>
        <w:t xml:space="preserve"> (</w:t>
      </w:r>
      <w:r w:rsidR="00FB155C" w:rsidRPr="00F07545">
        <w:rPr>
          <w:rFonts w:ascii="Arial" w:hAnsi="Arial" w:cs="Arial"/>
          <w:b/>
          <w:sz w:val="20"/>
        </w:rPr>
        <w:t>CFR</w:t>
      </w:r>
      <w:r w:rsidR="00FB155C">
        <w:rPr>
          <w:rFonts w:ascii="Arial" w:hAnsi="Arial" w:cs="Arial"/>
          <w:sz w:val="20"/>
        </w:rPr>
        <w:t>)</w:t>
      </w:r>
      <w:r w:rsidR="00B61D52" w:rsidRPr="0066798F">
        <w:rPr>
          <w:rFonts w:ascii="Arial" w:hAnsi="Arial" w:cs="Arial"/>
          <w:sz w:val="20"/>
        </w:rPr>
        <w:t xml:space="preserve"> Rules Title 47 Part 95 Section 627 and 635, and insert</w:t>
      </w:r>
      <w:r w:rsidR="00CB000F" w:rsidRPr="0066798F">
        <w:rPr>
          <w:rFonts w:ascii="Arial" w:hAnsi="Arial" w:cs="Arial"/>
          <w:sz w:val="20"/>
        </w:rPr>
        <w:t>s</w:t>
      </w:r>
      <w:r w:rsidR="00B61D52" w:rsidRPr="0066798F">
        <w:rPr>
          <w:rFonts w:ascii="Arial" w:hAnsi="Arial" w:cs="Arial"/>
          <w:sz w:val="20"/>
        </w:rPr>
        <w:t xml:space="preserve"> new text referring to the </w:t>
      </w:r>
      <w:r w:rsidR="00FF15EF">
        <w:rPr>
          <w:rFonts w:ascii="Arial" w:hAnsi="Arial" w:cs="Arial"/>
          <w:sz w:val="20"/>
        </w:rPr>
        <w:t>FCC</w:t>
      </w:r>
      <w:r w:rsidR="00FB155C" w:rsidRPr="0066798F">
        <w:rPr>
          <w:rFonts w:ascii="Arial" w:hAnsi="Arial" w:cs="Arial"/>
          <w:sz w:val="20"/>
        </w:rPr>
        <w:t xml:space="preserve"> </w:t>
      </w:r>
      <w:r w:rsidR="00B61D52" w:rsidRPr="0066798F">
        <w:rPr>
          <w:rFonts w:ascii="Arial" w:hAnsi="Arial" w:cs="Arial"/>
          <w:sz w:val="20"/>
        </w:rPr>
        <w:t xml:space="preserve">Rules Title 47 Part 95 </w:t>
      </w:r>
      <w:r w:rsidR="00DA162F" w:rsidRPr="0066798F">
        <w:rPr>
          <w:rFonts w:ascii="Arial" w:hAnsi="Arial" w:cs="Arial"/>
          <w:sz w:val="20"/>
        </w:rPr>
        <w:t>Sections 2573 and 2579.</w:t>
      </w:r>
    </w:p>
    <w:p w:rsidR="002A7CD8" w:rsidRPr="0066798F" w:rsidRDefault="002A7CD8" w:rsidP="00302DBB">
      <w:pPr>
        <w:pStyle w:val="BodyT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Pr="0066798F">
        <w:rPr>
          <w:rFonts w:ascii="Arial" w:hAnsi="Arial" w:cs="Arial"/>
          <w:b/>
          <w:sz w:val="20"/>
        </w:rPr>
        <w:t>3  Schedule</w:t>
      </w:r>
      <w:proofErr w:type="gramEnd"/>
      <w:r w:rsidRPr="0066798F">
        <w:rPr>
          <w:rFonts w:ascii="Arial" w:hAnsi="Arial" w:cs="Arial"/>
          <w:b/>
          <w:sz w:val="20"/>
        </w:rPr>
        <w:t xml:space="preserve"> 1, after item 3</w:t>
      </w:r>
      <w:r w:rsidR="00F07545">
        <w:rPr>
          <w:rFonts w:ascii="Arial" w:hAnsi="Arial" w:cs="Arial"/>
          <w:b/>
          <w:sz w:val="20"/>
        </w:rPr>
        <w:t>4</w:t>
      </w:r>
    </w:p>
    <w:p w:rsidR="002A7CD8" w:rsidRPr="0066798F" w:rsidRDefault="00F07545" w:rsidP="00302DBB">
      <w:pPr>
        <w:pStyle w:val="BodyText"/>
        <w:tabs>
          <w:tab w:val="left" w:pos="360"/>
        </w:tabs>
        <w:spacing w:before="120" w:line="260" w:lineRule="atLeast"/>
        <w:rPr>
          <w:rFonts w:ascii="Arial" w:hAnsi="Arial" w:cs="Arial"/>
          <w:sz w:val="20"/>
        </w:rPr>
      </w:pPr>
      <w:r>
        <w:rPr>
          <w:rFonts w:ascii="Arial" w:hAnsi="Arial" w:cs="Arial"/>
          <w:sz w:val="20"/>
        </w:rPr>
        <w:t xml:space="preserve">A new item 34A is inserted in Schedule 1 to the LIPD Class Licence to </w:t>
      </w:r>
      <w:r w:rsidR="002A7CD8" w:rsidRPr="0066798F">
        <w:rPr>
          <w:rFonts w:ascii="Arial" w:hAnsi="Arial" w:cs="Arial"/>
          <w:sz w:val="20"/>
        </w:rPr>
        <w:t xml:space="preserve">authorise the use of medical </w:t>
      </w:r>
      <w:r w:rsidR="00F470DA" w:rsidRPr="0066798F">
        <w:rPr>
          <w:rFonts w:ascii="Arial" w:hAnsi="Arial" w:cs="Arial"/>
          <w:sz w:val="20"/>
        </w:rPr>
        <w:t xml:space="preserve">endoscopy capsule transmitters </w:t>
      </w:r>
      <w:r w:rsidR="002A7CD8" w:rsidRPr="0066798F">
        <w:rPr>
          <w:rFonts w:ascii="Arial" w:hAnsi="Arial" w:cs="Arial"/>
          <w:sz w:val="20"/>
        </w:rPr>
        <w:t xml:space="preserve">in the </w:t>
      </w:r>
      <w:r w:rsidR="00F470DA" w:rsidRPr="0066798F">
        <w:rPr>
          <w:rFonts w:ascii="Arial" w:hAnsi="Arial" w:cs="Arial"/>
          <w:sz w:val="20"/>
        </w:rPr>
        <w:t>430-440</w:t>
      </w:r>
      <w:r w:rsidR="0091079F" w:rsidRPr="0066798F">
        <w:rPr>
          <w:rFonts w:ascii="Arial" w:hAnsi="Arial" w:cs="Arial"/>
          <w:sz w:val="20"/>
        </w:rPr>
        <w:t xml:space="preserve"> MHz band.</w:t>
      </w:r>
      <w:r w:rsidR="002A7CD8" w:rsidRPr="0066798F">
        <w:rPr>
          <w:rFonts w:ascii="Arial" w:hAnsi="Arial" w:cs="Arial"/>
          <w:sz w:val="20"/>
        </w:rPr>
        <w:t xml:space="preserve"> </w:t>
      </w:r>
      <w:r w:rsidR="00683A71">
        <w:rPr>
          <w:rFonts w:ascii="Arial" w:hAnsi="Arial" w:cs="Arial"/>
          <w:sz w:val="20"/>
        </w:rPr>
        <w:t xml:space="preserve">These are used for performing medical observation of the human gastrointestinal tract by swallowing a capsule camera and receiving images by an external dedicated recorder receiver.  </w:t>
      </w:r>
      <w:r w:rsidR="00F470DA" w:rsidRPr="0066798F">
        <w:rPr>
          <w:rFonts w:ascii="Arial" w:hAnsi="Arial" w:cs="Arial"/>
          <w:sz w:val="20"/>
        </w:rPr>
        <w:t xml:space="preserve">The maximum </w:t>
      </w:r>
      <w:r w:rsidR="00FF15EF" w:rsidRPr="00FF15EF">
        <w:rPr>
          <w:rFonts w:ascii="Arial" w:hAnsi="Arial" w:cs="Arial"/>
          <w:sz w:val="20"/>
        </w:rPr>
        <w:t>effective radiated power spectral density</w:t>
      </w:r>
      <w:r w:rsidR="00F470DA" w:rsidRPr="0066798F">
        <w:rPr>
          <w:rFonts w:ascii="Arial" w:hAnsi="Arial" w:cs="Arial"/>
          <w:sz w:val="20"/>
        </w:rPr>
        <w:t xml:space="preserve"> is limited</w:t>
      </w:r>
      <w:r w:rsidR="00FF15EF">
        <w:rPr>
          <w:rFonts w:ascii="Arial" w:hAnsi="Arial" w:cs="Arial"/>
          <w:sz w:val="20"/>
        </w:rPr>
        <w:t xml:space="preserve"> by</w:t>
      </w:r>
      <w:r w:rsidR="00F470DA" w:rsidRPr="0066798F">
        <w:rPr>
          <w:rFonts w:ascii="Arial" w:hAnsi="Arial" w:cs="Arial"/>
          <w:sz w:val="20"/>
        </w:rPr>
        <w:t xml:space="preserve"> paragraphs (a) and (b) of Column 4.  In paragraph (a) the maximum </w:t>
      </w:r>
      <w:r w:rsidR="00E92ED5" w:rsidRPr="0066798F">
        <w:rPr>
          <w:rFonts w:ascii="Arial" w:hAnsi="Arial" w:cs="Arial"/>
          <w:sz w:val="20"/>
        </w:rPr>
        <w:t xml:space="preserve">effective </w:t>
      </w:r>
      <w:r w:rsidR="00F470DA" w:rsidRPr="0066798F">
        <w:rPr>
          <w:rFonts w:ascii="Arial" w:hAnsi="Arial" w:cs="Arial"/>
          <w:sz w:val="20"/>
        </w:rPr>
        <w:t xml:space="preserve">radiated power spectral density has been limited to minus 50 </w:t>
      </w:r>
      <w:proofErr w:type="spellStart"/>
      <w:r w:rsidR="00F470DA" w:rsidRPr="0066798F">
        <w:rPr>
          <w:rFonts w:ascii="Arial" w:hAnsi="Arial" w:cs="Arial"/>
          <w:sz w:val="20"/>
        </w:rPr>
        <w:t>dBm</w:t>
      </w:r>
      <w:proofErr w:type="spellEnd"/>
      <w:r w:rsidR="00F470DA" w:rsidRPr="0066798F">
        <w:rPr>
          <w:rFonts w:ascii="Arial" w:hAnsi="Arial" w:cs="Arial"/>
          <w:sz w:val="20"/>
        </w:rPr>
        <w:t xml:space="preserve"> per 100 kHz, while in paragraph (</w:t>
      </w:r>
      <w:r w:rsidR="00EE1E6D" w:rsidRPr="0066798F">
        <w:rPr>
          <w:rFonts w:ascii="Arial" w:hAnsi="Arial" w:cs="Arial"/>
          <w:sz w:val="20"/>
        </w:rPr>
        <w:t>b) the</w:t>
      </w:r>
      <w:r w:rsidR="000E4CB3" w:rsidRPr="0066798F">
        <w:rPr>
          <w:rFonts w:ascii="Arial" w:hAnsi="Arial" w:cs="Arial"/>
          <w:sz w:val="20"/>
        </w:rPr>
        <w:t xml:space="preserve"> total</w:t>
      </w:r>
      <w:r w:rsidR="00EE1E6D" w:rsidRPr="0066798F">
        <w:rPr>
          <w:rFonts w:ascii="Arial" w:hAnsi="Arial" w:cs="Arial"/>
          <w:sz w:val="20"/>
        </w:rPr>
        <w:t xml:space="preserve"> effective radiated power</w:t>
      </w:r>
      <w:r w:rsidR="00F470DA" w:rsidRPr="0066798F">
        <w:rPr>
          <w:rFonts w:ascii="Arial" w:hAnsi="Arial" w:cs="Arial"/>
          <w:sz w:val="20"/>
        </w:rPr>
        <w:t xml:space="preserve"> has been limited to 40 </w:t>
      </w:r>
      <w:proofErr w:type="spellStart"/>
      <w:r w:rsidR="00F470DA" w:rsidRPr="0066798F">
        <w:rPr>
          <w:rFonts w:ascii="Arial" w:hAnsi="Arial" w:cs="Arial"/>
          <w:sz w:val="20"/>
        </w:rPr>
        <w:t>dBm</w:t>
      </w:r>
      <w:proofErr w:type="spellEnd"/>
      <w:r w:rsidR="00F470DA" w:rsidRPr="0066798F">
        <w:rPr>
          <w:rFonts w:ascii="Arial" w:hAnsi="Arial" w:cs="Arial"/>
          <w:sz w:val="20"/>
        </w:rPr>
        <w:t xml:space="preserve"> per 10 MHz measurement bandwidth. </w:t>
      </w:r>
      <w:r w:rsidR="00FF15EF">
        <w:rPr>
          <w:rFonts w:ascii="Arial" w:hAnsi="Arial" w:cs="Arial"/>
          <w:sz w:val="20"/>
        </w:rPr>
        <w:t>Paragraph (c) in Column 4 requires that</w:t>
      </w:r>
      <w:r w:rsidR="00F470DA" w:rsidRPr="0066798F">
        <w:rPr>
          <w:rFonts w:ascii="Arial" w:hAnsi="Arial" w:cs="Arial"/>
          <w:sz w:val="20"/>
        </w:rPr>
        <w:t xml:space="preserve"> these limits are to be measured outside the patient’s body</w:t>
      </w:r>
      <w:r w:rsidR="00FF15EF">
        <w:rPr>
          <w:rFonts w:ascii="Arial" w:hAnsi="Arial" w:cs="Arial"/>
          <w:sz w:val="20"/>
        </w:rPr>
        <w:t>.</w:t>
      </w:r>
      <w:r w:rsidR="00F470DA" w:rsidRPr="0066798F">
        <w:rPr>
          <w:rFonts w:ascii="Arial" w:hAnsi="Arial" w:cs="Arial"/>
          <w:sz w:val="20"/>
        </w:rPr>
        <w:t xml:space="preserve"> </w:t>
      </w:r>
    </w:p>
    <w:p w:rsidR="005E2567" w:rsidRPr="0066798F" w:rsidRDefault="005E2567" w:rsidP="00302DBB">
      <w:pPr>
        <w:pStyle w:val="BodyT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2A7CD8" w:rsidRPr="0066798F">
        <w:rPr>
          <w:rFonts w:ascii="Arial" w:hAnsi="Arial" w:cs="Arial"/>
          <w:b/>
          <w:sz w:val="20"/>
        </w:rPr>
        <w:t>4</w:t>
      </w:r>
      <w:r w:rsidRPr="0066798F">
        <w:rPr>
          <w:rFonts w:ascii="Arial" w:hAnsi="Arial" w:cs="Arial"/>
          <w:b/>
          <w:sz w:val="20"/>
        </w:rPr>
        <w:t xml:space="preserve">  Schedule</w:t>
      </w:r>
      <w:proofErr w:type="gramEnd"/>
      <w:r w:rsidRPr="0066798F">
        <w:rPr>
          <w:rFonts w:ascii="Arial" w:hAnsi="Arial" w:cs="Arial"/>
          <w:b/>
          <w:sz w:val="20"/>
        </w:rPr>
        <w:t xml:space="preserve"> 1, after item 35</w:t>
      </w:r>
    </w:p>
    <w:p w:rsidR="005E2567"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5E2567" w:rsidRPr="0066798F">
        <w:rPr>
          <w:rFonts w:ascii="Arial" w:hAnsi="Arial" w:cs="Arial"/>
          <w:sz w:val="20"/>
        </w:rPr>
        <w:t xml:space="preserve"> inserts two new items in Schedule 1 </w:t>
      </w:r>
      <w:r w:rsidR="00F07545">
        <w:rPr>
          <w:rFonts w:ascii="Arial" w:hAnsi="Arial" w:cs="Arial"/>
          <w:sz w:val="20"/>
        </w:rPr>
        <w:t>to</w:t>
      </w:r>
      <w:r w:rsidR="005E2567" w:rsidRPr="0066798F">
        <w:rPr>
          <w:rFonts w:ascii="Arial" w:hAnsi="Arial" w:cs="Arial"/>
          <w:sz w:val="20"/>
        </w:rPr>
        <w:t xml:space="preserve"> the LIPD Class licence.</w:t>
      </w:r>
    </w:p>
    <w:p w:rsidR="00420883" w:rsidRPr="0066798F" w:rsidRDefault="005E2567" w:rsidP="00420883">
      <w:pPr>
        <w:rPr>
          <w:rFonts w:ascii="Arial" w:hAnsi="Arial" w:cs="Arial"/>
        </w:rPr>
      </w:pPr>
      <w:r w:rsidRPr="0066798F">
        <w:rPr>
          <w:rFonts w:ascii="Arial" w:hAnsi="Arial" w:cs="Arial"/>
        </w:rPr>
        <w:t>Item 35A authorise</w:t>
      </w:r>
      <w:r w:rsidR="0091079F" w:rsidRPr="0066798F">
        <w:rPr>
          <w:rFonts w:ascii="Arial" w:hAnsi="Arial" w:cs="Arial"/>
        </w:rPr>
        <w:t>s</w:t>
      </w:r>
      <w:r w:rsidRPr="0066798F">
        <w:rPr>
          <w:rFonts w:ascii="Arial" w:hAnsi="Arial" w:cs="Arial"/>
        </w:rPr>
        <w:t xml:space="preserve"> the use of medical body area network </w:t>
      </w:r>
      <w:r w:rsidR="00683A71">
        <w:rPr>
          <w:rFonts w:ascii="Arial" w:hAnsi="Arial" w:cs="Arial"/>
        </w:rPr>
        <w:t>(</w:t>
      </w:r>
      <w:r w:rsidR="00683A71" w:rsidRPr="00683A71">
        <w:rPr>
          <w:rFonts w:ascii="Arial" w:hAnsi="Arial" w:cs="Arial"/>
          <w:b/>
        </w:rPr>
        <w:t>MBAN</w:t>
      </w:r>
      <w:r w:rsidR="00683A71">
        <w:rPr>
          <w:rFonts w:ascii="Arial" w:hAnsi="Arial" w:cs="Arial"/>
        </w:rPr>
        <w:t xml:space="preserve">) </w:t>
      </w:r>
      <w:r w:rsidRPr="0066798F">
        <w:rPr>
          <w:rFonts w:ascii="Arial" w:hAnsi="Arial" w:cs="Arial"/>
        </w:rPr>
        <w:t>transmitters in the 2483.5-2500 MHz band</w:t>
      </w:r>
      <w:r w:rsidR="00FF15EF">
        <w:rPr>
          <w:rFonts w:ascii="Arial" w:hAnsi="Arial" w:cs="Arial"/>
        </w:rPr>
        <w:t xml:space="preserve">. </w:t>
      </w:r>
      <w:r w:rsidR="00683A71">
        <w:rPr>
          <w:rFonts w:ascii="Arial" w:hAnsi="Arial" w:cs="Arial"/>
        </w:rPr>
        <w:t xml:space="preserve"> These are used for transmission of non-voice data to and from medical devices for the purposes of monitoring, diagnosing and treating patients by medical professionals.  They are designed to be deployed indoors within healthcare facilities and patients’ homes.  </w:t>
      </w:r>
      <w:r w:rsidR="00FF15EF">
        <w:rPr>
          <w:rFonts w:ascii="Arial" w:hAnsi="Arial" w:cs="Arial"/>
        </w:rPr>
        <w:t>T</w:t>
      </w:r>
      <w:r w:rsidR="009A0E66" w:rsidRPr="0066798F">
        <w:rPr>
          <w:rFonts w:ascii="Arial" w:hAnsi="Arial" w:cs="Arial"/>
        </w:rPr>
        <w:t xml:space="preserve">he use of these transmitters must </w:t>
      </w:r>
      <w:r w:rsidR="00FF15EF">
        <w:rPr>
          <w:rFonts w:ascii="Arial" w:hAnsi="Arial" w:cs="Arial"/>
        </w:rPr>
        <w:t>align with</w:t>
      </w:r>
      <w:r w:rsidR="009A0E66" w:rsidRPr="0066798F">
        <w:rPr>
          <w:rFonts w:ascii="Arial" w:hAnsi="Arial" w:cs="Arial"/>
        </w:rPr>
        <w:t xml:space="preserve"> the international standard from the European Telecommunications Standards Institute </w:t>
      </w:r>
      <w:r w:rsidR="00F07545" w:rsidRPr="0066798F">
        <w:rPr>
          <w:rFonts w:ascii="Arial" w:hAnsi="Arial" w:cs="Arial"/>
        </w:rPr>
        <w:t>(</w:t>
      </w:r>
      <w:r w:rsidR="00F07545" w:rsidRPr="00F07545">
        <w:rPr>
          <w:rFonts w:ascii="Arial" w:hAnsi="Arial" w:cs="Arial"/>
          <w:b/>
        </w:rPr>
        <w:t>ETSI</w:t>
      </w:r>
      <w:r w:rsidR="00F07545" w:rsidRPr="0066798F">
        <w:rPr>
          <w:rFonts w:ascii="Arial" w:hAnsi="Arial" w:cs="Arial"/>
        </w:rPr>
        <w:t xml:space="preserve">) </w:t>
      </w:r>
      <w:r w:rsidR="009A0E66" w:rsidRPr="0066798F">
        <w:rPr>
          <w:rFonts w:ascii="Arial" w:hAnsi="Arial" w:cs="Arial"/>
        </w:rPr>
        <w:t>Standard EN 303 203</w:t>
      </w:r>
      <w:r w:rsidR="00420883" w:rsidRPr="0066798F">
        <w:rPr>
          <w:rFonts w:ascii="Arial" w:hAnsi="Arial" w:cs="Arial"/>
        </w:rPr>
        <w:t>.</w:t>
      </w:r>
      <w:r w:rsidR="00420883">
        <w:rPr>
          <w:rFonts w:ascii="Arial" w:hAnsi="Arial" w:cs="Arial"/>
        </w:rPr>
        <w:t xml:space="preserve">  </w:t>
      </w:r>
      <w:r w:rsidR="00420883" w:rsidRPr="0066798F">
        <w:rPr>
          <w:rFonts w:ascii="Arial" w:hAnsi="Arial" w:cs="Arial"/>
        </w:rPr>
        <w:t>Th</w:t>
      </w:r>
      <w:r w:rsidR="00420883">
        <w:rPr>
          <w:rFonts w:ascii="Arial" w:hAnsi="Arial" w:cs="Arial"/>
        </w:rPr>
        <w:t>is</w:t>
      </w:r>
      <w:r w:rsidR="00420883" w:rsidRPr="0066798F">
        <w:rPr>
          <w:rFonts w:ascii="Arial" w:hAnsi="Arial" w:cs="Arial"/>
        </w:rPr>
        <w:t xml:space="preserve"> Standard lists two values for the EIRP and duty cycle levels</w:t>
      </w:r>
      <w:r w:rsidR="00420883">
        <w:rPr>
          <w:rFonts w:ascii="Arial" w:hAnsi="Arial" w:cs="Arial"/>
        </w:rPr>
        <w:t xml:space="preserve"> (</w:t>
      </w:r>
      <w:r w:rsidR="00420883" w:rsidRPr="00420883">
        <w:rPr>
          <w:rFonts w:ascii="Arial" w:hAnsi="Arial" w:cs="Arial"/>
        </w:rPr>
        <w:t xml:space="preserve">defined as the ratio, expressed as a </w:t>
      </w:r>
      <w:r w:rsidR="00420883" w:rsidRPr="00420883">
        <w:rPr>
          <w:rFonts w:ascii="Arial" w:hAnsi="Arial" w:cs="Arial"/>
        </w:rPr>
        <w:lastRenderedPageBreak/>
        <w:t>percentage of the</w:t>
      </w:r>
      <w:r w:rsidR="00986B31">
        <w:rPr>
          <w:rFonts w:ascii="Arial" w:hAnsi="Arial" w:cs="Arial"/>
        </w:rPr>
        <w:t xml:space="preserve"> </w:t>
      </w:r>
      <w:r w:rsidR="00420883" w:rsidRPr="00420883">
        <w:rPr>
          <w:rFonts w:ascii="Arial" w:hAnsi="Arial" w:cs="Arial"/>
        </w:rPr>
        <w:t>maximum transmitter "on" time monitored over one hour, relative to a one hour period</w:t>
      </w:r>
      <w:r w:rsidR="00420883">
        <w:rPr>
          <w:rFonts w:ascii="Arial" w:hAnsi="Arial" w:cs="Arial"/>
        </w:rPr>
        <w:t>),</w:t>
      </w:r>
      <w:r w:rsidR="00420883" w:rsidRPr="0066798F">
        <w:rPr>
          <w:rFonts w:ascii="Arial" w:hAnsi="Arial" w:cs="Arial"/>
        </w:rPr>
        <w:t xml:space="preserve"> and the limits are:</w:t>
      </w:r>
    </w:p>
    <w:p w:rsidR="00420883" w:rsidRPr="0066798F" w:rsidRDefault="00420883" w:rsidP="00420883">
      <w:pPr>
        <w:rPr>
          <w:rFonts w:ascii="Arial" w:hAnsi="Arial" w:cs="Arial"/>
        </w:rPr>
      </w:pPr>
    </w:p>
    <w:p w:rsidR="00420883" w:rsidRPr="0066798F" w:rsidRDefault="00420883" w:rsidP="00420883">
      <w:pPr>
        <w:pStyle w:val="ListParagraph"/>
        <w:numPr>
          <w:ilvl w:val="0"/>
          <w:numId w:val="24"/>
        </w:numPr>
        <w:rPr>
          <w:rFonts w:cs="Arial"/>
        </w:rPr>
      </w:pPr>
      <w:r w:rsidRPr="0066798F">
        <w:rPr>
          <w:rFonts w:cs="Arial"/>
        </w:rPr>
        <w:t xml:space="preserve">for MBANs operating within </w:t>
      </w:r>
      <w:r>
        <w:rPr>
          <w:rFonts w:cs="Arial"/>
        </w:rPr>
        <w:t xml:space="preserve">a </w:t>
      </w:r>
      <w:r w:rsidRPr="0066798F">
        <w:rPr>
          <w:rFonts w:cs="Arial"/>
        </w:rPr>
        <w:t xml:space="preserve">healthcare facility, the maximum EIRP is 1 </w:t>
      </w:r>
      <w:proofErr w:type="spellStart"/>
      <w:r w:rsidRPr="0066798F">
        <w:rPr>
          <w:rFonts w:cs="Arial"/>
        </w:rPr>
        <w:t>mW</w:t>
      </w:r>
      <w:proofErr w:type="spellEnd"/>
      <w:r w:rsidRPr="0066798F">
        <w:rPr>
          <w:rFonts w:cs="Arial"/>
        </w:rPr>
        <w:t xml:space="preserve"> with no more than </w:t>
      </w:r>
      <w:r>
        <w:rPr>
          <w:rFonts w:cs="Arial"/>
        </w:rPr>
        <w:br/>
      </w:r>
      <w:r w:rsidRPr="0066798F">
        <w:rPr>
          <w:rFonts w:cs="Arial"/>
        </w:rPr>
        <w:t>10 % duty cycle over a maximum emission bandwidth of 3 MHz;</w:t>
      </w:r>
      <w:r>
        <w:rPr>
          <w:rFonts w:cs="Arial"/>
        </w:rPr>
        <w:t xml:space="preserve"> and</w:t>
      </w:r>
    </w:p>
    <w:p w:rsidR="00420883" w:rsidRPr="0066798F" w:rsidRDefault="00420883" w:rsidP="00420883">
      <w:pPr>
        <w:pStyle w:val="ListParagraph"/>
        <w:numPr>
          <w:ilvl w:val="0"/>
          <w:numId w:val="24"/>
        </w:numPr>
        <w:rPr>
          <w:rFonts w:cs="Arial"/>
        </w:rPr>
      </w:pPr>
      <w:proofErr w:type="gramStart"/>
      <w:r w:rsidRPr="0066798F">
        <w:rPr>
          <w:rFonts w:cs="Arial"/>
        </w:rPr>
        <w:t>for</w:t>
      </w:r>
      <w:proofErr w:type="gramEnd"/>
      <w:r w:rsidRPr="0066798F">
        <w:rPr>
          <w:rFonts w:cs="Arial"/>
        </w:rPr>
        <w:t xml:space="preserve"> MBANs operating within </w:t>
      </w:r>
      <w:r>
        <w:rPr>
          <w:rFonts w:cs="Arial"/>
        </w:rPr>
        <w:t xml:space="preserve">a </w:t>
      </w:r>
      <w:r w:rsidRPr="0066798F">
        <w:rPr>
          <w:rFonts w:cs="Arial"/>
        </w:rPr>
        <w:t xml:space="preserve">patient’s home, the maximum EIRP is 10 </w:t>
      </w:r>
      <w:proofErr w:type="spellStart"/>
      <w:r w:rsidRPr="0066798F">
        <w:rPr>
          <w:rFonts w:cs="Arial"/>
        </w:rPr>
        <w:t>mW</w:t>
      </w:r>
      <w:proofErr w:type="spellEnd"/>
      <w:r w:rsidRPr="0066798F">
        <w:rPr>
          <w:rFonts w:cs="Arial"/>
        </w:rPr>
        <w:t xml:space="preserve"> with no more than 2 % duty cycle over a maximum emission bandwidth of 3 </w:t>
      </w:r>
      <w:proofErr w:type="spellStart"/>
      <w:r w:rsidRPr="0066798F">
        <w:rPr>
          <w:rFonts w:cs="Arial"/>
        </w:rPr>
        <w:t>MHz</w:t>
      </w:r>
      <w:r>
        <w:rPr>
          <w:rFonts w:cs="Arial"/>
        </w:rPr>
        <w:t>.</w:t>
      </w:r>
      <w:proofErr w:type="spellEnd"/>
    </w:p>
    <w:p w:rsidR="00683A71" w:rsidRPr="0066798F" w:rsidRDefault="00683A71" w:rsidP="004447A2">
      <w:pPr>
        <w:rPr>
          <w:rFonts w:cs="Arial"/>
        </w:rPr>
      </w:pPr>
    </w:p>
    <w:p w:rsidR="00683A71" w:rsidRPr="00683A71" w:rsidRDefault="009A0E66" w:rsidP="00683A71">
      <w:pPr>
        <w:pStyle w:val="BodyText"/>
        <w:tabs>
          <w:tab w:val="left" w:pos="360"/>
        </w:tabs>
        <w:spacing w:before="120" w:line="260" w:lineRule="atLeast"/>
        <w:rPr>
          <w:rFonts w:ascii="Arial" w:hAnsi="Arial" w:cs="Arial"/>
          <w:sz w:val="20"/>
        </w:rPr>
      </w:pPr>
      <w:r w:rsidRPr="0066798F">
        <w:rPr>
          <w:rFonts w:ascii="Arial" w:hAnsi="Arial" w:cs="Arial"/>
          <w:sz w:val="20"/>
        </w:rPr>
        <w:t>Item 35B authorise</w:t>
      </w:r>
      <w:r w:rsidR="0091079F" w:rsidRPr="0066798F">
        <w:rPr>
          <w:rFonts w:ascii="Arial" w:hAnsi="Arial" w:cs="Arial"/>
          <w:sz w:val="20"/>
        </w:rPr>
        <w:t>s</w:t>
      </w:r>
      <w:r w:rsidRPr="0066798F">
        <w:rPr>
          <w:rFonts w:ascii="Arial" w:hAnsi="Arial" w:cs="Arial"/>
          <w:sz w:val="20"/>
        </w:rPr>
        <w:t xml:space="preserve"> the use of low power active medical implant</w:t>
      </w:r>
      <w:r w:rsidR="0091079F" w:rsidRPr="0066798F">
        <w:rPr>
          <w:rFonts w:ascii="Arial" w:hAnsi="Arial" w:cs="Arial"/>
          <w:sz w:val="20"/>
        </w:rPr>
        <w:t>s</w:t>
      </w:r>
      <w:r w:rsidRPr="0066798F">
        <w:rPr>
          <w:rFonts w:ascii="Arial" w:hAnsi="Arial" w:cs="Arial"/>
          <w:sz w:val="20"/>
        </w:rPr>
        <w:t xml:space="preserve"> in the 2483.5-2500 MHz band</w:t>
      </w:r>
      <w:r w:rsidR="00FF15EF">
        <w:rPr>
          <w:rFonts w:ascii="Arial" w:hAnsi="Arial" w:cs="Arial"/>
          <w:sz w:val="20"/>
        </w:rPr>
        <w:t xml:space="preserve">. </w:t>
      </w:r>
      <w:r w:rsidR="00683A71">
        <w:rPr>
          <w:rFonts w:ascii="Arial" w:hAnsi="Arial" w:cs="Arial"/>
          <w:sz w:val="20"/>
        </w:rPr>
        <w:t xml:space="preserve"> </w:t>
      </w:r>
      <w:r w:rsidR="00683A71" w:rsidRPr="00683A71">
        <w:rPr>
          <w:rFonts w:ascii="Arial" w:hAnsi="Arial" w:cs="Arial"/>
          <w:sz w:val="20"/>
        </w:rPr>
        <w:t>Active medical implant communication systems are intended to provide high-speed communication capability between individuals with implants, and medical practitioners, for the purpose of diagnosing and delivering therapy to individuals with various illnesses.</w:t>
      </w:r>
      <w:r w:rsidR="00683A71">
        <w:rPr>
          <w:rFonts w:ascii="Arial" w:hAnsi="Arial" w:cs="Arial"/>
          <w:sz w:val="20"/>
        </w:rPr>
        <w:t xml:space="preserve">  </w:t>
      </w:r>
      <w:r w:rsidR="00FF15EF">
        <w:rPr>
          <w:rFonts w:ascii="Arial" w:hAnsi="Arial" w:cs="Arial"/>
          <w:sz w:val="20"/>
        </w:rPr>
        <w:t>T</w:t>
      </w:r>
      <w:r w:rsidRPr="0066798F">
        <w:rPr>
          <w:rFonts w:ascii="Arial" w:hAnsi="Arial" w:cs="Arial"/>
          <w:sz w:val="20"/>
        </w:rPr>
        <w:t xml:space="preserve">he use of these transmitters must conform to the international standard from </w:t>
      </w:r>
      <w:r w:rsidR="00F07545">
        <w:rPr>
          <w:rFonts w:ascii="Arial" w:hAnsi="Arial" w:cs="Arial"/>
          <w:sz w:val="20"/>
        </w:rPr>
        <w:t>ETSI</w:t>
      </w:r>
      <w:r w:rsidRPr="0066798F">
        <w:rPr>
          <w:rFonts w:ascii="Arial" w:hAnsi="Arial" w:cs="Arial"/>
          <w:sz w:val="20"/>
        </w:rPr>
        <w:t xml:space="preserve"> Standard EN 301 559.</w:t>
      </w:r>
      <w:r w:rsidR="00683A71">
        <w:rPr>
          <w:rFonts w:ascii="Arial" w:hAnsi="Arial" w:cs="Arial"/>
          <w:sz w:val="20"/>
        </w:rPr>
        <w:t xml:space="preserve">  The</w:t>
      </w:r>
      <w:r w:rsidR="00420883">
        <w:rPr>
          <w:rFonts w:ascii="Arial" w:hAnsi="Arial" w:cs="Arial"/>
          <w:sz w:val="20"/>
        </w:rPr>
        <w:t xml:space="preserve"> m</w:t>
      </w:r>
      <w:r w:rsidR="00420883" w:rsidRPr="00683A71">
        <w:rPr>
          <w:rFonts w:ascii="Arial" w:hAnsi="Arial" w:cs="Arial"/>
          <w:sz w:val="20"/>
        </w:rPr>
        <w:t xml:space="preserve">aximum EIRP for these devices is limited by a compliance requirement with the ETSI Standard EN 301 559 which is specified in Column 4. The Standard limits the maximum EIRP to 10 </w:t>
      </w:r>
      <w:proofErr w:type="spellStart"/>
      <w:r w:rsidR="00420883" w:rsidRPr="00683A71">
        <w:rPr>
          <w:rFonts w:ascii="Arial" w:hAnsi="Arial" w:cs="Arial"/>
          <w:sz w:val="20"/>
        </w:rPr>
        <w:t>mW</w:t>
      </w:r>
      <w:proofErr w:type="spellEnd"/>
      <w:r w:rsidR="00420883" w:rsidRPr="00683A71">
        <w:rPr>
          <w:rFonts w:ascii="Arial" w:hAnsi="Arial" w:cs="Arial"/>
          <w:sz w:val="20"/>
        </w:rPr>
        <w:t xml:space="preserve"> and duty cycle to 10% in a period of one hou</w:t>
      </w:r>
      <w:r w:rsidR="00420883">
        <w:rPr>
          <w:rFonts w:ascii="Arial" w:hAnsi="Arial" w:cs="Arial"/>
          <w:sz w:val="20"/>
        </w:rPr>
        <w:t>r</w:t>
      </w:r>
      <w:r w:rsidR="00683A71" w:rsidRPr="00683A71">
        <w:rPr>
          <w:rFonts w:ascii="Arial" w:hAnsi="Arial" w:cs="Arial"/>
          <w:sz w:val="20"/>
        </w:rPr>
        <w:t xml:space="preserve">.  </w:t>
      </w:r>
    </w:p>
    <w:p w:rsidR="009A0E66" w:rsidRPr="0066798F" w:rsidRDefault="009A0E66" w:rsidP="00302DBB">
      <w:pPr>
        <w:pStyle w:val="BodyText"/>
        <w:keepNext/>
        <w:keepLines/>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2A7CD8" w:rsidRPr="0066798F">
        <w:rPr>
          <w:rFonts w:ascii="Arial" w:hAnsi="Arial" w:cs="Arial"/>
          <w:b/>
          <w:sz w:val="20"/>
        </w:rPr>
        <w:t>5</w:t>
      </w:r>
      <w:r w:rsidRPr="0066798F">
        <w:rPr>
          <w:rFonts w:ascii="Arial" w:hAnsi="Arial" w:cs="Arial"/>
          <w:b/>
          <w:sz w:val="20"/>
        </w:rPr>
        <w:t xml:space="preserve">  Schedule</w:t>
      </w:r>
      <w:proofErr w:type="gramEnd"/>
      <w:r w:rsidRPr="0066798F">
        <w:rPr>
          <w:rFonts w:ascii="Arial" w:hAnsi="Arial" w:cs="Arial"/>
          <w:b/>
          <w:sz w:val="20"/>
        </w:rPr>
        <w:t xml:space="preserve"> 1, item 65, Column 1</w:t>
      </w:r>
    </w:p>
    <w:p w:rsidR="009A0E66" w:rsidRPr="0066798F" w:rsidRDefault="009A0E66" w:rsidP="00302DBB">
      <w:pPr>
        <w:pStyle w:val="BodyText"/>
        <w:keepNext/>
        <w:keepLines/>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2A7CD8" w:rsidRPr="0066798F">
        <w:rPr>
          <w:rFonts w:ascii="Arial" w:hAnsi="Arial" w:cs="Arial"/>
          <w:b/>
          <w:sz w:val="20"/>
        </w:rPr>
        <w:t>6</w:t>
      </w:r>
      <w:r w:rsidRPr="0066798F">
        <w:rPr>
          <w:rFonts w:ascii="Arial" w:hAnsi="Arial" w:cs="Arial"/>
          <w:b/>
          <w:sz w:val="20"/>
        </w:rPr>
        <w:t xml:space="preserve">  Schedule</w:t>
      </w:r>
      <w:proofErr w:type="gramEnd"/>
      <w:r w:rsidRPr="0066798F">
        <w:rPr>
          <w:rFonts w:ascii="Arial" w:hAnsi="Arial" w:cs="Arial"/>
          <w:b/>
          <w:sz w:val="20"/>
        </w:rPr>
        <w:t xml:space="preserve"> 1, item 65, Column 4</w:t>
      </w:r>
      <w:r w:rsidR="00EF7A73" w:rsidRPr="0066798F">
        <w:rPr>
          <w:rFonts w:ascii="Arial" w:hAnsi="Arial" w:cs="Arial"/>
          <w:b/>
          <w:sz w:val="20"/>
        </w:rPr>
        <w:t xml:space="preserve"> </w:t>
      </w:r>
      <w:r w:rsidR="00D75373">
        <w:rPr>
          <w:rFonts w:ascii="Arial" w:hAnsi="Arial" w:cs="Arial"/>
          <w:b/>
          <w:sz w:val="20"/>
        </w:rPr>
        <w:t>- Limitations</w:t>
      </w:r>
    </w:p>
    <w:p w:rsidR="00C65ED0" w:rsidRPr="0066798F" w:rsidRDefault="00C65ED0" w:rsidP="00C65ED0">
      <w:pPr>
        <w:pStyle w:val="BodyText"/>
        <w:tabs>
          <w:tab w:val="left" w:pos="360"/>
        </w:tabs>
        <w:spacing w:before="120" w:line="260" w:lineRule="atLeast"/>
        <w:rPr>
          <w:rFonts w:ascii="Arial" w:hAnsi="Arial" w:cs="Arial"/>
          <w:sz w:val="20"/>
        </w:rPr>
      </w:pPr>
      <w:r>
        <w:rPr>
          <w:rFonts w:ascii="Arial" w:hAnsi="Arial" w:cs="Arial"/>
          <w:sz w:val="20"/>
        </w:rPr>
        <w:t xml:space="preserve">These </w:t>
      </w:r>
      <w:r w:rsidR="00D75373">
        <w:rPr>
          <w:rFonts w:ascii="Arial" w:hAnsi="Arial" w:cs="Arial"/>
          <w:sz w:val="20"/>
        </w:rPr>
        <w:t xml:space="preserve">two </w:t>
      </w:r>
      <w:r>
        <w:rPr>
          <w:rFonts w:ascii="Arial" w:hAnsi="Arial" w:cs="Arial"/>
          <w:sz w:val="20"/>
        </w:rPr>
        <w:t>items</w:t>
      </w:r>
      <w:r w:rsidRPr="0066798F">
        <w:rPr>
          <w:rFonts w:ascii="Arial" w:hAnsi="Arial" w:cs="Arial"/>
          <w:sz w:val="20"/>
        </w:rPr>
        <w:t xml:space="preserve"> effectively remove the indoor restriction from </w:t>
      </w:r>
      <w:r>
        <w:rPr>
          <w:rFonts w:ascii="Arial" w:hAnsi="Arial" w:cs="Arial"/>
          <w:sz w:val="20"/>
        </w:rPr>
        <w:t>item 65</w:t>
      </w:r>
      <w:r w:rsidRPr="0066798F">
        <w:rPr>
          <w:rFonts w:ascii="Arial" w:hAnsi="Arial" w:cs="Arial"/>
          <w:sz w:val="20"/>
        </w:rPr>
        <w:t xml:space="preserve">. </w:t>
      </w:r>
      <w:r w:rsidR="00C13ED7" w:rsidRPr="0066798F">
        <w:rPr>
          <w:rFonts w:ascii="Arial" w:hAnsi="Arial" w:cs="Arial"/>
          <w:sz w:val="20"/>
        </w:rPr>
        <w:t xml:space="preserve">This item authorises the operation of digital communication transmitters in the </w:t>
      </w:r>
      <w:r w:rsidR="00D75373" w:rsidRPr="0066798F">
        <w:rPr>
          <w:rFonts w:ascii="Arial" w:hAnsi="Arial" w:cs="Arial"/>
          <w:sz w:val="20"/>
        </w:rPr>
        <w:t xml:space="preserve">57000-66000 MHz </w:t>
      </w:r>
      <w:r w:rsidR="00C13ED7" w:rsidRPr="0066798F">
        <w:rPr>
          <w:rFonts w:ascii="Arial" w:hAnsi="Arial" w:cs="Arial"/>
          <w:sz w:val="20"/>
        </w:rPr>
        <w:t>frequency band.</w:t>
      </w:r>
      <w:r w:rsidR="00C13ED7">
        <w:rPr>
          <w:rFonts w:ascii="Arial" w:hAnsi="Arial" w:cs="Arial"/>
          <w:sz w:val="20"/>
        </w:rPr>
        <w:t xml:space="preserve"> </w:t>
      </w:r>
      <w:r w:rsidR="00C13ED7" w:rsidRPr="0066798F">
        <w:rPr>
          <w:rFonts w:ascii="Arial" w:hAnsi="Arial" w:cs="Arial"/>
          <w:sz w:val="20"/>
        </w:rPr>
        <w:t xml:space="preserve"> This limitation was originally put in place to encourage the development of multi-gigabit millimetre-wave wireless radio local area networks</w:t>
      </w:r>
      <w:r w:rsidR="00C13ED7">
        <w:rPr>
          <w:rFonts w:ascii="Arial" w:hAnsi="Arial" w:cs="Arial"/>
          <w:sz w:val="20"/>
        </w:rPr>
        <w:t>,</w:t>
      </w:r>
      <w:r w:rsidR="00C13ED7" w:rsidRPr="0066798F">
        <w:rPr>
          <w:rFonts w:ascii="Arial" w:hAnsi="Arial" w:cs="Arial"/>
          <w:sz w:val="20"/>
        </w:rPr>
        <w:t xml:space="preserve"> operating mostly indoors</w:t>
      </w:r>
      <w:r w:rsidR="00C13ED7">
        <w:rPr>
          <w:rFonts w:ascii="Arial" w:hAnsi="Arial" w:cs="Arial"/>
          <w:sz w:val="20"/>
        </w:rPr>
        <w:t>,</w:t>
      </w:r>
      <w:r w:rsidR="00C13ED7" w:rsidRPr="0066798F">
        <w:rPr>
          <w:rFonts w:ascii="Arial" w:hAnsi="Arial" w:cs="Arial"/>
          <w:sz w:val="20"/>
        </w:rPr>
        <w:t xml:space="preserve"> in the 57000-66000 MHz band. However, international technological development is currently focused on other compatible services in this band</w:t>
      </w:r>
      <w:r w:rsidR="00C13ED7">
        <w:rPr>
          <w:rFonts w:ascii="Arial" w:hAnsi="Arial" w:cs="Arial"/>
          <w:sz w:val="20"/>
        </w:rPr>
        <w:t>,</w:t>
      </w:r>
      <w:r w:rsidR="00C13ED7" w:rsidRPr="0066798F">
        <w:rPr>
          <w:rFonts w:ascii="Arial" w:hAnsi="Arial" w:cs="Arial"/>
          <w:sz w:val="20"/>
        </w:rPr>
        <w:t xml:space="preserve"> supporting outdoor wireless point-to-point and point-to-multipoint links</w:t>
      </w:r>
      <w:r w:rsidR="00C13ED7">
        <w:rPr>
          <w:rFonts w:ascii="Arial" w:hAnsi="Arial" w:cs="Arial"/>
          <w:sz w:val="20"/>
        </w:rPr>
        <w:t>,</w:t>
      </w:r>
      <w:r w:rsidR="00C13ED7" w:rsidRPr="0066798F">
        <w:rPr>
          <w:rFonts w:ascii="Arial" w:hAnsi="Arial" w:cs="Arial"/>
          <w:sz w:val="20"/>
        </w:rPr>
        <w:t xml:space="preserve"> providing broadband connection to customers</w:t>
      </w:r>
      <w:proofErr w:type="gramStart"/>
      <w:r w:rsidR="00C13ED7" w:rsidRPr="0066798F">
        <w:rPr>
          <w:rFonts w:ascii="Arial" w:hAnsi="Arial" w:cs="Arial"/>
          <w:sz w:val="20"/>
        </w:rPr>
        <w:t>.</w:t>
      </w:r>
      <w:r w:rsidRPr="0066798F">
        <w:rPr>
          <w:rFonts w:ascii="Arial" w:hAnsi="Arial" w:cs="Arial"/>
          <w:sz w:val="20"/>
        </w:rPr>
        <w:t>.</w:t>
      </w:r>
      <w:proofErr w:type="gramEnd"/>
      <w:r w:rsidRPr="0066798F">
        <w:rPr>
          <w:rFonts w:ascii="Arial" w:hAnsi="Arial" w:cs="Arial"/>
          <w:sz w:val="20"/>
        </w:rPr>
        <w:t xml:space="preserve"> </w:t>
      </w:r>
    </w:p>
    <w:p w:rsidR="009A0E66"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w:t>
      </w:r>
      <w:r w:rsidR="00C65ED0">
        <w:rPr>
          <w:rFonts w:ascii="Arial" w:hAnsi="Arial" w:cs="Arial"/>
          <w:sz w:val="20"/>
        </w:rPr>
        <w:t>ese</w:t>
      </w:r>
      <w:r>
        <w:rPr>
          <w:rFonts w:ascii="Arial" w:hAnsi="Arial" w:cs="Arial"/>
          <w:sz w:val="20"/>
        </w:rPr>
        <w:t xml:space="preserve"> item</w:t>
      </w:r>
      <w:r w:rsidR="00C65ED0">
        <w:rPr>
          <w:rFonts w:ascii="Arial" w:hAnsi="Arial" w:cs="Arial"/>
          <w:sz w:val="20"/>
        </w:rPr>
        <w:t>s</w:t>
      </w:r>
      <w:r w:rsidR="009A0E66" w:rsidRPr="0066798F">
        <w:rPr>
          <w:rFonts w:ascii="Arial" w:hAnsi="Arial" w:cs="Arial"/>
          <w:sz w:val="20"/>
        </w:rPr>
        <w:t xml:space="preserve"> </w:t>
      </w:r>
      <w:r w:rsidR="00C65ED0">
        <w:rPr>
          <w:rFonts w:ascii="Arial" w:hAnsi="Arial" w:cs="Arial"/>
          <w:sz w:val="20"/>
        </w:rPr>
        <w:t>also remove the other</w:t>
      </w:r>
      <w:r w:rsidR="00C64CF3">
        <w:rPr>
          <w:rFonts w:ascii="Arial" w:hAnsi="Arial" w:cs="Arial"/>
          <w:sz w:val="20"/>
        </w:rPr>
        <w:t xml:space="preserve"> </w:t>
      </w:r>
      <w:r w:rsidR="001706CD" w:rsidRPr="0066798F">
        <w:rPr>
          <w:rFonts w:ascii="Arial" w:hAnsi="Arial" w:cs="Arial"/>
          <w:sz w:val="20"/>
        </w:rPr>
        <w:t>limitations</w:t>
      </w:r>
      <w:r w:rsidR="00C65ED0">
        <w:rPr>
          <w:rFonts w:ascii="Arial" w:hAnsi="Arial" w:cs="Arial"/>
          <w:sz w:val="20"/>
        </w:rPr>
        <w:t xml:space="preserve"> on this class of radiocommunications transmitter</w:t>
      </w:r>
      <w:r w:rsidR="001706CD" w:rsidRPr="0066798F">
        <w:rPr>
          <w:rFonts w:ascii="Arial" w:hAnsi="Arial" w:cs="Arial"/>
          <w:sz w:val="20"/>
        </w:rPr>
        <w:t xml:space="preserve">, and insert </w:t>
      </w:r>
      <w:r w:rsidR="00C64CF3">
        <w:rPr>
          <w:rFonts w:ascii="Arial" w:hAnsi="Arial" w:cs="Arial"/>
          <w:sz w:val="20"/>
        </w:rPr>
        <w:t xml:space="preserve">a </w:t>
      </w:r>
      <w:r w:rsidR="001706CD" w:rsidRPr="0066798F">
        <w:rPr>
          <w:rFonts w:ascii="Arial" w:hAnsi="Arial" w:cs="Arial"/>
          <w:sz w:val="20"/>
        </w:rPr>
        <w:t xml:space="preserve">new limitation that </w:t>
      </w:r>
      <w:r w:rsidR="00FF15EF">
        <w:rPr>
          <w:rFonts w:ascii="Arial" w:hAnsi="Arial" w:cs="Arial"/>
          <w:sz w:val="20"/>
        </w:rPr>
        <w:t xml:space="preserve">requires that </w:t>
      </w:r>
      <w:r w:rsidR="001706CD" w:rsidRPr="0066798F">
        <w:rPr>
          <w:rFonts w:ascii="Arial" w:hAnsi="Arial" w:cs="Arial"/>
          <w:sz w:val="20"/>
        </w:rPr>
        <w:t xml:space="preserve">these transmitters must conform to </w:t>
      </w:r>
      <w:r w:rsidR="00FF15EF" w:rsidRPr="00FF15EF">
        <w:rPr>
          <w:rFonts w:ascii="Arial" w:hAnsi="Arial" w:cs="Arial"/>
          <w:sz w:val="20"/>
        </w:rPr>
        <w:t>the FCC Rules contained in the U</w:t>
      </w:r>
      <w:r w:rsidR="00C65ED0">
        <w:rPr>
          <w:rFonts w:ascii="Arial" w:hAnsi="Arial" w:cs="Arial"/>
          <w:sz w:val="20"/>
        </w:rPr>
        <w:t xml:space="preserve">nited </w:t>
      </w:r>
      <w:r w:rsidR="00FF15EF" w:rsidRPr="00FF15EF">
        <w:rPr>
          <w:rFonts w:ascii="Arial" w:hAnsi="Arial" w:cs="Arial"/>
          <w:sz w:val="20"/>
        </w:rPr>
        <w:t>S</w:t>
      </w:r>
      <w:r w:rsidR="00C65ED0">
        <w:rPr>
          <w:rFonts w:ascii="Arial" w:hAnsi="Arial" w:cs="Arial"/>
          <w:sz w:val="20"/>
        </w:rPr>
        <w:t>tates</w:t>
      </w:r>
      <w:r w:rsidR="00FF15EF" w:rsidRPr="00FF15EF">
        <w:rPr>
          <w:rFonts w:ascii="Arial" w:hAnsi="Arial" w:cs="Arial"/>
          <w:sz w:val="20"/>
        </w:rPr>
        <w:t xml:space="preserve"> </w:t>
      </w:r>
      <w:r w:rsidR="00C65ED0">
        <w:rPr>
          <w:rFonts w:ascii="Arial" w:hAnsi="Arial" w:cs="Arial"/>
          <w:sz w:val="20"/>
        </w:rPr>
        <w:t>CFR</w:t>
      </w:r>
      <w:r w:rsidR="001706CD" w:rsidRPr="0066798F">
        <w:rPr>
          <w:rFonts w:ascii="Arial" w:hAnsi="Arial" w:cs="Arial"/>
          <w:sz w:val="20"/>
        </w:rPr>
        <w:t xml:space="preserve"> Title 47 Part 15 Section 255 – </w:t>
      </w:r>
      <w:r w:rsidR="001706CD" w:rsidRPr="0066798F">
        <w:rPr>
          <w:rFonts w:ascii="Arial" w:hAnsi="Arial" w:cs="Arial"/>
          <w:i/>
          <w:sz w:val="20"/>
        </w:rPr>
        <w:t>Operation within the band 57-71 GHz</w:t>
      </w:r>
      <w:r w:rsidR="001706CD" w:rsidRPr="0066798F">
        <w:rPr>
          <w:rFonts w:ascii="Arial" w:hAnsi="Arial" w:cs="Arial"/>
          <w:sz w:val="20"/>
        </w:rPr>
        <w:t xml:space="preserve">.  </w:t>
      </w:r>
    </w:p>
    <w:p w:rsidR="0016469A" w:rsidRPr="0066798F" w:rsidRDefault="0016469A" w:rsidP="00302DBB">
      <w:pPr>
        <w:pStyle w:val="BodyText"/>
        <w:keepNext/>
        <w:keepLines/>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6407E0" w:rsidRPr="0066798F">
        <w:rPr>
          <w:rFonts w:ascii="Arial" w:hAnsi="Arial" w:cs="Arial"/>
          <w:b/>
          <w:sz w:val="20"/>
        </w:rPr>
        <w:t xml:space="preserve">7 </w:t>
      </w:r>
      <w:r w:rsidRPr="0066798F">
        <w:rPr>
          <w:rFonts w:ascii="Arial" w:hAnsi="Arial" w:cs="Arial"/>
          <w:b/>
          <w:sz w:val="20"/>
        </w:rPr>
        <w:t xml:space="preserve"> Schedule</w:t>
      </w:r>
      <w:proofErr w:type="gramEnd"/>
      <w:r w:rsidRPr="0066798F">
        <w:rPr>
          <w:rFonts w:ascii="Arial" w:hAnsi="Arial" w:cs="Arial"/>
          <w:b/>
          <w:sz w:val="20"/>
        </w:rPr>
        <w:t xml:space="preserve"> 1, </w:t>
      </w:r>
      <w:r w:rsidRPr="0066798F">
        <w:rPr>
          <w:rFonts w:ascii="Arial" w:hAnsi="Arial" w:cs="Arial"/>
          <w:b/>
          <w:i/>
          <w:sz w:val="20"/>
        </w:rPr>
        <w:t>Note 2</w:t>
      </w:r>
    </w:p>
    <w:p w:rsidR="009A0E66"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256B74">
        <w:rPr>
          <w:rFonts w:ascii="Arial" w:hAnsi="Arial" w:cs="Arial"/>
          <w:sz w:val="20"/>
        </w:rPr>
        <w:t xml:space="preserve"> </w:t>
      </w:r>
      <w:r w:rsidR="0094268B" w:rsidRPr="0066798F">
        <w:rPr>
          <w:rFonts w:ascii="Arial" w:hAnsi="Arial" w:cs="Arial"/>
          <w:sz w:val="20"/>
        </w:rPr>
        <w:t xml:space="preserve">removes </w:t>
      </w:r>
      <w:r w:rsidR="008B09C0">
        <w:rPr>
          <w:rFonts w:ascii="Arial" w:hAnsi="Arial" w:cs="Arial"/>
          <w:sz w:val="20"/>
        </w:rPr>
        <w:t>replaces</w:t>
      </w:r>
      <w:r w:rsidR="008B09C0" w:rsidRPr="0066798F">
        <w:rPr>
          <w:rFonts w:ascii="Arial" w:hAnsi="Arial" w:cs="Arial"/>
          <w:sz w:val="20"/>
        </w:rPr>
        <w:t xml:space="preserve"> </w:t>
      </w:r>
      <w:r w:rsidR="0094268B" w:rsidRPr="0066798F">
        <w:rPr>
          <w:rFonts w:ascii="Arial" w:hAnsi="Arial" w:cs="Arial"/>
          <w:sz w:val="20"/>
        </w:rPr>
        <w:t>Note 2</w:t>
      </w:r>
      <w:r w:rsidR="008B09C0">
        <w:rPr>
          <w:rFonts w:ascii="Arial" w:hAnsi="Arial" w:cs="Arial"/>
          <w:sz w:val="20"/>
        </w:rPr>
        <w:t xml:space="preserve"> to Schedule 1</w:t>
      </w:r>
      <w:r w:rsidR="0094268B" w:rsidRPr="0066798F">
        <w:rPr>
          <w:rFonts w:ascii="Arial" w:hAnsi="Arial" w:cs="Arial"/>
          <w:sz w:val="20"/>
        </w:rPr>
        <w:t xml:space="preserve">, </w:t>
      </w:r>
      <w:r w:rsidR="008B09C0">
        <w:rPr>
          <w:rFonts w:ascii="Arial" w:hAnsi="Arial" w:cs="Arial"/>
          <w:sz w:val="20"/>
        </w:rPr>
        <w:t>the</w:t>
      </w:r>
      <w:r w:rsidR="0094268B" w:rsidRPr="0066798F">
        <w:rPr>
          <w:rFonts w:ascii="Arial" w:hAnsi="Arial" w:cs="Arial"/>
          <w:sz w:val="20"/>
        </w:rPr>
        <w:t xml:space="preserve"> new text </w:t>
      </w:r>
      <w:r w:rsidR="008B09C0">
        <w:rPr>
          <w:rFonts w:ascii="Arial" w:hAnsi="Arial" w:cs="Arial"/>
          <w:sz w:val="20"/>
        </w:rPr>
        <w:t xml:space="preserve">of </w:t>
      </w:r>
      <w:r w:rsidR="00256B74">
        <w:rPr>
          <w:rFonts w:ascii="Arial" w:hAnsi="Arial" w:cs="Arial"/>
          <w:sz w:val="20"/>
        </w:rPr>
        <w:t xml:space="preserve">which refers to </w:t>
      </w:r>
      <w:r w:rsidR="0094268B" w:rsidRPr="0066798F">
        <w:rPr>
          <w:rFonts w:ascii="Arial" w:hAnsi="Arial" w:cs="Arial"/>
          <w:sz w:val="20"/>
        </w:rPr>
        <w:t xml:space="preserve">items </w:t>
      </w:r>
      <w:r w:rsidR="00256B74">
        <w:rPr>
          <w:rFonts w:ascii="Arial" w:hAnsi="Arial" w:cs="Arial"/>
          <w:sz w:val="20"/>
        </w:rPr>
        <w:t xml:space="preserve">33, 34, </w:t>
      </w:r>
      <w:r w:rsidR="0094268B" w:rsidRPr="0066798F">
        <w:rPr>
          <w:rFonts w:ascii="Arial" w:hAnsi="Arial" w:cs="Arial"/>
          <w:sz w:val="20"/>
        </w:rPr>
        <w:t xml:space="preserve">34A, 35A and 35B. </w:t>
      </w:r>
      <w:r w:rsidR="00256B74">
        <w:rPr>
          <w:rFonts w:ascii="Arial" w:hAnsi="Arial" w:cs="Arial"/>
          <w:sz w:val="20"/>
        </w:rPr>
        <w:t xml:space="preserve"> The Note </w:t>
      </w:r>
      <w:r w:rsidR="008B09C0">
        <w:rPr>
          <w:rFonts w:ascii="Arial" w:hAnsi="Arial" w:cs="Arial"/>
          <w:sz w:val="20"/>
        </w:rPr>
        <w:t>recognises</w:t>
      </w:r>
      <w:r w:rsidR="00256B74">
        <w:rPr>
          <w:rFonts w:ascii="Arial" w:hAnsi="Arial" w:cs="Arial"/>
          <w:sz w:val="20"/>
        </w:rPr>
        <w:t xml:space="preserve"> that</w:t>
      </w:r>
      <w:r w:rsidR="008B09C0">
        <w:rPr>
          <w:rFonts w:ascii="Arial" w:hAnsi="Arial" w:cs="Arial"/>
          <w:sz w:val="20"/>
        </w:rPr>
        <w:t>, at the time the instrument was made,</w:t>
      </w:r>
      <w:r w:rsidR="00256B74">
        <w:rPr>
          <w:rFonts w:ascii="Arial" w:hAnsi="Arial" w:cs="Arial"/>
          <w:sz w:val="20"/>
        </w:rPr>
        <w:t xml:space="preserve"> the items listed require marketing approval from the </w:t>
      </w:r>
      <w:r w:rsidR="00256B74" w:rsidRPr="00256B74">
        <w:rPr>
          <w:rFonts w:ascii="Arial" w:hAnsi="Arial" w:cs="Arial"/>
          <w:sz w:val="20"/>
        </w:rPr>
        <w:t>Therapeutic Goods Administration.</w:t>
      </w:r>
    </w:p>
    <w:p w:rsidR="0094268B" w:rsidRPr="0066798F" w:rsidRDefault="0094268B" w:rsidP="00302DBB">
      <w:pPr>
        <w:pStyle w:val="BodyText"/>
        <w:keepNext/>
        <w:keepLines/>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6407E0" w:rsidRPr="0066798F">
        <w:rPr>
          <w:rFonts w:ascii="Arial" w:hAnsi="Arial" w:cs="Arial"/>
          <w:b/>
          <w:sz w:val="20"/>
        </w:rPr>
        <w:t xml:space="preserve">8 </w:t>
      </w:r>
      <w:r w:rsidRPr="0066798F">
        <w:rPr>
          <w:rFonts w:ascii="Arial" w:hAnsi="Arial" w:cs="Arial"/>
          <w:b/>
          <w:sz w:val="20"/>
        </w:rPr>
        <w:t xml:space="preserve"> Schedule</w:t>
      </w:r>
      <w:proofErr w:type="gramEnd"/>
      <w:r w:rsidRPr="0066798F">
        <w:rPr>
          <w:rFonts w:ascii="Arial" w:hAnsi="Arial" w:cs="Arial"/>
          <w:b/>
          <w:sz w:val="20"/>
        </w:rPr>
        <w:t xml:space="preserve"> 1, immediately following </w:t>
      </w:r>
      <w:r w:rsidRPr="0066798F">
        <w:rPr>
          <w:rFonts w:ascii="Arial" w:hAnsi="Arial" w:cs="Arial"/>
          <w:b/>
          <w:i/>
          <w:sz w:val="20"/>
        </w:rPr>
        <w:t>Note 2</w:t>
      </w:r>
    </w:p>
    <w:p w:rsidR="00812301"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94268B" w:rsidRPr="0066798F">
        <w:rPr>
          <w:rFonts w:ascii="Arial" w:hAnsi="Arial" w:cs="Arial"/>
          <w:sz w:val="20"/>
        </w:rPr>
        <w:t xml:space="preserve"> </w:t>
      </w:r>
      <w:r w:rsidR="00812301" w:rsidRPr="0066798F">
        <w:rPr>
          <w:rFonts w:ascii="Arial" w:hAnsi="Arial" w:cs="Arial"/>
          <w:sz w:val="20"/>
        </w:rPr>
        <w:t xml:space="preserve">inserts </w:t>
      </w:r>
      <w:r w:rsidR="00256B74">
        <w:rPr>
          <w:rFonts w:ascii="Arial" w:hAnsi="Arial" w:cs="Arial"/>
          <w:sz w:val="20"/>
        </w:rPr>
        <w:t>Note 3 into</w:t>
      </w:r>
      <w:r w:rsidR="00812301" w:rsidRPr="0066798F">
        <w:rPr>
          <w:rFonts w:ascii="Arial" w:hAnsi="Arial" w:cs="Arial"/>
          <w:sz w:val="20"/>
        </w:rPr>
        <w:t xml:space="preserve"> Schedule 1</w:t>
      </w:r>
      <w:r w:rsidR="00256B74">
        <w:rPr>
          <w:rFonts w:ascii="Arial" w:hAnsi="Arial" w:cs="Arial"/>
          <w:sz w:val="20"/>
        </w:rPr>
        <w:t xml:space="preserve">. The note </w:t>
      </w:r>
      <w:r w:rsidR="006D677C">
        <w:rPr>
          <w:rFonts w:ascii="Arial" w:hAnsi="Arial" w:cs="Arial"/>
          <w:sz w:val="20"/>
        </w:rPr>
        <w:t>states</w:t>
      </w:r>
      <w:r w:rsidR="00256B74">
        <w:rPr>
          <w:rFonts w:ascii="Arial" w:hAnsi="Arial" w:cs="Arial"/>
          <w:sz w:val="20"/>
        </w:rPr>
        <w:t xml:space="preserve"> that a</w:t>
      </w:r>
      <w:r w:rsidR="00256B74" w:rsidRPr="00256B74">
        <w:rPr>
          <w:rFonts w:ascii="Arial" w:hAnsi="Arial" w:cs="Arial"/>
          <w:sz w:val="20"/>
        </w:rPr>
        <w:t xml:space="preserve"> transmitter that complies with ETSI Standard EN 303 520 will meet the requirement not to exceed the Limitations (Column 4) specified at item 34A. </w:t>
      </w:r>
    </w:p>
    <w:p w:rsidR="00812301" w:rsidRPr="0066798F" w:rsidRDefault="00812301" w:rsidP="00302DBB">
      <w:pPr>
        <w:pStyle w:val="BodyText"/>
        <w:keepNext/>
        <w:keepLines/>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6407E0" w:rsidRPr="0066798F">
        <w:rPr>
          <w:rFonts w:ascii="Arial" w:hAnsi="Arial" w:cs="Arial"/>
          <w:b/>
          <w:sz w:val="20"/>
        </w:rPr>
        <w:t xml:space="preserve">9 </w:t>
      </w:r>
      <w:r w:rsidRPr="0066798F">
        <w:rPr>
          <w:rFonts w:ascii="Arial" w:hAnsi="Arial" w:cs="Arial"/>
          <w:b/>
          <w:sz w:val="20"/>
        </w:rPr>
        <w:t xml:space="preserve"> Schedule</w:t>
      </w:r>
      <w:proofErr w:type="gramEnd"/>
      <w:r w:rsidRPr="0066798F">
        <w:rPr>
          <w:rFonts w:ascii="Arial" w:hAnsi="Arial" w:cs="Arial"/>
          <w:b/>
          <w:sz w:val="20"/>
        </w:rPr>
        <w:t xml:space="preserve"> 2, after item </w:t>
      </w:r>
      <w:r w:rsidR="006C68EE" w:rsidRPr="0066798F">
        <w:rPr>
          <w:rFonts w:ascii="Arial" w:hAnsi="Arial" w:cs="Arial"/>
          <w:b/>
          <w:sz w:val="20"/>
        </w:rPr>
        <w:t>5</w:t>
      </w:r>
    </w:p>
    <w:p w:rsidR="00935CBB" w:rsidRPr="0066798F" w:rsidRDefault="005131BF" w:rsidP="00302DBB">
      <w:pPr>
        <w:pStyle w:val="BodyText"/>
        <w:keepNext/>
        <w:keepLines/>
        <w:tabs>
          <w:tab w:val="left" w:pos="360"/>
        </w:tabs>
        <w:spacing w:before="120" w:line="260" w:lineRule="atLeast"/>
        <w:rPr>
          <w:rFonts w:ascii="Arial" w:hAnsi="Arial" w:cs="Arial"/>
          <w:sz w:val="20"/>
        </w:rPr>
      </w:pPr>
      <w:r>
        <w:rPr>
          <w:rFonts w:ascii="Arial" w:hAnsi="Arial" w:cs="Arial"/>
          <w:sz w:val="20"/>
        </w:rPr>
        <w:t>This item</w:t>
      </w:r>
      <w:r w:rsidR="00935CBB" w:rsidRPr="0066798F">
        <w:rPr>
          <w:rFonts w:ascii="Arial" w:hAnsi="Arial" w:cs="Arial"/>
          <w:sz w:val="20"/>
        </w:rPr>
        <w:t xml:space="preserve"> inserts two new items </w:t>
      </w:r>
      <w:r w:rsidR="006D677C">
        <w:rPr>
          <w:rFonts w:ascii="Arial" w:hAnsi="Arial" w:cs="Arial"/>
          <w:sz w:val="20"/>
        </w:rPr>
        <w:t>in</w:t>
      </w:r>
      <w:r w:rsidR="00935CBB" w:rsidRPr="0066798F">
        <w:rPr>
          <w:rFonts w:ascii="Arial" w:hAnsi="Arial" w:cs="Arial"/>
          <w:sz w:val="20"/>
        </w:rPr>
        <w:t xml:space="preserve"> the table titled “Instruments that apply to a transmitter”</w:t>
      </w:r>
      <w:r w:rsidR="00935CBB" w:rsidRPr="0066798F" w:rsidDel="00597378">
        <w:rPr>
          <w:rFonts w:ascii="Arial" w:hAnsi="Arial" w:cs="Arial"/>
          <w:sz w:val="20"/>
        </w:rPr>
        <w:t xml:space="preserve"> </w:t>
      </w:r>
      <w:r w:rsidR="00935CBB" w:rsidRPr="0066798F">
        <w:rPr>
          <w:rFonts w:ascii="Arial" w:hAnsi="Arial" w:cs="Arial"/>
          <w:sz w:val="20"/>
        </w:rPr>
        <w:t xml:space="preserve">in Schedule 2 </w:t>
      </w:r>
      <w:r w:rsidR="006D677C">
        <w:rPr>
          <w:rFonts w:ascii="Arial" w:hAnsi="Arial" w:cs="Arial"/>
          <w:sz w:val="20"/>
        </w:rPr>
        <w:t>to</w:t>
      </w:r>
      <w:r w:rsidR="00935CBB" w:rsidRPr="0066798F">
        <w:rPr>
          <w:rFonts w:ascii="Arial" w:hAnsi="Arial" w:cs="Arial"/>
          <w:sz w:val="20"/>
        </w:rPr>
        <w:t xml:space="preserve"> the LIPD Class Licence, in relation to </w:t>
      </w:r>
      <w:r w:rsidR="00EF7020" w:rsidRPr="00EF7020">
        <w:rPr>
          <w:rFonts w:ascii="Arial" w:hAnsi="Arial" w:cs="Arial"/>
          <w:sz w:val="20"/>
        </w:rPr>
        <w:t xml:space="preserve">Medical Body Area Network Systems </w:t>
      </w:r>
      <w:r w:rsidR="00DA10A4" w:rsidRPr="0066798F">
        <w:rPr>
          <w:rFonts w:ascii="Arial" w:hAnsi="Arial" w:cs="Arial"/>
          <w:sz w:val="20"/>
        </w:rPr>
        <w:t xml:space="preserve">and </w:t>
      </w:r>
      <w:r w:rsidR="00EF7020" w:rsidRPr="00EF7020">
        <w:rPr>
          <w:rFonts w:ascii="Arial" w:hAnsi="Arial" w:cs="Arial"/>
          <w:sz w:val="20"/>
        </w:rPr>
        <w:t xml:space="preserve">Low Power Active Medical Implants </w:t>
      </w:r>
      <w:r w:rsidR="00935CBB" w:rsidRPr="0066798F">
        <w:rPr>
          <w:rFonts w:ascii="Arial" w:hAnsi="Arial" w:cs="Arial"/>
          <w:sz w:val="20"/>
        </w:rPr>
        <w:t>transmitters.</w:t>
      </w:r>
    </w:p>
    <w:p w:rsidR="006C68EE" w:rsidRPr="0066798F" w:rsidRDefault="00935CBB" w:rsidP="00302DBB">
      <w:pPr>
        <w:pStyle w:val="BodyText"/>
        <w:keepNext/>
        <w:keepLines/>
        <w:tabs>
          <w:tab w:val="left" w:pos="360"/>
        </w:tabs>
        <w:spacing w:before="120" w:line="260" w:lineRule="atLeast"/>
        <w:rPr>
          <w:rFonts w:ascii="Arial" w:hAnsi="Arial" w:cs="Arial"/>
          <w:i/>
          <w:sz w:val="20"/>
        </w:rPr>
      </w:pPr>
      <w:r w:rsidRPr="0066798F">
        <w:rPr>
          <w:rFonts w:ascii="Arial" w:hAnsi="Arial" w:cs="Arial"/>
          <w:sz w:val="20"/>
        </w:rPr>
        <w:t xml:space="preserve">The </w:t>
      </w:r>
      <w:r w:rsidR="00DA10A4" w:rsidRPr="0066798F">
        <w:rPr>
          <w:rFonts w:ascii="Arial" w:hAnsi="Arial" w:cs="Arial"/>
          <w:sz w:val="20"/>
        </w:rPr>
        <w:t xml:space="preserve">first </w:t>
      </w:r>
      <w:r w:rsidRPr="0066798F">
        <w:rPr>
          <w:rFonts w:ascii="Arial" w:hAnsi="Arial" w:cs="Arial"/>
          <w:sz w:val="20"/>
        </w:rPr>
        <w:t>new entry lists the ETSI Standard EN 30</w:t>
      </w:r>
      <w:r w:rsidR="00DA10A4" w:rsidRPr="0066798F">
        <w:rPr>
          <w:rFonts w:ascii="Arial" w:hAnsi="Arial" w:cs="Arial"/>
          <w:sz w:val="20"/>
        </w:rPr>
        <w:t>3</w:t>
      </w:r>
      <w:r w:rsidRPr="0066798F">
        <w:rPr>
          <w:rFonts w:ascii="Arial" w:hAnsi="Arial" w:cs="Arial"/>
          <w:sz w:val="20"/>
        </w:rPr>
        <w:t xml:space="preserve"> </w:t>
      </w:r>
      <w:r w:rsidR="00DA10A4" w:rsidRPr="0066798F">
        <w:rPr>
          <w:rFonts w:ascii="Arial" w:hAnsi="Arial" w:cs="Arial"/>
          <w:sz w:val="20"/>
        </w:rPr>
        <w:t>203</w:t>
      </w:r>
      <w:r w:rsidRPr="0066798F">
        <w:rPr>
          <w:rFonts w:ascii="Arial" w:hAnsi="Arial" w:cs="Arial"/>
          <w:sz w:val="20"/>
        </w:rPr>
        <w:t>:</w:t>
      </w:r>
      <w:r w:rsidR="00DA10A4" w:rsidRPr="0066798F">
        <w:rPr>
          <w:rFonts w:ascii="Arial" w:hAnsi="Arial" w:cs="Arial"/>
          <w:sz w:val="20"/>
        </w:rPr>
        <w:t xml:space="preserve"> </w:t>
      </w:r>
      <w:r w:rsidR="00DA10A4" w:rsidRPr="0066798F">
        <w:rPr>
          <w:rFonts w:ascii="Arial" w:hAnsi="Arial" w:cs="Arial"/>
          <w:i/>
          <w:sz w:val="20"/>
        </w:rPr>
        <w:t>Electromagnetic compatibility and Radio spectrum Matters (ERM); Short Range Devices (SRD); Medical Body Area Network Systems (MBANSs) operating in the 2483.5 MHz to 2500 MHz range</w:t>
      </w:r>
      <w:r w:rsidR="00851315">
        <w:rPr>
          <w:rFonts w:ascii="Arial" w:hAnsi="Arial" w:cs="Arial"/>
          <w:sz w:val="20"/>
        </w:rPr>
        <w:t>.</w:t>
      </w:r>
    </w:p>
    <w:p w:rsidR="005E2567" w:rsidRPr="0066798F" w:rsidRDefault="00DA10A4" w:rsidP="00C13ED7">
      <w:pPr>
        <w:pStyle w:val="BodyText"/>
        <w:keepLines/>
        <w:tabs>
          <w:tab w:val="left" w:pos="360"/>
        </w:tabs>
        <w:spacing w:before="120" w:line="260" w:lineRule="atLeast"/>
        <w:rPr>
          <w:rFonts w:ascii="Arial" w:hAnsi="Arial" w:cs="Arial"/>
          <w:i/>
          <w:sz w:val="20"/>
        </w:rPr>
      </w:pPr>
      <w:r w:rsidRPr="0066798F">
        <w:rPr>
          <w:rFonts w:ascii="Arial" w:hAnsi="Arial" w:cs="Arial"/>
          <w:sz w:val="20"/>
        </w:rPr>
        <w:t xml:space="preserve">The </w:t>
      </w:r>
      <w:r w:rsidR="001D4FF3" w:rsidRPr="0066798F">
        <w:rPr>
          <w:rFonts w:ascii="Arial" w:hAnsi="Arial" w:cs="Arial"/>
          <w:sz w:val="20"/>
        </w:rPr>
        <w:t xml:space="preserve">second </w:t>
      </w:r>
      <w:r w:rsidRPr="0066798F">
        <w:rPr>
          <w:rFonts w:ascii="Arial" w:hAnsi="Arial" w:cs="Arial"/>
          <w:sz w:val="20"/>
        </w:rPr>
        <w:t xml:space="preserve">new entry lists the ETSI Standard EN 301 559: </w:t>
      </w:r>
      <w:r w:rsidRPr="0066798F">
        <w:rPr>
          <w:rFonts w:ascii="Arial" w:hAnsi="Arial" w:cs="Arial"/>
          <w:i/>
          <w:sz w:val="20"/>
        </w:rPr>
        <w:t>Electromagnetic compatibility and Radio spectrum Matters (ERM); Short Range Devices (SRD); Low Power Active Medical Implants (LP-AMI) operating in the 2483.5 MHz to 2500 MHz range</w:t>
      </w:r>
      <w:r w:rsidR="00851315">
        <w:rPr>
          <w:rFonts w:ascii="Arial" w:hAnsi="Arial" w:cs="Arial"/>
          <w:i/>
          <w:sz w:val="20"/>
        </w:rPr>
        <w:t>.</w:t>
      </w:r>
    </w:p>
    <w:p w:rsidR="00EF7A73" w:rsidRPr="0066798F" w:rsidRDefault="00EF7A73" w:rsidP="00C13ED7">
      <w:pPr>
        <w:pStyle w:val="BodyText"/>
        <w:keepN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6407E0" w:rsidRPr="0066798F">
        <w:rPr>
          <w:rFonts w:ascii="Arial" w:hAnsi="Arial" w:cs="Arial"/>
          <w:b/>
          <w:sz w:val="20"/>
        </w:rPr>
        <w:t xml:space="preserve">10 </w:t>
      </w:r>
      <w:r w:rsidRPr="0066798F">
        <w:rPr>
          <w:rFonts w:ascii="Arial" w:hAnsi="Arial" w:cs="Arial"/>
          <w:b/>
          <w:sz w:val="20"/>
        </w:rPr>
        <w:t xml:space="preserve"> Schedule</w:t>
      </w:r>
      <w:proofErr w:type="gramEnd"/>
      <w:r w:rsidRPr="0066798F">
        <w:rPr>
          <w:rFonts w:ascii="Arial" w:hAnsi="Arial" w:cs="Arial"/>
          <w:b/>
          <w:sz w:val="20"/>
        </w:rPr>
        <w:t xml:space="preserve"> 2, </w:t>
      </w:r>
      <w:r w:rsidR="006D677C">
        <w:rPr>
          <w:rFonts w:ascii="Arial" w:hAnsi="Arial" w:cs="Arial"/>
          <w:b/>
          <w:sz w:val="20"/>
        </w:rPr>
        <w:t>i</w:t>
      </w:r>
      <w:r w:rsidRPr="0066798F">
        <w:rPr>
          <w:rFonts w:ascii="Arial" w:hAnsi="Arial" w:cs="Arial"/>
          <w:b/>
          <w:sz w:val="20"/>
        </w:rPr>
        <w:t>tem 16</w:t>
      </w:r>
    </w:p>
    <w:p w:rsidR="00EF7A73"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EF7A73" w:rsidRPr="0066798F">
        <w:rPr>
          <w:rFonts w:ascii="Arial" w:hAnsi="Arial" w:cs="Arial"/>
          <w:sz w:val="20"/>
        </w:rPr>
        <w:t xml:space="preserve"> replaces</w:t>
      </w:r>
      <w:r w:rsidR="00851315">
        <w:rPr>
          <w:rFonts w:ascii="Arial" w:hAnsi="Arial" w:cs="Arial"/>
          <w:sz w:val="20"/>
        </w:rPr>
        <w:t xml:space="preserve"> an</w:t>
      </w:r>
      <w:r w:rsidR="00EF7A73" w:rsidRPr="0066798F">
        <w:rPr>
          <w:rFonts w:ascii="Arial" w:hAnsi="Arial" w:cs="Arial"/>
          <w:sz w:val="20"/>
        </w:rPr>
        <w:t xml:space="preserve"> outdated </w:t>
      </w:r>
      <w:r w:rsidR="00D75373">
        <w:rPr>
          <w:rFonts w:ascii="Arial" w:hAnsi="Arial" w:cs="Arial"/>
          <w:sz w:val="20"/>
        </w:rPr>
        <w:t>reference</w:t>
      </w:r>
      <w:r w:rsidR="00D75373" w:rsidRPr="0066798F">
        <w:rPr>
          <w:rFonts w:ascii="Arial" w:hAnsi="Arial" w:cs="Arial"/>
          <w:sz w:val="20"/>
        </w:rPr>
        <w:t xml:space="preserve"> </w:t>
      </w:r>
      <w:r w:rsidR="006D677C">
        <w:rPr>
          <w:rFonts w:ascii="Arial" w:hAnsi="Arial" w:cs="Arial"/>
          <w:sz w:val="20"/>
        </w:rPr>
        <w:t>in</w:t>
      </w:r>
      <w:r w:rsidR="00EF7A73" w:rsidRPr="0066798F">
        <w:rPr>
          <w:rFonts w:ascii="Arial" w:hAnsi="Arial" w:cs="Arial"/>
          <w:sz w:val="20"/>
        </w:rPr>
        <w:t xml:space="preserve"> the table titled “Instruments that apply to a transmitter”</w:t>
      </w:r>
      <w:r w:rsidR="00EF7A73" w:rsidRPr="0066798F" w:rsidDel="00597378">
        <w:rPr>
          <w:rFonts w:ascii="Arial" w:hAnsi="Arial" w:cs="Arial"/>
          <w:sz w:val="20"/>
        </w:rPr>
        <w:t xml:space="preserve"> </w:t>
      </w:r>
      <w:r w:rsidR="00EF7A73" w:rsidRPr="0066798F">
        <w:rPr>
          <w:rFonts w:ascii="Arial" w:hAnsi="Arial" w:cs="Arial"/>
          <w:sz w:val="20"/>
        </w:rPr>
        <w:t xml:space="preserve">in Schedule 2 </w:t>
      </w:r>
      <w:r w:rsidR="006D677C">
        <w:rPr>
          <w:rFonts w:ascii="Arial" w:hAnsi="Arial" w:cs="Arial"/>
          <w:sz w:val="20"/>
        </w:rPr>
        <w:t>to</w:t>
      </w:r>
      <w:r w:rsidR="00EF7A73" w:rsidRPr="0066798F">
        <w:rPr>
          <w:rFonts w:ascii="Arial" w:hAnsi="Arial" w:cs="Arial"/>
          <w:sz w:val="20"/>
        </w:rPr>
        <w:t xml:space="preserve"> the LIPD Class Licence</w:t>
      </w:r>
      <w:r w:rsidR="00EF7020">
        <w:rPr>
          <w:rFonts w:ascii="Arial" w:hAnsi="Arial" w:cs="Arial"/>
          <w:sz w:val="20"/>
        </w:rPr>
        <w:t>.  T</w:t>
      </w:r>
      <w:r w:rsidR="00EF7020" w:rsidRPr="00EF7020">
        <w:rPr>
          <w:rFonts w:ascii="Arial" w:hAnsi="Arial" w:cs="Arial"/>
          <w:sz w:val="20"/>
        </w:rPr>
        <w:t>he FCC Rules contained in the U</w:t>
      </w:r>
      <w:r w:rsidR="006D677C">
        <w:rPr>
          <w:rFonts w:ascii="Arial" w:hAnsi="Arial" w:cs="Arial"/>
          <w:sz w:val="20"/>
        </w:rPr>
        <w:t xml:space="preserve">nited </w:t>
      </w:r>
      <w:r w:rsidR="00EF7020" w:rsidRPr="00EF7020">
        <w:rPr>
          <w:rFonts w:ascii="Arial" w:hAnsi="Arial" w:cs="Arial"/>
          <w:sz w:val="20"/>
        </w:rPr>
        <w:t>S</w:t>
      </w:r>
      <w:r w:rsidR="006D677C">
        <w:rPr>
          <w:rFonts w:ascii="Arial" w:hAnsi="Arial" w:cs="Arial"/>
          <w:sz w:val="20"/>
        </w:rPr>
        <w:t>tates</w:t>
      </w:r>
      <w:r w:rsidR="00EF7020" w:rsidRPr="00EF7020">
        <w:rPr>
          <w:rFonts w:ascii="Arial" w:hAnsi="Arial" w:cs="Arial"/>
          <w:sz w:val="20"/>
        </w:rPr>
        <w:t xml:space="preserve"> </w:t>
      </w:r>
      <w:r w:rsidR="006D677C">
        <w:rPr>
          <w:rFonts w:ascii="Arial" w:hAnsi="Arial" w:cs="Arial"/>
          <w:sz w:val="20"/>
        </w:rPr>
        <w:t>CFR</w:t>
      </w:r>
      <w:r w:rsidR="00EF7020">
        <w:rPr>
          <w:rFonts w:ascii="Arial" w:hAnsi="Arial" w:cs="Arial"/>
          <w:sz w:val="20"/>
        </w:rPr>
        <w:t xml:space="preserve"> </w:t>
      </w:r>
      <w:r w:rsidR="00EF7A73" w:rsidRPr="0066798F">
        <w:rPr>
          <w:rFonts w:ascii="Arial" w:hAnsi="Arial" w:cs="Arial"/>
          <w:sz w:val="20"/>
        </w:rPr>
        <w:t xml:space="preserve">Title 47 Part 95 </w:t>
      </w:r>
      <w:r w:rsidR="000A1D98" w:rsidRPr="0066798F">
        <w:rPr>
          <w:rFonts w:ascii="Arial" w:hAnsi="Arial" w:cs="Arial"/>
          <w:sz w:val="20"/>
        </w:rPr>
        <w:lastRenderedPageBreak/>
        <w:t>Section 2573</w:t>
      </w:r>
      <w:r w:rsidR="00EF7A73" w:rsidRPr="0066798F">
        <w:rPr>
          <w:rFonts w:ascii="Arial" w:hAnsi="Arial" w:cs="Arial"/>
          <w:sz w:val="20"/>
        </w:rPr>
        <w:t xml:space="preserve"> – </w:t>
      </w:r>
      <w:proofErr w:type="spellStart"/>
      <w:r w:rsidR="000A1D98" w:rsidRPr="0066798F">
        <w:rPr>
          <w:rFonts w:ascii="Arial" w:hAnsi="Arial" w:cs="Arial"/>
          <w:i/>
          <w:sz w:val="20"/>
        </w:rPr>
        <w:t>MedRadio</w:t>
      </w:r>
      <w:proofErr w:type="spellEnd"/>
      <w:r w:rsidR="000A1D98" w:rsidRPr="0066798F">
        <w:rPr>
          <w:rFonts w:ascii="Arial" w:hAnsi="Arial" w:cs="Arial"/>
          <w:i/>
          <w:sz w:val="20"/>
        </w:rPr>
        <w:t xml:space="preserve"> </w:t>
      </w:r>
      <w:r w:rsidR="0009747A">
        <w:rPr>
          <w:rFonts w:ascii="Arial" w:hAnsi="Arial" w:cs="Arial"/>
          <w:i/>
          <w:sz w:val="20"/>
        </w:rPr>
        <w:t>authorised</w:t>
      </w:r>
      <w:r w:rsidR="000A1D98" w:rsidRPr="0066798F">
        <w:rPr>
          <w:rFonts w:ascii="Arial" w:hAnsi="Arial" w:cs="Arial"/>
          <w:i/>
          <w:sz w:val="20"/>
        </w:rPr>
        <w:t xml:space="preserve"> bandwidths</w:t>
      </w:r>
      <w:r w:rsidR="00EF7A73" w:rsidRPr="0066798F">
        <w:rPr>
          <w:rFonts w:ascii="Arial" w:hAnsi="Arial" w:cs="Arial"/>
          <w:sz w:val="20"/>
        </w:rPr>
        <w:t xml:space="preserve"> appl</w:t>
      </w:r>
      <w:r w:rsidR="00683A71">
        <w:rPr>
          <w:rFonts w:ascii="Arial" w:hAnsi="Arial" w:cs="Arial"/>
          <w:sz w:val="20"/>
        </w:rPr>
        <w:t>y</w:t>
      </w:r>
      <w:r w:rsidR="00EF7A73" w:rsidRPr="0066798F">
        <w:rPr>
          <w:rFonts w:ascii="Arial" w:hAnsi="Arial" w:cs="Arial"/>
          <w:sz w:val="20"/>
        </w:rPr>
        <w:t xml:space="preserve"> to </w:t>
      </w:r>
      <w:r w:rsidR="00765ED5" w:rsidRPr="0066798F">
        <w:rPr>
          <w:rFonts w:ascii="Arial" w:hAnsi="Arial" w:cs="Arial"/>
          <w:sz w:val="20"/>
        </w:rPr>
        <w:t xml:space="preserve">medical implant communication system transmitters.  </w:t>
      </w:r>
    </w:p>
    <w:p w:rsidR="000A1D98" w:rsidRPr="0066798F" w:rsidRDefault="000A1D98" w:rsidP="000A1D98">
      <w:pPr>
        <w:pStyle w:val="BodyT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6407E0" w:rsidRPr="0066798F">
        <w:rPr>
          <w:rFonts w:ascii="Arial" w:hAnsi="Arial" w:cs="Arial"/>
          <w:b/>
          <w:sz w:val="20"/>
        </w:rPr>
        <w:t xml:space="preserve">11 </w:t>
      </w:r>
      <w:r w:rsidRPr="0066798F">
        <w:rPr>
          <w:rFonts w:ascii="Arial" w:hAnsi="Arial" w:cs="Arial"/>
          <w:b/>
          <w:sz w:val="20"/>
        </w:rPr>
        <w:t xml:space="preserve"> Schedule</w:t>
      </w:r>
      <w:proofErr w:type="gramEnd"/>
      <w:r w:rsidRPr="0066798F">
        <w:rPr>
          <w:rFonts w:ascii="Arial" w:hAnsi="Arial" w:cs="Arial"/>
          <w:b/>
          <w:sz w:val="20"/>
        </w:rPr>
        <w:t xml:space="preserve"> 2, </w:t>
      </w:r>
      <w:r w:rsidR="006D677C">
        <w:rPr>
          <w:rFonts w:ascii="Arial" w:hAnsi="Arial" w:cs="Arial"/>
          <w:b/>
          <w:sz w:val="20"/>
        </w:rPr>
        <w:t>i</w:t>
      </w:r>
      <w:r w:rsidRPr="0066798F">
        <w:rPr>
          <w:rFonts w:ascii="Arial" w:hAnsi="Arial" w:cs="Arial"/>
          <w:b/>
          <w:sz w:val="20"/>
        </w:rPr>
        <w:t>tem 17</w:t>
      </w:r>
    </w:p>
    <w:p w:rsidR="000A1D98"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6D677C">
        <w:rPr>
          <w:rFonts w:ascii="Arial" w:hAnsi="Arial" w:cs="Arial"/>
          <w:sz w:val="20"/>
        </w:rPr>
        <w:t xml:space="preserve"> </w:t>
      </w:r>
      <w:r w:rsidR="000A1D98" w:rsidRPr="0066798F">
        <w:rPr>
          <w:rFonts w:ascii="Arial" w:hAnsi="Arial" w:cs="Arial"/>
          <w:sz w:val="20"/>
        </w:rPr>
        <w:t xml:space="preserve">replaces </w:t>
      </w:r>
      <w:r w:rsidR="00851315">
        <w:rPr>
          <w:rFonts w:ascii="Arial" w:hAnsi="Arial" w:cs="Arial"/>
          <w:sz w:val="20"/>
        </w:rPr>
        <w:t xml:space="preserve">an </w:t>
      </w:r>
      <w:r w:rsidR="000A1D98" w:rsidRPr="0066798F">
        <w:rPr>
          <w:rFonts w:ascii="Arial" w:hAnsi="Arial" w:cs="Arial"/>
          <w:sz w:val="20"/>
        </w:rPr>
        <w:t xml:space="preserve">outdated </w:t>
      </w:r>
      <w:r w:rsidR="00D75373">
        <w:rPr>
          <w:rFonts w:ascii="Arial" w:hAnsi="Arial" w:cs="Arial"/>
          <w:sz w:val="20"/>
        </w:rPr>
        <w:t xml:space="preserve">reference </w:t>
      </w:r>
      <w:r w:rsidR="00683A71">
        <w:rPr>
          <w:rFonts w:ascii="Arial" w:hAnsi="Arial" w:cs="Arial"/>
          <w:sz w:val="20"/>
        </w:rPr>
        <w:t>in</w:t>
      </w:r>
      <w:r w:rsidR="000A1D98" w:rsidRPr="0066798F">
        <w:rPr>
          <w:rFonts w:ascii="Arial" w:hAnsi="Arial" w:cs="Arial"/>
          <w:sz w:val="20"/>
        </w:rPr>
        <w:t xml:space="preserve"> the table titled “Instruments that apply to a transmitter”</w:t>
      </w:r>
      <w:r w:rsidR="000A1D98" w:rsidRPr="0066798F" w:rsidDel="00597378">
        <w:rPr>
          <w:rFonts w:ascii="Arial" w:hAnsi="Arial" w:cs="Arial"/>
          <w:sz w:val="20"/>
        </w:rPr>
        <w:t xml:space="preserve"> </w:t>
      </w:r>
      <w:r w:rsidR="000A1D98" w:rsidRPr="0066798F">
        <w:rPr>
          <w:rFonts w:ascii="Arial" w:hAnsi="Arial" w:cs="Arial"/>
          <w:sz w:val="20"/>
        </w:rPr>
        <w:t xml:space="preserve">in Schedule 2 </w:t>
      </w:r>
      <w:r w:rsidR="00683A71">
        <w:rPr>
          <w:rFonts w:ascii="Arial" w:hAnsi="Arial" w:cs="Arial"/>
          <w:sz w:val="20"/>
        </w:rPr>
        <w:t>to</w:t>
      </w:r>
      <w:r w:rsidR="000A1D98" w:rsidRPr="0066798F">
        <w:rPr>
          <w:rFonts w:ascii="Arial" w:hAnsi="Arial" w:cs="Arial"/>
          <w:sz w:val="20"/>
        </w:rPr>
        <w:t xml:space="preserve"> the LIPD Class Licence</w:t>
      </w:r>
      <w:r w:rsidR="00EF7020">
        <w:rPr>
          <w:rFonts w:ascii="Arial" w:hAnsi="Arial" w:cs="Arial"/>
          <w:sz w:val="20"/>
        </w:rPr>
        <w:t>.</w:t>
      </w:r>
      <w:r w:rsidR="000A1D98" w:rsidRPr="0066798F">
        <w:rPr>
          <w:rFonts w:ascii="Arial" w:hAnsi="Arial" w:cs="Arial"/>
          <w:sz w:val="20"/>
        </w:rPr>
        <w:t xml:space="preserve"> </w:t>
      </w:r>
      <w:r w:rsidR="00EF7020" w:rsidRPr="00EF7020">
        <w:rPr>
          <w:rFonts w:ascii="Arial" w:hAnsi="Arial" w:cs="Arial"/>
          <w:sz w:val="20"/>
        </w:rPr>
        <w:t>The FCC Rules contained in the U</w:t>
      </w:r>
      <w:r w:rsidR="00683A71">
        <w:rPr>
          <w:rFonts w:ascii="Arial" w:hAnsi="Arial" w:cs="Arial"/>
          <w:sz w:val="20"/>
        </w:rPr>
        <w:t xml:space="preserve">nited </w:t>
      </w:r>
      <w:r w:rsidR="00EF7020" w:rsidRPr="00EF7020">
        <w:rPr>
          <w:rFonts w:ascii="Arial" w:hAnsi="Arial" w:cs="Arial"/>
          <w:sz w:val="20"/>
        </w:rPr>
        <w:t>S</w:t>
      </w:r>
      <w:r w:rsidR="00683A71">
        <w:rPr>
          <w:rFonts w:ascii="Arial" w:hAnsi="Arial" w:cs="Arial"/>
          <w:sz w:val="20"/>
        </w:rPr>
        <w:t>tates</w:t>
      </w:r>
      <w:r w:rsidR="00EF7020" w:rsidRPr="00EF7020">
        <w:rPr>
          <w:rFonts w:ascii="Arial" w:hAnsi="Arial" w:cs="Arial"/>
          <w:sz w:val="20"/>
        </w:rPr>
        <w:t xml:space="preserve"> </w:t>
      </w:r>
      <w:r w:rsidR="00683A71">
        <w:rPr>
          <w:rFonts w:ascii="Arial" w:hAnsi="Arial" w:cs="Arial"/>
          <w:sz w:val="20"/>
        </w:rPr>
        <w:t>CFR</w:t>
      </w:r>
      <w:r w:rsidR="00EF7020" w:rsidRPr="00EF7020">
        <w:rPr>
          <w:rFonts w:ascii="Arial" w:hAnsi="Arial" w:cs="Arial"/>
          <w:sz w:val="20"/>
        </w:rPr>
        <w:t xml:space="preserve"> </w:t>
      </w:r>
      <w:r w:rsidR="000A1D98" w:rsidRPr="0066798F">
        <w:rPr>
          <w:rFonts w:ascii="Arial" w:hAnsi="Arial" w:cs="Arial"/>
          <w:sz w:val="20"/>
        </w:rPr>
        <w:t xml:space="preserve">Title 47 Part 95 Section 2579 – </w:t>
      </w:r>
      <w:proofErr w:type="spellStart"/>
      <w:r w:rsidR="000A1D98" w:rsidRPr="0066798F">
        <w:rPr>
          <w:rFonts w:ascii="Arial" w:hAnsi="Arial" w:cs="Arial"/>
          <w:i/>
          <w:sz w:val="20"/>
        </w:rPr>
        <w:t>MedRadio</w:t>
      </w:r>
      <w:proofErr w:type="spellEnd"/>
      <w:r w:rsidR="000A1D98" w:rsidRPr="0066798F">
        <w:rPr>
          <w:rFonts w:ascii="Arial" w:hAnsi="Arial" w:cs="Arial"/>
          <w:i/>
          <w:sz w:val="20"/>
        </w:rPr>
        <w:t xml:space="preserve"> unwanted emission limits </w:t>
      </w:r>
      <w:r w:rsidR="000A1D98" w:rsidRPr="0066798F">
        <w:rPr>
          <w:rFonts w:ascii="Arial" w:hAnsi="Arial" w:cs="Arial"/>
          <w:sz w:val="20"/>
        </w:rPr>
        <w:t>appl</w:t>
      </w:r>
      <w:r w:rsidR="00683A71">
        <w:rPr>
          <w:rFonts w:ascii="Arial" w:hAnsi="Arial" w:cs="Arial"/>
          <w:sz w:val="20"/>
        </w:rPr>
        <w:t>y</w:t>
      </w:r>
      <w:r w:rsidR="000A1D98" w:rsidRPr="0066798F">
        <w:rPr>
          <w:rFonts w:ascii="Arial" w:hAnsi="Arial" w:cs="Arial"/>
          <w:sz w:val="20"/>
        </w:rPr>
        <w:t xml:space="preserve"> to medical implant communication system transmitters.</w:t>
      </w:r>
    </w:p>
    <w:p w:rsidR="00D4785C" w:rsidRPr="0066798F" w:rsidRDefault="00D4785C" w:rsidP="00302DBB">
      <w:pPr>
        <w:pStyle w:val="BodyText"/>
        <w:tabs>
          <w:tab w:val="left" w:pos="360"/>
        </w:tabs>
        <w:spacing w:before="120" w:line="260" w:lineRule="atLeast"/>
        <w:rPr>
          <w:rFonts w:ascii="Arial" w:hAnsi="Arial" w:cs="Arial"/>
          <w:b/>
          <w:sz w:val="20"/>
        </w:rPr>
      </w:pPr>
      <w:r w:rsidRPr="0066798F">
        <w:rPr>
          <w:rFonts w:ascii="Arial" w:hAnsi="Arial" w:cs="Arial"/>
          <w:b/>
          <w:sz w:val="20"/>
        </w:rPr>
        <w:t xml:space="preserve">Item </w:t>
      </w:r>
      <w:proofErr w:type="gramStart"/>
      <w:r w:rsidR="006407E0" w:rsidRPr="0066798F">
        <w:rPr>
          <w:rFonts w:ascii="Arial" w:hAnsi="Arial" w:cs="Arial"/>
          <w:b/>
          <w:sz w:val="20"/>
        </w:rPr>
        <w:t xml:space="preserve">12 </w:t>
      </w:r>
      <w:r w:rsidRPr="0066798F">
        <w:rPr>
          <w:rFonts w:ascii="Arial" w:hAnsi="Arial" w:cs="Arial"/>
          <w:b/>
          <w:sz w:val="20"/>
        </w:rPr>
        <w:t xml:space="preserve"> Schedule</w:t>
      </w:r>
      <w:proofErr w:type="gramEnd"/>
      <w:r w:rsidRPr="0066798F">
        <w:rPr>
          <w:rFonts w:ascii="Arial" w:hAnsi="Arial" w:cs="Arial"/>
          <w:b/>
          <w:sz w:val="20"/>
        </w:rPr>
        <w:t xml:space="preserve"> 2, </w:t>
      </w:r>
      <w:r w:rsidR="00DA10A4" w:rsidRPr="0066798F">
        <w:rPr>
          <w:rFonts w:ascii="Arial" w:hAnsi="Arial" w:cs="Arial"/>
          <w:b/>
          <w:sz w:val="20"/>
        </w:rPr>
        <w:t xml:space="preserve">immediately </w:t>
      </w:r>
      <w:r w:rsidRPr="0066798F">
        <w:rPr>
          <w:rFonts w:ascii="Arial" w:hAnsi="Arial" w:cs="Arial"/>
          <w:b/>
          <w:sz w:val="20"/>
        </w:rPr>
        <w:t>after</w:t>
      </w:r>
      <w:r w:rsidR="00683A71">
        <w:rPr>
          <w:rFonts w:ascii="Arial" w:hAnsi="Arial" w:cs="Arial"/>
          <w:b/>
          <w:sz w:val="20"/>
        </w:rPr>
        <w:t xml:space="preserve"> i</w:t>
      </w:r>
      <w:r w:rsidRPr="0066798F">
        <w:rPr>
          <w:rFonts w:ascii="Arial" w:hAnsi="Arial" w:cs="Arial"/>
          <w:b/>
          <w:sz w:val="20"/>
        </w:rPr>
        <w:t>tem 1</w:t>
      </w:r>
      <w:r w:rsidR="00DA10A4" w:rsidRPr="0066798F">
        <w:rPr>
          <w:rFonts w:ascii="Arial" w:hAnsi="Arial" w:cs="Arial"/>
          <w:b/>
          <w:sz w:val="20"/>
        </w:rPr>
        <w:t>7</w:t>
      </w:r>
    </w:p>
    <w:p w:rsidR="00D4785C" w:rsidRPr="0066798F" w:rsidRDefault="005131BF" w:rsidP="00302DBB">
      <w:pPr>
        <w:pStyle w:val="BodyText"/>
        <w:tabs>
          <w:tab w:val="left" w:pos="360"/>
        </w:tabs>
        <w:spacing w:before="120" w:line="260" w:lineRule="atLeast"/>
        <w:rPr>
          <w:rFonts w:ascii="Arial" w:hAnsi="Arial" w:cs="Arial"/>
          <w:sz w:val="20"/>
        </w:rPr>
      </w:pPr>
      <w:r>
        <w:rPr>
          <w:rFonts w:ascii="Arial" w:hAnsi="Arial" w:cs="Arial"/>
          <w:sz w:val="20"/>
        </w:rPr>
        <w:t>This item</w:t>
      </w:r>
      <w:r w:rsidR="00D4785C" w:rsidRPr="0066798F">
        <w:rPr>
          <w:rFonts w:ascii="Arial" w:hAnsi="Arial" w:cs="Arial"/>
          <w:sz w:val="20"/>
        </w:rPr>
        <w:t xml:space="preserve"> inserts a new item </w:t>
      </w:r>
      <w:r w:rsidR="00683A71">
        <w:rPr>
          <w:rFonts w:ascii="Arial" w:hAnsi="Arial" w:cs="Arial"/>
          <w:sz w:val="20"/>
        </w:rPr>
        <w:t>in</w:t>
      </w:r>
      <w:r w:rsidR="00D4785C" w:rsidRPr="0066798F">
        <w:rPr>
          <w:rFonts w:ascii="Arial" w:hAnsi="Arial" w:cs="Arial"/>
          <w:sz w:val="20"/>
        </w:rPr>
        <w:t xml:space="preserve"> the table titled “Instruments that apply to a transmitter”</w:t>
      </w:r>
      <w:r w:rsidR="00D4785C" w:rsidRPr="0066798F" w:rsidDel="00597378">
        <w:rPr>
          <w:rFonts w:ascii="Arial" w:hAnsi="Arial" w:cs="Arial"/>
          <w:sz w:val="20"/>
        </w:rPr>
        <w:t xml:space="preserve"> </w:t>
      </w:r>
      <w:r w:rsidR="00D4785C" w:rsidRPr="0066798F">
        <w:rPr>
          <w:rFonts w:ascii="Arial" w:hAnsi="Arial" w:cs="Arial"/>
          <w:sz w:val="20"/>
        </w:rPr>
        <w:t xml:space="preserve">in Schedule 2 </w:t>
      </w:r>
      <w:r w:rsidR="00683A71">
        <w:rPr>
          <w:rFonts w:ascii="Arial" w:hAnsi="Arial" w:cs="Arial"/>
          <w:sz w:val="20"/>
        </w:rPr>
        <w:t>to</w:t>
      </w:r>
      <w:r w:rsidR="00D4785C" w:rsidRPr="0066798F">
        <w:rPr>
          <w:rFonts w:ascii="Arial" w:hAnsi="Arial" w:cs="Arial"/>
          <w:sz w:val="20"/>
        </w:rPr>
        <w:t xml:space="preserve"> the LIPD Class Licence</w:t>
      </w:r>
      <w:r w:rsidR="00EF7020">
        <w:rPr>
          <w:rFonts w:ascii="Arial" w:hAnsi="Arial" w:cs="Arial"/>
          <w:sz w:val="20"/>
        </w:rPr>
        <w:t xml:space="preserve">. </w:t>
      </w:r>
      <w:r w:rsidR="00EF7020" w:rsidRPr="00EF7020">
        <w:rPr>
          <w:rFonts w:ascii="Arial" w:hAnsi="Arial" w:cs="Arial"/>
          <w:sz w:val="20"/>
        </w:rPr>
        <w:t>The FCC Rules contained in the U</w:t>
      </w:r>
      <w:r w:rsidR="00683A71">
        <w:rPr>
          <w:rFonts w:ascii="Arial" w:hAnsi="Arial" w:cs="Arial"/>
          <w:sz w:val="20"/>
        </w:rPr>
        <w:t xml:space="preserve">nited </w:t>
      </w:r>
      <w:r w:rsidR="00EF7020" w:rsidRPr="00EF7020">
        <w:rPr>
          <w:rFonts w:ascii="Arial" w:hAnsi="Arial" w:cs="Arial"/>
          <w:sz w:val="20"/>
        </w:rPr>
        <w:t>S</w:t>
      </w:r>
      <w:r w:rsidR="00683A71">
        <w:rPr>
          <w:rFonts w:ascii="Arial" w:hAnsi="Arial" w:cs="Arial"/>
          <w:sz w:val="20"/>
        </w:rPr>
        <w:t>tates</w:t>
      </w:r>
      <w:r w:rsidR="00EF7020" w:rsidRPr="00EF7020">
        <w:rPr>
          <w:rFonts w:ascii="Arial" w:hAnsi="Arial" w:cs="Arial"/>
          <w:sz w:val="20"/>
        </w:rPr>
        <w:t xml:space="preserve"> </w:t>
      </w:r>
      <w:r w:rsidR="00683A71">
        <w:rPr>
          <w:rFonts w:ascii="Arial" w:hAnsi="Arial" w:cs="Arial"/>
          <w:sz w:val="20"/>
        </w:rPr>
        <w:t>CFR</w:t>
      </w:r>
      <w:r w:rsidR="00EF7020" w:rsidRPr="00EF7020">
        <w:rPr>
          <w:rFonts w:ascii="Arial" w:hAnsi="Arial" w:cs="Arial"/>
          <w:sz w:val="20"/>
        </w:rPr>
        <w:t xml:space="preserve"> </w:t>
      </w:r>
      <w:r w:rsidR="00DA10A4" w:rsidRPr="0066798F">
        <w:rPr>
          <w:rFonts w:ascii="Arial" w:hAnsi="Arial" w:cs="Arial"/>
          <w:sz w:val="20"/>
        </w:rPr>
        <w:t xml:space="preserve">Title 47 Part 15 Section 255 – </w:t>
      </w:r>
      <w:r w:rsidR="00DA10A4" w:rsidRPr="0066798F">
        <w:rPr>
          <w:rFonts w:ascii="Arial" w:hAnsi="Arial" w:cs="Arial"/>
          <w:i/>
          <w:sz w:val="20"/>
        </w:rPr>
        <w:t>Operation within the band 57-71 GHz</w:t>
      </w:r>
      <w:r w:rsidR="00D4785C" w:rsidRPr="0066798F">
        <w:rPr>
          <w:rFonts w:ascii="Arial" w:hAnsi="Arial" w:cs="Arial"/>
          <w:sz w:val="20"/>
        </w:rPr>
        <w:t xml:space="preserve"> apply to </w:t>
      </w:r>
      <w:r w:rsidR="00DA10A4" w:rsidRPr="0066798F">
        <w:rPr>
          <w:rFonts w:ascii="Arial" w:hAnsi="Arial" w:cs="Arial"/>
          <w:sz w:val="20"/>
        </w:rPr>
        <w:t xml:space="preserve">data </w:t>
      </w:r>
      <w:r w:rsidR="0091079F" w:rsidRPr="0066798F">
        <w:rPr>
          <w:rFonts w:ascii="Arial" w:hAnsi="Arial" w:cs="Arial"/>
          <w:sz w:val="20"/>
        </w:rPr>
        <w:t>communication</w:t>
      </w:r>
      <w:r w:rsidR="00D4785C" w:rsidRPr="0066798F">
        <w:rPr>
          <w:rFonts w:ascii="Arial" w:hAnsi="Arial" w:cs="Arial"/>
          <w:sz w:val="20"/>
        </w:rPr>
        <w:t xml:space="preserve"> transmitters.  </w:t>
      </w:r>
    </w:p>
    <w:p w:rsidR="0084122D" w:rsidRPr="0066798F" w:rsidRDefault="0084122D" w:rsidP="00C13ED7">
      <w:pPr>
        <w:spacing w:before="120" w:after="120" w:line="260" w:lineRule="atLeast"/>
        <w:rPr>
          <w:rFonts w:ascii="Arial" w:hAnsi="Arial" w:cs="Arial"/>
        </w:rPr>
      </w:pPr>
    </w:p>
    <w:sectPr w:rsidR="0084122D" w:rsidRPr="0066798F" w:rsidSect="00DB1ED0">
      <w:headerReference w:type="default" r:id="rId14"/>
      <w:footerReference w:type="default" r:id="rId15"/>
      <w:pgSz w:w="11907" w:h="16840" w:code="9"/>
      <w:pgMar w:top="1134" w:right="1107"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46" w:rsidRDefault="00255546">
      <w:r>
        <w:separator/>
      </w:r>
    </w:p>
  </w:endnote>
  <w:endnote w:type="continuationSeparator" w:id="0">
    <w:p w:rsidR="00255546" w:rsidRDefault="0025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5C" w:rsidRDefault="0000335C" w:rsidP="0066798F">
    <w:pPr>
      <w:pStyle w:val="Footer"/>
      <w:framePr w:wrap="auto" w:vAnchor="text" w:hAnchor="page" w:x="11203" w:y="486"/>
      <w:rPr>
        <w:rStyle w:val="PageNumber"/>
      </w:rPr>
    </w:pPr>
    <w:r>
      <w:rPr>
        <w:rStyle w:val="PageNumber"/>
      </w:rPr>
      <w:fldChar w:fldCharType="begin"/>
    </w:r>
    <w:r>
      <w:rPr>
        <w:rStyle w:val="PageNumber"/>
      </w:rPr>
      <w:instrText xml:space="preserve">PAGE  </w:instrText>
    </w:r>
    <w:r>
      <w:rPr>
        <w:rStyle w:val="PageNumber"/>
      </w:rPr>
      <w:fldChar w:fldCharType="separate"/>
    </w:r>
    <w:r w:rsidR="006A1CAF">
      <w:rPr>
        <w:rStyle w:val="PageNumber"/>
        <w:noProof/>
      </w:rPr>
      <w:t>6</w:t>
    </w:r>
    <w:r>
      <w:rPr>
        <w:rStyle w:val="PageNumber"/>
      </w:rPr>
      <w:fldChar w:fldCharType="end"/>
    </w:r>
  </w:p>
  <w:p w:rsidR="0000335C" w:rsidRDefault="0000335C">
    <w:pPr>
      <w:pStyle w:val="Footer"/>
      <w:jc w:val="center"/>
    </w:pPr>
    <w:r>
      <w:t xml:space="preserve">Explanatory Statement to the </w:t>
    </w:r>
    <w:r w:rsidRPr="0066798F">
      <w:rPr>
        <w:i/>
      </w:rPr>
      <w:t>Radiocommunications (Low Interference Potential Devices) Class Licence Variation 2018 (No.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46" w:rsidRDefault="00255546">
      <w:r>
        <w:separator/>
      </w:r>
    </w:p>
  </w:footnote>
  <w:footnote w:type="continuationSeparator" w:id="0">
    <w:p w:rsidR="00255546" w:rsidRDefault="0025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5C" w:rsidRDefault="0000335C" w:rsidP="001F4D7A">
    <w:pPr>
      <w:pStyle w:val="Heading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E41DE9"/>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8232D0"/>
    <w:multiLevelType w:val="hybridMultilevel"/>
    <w:tmpl w:val="2CD0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DF6DF1"/>
    <w:multiLevelType w:val="hybridMultilevel"/>
    <w:tmpl w:val="37DC5F8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EFC3B1B"/>
    <w:multiLevelType w:val="hybridMultilevel"/>
    <w:tmpl w:val="64F692A2"/>
    <w:lvl w:ilvl="0" w:tplc="0C09000F">
      <w:start w:val="1"/>
      <w:numFmt w:val="decimal"/>
      <w:lvlText w:val="%1."/>
      <w:lvlJc w:val="left"/>
      <w:pPr>
        <w:ind w:left="-1060" w:hanging="360"/>
      </w:pPr>
      <w:rPr>
        <w:rFonts w:hint="default"/>
      </w:rPr>
    </w:lvl>
    <w:lvl w:ilvl="1" w:tplc="0C090019">
      <w:start w:val="1"/>
      <w:numFmt w:val="lowerLetter"/>
      <w:lvlText w:val="%2."/>
      <w:lvlJc w:val="left"/>
      <w:pPr>
        <w:ind w:left="-340" w:hanging="360"/>
      </w:pPr>
    </w:lvl>
    <w:lvl w:ilvl="2" w:tplc="0C09001B" w:tentative="1">
      <w:start w:val="1"/>
      <w:numFmt w:val="lowerRoman"/>
      <w:lvlText w:val="%3."/>
      <w:lvlJc w:val="right"/>
      <w:pPr>
        <w:ind w:left="380" w:hanging="180"/>
      </w:pPr>
    </w:lvl>
    <w:lvl w:ilvl="3" w:tplc="0C09000F" w:tentative="1">
      <w:start w:val="1"/>
      <w:numFmt w:val="decimal"/>
      <w:lvlText w:val="%4."/>
      <w:lvlJc w:val="left"/>
      <w:pPr>
        <w:ind w:left="1100" w:hanging="360"/>
      </w:pPr>
    </w:lvl>
    <w:lvl w:ilvl="4" w:tplc="0C090019" w:tentative="1">
      <w:start w:val="1"/>
      <w:numFmt w:val="lowerLetter"/>
      <w:lvlText w:val="%5."/>
      <w:lvlJc w:val="left"/>
      <w:pPr>
        <w:ind w:left="1820" w:hanging="360"/>
      </w:pPr>
    </w:lvl>
    <w:lvl w:ilvl="5" w:tplc="0C09001B" w:tentative="1">
      <w:start w:val="1"/>
      <w:numFmt w:val="lowerRoman"/>
      <w:lvlText w:val="%6."/>
      <w:lvlJc w:val="right"/>
      <w:pPr>
        <w:ind w:left="2540" w:hanging="180"/>
      </w:pPr>
    </w:lvl>
    <w:lvl w:ilvl="6" w:tplc="0C09000F" w:tentative="1">
      <w:start w:val="1"/>
      <w:numFmt w:val="decimal"/>
      <w:lvlText w:val="%7."/>
      <w:lvlJc w:val="left"/>
      <w:pPr>
        <w:ind w:left="3260" w:hanging="360"/>
      </w:pPr>
    </w:lvl>
    <w:lvl w:ilvl="7" w:tplc="0C090019" w:tentative="1">
      <w:start w:val="1"/>
      <w:numFmt w:val="lowerLetter"/>
      <w:lvlText w:val="%8."/>
      <w:lvlJc w:val="left"/>
      <w:pPr>
        <w:ind w:left="3980" w:hanging="360"/>
      </w:pPr>
    </w:lvl>
    <w:lvl w:ilvl="8" w:tplc="0C09001B" w:tentative="1">
      <w:start w:val="1"/>
      <w:numFmt w:val="lowerRoman"/>
      <w:lvlText w:val="%9."/>
      <w:lvlJc w:val="right"/>
      <w:pPr>
        <w:ind w:left="4700" w:hanging="180"/>
      </w:pPr>
    </w:lvl>
  </w:abstractNum>
  <w:abstractNum w:abstractNumId="1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385D1927"/>
    <w:multiLevelType w:val="hybridMultilevel"/>
    <w:tmpl w:val="92CE8E9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8FC3BBF"/>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nsid w:val="547F445F"/>
    <w:multiLevelType w:val="hybridMultilevel"/>
    <w:tmpl w:val="554498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B592FCA"/>
    <w:multiLevelType w:val="hybridMultilevel"/>
    <w:tmpl w:val="3148FD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5A4823"/>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AA2BDC"/>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nsid w:val="67AE4F76"/>
    <w:multiLevelType w:val="hybridMultilevel"/>
    <w:tmpl w:val="36CCA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A452F39"/>
    <w:multiLevelType w:val="hybridMultilevel"/>
    <w:tmpl w:val="BF500F30"/>
    <w:lvl w:ilvl="0" w:tplc="17D4842A">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CA97080"/>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B57BDE"/>
    <w:multiLevelType w:val="hybridMultilevel"/>
    <w:tmpl w:val="7B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717985"/>
    <w:multiLevelType w:val="hybridMultilevel"/>
    <w:tmpl w:val="6AF47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7"/>
  </w:num>
  <w:num w:numId="5">
    <w:abstractNumId w:val="1"/>
  </w:num>
  <w:num w:numId="6">
    <w:abstractNumId w:val="0"/>
    <w:lvlOverride w:ilvl="0">
      <w:startOverride w:val="1"/>
    </w:lvlOverride>
  </w:num>
  <w:num w:numId="7">
    <w:abstractNumId w:val="0"/>
  </w:num>
  <w:num w:numId="8">
    <w:abstractNumId w:val="0"/>
  </w:num>
  <w:num w:numId="9">
    <w:abstractNumId w:val="0"/>
  </w:num>
  <w:num w:numId="10">
    <w:abstractNumId w:val="14"/>
  </w:num>
  <w:num w:numId="11">
    <w:abstractNumId w:val="13"/>
  </w:num>
  <w:num w:numId="12">
    <w:abstractNumId w:val="17"/>
  </w:num>
  <w:num w:numId="13">
    <w:abstractNumId w:val="19"/>
  </w:num>
  <w:num w:numId="14">
    <w:abstractNumId w:val="9"/>
  </w:num>
  <w:num w:numId="15">
    <w:abstractNumId w:val="12"/>
  </w:num>
  <w:num w:numId="16">
    <w:abstractNumId w:val="11"/>
  </w:num>
  <w:num w:numId="17">
    <w:abstractNumId w:val="4"/>
  </w:num>
  <w:num w:numId="18">
    <w:abstractNumId w:val="21"/>
  </w:num>
  <w:num w:numId="19">
    <w:abstractNumId w:val="18"/>
  </w:num>
  <w:num w:numId="20">
    <w:abstractNumId w:val="5"/>
  </w:num>
  <w:num w:numId="21">
    <w:abstractNumId w:val="20"/>
  </w:num>
  <w:num w:numId="22">
    <w:abstractNumId w:val="6"/>
  </w:num>
  <w:num w:numId="23">
    <w:abstractNumId w:val="16"/>
  </w:num>
  <w:num w:numId="24">
    <w:abstractNumId w:val="22"/>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24"/>
    <w:rsid w:val="00000B7A"/>
    <w:rsid w:val="00001C1F"/>
    <w:rsid w:val="0000335C"/>
    <w:rsid w:val="00011F90"/>
    <w:rsid w:val="00012344"/>
    <w:rsid w:val="00013498"/>
    <w:rsid w:val="0002142F"/>
    <w:rsid w:val="00021B31"/>
    <w:rsid w:val="00021BD3"/>
    <w:rsid w:val="00026C4F"/>
    <w:rsid w:val="00034416"/>
    <w:rsid w:val="0003564F"/>
    <w:rsid w:val="0003746E"/>
    <w:rsid w:val="0004185E"/>
    <w:rsid w:val="00043909"/>
    <w:rsid w:val="000447EF"/>
    <w:rsid w:val="000551EF"/>
    <w:rsid w:val="0006128C"/>
    <w:rsid w:val="00061BC6"/>
    <w:rsid w:val="0006384A"/>
    <w:rsid w:val="00066546"/>
    <w:rsid w:val="00071913"/>
    <w:rsid w:val="000724A6"/>
    <w:rsid w:val="00082A94"/>
    <w:rsid w:val="00085421"/>
    <w:rsid w:val="0008777E"/>
    <w:rsid w:val="0009168E"/>
    <w:rsid w:val="00094807"/>
    <w:rsid w:val="00095926"/>
    <w:rsid w:val="00096EA0"/>
    <w:rsid w:val="0009747A"/>
    <w:rsid w:val="000A1D98"/>
    <w:rsid w:val="000A400F"/>
    <w:rsid w:val="000B3091"/>
    <w:rsid w:val="000B596F"/>
    <w:rsid w:val="000C0097"/>
    <w:rsid w:val="000D24BA"/>
    <w:rsid w:val="000E2B69"/>
    <w:rsid w:val="000E4689"/>
    <w:rsid w:val="000E4CB3"/>
    <w:rsid w:val="000E637E"/>
    <w:rsid w:val="000E7C5D"/>
    <w:rsid w:val="000F0A0B"/>
    <w:rsid w:val="000F4BD7"/>
    <w:rsid w:val="00101AE8"/>
    <w:rsid w:val="00107561"/>
    <w:rsid w:val="001100C7"/>
    <w:rsid w:val="001106C7"/>
    <w:rsid w:val="00110F3A"/>
    <w:rsid w:val="00111C99"/>
    <w:rsid w:val="00112DD3"/>
    <w:rsid w:val="00117AE3"/>
    <w:rsid w:val="00121D14"/>
    <w:rsid w:val="001253F0"/>
    <w:rsid w:val="00125ADA"/>
    <w:rsid w:val="001274AF"/>
    <w:rsid w:val="00127A2D"/>
    <w:rsid w:val="00130987"/>
    <w:rsid w:val="00133765"/>
    <w:rsid w:val="001360A6"/>
    <w:rsid w:val="0013723D"/>
    <w:rsid w:val="00141AA4"/>
    <w:rsid w:val="0014310F"/>
    <w:rsid w:val="00150AFC"/>
    <w:rsid w:val="00151C48"/>
    <w:rsid w:val="001559D8"/>
    <w:rsid w:val="00157CC4"/>
    <w:rsid w:val="0016149C"/>
    <w:rsid w:val="00162242"/>
    <w:rsid w:val="00162844"/>
    <w:rsid w:val="0016469A"/>
    <w:rsid w:val="00167B49"/>
    <w:rsid w:val="001706CD"/>
    <w:rsid w:val="0017638E"/>
    <w:rsid w:val="00180DDF"/>
    <w:rsid w:val="0018114B"/>
    <w:rsid w:val="00184520"/>
    <w:rsid w:val="00184F15"/>
    <w:rsid w:val="0019095F"/>
    <w:rsid w:val="00194BE7"/>
    <w:rsid w:val="001A0123"/>
    <w:rsid w:val="001B1D7A"/>
    <w:rsid w:val="001B2CBF"/>
    <w:rsid w:val="001B33B3"/>
    <w:rsid w:val="001B34F3"/>
    <w:rsid w:val="001B3B04"/>
    <w:rsid w:val="001B5CEC"/>
    <w:rsid w:val="001B6C8A"/>
    <w:rsid w:val="001B7FF2"/>
    <w:rsid w:val="001C0B91"/>
    <w:rsid w:val="001C2ED2"/>
    <w:rsid w:val="001C37A4"/>
    <w:rsid w:val="001C51E5"/>
    <w:rsid w:val="001D1FCB"/>
    <w:rsid w:val="001D2298"/>
    <w:rsid w:val="001D2AE4"/>
    <w:rsid w:val="001D4A68"/>
    <w:rsid w:val="001D4FF3"/>
    <w:rsid w:val="001D51E4"/>
    <w:rsid w:val="001E05D1"/>
    <w:rsid w:val="001E1DDE"/>
    <w:rsid w:val="001E4818"/>
    <w:rsid w:val="001E5952"/>
    <w:rsid w:val="001E5AF0"/>
    <w:rsid w:val="001E6A63"/>
    <w:rsid w:val="001F4D7A"/>
    <w:rsid w:val="00203F19"/>
    <w:rsid w:val="00204B7E"/>
    <w:rsid w:val="00222214"/>
    <w:rsid w:val="00222818"/>
    <w:rsid w:val="00223AEF"/>
    <w:rsid w:val="00227270"/>
    <w:rsid w:val="00227C92"/>
    <w:rsid w:val="002303F5"/>
    <w:rsid w:val="002317EE"/>
    <w:rsid w:val="0023486B"/>
    <w:rsid w:val="00236DB0"/>
    <w:rsid w:val="00241053"/>
    <w:rsid w:val="00243CA4"/>
    <w:rsid w:val="00246A01"/>
    <w:rsid w:val="0025054D"/>
    <w:rsid w:val="00251D97"/>
    <w:rsid w:val="00255546"/>
    <w:rsid w:val="0025579A"/>
    <w:rsid w:val="002559A7"/>
    <w:rsid w:val="00255F92"/>
    <w:rsid w:val="00256B74"/>
    <w:rsid w:val="00263421"/>
    <w:rsid w:val="00263F69"/>
    <w:rsid w:val="00271F61"/>
    <w:rsid w:val="00273F4A"/>
    <w:rsid w:val="0027507F"/>
    <w:rsid w:val="0027628B"/>
    <w:rsid w:val="00277C3D"/>
    <w:rsid w:val="002805C6"/>
    <w:rsid w:val="00281855"/>
    <w:rsid w:val="002860D4"/>
    <w:rsid w:val="0029091D"/>
    <w:rsid w:val="0029210B"/>
    <w:rsid w:val="0029651C"/>
    <w:rsid w:val="002A1726"/>
    <w:rsid w:val="002A1E37"/>
    <w:rsid w:val="002A608A"/>
    <w:rsid w:val="002A6BF1"/>
    <w:rsid w:val="002A7C0A"/>
    <w:rsid w:val="002A7CD8"/>
    <w:rsid w:val="002B2763"/>
    <w:rsid w:val="002B397C"/>
    <w:rsid w:val="002B3DD1"/>
    <w:rsid w:val="002B516A"/>
    <w:rsid w:val="002B6660"/>
    <w:rsid w:val="002C5294"/>
    <w:rsid w:val="002C7144"/>
    <w:rsid w:val="002E0B6D"/>
    <w:rsid w:val="002E4E04"/>
    <w:rsid w:val="002F467F"/>
    <w:rsid w:val="002F62E7"/>
    <w:rsid w:val="003016BC"/>
    <w:rsid w:val="00302DBB"/>
    <w:rsid w:val="00303594"/>
    <w:rsid w:val="0031074E"/>
    <w:rsid w:val="00311CAD"/>
    <w:rsid w:val="00315CD8"/>
    <w:rsid w:val="00321D33"/>
    <w:rsid w:val="00324722"/>
    <w:rsid w:val="0033012D"/>
    <w:rsid w:val="0033072E"/>
    <w:rsid w:val="00336479"/>
    <w:rsid w:val="00337CD4"/>
    <w:rsid w:val="003404CD"/>
    <w:rsid w:val="00343062"/>
    <w:rsid w:val="003469E6"/>
    <w:rsid w:val="0035198E"/>
    <w:rsid w:val="00351D6F"/>
    <w:rsid w:val="0035542A"/>
    <w:rsid w:val="00356353"/>
    <w:rsid w:val="00356C37"/>
    <w:rsid w:val="0036139D"/>
    <w:rsid w:val="00361CAB"/>
    <w:rsid w:val="00363322"/>
    <w:rsid w:val="003646C2"/>
    <w:rsid w:val="00373AB4"/>
    <w:rsid w:val="003745FB"/>
    <w:rsid w:val="00374818"/>
    <w:rsid w:val="0038547C"/>
    <w:rsid w:val="00387BF1"/>
    <w:rsid w:val="00393980"/>
    <w:rsid w:val="00395667"/>
    <w:rsid w:val="003973A1"/>
    <w:rsid w:val="003A11EB"/>
    <w:rsid w:val="003A1F34"/>
    <w:rsid w:val="003A254D"/>
    <w:rsid w:val="003A31D4"/>
    <w:rsid w:val="003A46CF"/>
    <w:rsid w:val="003A7274"/>
    <w:rsid w:val="003B131A"/>
    <w:rsid w:val="003B37D4"/>
    <w:rsid w:val="003B3FAE"/>
    <w:rsid w:val="003B47B8"/>
    <w:rsid w:val="003B58FA"/>
    <w:rsid w:val="003B640F"/>
    <w:rsid w:val="003C39CB"/>
    <w:rsid w:val="003C4208"/>
    <w:rsid w:val="003C50D8"/>
    <w:rsid w:val="003C5C06"/>
    <w:rsid w:val="003C6381"/>
    <w:rsid w:val="003C6D6A"/>
    <w:rsid w:val="003C70CA"/>
    <w:rsid w:val="003D0A93"/>
    <w:rsid w:val="003D105C"/>
    <w:rsid w:val="003D2156"/>
    <w:rsid w:val="003D46FA"/>
    <w:rsid w:val="003E11BD"/>
    <w:rsid w:val="003E1F6F"/>
    <w:rsid w:val="003E7E3B"/>
    <w:rsid w:val="003F3719"/>
    <w:rsid w:val="003F6F65"/>
    <w:rsid w:val="004019DA"/>
    <w:rsid w:val="00402507"/>
    <w:rsid w:val="004038E4"/>
    <w:rsid w:val="0040474A"/>
    <w:rsid w:val="00410BFA"/>
    <w:rsid w:val="00411A47"/>
    <w:rsid w:val="0042068C"/>
    <w:rsid w:val="00420883"/>
    <w:rsid w:val="00421E61"/>
    <w:rsid w:val="004270E0"/>
    <w:rsid w:val="00427371"/>
    <w:rsid w:val="00431CF1"/>
    <w:rsid w:val="00436A45"/>
    <w:rsid w:val="004412A7"/>
    <w:rsid w:val="00441B1F"/>
    <w:rsid w:val="004447A2"/>
    <w:rsid w:val="00450074"/>
    <w:rsid w:val="0045062B"/>
    <w:rsid w:val="00453352"/>
    <w:rsid w:val="00454180"/>
    <w:rsid w:val="00462FA5"/>
    <w:rsid w:val="00465C1C"/>
    <w:rsid w:val="00466294"/>
    <w:rsid w:val="004663DC"/>
    <w:rsid w:val="00473154"/>
    <w:rsid w:val="00480684"/>
    <w:rsid w:val="00483A91"/>
    <w:rsid w:val="00484D36"/>
    <w:rsid w:val="00485987"/>
    <w:rsid w:val="00493763"/>
    <w:rsid w:val="00494C52"/>
    <w:rsid w:val="00495881"/>
    <w:rsid w:val="004A214E"/>
    <w:rsid w:val="004A4820"/>
    <w:rsid w:val="004A5E16"/>
    <w:rsid w:val="004B44A0"/>
    <w:rsid w:val="004C4CD8"/>
    <w:rsid w:val="004C6286"/>
    <w:rsid w:val="004C7AD2"/>
    <w:rsid w:val="004D173F"/>
    <w:rsid w:val="004F2483"/>
    <w:rsid w:val="004F397D"/>
    <w:rsid w:val="004F7235"/>
    <w:rsid w:val="005038F3"/>
    <w:rsid w:val="00506D1D"/>
    <w:rsid w:val="0051260C"/>
    <w:rsid w:val="005131BF"/>
    <w:rsid w:val="005138C2"/>
    <w:rsid w:val="00514580"/>
    <w:rsid w:val="005248BA"/>
    <w:rsid w:val="00532121"/>
    <w:rsid w:val="00533DD7"/>
    <w:rsid w:val="0053496C"/>
    <w:rsid w:val="005415F5"/>
    <w:rsid w:val="00544EBF"/>
    <w:rsid w:val="005452DC"/>
    <w:rsid w:val="00546614"/>
    <w:rsid w:val="00552613"/>
    <w:rsid w:val="00553F68"/>
    <w:rsid w:val="005542FB"/>
    <w:rsid w:val="0055524C"/>
    <w:rsid w:val="005554F1"/>
    <w:rsid w:val="0056091E"/>
    <w:rsid w:val="005613D8"/>
    <w:rsid w:val="0056428D"/>
    <w:rsid w:val="00574F02"/>
    <w:rsid w:val="00576F3D"/>
    <w:rsid w:val="00580380"/>
    <w:rsid w:val="00581E99"/>
    <w:rsid w:val="0058622D"/>
    <w:rsid w:val="005941CC"/>
    <w:rsid w:val="00595DC5"/>
    <w:rsid w:val="00596C41"/>
    <w:rsid w:val="00597D50"/>
    <w:rsid w:val="005A37B4"/>
    <w:rsid w:val="005A625F"/>
    <w:rsid w:val="005A7C97"/>
    <w:rsid w:val="005C0452"/>
    <w:rsid w:val="005C18B4"/>
    <w:rsid w:val="005C1B5F"/>
    <w:rsid w:val="005C23C1"/>
    <w:rsid w:val="005C240F"/>
    <w:rsid w:val="005C30A9"/>
    <w:rsid w:val="005D012F"/>
    <w:rsid w:val="005E0358"/>
    <w:rsid w:val="005E2282"/>
    <w:rsid w:val="005E2567"/>
    <w:rsid w:val="005F04B8"/>
    <w:rsid w:val="00602A2D"/>
    <w:rsid w:val="00602B6A"/>
    <w:rsid w:val="00605306"/>
    <w:rsid w:val="0060704F"/>
    <w:rsid w:val="00611933"/>
    <w:rsid w:val="006128C6"/>
    <w:rsid w:val="00612A55"/>
    <w:rsid w:val="00614A86"/>
    <w:rsid w:val="006250DF"/>
    <w:rsid w:val="00627F2E"/>
    <w:rsid w:val="006407E0"/>
    <w:rsid w:val="0064101F"/>
    <w:rsid w:val="00641118"/>
    <w:rsid w:val="00642CF7"/>
    <w:rsid w:val="00643800"/>
    <w:rsid w:val="00644BC8"/>
    <w:rsid w:val="006508FB"/>
    <w:rsid w:val="006604F4"/>
    <w:rsid w:val="00660C1C"/>
    <w:rsid w:val="00660D86"/>
    <w:rsid w:val="00665726"/>
    <w:rsid w:val="006668ED"/>
    <w:rsid w:val="00667815"/>
    <w:rsid w:val="0066798F"/>
    <w:rsid w:val="006735D8"/>
    <w:rsid w:val="0068073B"/>
    <w:rsid w:val="00680C0B"/>
    <w:rsid w:val="00683A71"/>
    <w:rsid w:val="0068420E"/>
    <w:rsid w:val="006849B2"/>
    <w:rsid w:val="00693771"/>
    <w:rsid w:val="00694E9E"/>
    <w:rsid w:val="006A1CAF"/>
    <w:rsid w:val="006A2019"/>
    <w:rsid w:val="006B0096"/>
    <w:rsid w:val="006B04FF"/>
    <w:rsid w:val="006B09F0"/>
    <w:rsid w:val="006B4C2F"/>
    <w:rsid w:val="006C2078"/>
    <w:rsid w:val="006C68EE"/>
    <w:rsid w:val="006D1CD0"/>
    <w:rsid w:val="006D262A"/>
    <w:rsid w:val="006D2D21"/>
    <w:rsid w:val="006D467F"/>
    <w:rsid w:val="006D6533"/>
    <w:rsid w:val="006D677C"/>
    <w:rsid w:val="006E2A82"/>
    <w:rsid w:val="006E515A"/>
    <w:rsid w:val="006F028E"/>
    <w:rsid w:val="006F18A5"/>
    <w:rsid w:val="006F20CF"/>
    <w:rsid w:val="006F2D8B"/>
    <w:rsid w:val="006F316E"/>
    <w:rsid w:val="006F3D55"/>
    <w:rsid w:val="006F7782"/>
    <w:rsid w:val="007044FE"/>
    <w:rsid w:val="00711232"/>
    <w:rsid w:val="00711790"/>
    <w:rsid w:val="007125ED"/>
    <w:rsid w:val="00712D9B"/>
    <w:rsid w:val="00713D29"/>
    <w:rsid w:val="007161E7"/>
    <w:rsid w:val="007164E4"/>
    <w:rsid w:val="007262A3"/>
    <w:rsid w:val="00726702"/>
    <w:rsid w:val="00731406"/>
    <w:rsid w:val="00743CBF"/>
    <w:rsid w:val="00743D8E"/>
    <w:rsid w:val="00744EBF"/>
    <w:rsid w:val="00750031"/>
    <w:rsid w:val="00750320"/>
    <w:rsid w:val="00751DF6"/>
    <w:rsid w:val="007529CE"/>
    <w:rsid w:val="0075714C"/>
    <w:rsid w:val="007617E8"/>
    <w:rsid w:val="00762344"/>
    <w:rsid w:val="00762A84"/>
    <w:rsid w:val="00764FA4"/>
    <w:rsid w:val="00765ED5"/>
    <w:rsid w:val="00767814"/>
    <w:rsid w:val="007706DD"/>
    <w:rsid w:val="007763C5"/>
    <w:rsid w:val="00780B4E"/>
    <w:rsid w:val="00785879"/>
    <w:rsid w:val="00790A80"/>
    <w:rsid w:val="007A3B4F"/>
    <w:rsid w:val="007A6D87"/>
    <w:rsid w:val="007B06E7"/>
    <w:rsid w:val="007B41D3"/>
    <w:rsid w:val="007B689E"/>
    <w:rsid w:val="007C0BA5"/>
    <w:rsid w:val="007D11CD"/>
    <w:rsid w:val="007D5C04"/>
    <w:rsid w:val="007E1B12"/>
    <w:rsid w:val="007E6568"/>
    <w:rsid w:val="008009E9"/>
    <w:rsid w:val="00800DD6"/>
    <w:rsid w:val="00801E77"/>
    <w:rsid w:val="00810241"/>
    <w:rsid w:val="00812301"/>
    <w:rsid w:val="00820032"/>
    <w:rsid w:val="00820D3C"/>
    <w:rsid w:val="008231B8"/>
    <w:rsid w:val="00827661"/>
    <w:rsid w:val="00830827"/>
    <w:rsid w:val="00832969"/>
    <w:rsid w:val="00833359"/>
    <w:rsid w:val="0084122D"/>
    <w:rsid w:val="00845EE7"/>
    <w:rsid w:val="00851315"/>
    <w:rsid w:val="00853BCA"/>
    <w:rsid w:val="00861776"/>
    <w:rsid w:val="00865313"/>
    <w:rsid w:val="008719ED"/>
    <w:rsid w:val="00877381"/>
    <w:rsid w:val="00882BEF"/>
    <w:rsid w:val="0088703A"/>
    <w:rsid w:val="008873A5"/>
    <w:rsid w:val="00890CF2"/>
    <w:rsid w:val="008921BE"/>
    <w:rsid w:val="00895648"/>
    <w:rsid w:val="008977A7"/>
    <w:rsid w:val="008A155B"/>
    <w:rsid w:val="008A5DBD"/>
    <w:rsid w:val="008B09C0"/>
    <w:rsid w:val="008B5C75"/>
    <w:rsid w:val="008B7312"/>
    <w:rsid w:val="008C0F99"/>
    <w:rsid w:val="008C30F0"/>
    <w:rsid w:val="008C3A18"/>
    <w:rsid w:val="008C47D9"/>
    <w:rsid w:val="008C5F2E"/>
    <w:rsid w:val="008C6826"/>
    <w:rsid w:val="008D47B2"/>
    <w:rsid w:val="008D7BDA"/>
    <w:rsid w:val="008E567E"/>
    <w:rsid w:val="008E57D6"/>
    <w:rsid w:val="008F1EFE"/>
    <w:rsid w:val="008F73ED"/>
    <w:rsid w:val="00901EEA"/>
    <w:rsid w:val="009047CE"/>
    <w:rsid w:val="00905D70"/>
    <w:rsid w:val="0091079F"/>
    <w:rsid w:val="00916B50"/>
    <w:rsid w:val="00916FA5"/>
    <w:rsid w:val="00925910"/>
    <w:rsid w:val="009263A5"/>
    <w:rsid w:val="0092747D"/>
    <w:rsid w:val="009343B1"/>
    <w:rsid w:val="00935CBB"/>
    <w:rsid w:val="00935E9E"/>
    <w:rsid w:val="009423CA"/>
    <w:rsid w:val="0094268B"/>
    <w:rsid w:val="00946DD8"/>
    <w:rsid w:val="00951B50"/>
    <w:rsid w:val="00957118"/>
    <w:rsid w:val="009619EF"/>
    <w:rsid w:val="00965E8F"/>
    <w:rsid w:val="00970DC2"/>
    <w:rsid w:val="00974F3E"/>
    <w:rsid w:val="0097786E"/>
    <w:rsid w:val="009779E8"/>
    <w:rsid w:val="00980F3C"/>
    <w:rsid w:val="0098243B"/>
    <w:rsid w:val="00986978"/>
    <w:rsid w:val="00986B31"/>
    <w:rsid w:val="009877CD"/>
    <w:rsid w:val="0099744F"/>
    <w:rsid w:val="009A0BFF"/>
    <w:rsid w:val="009A0E66"/>
    <w:rsid w:val="009A285E"/>
    <w:rsid w:val="009A3F24"/>
    <w:rsid w:val="009A6EBF"/>
    <w:rsid w:val="009B72C5"/>
    <w:rsid w:val="009B751F"/>
    <w:rsid w:val="009C0B5E"/>
    <w:rsid w:val="009C0DBE"/>
    <w:rsid w:val="009C13A4"/>
    <w:rsid w:val="009C4620"/>
    <w:rsid w:val="009C46FD"/>
    <w:rsid w:val="009C7DC9"/>
    <w:rsid w:val="009D05F2"/>
    <w:rsid w:val="009D0DE2"/>
    <w:rsid w:val="009D157F"/>
    <w:rsid w:val="009D2164"/>
    <w:rsid w:val="009E747C"/>
    <w:rsid w:val="009F3837"/>
    <w:rsid w:val="009F3B35"/>
    <w:rsid w:val="009F3F44"/>
    <w:rsid w:val="009F42A0"/>
    <w:rsid w:val="009F4F06"/>
    <w:rsid w:val="009F71D6"/>
    <w:rsid w:val="00A00146"/>
    <w:rsid w:val="00A013DA"/>
    <w:rsid w:val="00A02023"/>
    <w:rsid w:val="00A07DB4"/>
    <w:rsid w:val="00A1060B"/>
    <w:rsid w:val="00A10F60"/>
    <w:rsid w:val="00A21636"/>
    <w:rsid w:val="00A335B4"/>
    <w:rsid w:val="00A35148"/>
    <w:rsid w:val="00A3580D"/>
    <w:rsid w:val="00A35D46"/>
    <w:rsid w:val="00A40DA5"/>
    <w:rsid w:val="00A40F90"/>
    <w:rsid w:val="00A41075"/>
    <w:rsid w:val="00A46B97"/>
    <w:rsid w:val="00A72A8C"/>
    <w:rsid w:val="00A7635D"/>
    <w:rsid w:val="00A87DB2"/>
    <w:rsid w:val="00A934C5"/>
    <w:rsid w:val="00A936BD"/>
    <w:rsid w:val="00AA5151"/>
    <w:rsid w:val="00AA64A3"/>
    <w:rsid w:val="00AC359D"/>
    <w:rsid w:val="00AC3E45"/>
    <w:rsid w:val="00AC7CA6"/>
    <w:rsid w:val="00AD2205"/>
    <w:rsid w:val="00AD4CCE"/>
    <w:rsid w:val="00AF4B06"/>
    <w:rsid w:val="00AF5D62"/>
    <w:rsid w:val="00B00392"/>
    <w:rsid w:val="00B0468B"/>
    <w:rsid w:val="00B04C88"/>
    <w:rsid w:val="00B06B6D"/>
    <w:rsid w:val="00B107C5"/>
    <w:rsid w:val="00B118A4"/>
    <w:rsid w:val="00B13089"/>
    <w:rsid w:val="00B150B7"/>
    <w:rsid w:val="00B157DA"/>
    <w:rsid w:val="00B21B3D"/>
    <w:rsid w:val="00B24195"/>
    <w:rsid w:val="00B2451D"/>
    <w:rsid w:val="00B277D0"/>
    <w:rsid w:val="00B33E94"/>
    <w:rsid w:val="00B41741"/>
    <w:rsid w:val="00B42368"/>
    <w:rsid w:val="00B427EA"/>
    <w:rsid w:val="00B43251"/>
    <w:rsid w:val="00B44322"/>
    <w:rsid w:val="00B45DC0"/>
    <w:rsid w:val="00B51DB9"/>
    <w:rsid w:val="00B55645"/>
    <w:rsid w:val="00B56133"/>
    <w:rsid w:val="00B5615A"/>
    <w:rsid w:val="00B57322"/>
    <w:rsid w:val="00B61C08"/>
    <w:rsid w:val="00B61D52"/>
    <w:rsid w:val="00B622A0"/>
    <w:rsid w:val="00B63132"/>
    <w:rsid w:val="00B714C1"/>
    <w:rsid w:val="00B73289"/>
    <w:rsid w:val="00B83D5B"/>
    <w:rsid w:val="00B86EFB"/>
    <w:rsid w:val="00B90597"/>
    <w:rsid w:val="00BA0768"/>
    <w:rsid w:val="00BA076A"/>
    <w:rsid w:val="00BA3DB4"/>
    <w:rsid w:val="00BA49CE"/>
    <w:rsid w:val="00BB1F3C"/>
    <w:rsid w:val="00BB50B4"/>
    <w:rsid w:val="00BB5A3D"/>
    <w:rsid w:val="00BB62A3"/>
    <w:rsid w:val="00BB72BF"/>
    <w:rsid w:val="00BC2161"/>
    <w:rsid w:val="00BC47B6"/>
    <w:rsid w:val="00BC5AF3"/>
    <w:rsid w:val="00BC7E0A"/>
    <w:rsid w:val="00BD37CD"/>
    <w:rsid w:val="00BD6D3D"/>
    <w:rsid w:val="00BE2E1F"/>
    <w:rsid w:val="00BE41A4"/>
    <w:rsid w:val="00BE6C2E"/>
    <w:rsid w:val="00BF01C3"/>
    <w:rsid w:val="00BF4600"/>
    <w:rsid w:val="00C02F94"/>
    <w:rsid w:val="00C04DB4"/>
    <w:rsid w:val="00C06B88"/>
    <w:rsid w:val="00C07E8B"/>
    <w:rsid w:val="00C07FA2"/>
    <w:rsid w:val="00C13ED7"/>
    <w:rsid w:val="00C17187"/>
    <w:rsid w:val="00C1731B"/>
    <w:rsid w:val="00C17DB3"/>
    <w:rsid w:val="00C22929"/>
    <w:rsid w:val="00C23AD1"/>
    <w:rsid w:val="00C33BF4"/>
    <w:rsid w:val="00C362EA"/>
    <w:rsid w:val="00C3659E"/>
    <w:rsid w:val="00C366CF"/>
    <w:rsid w:val="00C44FF3"/>
    <w:rsid w:val="00C45CF1"/>
    <w:rsid w:val="00C5529D"/>
    <w:rsid w:val="00C6141C"/>
    <w:rsid w:val="00C64CF3"/>
    <w:rsid w:val="00C65ED0"/>
    <w:rsid w:val="00C722F5"/>
    <w:rsid w:val="00C751CD"/>
    <w:rsid w:val="00C76278"/>
    <w:rsid w:val="00C80BEE"/>
    <w:rsid w:val="00C971E5"/>
    <w:rsid w:val="00CA5279"/>
    <w:rsid w:val="00CB000F"/>
    <w:rsid w:val="00CB0084"/>
    <w:rsid w:val="00CB6577"/>
    <w:rsid w:val="00CB77BC"/>
    <w:rsid w:val="00CC01E6"/>
    <w:rsid w:val="00CC511E"/>
    <w:rsid w:val="00CD4E04"/>
    <w:rsid w:val="00CD6C63"/>
    <w:rsid w:val="00CE427B"/>
    <w:rsid w:val="00CF55D8"/>
    <w:rsid w:val="00D134E3"/>
    <w:rsid w:val="00D16E24"/>
    <w:rsid w:val="00D21D87"/>
    <w:rsid w:val="00D2325C"/>
    <w:rsid w:val="00D23BF6"/>
    <w:rsid w:val="00D246AB"/>
    <w:rsid w:val="00D26314"/>
    <w:rsid w:val="00D32D9D"/>
    <w:rsid w:val="00D33DDE"/>
    <w:rsid w:val="00D42573"/>
    <w:rsid w:val="00D4453D"/>
    <w:rsid w:val="00D4785C"/>
    <w:rsid w:val="00D50847"/>
    <w:rsid w:val="00D53B25"/>
    <w:rsid w:val="00D62D18"/>
    <w:rsid w:val="00D657AA"/>
    <w:rsid w:val="00D658D2"/>
    <w:rsid w:val="00D71810"/>
    <w:rsid w:val="00D727AA"/>
    <w:rsid w:val="00D75373"/>
    <w:rsid w:val="00D810DD"/>
    <w:rsid w:val="00D84134"/>
    <w:rsid w:val="00D866B9"/>
    <w:rsid w:val="00D9318D"/>
    <w:rsid w:val="00D93451"/>
    <w:rsid w:val="00D94149"/>
    <w:rsid w:val="00DA10A4"/>
    <w:rsid w:val="00DA1434"/>
    <w:rsid w:val="00DA162F"/>
    <w:rsid w:val="00DA3E5F"/>
    <w:rsid w:val="00DA6223"/>
    <w:rsid w:val="00DB0151"/>
    <w:rsid w:val="00DB1ED0"/>
    <w:rsid w:val="00DB3D21"/>
    <w:rsid w:val="00DC3BFC"/>
    <w:rsid w:val="00DD470A"/>
    <w:rsid w:val="00DD4CDB"/>
    <w:rsid w:val="00DD7E7A"/>
    <w:rsid w:val="00DF15F2"/>
    <w:rsid w:val="00E02009"/>
    <w:rsid w:val="00E0471B"/>
    <w:rsid w:val="00E05218"/>
    <w:rsid w:val="00E05974"/>
    <w:rsid w:val="00E14CC4"/>
    <w:rsid w:val="00E15777"/>
    <w:rsid w:val="00E15A4E"/>
    <w:rsid w:val="00E15BAB"/>
    <w:rsid w:val="00E17C09"/>
    <w:rsid w:val="00E2254A"/>
    <w:rsid w:val="00E239DA"/>
    <w:rsid w:val="00E27F21"/>
    <w:rsid w:val="00E3144B"/>
    <w:rsid w:val="00E45D63"/>
    <w:rsid w:val="00E46A08"/>
    <w:rsid w:val="00E50B55"/>
    <w:rsid w:val="00E53DD8"/>
    <w:rsid w:val="00E55CD5"/>
    <w:rsid w:val="00E5656B"/>
    <w:rsid w:val="00E719F2"/>
    <w:rsid w:val="00E74424"/>
    <w:rsid w:val="00E76D1D"/>
    <w:rsid w:val="00E8086C"/>
    <w:rsid w:val="00E808DB"/>
    <w:rsid w:val="00E80F00"/>
    <w:rsid w:val="00E8268B"/>
    <w:rsid w:val="00E84B23"/>
    <w:rsid w:val="00E85984"/>
    <w:rsid w:val="00E86B30"/>
    <w:rsid w:val="00E87AA9"/>
    <w:rsid w:val="00E906F5"/>
    <w:rsid w:val="00E919EF"/>
    <w:rsid w:val="00E92ED5"/>
    <w:rsid w:val="00E94931"/>
    <w:rsid w:val="00E95370"/>
    <w:rsid w:val="00E9587C"/>
    <w:rsid w:val="00E95BBD"/>
    <w:rsid w:val="00E97FE5"/>
    <w:rsid w:val="00EA6855"/>
    <w:rsid w:val="00EB2B35"/>
    <w:rsid w:val="00EC1988"/>
    <w:rsid w:val="00EC223A"/>
    <w:rsid w:val="00EC38D3"/>
    <w:rsid w:val="00EC38F0"/>
    <w:rsid w:val="00EC3CEF"/>
    <w:rsid w:val="00EC6417"/>
    <w:rsid w:val="00EC646E"/>
    <w:rsid w:val="00ED11CF"/>
    <w:rsid w:val="00ED79C7"/>
    <w:rsid w:val="00EE1E6D"/>
    <w:rsid w:val="00EE3AF8"/>
    <w:rsid w:val="00EF1741"/>
    <w:rsid w:val="00EF41A0"/>
    <w:rsid w:val="00EF7020"/>
    <w:rsid w:val="00EF7A73"/>
    <w:rsid w:val="00F0119C"/>
    <w:rsid w:val="00F04101"/>
    <w:rsid w:val="00F07545"/>
    <w:rsid w:val="00F07927"/>
    <w:rsid w:val="00F102DE"/>
    <w:rsid w:val="00F104BB"/>
    <w:rsid w:val="00F13507"/>
    <w:rsid w:val="00F147CB"/>
    <w:rsid w:val="00F17975"/>
    <w:rsid w:val="00F26492"/>
    <w:rsid w:val="00F33A8F"/>
    <w:rsid w:val="00F34F7E"/>
    <w:rsid w:val="00F40EFA"/>
    <w:rsid w:val="00F41311"/>
    <w:rsid w:val="00F463F1"/>
    <w:rsid w:val="00F46530"/>
    <w:rsid w:val="00F470DA"/>
    <w:rsid w:val="00F51837"/>
    <w:rsid w:val="00F5197B"/>
    <w:rsid w:val="00F53F79"/>
    <w:rsid w:val="00F620EA"/>
    <w:rsid w:val="00F63F9C"/>
    <w:rsid w:val="00F66189"/>
    <w:rsid w:val="00F7140C"/>
    <w:rsid w:val="00F7636A"/>
    <w:rsid w:val="00F83081"/>
    <w:rsid w:val="00F85978"/>
    <w:rsid w:val="00F85D35"/>
    <w:rsid w:val="00F86429"/>
    <w:rsid w:val="00F90F44"/>
    <w:rsid w:val="00F93599"/>
    <w:rsid w:val="00FA11DC"/>
    <w:rsid w:val="00FA2EA5"/>
    <w:rsid w:val="00FA576B"/>
    <w:rsid w:val="00FB155C"/>
    <w:rsid w:val="00FB1F75"/>
    <w:rsid w:val="00FB2092"/>
    <w:rsid w:val="00FB2FBE"/>
    <w:rsid w:val="00FB3E92"/>
    <w:rsid w:val="00FC0EEB"/>
    <w:rsid w:val="00FC1A4D"/>
    <w:rsid w:val="00FC2219"/>
    <w:rsid w:val="00FC7B8C"/>
    <w:rsid w:val="00FD4A32"/>
    <w:rsid w:val="00FD5CD3"/>
    <w:rsid w:val="00FD6832"/>
    <w:rsid w:val="00FE4C4A"/>
    <w:rsid w:val="00FF15D0"/>
    <w:rsid w:val="00FF15EF"/>
    <w:rsid w:val="00FF1B28"/>
    <w:rsid w:val="00FF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4A780C3-1403-4D05-B3ED-EDB189DB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E24"/>
    <w:pPr>
      <w:overflowPunct w:val="0"/>
      <w:autoSpaceDE w:val="0"/>
      <w:autoSpaceDN w:val="0"/>
      <w:adjustRightInd w:val="0"/>
      <w:textAlignment w:val="baseline"/>
    </w:pPr>
  </w:style>
  <w:style w:type="paragraph" w:styleId="Heading1">
    <w:name w:val="heading 1"/>
    <w:basedOn w:val="ACMAHeading1"/>
    <w:next w:val="ACMABodyText"/>
    <w:qFormat/>
    <w:rsid w:val="0084122D"/>
    <w:pPr>
      <w:outlineLvl w:val="0"/>
    </w:pPr>
    <w:rPr>
      <w:rFonts w:cs="Arial"/>
      <w:bCs/>
    </w:rPr>
  </w:style>
  <w:style w:type="paragraph" w:styleId="Heading5">
    <w:name w:val="heading 5"/>
    <w:basedOn w:val="Normal"/>
    <w:next w:val="Normal"/>
    <w:qFormat/>
    <w:rsid w:val="00D16E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
    <w:qForma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uiPriority w:val="99"/>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character" w:styleId="Emphasis">
    <w:name w:val="Emphasis"/>
    <w:basedOn w:val="DefaultParagraphFont"/>
    <w:qFormat/>
    <w:rsid w:val="00D16E24"/>
    <w:rPr>
      <w:i/>
    </w:rPr>
  </w:style>
  <w:style w:type="paragraph" w:styleId="BodyText">
    <w:name w:val="Body Text"/>
    <w:basedOn w:val="Normal"/>
    <w:link w:val="BodyTextChar"/>
    <w:rsid w:val="00D16E24"/>
    <w:pPr>
      <w:spacing w:after="120"/>
    </w:pPr>
    <w:rPr>
      <w:sz w:val="24"/>
    </w:rPr>
  </w:style>
  <w:style w:type="paragraph" w:customStyle="1" w:styleId="indenta">
    <w:name w:val="indent(a)"/>
    <w:aliases w:val="a"/>
    <w:basedOn w:val="Normal"/>
    <w:rsid w:val="00D16E24"/>
    <w:pPr>
      <w:tabs>
        <w:tab w:val="right" w:pos="1531"/>
      </w:tabs>
      <w:overflowPunct/>
      <w:autoSpaceDE/>
      <w:autoSpaceDN/>
      <w:adjustRightInd/>
      <w:spacing w:before="40" w:line="260" w:lineRule="atLeast"/>
      <w:ind w:left="1644" w:hanging="1644"/>
      <w:textAlignment w:val="auto"/>
    </w:pPr>
    <w:rPr>
      <w:rFonts w:ascii="Times" w:hAnsi="Times"/>
      <w:sz w:val="22"/>
      <w:lang w:eastAsia="en-US"/>
    </w:rPr>
  </w:style>
  <w:style w:type="paragraph" w:customStyle="1" w:styleId="RGPara">
    <w:name w:val="RGPara"/>
    <w:aliases w:val="Readers Guide Para"/>
    <w:basedOn w:val="Normal"/>
    <w:rsid w:val="00D16E24"/>
    <w:pPr>
      <w:overflowPunct/>
      <w:autoSpaceDE/>
      <w:autoSpaceDN/>
      <w:adjustRightInd/>
      <w:spacing w:before="120" w:line="260" w:lineRule="exact"/>
      <w:jc w:val="both"/>
      <w:textAlignment w:val="auto"/>
    </w:pPr>
    <w:rPr>
      <w:rFonts w:ascii="Times" w:hAnsi="Times"/>
      <w:sz w:val="24"/>
      <w:lang w:eastAsia="en-US"/>
    </w:rPr>
  </w:style>
  <w:style w:type="paragraph" w:styleId="BalloonText">
    <w:name w:val="Balloon Text"/>
    <w:basedOn w:val="Normal"/>
    <w:semiHidden/>
    <w:rsid w:val="0003746E"/>
    <w:rPr>
      <w:rFonts w:ascii="Tahoma" w:hAnsi="Tahoma" w:cs="Tahoma"/>
      <w:sz w:val="16"/>
      <w:szCs w:val="16"/>
    </w:rPr>
  </w:style>
  <w:style w:type="character" w:styleId="CommentReference">
    <w:name w:val="annotation reference"/>
    <w:basedOn w:val="DefaultParagraphFont"/>
    <w:uiPriority w:val="99"/>
    <w:semiHidden/>
    <w:rsid w:val="00AF5D62"/>
    <w:rPr>
      <w:sz w:val="16"/>
      <w:szCs w:val="16"/>
    </w:rPr>
  </w:style>
  <w:style w:type="paragraph" w:styleId="CommentText">
    <w:name w:val="annotation text"/>
    <w:basedOn w:val="Normal"/>
    <w:link w:val="CommentTextChar"/>
    <w:uiPriority w:val="99"/>
    <w:semiHidden/>
    <w:rsid w:val="00AF5D62"/>
  </w:style>
  <w:style w:type="paragraph" w:styleId="CommentSubject">
    <w:name w:val="annotation subject"/>
    <w:basedOn w:val="CommentText"/>
    <w:next w:val="CommentText"/>
    <w:semiHidden/>
    <w:rsid w:val="00AF5D62"/>
    <w:rPr>
      <w:b/>
      <w:bCs/>
    </w:rPr>
  </w:style>
  <w:style w:type="paragraph" w:styleId="ListParagraph">
    <w:name w:val="List Paragraph"/>
    <w:basedOn w:val="Normal"/>
    <w:uiPriority w:val="34"/>
    <w:qFormat/>
    <w:rsid w:val="00FB1F75"/>
    <w:pPr>
      <w:overflowPunct/>
      <w:autoSpaceDE/>
      <w:autoSpaceDN/>
      <w:adjustRightInd/>
      <w:ind w:left="720"/>
      <w:contextualSpacing/>
      <w:textAlignment w:val="auto"/>
    </w:pPr>
    <w:rPr>
      <w:rFonts w:ascii="Arial" w:hAnsi="Arial"/>
      <w:lang w:eastAsia="en-US" w:bidi="he-IL"/>
    </w:rPr>
  </w:style>
  <w:style w:type="character" w:customStyle="1" w:styleId="ACMABodyTextChar">
    <w:name w:val="ACMA Body Text Char"/>
    <w:basedOn w:val="DefaultParagraphFont"/>
    <w:link w:val="ACMABodyText"/>
    <w:rsid w:val="00DA1434"/>
    <w:rPr>
      <w:snapToGrid w:val="0"/>
      <w:sz w:val="24"/>
      <w:lang w:val="en-AU" w:eastAsia="en-US" w:bidi="ar-SA"/>
    </w:rPr>
  </w:style>
  <w:style w:type="character" w:customStyle="1" w:styleId="CommentTextChar">
    <w:name w:val="Comment Text Char"/>
    <w:basedOn w:val="DefaultParagraphFont"/>
    <w:link w:val="CommentText"/>
    <w:uiPriority w:val="99"/>
    <w:semiHidden/>
    <w:rsid w:val="00EC223A"/>
  </w:style>
  <w:style w:type="character" w:customStyle="1" w:styleId="BodyTextChar">
    <w:name w:val="Body Text Char"/>
    <w:basedOn w:val="DefaultParagraphFont"/>
    <w:link w:val="BodyText"/>
    <w:rsid w:val="003D105C"/>
    <w:rPr>
      <w:sz w:val="24"/>
    </w:rPr>
  </w:style>
  <w:style w:type="paragraph" w:styleId="Revision">
    <w:name w:val="Revision"/>
    <w:hidden/>
    <w:uiPriority w:val="99"/>
    <w:semiHidden/>
    <w:rsid w:val="00D4785C"/>
  </w:style>
  <w:style w:type="paragraph" w:styleId="Header">
    <w:name w:val="header"/>
    <w:basedOn w:val="Normal"/>
    <w:link w:val="HeaderChar"/>
    <w:unhideWhenUsed/>
    <w:rsid w:val="001F4D7A"/>
    <w:pPr>
      <w:tabs>
        <w:tab w:val="center" w:pos="4513"/>
        <w:tab w:val="right" w:pos="9026"/>
      </w:tabs>
    </w:pPr>
  </w:style>
  <w:style w:type="character" w:customStyle="1" w:styleId="HeaderChar">
    <w:name w:val="Header Char"/>
    <w:basedOn w:val="DefaultParagraphFont"/>
    <w:link w:val="Header"/>
    <w:rsid w:val="001F4D7A"/>
  </w:style>
  <w:style w:type="character" w:styleId="FollowedHyperlink">
    <w:name w:val="FollowedHyperlink"/>
    <w:basedOn w:val="DefaultParagraphFont"/>
    <w:semiHidden/>
    <w:unhideWhenUsed/>
    <w:rsid w:val="00C762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2142">
      <w:bodyDiv w:val="1"/>
      <w:marLeft w:val="0"/>
      <w:marRight w:val="0"/>
      <w:marTop w:val="0"/>
      <w:marBottom w:val="0"/>
      <w:divBdr>
        <w:top w:val="none" w:sz="0" w:space="0" w:color="auto"/>
        <w:left w:val="none" w:sz="0" w:space="0" w:color="auto"/>
        <w:bottom w:val="none" w:sz="0" w:space="0" w:color="auto"/>
        <w:right w:val="none" w:sz="0" w:space="0" w:color="auto"/>
      </w:divBdr>
    </w:div>
    <w:div w:id="1459571022">
      <w:bodyDiv w:val="1"/>
      <w:marLeft w:val="0"/>
      <w:marRight w:val="0"/>
      <w:marTop w:val="0"/>
      <w:marBottom w:val="0"/>
      <w:divBdr>
        <w:top w:val="none" w:sz="0" w:space="0" w:color="auto"/>
        <w:left w:val="none" w:sz="0" w:space="0" w:color="auto"/>
        <w:bottom w:val="none" w:sz="0" w:space="0" w:color="auto"/>
        <w:right w:val="none" w:sz="0" w:space="0" w:color="auto"/>
      </w:divBdr>
    </w:div>
    <w:div w:id="17664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UQVA7MFFXVNW-1492724726-471</_dlc_DocId>
    <_dlc_DocIdUrl xmlns="04b8ec43-391f-4ce4-8841-d6a482add564">
      <Url>http://collaboration/organisation/auth/Chair/Auth/_layouts/15/DocIdRedir.aspx?ID=UQVA7MFFXVNW-1492724726-471</Url>
      <Description>UQVA7MFFXVNW-1492724726-471</Description>
    </_dlc_DocIdUrl>
    <Category xmlns="3f364d92-07cb-4b3e-a872-160096f8dd54">(none)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00C5-F0D9-4EB9-9BD1-DD2F4DF3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7E9CD-D0A3-4CE8-B51C-FC3574193E2F}">
  <ds:schemaRefs>
    <ds:schemaRef ds:uri="http://schemas.microsoft.com/office/2006/metadata/properties"/>
    <ds:schemaRef ds:uri="http://schemas.microsoft.com/office/infopath/2007/PartnerControls"/>
    <ds:schemaRef ds:uri="1d983eb4-33f7-44b0-aea1-cbdcf0c55136"/>
    <ds:schemaRef ds:uri="04b8ec43-391f-4ce4-8841-d6a482add564"/>
    <ds:schemaRef ds:uri="3f364d92-07cb-4b3e-a872-160096f8dd54"/>
  </ds:schemaRefs>
</ds:datastoreItem>
</file>

<file path=customXml/itemProps3.xml><?xml version="1.0" encoding="utf-8"?>
<ds:datastoreItem xmlns:ds="http://schemas.openxmlformats.org/officeDocument/2006/customXml" ds:itemID="{19BA4CEB-3376-41B7-9CC6-6A7673B8C824}">
  <ds:schemaRefs>
    <ds:schemaRef ds:uri="http://schemas.microsoft.com/sharepoint/v3/contenttype/forms"/>
  </ds:schemaRefs>
</ds:datastoreItem>
</file>

<file path=customXml/itemProps4.xml><?xml version="1.0" encoding="utf-8"?>
<ds:datastoreItem xmlns:ds="http://schemas.openxmlformats.org/officeDocument/2006/customXml" ds:itemID="{F8025760-CB2B-4018-B221-F6DA9CED8575}">
  <ds:schemaRefs>
    <ds:schemaRef ds:uri="http://schemas.microsoft.com/sharepoint/events"/>
  </ds:schemaRefs>
</ds:datastoreItem>
</file>

<file path=customXml/itemProps5.xml><?xml version="1.0" encoding="utf-8"?>
<ds:datastoreItem xmlns:ds="http://schemas.openxmlformats.org/officeDocument/2006/customXml" ds:itemID="{AE1AA60F-1C7C-42F4-ACF2-69ACA4AC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2574</Words>
  <Characters>13966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Media Authority</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dveitch</dc:creator>
  <cp:lastModifiedBy>Stephen A Jones (VIC)</cp:lastModifiedBy>
  <cp:revision>6</cp:revision>
  <cp:lastPrinted>2018-05-29T01:06:00Z</cp:lastPrinted>
  <dcterms:created xsi:type="dcterms:W3CDTF">2018-06-13T22:03:00Z</dcterms:created>
  <dcterms:modified xsi:type="dcterms:W3CDTF">2018-06-15T02:31:00Z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a94d8d88-e7e4-4152-9b95-a48ccf7ebf3f</vt:lpwstr>
  </property>
  <property fmtid="{D5CDD505-2E9C-101B-9397-08002B2CF9AE}" pid="3" name="ContentTypeId">
    <vt:lpwstr>0x0101009AED60E87A37DD4FB76D81CDE0E41536</vt:lpwstr>
  </property>
</Properties>
</file>