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5D5BC" w14:textId="77777777" w:rsidR="00EF4425" w:rsidRPr="00FE167A" w:rsidRDefault="00EF4425" w:rsidP="00EF4425">
      <w:pPr>
        <w:pStyle w:val="ttCrest"/>
        <w:rPr>
          <w:color w:val="000000" w:themeColor="text1"/>
          <w:sz w:val="19"/>
        </w:rPr>
      </w:pPr>
      <w:bookmarkStart w:id="0" w:name="_Ref434582854"/>
      <w:r w:rsidRPr="00FE167A">
        <w:rPr>
          <w:noProof/>
          <w:color w:val="000000" w:themeColor="text1"/>
          <w:lang w:eastAsia="en-AU"/>
        </w:rPr>
        <w:drawing>
          <wp:inline distT="0" distB="0" distL="0" distR="0" wp14:anchorId="66508E14" wp14:editId="3B677879">
            <wp:extent cx="1498600" cy="1101725"/>
            <wp:effectExtent l="1905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19255A40" w14:textId="77777777" w:rsidR="00245C46" w:rsidRPr="00C021B3" w:rsidRDefault="00245C46" w:rsidP="00245C46">
      <w:pPr>
        <w:pStyle w:val="ShortT"/>
      </w:pPr>
      <w:r w:rsidRPr="00C021B3">
        <w:t>National Greenhouse and Energy Reporting (Measurement) Amendment (</w:t>
      </w:r>
      <w:r>
        <w:t>2018 Update</w:t>
      </w:r>
      <w:r w:rsidRPr="00C021B3">
        <w:t>) Determination </w:t>
      </w:r>
      <w:r>
        <w:t>2018</w:t>
      </w:r>
    </w:p>
    <w:p w14:paraId="490411A1" w14:textId="77777777" w:rsidR="00EF4425" w:rsidRPr="00FE167A" w:rsidRDefault="00EF4425" w:rsidP="00EF4425">
      <w:pPr>
        <w:pStyle w:val="SignCoverPageStart"/>
        <w:rPr>
          <w:color w:val="000000" w:themeColor="text1"/>
          <w:szCs w:val="22"/>
        </w:rPr>
      </w:pPr>
      <w:r w:rsidRPr="00FE167A">
        <w:rPr>
          <w:color w:val="000000" w:themeColor="text1"/>
          <w:szCs w:val="22"/>
        </w:rPr>
        <w:t xml:space="preserve">I, </w:t>
      </w:r>
      <w:r w:rsidR="008B49BA">
        <w:rPr>
          <w:szCs w:val="22"/>
        </w:rPr>
        <w:t>Josh Frydenberg</w:t>
      </w:r>
      <w:r w:rsidR="008B49BA" w:rsidRPr="00733989">
        <w:rPr>
          <w:szCs w:val="22"/>
        </w:rPr>
        <w:t>, Minister for the Environment</w:t>
      </w:r>
      <w:r w:rsidR="008B49BA">
        <w:rPr>
          <w:szCs w:val="22"/>
        </w:rPr>
        <w:t xml:space="preserve"> and Energy</w:t>
      </w:r>
      <w:r w:rsidR="008B49BA" w:rsidRPr="00733989">
        <w:rPr>
          <w:szCs w:val="22"/>
        </w:rPr>
        <w:t xml:space="preserve">, </w:t>
      </w:r>
      <w:r w:rsidRPr="00FE167A">
        <w:rPr>
          <w:color w:val="000000" w:themeColor="text1"/>
          <w:szCs w:val="22"/>
        </w:rPr>
        <w:t>make the following legislative instrument.</w:t>
      </w:r>
    </w:p>
    <w:p w14:paraId="3C253929" w14:textId="5601F9C1" w:rsidR="00EF4425" w:rsidRPr="00FE167A" w:rsidRDefault="00EF4425" w:rsidP="00EF4425">
      <w:pPr>
        <w:keepNext/>
        <w:spacing w:before="300" w:line="240" w:lineRule="atLeast"/>
        <w:ind w:right="397"/>
        <w:jc w:val="both"/>
        <w:rPr>
          <w:color w:val="000000" w:themeColor="text1"/>
          <w:szCs w:val="22"/>
        </w:rPr>
      </w:pPr>
      <w:r w:rsidRPr="00FE167A">
        <w:rPr>
          <w:color w:val="000000" w:themeColor="text1"/>
          <w:szCs w:val="22"/>
        </w:rPr>
        <w:t>Dated</w:t>
      </w:r>
      <w:r w:rsidRPr="00FE167A">
        <w:rPr>
          <w:color w:val="000000" w:themeColor="text1"/>
          <w:szCs w:val="22"/>
        </w:rPr>
        <w:tab/>
      </w:r>
      <w:r w:rsidRPr="00FE167A">
        <w:rPr>
          <w:color w:val="000000" w:themeColor="text1"/>
          <w:szCs w:val="22"/>
        </w:rPr>
        <w:tab/>
      </w:r>
      <w:r w:rsidR="00595477">
        <w:rPr>
          <w:color w:val="000000" w:themeColor="text1"/>
          <w:szCs w:val="22"/>
        </w:rPr>
        <w:t>21 June 2018</w:t>
      </w:r>
    </w:p>
    <w:p w14:paraId="7E2BE3CD" w14:textId="420335EF" w:rsidR="008B49BA" w:rsidRPr="00733989" w:rsidRDefault="008B49BA" w:rsidP="008B49BA">
      <w:pPr>
        <w:keepNext/>
        <w:tabs>
          <w:tab w:val="left" w:pos="3402"/>
        </w:tabs>
        <w:spacing w:before="1440" w:line="300" w:lineRule="atLeast"/>
        <w:ind w:right="397"/>
        <w:rPr>
          <w:b/>
          <w:i/>
          <w:szCs w:val="22"/>
        </w:rPr>
      </w:pPr>
      <w:r>
        <w:rPr>
          <w:szCs w:val="22"/>
        </w:rPr>
        <w:t xml:space="preserve">Josh Frydenberg </w:t>
      </w:r>
    </w:p>
    <w:p w14:paraId="74CF3092" w14:textId="77777777" w:rsidR="008B49BA" w:rsidRPr="00733989" w:rsidRDefault="008B49BA" w:rsidP="008B49BA">
      <w:pPr>
        <w:pStyle w:val="SignCoverPageEnd"/>
        <w:rPr>
          <w:szCs w:val="22"/>
        </w:rPr>
      </w:pPr>
      <w:r w:rsidRPr="00733989">
        <w:rPr>
          <w:szCs w:val="22"/>
        </w:rPr>
        <w:t>Minister for the Environment</w:t>
      </w:r>
      <w:r>
        <w:rPr>
          <w:szCs w:val="22"/>
        </w:rPr>
        <w:t xml:space="preserve"> and Energy</w:t>
      </w:r>
    </w:p>
    <w:p w14:paraId="4B87500B" w14:textId="77777777" w:rsidR="00EF4425" w:rsidRPr="00FE167A" w:rsidRDefault="00EF4425" w:rsidP="00EF4425">
      <w:pPr>
        <w:spacing w:line="240" w:lineRule="auto"/>
        <w:rPr>
          <w:color w:val="000000" w:themeColor="text1"/>
        </w:rPr>
      </w:pPr>
      <w:r w:rsidRPr="00FE167A">
        <w:rPr>
          <w:color w:val="000000" w:themeColor="text1"/>
        </w:rPr>
        <w:br w:type="page"/>
      </w:r>
    </w:p>
    <w:p w14:paraId="21168B57" w14:textId="77777777" w:rsidR="00EF4425" w:rsidRPr="00FE167A" w:rsidRDefault="00EF4425" w:rsidP="00EF4425">
      <w:pPr>
        <w:pStyle w:val="Header"/>
        <w:tabs>
          <w:tab w:val="clear" w:pos="4150"/>
          <w:tab w:val="clear" w:pos="8307"/>
        </w:tabs>
        <w:rPr>
          <w:color w:val="000000" w:themeColor="text1"/>
        </w:rPr>
      </w:pPr>
      <w:r w:rsidRPr="00FE167A">
        <w:rPr>
          <w:rStyle w:val="CharChapNo"/>
          <w:color w:val="000000" w:themeColor="text1"/>
        </w:rPr>
        <w:lastRenderedPageBreak/>
        <w:t xml:space="preserve"> </w:t>
      </w:r>
      <w:r w:rsidRPr="00FE167A">
        <w:rPr>
          <w:rStyle w:val="CharChapText"/>
          <w:color w:val="000000" w:themeColor="text1"/>
        </w:rPr>
        <w:t xml:space="preserve"> </w:t>
      </w:r>
    </w:p>
    <w:p w14:paraId="78EC5E2C" w14:textId="77777777" w:rsidR="00EF4425" w:rsidRPr="00FE167A" w:rsidRDefault="00EF4425" w:rsidP="00EF4425">
      <w:pPr>
        <w:rPr>
          <w:color w:val="000000" w:themeColor="text1"/>
          <w:sz w:val="36"/>
        </w:rPr>
      </w:pPr>
      <w:r w:rsidRPr="00FE167A">
        <w:rPr>
          <w:color w:val="000000" w:themeColor="text1"/>
          <w:sz w:val="36"/>
        </w:rPr>
        <w:t>Contents</w:t>
      </w:r>
    </w:p>
    <w:p w14:paraId="1EE5A876" w14:textId="77777777" w:rsidR="00EF4425" w:rsidRPr="00FE167A" w:rsidRDefault="00EF4425" w:rsidP="00EF4425">
      <w:pPr>
        <w:pStyle w:val="TOC5"/>
        <w:rPr>
          <w:rFonts w:asciiTheme="minorHAnsi" w:eastAsiaTheme="minorEastAsia" w:hAnsiTheme="minorHAnsi" w:cstheme="minorBidi"/>
          <w:noProof/>
          <w:color w:val="000000" w:themeColor="text1"/>
          <w:kern w:val="0"/>
          <w:sz w:val="22"/>
          <w:szCs w:val="22"/>
        </w:rPr>
      </w:pPr>
      <w:r w:rsidRPr="00FE167A">
        <w:rPr>
          <w:noProof/>
          <w:color w:val="000000" w:themeColor="text1"/>
        </w:rPr>
        <w:t>1  Name</w:t>
      </w:r>
      <w:r w:rsidRPr="00FE167A">
        <w:rPr>
          <w:noProof/>
          <w:color w:val="000000" w:themeColor="text1"/>
        </w:rPr>
        <w:tab/>
        <w:t>3</w:t>
      </w:r>
    </w:p>
    <w:p w14:paraId="6B7C6EB0" w14:textId="77777777" w:rsidR="00EF4425" w:rsidRPr="00FE167A" w:rsidRDefault="00EF4425" w:rsidP="00EF4425">
      <w:pPr>
        <w:pStyle w:val="TOC5"/>
        <w:rPr>
          <w:rFonts w:asciiTheme="minorHAnsi" w:eastAsiaTheme="minorEastAsia" w:hAnsiTheme="minorHAnsi" w:cstheme="minorBidi"/>
          <w:noProof/>
          <w:color w:val="000000" w:themeColor="text1"/>
          <w:kern w:val="0"/>
          <w:sz w:val="22"/>
          <w:szCs w:val="22"/>
        </w:rPr>
      </w:pPr>
      <w:r w:rsidRPr="00FE167A">
        <w:rPr>
          <w:noProof/>
          <w:color w:val="000000" w:themeColor="text1"/>
        </w:rPr>
        <w:t>2  Commencement</w:t>
      </w:r>
      <w:r w:rsidRPr="00FE167A">
        <w:rPr>
          <w:noProof/>
          <w:color w:val="000000" w:themeColor="text1"/>
        </w:rPr>
        <w:tab/>
        <w:t>3</w:t>
      </w:r>
    </w:p>
    <w:p w14:paraId="1FAF3C24" w14:textId="77777777" w:rsidR="00EF4425" w:rsidRPr="00FE167A" w:rsidRDefault="00EF4425" w:rsidP="00EF4425">
      <w:pPr>
        <w:pStyle w:val="TOC5"/>
        <w:rPr>
          <w:rFonts w:asciiTheme="minorHAnsi" w:eastAsiaTheme="minorEastAsia" w:hAnsiTheme="minorHAnsi" w:cstheme="minorBidi"/>
          <w:noProof/>
          <w:color w:val="000000" w:themeColor="text1"/>
          <w:kern w:val="0"/>
          <w:sz w:val="22"/>
          <w:szCs w:val="22"/>
        </w:rPr>
      </w:pPr>
      <w:r w:rsidRPr="00FE167A">
        <w:rPr>
          <w:noProof/>
          <w:color w:val="000000" w:themeColor="text1"/>
        </w:rPr>
        <w:t>3  Authority</w:t>
      </w:r>
      <w:r w:rsidRPr="00FE167A">
        <w:rPr>
          <w:noProof/>
          <w:color w:val="000000" w:themeColor="text1"/>
        </w:rPr>
        <w:tab/>
        <w:t>3</w:t>
      </w:r>
    </w:p>
    <w:p w14:paraId="20A301A1" w14:textId="77777777" w:rsidR="00EF4425" w:rsidRPr="00FE167A" w:rsidRDefault="00EF4425" w:rsidP="00EF4425">
      <w:pPr>
        <w:pStyle w:val="TOC5"/>
        <w:rPr>
          <w:rFonts w:asciiTheme="minorHAnsi" w:eastAsiaTheme="minorEastAsia" w:hAnsiTheme="minorHAnsi" w:cstheme="minorBidi"/>
          <w:noProof/>
          <w:color w:val="000000" w:themeColor="text1"/>
          <w:kern w:val="0"/>
          <w:sz w:val="22"/>
          <w:szCs w:val="22"/>
        </w:rPr>
      </w:pPr>
      <w:r w:rsidRPr="00FE167A">
        <w:rPr>
          <w:noProof/>
          <w:color w:val="000000" w:themeColor="text1"/>
        </w:rPr>
        <w:t>4  Amendment of methodology determination</w:t>
      </w:r>
      <w:r w:rsidRPr="00FE167A">
        <w:rPr>
          <w:noProof/>
          <w:color w:val="000000" w:themeColor="text1"/>
        </w:rPr>
        <w:tab/>
        <w:t>3</w:t>
      </w:r>
    </w:p>
    <w:p w14:paraId="28823B15" w14:textId="77777777" w:rsidR="00EF4425" w:rsidRPr="00FE167A" w:rsidRDefault="00EF4425" w:rsidP="00EF4425">
      <w:pPr>
        <w:pStyle w:val="TOC1"/>
        <w:rPr>
          <w:rFonts w:asciiTheme="minorHAnsi" w:eastAsiaTheme="minorEastAsia" w:hAnsiTheme="minorHAnsi" w:cstheme="minorBidi"/>
          <w:b w:val="0"/>
          <w:noProof/>
          <w:color w:val="000000" w:themeColor="text1"/>
          <w:kern w:val="0"/>
          <w:sz w:val="22"/>
          <w:szCs w:val="22"/>
        </w:rPr>
      </w:pPr>
      <w:r w:rsidRPr="00FE167A">
        <w:rPr>
          <w:noProof/>
          <w:color w:val="000000" w:themeColor="text1"/>
        </w:rPr>
        <w:t>Schedule 1—Amendments of the</w:t>
      </w:r>
      <w:r w:rsidRPr="00FE167A">
        <w:rPr>
          <w:i/>
          <w:noProof/>
          <w:color w:val="000000" w:themeColor="text1"/>
        </w:rPr>
        <w:t xml:space="preserve"> </w:t>
      </w:r>
      <w:r w:rsidR="006D1CFB" w:rsidRPr="006D1CFB">
        <w:rPr>
          <w:i/>
          <w:noProof/>
          <w:color w:val="000000" w:themeColor="text1"/>
        </w:rPr>
        <w:t>National Greenhouse and Energy Reporting (Measurement) Determination 2008</w:t>
      </w:r>
      <w:r w:rsidRPr="00FE167A">
        <w:rPr>
          <w:noProof/>
          <w:color w:val="000000" w:themeColor="text1"/>
        </w:rPr>
        <w:tab/>
        <w:t>4</w:t>
      </w:r>
    </w:p>
    <w:p w14:paraId="272153F2" w14:textId="77777777" w:rsidR="00EF4425" w:rsidRPr="00FE167A" w:rsidRDefault="00EF4425" w:rsidP="00EF4425">
      <w:pPr>
        <w:spacing w:line="240" w:lineRule="auto"/>
        <w:rPr>
          <w:color w:val="000000" w:themeColor="text1"/>
        </w:rPr>
      </w:pPr>
      <w:r w:rsidRPr="00FE167A">
        <w:rPr>
          <w:color w:val="000000" w:themeColor="text1"/>
        </w:rPr>
        <w:br w:type="page"/>
      </w:r>
    </w:p>
    <w:p w14:paraId="449E310C" w14:textId="77777777" w:rsidR="00245C46" w:rsidRPr="00C021B3" w:rsidRDefault="00245C46" w:rsidP="00245C46">
      <w:pPr>
        <w:pStyle w:val="h5Section"/>
      </w:pPr>
      <w:bookmarkStart w:id="1" w:name="_Toc486000012"/>
      <w:r w:rsidRPr="00C021B3">
        <w:rPr>
          <w:rStyle w:val="CharSectno"/>
        </w:rPr>
        <w:lastRenderedPageBreak/>
        <w:t>1</w:t>
      </w:r>
      <w:r w:rsidRPr="00C021B3">
        <w:t xml:space="preserve">  Name</w:t>
      </w:r>
      <w:bookmarkEnd w:id="1"/>
    </w:p>
    <w:p w14:paraId="03CC73CD" w14:textId="31910BFD" w:rsidR="00245C46" w:rsidRPr="00C021B3" w:rsidRDefault="00245C46" w:rsidP="00245C46">
      <w:pPr>
        <w:pStyle w:val="tMain"/>
      </w:pPr>
      <w:r w:rsidRPr="00C021B3">
        <w:tab/>
      </w:r>
      <w:r w:rsidRPr="00C021B3">
        <w:tab/>
        <w:t xml:space="preserve">This instrument is the </w:t>
      </w:r>
      <w:bookmarkStart w:id="2" w:name="BKCheck15B_3"/>
      <w:bookmarkEnd w:id="2"/>
      <w:r w:rsidR="001805FC">
        <w:rPr>
          <w:i/>
          <w:noProof/>
        </w:rPr>
        <w:t>National Greenhouse and Energy Reporting (Measurement) Amendment (2018 Update) Determination 2018</w:t>
      </w:r>
      <w:r w:rsidRPr="00C021B3">
        <w:t>.</w:t>
      </w:r>
    </w:p>
    <w:p w14:paraId="55833C2A" w14:textId="77777777" w:rsidR="00245C46" w:rsidRPr="00C021B3" w:rsidRDefault="00245C46" w:rsidP="00245C46">
      <w:pPr>
        <w:pStyle w:val="h5Section"/>
      </w:pPr>
      <w:bookmarkStart w:id="3" w:name="_Toc486000013"/>
      <w:r w:rsidRPr="00C021B3">
        <w:rPr>
          <w:rStyle w:val="CharSectno"/>
        </w:rPr>
        <w:t>2</w:t>
      </w:r>
      <w:r w:rsidRPr="00C021B3">
        <w:t xml:space="preserve">  Commencement</w:t>
      </w:r>
      <w:bookmarkEnd w:id="3"/>
    </w:p>
    <w:p w14:paraId="26A7F60B" w14:textId="77777777" w:rsidR="00245C46" w:rsidRPr="00C021B3" w:rsidRDefault="00245C46" w:rsidP="00245C46">
      <w:pPr>
        <w:pStyle w:val="tMain"/>
      </w:pPr>
      <w:r w:rsidRPr="00C021B3">
        <w:tab/>
        <w:t>(1)</w:t>
      </w:r>
      <w:r w:rsidRPr="00C021B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496D539" w14:textId="77777777" w:rsidR="00245C46" w:rsidRPr="00C021B3" w:rsidRDefault="00245C46" w:rsidP="00245C4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45C46" w:rsidRPr="00C021B3" w14:paraId="0918267A" w14:textId="77777777" w:rsidTr="00971AB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97E9B49" w14:textId="77777777" w:rsidR="00245C46" w:rsidRPr="00C021B3" w:rsidRDefault="00245C46" w:rsidP="00971ABB">
            <w:pPr>
              <w:pStyle w:val="TableHeading"/>
            </w:pPr>
            <w:r w:rsidRPr="00C021B3">
              <w:t>Commencement information</w:t>
            </w:r>
          </w:p>
        </w:tc>
      </w:tr>
      <w:tr w:rsidR="00245C46" w:rsidRPr="00C021B3" w14:paraId="4746A087" w14:textId="77777777" w:rsidTr="00971AB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E88B99C" w14:textId="77777777" w:rsidR="00245C46" w:rsidRPr="00C021B3" w:rsidRDefault="00245C46" w:rsidP="00971ABB">
            <w:pPr>
              <w:pStyle w:val="TableHeading"/>
            </w:pPr>
            <w:r w:rsidRPr="00C021B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4584B7" w14:textId="77777777" w:rsidR="00245C46" w:rsidRPr="00C021B3" w:rsidRDefault="00245C46" w:rsidP="00971ABB">
            <w:pPr>
              <w:pStyle w:val="TableHeading"/>
            </w:pPr>
            <w:r w:rsidRPr="00C021B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0141D0" w14:textId="77777777" w:rsidR="00245C46" w:rsidRPr="00C021B3" w:rsidRDefault="00245C46" w:rsidP="00971ABB">
            <w:pPr>
              <w:pStyle w:val="TableHeading"/>
            </w:pPr>
            <w:r w:rsidRPr="00C021B3">
              <w:t>Column 3</w:t>
            </w:r>
          </w:p>
        </w:tc>
      </w:tr>
      <w:tr w:rsidR="00245C46" w:rsidRPr="00C021B3" w14:paraId="3F014D90" w14:textId="77777777" w:rsidTr="00971AB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B893E52" w14:textId="77777777" w:rsidR="00245C46" w:rsidRPr="00C021B3" w:rsidRDefault="00245C46" w:rsidP="00971ABB">
            <w:pPr>
              <w:pStyle w:val="TableHeading"/>
            </w:pPr>
            <w:r w:rsidRPr="00C021B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28C37A" w14:textId="77777777" w:rsidR="00245C46" w:rsidRPr="00C021B3" w:rsidRDefault="00245C46" w:rsidP="00971ABB">
            <w:pPr>
              <w:pStyle w:val="TableHeading"/>
            </w:pPr>
            <w:r w:rsidRPr="00C021B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E00A8B" w14:textId="77777777" w:rsidR="00245C46" w:rsidRPr="00C021B3" w:rsidRDefault="00245C46" w:rsidP="00971ABB">
            <w:pPr>
              <w:pStyle w:val="TableHeading"/>
            </w:pPr>
            <w:r w:rsidRPr="00C021B3">
              <w:t>Date/Details</w:t>
            </w:r>
          </w:p>
        </w:tc>
      </w:tr>
      <w:tr w:rsidR="00245C46" w:rsidRPr="00C021B3" w14:paraId="683A5E54" w14:textId="77777777" w:rsidTr="00971AB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00969B3" w14:textId="77777777" w:rsidR="00245C46" w:rsidRPr="00C021B3" w:rsidRDefault="00245C46" w:rsidP="00971ABB">
            <w:pPr>
              <w:pStyle w:val="Tabletext"/>
            </w:pPr>
            <w:r w:rsidRPr="00C021B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28D071" w14:textId="77777777" w:rsidR="00245C46" w:rsidRPr="00C021B3" w:rsidRDefault="00245C46" w:rsidP="00971ABB">
            <w:pPr>
              <w:pStyle w:val="Tabletext"/>
            </w:pPr>
            <w:r w:rsidRPr="00C021B3">
              <w:t>1 </w:t>
            </w:r>
            <w:r>
              <w:t>July 2018</w:t>
            </w:r>
            <w:r w:rsidRPr="00C021B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D165C7" w14:textId="77777777" w:rsidR="00245C46" w:rsidRPr="00C021B3" w:rsidRDefault="00245C46" w:rsidP="00971ABB">
            <w:pPr>
              <w:pStyle w:val="Tabletext"/>
            </w:pPr>
            <w:r w:rsidRPr="00C021B3">
              <w:t>1 </w:t>
            </w:r>
            <w:r>
              <w:t>July 2018</w:t>
            </w:r>
          </w:p>
        </w:tc>
      </w:tr>
    </w:tbl>
    <w:p w14:paraId="2241B0F5" w14:textId="77777777" w:rsidR="00245C46" w:rsidRPr="00C021B3" w:rsidRDefault="00245C46" w:rsidP="00245C46">
      <w:pPr>
        <w:pStyle w:val="nMain"/>
      </w:pPr>
      <w:r w:rsidRPr="00C021B3">
        <w:rPr>
          <w:snapToGrid w:val="0"/>
          <w:lang w:eastAsia="en-US"/>
        </w:rPr>
        <w:t>Note:</w:t>
      </w:r>
      <w:r w:rsidRPr="00C021B3">
        <w:rPr>
          <w:snapToGrid w:val="0"/>
          <w:lang w:eastAsia="en-US"/>
        </w:rPr>
        <w:tab/>
        <w:t xml:space="preserve">This table relates only to the provisions of this </w:t>
      </w:r>
      <w:r w:rsidRPr="00C021B3">
        <w:t xml:space="preserve">instrument </w:t>
      </w:r>
      <w:r w:rsidRPr="00C021B3">
        <w:rPr>
          <w:snapToGrid w:val="0"/>
          <w:lang w:eastAsia="en-US"/>
        </w:rPr>
        <w:t xml:space="preserve">as originally made. It will not be amended to deal with any later amendments of this </w:t>
      </w:r>
      <w:r w:rsidRPr="00C021B3">
        <w:t>instrument</w:t>
      </w:r>
      <w:r w:rsidRPr="00C021B3">
        <w:rPr>
          <w:snapToGrid w:val="0"/>
          <w:lang w:eastAsia="en-US"/>
        </w:rPr>
        <w:t>.</w:t>
      </w:r>
    </w:p>
    <w:p w14:paraId="4D2E64D2" w14:textId="77777777" w:rsidR="00245C46" w:rsidRPr="00C021B3" w:rsidRDefault="00245C46" w:rsidP="00245C46">
      <w:pPr>
        <w:pStyle w:val="tMain"/>
      </w:pPr>
      <w:r w:rsidRPr="00C021B3">
        <w:tab/>
        <w:t>(2)</w:t>
      </w:r>
      <w:r w:rsidRPr="00C021B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7DEA083" w14:textId="77777777" w:rsidR="00245C46" w:rsidRPr="00C021B3" w:rsidRDefault="00245C46" w:rsidP="00245C46">
      <w:pPr>
        <w:pStyle w:val="h5Section"/>
      </w:pPr>
      <w:bookmarkStart w:id="4" w:name="_Toc486000014"/>
      <w:r w:rsidRPr="00C021B3">
        <w:rPr>
          <w:rStyle w:val="CharSectno"/>
        </w:rPr>
        <w:t>3</w:t>
      </w:r>
      <w:r w:rsidRPr="00C021B3">
        <w:t xml:space="preserve">  Authority</w:t>
      </w:r>
      <w:bookmarkEnd w:id="4"/>
    </w:p>
    <w:p w14:paraId="02C07B5D" w14:textId="77777777" w:rsidR="00245C46" w:rsidRPr="00C021B3" w:rsidRDefault="00245C46" w:rsidP="00245C46">
      <w:pPr>
        <w:pStyle w:val="tMain"/>
      </w:pPr>
      <w:r w:rsidRPr="00C021B3">
        <w:tab/>
      </w:r>
      <w:r w:rsidRPr="00C021B3">
        <w:tab/>
        <w:t xml:space="preserve">This instrument is made under subsection 10(3) of the </w:t>
      </w:r>
      <w:r w:rsidRPr="00C021B3">
        <w:rPr>
          <w:i/>
        </w:rPr>
        <w:t>National Greenhouse and Energy Reporting Act 2007.</w:t>
      </w:r>
    </w:p>
    <w:p w14:paraId="2D4953FC" w14:textId="77777777" w:rsidR="00245C46" w:rsidRPr="00C021B3" w:rsidRDefault="00245C46" w:rsidP="00245C46">
      <w:pPr>
        <w:pStyle w:val="h5Section"/>
      </w:pPr>
      <w:bookmarkStart w:id="5" w:name="_Toc486000015"/>
      <w:r w:rsidRPr="00C021B3">
        <w:rPr>
          <w:rStyle w:val="CharSectno"/>
        </w:rPr>
        <w:t>4</w:t>
      </w:r>
      <w:r w:rsidRPr="00C021B3">
        <w:t xml:space="preserve">  Schedules</w:t>
      </w:r>
      <w:bookmarkEnd w:id="5"/>
    </w:p>
    <w:p w14:paraId="7127C309" w14:textId="77777777" w:rsidR="00245C46" w:rsidRPr="00C021B3" w:rsidRDefault="00245C46" w:rsidP="00245C46">
      <w:pPr>
        <w:pStyle w:val="tMain"/>
      </w:pPr>
      <w:r w:rsidRPr="00C021B3">
        <w:tab/>
      </w:r>
      <w:r w:rsidRPr="00C021B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D7234F8" w14:textId="77777777" w:rsidR="00EF4425" w:rsidRPr="00FE167A" w:rsidRDefault="00EF4425" w:rsidP="00EF4425">
      <w:pPr>
        <w:pStyle w:val="tMain"/>
        <w:rPr>
          <w:color w:val="000000" w:themeColor="text1"/>
        </w:rPr>
        <w:sectPr w:rsidR="00EF4425" w:rsidRPr="00FE167A" w:rsidSect="00CF04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14:paraId="4166DBF2" w14:textId="77777777" w:rsidR="00EF4425" w:rsidRPr="00FE167A" w:rsidRDefault="00EF4425" w:rsidP="00EF4425">
      <w:pPr>
        <w:pStyle w:val="tMain"/>
        <w:rPr>
          <w:color w:val="000000" w:themeColor="text1"/>
        </w:rPr>
      </w:pPr>
      <w:r w:rsidRPr="00FE167A">
        <w:rPr>
          <w:color w:val="000000" w:themeColor="text1"/>
        </w:rPr>
        <w:br w:type="page"/>
      </w:r>
    </w:p>
    <w:p w14:paraId="2210A231" w14:textId="77777777" w:rsidR="00EF4425" w:rsidRDefault="00EF4425" w:rsidP="00EF4425">
      <w:pPr>
        <w:pStyle w:val="h1Chap"/>
        <w:rPr>
          <w:i/>
          <w:noProof/>
          <w:color w:val="000000" w:themeColor="text1"/>
        </w:rPr>
      </w:pPr>
      <w:bookmarkStart w:id="6" w:name="_Toc432150458"/>
      <w:r w:rsidRPr="00FE167A">
        <w:rPr>
          <w:color w:val="000000" w:themeColor="text1"/>
        </w:rPr>
        <w:lastRenderedPageBreak/>
        <w:t>Schedule 1—Amendments of the</w:t>
      </w:r>
      <w:bookmarkEnd w:id="6"/>
      <w:r w:rsidR="00477234" w:rsidRPr="00FE167A">
        <w:rPr>
          <w:i/>
          <w:noProof/>
          <w:color w:val="000000" w:themeColor="text1"/>
        </w:rPr>
        <w:t xml:space="preserve"> </w:t>
      </w:r>
      <w:r w:rsidR="00245C46" w:rsidRPr="00245C46">
        <w:rPr>
          <w:i/>
          <w:noProof/>
          <w:color w:val="000000" w:themeColor="text1"/>
        </w:rPr>
        <w:t>National Greenhouse and Energy Reporting (Measurement) Determination 2008</w:t>
      </w:r>
    </w:p>
    <w:p w14:paraId="6DF99F5D" w14:textId="1538D0B6" w:rsidR="00E035D4" w:rsidRPr="00F430AA" w:rsidRDefault="001805FC" w:rsidP="00E035D4">
      <w:pPr>
        <w:pStyle w:val="h5SchItem"/>
      </w:pPr>
      <w:r>
        <w:t>[1]</w:t>
      </w:r>
      <w:r w:rsidR="00E035D4" w:rsidRPr="00F430AA">
        <w:tab/>
      </w:r>
      <w:r w:rsidR="00E035D4" w:rsidRPr="00D94E82">
        <w:t>S</w:t>
      </w:r>
      <w:r w:rsidR="00E035D4">
        <w:t>ubs</w:t>
      </w:r>
      <w:r w:rsidR="00E035D4" w:rsidRPr="00D94E82">
        <w:t>ection 1.3</w:t>
      </w:r>
      <w:r w:rsidR="00E035D4">
        <w:t>(1)</w:t>
      </w:r>
    </w:p>
    <w:p w14:paraId="3FEB0D5D" w14:textId="77777777" w:rsidR="00E035D4" w:rsidRPr="00D94E82" w:rsidRDefault="00E035D4" w:rsidP="00E035D4">
      <w:pPr>
        <w:pStyle w:val="tMain"/>
        <w:rPr>
          <w:color w:val="000000" w:themeColor="text1"/>
        </w:rPr>
      </w:pPr>
      <w:r w:rsidRPr="00FE167A">
        <w:rPr>
          <w:color w:val="000000" w:themeColor="text1"/>
        </w:rPr>
        <w:tab/>
      </w:r>
      <w:r>
        <w:rPr>
          <w:color w:val="000000" w:themeColor="text1"/>
        </w:rPr>
        <w:tab/>
        <w:t>Omit “sections 7B and”, substitute “section”.</w:t>
      </w:r>
    </w:p>
    <w:p w14:paraId="27C6142C" w14:textId="505E8E51" w:rsidR="009B744C" w:rsidRPr="00F430AA" w:rsidRDefault="00FA7DF1" w:rsidP="009B744C">
      <w:pPr>
        <w:pStyle w:val="h5SchItem"/>
      </w:pPr>
      <w:r>
        <w:t xml:space="preserve"> </w:t>
      </w:r>
      <w:r w:rsidR="001805FC">
        <w:t>[2]</w:t>
      </w:r>
      <w:r w:rsidR="009B744C" w:rsidRPr="00F430AA">
        <w:tab/>
      </w:r>
      <w:r w:rsidR="009B744C">
        <w:rPr>
          <w:color w:val="000000" w:themeColor="text1"/>
        </w:rPr>
        <w:t>Section 1.8</w:t>
      </w:r>
    </w:p>
    <w:p w14:paraId="7500AC74" w14:textId="690BCA45" w:rsidR="009B744C" w:rsidRDefault="009B744C" w:rsidP="009B744C">
      <w:pPr>
        <w:pStyle w:val="tMain"/>
        <w:rPr>
          <w:color w:val="000000" w:themeColor="text1"/>
        </w:rPr>
      </w:pPr>
      <w:r w:rsidRPr="00FE167A">
        <w:rPr>
          <w:color w:val="000000" w:themeColor="text1"/>
        </w:rPr>
        <w:tab/>
      </w:r>
      <w:r>
        <w:rPr>
          <w:color w:val="000000" w:themeColor="text1"/>
        </w:rPr>
        <w:tab/>
        <w:t>Insert:</w:t>
      </w:r>
    </w:p>
    <w:p w14:paraId="35B6256A" w14:textId="2A564A2B" w:rsidR="009B744C" w:rsidRPr="009B744C" w:rsidRDefault="009B744C" w:rsidP="00055913">
      <w:pPr>
        <w:pStyle w:val="tDefn"/>
      </w:pPr>
      <w:r w:rsidRPr="006A1544">
        <w:rPr>
          <w:b/>
          <w:i/>
        </w:rPr>
        <w:t xml:space="preserve">decommissioned underground mine </w:t>
      </w:r>
      <w:r w:rsidR="00055913">
        <w:t>has the meaning given by the Regulations.</w:t>
      </w:r>
    </w:p>
    <w:p w14:paraId="732AEC04" w14:textId="6F2FC0AA" w:rsidR="00063AAF" w:rsidRPr="00F430AA" w:rsidRDefault="001805FC" w:rsidP="00063AAF">
      <w:pPr>
        <w:pStyle w:val="h5SchItem"/>
      </w:pPr>
      <w:r>
        <w:t>[3]</w:t>
      </w:r>
      <w:r w:rsidR="00063AAF" w:rsidRPr="00F430AA">
        <w:tab/>
      </w:r>
      <w:r w:rsidR="00063AAF">
        <w:rPr>
          <w:color w:val="000000" w:themeColor="text1"/>
        </w:rPr>
        <w:t>Paragraph 1.11(a)</w:t>
      </w:r>
    </w:p>
    <w:p w14:paraId="50AD5AD3" w14:textId="77777777" w:rsidR="00063AAF" w:rsidRDefault="00063AAF" w:rsidP="00063AAF">
      <w:pPr>
        <w:pStyle w:val="tMain"/>
        <w:rPr>
          <w:color w:val="000000" w:themeColor="text1"/>
        </w:rPr>
      </w:pPr>
      <w:r w:rsidRPr="00FE167A">
        <w:rPr>
          <w:color w:val="000000" w:themeColor="text1"/>
        </w:rPr>
        <w:tab/>
      </w:r>
      <w:r>
        <w:rPr>
          <w:color w:val="000000" w:themeColor="text1"/>
        </w:rPr>
        <w:tab/>
        <w:t>After “emissions”, insert “and energy”.</w:t>
      </w:r>
    </w:p>
    <w:p w14:paraId="258236C8" w14:textId="485CD77E" w:rsidR="00063AAF" w:rsidRPr="00F430AA" w:rsidRDefault="001805FC" w:rsidP="00063AAF">
      <w:pPr>
        <w:pStyle w:val="h5SchItem"/>
      </w:pPr>
      <w:r>
        <w:t>[4]</w:t>
      </w:r>
      <w:r w:rsidR="00063AAF" w:rsidRPr="00F430AA">
        <w:tab/>
      </w:r>
      <w:r w:rsidR="00063AAF">
        <w:rPr>
          <w:color w:val="000000" w:themeColor="text1"/>
        </w:rPr>
        <w:t>Sections 1.12 and 1.13</w:t>
      </w:r>
    </w:p>
    <w:p w14:paraId="0F7C603D" w14:textId="77777777" w:rsidR="00063AAF" w:rsidRDefault="00063AAF" w:rsidP="00063AAF">
      <w:pPr>
        <w:pStyle w:val="tMain"/>
        <w:rPr>
          <w:color w:val="000000" w:themeColor="text1"/>
        </w:rPr>
      </w:pPr>
      <w:r w:rsidRPr="00FE167A">
        <w:rPr>
          <w:color w:val="000000" w:themeColor="text1"/>
        </w:rPr>
        <w:tab/>
      </w:r>
      <w:r>
        <w:rPr>
          <w:color w:val="000000" w:themeColor="text1"/>
        </w:rPr>
        <w:tab/>
        <w:t>Repeal the sections, substitute:</w:t>
      </w:r>
    </w:p>
    <w:p w14:paraId="3184C5E0" w14:textId="77777777" w:rsidR="00063AAF" w:rsidRPr="00097A86" w:rsidRDefault="00063AAF" w:rsidP="00063AAF">
      <w:pPr>
        <w:pStyle w:val="h5Section"/>
      </w:pPr>
      <w:bookmarkStart w:id="7" w:name="_Toc486861804"/>
      <w:r w:rsidRPr="00097A86">
        <w:rPr>
          <w:rStyle w:val="CharSectno"/>
        </w:rPr>
        <w:t>1.12</w:t>
      </w:r>
      <w:r w:rsidRPr="00097A86">
        <w:t xml:space="preserve">  Measurement of emissions</w:t>
      </w:r>
      <w:bookmarkEnd w:id="7"/>
      <w:r w:rsidR="007418B4">
        <w:t xml:space="preserve"> and energy</w:t>
      </w:r>
    </w:p>
    <w:p w14:paraId="4DA7E150" w14:textId="786C15C4" w:rsidR="00063AAF" w:rsidRDefault="006F0B00" w:rsidP="006F0B00">
      <w:pPr>
        <w:pStyle w:val="tMain"/>
      </w:pPr>
      <w:r>
        <w:tab/>
      </w:r>
      <w:r w:rsidR="001805FC">
        <w:t>(1)</w:t>
      </w:r>
      <w:r>
        <w:tab/>
      </w:r>
      <w:r w:rsidR="00063AAF" w:rsidRPr="00097A86">
        <w:t>The measurement of emissions released from the operation of a facility is to be done by estimating the emissions in accordance with this Determination.</w:t>
      </w:r>
    </w:p>
    <w:p w14:paraId="3C7BAA15" w14:textId="0A93FC1A" w:rsidR="00063AAF" w:rsidRPr="00097A86" w:rsidRDefault="006F0B00" w:rsidP="006F0B00">
      <w:pPr>
        <w:pStyle w:val="tMain"/>
      </w:pPr>
      <w:r>
        <w:tab/>
      </w:r>
      <w:r w:rsidR="001805FC">
        <w:t>(2)</w:t>
      </w:r>
      <w:r>
        <w:tab/>
      </w:r>
      <w:r w:rsidR="00063AAF" w:rsidRPr="00097A86">
        <w:t xml:space="preserve">The measurement of </w:t>
      </w:r>
      <w:r w:rsidR="00063AAF">
        <w:t>the production and consumption of energy</w:t>
      </w:r>
      <w:r w:rsidR="00063AAF" w:rsidRPr="00097A86">
        <w:t xml:space="preserve"> from the operation of a facility is to be done by </w:t>
      </w:r>
      <w:r w:rsidR="00063AAF">
        <w:t xml:space="preserve">estimating the production and consumption of energy </w:t>
      </w:r>
      <w:r w:rsidR="00063AAF" w:rsidRPr="00097A86">
        <w:t>in accordance with this Determination.</w:t>
      </w:r>
    </w:p>
    <w:p w14:paraId="6F38B04F" w14:textId="77777777" w:rsidR="00063AAF" w:rsidRPr="00097A86" w:rsidRDefault="00063AAF" w:rsidP="00063AAF">
      <w:pPr>
        <w:pStyle w:val="h5Section"/>
      </w:pPr>
      <w:bookmarkStart w:id="8" w:name="_Toc486861805"/>
      <w:r w:rsidRPr="00097A86">
        <w:rPr>
          <w:rStyle w:val="CharSectno"/>
        </w:rPr>
        <w:t>1.13</w:t>
      </w:r>
      <w:r w:rsidRPr="00097A86">
        <w:t xml:space="preserve">  General principles for measuring emissions</w:t>
      </w:r>
      <w:bookmarkEnd w:id="8"/>
      <w:r w:rsidR="007418B4">
        <w:t xml:space="preserve"> and energy</w:t>
      </w:r>
    </w:p>
    <w:p w14:paraId="6CD0A7E1" w14:textId="77777777" w:rsidR="00063AAF" w:rsidRPr="00097A86" w:rsidRDefault="00063AAF" w:rsidP="00063AAF">
      <w:pPr>
        <w:pStyle w:val="tMain"/>
      </w:pPr>
      <w:r w:rsidRPr="00097A86">
        <w:tab/>
      </w:r>
      <w:r w:rsidRPr="00097A86">
        <w:tab/>
        <w:t>Estimates for this Determination must be prepared in accordance with the following principles:</w:t>
      </w:r>
    </w:p>
    <w:p w14:paraId="1BC55335" w14:textId="77777777" w:rsidR="00063AAF" w:rsidRPr="00097A86" w:rsidRDefault="00063AAF" w:rsidP="00063AAF">
      <w:pPr>
        <w:pStyle w:val="tPara"/>
      </w:pPr>
      <w:r w:rsidRPr="00097A86">
        <w:tab/>
        <w:t>(a)</w:t>
      </w:r>
      <w:r w:rsidRPr="00097A86">
        <w:tab/>
        <w:t xml:space="preserve">transparency—emission </w:t>
      </w:r>
      <w:r w:rsidR="006F0B00">
        <w:t xml:space="preserve">and energy </w:t>
      </w:r>
      <w:r w:rsidRPr="00097A86">
        <w:t>estimates must be documented and verifiable;</w:t>
      </w:r>
    </w:p>
    <w:p w14:paraId="7C15E474" w14:textId="4E5156B1" w:rsidR="00063AAF" w:rsidRPr="00097A86" w:rsidRDefault="00063AAF" w:rsidP="00063AAF">
      <w:pPr>
        <w:pStyle w:val="tPara"/>
      </w:pPr>
      <w:r w:rsidRPr="00097A86">
        <w:tab/>
        <w:t>(b)</w:t>
      </w:r>
      <w:r w:rsidRPr="00097A86">
        <w:tab/>
        <w:t xml:space="preserve">comparability—emission </w:t>
      </w:r>
      <w:r w:rsidR="006F0B00">
        <w:t xml:space="preserve">and energy </w:t>
      </w:r>
      <w:r w:rsidRPr="00097A86">
        <w:t xml:space="preserve">estimates using a particular method and produced by a registered corporation or </w:t>
      </w:r>
      <w:r w:rsidR="00E035D4">
        <w:t>registered person</w:t>
      </w:r>
      <w:r w:rsidRPr="00097A86">
        <w:t xml:space="preserve"> in an industry sector must be comparable with emission</w:t>
      </w:r>
      <w:r w:rsidR="006F0B00">
        <w:t xml:space="preserve"> and energy</w:t>
      </w:r>
      <w:r w:rsidRPr="00097A86">
        <w:t xml:space="preserve"> estimates produced by similar corporat</w:t>
      </w:r>
      <w:r w:rsidR="00E035D4">
        <w:t>ions or persons</w:t>
      </w:r>
      <w:r w:rsidRPr="00097A86">
        <w:t xml:space="preserve"> in that industry sector using the same method and consistent with the emission </w:t>
      </w:r>
      <w:r w:rsidR="006F0B00">
        <w:t xml:space="preserve">and energy </w:t>
      </w:r>
      <w:r w:rsidRPr="00097A86">
        <w:t>estimates published by the Department in the National Greenhouse Accounts;</w:t>
      </w:r>
    </w:p>
    <w:p w14:paraId="6EEA2BED" w14:textId="5C87F637" w:rsidR="00063AAF" w:rsidRPr="00097A86" w:rsidRDefault="00063AAF" w:rsidP="00063AAF">
      <w:pPr>
        <w:pStyle w:val="tPara"/>
      </w:pPr>
      <w:r w:rsidRPr="00097A86">
        <w:tab/>
        <w:t>(c)</w:t>
      </w:r>
      <w:r w:rsidRPr="00097A86">
        <w:tab/>
      </w:r>
      <w:r w:rsidRPr="00097A86">
        <w:rPr>
          <w:iCs/>
        </w:rPr>
        <w:t>accuracy</w:t>
      </w:r>
      <w:r w:rsidRPr="00097A86">
        <w:t xml:space="preserve">—having regard to the availability of reasonable resources by a registered corporation or </w:t>
      </w:r>
      <w:r w:rsidR="00E035D4">
        <w:t>registered person</w:t>
      </w:r>
      <w:r w:rsidRPr="00097A86">
        <w:t xml:space="preserve"> and the requirements of this Determination, uncertainties in emission </w:t>
      </w:r>
      <w:r w:rsidR="006F0B00">
        <w:t xml:space="preserve">and energy </w:t>
      </w:r>
      <w:r w:rsidRPr="00097A86">
        <w:t>estimates must be minimised and any estimates must neither be over nor under estimates of the true values at a 95% confidence level;</w:t>
      </w:r>
    </w:p>
    <w:p w14:paraId="75598E24" w14:textId="23CC93D2" w:rsidR="00063AAF" w:rsidRPr="00E035D4" w:rsidRDefault="00063AAF" w:rsidP="00E035D4">
      <w:pPr>
        <w:pStyle w:val="tPara"/>
      </w:pPr>
      <w:r w:rsidRPr="00097A86">
        <w:lastRenderedPageBreak/>
        <w:tab/>
        <w:t>(d)</w:t>
      </w:r>
      <w:r w:rsidRPr="00097A86">
        <w:tab/>
      </w:r>
      <w:r w:rsidRPr="00097A86">
        <w:rPr>
          <w:iCs/>
        </w:rPr>
        <w:t>completeness</w:t>
      </w:r>
      <w:r w:rsidRPr="00097A86">
        <w:t>—all identifiable emission sources mentioned in section</w:t>
      </w:r>
      <w:r>
        <w:t> </w:t>
      </w:r>
      <w:r w:rsidRPr="00097A86">
        <w:t>1.10 must be accounted for</w:t>
      </w:r>
      <w:r w:rsidR="006F0B00">
        <w:t xml:space="preserve"> and </w:t>
      </w:r>
      <w:r w:rsidR="008B788F">
        <w:t>production and consumption</w:t>
      </w:r>
      <w:r w:rsidR="00A03904">
        <w:t xml:space="preserve"> of</w:t>
      </w:r>
      <w:r w:rsidR="008B788F">
        <w:t xml:space="preserve"> </w:t>
      </w:r>
      <w:r w:rsidR="006F0B00">
        <w:t xml:space="preserve">all identifiable fuels and energy commodities listed in Schedule 1 </w:t>
      </w:r>
      <w:r w:rsidR="007418B4" w:rsidRPr="007418B4">
        <w:t>of the Regulations</w:t>
      </w:r>
      <w:r w:rsidR="007418B4">
        <w:rPr>
          <w:sz w:val="20"/>
        </w:rPr>
        <w:t xml:space="preserve"> </w:t>
      </w:r>
      <w:r w:rsidR="006F0B00">
        <w:t>must be account</w:t>
      </w:r>
      <w:r w:rsidR="001F42EC">
        <w:t>ed</w:t>
      </w:r>
      <w:r w:rsidR="006F0B00">
        <w:t xml:space="preserve"> for</w:t>
      </w:r>
      <w:r w:rsidR="008B788F">
        <w:t>, subject to any applicable reporting thresholds</w:t>
      </w:r>
      <w:r w:rsidRPr="00097A86">
        <w:t>.</w:t>
      </w:r>
    </w:p>
    <w:p w14:paraId="5AEE58BD" w14:textId="568689AC" w:rsidR="00617EAE" w:rsidRPr="00F430AA" w:rsidRDefault="00FA7DF1" w:rsidP="00617EAE">
      <w:pPr>
        <w:pStyle w:val="h5SchItem"/>
      </w:pPr>
      <w:r>
        <w:t xml:space="preserve"> </w:t>
      </w:r>
      <w:r w:rsidR="001805FC">
        <w:t>[5]</w:t>
      </w:r>
      <w:r w:rsidR="00617EAE" w:rsidRPr="00F430AA">
        <w:tab/>
      </w:r>
      <w:r w:rsidR="00245C46">
        <w:rPr>
          <w:color w:val="000000" w:themeColor="text1"/>
        </w:rPr>
        <w:t>Subsection 1.19(2)</w:t>
      </w:r>
    </w:p>
    <w:p w14:paraId="04CF2939" w14:textId="77777777" w:rsidR="00536929" w:rsidRDefault="00EF4425" w:rsidP="00EF4425">
      <w:pPr>
        <w:pStyle w:val="tMain"/>
        <w:rPr>
          <w:color w:val="000000" w:themeColor="text1"/>
        </w:rPr>
      </w:pPr>
      <w:r w:rsidRPr="00FE167A">
        <w:rPr>
          <w:color w:val="000000" w:themeColor="text1"/>
        </w:rPr>
        <w:tab/>
      </w:r>
      <w:r w:rsidR="00245C46">
        <w:rPr>
          <w:color w:val="000000" w:themeColor="text1"/>
        </w:rPr>
        <w:tab/>
        <w:t>Omit “sourcemust”, substitute “source must”.</w:t>
      </w:r>
    </w:p>
    <w:p w14:paraId="1A6D2C07" w14:textId="5006FCA1" w:rsidR="007A544F" w:rsidRPr="00F430AA" w:rsidRDefault="001805FC" w:rsidP="007A544F">
      <w:pPr>
        <w:pStyle w:val="h5SchItem"/>
      </w:pPr>
      <w:r>
        <w:t>[6]</w:t>
      </w:r>
      <w:r w:rsidR="007A544F" w:rsidRPr="00F430AA">
        <w:tab/>
      </w:r>
      <w:r w:rsidR="007A544F">
        <w:rPr>
          <w:color w:val="000000" w:themeColor="text1"/>
        </w:rPr>
        <w:t>Subparagraph</w:t>
      </w:r>
      <w:r w:rsidR="00222094">
        <w:rPr>
          <w:color w:val="000000" w:themeColor="text1"/>
        </w:rPr>
        <w:t>s</w:t>
      </w:r>
      <w:r w:rsidR="007A544F">
        <w:rPr>
          <w:color w:val="000000" w:themeColor="text1"/>
        </w:rPr>
        <w:t xml:space="preserve"> 2.68(b)(iv)</w:t>
      </w:r>
      <w:r w:rsidR="00222094">
        <w:rPr>
          <w:color w:val="000000" w:themeColor="text1"/>
        </w:rPr>
        <w:t xml:space="preserve"> and (v)</w:t>
      </w:r>
    </w:p>
    <w:p w14:paraId="693EC47C" w14:textId="4FB0CA0C" w:rsidR="007A544F" w:rsidRDefault="007A544F" w:rsidP="007A544F">
      <w:pPr>
        <w:pStyle w:val="tMain"/>
        <w:rPr>
          <w:color w:val="000000" w:themeColor="text1"/>
        </w:rPr>
      </w:pPr>
      <w:r w:rsidRPr="00FE167A">
        <w:rPr>
          <w:color w:val="000000" w:themeColor="text1"/>
        </w:rPr>
        <w:tab/>
      </w:r>
      <w:r>
        <w:rPr>
          <w:color w:val="000000" w:themeColor="text1"/>
        </w:rPr>
        <w:tab/>
        <w:t>Repeal the subparagraph</w:t>
      </w:r>
      <w:r w:rsidR="000A0AA6">
        <w:rPr>
          <w:color w:val="000000" w:themeColor="text1"/>
        </w:rPr>
        <w:t>s</w:t>
      </w:r>
      <w:r>
        <w:rPr>
          <w:color w:val="000000" w:themeColor="text1"/>
        </w:rPr>
        <w:t>, substitute:</w:t>
      </w:r>
    </w:p>
    <w:p w14:paraId="2804AEE0" w14:textId="77777777" w:rsidR="007A544F" w:rsidRDefault="007A544F" w:rsidP="007A544F">
      <w:pPr>
        <w:pStyle w:val="tSubpara"/>
      </w:pPr>
      <w:r w:rsidRPr="00097A86">
        <w:tab/>
        <w:t>(iv)</w:t>
      </w:r>
      <w:r w:rsidRPr="00097A86">
        <w:tab/>
        <w:t>for electricity consumed from a generating unit</w:t>
      </w:r>
      <w:r>
        <w:t xml:space="preserve"> at the facility—that each generating unit has</w:t>
      </w:r>
      <w:r w:rsidRPr="00097A86">
        <w:t xml:space="preserve"> a maximum capacity to produce </w:t>
      </w:r>
      <w:r>
        <w:t xml:space="preserve">at least 0.5 megawatts of electricity and produces over </w:t>
      </w:r>
      <w:r w:rsidRPr="00097A86">
        <w:t>100</w:t>
      </w:r>
      <w:r>
        <w:t> </w:t>
      </w:r>
      <w:r w:rsidRPr="00097A86">
        <w:t>000 kilowatt hours</w:t>
      </w:r>
      <w:r>
        <w:t xml:space="preserve"> of electricity in a reporting year</w:t>
      </w:r>
      <w:r w:rsidRPr="00097A86">
        <w:t>; or</w:t>
      </w:r>
    </w:p>
    <w:p w14:paraId="37169B02" w14:textId="3598C8D0" w:rsidR="00222094" w:rsidRPr="007A544F" w:rsidRDefault="00222094" w:rsidP="00222094">
      <w:pPr>
        <w:pStyle w:val="tSubpara"/>
      </w:pPr>
      <w:r>
        <w:tab/>
        <w:t>(</w:t>
      </w:r>
      <w:r w:rsidRPr="00097A86">
        <w:t>v)</w:t>
      </w:r>
      <w:r w:rsidRPr="00097A86">
        <w:tab/>
      </w:r>
      <w:r w:rsidRPr="00222094">
        <w:t>for electricity consumed that was not generated by a generating unit at the facility—20 000 kilowatt hours</w:t>
      </w:r>
      <w:r>
        <w:t>.</w:t>
      </w:r>
    </w:p>
    <w:p w14:paraId="56B59B72" w14:textId="5FEFD47A" w:rsidR="00544F28" w:rsidRPr="00F430AA" w:rsidRDefault="001805FC" w:rsidP="00544F28">
      <w:pPr>
        <w:pStyle w:val="h5SchItem"/>
      </w:pPr>
      <w:r>
        <w:t>[7]</w:t>
      </w:r>
      <w:r w:rsidR="00544F28" w:rsidRPr="00F430AA">
        <w:tab/>
      </w:r>
      <w:r w:rsidR="00245C46">
        <w:t>Section 3.30</w:t>
      </w:r>
    </w:p>
    <w:p w14:paraId="1019369D" w14:textId="77777777" w:rsidR="00544F28" w:rsidRDefault="00617EAE" w:rsidP="00617EAE">
      <w:pPr>
        <w:pStyle w:val="tMain"/>
        <w:rPr>
          <w:color w:val="000000" w:themeColor="text1"/>
        </w:rPr>
      </w:pPr>
      <w:r w:rsidRPr="00FE167A">
        <w:rPr>
          <w:color w:val="000000" w:themeColor="text1"/>
        </w:rPr>
        <w:tab/>
      </w:r>
      <w:r w:rsidRPr="00FE167A">
        <w:rPr>
          <w:color w:val="000000" w:themeColor="text1"/>
        </w:rPr>
        <w:tab/>
      </w:r>
      <w:r>
        <w:rPr>
          <w:color w:val="000000" w:themeColor="text1"/>
        </w:rPr>
        <w:t xml:space="preserve">Repeal the </w:t>
      </w:r>
      <w:r w:rsidR="00245C46">
        <w:rPr>
          <w:color w:val="000000" w:themeColor="text1"/>
        </w:rPr>
        <w:t>section</w:t>
      </w:r>
      <w:r>
        <w:rPr>
          <w:color w:val="000000" w:themeColor="text1"/>
        </w:rPr>
        <w:t>, substitute:</w:t>
      </w:r>
    </w:p>
    <w:p w14:paraId="3250E27A" w14:textId="77777777" w:rsidR="00BF38DC" w:rsidRPr="00097A86" w:rsidRDefault="00BF38DC" w:rsidP="00BF38DC">
      <w:pPr>
        <w:pStyle w:val="h5Section"/>
      </w:pPr>
      <w:r w:rsidRPr="00097A86">
        <w:rPr>
          <w:rStyle w:val="CharSectno"/>
        </w:rPr>
        <w:t>3.30</w:t>
      </w:r>
      <w:r w:rsidRPr="00097A86">
        <w:t xml:space="preserve">  Application</w:t>
      </w:r>
    </w:p>
    <w:p w14:paraId="640D3A0F" w14:textId="3C079D04" w:rsidR="00245C46" w:rsidRPr="00BF38DC" w:rsidRDefault="00BF38DC" w:rsidP="00BF38DC">
      <w:pPr>
        <w:pStyle w:val="tMain"/>
      </w:pPr>
      <w:r w:rsidRPr="00097A86">
        <w:tab/>
      </w:r>
      <w:r w:rsidRPr="00097A86">
        <w:tab/>
        <w:t xml:space="preserve">This Division applies to fugitive emissions from decommissioned underground mines </w:t>
      </w:r>
      <w:r>
        <w:t>from the time that they became a decommissioned underground coal mine</w:t>
      </w:r>
      <w:r w:rsidR="006D1CFB">
        <w:t>,</w:t>
      </w:r>
      <w:r>
        <w:t xml:space="preserve"> other than mines which have been a decommissioned underground coal mine for a continuous period of 20 year</w:t>
      </w:r>
      <w:r w:rsidR="00026DA0">
        <w:t>s</w:t>
      </w:r>
      <w:r>
        <w:t xml:space="preserve"> or more</w:t>
      </w:r>
      <w:r w:rsidRPr="00097A86">
        <w:t>.</w:t>
      </w:r>
    </w:p>
    <w:p w14:paraId="6A79462F" w14:textId="08A6A4EF" w:rsidR="00617EAE" w:rsidRPr="00F430AA" w:rsidRDefault="001805FC" w:rsidP="00617EAE">
      <w:pPr>
        <w:pStyle w:val="h5SchItem"/>
      </w:pPr>
      <w:r>
        <w:t>[8]</w:t>
      </w:r>
      <w:r w:rsidR="00617EAE" w:rsidRPr="00F430AA">
        <w:tab/>
      </w:r>
      <w:r w:rsidR="00617EAE">
        <w:t>S</w:t>
      </w:r>
      <w:r w:rsidR="00245C46">
        <w:t>ubs</w:t>
      </w:r>
      <w:r w:rsidR="00617EAE">
        <w:t xml:space="preserve">ection </w:t>
      </w:r>
      <w:r w:rsidR="00245C46">
        <w:t>3.31(1)</w:t>
      </w:r>
    </w:p>
    <w:p w14:paraId="49867920" w14:textId="77777777" w:rsidR="00245C46" w:rsidRDefault="00617EAE" w:rsidP="00245C46">
      <w:pPr>
        <w:pStyle w:val="tMain"/>
        <w:rPr>
          <w:color w:val="000000" w:themeColor="text1"/>
        </w:rPr>
      </w:pPr>
      <w:r w:rsidRPr="00FE167A">
        <w:rPr>
          <w:color w:val="000000" w:themeColor="text1"/>
        </w:rPr>
        <w:tab/>
      </w:r>
      <w:r w:rsidRPr="00FE167A">
        <w:rPr>
          <w:color w:val="000000" w:themeColor="text1"/>
        </w:rPr>
        <w:tab/>
      </w:r>
      <w:r w:rsidR="00245C46">
        <w:rPr>
          <w:color w:val="000000" w:themeColor="text1"/>
        </w:rPr>
        <w:tab/>
        <w:t>Repeal the subsection, substitute:</w:t>
      </w:r>
    </w:p>
    <w:p w14:paraId="46E1AAB9" w14:textId="77777777" w:rsidR="00617EAE" w:rsidRPr="00BF38DC" w:rsidRDefault="00BF38DC" w:rsidP="00BF38DC">
      <w:pPr>
        <w:pStyle w:val="tMain"/>
      </w:pPr>
      <w:r w:rsidRPr="00097A86">
        <w:tab/>
        <w:t>(1)</w:t>
      </w:r>
      <w:r w:rsidRPr="00097A86">
        <w:tab/>
        <w:t>Subject to section</w:t>
      </w:r>
      <w:r>
        <w:t>s </w:t>
      </w:r>
      <w:r w:rsidRPr="00097A86">
        <w:t>1.18</w:t>
      </w:r>
      <w:r>
        <w:t xml:space="preserve"> and 3.30</w:t>
      </w:r>
      <w:r w:rsidRPr="00097A86">
        <w:t>, for estimating emissions released during a year from the operation of a facility that is constituted by a decommissioned underground mine</w:t>
      </w:r>
      <w:r w:rsidR="00A51360">
        <w:t xml:space="preserve"> </w:t>
      </w:r>
      <w:r w:rsidR="00A51360" w:rsidRPr="00097A86">
        <w:t>the methods as set out in this section must be used</w:t>
      </w:r>
      <w:r w:rsidRPr="00097A86">
        <w:t>.</w:t>
      </w:r>
    </w:p>
    <w:p w14:paraId="5A5F5CD6" w14:textId="40E51983" w:rsidR="00617EAE" w:rsidRPr="00F430AA" w:rsidRDefault="001805FC" w:rsidP="00617EAE">
      <w:pPr>
        <w:pStyle w:val="h5SchItem"/>
      </w:pPr>
      <w:r>
        <w:t>[9]</w:t>
      </w:r>
      <w:r w:rsidR="00617EAE" w:rsidRPr="00F430AA">
        <w:tab/>
      </w:r>
      <w:r w:rsidR="00BF38DC">
        <w:rPr>
          <w:color w:val="000000" w:themeColor="text1"/>
        </w:rPr>
        <w:t>Subsection 3.31(6)</w:t>
      </w:r>
    </w:p>
    <w:p w14:paraId="17797196" w14:textId="77777777" w:rsidR="00E86486" w:rsidRDefault="00617EAE" w:rsidP="00BF38DC">
      <w:pPr>
        <w:pStyle w:val="tMain"/>
        <w:rPr>
          <w:color w:val="000000" w:themeColor="text1"/>
        </w:rPr>
      </w:pPr>
      <w:r w:rsidRPr="00FE167A">
        <w:rPr>
          <w:color w:val="000000" w:themeColor="text1"/>
        </w:rPr>
        <w:tab/>
      </w:r>
      <w:r w:rsidRPr="00FE167A">
        <w:rPr>
          <w:color w:val="000000" w:themeColor="text1"/>
        </w:rPr>
        <w:tab/>
      </w:r>
      <w:r w:rsidR="00BF38DC">
        <w:rPr>
          <w:color w:val="000000" w:themeColor="text1"/>
        </w:rPr>
        <w:t>Omit “for combustion”.</w:t>
      </w:r>
    </w:p>
    <w:p w14:paraId="290733ED" w14:textId="5093EED8" w:rsidR="00617EAE" w:rsidRPr="00F430AA" w:rsidRDefault="001805FC" w:rsidP="00617EAE">
      <w:pPr>
        <w:pStyle w:val="h5SchItem"/>
      </w:pPr>
      <w:r>
        <w:t>[10]</w:t>
      </w:r>
      <w:r w:rsidR="00617EAE" w:rsidRPr="00F430AA">
        <w:tab/>
      </w:r>
      <w:r w:rsidR="00BF38DC">
        <w:t>Section 3.32</w:t>
      </w:r>
      <w:r w:rsidR="00617EAE">
        <w:t xml:space="preserve"> (definition of </w:t>
      </w:r>
      <w:r w:rsidR="00BF38DC">
        <w:rPr>
          <w:i/>
        </w:rPr>
        <w:t>E</w:t>
      </w:r>
      <w:r w:rsidR="00BF38DC">
        <w:rPr>
          <w:i/>
          <w:vertAlign w:val="subscript"/>
        </w:rPr>
        <w:t>tdm</w:t>
      </w:r>
      <w:r w:rsidR="00617EAE">
        <w:t>)</w:t>
      </w:r>
    </w:p>
    <w:p w14:paraId="145FD9ED" w14:textId="77777777" w:rsidR="00453F60" w:rsidRDefault="00617EAE" w:rsidP="00BF38DC">
      <w:pPr>
        <w:pStyle w:val="tMain"/>
        <w:rPr>
          <w:color w:val="000000" w:themeColor="text1"/>
        </w:rPr>
      </w:pPr>
      <w:r w:rsidRPr="00FE167A">
        <w:rPr>
          <w:color w:val="000000" w:themeColor="text1"/>
        </w:rPr>
        <w:tab/>
      </w:r>
      <w:r w:rsidRPr="00FE167A">
        <w:rPr>
          <w:color w:val="000000" w:themeColor="text1"/>
        </w:rPr>
        <w:tab/>
      </w:r>
      <w:r w:rsidR="00BF38DC">
        <w:rPr>
          <w:color w:val="000000" w:themeColor="text1"/>
        </w:rPr>
        <w:t>Omit “</w:t>
      </w:r>
      <w:r w:rsidR="00C77A59">
        <w:rPr>
          <w:color w:val="000000" w:themeColor="text1"/>
        </w:rPr>
        <w:t xml:space="preserve">full </w:t>
      </w:r>
      <w:r w:rsidR="00BF38DC">
        <w:rPr>
          <w:color w:val="000000" w:themeColor="text1"/>
        </w:rPr>
        <w:t>year</w:t>
      </w:r>
      <w:r w:rsidR="00C77A59">
        <w:rPr>
          <w:color w:val="000000" w:themeColor="text1"/>
        </w:rPr>
        <w:t xml:space="preserve"> </w:t>
      </w:r>
      <w:r w:rsidR="00C77A59" w:rsidRPr="00097A86">
        <w:t>that the mine was in operation measured in CO</w:t>
      </w:r>
      <w:r w:rsidR="00C77A59" w:rsidRPr="00097A86">
        <w:rPr>
          <w:rStyle w:val="charSubscript"/>
        </w:rPr>
        <w:t>2</w:t>
      </w:r>
      <w:r w:rsidR="00C77A59">
        <w:noBreakHyphen/>
      </w:r>
      <w:r w:rsidR="00C77A59" w:rsidRPr="00097A86">
        <w:t>e tonnes and estimated under section</w:t>
      </w:r>
      <w:r w:rsidR="00C77A59">
        <w:t> </w:t>
      </w:r>
      <w:r w:rsidR="00C77A59" w:rsidRPr="00097A86">
        <w:t>3.5 or 3.6</w:t>
      </w:r>
      <w:r w:rsidR="00A51360">
        <w:rPr>
          <w:color w:val="000000" w:themeColor="text1"/>
        </w:rPr>
        <w:t>”, substitute “</w:t>
      </w:r>
      <w:r w:rsidR="00C77A59">
        <w:t>12 month period before the mine became a decommissioned underground coal mine,</w:t>
      </w:r>
      <w:r w:rsidR="00C77A59" w:rsidRPr="00097A86">
        <w:t xml:space="preserve"> </w:t>
      </w:r>
      <w:r w:rsidR="00C77A59">
        <w:t xml:space="preserve">measured </w:t>
      </w:r>
      <w:r w:rsidR="00C77A59" w:rsidRPr="00097A86">
        <w:t>in CO</w:t>
      </w:r>
      <w:r w:rsidR="00C77A59" w:rsidRPr="00097A86">
        <w:rPr>
          <w:rStyle w:val="charSubscript"/>
        </w:rPr>
        <w:t>2</w:t>
      </w:r>
      <w:r w:rsidR="00C77A59">
        <w:noBreakHyphen/>
      </w:r>
      <w:r w:rsidR="00C77A59" w:rsidRPr="00097A86">
        <w:t>e tonnes and estimated under section 3.6</w:t>
      </w:r>
      <w:r w:rsidR="00A51360">
        <w:rPr>
          <w:color w:val="000000" w:themeColor="text1"/>
        </w:rPr>
        <w:t>”.</w:t>
      </w:r>
    </w:p>
    <w:p w14:paraId="3C380FDF" w14:textId="75E72080" w:rsidR="00761AF7" w:rsidRPr="00A51360" w:rsidRDefault="001805FC" w:rsidP="00761AF7">
      <w:pPr>
        <w:pStyle w:val="h5SchItem"/>
      </w:pPr>
      <w:r>
        <w:lastRenderedPageBreak/>
        <w:t>[11]</w:t>
      </w:r>
      <w:r w:rsidR="00761AF7" w:rsidRPr="00F430AA">
        <w:tab/>
      </w:r>
      <w:r w:rsidR="00761AF7">
        <w:t xml:space="preserve">Section 3.33 </w:t>
      </w:r>
    </w:p>
    <w:p w14:paraId="4DC5AF62" w14:textId="77777777" w:rsidR="00761AF7" w:rsidRPr="00761AF7" w:rsidRDefault="00761AF7" w:rsidP="00761AF7">
      <w:pPr>
        <w:pStyle w:val="tMain"/>
        <w:rPr>
          <w:color w:val="000000" w:themeColor="text1"/>
        </w:rPr>
      </w:pPr>
      <w:r w:rsidRPr="00FE167A">
        <w:rPr>
          <w:color w:val="000000" w:themeColor="text1"/>
        </w:rPr>
        <w:tab/>
      </w:r>
      <w:r w:rsidRPr="00FE167A">
        <w:rPr>
          <w:color w:val="000000" w:themeColor="text1"/>
        </w:rPr>
        <w:tab/>
      </w:r>
      <w:r>
        <w:rPr>
          <w:color w:val="000000" w:themeColor="text1"/>
        </w:rPr>
        <w:t xml:space="preserve">Omit “between </w:t>
      </w:r>
      <w:r w:rsidRPr="00761AF7">
        <w:rPr>
          <w:b/>
          <w:i/>
          <w:color w:val="000000" w:themeColor="text1"/>
        </w:rPr>
        <w:t>T</w:t>
      </w:r>
      <w:r>
        <w:rPr>
          <w:color w:val="000000" w:themeColor="text1"/>
        </w:rPr>
        <w:t xml:space="preserve"> and </w:t>
      </w:r>
      <w:r w:rsidRPr="00761AF7">
        <w:rPr>
          <w:b/>
          <w:i/>
          <w:color w:val="000000" w:themeColor="text1"/>
        </w:rPr>
        <w:t>T</w:t>
      </w:r>
      <w:r>
        <w:rPr>
          <w:color w:val="000000" w:themeColor="text1"/>
        </w:rPr>
        <w:t xml:space="preserve">-1”, substitute “between </w:t>
      </w:r>
      <w:r w:rsidRPr="00761AF7">
        <w:rPr>
          <w:b/>
          <w:i/>
          <w:color w:val="000000" w:themeColor="text1"/>
        </w:rPr>
        <w:t>T</w:t>
      </w:r>
      <w:r>
        <w:rPr>
          <w:color w:val="000000" w:themeColor="text1"/>
        </w:rPr>
        <w:t xml:space="preserve"> and </w:t>
      </w:r>
      <w:r w:rsidRPr="00761AF7">
        <w:rPr>
          <w:b/>
          <w:i/>
          <w:color w:val="000000" w:themeColor="text1"/>
        </w:rPr>
        <w:t>T</w:t>
      </w:r>
      <w:r>
        <w:rPr>
          <w:color w:val="000000" w:themeColor="text1"/>
        </w:rPr>
        <w:t>-</w:t>
      </w:r>
      <w:r w:rsidRPr="00761AF7">
        <w:rPr>
          <w:b/>
          <w:i/>
          <w:color w:val="000000" w:themeColor="text1"/>
        </w:rPr>
        <w:t>N</w:t>
      </w:r>
      <w:r>
        <w:rPr>
          <w:color w:val="000000" w:themeColor="text1"/>
        </w:rPr>
        <w:t>”.</w:t>
      </w:r>
    </w:p>
    <w:p w14:paraId="33E6267B" w14:textId="194846BB" w:rsidR="00671C12" w:rsidRPr="00A51360" w:rsidRDefault="001805FC" w:rsidP="00671C12">
      <w:pPr>
        <w:pStyle w:val="h5SchItem"/>
      </w:pPr>
      <w:r>
        <w:t>[12]</w:t>
      </w:r>
      <w:r w:rsidR="00671C12" w:rsidRPr="00F430AA">
        <w:tab/>
      </w:r>
      <w:r w:rsidR="00671C12">
        <w:t xml:space="preserve">Section </w:t>
      </w:r>
      <w:r w:rsidR="00A51360">
        <w:t>3.33</w:t>
      </w:r>
      <w:r w:rsidR="00671C12">
        <w:t xml:space="preserve"> (definition</w:t>
      </w:r>
      <w:r w:rsidR="006D1CFB">
        <w:t>s</w:t>
      </w:r>
      <w:r w:rsidR="00671C12">
        <w:t xml:space="preserve"> of </w:t>
      </w:r>
      <w:r w:rsidR="00A51360">
        <w:rPr>
          <w:i/>
        </w:rPr>
        <w:t xml:space="preserve">A </w:t>
      </w:r>
      <w:r w:rsidR="00A51360" w:rsidRPr="00A51360">
        <w:t>and</w:t>
      </w:r>
      <w:r w:rsidR="00A51360">
        <w:rPr>
          <w:i/>
        </w:rPr>
        <w:t xml:space="preserve"> T</w:t>
      </w:r>
      <w:r w:rsidR="00A51360">
        <w:t>)</w:t>
      </w:r>
    </w:p>
    <w:p w14:paraId="1F5F1B65" w14:textId="77777777" w:rsidR="00671C12" w:rsidRDefault="00671C12" w:rsidP="00671C12">
      <w:pPr>
        <w:pStyle w:val="tMain"/>
        <w:rPr>
          <w:color w:val="000000" w:themeColor="text1"/>
        </w:rPr>
      </w:pPr>
      <w:r w:rsidRPr="00FE167A">
        <w:rPr>
          <w:color w:val="000000" w:themeColor="text1"/>
        </w:rPr>
        <w:tab/>
      </w:r>
      <w:r w:rsidRPr="00FE167A">
        <w:rPr>
          <w:color w:val="000000" w:themeColor="text1"/>
        </w:rPr>
        <w:tab/>
      </w:r>
      <w:r>
        <w:rPr>
          <w:color w:val="000000" w:themeColor="text1"/>
        </w:rPr>
        <w:t>Repeal the definition</w:t>
      </w:r>
      <w:r w:rsidR="00A51360">
        <w:rPr>
          <w:color w:val="000000" w:themeColor="text1"/>
        </w:rPr>
        <w:t>s</w:t>
      </w:r>
      <w:r>
        <w:rPr>
          <w:color w:val="000000" w:themeColor="text1"/>
        </w:rPr>
        <w:t>, substitute:</w:t>
      </w:r>
    </w:p>
    <w:p w14:paraId="1EAABBF3" w14:textId="77777777" w:rsidR="00A51360" w:rsidRPr="00097A86" w:rsidRDefault="00A51360" w:rsidP="00A51360">
      <w:pPr>
        <w:pStyle w:val="tDefn"/>
      </w:pPr>
      <w:r w:rsidRPr="00097A86">
        <w:rPr>
          <w:b/>
          <w:i/>
        </w:rPr>
        <w:t xml:space="preserve">A </w:t>
      </w:r>
      <w:r w:rsidRPr="00097A86">
        <w:t>is:</w:t>
      </w:r>
    </w:p>
    <w:p w14:paraId="16F90CFB" w14:textId="77777777" w:rsidR="00A51360" w:rsidRPr="00097A86" w:rsidRDefault="00A51360" w:rsidP="00A51360">
      <w:pPr>
        <w:pStyle w:val="tDefn"/>
      </w:pPr>
      <w:r w:rsidRPr="00097A86">
        <w:tab/>
        <w:t>(a)</w:t>
      </w:r>
      <w:r w:rsidRPr="00097A86">
        <w:tab/>
        <w:t>for a gassy mine—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eastAsiaTheme="minorHAnsi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0.23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Pr="00097A86">
        <w:t>; or</w:t>
      </w:r>
    </w:p>
    <w:p w14:paraId="6B73B965" w14:textId="77777777" w:rsidR="00A51360" w:rsidRPr="00097A86" w:rsidRDefault="00A51360" w:rsidP="00A51360">
      <w:pPr>
        <w:pStyle w:val="tPara"/>
      </w:pPr>
      <w:r w:rsidRPr="00097A86">
        <w:tab/>
        <w:t>(b)</w:t>
      </w:r>
      <w:r w:rsidRPr="00097A86">
        <w:tab/>
      </w:r>
      <w:r w:rsidR="00797195">
        <w:tab/>
      </w:r>
      <w:r w:rsidRPr="00097A86">
        <w:t>for a non</w:t>
      </w:r>
      <w:r>
        <w:noBreakHyphen/>
      </w:r>
      <w:r w:rsidRPr="00097A86">
        <w:t>gassy mine</w:t>
      </w:r>
      <w:r w:rsidR="00797195" w:rsidRPr="00097A86">
        <w:t>—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eastAsiaTheme="minorHAnsi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0.35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Pr="00097A86">
        <w:t>.</w:t>
      </w:r>
    </w:p>
    <w:p w14:paraId="519C4B15" w14:textId="77777777" w:rsidR="00A51360" w:rsidRDefault="00A51360" w:rsidP="00A51360">
      <w:pPr>
        <w:pStyle w:val="tDefn"/>
      </w:pPr>
      <w:r w:rsidRPr="00097A86">
        <w:rPr>
          <w:b/>
          <w:i/>
        </w:rPr>
        <w:t xml:space="preserve">T </w:t>
      </w:r>
      <w:r w:rsidRPr="00097A86">
        <w:t xml:space="preserve">is the number of </w:t>
      </w:r>
      <w:r w:rsidR="00797195">
        <w:t>whole months</w:t>
      </w:r>
      <w:r w:rsidRPr="00097A86">
        <w:t xml:space="preserve"> since the mine </w:t>
      </w:r>
      <w:r w:rsidR="00797195">
        <w:t>became a decommissioned underground coal mine, at the end of the reporting year.</w:t>
      </w:r>
    </w:p>
    <w:p w14:paraId="73F933FA" w14:textId="77777777" w:rsidR="00797195" w:rsidRPr="00097A86" w:rsidRDefault="00797195" w:rsidP="00797195">
      <w:pPr>
        <w:pStyle w:val="tDefn"/>
      </w:pPr>
      <w:r>
        <w:rPr>
          <w:b/>
          <w:i/>
        </w:rPr>
        <w:t>N</w:t>
      </w:r>
      <w:r w:rsidRPr="00097A86">
        <w:rPr>
          <w:b/>
          <w:i/>
        </w:rPr>
        <w:t xml:space="preserve"> </w:t>
      </w:r>
      <w:r w:rsidRPr="00097A86">
        <w:t>is</w:t>
      </w:r>
      <w:r>
        <w:t>:</w:t>
      </w:r>
      <w:r w:rsidRPr="00097A86">
        <w:t xml:space="preserve"> </w:t>
      </w:r>
      <w:bookmarkStart w:id="9" w:name="_GoBack"/>
      <w:bookmarkEnd w:id="9"/>
    </w:p>
    <w:p w14:paraId="3A4BE55F" w14:textId="77777777" w:rsidR="00797195" w:rsidRPr="00097A86" w:rsidRDefault="00797195" w:rsidP="00797195">
      <w:pPr>
        <w:pStyle w:val="tPara"/>
        <w:ind w:left="1700" w:hanging="1700"/>
      </w:pPr>
      <w:r w:rsidRPr="00097A86">
        <w:tab/>
        <w:t>(a)</w:t>
      </w:r>
      <w:r w:rsidRPr="00097A86">
        <w:tab/>
      </w:r>
      <w:r>
        <w:t xml:space="preserve">if </w:t>
      </w:r>
      <w:r w:rsidRPr="00797195">
        <w:rPr>
          <w:b/>
          <w:i/>
        </w:rPr>
        <w:t>T</w:t>
      </w:r>
      <w:r>
        <w:t xml:space="preserve"> is less than 12</w:t>
      </w:r>
      <w:r w:rsidRPr="00097A86">
        <w:t>—</w:t>
      </w:r>
      <w:r>
        <w:t xml:space="preserve">the value for </w:t>
      </w:r>
      <w:r w:rsidRPr="00797195">
        <w:rPr>
          <w:b/>
          <w:i/>
        </w:rPr>
        <w:t>T</w:t>
      </w:r>
      <w:r w:rsidRPr="00097A86">
        <w:t>; or</w:t>
      </w:r>
    </w:p>
    <w:p w14:paraId="0CAB488E" w14:textId="77777777" w:rsidR="00797195" w:rsidRDefault="00797195" w:rsidP="00797195">
      <w:pPr>
        <w:pStyle w:val="tPara"/>
      </w:pPr>
      <w:r w:rsidRPr="00097A86">
        <w:tab/>
        <w:t>(b)</w:t>
      </w:r>
      <w:r w:rsidRPr="00097A86">
        <w:tab/>
      </w:r>
      <w:r>
        <w:tab/>
        <w:t xml:space="preserve">if </w:t>
      </w:r>
      <w:r w:rsidRPr="00797195">
        <w:rPr>
          <w:b/>
          <w:i/>
        </w:rPr>
        <w:t>T</w:t>
      </w:r>
      <w:r>
        <w:t xml:space="preserve"> is 12 or greater</w:t>
      </w:r>
      <w:r w:rsidRPr="00097A86">
        <w:t>—</w:t>
      </w:r>
      <w:r>
        <w:t>12</w:t>
      </w:r>
      <w:r w:rsidRPr="00097A86">
        <w:t>.</w:t>
      </w:r>
    </w:p>
    <w:p w14:paraId="220B174D" w14:textId="63C73E88" w:rsidR="00671C12" w:rsidRPr="00F430AA" w:rsidRDefault="001805FC" w:rsidP="00671C12">
      <w:pPr>
        <w:pStyle w:val="h5SchItem"/>
      </w:pPr>
      <w:r>
        <w:t>[13]</w:t>
      </w:r>
      <w:r w:rsidR="00671C12" w:rsidRPr="00F430AA">
        <w:tab/>
      </w:r>
      <w:r w:rsidR="00671C12">
        <w:t xml:space="preserve">Section </w:t>
      </w:r>
      <w:r w:rsidR="00761AF7">
        <w:t>3.34</w:t>
      </w:r>
    </w:p>
    <w:p w14:paraId="1E89A2CA" w14:textId="77777777" w:rsidR="00671C12" w:rsidRDefault="00671C12" w:rsidP="00671C12">
      <w:pPr>
        <w:pStyle w:val="tMain"/>
        <w:rPr>
          <w:color w:val="000000" w:themeColor="text1"/>
        </w:rPr>
      </w:pPr>
      <w:r w:rsidRPr="00FE167A">
        <w:rPr>
          <w:color w:val="000000" w:themeColor="text1"/>
        </w:rPr>
        <w:tab/>
      </w:r>
      <w:r w:rsidRPr="00FE167A">
        <w:rPr>
          <w:color w:val="000000" w:themeColor="text1"/>
        </w:rPr>
        <w:tab/>
      </w:r>
      <w:r>
        <w:rPr>
          <w:color w:val="000000" w:themeColor="text1"/>
        </w:rPr>
        <w:t xml:space="preserve">Omit </w:t>
      </w:r>
      <w:r w:rsidR="00761AF7">
        <w:rPr>
          <w:color w:val="000000" w:themeColor="text1"/>
        </w:rPr>
        <w:t>the equation,</w:t>
      </w:r>
      <w:r>
        <w:rPr>
          <w:color w:val="000000" w:themeColor="text1"/>
        </w:rPr>
        <w:t xml:space="preserve"> substitute</w:t>
      </w:r>
      <w:r w:rsidR="00761AF7">
        <w:rPr>
          <w:color w:val="000000" w:themeColor="text1"/>
        </w:rPr>
        <w:t>:</w:t>
      </w:r>
    </w:p>
    <w:p w14:paraId="2136F39B" w14:textId="77777777" w:rsidR="00761AF7" w:rsidRPr="00761AF7" w:rsidRDefault="00CE64F2" w:rsidP="00671C12">
      <w:pPr>
        <w:pStyle w:val="tMain"/>
        <w:rPr>
          <w:iCs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HAnsi" w:hAnsi="Cambria Math"/>
                  <w:i/>
                  <w:iCs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WI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VV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×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/>
                  <w:sz w:val="24"/>
                  <w:szCs w:val="24"/>
                </w:rPr>
                <m:t>months</m:t>
              </m:r>
            </m:num>
            <m:den>
              <m:r>
                <w:rPr>
                  <w:rFonts w:ascii="Cambria Math" w:eastAsiaTheme="minorHAnsi" w:hAnsi="Cambria Math"/>
                  <w:sz w:val="24"/>
                  <w:szCs w:val="24"/>
                </w:rPr>
                <m:t>12</m:t>
              </m:r>
            </m:den>
          </m:f>
        </m:oMath>
      </m:oMathPara>
    </w:p>
    <w:p w14:paraId="542C3B14" w14:textId="54B67CBF" w:rsidR="00761AF7" w:rsidRPr="00A51360" w:rsidRDefault="001805FC" w:rsidP="00761AF7">
      <w:pPr>
        <w:pStyle w:val="h5SchItem"/>
      </w:pPr>
      <w:r>
        <w:t>[14]</w:t>
      </w:r>
      <w:r w:rsidR="00761AF7" w:rsidRPr="00F430AA">
        <w:tab/>
      </w:r>
      <w:r w:rsidR="00761AF7">
        <w:t>Section 3.3</w:t>
      </w:r>
      <w:r w:rsidR="00E13468">
        <w:t>4</w:t>
      </w:r>
      <w:r w:rsidR="00761AF7">
        <w:t xml:space="preserve"> (definition of </w:t>
      </w:r>
      <w:r w:rsidR="00761AF7">
        <w:rPr>
          <w:i/>
        </w:rPr>
        <w:t>years</w:t>
      </w:r>
      <w:r w:rsidR="00761AF7">
        <w:t>)</w:t>
      </w:r>
    </w:p>
    <w:p w14:paraId="3FE349D4" w14:textId="77777777" w:rsidR="00761AF7" w:rsidRDefault="00761AF7" w:rsidP="00761AF7">
      <w:pPr>
        <w:pStyle w:val="tMain"/>
        <w:rPr>
          <w:color w:val="000000" w:themeColor="text1"/>
        </w:rPr>
      </w:pPr>
      <w:r w:rsidRPr="00FE167A">
        <w:rPr>
          <w:color w:val="000000" w:themeColor="text1"/>
        </w:rPr>
        <w:tab/>
      </w:r>
      <w:r w:rsidRPr="00FE167A">
        <w:rPr>
          <w:color w:val="000000" w:themeColor="text1"/>
        </w:rPr>
        <w:tab/>
      </w:r>
      <w:r>
        <w:rPr>
          <w:color w:val="000000" w:themeColor="text1"/>
        </w:rPr>
        <w:t>Repeal the definition, substitute:</w:t>
      </w:r>
    </w:p>
    <w:p w14:paraId="0D942282" w14:textId="77777777" w:rsidR="00453F60" w:rsidRDefault="00761AF7" w:rsidP="006D1CFB">
      <w:pPr>
        <w:pStyle w:val="tDefn"/>
      </w:pPr>
      <w:r>
        <w:rPr>
          <w:b/>
          <w:i/>
        </w:rPr>
        <w:t>months</w:t>
      </w:r>
      <w:r w:rsidRPr="00097A86">
        <w:rPr>
          <w:b/>
          <w:i/>
        </w:rPr>
        <w:t xml:space="preserve"> </w:t>
      </w:r>
      <w:r>
        <w:t xml:space="preserve">is the </w:t>
      </w:r>
      <w:r w:rsidR="006D1CFB" w:rsidRPr="00097A86">
        <w:t xml:space="preserve">number of </w:t>
      </w:r>
      <w:r w:rsidR="006D1CFB">
        <w:t>whole months</w:t>
      </w:r>
      <w:r w:rsidR="006D1CFB" w:rsidRPr="00097A86">
        <w:t xml:space="preserve"> since the mine </w:t>
      </w:r>
      <w:r w:rsidR="006D1CFB">
        <w:t>became a decommissioned underground coal mine, at the end of the reporting year.</w:t>
      </w:r>
    </w:p>
    <w:p w14:paraId="06FC9C90" w14:textId="5B9F3ABC" w:rsidR="00013F3C" w:rsidRPr="006D571F" w:rsidRDefault="001805FC" w:rsidP="00013F3C">
      <w:pPr>
        <w:pStyle w:val="h5SchItem"/>
      </w:pPr>
      <w:r>
        <w:t>[15]</w:t>
      </w:r>
      <w:r w:rsidR="00013F3C" w:rsidRPr="00F430AA">
        <w:tab/>
      </w:r>
      <w:r w:rsidR="00013F3C">
        <w:t>Section 3.9</w:t>
      </w:r>
      <w:r w:rsidR="00203C8A">
        <w:t>1</w:t>
      </w:r>
      <w:r w:rsidR="00013F3C">
        <w:t xml:space="preserve"> (equation)</w:t>
      </w:r>
    </w:p>
    <w:p w14:paraId="240EF0CB" w14:textId="77777777" w:rsidR="00013F3C" w:rsidRPr="00013F3C" w:rsidRDefault="00013F3C" w:rsidP="00013F3C">
      <w:pPr>
        <w:pStyle w:val="tMain"/>
        <w:rPr>
          <w:color w:val="000000" w:themeColor="text1"/>
        </w:rPr>
      </w:pPr>
      <w:r w:rsidRPr="00FE167A">
        <w:rPr>
          <w:color w:val="000000" w:themeColor="text1"/>
        </w:rPr>
        <w:tab/>
      </w:r>
      <w:r w:rsidRPr="00FE167A">
        <w:rPr>
          <w:color w:val="000000" w:themeColor="text1"/>
        </w:rPr>
        <w:tab/>
      </w:r>
      <w:r>
        <w:rPr>
          <w:color w:val="000000" w:themeColor="text1"/>
        </w:rPr>
        <w:t xml:space="preserve">At the end of the equation, add “- </w:t>
      </w:r>
      <w:r w:rsidRPr="00203C8A">
        <w:rPr>
          <w:color w:val="000000" w:themeColor="text1"/>
        </w:rPr>
        <w:t>E</w:t>
      </w:r>
      <w:r w:rsidRPr="00203C8A">
        <w:rPr>
          <w:color w:val="000000" w:themeColor="text1"/>
          <w:vertAlign w:val="subscript"/>
        </w:rPr>
        <w:t>ij</w:t>
      </w:r>
      <w:r>
        <w:rPr>
          <w:color w:val="000000" w:themeColor="text1"/>
        </w:rPr>
        <w:t>”</w:t>
      </w:r>
    </w:p>
    <w:p w14:paraId="6C38633A" w14:textId="18B15F24" w:rsidR="00013F3C" w:rsidRPr="006D571F" w:rsidRDefault="001805FC" w:rsidP="00013F3C">
      <w:pPr>
        <w:pStyle w:val="h5SchItem"/>
      </w:pPr>
      <w:r>
        <w:t>[16]</w:t>
      </w:r>
      <w:r w:rsidR="00013F3C" w:rsidRPr="00F430AA">
        <w:tab/>
      </w:r>
      <w:r w:rsidR="00013F3C">
        <w:t>Section 3.9</w:t>
      </w:r>
      <w:r w:rsidR="00203C8A">
        <w:t>1</w:t>
      </w:r>
      <w:r w:rsidR="00013F3C">
        <w:t xml:space="preserve"> (paragraph (a) of the definition of </w:t>
      </w:r>
      <w:r w:rsidR="00013F3C" w:rsidRPr="006D571F">
        <w:rPr>
          <w:i/>
        </w:rPr>
        <w:t>γ</w:t>
      </w:r>
      <w:r w:rsidR="00013F3C" w:rsidRPr="006D571F">
        <w:rPr>
          <w:i/>
          <w:vertAlign w:val="subscript"/>
        </w:rPr>
        <w:t>j</w:t>
      </w:r>
      <w:r w:rsidR="00013F3C">
        <w:t>)</w:t>
      </w:r>
    </w:p>
    <w:p w14:paraId="4A438CD9" w14:textId="77777777" w:rsidR="00013F3C" w:rsidRDefault="00013F3C" w:rsidP="00013F3C">
      <w:pPr>
        <w:pStyle w:val="tMain"/>
        <w:rPr>
          <w:color w:val="000000" w:themeColor="text1"/>
        </w:rPr>
      </w:pPr>
      <w:r w:rsidRPr="00FE167A">
        <w:rPr>
          <w:color w:val="000000" w:themeColor="text1"/>
        </w:rPr>
        <w:tab/>
      </w:r>
      <w:r w:rsidRPr="00FE167A">
        <w:rPr>
          <w:color w:val="000000" w:themeColor="text1"/>
        </w:rPr>
        <w:tab/>
      </w:r>
      <w:r>
        <w:rPr>
          <w:color w:val="000000" w:themeColor="text1"/>
        </w:rPr>
        <w:t>Omit “21”, substitute “25”.</w:t>
      </w:r>
    </w:p>
    <w:p w14:paraId="1C7F4683" w14:textId="692C4ED4" w:rsidR="00013F3C" w:rsidRPr="006D571F" w:rsidRDefault="001805FC" w:rsidP="00013F3C">
      <w:pPr>
        <w:pStyle w:val="h5SchItem"/>
      </w:pPr>
      <w:r>
        <w:t>[17]</w:t>
      </w:r>
      <w:r w:rsidR="00013F3C" w:rsidRPr="00F430AA">
        <w:tab/>
      </w:r>
      <w:r w:rsidR="00013F3C">
        <w:t>Section 3.9</w:t>
      </w:r>
      <w:r w:rsidR="00203C8A">
        <w:t>1</w:t>
      </w:r>
      <w:r w:rsidR="00013F3C">
        <w:t xml:space="preserve"> (</w:t>
      </w:r>
      <w:r w:rsidR="0070399F">
        <w:t>a</w:t>
      </w:r>
      <w:r w:rsidR="00013F3C">
        <w:t>fter the definition of</w:t>
      </w:r>
      <w:r w:rsidR="00013F3C" w:rsidRPr="00013F3C">
        <w:rPr>
          <w:i/>
        </w:rPr>
        <w:t xml:space="preserve"> </w:t>
      </w:r>
      <w:r w:rsidR="00013F3C">
        <w:rPr>
          <w:i/>
        </w:rPr>
        <w:t>RCCS</w:t>
      </w:r>
      <w:r w:rsidR="00013F3C" w:rsidRPr="006D571F">
        <w:rPr>
          <w:i/>
          <w:vertAlign w:val="subscript"/>
        </w:rPr>
        <w:t>j</w:t>
      </w:r>
      <w:r w:rsidR="00013F3C">
        <w:t xml:space="preserve">) </w:t>
      </w:r>
    </w:p>
    <w:p w14:paraId="59C0D5B9" w14:textId="77777777" w:rsidR="00013F3C" w:rsidRDefault="00013F3C" w:rsidP="00013F3C">
      <w:pPr>
        <w:pStyle w:val="tMain"/>
        <w:rPr>
          <w:color w:val="000000" w:themeColor="text1"/>
        </w:rPr>
      </w:pPr>
      <w:r w:rsidRPr="00FE167A">
        <w:rPr>
          <w:color w:val="000000" w:themeColor="text1"/>
        </w:rPr>
        <w:tab/>
      </w:r>
      <w:r w:rsidRPr="00FE167A">
        <w:rPr>
          <w:color w:val="000000" w:themeColor="text1"/>
        </w:rPr>
        <w:tab/>
      </w:r>
      <w:r>
        <w:rPr>
          <w:color w:val="000000" w:themeColor="text1"/>
        </w:rPr>
        <w:t>Add:</w:t>
      </w:r>
    </w:p>
    <w:p w14:paraId="55D3F4A5" w14:textId="22A3DF5E" w:rsidR="00013F3C" w:rsidRPr="007418B4" w:rsidRDefault="00013F3C" w:rsidP="007418B4">
      <w:pPr>
        <w:pStyle w:val="tDefn"/>
        <w:rPr>
          <w:color w:val="000000" w:themeColor="text1"/>
        </w:rPr>
      </w:pPr>
      <w:r>
        <w:rPr>
          <w:b/>
          <w:i/>
          <w:color w:val="000000" w:themeColor="text1"/>
        </w:rPr>
        <w:t>E</w:t>
      </w:r>
      <w:r>
        <w:rPr>
          <w:b/>
          <w:i/>
          <w:color w:val="000000" w:themeColor="text1"/>
          <w:vertAlign w:val="subscript"/>
        </w:rPr>
        <w:t>ij</w:t>
      </w:r>
      <w:r>
        <w:rPr>
          <w:color w:val="000000" w:themeColor="text1"/>
          <w:vertAlign w:val="subscript"/>
        </w:rPr>
        <w:t xml:space="preserve"> </w:t>
      </w:r>
      <w:r>
        <w:rPr>
          <w:color w:val="000000" w:themeColor="text1"/>
        </w:rPr>
        <w:t>is the fugitive emissions (</w:t>
      </w:r>
      <w:r>
        <w:rPr>
          <w:b/>
          <w:i/>
          <w:color w:val="000000" w:themeColor="text1"/>
        </w:rPr>
        <w:t>j</w:t>
      </w:r>
      <w:r>
        <w:rPr>
          <w:color w:val="000000" w:themeColor="text1"/>
        </w:rPr>
        <w:t>) from the injection of a greenhouse gas into a geological formation during the reporting year, measured in</w:t>
      </w:r>
      <w:r w:rsidR="0070399F">
        <w:rPr>
          <w:color w:val="000000" w:themeColor="text1"/>
        </w:rPr>
        <w:t xml:space="preserve"> </w:t>
      </w:r>
      <w:r w:rsidR="0070399F" w:rsidRPr="00097A86">
        <w:t>CO</w:t>
      </w:r>
      <w:r w:rsidR="0070399F" w:rsidRPr="00097A86">
        <w:rPr>
          <w:vertAlign w:val="subscript"/>
        </w:rPr>
        <w:t>2</w:t>
      </w:r>
      <w:r w:rsidR="0070399F">
        <w:noBreakHyphen/>
      </w:r>
      <w:r w:rsidR="0070399F" w:rsidRPr="00097A86">
        <w:t>e tonnes</w:t>
      </w:r>
      <w:r w:rsidR="0070399F">
        <w:rPr>
          <w:color w:val="000000" w:themeColor="text1"/>
        </w:rPr>
        <w:t xml:space="preserve"> and calculated in accordance with Subdivision 3.4.3.2.</w:t>
      </w:r>
    </w:p>
    <w:p w14:paraId="3F5D40FF" w14:textId="36E39018" w:rsidR="00013F3C" w:rsidRPr="006D571F" w:rsidRDefault="001805FC" w:rsidP="00013F3C">
      <w:pPr>
        <w:pStyle w:val="h5SchItem"/>
      </w:pPr>
      <w:r>
        <w:lastRenderedPageBreak/>
        <w:t>[18]</w:t>
      </w:r>
      <w:r w:rsidR="00013F3C" w:rsidRPr="00F430AA">
        <w:tab/>
      </w:r>
      <w:r w:rsidR="00013F3C">
        <w:t xml:space="preserve">Section 3.92 (paragraph (a) of the definition of </w:t>
      </w:r>
      <w:r w:rsidR="00013F3C" w:rsidRPr="006D571F">
        <w:rPr>
          <w:i/>
        </w:rPr>
        <w:t>γ</w:t>
      </w:r>
      <w:r w:rsidR="00013F3C" w:rsidRPr="006D571F">
        <w:rPr>
          <w:i/>
          <w:vertAlign w:val="subscript"/>
        </w:rPr>
        <w:t>j</w:t>
      </w:r>
      <w:r w:rsidR="00013F3C">
        <w:t>)</w:t>
      </w:r>
    </w:p>
    <w:p w14:paraId="7793556B" w14:textId="77777777" w:rsidR="006D571F" w:rsidRPr="0070399F" w:rsidRDefault="00013F3C" w:rsidP="0070399F">
      <w:pPr>
        <w:pStyle w:val="tMain"/>
        <w:rPr>
          <w:color w:val="000000" w:themeColor="text1"/>
        </w:rPr>
      </w:pPr>
      <w:r w:rsidRPr="00FE167A">
        <w:rPr>
          <w:color w:val="000000" w:themeColor="text1"/>
        </w:rPr>
        <w:tab/>
      </w:r>
      <w:r w:rsidRPr="00FE167A">
        <w:rPr>
          <w:color w:val="000000" w:themeColor="text1"/>
        </w:rPr>
        <w:tab/>
      </w:r>
      <w:r>
        <w:rPr>
          <w:color w:val="000000" w:themeColor="text1"/>
        </w:rPr>
        <w:t>Omit “21”, substitute “25”.</w:t>
      </w:r>
    </w:p>
    <w:p w14:paraId="6A40E174" w14:textId="37402C50" w:rsidR="0070399F" w:rsidRPr="00A51360" w:rsidRDefault="001805FC" w:rsidP="0070399F">
      <w:pPr>
        <w:pStyle w:val="h5SchItem"/>
      </w:pPr>
      <w:r>
        <w:t>[19]</w:t>
      </w:r>
      <w:r w:rsidR="0070399F" w:rsidRPr="00F430AA">
        <w:tab/>
      </w:r>
      <w:r w:rsidR="0070399F">
        <w:t xml:space="preserve">Section 4.66 (definition of </w:t>
      </w:r>
      <w:r w:rsidR="0070399F">
        <w:rPr>
          <w:i/>
        </w:rPr>
        <w:t>Q</w:t>
      </w:r>
      <w:r w:rsidR="0070399F">
        <w:rPr>
          <w:i/>
          <w:vertAlign w:val="subscript"/>
        </w:rPr>
        <w:t>i</w:t>
      </w:r>
      <w:r w:rsidR="00785BED">
        <w:t xml:space="preserve"> in Step 1</w:t>
      </w:r>
      <w:r w:rsidR="0070399F">
        <w:t>)</w:t>
      </w:r>
    </w:p>
    <w:p w14:paraId="56161B72" w14:textId="77777777" w:rsidR="0070399F" w:rsidRDefault="0070399F" w:rsidP="0070399F">
      <w:pPr>
        <w:pStyle w:val="tMain"/>
        <w:rPr>
          <w:color w:val="000000" w:themeColor="text1"/>
        </w:rPr>
      </w:pPr>
      <w:r w:rsidRPr="00FE167A">
        <w:rPr>
          <w:color w:val="000000" w:themeColor="text1"/>
        </w:rPr>
        <w:tab/>
      </w:r>
      <w:r w:rsidRPr="00FE167A">
        <w:rPr>
          <w:color w:val="000000" w:themeColor="text1"/>
        </w:rPr>
        <w:tab/>
      </w:r>
      <w:r>
        <w:rPr>
          <w:color w:val="000000" w:themeColor="text1"/>
        </w:rPr>
        <w:t>Repeal the definition, substitute:</w:t>
      </w:r>
    </w:p>
    <w:p w14:paraId="2927CB5E" w14:textId="77777777" w:rsidR="00785BED" w:rsidRDefault="00785BED" w:rsidP="0070399F">
      <w:pPr>
        <w:pStyle w:val="tDefn"/>
      </w:pPr>
      <w:r w:rsidRPr="00097A86">
        <w:rPr>
          <w:b/>
          <w:i/>
        </w:rPr>
        <w:t>Q</w:t>
      </w:r>
      <w:r w:rsidRPr="00097A86">
        <w:rPr>
          <w:b/>
          <w:i/>
          <w:vertAlign w:val="subscript"/>
        </w:rPr>
        <w:t xml:space="preserve">i </w:t>
      </w:r>
      <w:r w:rsidRPr="00097A86">
        <w:t>is the quantity of fuel type (</w:t>
      </w:r>
      <w:r w:rsidRPr="00097A86">
        <w:rPr>
          <w:b/>
          <w:i/>
        </w:rPr>
        <w:t>i</w:t>
      </w:r>
      <w:r w:rsidRPr="00097A86">
        <w:t>) or carbonaceous input material (</w:t>
      </w:r>
      <w:r w:rsidRPr="00097A86">
        <w:rPr>
          <w:b/>
          <w:i/>
        </w:rPr>
        <w:t>i</w:t>
      </w:r>
      <w:r w:rsidRPr="00097A86">
        <w:t>) delivered for the activity during the year measured in an appropriate unit and estimated in accordance with</w:t>
      </w:r>
      <w:r>
        <w:t>:</w:t>
      </w:r>
    </w:p>
    <w:p w14:paraId="76B19EA6" w14:textId="77777777" w:rsidR="0070399F" w:rsidRDefault="00785BED" w:rsidP="00785BED">
      <w:pPr>
        <w:pStyle w:val="tPara"/>
      </w:pPr>
      <w:r>
        <w:tab/>
        <w:t>(a)</w:t>
      </w:r>
      <w:r>
        <w:tab/>
      </w:r>
      <w:r w:rsidRPr="00097A86">
        <w:t>criterion A in Divisions</w:t>
      </w:r>
      <w:r>
        <w:t> </w:t>
      </w:r>
      <w:r w:rsidRPr="00097A86">
        <w:t>2.2.5, 2.3.6, 2.4.6 and 4</w:t>
      </w:r>
      <w:r>
        <w:t>.2.5; or</w:t>
      </w:r>
    </w:p>
    <w:p w14:paraId="17204DC7" w14:textId="77777777" w:rsidR="00785BED" w:rsidRDefault="00785BED" w:rsidP="00785BED">
      <w:pPr>
        <w:pStyle w:val="tPara"/>
      </w:pPr>
      <w:r>
        <w:tab/>
        <w:t>(b)</w:t>
      </w:r>
      <w:r>
        <w:tab/>
        <w:t>if the quantity of fuel or carbonaceous input material is not acquired as part of a commercial transaction—industry practice, consistent with the principles in section 1.13.</w:t>
      </w:r>
    </w:p>
    <w:p w14:paraId="4D548E5A" w14:textId="79489DC3" w:rsidR="00B75CBA" w:rsidRPr="00C021B3" w:rsidRDefault="001805FC" w:rsidP="00B75CBA">
      <w:pPr>
        <w:pStyle w:val="ItemHead"/>
      </w:pPr>
      <w:r>
        <w:t>[20]</w:t>
      </w:r>
      <w:r w:rsidR="00B75CBA" w:rsidRPr="00F430AA">
        <w:tab/>
      </w:r>
      <w:r w:rsidR="00B75CBA">
        <w:t>After subsection 5.23(1)</w:t>
      </w:r>
    </w:p>
    <w:p w14:paraId="3FE60257" w14:textId="77777777" w:rsidR="00B75CBA" w:rsidRDefault="00B75CBA" w:rsidP="00B75CBA">
      <w:pPr>
        <w:pStyle w:val="tMain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6D571F">
        <w:rPr>
          <w:color w:val="000000" w:themeColor="text1"/>
        </w:rPr>
        <w:t>Insert:</w:t>
      </w:r>
    </w:p>
    <w:p w14:paraId="75F48FCE" w14:textId="77777777" w:rsidR="00B75CBA" w:rsidRDefault="00B75CBA" w:rsidP="00F910E8">
      <w:pPr>
        <w:pStyle w:val="tMain"/>
      </w:pPr>
      <w:r>
        <w:tab/>
        <w:t>(1A)</w:t>
      </w:r>
      <w:r>
        <w:tab/>
        <w:t xml:space="preserve">However, this </w:t>
      </w:r>
      <w:r w:rsidR="00F910E8">
        <w:t>Part</w:t>
      </w:r>
      <w:r>
        <w:t xml:space="preserve"> is</w:t>
      </w:r>
      <w:r w:rsidRPr="00A16E99">
        <w:t xml:space="preserve"> </w:t>
      </w:r>
      <w:r>
        <w:t xml:space="preserve">not </w:t>
      </w:r>
      <w:r w:rsidRPr="00A16E99">
        <w:t xml:space="preserve">applicable to </w:t>
      </w:r>
      <w:r w:rsidR="00F910E8">
        <w:t>a person providing a report to the Regulator under the Act</w:t>
      </w:r>
      <w:r w:rsidRPr="00A16E99">
        <w:t xml:space="preserve"> whose primary activities lie </w:t>
      </w:r>
      <w:r>
        <w:t>outside of</w:t>
      </w:r>
      <w:r w:rsidR="00F910E8">
        <w:t xml:space="preserve"> item 192, Water supply, s</w:t>
      </w:r>
      <w:r w:rsidRPr="00A16E99">
        <w:t xml:space="preserve">ewerage and drainage services (ANZSIC code 281), </w:t>
      </w:r>
      <w:r>
        <w:t xml:space="preserve">in </w:t>
      </w:r>
      <w:r w:rsidRPr="00A16E99">
        <w:t xml:space="preserve">Schedule 2 </w:t>
      </w:r>
      <w:r>
        <w:t>of the</w:t>
      </w:r>
      <w:r w:rsidRPr="00A16E99">
        <w:t xml:space="preserve"> Regulations.</w:t>
      </w:r>
    </w:p>
    <w:p w14:paraId="423DC7A0" w14:textId="60CE7A4A" w:rsidR="006D571F" w:rsidRPr="00C021B3" w:rsidRDefault="001805FC" w:rsidP="006D571F">
      <w:pPr>
        <w:pStyle w:val="ItemHead"/>
      </w:pPr>
      <w:r>
        <w:t>[21]</w:t>
      </w:r>
      <w:r w:rsidR="006D571F" w:rsidRPr="00F430AA">
        <w:tab/>
      </w:r>
      <w:r w:rsidR="006D571F">
        <w:t>After section 9.10</w:t>
      </w:r>
    </w:p>
    <w:p w14:paraId="57200D48" w14:textId="77777777" w:rsidR="006D571F" w:rsidRPr="006D571F" w:rsidRDefault="006D571F" w:rsidP="006D571F">
      <w:pPr>
        <w:pStyle w:val="tMain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6D571F">
        <w:rPr>
          <w:color w:val="000000" w:themeColor="text1"/>
        </w:rPr>
        <w:t>Insert:</w:t>
      </w:r>
    </w:p>
    <w:p w14:paraId="03AA59ED" w14:textId="77777777" w:rsidR="006D571F" w:rsidRPr="00C021B3" w:rsidRDefault="006D571F" w:rsidP="006D571F">
      <w:pPr>
        <w:pStyle w:val="h5Section"/>
      </w:pPr>
      <w:bookmarkStart w:id="10" w:name="_Toc486000020"/>
      <w:r>
        <w:rPr>
          <w:rStyle w:val="CharSectno"/>
        </w:rPr>
        <w:t>9.11</w:t>
      </w:r>
      <w:r w:rsidRPr="00C021B3">
        <w:t xml:space="preserve">  Amendments made by the </w:t>
      </w:r>
      <w:r w:rsidRPr="00C021B3">
        <w:rPr>
          <w:i/>
        </w:rPr>
        <w:t>National Greenhouse and Energy Reporting (Measurement) Amendment (</w:t>
      </w:r>
      <w:r>
        <w:rPr>
          <w:i/>
        </w:rPr>
        <w:t>2018 Update</w:t>
      </w:r>
      <w:r w:rsidRPr="00C021B3">
        <w:rPr>
          <w:i/>
        </w:rPr>
        <w:t>) Determination 201</w:t>
      </w:r>
      <w:bookmarkEnd w:id="10"/>
      <w:r>
        <w:rPr>
          <w:i/>
        </w:rPr>
        <w:t>8</w:t>
      </w:r>
    </w:p>
    <w:p w14:paraId="3948999D" w14:textId="77777777" w:rsidR="006D571F" w:rsidRPr="00C021B3" w:rsidRDefault="006D571F" w:rsidP="006D571F">
      <w:pPr>
        <w:pStyle w:val="tMain"/>
      </w:pPr>
      <w:r w:rsidRPr="00C021B3">
        <w:tab/>
      </w:r>
      <w:r w:rsidRPr="00C021B3">
        <w:tab/>
        <w:t xml:space="preserve">The amendments made by the </w:t>
      </w:r>
      <w:r w:rsidRPr="00C021B3">
        <w:rPr>
          <w:i/>
        </w:rPr>
        <w:t>National Greenhouse and Energy Reporting (Measurement) Amendment (</w:t>
      </w:r>
      <w:r>
        <w:rPr>
          <w:i/>
        </w:rPr>
        <w:t>2018 Update</w:t>
      </w:r>
      <w:r w:rsidRPr="00C021B3">
        <w:rPr>
          <w:i/>
        </w:rPr>
        <w:t>) Determination 201</w:t>
      </w:r>
      <w:r>
        <w:rPr>
          <w:i/>
        </w:rPr>
        <w:t>8</w:t>
      </w:r>
      <w:r w:rsidRPr="00C021B3">
        <w:t xml:space="preserve"> apply in relation to:</w:t>
      </w:r>
    </w:p>
    <w:p w14:paraId="3139DE93" w14:textId="77777777" w:rsidR="006D571F" w:rsidRPr="00C021B3" w:rsidRDefault="006D571F" w:rsidP="006D571F">
      <w:pPr>
        <w:pStyle w:val="tPara"/>
      </w:pPr>
      <w:r w:rsidRPr="00C021B3">
        <w:tab/>
        <w:t>(a)</w:t>
      </w:r>
      <w:r w:rsidRPr="00C021B3">
        <w:tab/>
        <w:t>the financial year starting on 1 </w:t>
      </w:r>
      <w:r>
        <w:t>July 2018</w:t>
      </w:r>
      <w:r w:rsidRPr="00C021B3">
        <w:t>; and</w:t>
      </w:r>
    </w:p>
    <w:p w14:paraId="141C6C45" w14:textId="77777777" w:rsidR="006D571F" w:rsidRDefault="006D571F" w:rsidP="006D571F">
      <w:pPr>
        <w:pStyle w:val="tPara"/>
      </w:pPr>
      <w:r w:rsidRPr="00C021B3">
        <w:tab/>
        <w:t>(b)</w:t>
      </w:r>
      <w:r w:rsidRPr="00C021B3">
        <w:tab/>
        <w:t>later financial years.</w:t>
      </w:r>
    </w:p>
    <w:p w14:paraId="3A5099EA" w14:textId="78430928" w:rsidR="006D571F" w:rsidRPr="006D571F" w:rsidRDefault="001805FC" w:rsidP="00831EA1">
      <w:pPr>
        <w:pStyle w:val="h5SchItem"/>
      </w:pPr>
      <w:r>
        <w:t>[22]</w:t>
      </w:r>
      <w:r w:rsidR="006D571F" w:rsidRPr="00F430AA">
        <w:tab/>
      </w:r>
      <w:r w:rsidR="006D571F" w:rsidRPr="00C021B3">
        <w:t>Part 6 of Schedule 1</w:t>
      </w:r>
    </w:p>
    <w:p w14:paraId="412D86D1" w14:textId="77777777" w:rsidR="006D571F" w:rsidRPr="006D571F" w:rsidRDefault="006D571F" w:rsidP="006D571F">
      <w:pPr>
        <w:pStyle w:val="tMain"/>
        <w:rPr>
          <w:color w:val="000000" w:themeColor="text1"/>
        </w:rPr>
      </w:pPr>
      <w:r w:rsidRPr="00FE167A">
        <w:rPr>
          <w:color w:val="000000" w:themeColor="text1"/>
        </w:rPr>
        <w:tab/>
      </w:r>
      <w:r>
        <w:rPr>
          <w:color w:val="000000" w:themeColor="text1"/>
        </w:rPr>
        <w:tab/>
        <w:t xml:space="preserve">Repeal </w:t>
      </w:r>
      <w:r w:rsidRPr="006D571F">
        <w:rPr>
          <w:color w:val="000000" w:themeColor="text1"/>
        </w:rPr>
        <w:t>the Part, substitute:</w:t>
      </w:r>
    </w:p>
    <w:p w14:paraId="0A99CD7B" w14:textId="77777777" w:rsidR="006D571F" w:rsidRPr="00C021B3" w:rsidRDefault="006D571F" w:rsidP="006D571F">
      <w:pPr>
        <w:pStyle w:val="h2Part"/>
      </w:pPr>
      <w:bookmarkStart w:id="11" w:name="_Toc486000021"/>
      <w:r w:rsidRPr="00C021B3">
        <w:rPr>
          <w:rStyle w:val="CharPartNo"/>
        </w:rPr>
        <w:lastRenderedPageBreak/>
        <w:t>Part 6</w:t>
      </w:r>
      <w:r w:rsidRPr="00C021B3">
        <w:t>—</w:t>
      </w:r>
      <w:r w:rsidRPr="00C021B3">
        <w:rPr>
          <w:rStyle w:val="CharPartText"/>
        </w:rPr>
        <w:t>Indirect (scope 2) emission factors from consumption of electricity purchased or lost from grid</w:t>
      </w:r>
      <w:bookmarkEnd w:id="11"/>
    </w:p>
    <w:p w14:paraId="496C9B16" w14:textId="77777777" w:rsidR="006D571F" w:rsidRPr="00C021B3" w:rsidRDefault="006D571F" w:rsidP="006D571F">
      <w:pPr>
        <w:pStyle w:val="Header"/>
      </w:pPr>
      <w:r w:rsidRPr="00C021B3">
        <w:rPr>
          <w:rStyle w:val="CharDivNo"/>
        </w:rPr>
        <w:t xml:space="preserve"> </w:t>
      </w:r>
      <w:r w:rsidRPr="00C021B3">
        <w:rPr>
          <w:rStyle w:val="CharDivText"/>
        </w:rPr>
        <w:t xml:space="preserve"> </w:t>
      </w:r>
    </w:p>
    <w:p w14:paraId="668665B2" w14:textId="77777777" w:rsidR="006D571F" w:rsidRPr="00C021B3" w:rsidRDefault="006D571F" w:rsidP="006D571F">
      <w:pPr>
        <w:pStyle w:val="Tabletext"/>
      </w:pPr>
    </w:p>
    <w:tbl>
      <w:tblPr>
        <w:tblW w:w="8415" w:type="dxa"/>
        <w:tblInd w:w="10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5874"/>
        <w:gridCol w:w="1818"/>
      </w:tblGrid>
      <w:tr w:rsidR="006D571F" w:rsidRPr="00C021B3" w14:paraId="6A02FB32" w14:textId="77777777" w:rsidTr="00D426F9">
        <w:trPr>
          <w:tblHeader/>
        </w:trPr>
        <w:tc>
          <w:tcPr>
            <w:tcW w:w="841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CF83B2D" w14:textId="77777777" w:rsidR="006D571F" w:rsidRPr="00C021B3" w:rsidRDefault="006D571F" w:rsidP="00D426F9">
            <w:pPr>
              <w:pStyle w:val="TableHeading"/>
            </w:pPr>
            <w:r w:rsidRPr="00C021B3">
              <w:t>Indirect (scope 2) emissions factors from consumption of electricity purchased or lost from grid</w:t>
            </w:r>
          </w:p>
        </w:tc>
      </w:tr>
      <w:tr w:rsidR="006D571F" w:rsidRPr="00C021B3" w14:paraId="0AEDA339" w14:textId="77777777" w:rsidTr="00D426F9">
        <w:trPr>
          <w:tblHeader/>
        </w:trPr>
        <w:tc>
          <w:tcPr>
            <w:tcW w:w="72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F6BA2CE" w14:textId="77777777" w:rsidR="006D571F" w:rsidRPr="00C021B3" w:rsidRDefault="006D571F" w:rsidP="00D426F9">
            <w:pPr>
              <w:pStyle w:val="TableHeading"/>
            </w:pPr>
            <w:r w:rsidRPr="00C021B3">
              <w:t>Item</w:t>
            </w:r>
          </w:p>
        </w:tc>
        <w:tc>
          <w:tcPr>
            <w:tcW w:w="58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F51730E" w14:textId="77777777" w:rsidR="006D571F" w:rsidRPr="00C021B3" w:rsidRDefault="006D571F" w:rsidP="00D426F9">
            <w:pPr>
              <w:pStyle w:val="TableHeading"/>
            </w:pPr>
            <w:r w:rsidRPr="00C021B3">
              <w:t>Column 1</w:t>
            </w:r>
          </w:p>
          <w:p w14:paraId="62B7BF18" w14:textId="77777777" w:rsidR="006D571F" w:rsidRPr="00C021B3" w:rsidRDefault="006D571F" w:rsidP="00D426F9">
            <w:pPr>
              <w:pStyle w:val="TableHeading"/>
            </w:pPr>
            <w:r w:rsidRPr="00C021B3">
              <w:t>State, Territory or grid description</w:t>
            </w:r>
          </w:p>
        </w:tc>
        <w:tc>
          <w:tcPr>
            <w:tcW w:w="18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E2AE1D9" w14:textId="77777777" w:rsidR="006D571F" w:rsidRPr="00C021B3" w:rsidRDefault="006D571F" w:rsidP="00D426F9">
            <w:pPr>
              <w:pStyle w:val="TableHeading"/>
              <w:jc w:val="right"/>
            </w:pPr>
            <w:r w:rsidRPr="00C021B3">
              <w:t>Column 2</w:t>
            </w:r>
          </w:p>
          <w:p w14:paraId="0E270B6A" w14:textId="77777777" w:rsidR="006D571F" w:rsidRPr="00C021B3" w:rsidRDefault="006D571F" w:rsidP="00D426F9">
            <w:pPr>
              <w:pStyle w:val="TableHeading"/>
              <w:jc w:val="right"/>
            </w:pPr>
            <w:r w:rsidRPr="00C021B3">
              <w:t>Emission factor</w:t>
            </w:r>
            <w:r w:rsidRPr="00C021B3">
              <w:br/>
              <w:t>kg CO</w:t>
            </w:r>
            <w:r w:rsidRPr="00C021B3">
              <w:rPr>
                <w:vertAlign w:val="subscript"/>
              </w:rPr>
              <w:t>2</w:t>
            </w:r>
            <w:r>
              <w:noBreakHyphen/>
            </w:r>
            <w:r w:rsidRPr="00C021B3">
              <w:t>e/kWh</w:t>
            </w:r>
          </w:p>
        </w:tc>
      </w:tr>
      <w:tr w:rsidR="00B94B50" w:rsidRPr="00C021B3" w14:paraId="4C1C2C8A" w14:textId="77777777" w:rsidTr="00D426F9"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</w:tcPr>
          <w:p w14:paraId="599B80A5" w14:textId="77777777" w:rsidR="00B94B50" w:rsidRPr="00C021B3" w:rsidRDefault="00B94B50" w:rsidP="00B94B50">
            <w:pPr>
              <w:pStyle w:val="Tabletext"/>
            </w:pPr>
            <w:r w:rsidRPr="00C021B3">
              <w:t>77</w:t>
            </w:r>
          </w:p>
        </w:tc>
        <w:tc>
          <w:tcPr>
            <w:tcW w:w="5874" w:type="dxa"/>
            <w:tcBorders>
              <w:top w:val="single" w:sz="12" w:space="0" w:color="auto"/>
            </w:tcBorders>
            <w:shd w:val="clear" w:color="auto" w:fill="auto"/>
          </w:tcPr>
          <w:p w14:paraId="3DA329F6" w14:textId="77777777" w:rsidR="00B94B50" w:rsidRPr="00C021B3" w:rsidRDefault="00B94B50" w:rsidP="00B94B50">
            <w:pPr>
              <w:pStyle w:val="Tabletext"/>
            </w:pPr>
            <w:r w:rsidRPr="00C021B3">
              <w:t>New South Wales and Australian Capital Territory</w:t>
            </w:r>
          </w:p>
        </w:tc>
        <w:tc>
          <w:tcPr>
            <w:tcW w:w="1818" w:type="dxa"/>
            <w:tcBorders>
              <w:top w:val="single" w:sz="12" w:space="0" w:color="auto"/>
            </w:tcBorders>
            <w:shd w:val="clear" w:color="auto" w:fill="auto"/>
          </w:tcPr>
          <w:p w14:paraId="378D8B0C" w14:textId="229C9EDF" w:rsidR="00B94B50" w:rsidRPr="00C021B3" w:rsidRDefault="00B94B50" w:rsidP="00B94B50">
            <w:pPr>
              <w:pStyle w:val="Tabletext"/>
              <w:jc w:val="right"/>
            </w:pPr>
            <w:r w:rsidRPr="003B010A">
              <w:t>0.82</w:t>
            </w:r>
          </w:p>
        </w:tc>
      </w:tr>
      <w:tr w:rsidR="00B94B50" w:rsidRPr="00C021B3" w14:paraId="27BB845E" w14:textId="77777777" w:rsidTr="00D426F9">
        <w:tc>
          <w:tcPr>
            <w:tcW w:w="723" w:type="dxa"/>
            <w:shd w:val="clear" w:color="auto" w:fill="auto"/>
          </w:tcPr>
          <w:p w14:paraId="6FE59A86" w14:textId="77777777" w:rsidR="00B94B50" w:rsidRPr="00C021B3" w:rsidRDefault="00B94B50" w:rsidP="00B94B50">
            <w:pPr>
              <w:pStyle w:val="Tabletext"/>
            </w:pPr>
            <w:r w:rsidRPr="00C021B3">
              <w:t>78</w:t>
            </w:r>
          </w:p>
        </w:tc>
        <w:tc>
          <w:tcPr>
            <w:tcW w:w="5874" w:type="dxa"/>
            <w:shd w:val="clear" w:color="auto" w:fill="auto"/>
          </w:tcPr>
          <w:p w14:paraId="5665F233" w14:textId="77777777" w:rsidR="00B94B50" w:rsidRPr="00C021B3" w:rsidRDefault="00B94B50" w:rsidP="00B94B50">
            <w:pPr>
              <w:pStyle w:val="Tabletext"/>
            </w:pPr>
            <w:r w:rsidRPr="00C021B3">
              <w:t>Victoria</w:t>
            </w:r>
          </w:p>
        </w:tc>
        <w:tc>
          <w:tcPr>
            <w:tcW w:w="1818" w:type="dxa"/>
            <w:shd w:val="clear" w:color="auto" w:fill="auto"/>
          </w:tcPr>
          <w:p w14:paraId="2009818B" w14:textId="064DFA6B" w:rsidR="00B94B50" w:rsidRPr="00C021B3" w:rsidRDefault="00B94B50" w:rsidP="00B94B50">
            <w:pPr>
              <w:pStyle w:val="Tabletext"/>
              <w:jc w:val="right"/>
            </w:pPr>
            <w:r w:rsidRPr="003B010A">
              <w:t>1.07</w:t>
            </w:r>
          </w:p>
        </w:tc>
      </w:tr>
      <w:tr w:rsidR="00B94B50" w:rsidRPr="00C021B3" w14:paraId="42D26C98" w14:textId="77777777" w:rsidTr="00D426F9">
        <w:tc>
          <w:tcPr>
            <w:tcW w:w="723" w:type="dxa"/>
            <w:shd w:val="clear" w:color="auto" w:fill="auto"/>
          </w:tcPr>
          <w:p w14:paraId="5FD1DFF1" w14:textId="77777777" w:rsidR="00B94B50" w:rsidRPr="00C021B3" w:rsidRDefault="00B94B50" w:rsidP="00B94B50">
            <w:pPr>
              <w:pStyle w:val="Tabletext"/>
            </w:pPr>
            <w:r w:rsidRPr="00C021B3">
              <w:t>79</w:t>
            </w:r>
          </w:p>
        </w:tc>
        <w:tc>
          <w:tcPr>
            <w:tcW w:w="5874" w:type="dxa"/>
            <w:shd w:val="clear" w:color="auto" w:fill="auto"/>
          </w:tcPr>
          <w:p w14:paraId="1188F992" w14:textId="77777777" w:rsidR="00B94B50" w:rsidRPr="00C021B3" w:rsidRDefault="00B94B50" w:rsidP="00B94B50">
            <w:pPr>
              <w:pStyle w:val="Tabletext"/>
            </w:pPr>
            <w:r w:rsidRPr="00C021B3">
              <w:t>Queensland</w:t>
            </w:r>
          </w:p>
        </w:tc>
        <w:tc>
          <w:tcPr>
            <w:tcW w:w="1818" w:type="dxa"/>
            <w:shd w:val="clear" w:color="auto" w:fill="auto"/>
          </w:tcPr>
          <w:p w14:paraId="4EDB016C" w14:textId="4280068A" w:rsidR="00B94B50" w:rsidRPr="00C021B3" w:rsidRDefault="00B94B50" w:rsidP="00B94B50">
            <w:pPr>
              <w:pStyle w:val="Tabletext"/>
              <w:jc w:val="right"/>
            </w:pPr>
            <w:r w:rsidRPr="003B010A">
              <w:t>0.80</w:t>
            </w:r>
          </w:p>
        </w:tc>
      </w:tr>
      <w:tr w:rsidR="00B94B50" w:rsidRPr="00C021B3" w14:paraId="29B47A50" w14:textId="77777777" w:rsidTr="00D426F9">
        <w:tc>
          <w:tcPr>
            <w:tcW w:w="723" w:type="dxa"/>
            <w:shd w:val="clear" w:color="auto" w:fill="auto"/>
          </w:tcPr>
          <w:p w14:paraId="1D9CCD53" w14:textId="77777777" w:rsidR="00B94B50" w:rsidRPr="00C021B3" w:rsidRDefault="00B94B50" w:rsidP="00B94B50">
            <w:pPr>
              <w:pStyle w:val="Tabletext"/>
            </w:pPr>
            <w:r w:rsidRPr="00C021B3">
              <w:t>80</w:t>
            </w:r>
          </w:p>
        </w:tc>
        <w:tc>
          <w:tcPr>
            <w:tcW w:w="5874" w:type="dxa"/>
            <w:shd w:val="clear" w:color="auto" w:fill="auto"/>
          </w:tcPr>
          <w:p w14:paraId="237DB548" w14:textId="77777777" w:rsidR="00B94B50" w:rsidRPr="00C021B3" w:rsidRDefault="00B94B50" w:rsidP="00B94B50">
            <w:pPr>
              <w:pStyle w:val="Tabletext"/>
            </w:pPr>
            <w:r w:rsidRPr="00C021B3">
              <w:t>South Australia</w:t>
            </w:r>
          </w:p>
        </w:tc>
        <w:tc>
          <w:tcPr>
            <w:tcW w:w="1818" w:type="dxa"/>
            <w:shd w:val="clear" w:color="auto" w:fill="auto"/>
          </w:tcPr>
          <w:p w14:paraId="28A0539D" w14:textId="25CFDDF5" w:rsidR="00B94B50" w:rsidRPr="00C021B3" w:rsidRDefault="00B94B50" w:rsidP="00B94B50">
            <w:pPr>
              <w:pStyle w:val="Tabletext"/>
              <w:jc w:val="right"/>
            </w:pPr>
            <w:r w:rsidRPr="003B010A">
              <w:t>0.51</w:t>
            </w:r>
          </w:p>
        </w:tc>
      </w:tr>
      <w:tr w:rsidR="00B94B50" w:rsidRPr="00C021B3" w14:paraId="0BAA16CA" w14:textId="77777777" w:rsidTr="00D426F9">
        <w:tc>
          <w:tcPr>
            <w:tcW w:w="723" w:type="dxa"/>
            <w:shd w:val="clear" w:color="auto" w:fill="auto"/>
          </w:tcPr>
          <w:p w14:paraId="0BC52575" w14:textId="77777777" w:rsidR="00B94B50" w:rsidRPr="00C021B3" w:rsidRDefault="00B94B50" w:rsidP="00B94B50">
            <w:pPr>
              <w:pStyle w:val="Tabletext"/>
            </w:pPr>
            <w:r w:rsidRPr="00C021B3">
              <w:t>81</w:t>
            </w:r>
          </w:p>
        </w:tc>
        <w:tc>
          <w:tcPr>
            <w:tcW w:w="5874" w:type="dxa"/>
            <w:shd w:val="clear" w:color="auto" w:fill="auto"/>
          </w:tcPr>
          <w:p w14:paraId="253ABD8A" w14:textId="77777777" w:rsidR="00B94B50" w:rsidRPr="00C021B3" w:rsidRDefault="00B94B50" w:rsidP="00B94B50">
            <w:pPr>
              <w:pStyle w:val="Tabletext"/>
            </w:pPr>
            <w:r w:rsidRPr="00C021B3">
              <w:t>South West Interconnected System in Western Australia</w:t>
            </w:r>
          </w:p>
        </w:tc>
        <w:tc>
          <w:tcPr>
            <w:tcW w:w="1818" w:type="dxa"/>
            <w:shd w:val="clear" w:color="auto" w:fill="auto"/>
          </w:tcPr>
          <w:p w14:paraId="59862E46" w14:textId="5F25D993" w:rsidR="00B94B50" w:rsidRPr="00C021B3" w:rsidRDefault="00B94B50" w:rsidP="00B94B50">
            <w:pPr>
              <w:pStyle w:val="Tabletext"/>
              <w:jc w:val="right"/>
            </w:pPr>
            <w:r w:rsidRPr="003B010A">
              <w:t>0.70</w:t>
            </w:r>
          </w:p>
        </w:tc>
      </w:tr>
      <w:tr w:rsidR="00B94B50" w:rsidRPr="00C021B3" w14:paraId="1E6ABEF8" w14:textId="77777777" w:rsidTr="00D426F9"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14:paraId="1738F151" w14:textId="77777777" w:rsidR="00B94B50" w:rsidRPr="00C021B3" w:rsidRDefault="00B94B50" w:rsidP="00B94B50">
            <w:pPr>
              <w:pStyle w:val="Tabletext"/>
            </w:pPr>
            <w:r w:rsidRPr="00C021B3">
              <w:t>82</w:t>
            </w:r>
          </w:p>
        </w:tc>
        <w:tc>
          <w:tcPr>
            <w:tcW w:w="5874" w:type="dxa"/>
            <w:tcBorders>
              <w:bottom w:val="single" w:sz="4" w:space="0" w:color="auto"/>
            </w:tcBorders>
            <w:shd w:val="clear" w:color="auto" w:fill="auto"/>
          </w:tcPr>
          <w:p w14:paraId="7E8E7129" w14:textId="77777777" w:rsidR="00B94B50" w:rsidRPr="00C021B3" w:rsidRDefault="00B94B50" w:rsidP="00B94B50">
            <w:pPr>
              <w:pStyle w:val="Tabletext"/>
            </w:pPr>
            <w:r w:rsidRPr="00C021B3">
              <w:t>Tasmania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14:paraId="39982FB3" w14:textId="30DABCC8" w:rsidR="00B94B50" w:rsidRPr="00C021B3" w:rsidRDefault="00B94B50" w:rsidP="00B94B50">
            <w:pPr>
              <w:pStyle w:val="Tabletext"/>
              <w:jc w:val="right"/>
            </w:pPr>
            <w:r w:rsidRPr="003B010A">
              <w:t>0.19</w:t>
            </w:r>
          </w:p>
        </w:tc>
      </w:tr>
      <w:tr w:rsidR="00B94B50" w:rsidRPr="00C021B3" w14:paraId="53E33AE6" w14:textId="77777777" w:rsidTr="00D426F9"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</w:tcPr>
          <w:p w14:paraId="002CFAE0" w14:textId="77777777" w:rsidR="00B94B50" w:rsidRPr="00C021B3" w:rsidRDefault="00B94B50" w:rsidP="00B94B50">
            <w:pPr>
              <w:pStyle w:val="Tabletext"/>
            </w:pPr>
            <w:r w:rsidRPr="00C021B3">
              <w:t>83</w:t>
            </w:r>
          </w:p>
        </w:tc>
        <w:tc>
          <w:tcPr>
            <w:tcW w:w="5874" w:type="dxa"/>
            <w:tcBorders>
              <w:bottom w:val="single" w:sz="12" w:space="0" w:color="auto"/>
            </w:tcBorders>
            <w:shd w:val="clear" w:color="auto" w:fill="auto"/>
          </w:tcPr>
          <w:p w14:paraId="58A1217D" w14:textId="77777777" w:rsidR="00B94B50" w:rsidRPr="00C021B3" w:rsidRDefault="00B94B50" w:rsidP="00B94B50">
            <w:pPr>
              <w:pStyle w:val="Tabletext"/>
            </w:pPr>
            <w:r w:rsidRPr="00C021B3">
              <w:t>Northern Territory</w:t>
            </w:r>
          </w:p>
        </w:tc>
        <w:tc>
          <w:tcPr>
            <w:tcW w:w="1818" w:type="dxa"/>
            <w:tcBorders>
              <w:bottom w:val="single" w:sz="12" w:space="0" w:color="auto"/>
            </w:tcBorders>
            <w:shd w:val="clear" w:color="auto" w:fill="auto"/>
          </w:tcPr>
          <w:p w14:paraId="388EA881" w14:textId="722CF6C1" w:rsidR="00B94B50" w:rsidRPr="00C021B3" w:rsidRDefault="00B94B50" w:rsidP="00B94B50">
            <w:pPr>
              <w:pStyle w:val="Tabletext"/>
              <w:jc w:val="right"/>
            </w:pPr>
            <w:r w:rsidRPr="003B010A">
              <w:t>0.64</w:t>
            </w:r>
          </w:p>
        </w:tc>
      </w:tr>
    </w:tbl>
    <w:p w14:paraId="21B5AA36" w14:textId="537D8C13" w:rsidR="00E035D4" w:rsidRPr="006D571F" w:rsidRDefault="001805FC" w:rsidP="00E035D4">
      <w:pPr>
        <w:pStyle w:val="h5SchItem"/>
      </w:pPr>
      <w:r>
        <w:t>[23]</w:t>
      </w:r>
      <w:r w:rsidR="00E035D4" w:rsidRPr="00F430AA">
        <w:tab/>
      </w:r>
      <w:r w:rsidR="00E035D4">
        <w:t>Amendment of listed provisions</w:t>
      </w:r>
    </w:p>
    <w:p w14:paraId="5A6D92FC" w14:textId="77777777" w:rsidR="00E035D4" w:rsidRPr="00356952" w:rsidRDefault="00E035D4" w:rsidP="00E035D4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258"/>
        <w:gridCol w:w="2835"/>
        <w:gridCol w:w="1279"/>
      </w:tblGrid>
      <w:tr w:rsidR="00E035D4" w:rsidRPr="00356952" w14:paraId="552235AB" w14:textId="77777777" w:rsidTr="003C4351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8ACB82C" w14:textId="77777777" w:rsidR="00E035D4" w:rsidRPr="00356952" w:rsidRDefault="00E035D4" w:rsidP="003C4351">
            <w:pPr>
              <w:pStyle w:val="TableHeading"/>
            </w:pPr>
            <w:r w:rsidRPr="00356952">
              <w:t>Further amendments—</w:t>
            </w:r>
            <w:r>
              <w:t>liable entity</w:t>
            </w:r>
          </w:p>
        </w:tc>
      </w:tr>
      <w:tr w:rsidR="00E035D4" w:rsidRPr="00356952" w14:paraId="0946F384" w14:textId="77777777" w:rsidTr="003C4351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C71B81E" w14:textId="77777777" w:rsidR="00E035D4" w:rsidRPr="00356952" w:rsidRDefault="00E035D4" w:rsidP="003C4351">
            <w:pPr>
              <w:pStyle w:val="TableHeading"/>
            </w:pPr>
            <w:r w:rsidRPr="00356952">
              <w:t>Item</w:t>
            </w:r>
          </w:p>
        </w:tc>
        <w:tc>
          <w:tcPr>
            <w:tcW w:w="225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1B105F4" w14:textId="77777777" w:rsidR="00E035D4" w:rsidRPr="00356952" w:rsidRDefault="00E035D4" w:rsidP="003C4351">
            <w:pPr>
              <w:pStyle w:val="TableHeading"/>
            </w:pPr>
            <w:r w:rsidRPr="00356952">
              <w:t>Provision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F3E3E2E" w14:textId="77777777" w:rsidR="00E035D4" w:rsidRPr="00356952" w:rsidRDefault="00E035D4" w:rsidP="003C4351">
            <w:pPr>
              <w:pStyle w:val="TableHeading"/>
            </w:pPr>
            <w:r w:rsidRPr="00356952">
              <w:t>Omit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1E42AB3" w14:textId="77777777" w:rsidR="00E035D4" w:rsidRPr="00356952" w:rsidRDefault="00E035D4" w:rsidP="003C4351">
            <w:pPr>
              <w:pStyle w:val="TableHeading"/>
            </w:pPr>
            <w:r w:rsidRPr="00356952">
              <w:t>Substitute</w:t>
            </w:r>
          </w:p>
        </w:tc>
      </w:tr>
      <w:tr w:rsidR="00E035D4" w:rsidRPr="00356952" w14:paraId="508CCD06" w14:textId="77777777" w:rsidTr="003C4351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01F8C44E" w14:textId="77777777" w:rsidR="00E035D4" w:rsidRPr="00356952" w:rsidRDefault="00E035D4" w:rsidP="003C4351">
            <w:pPr>
              <w:pStyle w:val="Tabletext"/>
            </w:pPr>
            <w:r w:rsidRPr="00356952">
              <w:t>1</w:t>
            </w:r>
          </w:p>
        </w:tc>
        <w:tc>
          <w:tcPr>
            <w:tcW w:w="2258" w:type="dxa"/>
            <w:tcBorders>
              <w:top w:val="single" w:sz="12" w:space="0" w:color="auto"/>
            </w:tcBorders>
            <w:shd w:val="clear" w:color="auto" w:fill="auto"/>
          </w:tcPr>
          <w:p w14:paraId="3F8FA466" w14:textId="77777777" w:rsidR="00E035D4" w:rsidRPr="00356952" w:rsidRDefault="00E035D4" w:rsidP="003C4351">
            <w:pPr>
              <w:pStyle w:val="Tabletext"/>
            </w:pPr>
            <w:r>
              <w:t>Subparagraph 1.18(3)(b)(ii)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04A2C284" w14:textId="77777777" w:rsidR="00E035D4" w:rsidRPr="00356952" w:rsidRDefault="00E035D4" w:rsidP="003C4351">
            <w:pPr>
              <w:pStyle w:val="Tabletext"/>
            </w:pPr>
            <w:r>
              <w:t>liable entity</w:t>
            </w:r>
          </w:p>
        </w:tc>
        <w:tc>
          <w:tcPr>
            <w:tcW w:w="1279" w:type="dxa"/>
            <w:tcBorders>
              <w:top w:val="single" w:sz="12" w:space="0" w:color="auto"/>
            </w:tcBorders>
            <w:shd w:val="clear" w:color="auto" w:fill="auto"/>
          </w:tcPr>
          <w:p w14:paraId="730CE3D1" w14:textId="77777777" w:rsidR="00E035D4" w:rsidRPr="00356952" w:rsidRDefault="00E035D4" w:rsidP="003C4351">
            <w:pPr>
              <w:pStyle w:val="Tabletext"/>
            </w:pPr>
            <w:r>
              <w:t>registered person</w:t>
            </w:r>
          </w:p>
        </w:tc>
      </w:tr>
      <w:tr w:rsidR="00E035D4" w:rsidRPr="00356952" w14:paraId="243AD310" w14:textId="77777777" w:rsidTr="003C4351">
        <w:tc>
          <w:tcPr>
            <w:tcW w:w="714" w:type="dxa"/>
            <w:shd w:val="clear" w:color="auto" w:fill="auto"/>
          </w:tcPr>
          <w:p w14:paraId="44A24203" w14:textId="77777777" w:rsidR="00E035D4" w:rsidRPr="00356952" w:rsidRDefault="00E035D4" w:rsidP="003C4351">
            <w:pPr>
              <w:pStyle w:val="Tabletext"/>
            </w:pPr>
            <w:r w:rsidRPr="00356952">
              <w:t>2</w:t>
            </w:r>
          </w:p>
        </w:tc>
        <w:tc>
          <w:tcPr>
            <w:tcW w:w="2258" w:type="dxa"/>
            <w:shd w:val="clear" w:color="auto" w:fill="auto"/>
          </w:tcPr>
          <w:p w14:paraId="1FCB36F9" w14:textId="77777777" w:rsidR="00E035D4" w:rsidRPr="00356952" w:rsidRDefault="00E035D4" w:rsidP="003C4351">
            <w:pPr>
              <w:pStyle w:val="Tabletext"/>
            </w:pPr>
            <w:r>
              <w:t>Subsection 1.19(4)</w:t>
            </w:r>
          </w:p>
        </w:tc>
        <w:tc>
          <w:tcPr>
            <w:tcW w:w="2835" w:type="dxa"/>
            <w:shd w:val="clear" w:color="auto" w:fill="auto"/>
          </w:tcPr>
          <w:p w14:paraId="5208A5AE" w14:textId="77777777" w:rsidR="00E035D4" w:rsidRPr="00356952" w:rsidRDefault="00E035D4" w:rsidP="003C4351">
            <w:pPr>
              <w:pStyle w:val="Tabletext"/>
            </w:pPr>
            <w:r>
              <w:t>liable entity</w:t>
            </w:r>
          </w:p>
        </w:tc>
        <w:tc>
          <w:tcPr>
            <w:tcW w:w="1279" w:type="dxa"/>
            <w:shd w:val="clear" w:color="auto" w:fill="auto"/>
          </w:tcPr>
          <w:p w14:paraId="30C8D908" w14:textId="77777777" w:rsidR="00E035D4" w:rsidRPr="00356952" w:rsidRDefault="00E035D4" w:rsidP="003C4351">
            <w:pPr>
              <w:pStyle w:val="Tabletext"/>
            </w:pPr>
            <w:r>
              <w:t>registered person</w:t>
            </w:r>
          </w:p>
        </w:tc>
      </w:tr>
      <w:tr w:rsidR="00B80037" w:rsidRPr="00356952" w14:paraId="2DF60A47" w14:textId="77777777" w:rsidTr="003C4351">
        <w:tc>
          <w:tcPr>
            <w:tcW w:w="714" w:type="dxa"/>
            <w:shd w:val="clear" w:color="auto" w:fill="auto"/>
          </w:tcPr>
          <w:p w14:paraId="1FE071C5" w14:textId="49436FEA" w:rsidR="00B80037" w:rsidRPr="00356952" w:rsidRDefault="00B80037" w:rsidP="00B80037">
            <w:pPr>
              <w:pStyle w:val="Tabletext"/>
            </w:pPr>
            <w:r>
              <w:t>4</w:t>
            </w:r>
          </w:p>
        </w:tc>
        <w:tc>
          <w:tcPr>
            <w:tcW w:w="2258" w:type="dxa"/>
            <w:shd w:val="clear" w:color="auto" w:fill="auto"/>
          </w:tcPr>
          <w:p w14:paraId="007950C3" w14:textId="4EBD9E85" w:rsidR="00B80037" w:rsidRDefault="00B80037" w:rsidP="00B80037">
            <w:pPr>
              <w:pStyle w:val="Tabletext"/>
            </w:pPr>
            <w:r>
              <w:t>Paragraph 1.19(4)(b)</w:t>
            </w:r>
          </w:p>
        </w:tc>
        <w:tc>
          <w:tcPr>
            <w:tcW w:w="2835" w:type="dxa"/>
            <w:shd w:val="clear" w:color="auto" w:fill="auto"/>
          </w:tcPr>
          <w:p w14:paraId="491BF32D" w14:textId="4938F378" w:rsidR="00B80037" w:rsidRDefault="00B80037" w:rsidP="00B80037">
            <w:pPr>
              <w:pStyle w:val="Tabletext"/>
            </w:pPr>
            <w:r>
              <w:t>entity</w:t>
            </w:r>
          </w:p>
        </w:tc>
        <w:tc>
          <w:tcPr>
            <w:tcW w:w="1279" w:type="dxa"/>
            <w:shd w:val="clear" w:color="auto" w:fill="auto"/>
          </w:tcPr>
          <w:p w14:paraId="504CD0E0" w14:textId="28E122CE" w:rsidR="00B80037" w:rsidRDefault="00B80037" w:rsidP="00B80037">
            <w:pPr>
              <w:pStyle w:val="Tabletext"/>
            </w:pPr>
            <w:r>
              <w:t>person</w:t>
            </w:r>
          </w:p>
        </w:tc>
      </w:tr>
      <w:tr w:rsidR="00E035D4" w:rsidRPr="00356952" w14:paraId="147746EE" w14:textId="77777777" w:rsidTr="003C4351">
        <w:tc>
          <w:tcPr>
            <w:tcW w:w="714" w:type="dxa"/>
            <w:shd w:val="clear" w:color="auto" w:fill="auto"/>
          </w:tcPr>
          <w:p w14:paraId="7FBFC767" w14:textId="217E146F" w:rsidR="00E035D4" w:rsidRPr="00356952" w:rsidRDefault="00B80037" w:rsidP="003C4351">
            <w:pPr>
              <w:pStyle w:val="Tabletext"/>
            </w:pPr>
            <w:r>
              <w:t>4</w:t>
            </w:r>
          </w:p>
        </w:tc>
        <w:tc>
          <w:tcPr>
            <w:tcW w:w="2258" w:type="dxa"/>
            <w:shd w:val="clear" w:color="auto" w:fill="auto"/>
          </w:tcPr>
          <w:p w14:paraId="7B51BC44" w14:textId="77777777" w:rsidR="00E035D4" w:rsidRPr="00356952" w:rsidRDefault="00E035D4" w:rsidP="003C4351">
            <w:pPr>
              <w:pStyle w:val="Tabletext"/>
            </w:pPr>
            <w:r>
              <w:t>Subsection 1.19(6)</w:t>
            </w:r>
          </w:p>
        </w:tc>
        <w:tc>
          <w:tcPr>
            <w:tcW w:w="2835" w:type="dxa"/>
            <w:shd w:val="clear" w:color="auto" w:fill="auto"/>
          </w:tcPr>
          <w:p w14:paraId="09B074AB" w14:textId="77777777" w:rsidR="00E035D4" w:rsidRPr="00356952" w:rsidRDefault="00E035D4" w:rsidP="003C4351">
            <w:pPr>
              <w:pStyle w:val="Tabletext"/>
            </w:pPr>
            <w:r>
              <w:t>liable entity</w:t>
            </w:r>
          </w:p>
        </w:tc>
        <w:tc>
          <w:tcPr>
            <w:tcW w:w="1279" w:type="dxa"/>
            <w:shd w:val="clear" w:color="auto" w:fill="auto"/>
          </w:tcPr>
          <w:p w14:paraId="51787041" w14:textId="77777777" w:rsidR="00E035D4" w:rsidRPr="00356952" w:rsidRDefault="00E035D4" w:rsidP="003C4351">
            <w:pPr>
              <w:pStyle w:val="Tabletext"/>
            </w:pPr>
            <w:r>
              <w:t>registered person</w:t>
            </w:r>
          </w:p>
        </w:tc>
      </w:tr>
      <w:tr w:rsidR="00E035D4" w:rsidRPr="00356952" w14:paraId="724E770C" w14:textId="77777777" w:rsidTr="003C4351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EE8DFB8" w14:textId="1D3E731F" w:rsidR="00E035D4" w:rsidRPr="00356952" w:rsidRDefault="00B80037" w:rsidP="003C4351">
            <w:pPr>
              <w:pStyle w:val="Tabletext"/>
            </w:pPr>
            <w:r>
              <w:t>5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auto"/>
          </w:tcPr>
          <w:p w14:paraId="06DB65B9" w14:textId="2FCD9143" w:rsidR="00E035D4" w:rsidRPr="00356952" w:rsidRDefault="00E035D4" w:rsidP="00E035D4">
            <w:pPr>
              <w:pStyle w:val="Tabletext"/>
            </w:pPr>
            <w:r>
              <w:t>Section 2.25 (cell at table item 2, column headed “Frequency”)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9DA0F73" w14:textId="77777777" w:rsidR="00E035D4" w:rsidRPr="00356952" w:rsidRDefault="00E035D4" w:rsidP="003C4351">
            <w:pPr>
              <w:pStyle w:val="Tabletext"/>
            </w:pPr>
            <w:r>
              <w:t>liable entity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14:paraId="2D8F6CD2" w14:textId="77777777" w:rsidR="00E035D4" w:rsidRPr="00356952" w:rsidRDefault="00E035D4" w:rsidP="003C4351">
            <w:pPr>
              <w:pStyle w:val="Tabletext"/>
            </w:pPr>
            <w:r>
              <w:t>registered person</w:t>
            </w:r>
          </w:p>
        </w:tc>
      </w:tr>
      <w:tr w:rsidR="00E035D4" w:rsidRPr="00356952" w14:paraId="4773E6C7" w14:textId="77777777" w:rsidTr="003C4351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14:paraId="473A017E" w14:textId="61756755" w:rsidR="00E035D4" w:rsidRPr="00356952" w:rsidRDefault="00B80037" w:rsidP="003C4351">
            <w:pPr>
              <w:pStyle w:val="Tabletext"/>
            </w:pPr>
            <w:r>
              <w:t>6</w:t>
            </w:r>
          </w:p>
        </w:tc>
        <w:tc>
          <w:tcPr>
            <w:tcW w:w="2258" w:type="dxa"/>
            <w:tcBorders>
              <w:bottom w:val="single" w:sz="12" w:space="0" w:color="auto"/>
            </w:tcBorders>
            <w:shd w:val="clear" w:color="auto" w:fill="auto"/>
          </w:tcPr>
          <w:p w14:paraId="17581B9D" w14:textId="5B541D49" w:rsidR="00E035D4" w:rsidRPr="00356952" w:rsidRDefault="00E035D4" w:rsidP="003C4351">
            <w:pPr>
              <w:pStyle w:val="Tabletext"/>
            </w:pPr>
            <w:r>
              <w:t>Section 2.71 (in three places)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2A280B89" w14:textId="1373C4DD" w:rsidR="00E035D4" w:rsidRPr="00356952" w:rsidRDefault="00E035D4" w:rsidP="00E035D4">
            <w:pPr>
              <w:pStyle w:val="Tabletext"/>
            </w:pPr>
            <w:r>
              <w:t>liable entity</w:t>
            </w:r>
          </w:p>
        </w:tc>
        <w:tc>
          <w:tcPr>
            <w:tcW w:w="1279" w:type="dxa"/>
            <w:tcBorders>
              <w:bottom w:val="single" w:sz="12" w:space="0" w:color="auto"/>
            </w:tcBorders>
            <w:shd w:val="clear" w:color="auto" w:fill="auto"/>
          </w:tcPr>
          <w:p w14:paraId="5D4F54C5" w14:textId="77777777" w:rsidR="00E035D4" w:rsidRPr="00356952" w:rsidRDefault="00E035D4" w:rsidP="003C4351">
            <w:pPr>
              <w:pStyle w:val="Tabletext"/>
            </w:pPr>
            <w:r>
              <w:t>registered person</w:t>
            </w:r>
          </w:p>
        </w:tc>
      </w:tr>
    </w:tbl>
    <w:p w14:paraId="446938A2" w14:textId="77777777" w:rsidR="00E035D4" w:rsidRPr="00356952" w:rsidRDefault="00E035D4" w:rsidP="00E035D4">
      <w:pPr>
        <w:pStyle w:val="Tabletext"/>
      </w:pPr>
    </w:p>
    <w:p w14:paraId="4F5761D2" w14:textId="77777777" w:rsidR="006D571F" w:rsidRPr="006D1CFB" w:rsidRDefault="006D571F" w:rsidP="006D1CFB">
      <w:pPr>
        <w:pStyle w:val="tDefn"/>
      </w:pPr>
    </w:p>
    <w:sectPr w:rsidR="006D571F" w:rsidRPr="006D1CFB" w:rsidSect="00477234">
      <w:footerReference w:type="default" r:id="rId15"/>
      <w:type w:val="continuous"/>
      <w:pgSz w:w="11907" w:h="16839" w:code="9"/>
      <w:pgMar w:top="2233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3835E" w14:textId="77777777" w:rsidR="00A139C7" w:rsidRDefault="00A139C7">
      <w:r>
        <w:separator/>
      </w:r>
    </w:p>
  </w:endnote>
  <w:endnote w:type="continuationSeparator" w:id="0">
    <w:p w14:paraId="3AA2E5D9" w14:textId="77777777" w:rsidR="00A139C7" w:rsidRDefault="00A1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585B4" w14:textId="77777777" w:rsidR="008B49BA" w:rsidRPr="00E51C73" w:rsidRDefault="008B49BA" w:rsidP="00CF0426">
    <w:pPr>
      <w:pBdr>
        <w:top w:val="single" w:sz="6" w:space="1" w:color="auto"/>
      </w:pBdr>
      <w:spacing w:before="120" w:line="0" w:lineRule="atLeast"/>
      <w:rPr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B49BA" w:rsidRPr="00E51C73" w14:paraId="222B5F41" w14:textId="77777777" w:rsidTr="00CF042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D734B7" w14:textId="77777777" w:rsidR="008B49BA" w:rsidRPr="00E51C73" w:rsidRDefault="008B49BA" w:rsidP="00CF0426">
          <w:pPr>
            <w:spacing w:line="0" w:lineRule="atLeast"/>
            <w:rPr>
              <w:i/>
              <w:sz w:val="18"/>
            </w:rPr>
          </w:pPr>
          <w:r w:rsidRPr="00E51C73">
            <w:rPr>
              <w:i/>
              <w:sz w:val="18"/>
            </w:rPr>
            <w:fldChar w:fldCharType="begin"/>
          </w:r>
          <w:r w:rsidRPr="00E51C73">
            <w:rPr>
              <w:i/>
              <w:sz w:val="18"/>
            </w:rPr>
            <w:instrText xml:space="preserve"> PAGE </w:instrText>
          </w:r>
          <w:r w:rsidRPr="00E51C73">
            <w:rPr>
              <w:i/>
              <w:sz w:val="18"/>
            </w:rPr>
            <w:fldChar w:fldCharType="separate"/>
          </w:r>
          <w:r w:rsidR="00DF3EEC">
            <w:rPr>
              <w:i/>
              <w:noProof/>
              <w:sz w:val="18"/>
            </w:rPr>
            <w:t>8</w:t>
          </w:r>
          <w:r w:rsidRPr="00E51C73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0E20BB" w14:textId="77777777" w:rsidR="008B49BA" w:rsidRPr="00E51C73" w:rsidRDefault="008B49BA" w:rsidP="00CF0426">
          <w:pPr>
            <w:spacing w:line="0" w:lineRule="atLeast"/>
            <w:jc w:val="center"/>
            <w:rPr>
              <w:i/>
              <w:sz w:val="18"/>
            </w:rPr>
          </w:pPr>
          <w:r w:rsidRPr="00E51C73">
            <w:rPr>
              <w:i/>
              <w:sz w:val="18"/>
            </w:rPr>
            <w:fldChar w:fldCharType="begin"/>
          </w:r>
          <w:r w:rsidRPr="00E51C73">
            <w:rPr>
              <w:i/>
              <w:sz w:val="18"/>
            </w:rPr>
            <w:instrText xml:space="preserve"> DOCPROPERTY ShortT </w:instrText>
          </w:r>
          <w:r w:rsidRPr="00E51C73">
            <w:rPr>
              <w:i/>
              <w:sz w:val="18"/>
            </w:rPr>
            <w:fldChar w:fldCharType="separate"/>
          </w:r>
          <w:r w:rsidR="00DF3EE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E51C73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0A6E03" w14:textId="77777777" w:rsidR="008B49BA" w:rsidRPr="00E51C73" w:rsidRDefault="008B49BA" w:rsidP="00CF0426">
          <w:pPr>
            <w:spacing w:line="0" w:lineRule="atLeast"/>
            <w:jc w:val="right"/>
            <w:rPr>
              <w:i/>
              <w:sz w:val="18"/>
            </w:rPr>
          </w:pPr>
        </w:p>
      </w:tc>
    </w:tr>
  </w:tbl>
  <w:p w14:paraId="74F2053F" w14:textId="77777777" w:rsidR="008B49BA" w:rsidRPr="00E51C73" w:rsidRDefault="008B49BA" w:rsidP="00CF0426">
    <w:pPr>
      <w:rPr>
        <w:i/>
        <w:sz w:val="18"/>
      </w:rPr>
    </w:pPr>
    <w:r w:rsidRPr="00E51C73">
      <w:rPr>
        <w:i/>
        <w:sz w:val="18"/>
      </w:rPr>
      <w:t>OPC60651 -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4540224"/>
      <w:docPartObj>
        <w:docPartGallery w:val="Page Numbers (Bottom of Page)"/>
        <w:docPartUnique/>
      </w:docPartObj>
    </w:sdtPr>
    <w:sdtEndPr/>
    <w:sdtContent>
      <w:sdt>
        <w:sdtPr>
          <w:id w:val="-120347035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227501556"/>
              <w:docPartObj>
                <w:docPartGallery w:val="Page Numbers (Bottom of Page)"/>
                <w:docPartUnique/>
              </w:docPartObj>
            </w:sdtPr>
            <w:sdtEndPr/>
            <w:sdtContent>
              <w:p w14:paraId="7E27E6F7" w14:textId="0E81D9E6" w:rsidR="008B49BA" w:rsidRPr="0001248D" w:rsidRDefault="008B49BA" w:rsidP="0001248D">
                <w:pPr>
                  <w:pStyle w:val="Footer"/>
                  <w:pBdr>
                    <w:top w:val="single" w:sz="4" w:space="1" w:color="auto"/>
                  </w:pBdr>
                  <w:jc w:val="right"/>
                  <w:rPr>
                    <w:rFonts w:eastAsia="Calibri"/>
                    <w:szCs w:val="20"/>
                    <w:lang w:eastAsia="en-US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CE64F2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sdtContent>
          </w:sdt>
        </w:sdtContent>
      </w:sdt>
    </w:sdtContent>
  </w:sdt>
  <w:p w14:paraId="5BD4965A" w14:textId="265BA651" w:rsidR="008B49BA" w:rsidRDefault="00595477" w:rsidP="0061118A">
    <w:pPr>
      <w:pStyle w:val="Header"/>
    </w:pPr>
    <w:fldSimple w:instr=" STYLEREF  ShortT  \* MERGEFORMAT ">
      <w:r w:rsidR="00CE64F2">
        <w:rPr>
          <w:noProof/>
        </w:rPr>
        <w:t>National Greenhouse and Energy Reporting (Measurement) Amendment (2018 Update) Determination 2018</w:t>
      </w:r>
    </w:fldSimple>
  </w:p>
  <w:p w14:paraId="5609BBD1" w14:textId="77777777" w:rsidR="008B49BA" w:rsidRDefault="008B49B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0DEFF" w14:textId="77777777" w:rsidR="008B49BA" w:rsidRPr="00E33C1C" w:rsidRDefault="008B49BA" w:rsidP="00CF042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B49BA" w14:paraId="6A7B83A6" w14:textId="77777777" w:rsidTr="00CF042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97AD7D" w14:textId="77777777" w:rsidR="008B49BA" w:rsidRDefault="008B49BA" w:rsidP="00CF042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E74784" w14:textId="77777777" w:rsidR="008B49BA" w:rsidRDefault="008B49BA" w:rsidP="00CF042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3EE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AF41C8" w14:textId="77777777" w:rsidR="008B49BA" w:rsidRDefault="008B49BA" w:rsidP="00CF042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3EEC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766A06" w14:textId="77777777" w:rsidR="008B49BA" w:rsidRPr="00ED79B6" w:rsidRDefault="008B49BA" w:rsidP="00CF0426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7939"/>
      <w:docPartObj>
        <w:docPartGallery w:val="Page Numbers (Bottom of Page)"/>
        <w:docPartUnique/>
      </w:docPartObj>
    </w:sdtPr>
    <w:sdtEndPr/>
    <w:sdtContent>
      <w:p w14:paraId="2A8EE7A0" w14:textId="5C6DE339" w:rsidR="008B49BA" w:rsidRDefault="008B49BA" w:rsidP="009818F6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4F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758BCA4" w14:textId="2EE8182C" w:rsidR="008B49BA" w:rsidRDefault="00595477" w:rsidP="009818F6">
    <w:pPr>
      <w:pStyle w:val="Header"/>
    </w:pPr>
    <w:fldSimple w:instr=" STYLEREF  ShortT  \* MERGEFORMAT ">
      <w:r w:rsidR="00CE64F2">
        <w:rPr>
          <w:noProof/>
        </w:rPr>
        <w:t>National Greenhouse and Energy Reporting (Measurement) Amendment (2018 Update) Determination 2018</w:t>
      </w:r>
    </w:fldSimple>
  </w:p>
  <w:p w14:paraId="52410532" w14:textId="77777777" w:rsidR="008B49BA" w:rsidRDefault="008B49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25035" w14:textId="77777777" w:rsidR="00A139C7" w:rsidRDefault="00A139C7">
      <w:r>
        <w:separator/>
      </w:r>
    </w:p>
  </w:footnote>
  <w:footnote w:type="continuationSeparator" w:id="0">
    <w:p w14:paraId="6739CEEA" w14:textId="77777777" w:rsidR="00A139C7" w:rsidRDefault="00A13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0F656" w14:textId="77777777" w:rsidR="008B49BA" w:rsidRDefault="008B49BA" w:rsidP="00CF042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3A736F4" w14:textId="77777777" w:rsidR="008B49BA" w:rsidRDefault="008B49BA" w:rsidP="00CF042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DF3EEC">
      <w:rPr>
        <w:b/>
        <w:noProof/>
        <w:sz w:val="20"/>
      </w:rPr>
      <w:t>Part 6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DF3EEC">
      <w:rPr>
        <w:noProof/>
        <w:sz w:val="20"/>
      </w:rPr>
      <w:t>Indirect (scope 2) emission factors from consumption of electricity purchased or lost from grid</w:t>
    </w:r>
    <w:r>
      <w:rPr>
        <w:sz w:val="20"/>
      </w:rPr>
      <w:fldChar w:fldCharType="end"/>
    </w:r>
  </w:p>
  <w:p w14:paraId="70F41630" w14:textId="77777777" w:rsidR="008B49BA" w:rsidRPr="007A1328" w:rsidRDefault="008B49BA" w:rsidP="00CF042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F0430D6" w14:textId="77777777" w:rsidR="008B49BA" w:rsidRPr="007A1328" w:rsidRDefault="008B49BA" w:rsidP="00CF0426">
    <w:pPr>
      <w:rPr>
        <w:b/>
        <w:sz w:val="24"/>
      </w:rPr>
    </w:pPr>
  </w:p>
  <w:p w14:paraId="3ED27642" w14:textId="77777777" w:rsidR="008B49BA" w:rsidRPr="007A1328" w:rsidRDefault="008B49BA" w:rsidP="00CF042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F3EEC">
      <w:rPr>
        <w:b/>
        <w:bCs/>
        <w:sz w:val="24"/>
        <w:lang w:val="en-US"/>
      </w:rPr>
      <w:t>Error! Unknown document property name.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F3EEC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1B6F1" w14:textId="2C80E0AA" w:rsidR="008B49BA" w:rsidRPr="007A1328" w:rsidRDefault="008B49BA" w:rsidP="00CF042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DAC55" w14:textId="77777777" w:rsidR="00CE64F2" w:rsidRDefault="00CE64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FA8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D54070F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7E"/>
    <w:multiLevelType w:val="multilevel"/>
    <w:tmpl w:val="09B4AFE6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 w15:restartNumberingAfterBreak="0">
    <w:nsid w:val="FFFFFF7F"/>
    <w:multiLevelType w:val="singleLevel"/>
    <w:tmpl w:val="FDA2FC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78B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167B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AB2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F651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700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42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AC4426"/>
    <w:multiLevelType w:val="hybridMultilevel"/>
    <w:tmpl w:val="6EB0D282"/>
    <w:lvl w:ilvl="0" w:tplc="0C090001">
      <w:start w:val="1"/>
      <w:numFmt w:val="bullet"/>
      <w:lvlText w:val=""/>
      <w:lvlJc w:val="left"/>
      <w:pPr>
        <w:ind w:left="3840" w:hanging="720"/>
      </w:pPr>
      <w:rPr>
        <w:rFonts w:ascii="Symbol" w:hAnsi="Symbol" w:hint="default"/>
      </w:rPr>
    </w:lvl>
    <w:lvl w:ilvl="1" w:tplc="0C090015">
      <w:start w:val="1"/>
      <w:numFmt w:val="upperLetter"/>
      <w:lvlText w:val="%2."/>
      <w:lvlJc w:val="left"/>
      <w:pPr>
        <w:ind w:left="4200" w:hanging="360"/>
      </w:pPr>
    </w:lvl>
    <w:lvl w:ilvl="2" w:tplc="3AF05602">
      <w:start w:val="1"/>
      <w:numFmt w:val="lowerRoman"/>
      <w:lvlText w:val="(%3)"/>
      <w:lvlJc w:val="right"/>
      <w:pPr>
        <w:ind w:left="492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5640" w:hanging="360"/>
      </w:pPr>
    </w:lvl>
    <w:lvl w:ilvl="4" w:tplc="0C090019">
      <w:start w:val="1"/>
      <w:numFmt w:val="lowerLetter"/>
      <w:lvlText w:val="%5."/>
      <w:lvlJc w:val="left"/>
      <w:pPr>
        <w:ind w:left="6360" w:hanging="360"/>
      </w:pPr>
    </w:lvl>
    <w:lvl w:ilvl="5" w:tplc="0C09001B">
      <w:start w:val="1"/>
      <w:numFmt w:val="lowerRoman"/>
      <w:lvlText w:val="%6."/>
      <w:lvlJc w:val="right"/>
      <w:pPr>
        <w:ind w:left="7080" w:hanging="180"/>
      </w:pPr>
    </w:lvl>
    <w:lvl w:ilvl="6" w:tplc="0C09000F">
      <w:start w:val="1"/>
      <w:numFmt w:val="decimal"/>
      <w:lvlText w:val="%7."/>
      <w:lvlJc w:val="left"/>
      <w:pPr>
        <w:ind w:left="7800" w:hanging="360"/>
      </w:pPr>
    </w:lvl>
    <w:lvl w:ilvl="7" w:tplc="0C090019">
      <w:start w:val="1"/>
      <w:numFmt w:val="lowerLetter"/>
      <w:lvlText w:val="%8."/>
      <w:lvlJc w:val="left"/>
      <w:pPr>
        <w:ind w:left="8520" w:hanging="360"/>
      </w:pPr>
    </w:lvl>
    <w:lvl w:ilvl="8" w:tplc="0C09001B">
      <w:start w:val="1"/>
      <w:numFmt w:val="lowerRoman"/>
      <w:lvlText w:val="%9."/>
      <w:lvlJc w:val="right"/>
      <w:pPr>
        <w:ind w:left="9240" w:hanging="180"/>
      </w:pPr>
    </w:lvl>
  </w:abstractNum>
  <w:abstractNum w:abstractNumId="13" w15:restartNumberingAfterBreak="0">
    <w:nsid w:val="10E00A21"/>
    <w:multiLevelType w:val="hybridMultilevel"/>
    <w:tmpl w:val="9E582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125BD1"/>
    <w:multiLevelType w:val="multilevel"/>
    <w:tmpl w:val="384E8C9C"/>
    <w:styleLink w:val="CABNETList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Verdana" w:hAnsi="Verdana" w:cs="Times New Roman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1134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567"/>
        </w:tabs>
        <w:ind w:left="1701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upperLetter"/>
      <w:lvlText w:val="(%4)"/>
      <w:lvlJc w:val="left"/>
      <w:pPr>
        <w:tabs>
          <w:tab w:val="num" w:pos="567"/>
        </w:tabs>
        <w:ind w:left="2268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2835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none"/>
      <w:lvlText w:val="."/>
      <w:lvlJc w:val="left"/>
      <w:pPr>
        <w:tabs>
          <w:tab w:val="num" w:pos="567"/>
        </w:tabs>
        <w:ind w:left="3402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num" w:pos="567"/>
        </w:tabs>
        <w:ind w:left="3969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num" w:pos="567"/>
        </w:tabs>
        <w:ind w:left="4536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num" w:pos="567"/>
        </w:tabs>
        <w:ind w:left="5103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</w:abstractNum>
  <w:abstractNum w:abstractNumId="15" w15:restartNumberingAfterBreak="0">
    <w:nsid w:val="160E5660"/>
    <w:multiLevelType w:val="multilevel"/>
    <w:tmpl w:val="91363FF2"/>
    <w:lvl w:ilvl="0">
      <w:start w:val="1"/>
      <w:numFmt w:val="decimal"/>
      <w:pStyle w:val="OutlineNumbered1"/>
      <w:lvlText w:val="%1."/>
      <w:lvlJc w:val="left"/>
      <w:pPr>
        <w:tabs>
          <w:tab w:val="num" w:pos="1240"/>
        </w:tabs>
        <w:ind w:left="1240" w:hanging="520"/>
      </w:pPr>
      <w:rPr>
        <w:rFonts w:cs="Times New Roman" w:hint="default"/>
      </w:rPr>
    </w:lvl>
    <w:lvl w:ilvl="1">
      <w:start w:val="1"/>
      <w:numFmt w:val="decimal"/>
      <w:pStyle w:val="OutlineNumbered2"/>
      <w:lvlText w:val="%1.%2."/>
      <w:lvlJc w:val="left"/>
      <w:pPr>
        <w:tabs>
          <w:tab w:val="num" w:pos="1760"/>
        </w:tabs>
        <w:ind w:left="1760" w:hanging="520"/>
      </w:pPr>
      <w:rPr>
        <w:rFonts w:cs="Times New Roman" w:hint="default"/>
      </w:rPr>
    </w:lvl>
    <w:lvl w:ilvl="2">
      <w:start w:val="1"/>
      <w:numFmt w:val="decimal"/>
      <w:pStyle w:val="OutlineNumbered3"/>
      <w:lvlText w:val="%1.%2.%3."/>
      <w:lvlJc w:val="left"/>
      <w:pPr>
        <w:tabs>
          <w:tab w:val="num" w:pos="2280"/>
        </w:tabs>
        <w:ind w:left="2280" w:hanging="5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16" w15:restartNumberingAfterBreak="0">
    <w:nsid w:val="1A9A3EDC"/>
    <w:multiLevelType w:val="multilevel"/>
    <w:tmpl w:val="A7A0206E"/>
    <w:lvl w:ilvl="0">
      <w:start w:val="1"/>
      <w:numFmt w:val="decimal"/>
      <w:lvlRestart w:val="0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Division 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Subdivision 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Restart w:val="1"/>
      <w:lvlText w:val="[%5]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308263A"/>
    <w:multiLevelType w:val="hybridMultilevel"/>
    <w:tmpl w:val="5B983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F2400"/>
    <w:multiLevelType w:val="hybridMultilevel"/>
    <w:tmpl w:val="FD9AC962"/>
    <w:lvl w:ilvl="0" w:tplc="A8D46982">
      <w:start w:val="1"/>
      <w:numFmt w:val="lowerLetter"/>
      <w:lvlText w:val="(%1)"/>
      <w:lvlJc w:val="left"/>
      <w:pPr>
        <w:ind w:left="16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04" w:hanging="360"/>
      </w:pPr>
    </w:lvl>
    <w:lvl w:ilvl="2" w:tplc="0C09001B" w:tentative="1">
      <w:start w:val="1"/>
      <w:numFmt w:val="lowerRoman"/>
      <w:lvlText w:val="%3."/>
      <w:lvlJc w:val="right"/>
      <w:pPr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0" w15:restartNumberingAfterBreak="0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E56E0A"/>
    <w:multiLevelType w:val="hybridMultilevel"/>
    <w:tmpl w:val="91C01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1251BB0"/>
    <w:multiLevelType w:val="hybridMultilevel"/>
    <w:tmpl w:val="260866FE"/>
    <w:lvl w:ilvl="0" w:tplc="920444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8A70C5"/>
    <w:multiLevelType w:val="hybridMultilevel"/>
    <w:tmpl w:val="7C1A95C6"/>
    <w:lvl w:ilvl="0" w:tplc="5C36E208">
      <w:start w:val="1"/>
      <w:numFmt w:val="lowerLetter"/>
      <w:lvlText w:val="(%1)"/>
      <w:lvlJc w:val="left"/>
      <w:pPr>
        <w:ind w:left="1815" w:hanging="360"/>
      </w:pPr>
    </w:lvl>
    <w:lvl w:ilvl="1" w:tplc="0C090019">
      <w:start w:val="1"/>
      <w:numFmt w:val="lowerLetter"/>
      <w:lvlText w:val="%2."/>
      <w:lvlJc w:val="left"/>
      <w:pPr>
        <w:ind w:left="2535" w:hanging="360"/>
      </w:pPr>
    </w:lvl>
    <w:lvl w:ilvl="2" w:tplc="0C09001B">
      <w:start w:val="1"/>
      <w:numFmt w:val="lowerRoman"/>
      <w:lvlText w:val="%3."/>
      <w:lvlJc w:val="right"/>
      <w:pPr>
        <w:ind w:left="3255" w:hanging="180"/>
      </w:pPr>
    </w:lvl>
    <w:lvl w:ilvl="3" w:tplc="0C09000F">
      <w:start w:val="1"/>
      <w:numFmt w:val="decimal"/>
      <w:lvlText w:val="%4."/>
      <w:lvlJc w:val="left"/>
      <w:pPr>
        <w:ind w:left="3975" w:hanging="360"/>
      </w:pPr>
    </w:lvl>
    <w:lvl w:ilvl="4" w:tplc="0C090019">
      <w:start w:val="1"/>
      <w:numFmt w:val="lowerLetter"/>
      <w:lvlText w:val="%5."/>
      <w:lvlJc w:val="left"/>
      <w:pPr>
        <w:ind w:left="4695" w:hanging="360"/>
      </w:pPr>
    </w:lvl>
    <w:lvl w:ilvl="5" w:tplc="0C09001B">
      <w:start w:val="1"/>
      <w:numFmt w:val="lowerRoman"/>
      <w:lvlText w:val="%6."/>
      <w:lvlJc w:val="right"/>
      <w:pPr>
        <w:ind w:left="5415" w:hanging="180"/>
      </w:pPr>
    </w:lvl>
    <w:lvl w:ilvl="6" w:tplc="0C09000F">
      <w:start w:val="1"/>
      <w:numFmt w:val="decimal"/>
      <w:lvlText w:val="%7."/>
      <w:lvlJc w:val="left"/>
      <w:pPr>
        <w:ind w:left="6135" w:hanging="360"/>
      </w:pPr>
    </w:lvl>
    <w:lvl w:ilvl="7" w:tplc="0C090019">
      <w:start w:val="1"/>
      <w:numFmt w:val="lowerLetter"/>
      <w:lvlText w:val="%8."/>
      <w:lvlJc w:val="left"/>
      <w:pPr>
        <w:ind w:left="6855" w:hanging="360"/>
      </w:pPr>
    </w:lvl>
    <w:lvl w:ilvl="8" w:tplc="0C09001B">
      <w:start w:val="1"/>
      <w:numFmt w:val="lowerRoman"/>
      <w:lvlText w:val="%9."/>
      <w:lvlJc w:val="right"/>
      <w:pPr>
        <w:ind w:left="7575" w:hanging="180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38461C61"/>
    <w:multiLevelType w:val="hybridMultilevel"/>
    <w:tmpl w:val="AF889C6A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0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1" w15:restartNumberingAfterBreak="0">
    <w:nsid w:val="3B75469C"/>
    <w:multiLevelType w:val="hybridMultilevel"/>
    <w:tmpl w:val="E54E65F2"/>
    <w:lvl w:ilvl="0" w:tplc="F64C8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8E6DEB"/>
    <w:multiLevelType w:val="hybridMultilevel"/>
    <w:tmpl w:val="591E2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4F523846"/>
    <w:multiLevelType w:val="hybridMultilevel"/>
    <w:tmpl w:val="2676D830"/>
    <w:name w:val="main numbering22"/>
    <w:lvl w:ilvl="0" w:tplc="6916041C">
      <w:start w:val="1"/>
      <w:numFmt w:val="lowerLetter"/>
      <w:lvlText w:val="(%1)"/>
      <w:lvlJc w:val="left"/>
      <w:pPr>
        <w:ind w:left="1684" w:hanging="360"/>
      </w:pPr>
      <w:rPr>
        <w:rFonts w:hint="default"/>
      </w:rPr>
    </w:lvl>
    <w:lvl w:ilvl="1" w:tplc="16D08D5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9E52247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8242BF06" w:tentative="1">
      <w:start w:val="1"/>
      <w:numFmt w:val="decimal"/>
      <w:lvlText w:val="%4."/>
      <w:lvlJc w:val="left"/>
      <w:pPr>
        <w:ind w:left="2880" w:hanging="360"/>
      </w:pPr>
    </w:lvl>
    <w:lvl w:ilvl="4" w:tplc="D5B894D8" w:tentative="1">
      <w:start w:val="1"/>
      <w:numFmt w:val="lowerLetter"/>
      <w:lvlText w:val="%5."/>
      <w:lvlJc w:val="left"/>
      <w:pPr>
        <w:ind w:left="3600" w:hanging="360"/>
      </w:pPr>
    </w:lvl>
    <w:lvl w:ilvl="5" w:tplc="95A0A362" w:tentative="1">
      <w:start w:val="1"/>
      <w:numFmt w:val="lowerRoman"/>
      <w:lvlText w:val="%6."/>
      <w:lvlJc w:val="right"/>
      <w:pPr>
        <w:ind w:left="4320" w:hanging="180"/>
      </w:pPr>
    </w:lvl>
    <w:lvl w:ilvl="6" w:tplc="984E891C" w:tentative="1">
      <w:start w:val="1"/>
      <w:numFmt w:val="decimal"/>
      <w:lvlText w:val="%7."/>
      <w:lvlJc w:val="left"/>
      <w:pPr>
        <w:ind w:left="5040" w:hanging="360"/>
      </w:pPr>
    </w:lvl>
    <w:lvl w:ilvl="7" w:tplc="9FAC19AC" w:tentative="1">
      <w:start w:val="1"/>
      <w:numFmt w:val="lowerLetter"/>
      <w:lvlText w:val="%8."/>
      <w:lvlJc w:val="left"/>
      <w:pPr>
        <w:ind w:left="5760" w:hanging="360"/>
      </w:pPr>
    </w:lvl>
    <w:lvl w:ilvl="8" w:tplc="51CA0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F702A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54FB5D34"/>
    <w:multiLevelType w:val="multilevel"/>
    <w:tmpl w:val="7B2E3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2"/>
      <w:lvlText w:val="%2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662204B5"/>
    <w:multiLevelType w:val="hybridMultilevel"/>
    <w:tmpl w:val="A52E4E16"/>
    <w:lvl w:ilvl="0" w:tplc="719A9BE2">
      <w:start w:val="1"/>
      <w:numFmt w:val="lowerLetter"/>
      <w:lvlText w:val="(%1)"/>
      <w:lvlJc w:val="left"/>
      <w:pPr>
        <w:ind w:left="1684" w:hanging="360"/>
      </w:pPr>
      <w:rPr>
        <w:rFonts w:hint="default"/>
      </w:rPr>
    </w:lvl>
    <w:lvl w:ilvl="1" w:tplc="719A9BE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101690"/>
    <w:multiLevelType w:val="hybridMultilevel"/>
    <w:tmpl w:val="A8ECD5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AF73CD"/>
    <w:multiLevelType w:val="hybridMultilevel"/>
    <w:tmpl w:val="AEFED21A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1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741C2204"/>
    <w:multiLevelType w:val="hybridMultilevel"/>
    <w:tmpl w:val="32822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547608"/>
    <w:multiLevelType w:val="hybridMultilevel"/>
    <w:tmpl w:val="BD80565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DC96667"/>
    <w:multiLevelType w:val="hybridMultilevel"/>
    <w:tmpl w:val="E0747B30"/>
    <w:lvl w:ilvl="0" w:tplc="719A9BE2">
      <w:start w:val="1"/>
      <w:numFmt w:val="lowerLetter"/>
      <w:lvlText w:val="(%1)"/>
      <w:lvlJc w:val="left"/>
      <w:pPr>
        <w:ind w:left="2988" w:hanging="720"/>
      </w:pPr>
      <w:rPr>
        <w:rFonts w:hint="default"/>
      </w:rPr>
    </w:lvl>
    <w:lvl w:ilvl="1" w:tplc="0C090015">
      <w:start w:val="1"/>
      <w:numFmt w:val="upperLetter"/>
      <w:lvlText w:val="%2."/>
      <w:lvlJc w:val="left"/>
      <w:pPr>
        <w:ind w:left="3348" w:hanging="360"/>
      </w:pPr>
    </w:lvl>
    <w:lvl w:ilvl="2" w:tplc="3AF05602">
      <w:start w:val="1"/>
      <w:numFmt w:val="lowerRoman"/>
      <w:lvlText w:val="(%3)"/>
      <w:lvlJc w:val="right"/>
      <w:pPr>
        <w:ind w:left="4068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4788" w:hanging="360"/>
      </w:pPr>
    </w:lvl>
    <w:lvl w:ilvl="4" w:tplc="0C090019">
      <w:start w:val="1"/>
      <w:numFmt w:val="lowerLetter"/>
      <w:lvlText w:val="%5."/>
      <w:lvlJc w:val="left"/>
      <w:pPr>
        <w:ind w:left="5508" w:hanging="360"/>
      </w:pPr>
    </w:lvl>
    <w:lvl w:ilvl="5" w:tplc="0C09001B">
      <w:start w:val="1"/>
      <w:numFmt w:val="lowerRoman"/>
      <w:lvlText w:val="%6."/>
      <w:lvlJc w:val="right"/>
      <w:pPr>
        <w:ind w:left="6228" w:hanging="180"/>
      </w:pPr>
    </w:lvl>
    <w:lvl w:ilvl="6" w:tplc="0C09000F">
      <w:start w:val="1"/>
      <w:numFmt w:val="decimal"/>
      <w:lvlText w:val="%7."/>
      <w:lvlJc w:val="left"/>
      <w:pPr>
        <w:ind w:left="6948" w:hanging="360"/>
      </w:pPr>
    </w:lvl>
    <w:lvl w:ilvl="7" w:tplc="0C090019">
      <w:start w:val="1"/>
      <w:numFmt w:val="lowerLetter"/>
      <w:lvlText w:val="%8."/>
      <w:lvlJc w:val="left"/>
      <w:pPr>
        <w:ind w:left="7668" w:hanging="360"/>
      </w:pPr>
    </w:lvl>
    <w:lvl w:ilvl="8" w:tplc="0C09001B">
      <w:start w:val="1"/>
      <w:numFmt w:val="lowerRoman"/>
      <w:lvlText w:val="%9."/>
      <w:lvlJc w:val="right"/>
      <w:pPr>
        <w:ind w:left="8388" w:hanging="180"/>
      </w:pPr>
    </w:lvl>
  </w:abstractNum>
  <w:abstractNum w:abstractNumId="56" w15:restartNumberingAfterBreak="0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2C04B8"/>
    <w:multiLevelType w:val="multilevel"/>
    <w:tmpl w:val="FF726526"/>
    <w:lvl w:ilvl="0">
      <w:start w:val="1"/>
      <w:numFmt w:val="bullet"/>
      <w:pStyle w:val="Heading1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hint="default"/>
      </w:rPr>
    </w:lvl>
    <w:lvl w:ilvl="1">
      <w:start w:val="1"/>
      <w:numFmt w:val="bullet"/>
      <w:pStyle w:val="Heading2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hint="default"/>
      </w:rPr>
    </w:lvl>
    <w:lvl w:ilvl="2">
      <w:start w:val="1"/>
      <w:numFmt w:val="bullet"/>
      <w:pStyle w:val="Heading3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hint="default"/>
      </w:rPr>
    </w:lvl>
    <w:lvl w:ilvl="3">
      <w:start w:val="1"/>
      <w:numFmt w:val="decimal"/>
      <w:pStyle w:val="Heading4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pStyle w:val="Heading6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pStyle w:val="Heading7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pStyle w:val="Heading8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pStyle w:val="Heading9"/>
      <w:lvlText w:val="%9."/>
      <w:lvlJc w:val="left"/>
      <w:pPr>
        <w:ind w:left="396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53"/>
  </w:num>
  <w:num w:numId="5">
    <w:abstractNumId w:val="44"/>
  </w:num>
  <w:num w:numId="6">
    <w:abstractNumId w:val="35"/>
  </w:num>
  <w:num w:numId="7">
    <w:abstractNumId w:val="21"/>
  </w:num>
  <w:num w:numId="8">
    <w:abstractNumId w:val="34"/>
  </w:num>
  <w:num w:numId="9">
    <w:abstractNumId w:val="56"/>
  </w:num>
  <w:num w:numId="10">
    <w:abstractNumId w:val="3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0"/>
  </w:num>
  <w:num w:numId="19">
    <w:abstractNumId w:val="10"/>
  </w:num>
  <w:num w:numId="20">
    <w:abstractNumId w:val="20"/>
  </w:num>
  <w:num w:numId="21">
    <w:abstractNumId w:val="29"/>
  </w:num>
  <w:num w:numId="22">
    <w:abstractNumId w:val="11"/>
  </w:num>
  <w:num w:numId="23">
    <w:abstractNumId w:val="50"/>
  </w:num>
  <w:num w:numId="24">
    <w:abstractNumId w:val="18"/>
  </w:num>
  <w:num w:numId="25">
    <w:abstractNumId w:val="52"/>
  </w:num>
  <w:num w:numId="26">
    <w:abstractNumId w:val="57"/>
  </w:num>
  <w:num w:numId="27">
    <w:abstractNumId w:val="15"/>
  </w:num>
  <w:num w:numId="28">
    <w:abstractNumId w:val="14"/>
  </w:num>
  <w:num w:numId="29">
    <w:abstractNumId w:val="38"/>
  </w:num>
  <w:num w:numId="30">
    <w:abstractNumId w:val="17"/>
  </w:num>
  <w:num w:numId="31">
    <w:abstractNumId w:val="33"/>
  </w:num>
  <w:num w:numId="32">
    <w:abstractNumId w:val="40"/>
  </w:num>
  <w:num w:numId="33">
    <w:abstractNumId w:val="48"/>
  </w:num>
  <w:num w:numId="34">
    <w:abstractNumId w:val="19"/>
  </w:num>
  <w:num w:numId="35">
    <w:abstractNumId w:val="55"/>
  </w:num>
  <w:num w:numId="36">
    <w:abstractNumId w:val="12"/>
  </w:num>
  <w:num w:numId="37">
    <w:abstractNumId w:val="37"/>
  </w:num>
  <w:num w:numId="3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4"/>
  </w:num>
  <w:num w:numId="42">
    <w:abstractNumId w:val="28"/>
  </w:num>
  <w:num w:numId="43">
    <w:abstractNumId w:val="49"/>
  </w:num>
  <w:num w:numId="44">
    <w:abstractNumId w:val="22"/>
  </w:num>
  <w:num w:numId="45">
    <w:abstractNumId w:val="32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425"/>
  <w:drawingGridHorizontalSpacing w:val="11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8678EB"/>
    <w:rsid w:val="00000FB7"/>
    <w:rsid w:val="00001A3B"/>
    <w:rsid w:val="00002024"/>
    <w:rsid w:val="00002C86"/>
    <w:rsid w:val="000039D7"/>
    <w:rsid w:val="00004628"/>
    <w:rsid w:val="0000732B"/>
    <w:rsid w:val="000075A4"/>
    <w:rsid w:val="00007ECF"/>
    <w:rsid w:val="00011B35"/>
    <w:rsid w:val="00011B54"/>
    <w:rsid w:val="00012088"/>
    <w:rsid w:val="0001248D"/>
    <w:rsid w:val="00012B72"/>
    <w:rsid w:val="00012ED2"/>
    <w:rsid w:val="000132B4"/>
    <w:rsid w:val="00013B9A"/>
    <w:rsid w:val="00013F3C"/>
    <w:rsid w:val="00014257"/>
    <w:rsid w:val="000150D6"/>
    <w:rsid w:val="00015792"/>
    <w:rsid w:val="000164A8"/>
    <w:rsid w:val="00016D9D"/>
    <w:rsid w:val="0001706F"/>
    <w:rsid w:val="000174D9"/>
    <w:rsid w:val="00020B7B"/>
    <w:rsid w:val="0002107F"/>
    <w:rsid w:val="00022DFE"/>
    <w:rsid w:val="0002308C"/>
    <w:rsid w:val="000248C7"/>
    <w:rsid w:val="00024C6D"/>
    <w:rsid w:val="000258A0"/>
    <w:rsid w:val="00026006"/>
    <w:rsid w:val="00026C29"/>
    <w:rsid w:val="00026DA0"/>
    <w:rsid w:val="00026F09"/>
    <w:rsid w:val="00031189"/>
    <w:rsid w:val="000319E2"/>
    <w:rsid w:val="00031AA0"/>
    <w:rsid w:val="000320F2"/>
    <w:rsid w:val="00033132"/>
    <w:rsid w:val="00034788"/>
    <w:rsid w:val="00034C4D"/>
    <w:rsid w:val="00035386"/>
    <w:rsid w:val="00036984"/>
    <w:rsid w:val="0003757F"/>
    <w:rsid w:val="0003764D"/>
    <w:rsid w:val="00037FE3"/>
    <w:rsid w:val="00041037"/>
    <w:rsid w:val="00041E62"/>
    <w:rsid w:val="0004373B"/>
    <w:rsid w:val="0004479F"/>
    <w:rsid w:val="00044D8C"/>
    <w:rsid w:val="000453D0"/>
    <w:rsid w:val="00045E66"/>
    <w:rsid w:val="00046216"/>
    <w:rsid w:val="00050520"/>
    <w:rsid w:val="00050664"/>
    <w:rsid w:val="00051826"/>
    <w:rsid w:val="00051EA8"/>
    <w:rsid w:val="00051F26"/>
    <w:rsid w:val="000534C2"/>
    <w:rsid w:val="0005423E"/>
    <w:rsid w:val="00055913"/>
    <w:rsid w:val="00056020"/>
    <w:rsid w:val="00056F89"/>
    <w:rsid w:val="000576C9"/>
    <w:rsid w:val="000579F9"/>
    <w:rsid w:val="00057DAD"/>
    <w:rsid w:val="00057E74"/>
    <w:rsid w:val="00057E8D"/>
    <w:rsid w:val="000601F0"/>
    <w:rsid w:val="00060287"/>
    <w:rsid w:val="00060567"/>
    <w:rsid w:val="0006071E"/>
    <w:rsid w:val="00060E85"/>
    <w:rsid w:val="00063AAF"/>
    <w:rsid w:val="00063C97"/>
    <w:rsid w:val="00064337"/>
    <w:rsid w:val="000643E7"/>
    <w:rsid w:val="00064F51"/>
    <w:rsid w:val="000656D9"/>
    <w:rsid w:val="00065E2E"/>
    <w:rsid w:val="0006631C"/>
    <w:rsid w:val="00066A91"/>
    <w:rsid w:val="00066C1A"/>
    <w:rsid w:val="00070781"/>
    <w:rsid w:val="000731B2"/>
    <w:rsid w:val="00073A1F"/>
    <w:rsid w:val="00074AB4"/>
    <w:rsid w:val="000756DB"/>
    <w:rsid w:val="00075D57"/>
    <w:rsid w:val="0007664D"/>
    <w:rsid w:val="000802E5"/>
    <w:rsid w:val="000804EF"/>
    <w:rsid w:val="0008060E"/>
    <w:rsid w:val="000813F8"/>
    <w:rsid w:val="00082BCD"/>
    <w:rsid w:val="000832E5"/>
    <w:rsid w:val="0008454B"/>
    <w:rsid w:val="00086191"/>
    <w:rsid w:val="00086D71"/>
    <w:rsid w:val="00086FC3"/>
    <w:rsid w:val="00087F1F"/>
    <w:rsid w:val="00090D8B"/>
    <w:rsid w:val="000918C7"/>
    <w:rsid w:val="00094006"/>
    <w:rsid w:val="0009439B"/>
    <w:rsid w:val="00094476"/>
    <w:rsid w:val="000967FA"/>
    <w:rsid w:val="00097203"/>
    <w:rsid w:val="000974E1"/>
    <w:rsid w:val="000978C5"/>
    <w:rsid w:val="000A0AA6"/>
    <w:rsid w:val="000A25C2"/>
    <w:rsid w:val="000A3005"/>
    <w:rsid w:val="000A3233"/>
    <w:rsid w:val="000A3ECD"/>
    <w:rsid w:val="000A4314"/>
    <w:rsid w:val="000A4731"/>
    <w:rsid w:val="000A564C"/>
    <w:rsid w:val="000A5FB1"/>
    <w:rsid w:val="000A6668"/>
    <w:rsid w:val="000A71D4"/>
    <w:rsid w:val="000A7903"/>
    <w:rsid w:val="000A7A62"/>
    <w:rsid w:val="000B042A"/>
    <w:rsid w:val="000B0DEF"/>
    <w:rsid w:val="000B1348"/>
    <w:rsid w:val="000B177D"/>
    <w:rsid w:val="000B1F6B"/>
    <w:rsid w:val="000B2B15"/>
    <w:rsid w:val="000B2F1D"/>
    <w:rsid w:val="000B3DBD"/>
    <w:rsid w:val="000B4DA5"/>
    <w:rsid w:val="000B4F0A"/>
    <w:rsid w:val="000B52D0"/>
    <w:rsid w:val="000B5DCB"/>
    <w:rsid w:val="000B67C1"/>
    <w:rsid w:val="000B684F"/>
    <w:rsid w:val="000C2287"/>
    <w:rsid w:val="000C2440"/>
    <w:rsid w:val="000C3800"/>
    <w:rsid w:val="000C40CB"/>
    <w:rsid w:val="000C42B6"/>
    <w:rsid w:val="000C55F5"/>
    <w:rsid w:val="000C56EC"/>
    <w:rsid w:val="000C61CF"/>
    <w:rsid w:val="000C790B"/>
    <w:rsid w:val="000D17F0"/>
    <w:rsid w:val="000D2D22"/>
    <w:rsid w:val="000D2FFA"/>
    <w:rsid w:val="000D3268"/>
    <w:rsid w:val="000D330D"/>
    <w:rsid w:val="000D33EF"/>
    <w:rsid w:val="000D40E2"/>
    <w:rsid w:val="000D4875"/>
    <w:rsid w:val="000D498D"/>
    <w:rsid w:val="000D5D3F"/>
    <w:rsid w:val="000D5F02"/>
    <w:rsid w:val="000D628D"/>
    <w:rsid w:val="000D7205"/>
    <w:rsid w:val="000D799F"/>
    <w:rsid w:val="000E0B98"/>
    <w:rsid w:val="000E20B1"/>
    <w:rsid w:val="000E22A5"/>
    <w:rsid w:val="000E2406"/>
    <w:rsid w:val="000E2AF3"/>
    <w:rsid w:val="000E2E9E"/>
    <w:rsid w:val="000E4D39"/>
    <w:rsid w:val="000E4EEA"/>
    <w:rsid w:val="000E507F"/>
    <w:rsid w:val="000E5AB2"/>
    <w:rsid w:val="000E750C"/>
    <w:rsid w:val="000E7919"/>
    <w:rsid w:val="000F00D6"/>
    <w:rsid w:val="000F0319"/>
    <w:rsid w:val="000F081D"/>
    <w:rsid w:val="000F0A81"/>
    <w:rsid w:val="000F0F9C"/>
    <w:rsid w:val="000F10C7"/>
    <w:rsid w:val="000F2EBE"/>
    <w:rsid w:val="000F31F8"/>
    <w:rsid w:val="000F39FE"/>
    <w:rsid w:val="000F4198"/>
    <w:rsid w:val="000F41C2"/>
    <w:rsid w:val="000F6E0D"/>
    <w:rsid w:val="0010192B"/>
    <w:rsid w:val="00102896"/>
    <w:rsid w:val="00104B7A"/>
    <w:rsid w:val="00105D19"/>
    <w:rsid w:val="001061F2"/>
    <w:rsid w:val="0010762B"/>
    <w:rsid w:val="00107AAC"/>
    <w:rsid w:val="00107E81"/>
    <w:rsid w:val="001104D5"/>
    <w:rsid w:val="00110FF9"/>
    <w:rsid w:val="00111557"/>
    <w:rsid w:val="0011241E"/>
    <w:rsid w:val="001125B4"/>
    <w:rsid w:val="00112817"/>
    <w:rsid w:val="00112BF3"/>
    <w:rsid w:val="0011343D"/>
    <w:rsid w:val="001136F0"/>
    <w:rsid w:val="0011392E"/>
    <w:rsid w:val="00115B58"/>
    <w:rsid w:val="00116677"/>
    <w:rsid w:val="001200DC"/>
    <w:rsid w:val="0012038C"/>
    <w:rsid w:val="00120FDE"/>
    <w:rsid w:val="00121A23"/>
    <w:rsid w:val="00121E6C"/>
    <w:rsid w:val="00123118"/>
    <w:rsid w:val="00124559"/>
    <w:rsid w:val="001245D0"/>
    <w:rsid w:val="001249B9"/>
    <w:rsid w:val="00124A5C"/>
    <w:rsid w:val="00124C87"/>
    <w:rsid w:val="00125C38"/>
    <w:rsid w:val="001275CC"/>
    <w:rsid w:val="001300B0"/>
    <w:rsid w:val="00130BFD"/>
    <w:rsid w:val="00130DD3"/>
    <w:rsid w:val="0013213F"/>
    <w:rsid w:val="001323D6"/>
    <w:rsid w:val="001369B9"/>
    <w:rsid w:val="00137A06"/>
    <w:rsid w:val="00140645"/>
    <w:rsid w:val="00140EBC"/>
    <w:rsid w:val="00141472"/>
    <w:rsid w:val="00142EC4"/>
    <w:rsid w:val="0014387D"/>
    <w:rsid w:val="001443B4"/>
    <w:rsid w:val="00144E82"/>
    <w:rsid w:val="00146246"/>
    <w:rsid w:val="0014723A"/>
    <w:rsid w:val="001476F6"/>
    <w:rsid w:val="0014793B"/>
    <w:rsid w:val="00147965"/>
    <w:rsid w:val="00150C8B"/>
    <w:rsid w:val="0015177D"/>
    <w:rsid w:val="00151F06"/>
    <w:rsid w:val="0015223C"/>
    <w:rsid w:val="001532D6"/>
    <w:rsid w:val="00154AA1"/>
    <w:rsid w:val="00155CB0"/>
    <w:rsid w:val="00157D94"/>
    <w:rsid w:val="00160E15"/>
    <w:rsid w:val="00161D21"/>
    <w:rsid w:val="001626E4"/>
    <w:rsid w:val="00162B9E"/>
    <w:rsid w:val="0016518A"/>
    <w:rsid w:val="001664E9"/>
    <w:rsid w:val="001703E3"/>
    <w:rsid w:val="00170675"/>
    <w:rsid w:val="00171174"/>
    <w:rsid w:val="00172839"/>
    <w:rsid w:val="00172A9A"/>
    <w:rsid w:val="00172F91"/>
    <w:rsid w:val="00173734"/>
    <w:rsid w:val="00173919"/>
    <w:rsid w:val="00174717"/>
    <w:rsid w:val="00174847"/>
    <w:rsid w:val="0017505D"/>
    <w:rsid w:val="001770E7"/>
    <w:rsid w:val="001776B2"/>
    <w:rsid w:val="001805FC"/>
    <w:rsid w:val="00181030"/>
    <w:rsid w:val="001811ED"/>
    <w:rsid w:val="0018185E"/>
    <w:rsid w:val="00182043"/>
    <w:rsid w:val="001820D7"/>
    <w:rsid w:val="00182E3C"/>
    <w:rsid w:val="00182E6C"/>
    <w:rsid w:val="00182E92"/>
    <w:rsid w:val="001839CB"/>
    <w:rsid w:val="00184268"/>
    <w:rsid w:val="00184A81"/>
    <w:rsid w:val="00184B5E"/>
    <w:rsid w:val="001850FC"/>
    <w:rsid w:val="00186EB5"/>
    <w:rsid w:val="00187DD3"/>
    <w:rsid w:val="00190AB5"/>
    <w:rsid w:val="00192A76"/>
    <w:rsid w:val="00192D62"/>
    <w:rsid w:val="0019364B"/>
    <w:rsid w:val="00193B12"/>
    <w:rsid w:val="00194039"/>
    <w:rsid w:val="00195069"/>
    <w:rsid w:val="0019553C"/>
    <w:rsid w:val="0019581F"/>
    <w:rsid w:val="00196446"/>
    <w:rsid w:val="001965DF"/>
    <w:rsid w:val="00196DA5"/>
    <w:rsid w:val="001973C9"/>
    <w:rsid w:val="001979DC"/>
    <w:rsid w:val="001A0CBF"/>
    <w:rsid w:val="001A15AC"/>
    <w:rsid w:val="001A1651"/>
    <w:rsid w:val="001A562A"/>
    <w:rsid w:val="001A5CB2"/>
    <w:rsid w:val="001A62ED"/>
    <w:rsid w:val="001A72C0"/>
    <w:rsid w:val="001B0571"/>
    <w:rsid w:val="001B0B41"/>
    <w:rsid w:val="001B1692"/>
    <w:rsid w:val="001B18DC"/>
    <w:rsid w:val="001B20B2"/>
    <w:rsid w:val="001B28A1"/>
    <w:rsid w:val="001B2D72"/>
    <w:rsid w:val="001B4173"/>
    <w:rsid w:val="001B644D"/>
    <w:rsid w:val="001B644E"/>
    <w:rsid w:val="001B6B90"/>
    <w:rsid w:val="001B71F7"/>
    <w:rsid w:val="001B7250"/>
    <w:rsid w:val="001B7A97"/>
    <w:rsid w:val="001B7BD3"/>
    <w:rsid w:val="001B7C15"/>
    <w:rsid w:val="001C00FE"/>
    <w:rsid w:val="001C0768"/>
    <w:rsid w:val="001C12F0"/>
    <w:rsid w:val="001C1A73"/>
    <w:rsid w:val="001C2C23"/>
    <w:rsid w:val="001C3392"/>
    <w:rsid w:val="001C33FC"/>
    <w:rsid w:val="001C3788"/>
    <w:rsid w:val="001C3791"/>
    <w:rsid w:val="001C4C8A"/>
    <w:rsid w:val="001C5064"/>
    <w:rsid w:val="001C507C"/>
    <w:rsid w:val="001C6AD2"/>
    <w:rsid w:val="001D02B6"/>
    <w:rsid w:val="001D07AE"/>
    <w:rsid w:val="001D0B3D"/>
    <w:rsid w:val="001D1B0F"/>
    <w:rsid w:val="001D5682"/>
    <w:rsid w:val="001D5DAE"/>
    <w:rsid w:val="001D6892"/>
    <w:rsid w:val="001E0634"/>
    <w:rsid w:val="001E0960"/>
    <w:rsid w:val="001E0DFF"/>
    <w:rsid w:val="001E1B02"/>
    <w:rsid w:val="001E2832"/>
    <w:rsid w:val="001E42F5"/>
    <w:rsid w:val="001E4824"/>
    <w:rsid w:val="001E4E7B"/>
    <w:rsid w:val="001E5606"/>
    <w:rsid w:val="001E568B"/>
    <w:rsid w:val="001E609A"/>
    <w:rsid w:val="001E647F"/>
    <w:rsid w:val="001E6CDD"/>
    <w:rsid w:val="001E7605"/>
    <w:rsid w:val="001F0F29"/>
    <w:rsid w:val="001F14AD"/>
    <w:rsid w:val="001F1E68"/>
    <w:rsid w:val="001F20FA"/>
    <w:rsid w:val="001F373E"/>
    <w:rsid w:val="001F3AA6"/>
    <w:rsid w:val="001F42EC"/>
    <w:rsid w:val="001F43D4"/>
    <w:rsid w:val="001F50EC"/>
    <w:rsid w:val="001F5AF2"/>
    <w:rsid w:val="002006B5"/>
    <w:rsid w:val="00201A33"/>
    <w:rsid w:val="00201D12"/>
    <w:rsid w:val="0020200C"/>
    <w:rsid w:val="00203996"/>
    <w:rsid w:val="00203C8A"/>
    <w:rsid w:val="002052B0"/>
    <w:rsid w:val="002066B7"/>
    <w:rsid w:val="00207849"/>
    <w:rsid w:val="00207F36"/>
    <w:rsid w:val="00210328"/>
    <w:rsid w:val="00210C28"/>
    <w:rsid w:val="0021145F"/>
    <w:rsid w:val="0021169C"/>
    <w:rsid w:val="00212375"/>
    <w:rsid w:val="00213788"/>
    <w:rsid w:val="002145B2"/>
    <w:rsid w:val="002146BA"/>
    <w:rsid w:val="00215AB1"/>
    <w:rsid w:val="0021764C"/>
    <w:rsid w:val="00217A90"/>
    <w:rsid w:val="00217C89"/>
    <w:rsid w:val="0022055D"/>
    <w:rsid w:val="0022095B"/>
    <w:rsid w:val="00220F1C"/>
    <w:rsid w:val="00221332"/>
    <w:rsid w:val="00222094"/>
    <w:rsid w:val="002221BC"/>
    <w:rsid w:val="002224F7"/>
    <w:rsid w:val="00223A01"/>
    <w:rsid w:val="00223D24"/>
    <w:rsid w:val="0022447E"/>
    <w:rsid w:val="0022461F"/>
    <w:rsid w:val="00225D68"/>
    <w:rsid w:val="0022621E"/>
    <w:rsid w:val="00226369"/>
    <w:rsid w:val="00226956"/>
    <w:rsid w:val="002271CA"/>
    <w:rsid w:val="002274CF"/>
    <w:rsid w:val="00227658"/>
    <w:rsid w:val="00227D2C"/>
    <w:rsid w:val="00227F21"/>
    <w:rsid w:val="002303BB"/>
    <w:rsid w:val="002309B3"/>
    <w:rsid w:val="00231E13"/>
    <w:rsid w:val="00232329"/>
    <w:rsid w:val="00232354"/>
    <w:rsid w:val="00233977"/>
    <w:rsid w:val="00233BC0"/>
    <w:rsid w:val="00234173"/>
    <w:rsid w:val="00235E1E"/>
    <w:rsid w:val="00240734"/>
    <w:rsid w:val="00240E9E"/>
    <w:rsid w:val="0024155A"/>
    <w:rsid w:val="00241798"/>
    <w:rsid w:val="002421D3"/>
    <w:rsid w:val="002421E5"/>
    <w:rsid w:val="0024308C"/>
    <w:rsid w:val="002432A9"/>
    <w:rsid w:val="002434F7"/>
    <w:rsid w:val="00243924"/>
    <w:rsid w:val="002446BC"/>
    <w:rsid w:val="00244B10"/>
    <w:rsid w:val="00244BB7"/>
    <w:rsid w:val="00245493"/>
    <w:rsid w:val="0024552E"/>
    <w:rsid w:val="00245A0A"/>
    <w:rsid w:val="00245C46"/>
    <w:rsid w:val="00246946"/>
    <w:rsid w:val="00246A83"/>
    <w:rsid w:val="00246C4C"/>
    <w:rsid w:val="00246D47"/>
    <w:rsid w:val="002472BC"/>
    <w:rsid w:val="002511C3"/>
    <w:rsid w:val="00251D10"/>
    <w:rsid w:val="00253BCE"/>
    <w:rsid w:val="00254817"/>
    <w:rsid w:val="00255070"/>
    <w:rsid w:val="00255C67"/>
    <w:rsid w:val="0025627E"/>
    <w:rsid w:val="00257896"/>
    <w:rsid w:val="00262B17"/>
    <w:rsid w:val="00262FDD"/>
    <w:rsid w:val="00263062"/>
    <w:rsid w:val="00263298"/>
    <w:rsid w:val="00263E40"/>
    <w:rsid w:val="00264871"/>
    <w:rsid w:val="002649F5"/>
    <w:rsid w:val="00265192"/>
    <w:rsid w:val="00266DC8"/>
    <w:rsid w:val="002671A3"/>
    <w:rsid w:val="00267BCA"/>
    <w:rsid w:val="0027019D"/>
    <w:rsid w:val="00270FA7"/>
    <w:rsid w:val="002712EF"/>
    <w:rsid w:val="00272E94"/>
    <w:rsid w:val="00274E2B"/>
    <w:rsid w:val="0027504D"/>
    <w:rsid w:val="00276D2A"/>
    <w:rsid w:val="00280085"/>
    <w:rsid w:val="002809F3"/>
    <w:rsid w:val="00280B8E"/>
    <w:rsid w:val="00280EF1"/>
    <w:rsid w:val="002813FF"/>
    <w:rsid w:val="0028152C"/>
    <w:rsid w:val="0028157F"/>
    <w:rsid w:val="0028225F"/>
    <w:rsid w:val="002832F4"/>
    <w:rsid w:val="0028502C"/>
    <w:rsid w:val="00285878"/>
    <w:rsid w:val="00285A62"/>
    <w:rsid w:val="002872A3"/>
    <w:rsid w:val="002873EE"/>
    <w:rsid w:val="0028775F"/>
    <w:rsid w:val="0029028B"/>
    <w:rsid w:val="002904B7"/>
    <w:rsid w:val="0029068B"/>
    <w:rsid w:val="00290752"/>
    <w:rsid w:val="00290AEE"/>
    <w:rsid w:val="00291F7B"/>
    <w:rsid w:val="00293143"/>
    <w:rsid w:val="00293320"/>
    <w:rsid w:val="00294058"/>
    <w:rsid w:val="00294245"/>
    <w:rsid w:val="00294DE8"/>
    <w:rsid w:val="00295B1A"/>
    <w:rsid w:val="00297536"/>
    <w:rsid w:val="002A0596"/>
    <w:rsid w:val="002A18C9"/>
    <w:rsid w:val="002A1D6E"/>
    <w:rsid w:val="002A1F53"/>
    <w:rsid w:val="002A21D3"/>
    <w:rsid w:val="002A28AC"/>
    <w:rsid w:val="002A2B1F"/>
    <w:rsid w:val="002A3283"/>
    <w:rsid w:val="002A50DD"/>
    <w:rsid w:val="002A5322"/>
    <w:rsid w:val="002A565B"/>
    <w:rsid w:val="002A6992"/>
    <w:rsid w:val="002A71D5"/>
    <w:rsid w:val="002A7E6F"/>
    <w:rsid w:val="002B0EAC"/>
    <w:rsid w:val="002B2372"/>
    <w:rsid w:val="002B3521"/>
    <w:rsid w:val="002B367C"/>
    <w:rsid w:val="002B3A83"/>
    <w:rsid w:val="002B6397"/>
    <w:rsid w:val="002B69EF"/>
    <w:rsid w:val="002B7077"/>
    <w:rsid w:val="002C1246"/>
    <w:rsid w:val="002C1378"/>
    <w:rsid w:val="002C1B36"/>
    <w:rsid w:val="002C21BB"/>
    <w:rsid w:val="002C29E9"/>
    <w:rsid w:val="002C2DF2"/>
    <w:rsid w:val="002C3237"/>
    <w:rsid w:val="002C3465"/>
    <w:rsid w:val="002C451A"/>
    <w:rsid w:val="002C5558"/>
    <w:rsid w:val="002C556A"/>
    <w:rsid w:val="002C783F"/>
    <w:rsid w:val="002C78A6"/>
    <w:rsid w:val="002D18A1"/>
    <w:rsid w:val="002D1ACE"/>
    <w:rsid w:val="002D1EDB"/>
    <w:rsid w:val="002D43C5"/>
    <w:rsid w:val="002D6C44"/>
    <w:rsid w:val="002D6F59"/>
    <w:rsid w:val="002D72D7"/>
    <w:rsid w:val="002E0595"/>
    <w:rsid w:val="002E0CC2"/>
    <w:rsid w:val="002E1BD7"/>
    <w:rsid w:val="002E2E64"/>
    <w:rsid w:val="002E39E0"/>
    <w:rsid w:val="002E3A0C"/>
    <w:rsid w:val="002E3D55"/>
    <w:rsid w:val="002E54A8"/>
    <w:rsid w:val="002E61A1"/>
    <w:rsid w:val="002E63FA"/>
    <w:rsid w:val="002E6F8A"/>
    <w:rsid w:val="002E7B6F"/>
    <w:rsid w:val="002E7EE0"/>
    <w:rsid w:val="002F0302"/>
    <w:rsid w:val="002F0C47"/>
    <w:rsid w:val="002F16B2"/>
    <w:rsid w:val="002F1D4B"/>
    <w:rsid w:val="002F242B"/>
    <w:rsid w:val="002F2A03"/>
    <w:rsid w:val="002F2A3A"/>
    <w:rsid w:val="002F2FEF"/>
    <w:rsid w:val="002F45B0"/>
    <w:rsid w:val="002F4A68"/>
    <w:rsid w:val="002F4DB4"/>
    <w:rsid w:val="002F4E76"/>
    <w:rsid w:val="002F51A9"/>
    <w:rsid w:val="002F5668"/>
    <w:rsid w:val="002F664A"/>
    <w:rsid w:val="002F741F"/>
    <w:rsid w:val="002F752E"/>
    <w:rsid w:val="002F792F"/>
    <w:rsid w:val="002F79FD"/>
    <w:rsid w:val="00300445"/>
    <w:rsid w:val="003008A8"/>
    <w:rsid w:val="00300972"/>
    <w:rsid w:val="00300AE5"/>
    <w:rsid w:val="00301367"/>
    <w:rsid w:val="003016D4"/>
    <w:rsid w:val="00301C22"/>
    <w:rsid w:val="00302131"/>
    <w:rsid w:val="00302791"/>
    <w:rsid w:val="003035AA"/>
    <w:rsid w:val="00306EFA"/>
    <w:rsid w:val="00306F40"/>
    <w:rsid w:val="00307C67"/>
    <w:rsid w:val="0031117B"/>
    <w:rsid w:val="00311587"/>
    <w:rsid w:val="003127F8"/>
    <w:rsid w:val="003131EF"/>
    <w:rsid w:val="003147B5"/>
    <w:rsid w:val="00315D4E"/>
    <w:rsid w:val="00316063"/>
    <w:rsid w:val="003163E6"/>
    <w:rsid w:val="00316D4C"/>
    <w:rsid w:val="00316D93"/>
    <w:rsid w:val="00317E9F"/>
    <w:rsid w:val="003212E4"/>
    <w:rsid w:val="00321884"/>
    <w:rsid w:val="003220B2"/>
    <w:rsid w:val="00322BC3"/>
    <w:rsid w:val="00322CCD"/>
    <w:rsid w:val="0032370C"/>
    <w:rsid w:val="003257CA"/>
    <w:rsid w:val="0032598E"/>
    <w:rsid w:val="003264FA"/>
    <w:rsid w:val="00327822"/>
    <w:rsid w:val="00330E4C"/>
    <w:rsid w:val="00331053"/>
    <w:rsid w:val="00331757"/>
    <w:rsid w:val="0033258A"/>
    <w:rsid w:val="00332AE5"/>
    <w:rsid w:val="00332C68"/>
    <w:rsid w:val="00333374"/>
    <w:rsid w:val="00333A4F"/>
    <w:rsid w:val="00334542"/>
    <w:rsid w:val="00335540"/>
    <w:rsid w:val="003359A5"/>
    <w:rsid w:val="003364E4"/>
    <w:rsid w:val="00337D5F"/>
    <w:rsid w:val="00340AA4"/>
    <w:rsid w:val="003420D0"/>
    <w:rsid w:val="00343288"/>
    <w:rsid w:val="00344BE5"/>
    <w:rsid w:val="00345494"/>
    <w:rsid w:val="003471DE"/>
    <w:rsid w:val="0034760F"/>
    <w:rsid w:val="00350078"/>
    <w:rsid w:val="003511C9"/>
    <w:rsid w:val="00351252"/>
    <w:rsid w:val="0035186D"/>
    <w:rsid w:val="00351CAC"/>
    <w:rsid w:val="00352093"/>
    <w:rsid w:val="00352B83"/>
    <w:rsid w:val="00352BCF"/>
    <w:rsid w:val="00354E4F"/>
    <w:rsid w:val="00357938"/>
    <w:rsid w:val="0036125F"/>
    <w:rsid w:val="00361374"/>
    <w:rsid w:val="00361600"/>
    <w:rsid w:val="00363A18"/>
    <w:rsid w:val="00363DF6"/>
    <w:rsid w:val="0036458C"/>
    <w:rsid w:val="00364922"/>
    <w:rsid w:val="00365136"/>
    <w:rsid w:val="00367C7C"/>
    <w:rsid w:val="00370D33"/>
    <w:rsid w:val="00370F67"/>
    <w:rsid w:val="00371E2D"/>
    <w:rsid w:val="003755DE"/>
    <w:rsid w:val="00376691"/>
    <w:rsid w:val="00376869"/>
    <w:rsid w:val="0037746A"/>
    <w:rsid w:val="00377DAC"/>
    <w:rsid w:val="00380305"/>
    <w:rsid w:val="00380E0E"/>
    <w:rsid w:val="00380FB2"/>
    <w:rsid w:val="00381627"/>
    <w:rsid w:val="00381C9D"/>
    <w:rsid w:val="00382276"/>
    <w:rsid w:val="00384323"/>
    <w:rsid w:val="00385DB8"/>
    <w:rsid w:val="00386D08"/>
    <w:rsid w:val="0038719F"/>
    <w:rsid w:val="003875F8"/>
    <w:rsid w:val="0039016F"/>
    <w:rsid w:val="00390A97"/>
    <w:rsid w:val="00390B03"/>
    <w:rsid w:val="00390C41"/>
    <w:rsid w:val="00392E0D"/>
    <w:rsid w:val="00393425"/>
    <w:rsid w:val="003939A2"/>
    <w:rsid w:val="0039749E"/>
    <w:rsid w:val="003A080E"/>
    <w:rsid w:val="003A142D"/>
    <w:rsid w:val="003A34AE"/>
    <w:rsid w:val="003A4CFF"/>
    <w:rsid w:val="003A519E"/>
    <w:rsid w:val="003A6158"/>
    <w:rsid w:val="003A644D"/>
    <w:rsid w:val="003A65F5"/>
    <w:rsid w:val="003A72A8"/>
    <w:rsid w:val="003A7E4B"/>
    <w:rsid w:val="003B0392"/>
    <w:rsid w:val="003B114C"/>
    <w:rsid w:val="003B1BA8"/>
    <w:rsid w:val="003B2709"/>
    <w:rsid w:val="003B3B3C"/>
    <w:rsid w:val="003B3DB9"/>
    <w:rsid w:val="003B3DBD"/>
    <w:rsid w:val="003B4E23"/>
    <w:rsid w:val="003B4FE4"/>
    <w:rsid w:val="003B696C"/>
    <w:rsid w:val="003B7386"/>
    <w:rsid w:val="003B777A"/>
    <w:rsid w:val="003B77A2"/>
    <w:rsid w:val="003B7E53"/>
    <w:rsid w:val="003C0008"/>
    <w:rsid w:val="003C1829"/>
    <w:rsid w:val="003C1E61"/>
    <w:rsid w:val="003C32EE"/>
    <w:rsid w:val="003C452F"/>
    <w:rsid w:val="003C50D3"/>
    <w:rsid w:val="003C5301"/>
    <w:rsid w:val="003C5B3A"/>
    <w:rsid w:val="003C7277"/>
    <w:rsid w:val="003D1449"/>
    <w:rsid w:val="003D1FE2"/>
    <w:rsid w:val="003D2ADC"/>
    <w:rsid w:val="003D2F95"/>
    <w:rsid w:val="003D66C9"/>
    <w:rsid w:val="003D7C75"/>
    <w:rsid w:val="003E0AF3"/>
    <w:rsid w:val="003E1765"/>
    <w:rsid w:val="003E2080"/>
    <w:rsid w:val="003E2126"/>
    <w:rsid w:val="003E2512"/>
    <w:rsid w:val="003E284A"/>
    <w:rsid w:val="003E2DCB"/>
    <w:rsid w:val="003E3108"/>
    <w:rsid w:val="003E352A"/>
    <w:rsid w:val="003E49CC"/>
    <w:rsid w:val="003E586E"/>
    <w:rsid w:val="003E5AEF"/>
    <w:rsid w:val="003E6641"/>
    <w:rsid w:val="003E7BF9"/>
    <w:rsid w:val="003F1692"/>
    <w:rsid w:val="003F1765"/>
    <w:rsid w:val="003F1E9B"/>
    <w:rsid w:val="003F2105"/>
    <w:rsid w:val="003F4B3D"/>
    <w:rsid w:val="003F58A1"/>
    <w:rsid w:val="003F61C0"/>
    <w:rsid w:val="003F6440"/>
    <w:rsid w:val="003F7321"/>
    <w:rsid w:val="003F7B94"/>
    <w:rsid w:val="003F7EF1"/>
    <w:rsid w:val="00400290"/>
    <w:rsid w:val="00400EFB"/>
    <w:rsid w:val="0040186F"/>
    <w:rsid w:val="00402812"/>
    <w:rsid w:val="004040B2"/>
    <w:rsid w:val="00404E41"/>
    <w:rsid w:val="00405696"/>
    <w:rsid w:val="00405C28"/>
    <w:rsid w:val="0040635E"/>
    <w:rsid w:val="00406529"/>
    <w:rsid w:val="0040665C"/>
    <w:rsid w:val="00406C4A"/>
    <w:rsid w:val="004077A2"/>
    <w:rsid w:val="00407A73"/>
    <w:rsid w:val="00407EE0"/>
    <w:rsid w:val="004124C8"/>
    <w:rsid w:val="00412A81"/>
    <w:rsid w:val="00412EE5"/>
    <w:rsid w:val="00413753"/>
    <w:rsid w:val="00413E2C"/>
    <w:rsid w:val="00414EAF"/>
    <w:rsid w:val="004151B9"/>
    <w:rsid w:val="004161F3"/>
    <w:rsid w:val="004162E1"/>
    <w:rsid w:val="0041655B"/>
    <w:rsid w:val="00416635"/>
    <w:rsid w:val="00416E1B"/>
    <w:rsid w:val="00417472"/>
    <w:rsid w:val="004174D9"/>
    <w:rsid w:val="00417DF0"/>
    <w:rsid w:val="00420105"/>
    <w:rsid w:val="00420130"/>
    <w:rsid w:val="0042054D"/>
    <w:rsid w:val="004209C2"/>
    <w:rsid w:val="004218F0"/>
    <w:rsid w:val="00422053"/>
    <w:rsid w:val="00423469"/>
    <w:rsid w:val="00423A37"/>
    <w:rsid w:val="00423DA5"/>
    <w:rsid w:val="00424C9B"/>
    <w:rsid w:val="004253BD"/>
    <w:rsid w:val="004256A2"/>
    <w:rsid w:val="00426441"/>
    <w:rsid w:val="004266B3"/>
    <w:rsid w:val="00430D5F"/>
    <w:rsid w:val="00431C79"/>
    <w:rsid w:val="00432571"/>
    <w:rsid w:val="004327A6"/>
    <w:rsid w:val="004329FD"/>
    <w:rsid w:val="004336C2"/>
    <w:rsid w:val="00433AE2"/>
    <w:rsid w:val="00434140"/>
    <w:rsid w:val="0043458D"/>
    <w:rsid w:val="00435726"/>
    <w:rsid w:val="00435DA0"/>
    <w:rsid w:val="00436098"/>
    <w:rsid w:val="00436219"/>
    <w:rsid w:val="00436451"/>
    <w:rsid w:val="00436C5C"/>
    <w:rsid w:val="00437A5C"/>
    <w:rsid w:val="0044020E"/>
    <w:rsid w:val="00440D39"/>
    <w:rsid w:val="00440E4A"/>
    <w:rsid w:val="00441379"/>
    <w:rsid w:val="00442227"/>
    <w:rsid w:val="004428F7"/>
    <w:rsid w:val="00442D45"/>
    <w:rsid w:val="0044341E"/>
    <w:rsid w:val="00444507"/>
    <w:rsid w:val="00444584"/>
    <w:rsid w:val="0044505A"/>
    <w:rsid w:val="00447D2C"/>
    <w:rsid w:val="00450037"/>
    <w:rsid w:val="00450192"/>
    <w:rsid w:val="004503EC"/>
    <w:rsid w:val="00452413"/>
    <w:rsid w:val="00452C13"/>
    <w:rsid w:val="004536DD"/>
    <w:rsid w:val="00453F57"/>
    <w:rsid w:val="00453F60"/>
    <w:rsid w:val="0045499B"/>
    <w:rsid w:val="00455FA9"/>
    <w:rsid w:val="00455FFE"/>
    <w:rsid w:val="00456571"/>
    <w:rsid w:val="004623C5"/>
    <w:rsid w:val="00462A1E"/>
    <w:rsid w:val="00463E97"/>
    <w:rsid w:val="00463EB5"/>
    <w:rsid w:val="004644E2"/>
    <w:rsid w:val="00465B59"/>
    <w:rsid w:val="004661E6"/>
    <w:rsid w:val="004666C5"/>
    <w:rsid w:val="00466D42"/>
    <w:rsid w:val="004670B9"/>
    <w:rsid w:val="004672F3"/>
    <w:rsid w:val="004713DC"/>
    <w:rsid w:val="00471FE4"/>
    <w:rsid w:val="004721E8"/>
    <w:rsid w:val="004725DE"/>
    <w:rsid w:val="00472D83"/>
    <w:rsid w:val="00472E41"/>
    <w:rsid w:val="004745F3"/>
    <w:rsid w:val="004748B6"/>
    <w:rsid w:val="00475CF2"/>
    <w:rsid w:val="00475D2A"/>
    <w:rsid w:val="00476141"/>
    <w:rsid w:val="00476751"/>
    <w:rsid w:val="00476C74"/>
    <w:rsid w:val="00477234"/>
    <w:rsid w:val="00477BB5"/>
    <w:rsid w:val="00477FE3"/>
    <w:rsid w:val="004803D4"/>
    <w:rsid w:val="00480922"/>
    <w:rsid w:val="004819E9"/>
    <w:rsid w:val="00482365"/>
    <w:rsid w:val="0048335A"/>
    <w:rsid w:val="00484B84"/>
    <w:rsid w:val="00486B12"/>
    <w:rsid w:val="00487B34"/>
    <w:rsid w:val="00487DE3"/>
    <w:rsid w:val="00487EBD"/>
    <w:rsid w:val="0049011E"/>
    <w:rsid w:val="00491433"/>
    <w:rsid w:val="00491D36"/>
    <w:rsid w:val="00492426"/>
    <w:rsid w:val="004938A3"/>
    <w:rsid w:val="00494072"/>
    <w:rsid w:val="004964A3"/>
    <w:rsid w:val="00496AFA"/>
    <w:rsid w:val="00496ED4"/>
    <w:rsid w:val="004971E4"/>
    <w:rsid w:val="004A26A9"/>
    <w:rsid w:val="004A37E5"/>
    <w:rsid w:val="004A3E2E"/>
    <w:rsid w:val="004A49CD"/>
    <w:rsid w:val="004A5723"/>
    <w:rsid w:val="004B0095"/>
    <w:rsid w:val="004B117E"/>
    <w:rsid w:val="004B4B69"/>
    <w:rsid w:val="004B4EA7"/>
    <w:rsid w:val="004B5B4A"/>
    <w:rsid w:val="004B644E"/>
    <w:rsid w:val="004B6478"/>
    <w:rsid w:val="004B7001"/>
    <w:rsid w:val="004C106B"/>
    <w:rsid w:val="004C1309"/>
    <w:rsid w:val="004C144E"/>
    <w:rsid w:val="004C15B9"/>
    <w:rsid w:val="004C1A87"/>
    <w:rsid w:val="004C5267"/>
    <w:rsid w:val="004C5AFE"/>
    <w:rsid w:val="004C5C73"/>
    <w:rsid w:val="004C6665"/>
    <w:rsid w:val="004C6902"/>
    <w:rsid w:val="004C6CD3"/>
    <w:rsid w:val="004C70D4"/>
    <w:rsid w:val="004C717D"/>
    <w:rsid w:val="004C76D3"/>
    <w:rsid w:val="004D0C59"/>
    <w:rsid w:val="004D10D1"/>
    <w:rsid w:val="004D2153"/>
    <w:rsid w:val="004D218A"/>
    <w:rsid w:val="004D256F"/>
    <w:rsid w:val="004D2FA6"/>
    <w:rsid w:val="004D3825"/>
    <w:rsid w:val="004D5488"/>
    <w:rsid w:val="004D59F3"/>
    <w:rsid w:val="004D5D5E"/>
    <w:rsid w:val="004D5EC5"/>
    <w:rsid w:val="004E1067"/>
    <w:rsid w:val="004E44B3"/>
    <w:rsid w:val="004E5962"/>
    <w:rsid w:val="004E631D"/>
    <w:rsid w:val="004E76B0"/>
    <w:rsid w:val="004F0122"/>
    <w:rsid w:val="004F17F7"/>
    <w:rsid w:val="004F2FAE"/>
    <w:rsid w:val="004F36EA"/>
    <w:rsid w:val="004F3E5F"/>
    <w:rsid w:val="004F482C"/>
    <w:rsid w:val="004F5362"/>
    <w:rsid w:val="004F69EC"/>
    <w:rsid w:val="00500012"/>
    <w:rsid w:val="005014EB"/>
    <w:rsid w:val="0050202E"/>
    <w:rsid w:val="00502384"/>
    <w:rsid w:val="00502DD0"/>
    <w:rsid w:val="00505771"/>
    <w:rsid w:val="00505FCA"/>
    <w:rsid w:val="00506408"/>
    <w:rsid w:val="00507791"/>
    <w:rsid w:val="0051047C"/>
    <w:rsid w:val="00510C44"/>
    <w:rsid w:val="00511035"/>
    <w:rsid w:val="00511614"/>
    <w:rsid w:val="00511D92"/>
    <w:rsid w:val="00511EAF"/>
    <w:rsid w:val="00512AE5"/>
    <w:rsid w:val="00513501"/>
    <w:rsid w:val="00513892"/>
    <w:rsid w:val="0051438E"/>
    <w:rsid w:val="0051440C"/>
    <w:rsid w:val="0051513B"/>
    <w:rsid w:val="00515B4D"/>
    <w:rsid w:val="0051672A"/>
    <w:rsid w:val="00517E97"/>
    <w:rsid w:val="00521933"/>
    <w:rsid w:val="00521B8B"/>
    <w:rsid w:val="00524EF5"/>
    <w:rsid w:val="0052549C"/>
    <w:rsid w:val="005260DE"/>
    <w:rsid w:val="005276E4"/>
    <w:rsid w:val="005307A0"/>
    <w:rsid w:val="005307C1"/>
    <w:rsid w:val="005313CA"/>
    <w:rsid w:val="00531C0C"/>
    <w:rsid w:val="0053278D"/>
    <w:rsid w:val="00532D74"/>
    <w:rsid w:val="00532EC6"/>
    <w:rsid w:val="00533D80"/>
    <w:rsid w:val="005352DD"/>
    <w:rsid w:val="00535441"/>
    <w:rsid w:val="0053585B"/>
    <w:rsid w:val="00535884"/>
    <w:rsid w:val="00536297"/>
    <w:rsid w:val="00536929"/>
    <w:rsid w:val="00536C4B"/>
    <w:rsid w:val="00537B4E"/>
    <w:rsid w:val="00540465"/>
    <w:rsid w:val="005406BD"/>
    <w:rsid w:val="005413E2"/>
    <w:rsid w:val="0054369B"/>
    <w:rsid w:val="005442FE"/>
    <w:rsid w:val="00544C4E"/>
    <w:rsid w:val="00544F28"/>
    <w:rsid w:val="00545D05"/>
    <w:rsid w:val="005463B9"/>
    <w:rsid w:val="005475E1"/>
    <w:rsid w:val="00547E30"/>
    <w:rsid w:val="0055086C"/>
    <w:rsid w:val="005512D8"/>
    <w:rsid w:val="00551CC2"/>
    <w:rsid w:val="00551DF0"/>
    <w:rsid w:val="00552CF9"/>
    <w:rsid w:val="00552E05"/>
    <w:rsid w:val="005532DA"/>
    <w:rsid w:val="0055370A"/>
    <w:rsid w:val="00553BD2"/>
    <w:rsid w:val="00553F9E"/>
    <w:rsid w:val="00554B06"/>
    <w:rsid w:val="00554EB4"/>
    <w:rsid w:val="005556A2"/>
    <w:rsid w:val="00555A01"/>
    <w:rsid w:val="005562B9"/>
    <w:rsid w:val="00556392"/>
    <w:rsid w:val="005576ED"/>
    <w:rsid w:val="00561783"/>
    <w:rsid w:val="00562634"/>
    <w:rsid w:val="0056347E"/>
    <w:rsid w:val="00565516"/>
    <w:rsid w:val="00565635"/>
    <w:rsid w:val="005666B2"/>
    <w:rsid w:val="00571ACA"/>
    <w:rsid w:val="00571D4D"/>
    <w:rsid w:val="00572739"/>
    <w:rsid w:val="00572CF8"/>
    <w:rsid w:val="00572DD1"/>
    <w:rsid w:val="00573401"/>
    <w:rsid w:val="00574D0C"/>
    <w:rsid w:val="00574D2B"/>
    <w:rsid w:val="00577C66"/>
    <w:rsid w:val="00577D0B"/>
    <w:rsid w:val="00577E76"/>
    <w:rsid w:val="005809E1"/>
    <w:rsid w:val="00581D35"/>
    <w:rsid w:val="00582964"/>
    <w:rsid w:val="00582C28"/>
    <w:rsid w:val="00582FE2"/>
    <w:rsid w:val="00583629"/>
    <w:rsid w:val="00584B16"/>
    <w:rsid w:val="00584EB7"/>
    <w:rsid w:val="00584F3F"/>
    <w:rsid w:val="005852F3"/>
    <w:rsid w:val="00585EE7"/>
    <w:rsid w:val="0058653A"/>
    <w:rsid w:val="00586C23"/>
    <w:rsid w:val="00587480"/>
    <w:rsid w:val="00590356"/>
    <w:rsid w:val="00590566"/>
    <w:rsid w:val="005907A7"/>
    <w:rsid w:val="0059193A"/>
    <w:rsid w:val="00591974"/>
    <w:rsid w:val="00591E47"/>
    <w:rsid w:val="00592607"/>
    <w:rsid w:val="00592C74"/>
    <w:rsid w:val="00594537"/>
    <w:rsid w:val="00595477"/>
    <w:rsid w:val="00595849"/>
    <w:rsid w:val="0059655E"/>
    <w:rsid w:val="005973A0"/>
    <w:rsid w:val="005A0240"/>
    <w:rsid w:val="005A0814"/>
    <w:rsid w:val="005A0B91"/>
    <w:rsid w:val="005A1C75"/>
    <w:rsid w:val="005A2334"/>
    <w:rsid w:val="005A4228"/>
    <w:rsid w:val="005A42F5"/>
    <w:rsid w:val="005A5DE4"/>
    <w:rsid w:val="005A63A1"/>
    <w:rsid w:val="005A6EA9"/>
    <w:rsid w:val="005A701C"/>
    <w:rsid w:val="005B22C1"/>
    <w:rsid w:val="005B29AD"/>
    <w:rsid w:val="005B3A22"/>
    <w:rsid w:val="005B3B94"/>
    <w:rsid w:val="005B42FE"/>
    <w:rsid w:val="005B5048"/>
    <w:rsid w:val="005B52E3"/>
    <w:rsid w:val="005B5536"/>
    <w:rsid w:val="005B6113"/>
    <w:rsid w:val="005B63B2"/>
    <w:rsid w:val="005B7033"/>
    <w:rsid w:val="005C1604"/>
    <w:rsid w:val="005C3445"/>
    <w:rsid w:val="005C36B4"/>
    <w:rsid w:val="005C6DDF"/>
    <w:rsid w:val="005D0DD6"/>
    <w:rsid w:val="005D0E61"/>
    <w:rsid w:val="005D16B2"/>
    <w:rsid w:val="005D1FCA"/>
    <w:rsid w:val="005D2107"/>
    <w:rsid w:val="005D265B"/>
    <w:rsid w:val="005D3CF0"/>
    <w:rsid w:val="005D47C9"/>
    <w:rsid w:val="005D47EC"/>
    <w:rsid w:val="005D486F"/>
    <w:rsid w:val="005D4CA5"/>
    <w:rsid w:val="005D6018"/>
    <w:rsid w:val="005D7C25"/>
    <w:rsid w:val="005D7DC8"/>
    <w:rsid w:val="005E017E"/>
    <w:rsid w:val="005E0539"/>
    <w:rsid w:val="005E0910"/>
    <w:rsid w:val="005E1405"/>
    <w:rsid w:val="005E25FE"/>
    <w:rsid w:val="005E3A95"/>
    <w:rsid w:val="005E4601"/>
    <w:rsid w:val="005E5E72"/>
    <w:rsid w:val="005E6ED8"/>
    <w:rsid w:val="005E7300"/>
    <w:rsid w:val="005E736A"/>
    <w:rsid w:val="005F1723"/>
    <w:rsid w:val="005F187D"/>
    <w:rsid w:val="005F1DF4"/>
    <w:rsid w:val="005F253E"/>
    <w:rsid w:val="005F27EF"/>
    <w:rsid w:val="005F5A87"/>
    <w:rsid w:val="005F60DB"/>
    <w:rsid w:val="005F7B34"/>
    <w:rsid w:val="005F7B8E"/>
    <w:rsid w:val="006006CF"/>
    <w:rsid w:val="006016D9"/>
    <w:rsid w:val="00602E88"/>
    <w:rsid w:val="00604125"/>
    <w:rsid w:val="006056B6"/>
    <w:rsid w:val="00605ADC"/>
    <w:rsid w:val="00606986"/>
    <w:rsid w:val="00606ADD"/>
    <w:rsid w:val="006102C4"/>
    <w:rsid w:val="00610DA3"/>
    <w:rsid w:val="0061118A"/>
    <w:rsid w:val="00612191"/>
    <w:rsid w:val="006122E1"/>
    <w:rsid w:val="006131FF"/>
    <w:rsid w:val="006132AD"/>
    <w:rsid w:val="006147BE"/>
    <w:rsid w:val="006161F8"/>
    <w:rsid w:val="00616491"/>
    <w:rsid w:val="006167AC"/>
    <w:rsid w:val="00617EAE"/>
    <w:rsid w:val="006236A5"/>
    <w:rsid w:val="00623B24"/>
    <w:rsid w:val="00623C52"/>
    <w:rsid w:val="00623E9F"/>
    <w:rsid w:val="00623F8F"/>
    <w:rsid w:val="00623FA5"/>
    <w:rsid w:val="0062440A"/>
    <w:rsid w:val="0062512C"/>
    <w:rsid w:val="006251CD"/>
    <w:rsid w:val="00631143"/>
    <w:rsid w:val="00632E67"/>
    <w:rsid w:val="00633F19"/>
    <w:rsid w:val="0063445A"/>
    <w:rsid w:val="00635812"/>
    <w:rsid w:val="0063711F"/>
    <w:rsid w:val="0063730D"/>
    <w:rsid w:val="006376CC"/>
    <w:rsid w:val="00637DBE"/>
    <w:rsid w:val="00641007"/>
    <w:rsid w:val="006417F9"/>
    <w:rsid w:val="00642695"/>
    <w:rsid w:val="00642B0B"/>
    <w:rsid w:val="00642C1E"/>
    <w:rsid w:val="0064386E"/>
    <w:rsid w:val="006448E4"/>
    <w:rsid w:val="00644F3B"/>
    <w:rsid w:val="00645C7C"/>
    <w:rsid w:val="0064647A"/>
    <w:rsid w:val="0064667D"/>
    <w:rsid w:val="00646996"/>
    <w:rsid w:val="00646D73"/>
    <w:rsid w:val="006473E8"/>
    <w:rsid w:val="006500CC"/>
    <w:rsid w:val="00650DE5"/>
    <w:rsid w:val="0065130D"/>
    <w:rsid w:val="00651CEB"/>
    <w:rsid w:val="00652BBE"/>
    <w:rsid w:val="00653027"/>
    <w:rsid w:val="006535C8"/>
    <w:rsid w:val="00654106"/>
    <w:rsid w:val="0065413D"/>
    <w:rsid w:val="006542A5"/>
    <w:rsid w:val="00654835"/>
    <w:rsid w:val="0065495D"/>
    <w:rsid w:val="00655966"/>
    <w:rsid w:val="00655C84"/>
    <w:rsid w:val="006574AB"/>
    <w:rsid w:val="0065787C"/>
    <w:rsid w:val="00660FF9"/>
    <w:rsid w:val="00661D2B"/>
    <w:rsid w:val="00662A93"/>
    <w:rsid w:val="00662B72"/>
    <w:rsid w:val="00662D61"/>
    <w:rsid w:val="0066343C"/>
    <w:rsid w:val="00663995"/>
    <w:rsid w:val="00663ADA"/>
    <w:rsid w:val="006643F7"/>
    <w:rsid w:val="006648BD"/>
    <w:rsid w:val="00664E39"/>
    <w:rsid w:val="00665AEC"/>
    <w:rsid w:val="00665B0E"/>
    <w:rsid w:val="00665E8D"/>
    <w:rsid w:val="00666062"/>
    <w:rsid w:val="00666AB2"/>
    <w:rsid w:val="0066733F"/>
    <w:rsid w:val="00667E08"/>
    <w:rsid w:val="00670535"/>
    <w:rsid w:val="00671AD7"/>
    <w:rsid w:val="00671C12"/>
    <w:rsid w:val="006738A8"/>
    <w:rsid w:val="00675525"/>
    <w:rsid w:val="006761EB"/>
    <w:rsid w:val="006765F9"/>
    <w:rsid w:val="006775C7"/>
    <w:rsid w:val="00680FE0"/>
    <w:rsid w:val="006821EA"/>
    <w:rsid w:val="0068226C"/>
    <w:rsid w:val="0068239C"/>
    <w:rsid w:val="006829B7"/>
    <w:rsid w:val="0068442B"/>
    <w:rsid w:val="00685DC9"/>
    <w:rsid w:val="00687280"/>
    <w:rsid w:val="00687C75"/>
    <w:rsid w:val="00691914"/>
    <w:rsid w:val="00692892"/>
    <w:rsid w:val="0069303F"/>
    <w:rsid w:val="00693769"/>
    <w:rsid w:val="00693F46"/>
    <w:rsid w:val="0069469F"/>
    <w:rsid w:val="006948D4"/>
    <w:rsid w:val="006961BC"/>
    <w:rsid w:val="00697291"/>
    <w:rsid w:val="006975F3"/>
    <w:rsid w:val="006A0E83"/>
    <w:rsid w:val="006A1247"/>
    <w:rsid w:val="006A1924"/>
    <w:rsid w:val="006A195C"/>
    <w:rsid w:val="006A1A50"/>
    <w:rsid w:val="006A1CF0"/>
    <w:rsid w:val="006A3377"/>
    <w:rsid w:val="006A37A5"/>
    <w:rsid w:val="006A44B5"/>
    <w:rsid w:val="006A45EC"/>
    <w:rsid w:val="006A45FF"/>
    <w:rsid w:val="006A4F5A"/>
    <w:rsid w:val="006A6909"/>
    <w:rsid w:val="006B17DB"/>
    <w:rsid w:val="006B24C7"/>
    <w:rsid w:val="006B2863"/>
    <w:rsid w:val="006B2F13"/>
    <w:rsid w:val="006B3F51"/>
    <w:rsid w:val="006B404D"/>
    <w:rsid w:val="006B4309"/>
    <w:rsid w:val="006B67BC"/>
    <w:rsid w:val="006B74E4"/>
    <w:rsid w:val="006B7A53"/>
    <w:rsid w:val="006B7A99"/>
    <w:rsid w:val="006B7F3D"/>
    <w:rsid w:val="006C030F"/>
    <w:rsid w:val="006C1EA8"/>
    <w:rsid w:val="006C2838"/>
    <w:rsid w:val="006C32AA"/>
    <w:rsid w:val="006C3603"/>
    <w:rsid w:val="006C4A30"/>
    <w:rsid w:val="006C4C5F"/>
    <w:rsid w:val="006C6702"/>
    <w:rsid w:val="006C7992"/>
    <w:rsid w:val="006C7EEA"/>
    <w:rsid w:val="006D0A68"/>
    <w:rsid w:val="006D0BF3"/>
    <w:rsid w:val="006D15AB"/>
    <w:rsid w:val="006D1973"/>
    <w:rsid w:val="006D1CFB"/>
    <w:rsid w:val="006D2512"/>
    <w:rsid w:val="006D2834"/>
    <w:rsid w:val="006D315F"/>
    <w:rsid w:val="006D4316"/>
    <w:rsid w:val="006D555C"/>
    <w:rsid w:val="006D571F"/>
    <w:rsid w:val="006D5A2F"/>
    <w:rsid w:val="006D6000"/>
    <w:rsid w:val="006D6B30"/>
    <w:rsid w:val="006D74AA"/>
    <w:rsid w:val="006D754F"/>
    <w:rsid w:val="006D7611"/>
    <w:rsid w:val="006E0150"/>
    <w:rsid w:val="006E06C3"/>
    <w:rsid w:val="006E12A9"/>
    <w:rsid w:val="006E151C"/>
    <w:rsid w:val="006E1925"/>
    <w:rsid w:val="006E2005"/>
    <w:rsid w:val="006E2406"/>
    <w:rsid w:val="006E2C99"/>
    <w:rsid w:val="006E4299"/>
    <w:rsid w:val="006E6370"/>
    <w:rsid w:val="006E76C5"/>
    <w:rsid w:val="006F05FC"/>
    <w:rsid w:val="006F0B00"/>
    <w:rsid w:val="006F166C"/>
    <w:rsid w:val="006F194D"/>
    <w:rsid w:val="006F1BB4"/>
    <w:rsid w:val="006F277F"/>
    <w:rsid w:val="006F335D"/>
    <w:rsid w:val="006F39D1"/>
    <w:rsid w:val="006F39FC"/>
    <w:rsid w:val="006F3AD3"/>
    <w:rsid w:val="006F3F95"/>
    <w:rsid w:val="006F59B9"/>
    <w:rsid w:val="006F6CBF"/>
    <w:rsid w:val="006F7EF6"/>
    <w:rsid w:val="00700043"/>
    <w:rsid w:val="007001BE"/>
    <w:rsid w:val="0070053D"/>
    <w:rsid w:val="00701B9D"/>
    <w:rsid w:val="00701DE6"/>
    <w:rsid w:val="00701FD7"/>
    <w:rsid w:val="00702509"/>
    <w:rsid w:val="0070399F"/>
    <w:rsid w:val="00703B12"/>
    <w:rsid w:val="007042B4"/>
    <w:rsid w:val="00704C65"/>
    <w:rsid w:val="007056EE"/>
    <w:rsid w:val="00705AFD"/>
    <w:rsid w:val="00711960"/>
    <w:rsid w:val="00711DAC"/>
    <w:rsid w:val="00713477"/>
    <w:rsid w:val="0071412F"/>
    <w:rsid w:val="00715F35"/>
    <w:rsid w:val="00716141"/>
    <w:rsid w:val="007161EB"/>
    <w:rsid w:val="0071697B"/>
    <w:rsid w:val="00716CE8"/>
    <w:rsid w:val="00720B8F"/>
    <w:rsid w:val="00720E65"/>
    <w:rsid w:val="00722E06"/>
    <w:rsid w:val="0072459D"/>
    <w:rsid w:val="007249E6"/>
    <w:rsid w:val="00724E25"/>
    <w:rsid w:val="0072656B"/>
    <w:rsid w:val="007275FE"/>
    <w:rsid w:val="0073065D"/>
    <w:rsid w:val="00730B9F"/>
    <w:rsid w:val="00730DC0"/>
    <w:rsid w:val="007313F9"/>
    <w:rsid w:val="007330A3"/>
    <w:rsid w:val="007330B5"/>
    <w:rsid w:val="0073318E"/>
    <w:rsid w:val="007351F3"/>
    <w:rsid w:val="00735B98"/>
    <w:rsid w:val="00735E90"/>
    <w:rsid w:val="0073614E"/>
    <w:rsid w:val="00736F58"/>
    <w:rsid w:val="00740E6D"/>
    <w:rsid w:val="00741132"/>
    <w:rsid w:val="00741738"/>
    <w:rsid w:val="007418B4"/>
    <w:rsid w:val="0074337A"/>
    <w:rsid w:val="00745ED1"/>
    <w:rsid w:val="00746DC8"/>
    <w:rsid w:val="0074740D"/>
    <w:rsid w:val="00747AD3"/>
    <w:rsid w:val="007512AE"/>
    <w:rsid w:val="007528DC"/>
    <w:rsid w:val="007538C6"/>
    <w:rsid w:val="00754756"/>
    <w:rsid w:val="00754E6A"/>
    <w:rsid w:val="007551B7"/>
    <w:rsid w:val="007557A9"/>
    <w:rsid w:val="00755AAB"/>
    <w:rsid w:val="00755BBD"/>
    <w:rsid w:val="00756354"/>
    <w:rsid w:val="00757B23"/>
    <w:rsid w:val="00757BFF"/>
    <w:rsid w:val="00757C85"/>
    <w:rsid w:val="00760F9C"/>
    <w:rsid w:val="00761AF7"/>
    <w:rsid w:val="0076523E"/>
    <w:rsid w:val="007661CD"/>
    <w:rsid w:val="00767865"/>
    <w:rsid w:val="00767DBE"/>
    <w:rsid w:val="00767F90"/>
    <w:rsid w:val="007701BF"/>
    <w:rsid w:val="00770AFB"/>
    <w:rsid w:val="0077116C"/>
    <w:rsid w:val="007717D9"/>
    <w:rsid w:val="00771AE2"/>
    <w:rsid w:val="007727B1"/>
    <w:rsid w:val="0077308C"/>
    <w:rsid w:val="00773AC7"/>
    <w:rsid w:val="00773BBF"/>
    <w:rsid w:val="00774156"/>
    <w:rsid w:val="00775749"/>
    <w:rsid w:val="00775C14"/>
    <w:rsid w:val="007760FD"/>
    <w:rsid w:val="007773DE"/>
    <w:rsid w:val="0077751D"/>
    <w:rsid w:val="00777BB6"/>
    <w:rsid w:val="007821A9"/>
    <w:rsid w:val="00782502"/>
    <w:rsid w:val="007825C2"/>
    <w:rsid w:val="00785341"/>
    <w:rsid w:val="007856B2"/>
    <w:rsid w:val="00785BED"/>
    <w:rsid w:val="0078645A"/>
    <w:rsid w:val="00786CFF"/>
    <w:rsid w:val="00786D53"/>
    <w:rsid w:val="007905BF"/>
    <w:rsid w:val="007913EE"/>
    <w:rsid w:val="00792F31"/>
    <w:rsid w:val="007934F1"/>
    <w:rsid w:val="007937E1"/>
    <w:rsid w:val="00794950"/>
    <w:rsid w:val="00796156"/>
    <w:rsid w:val="007963EC"/>
    <w:rsid w:val="0079669B"/>
    <w:rsid w:val="00796E6F"/>
    <w:rsid w:val="00797195"/>
    <w:rsid w:val="00797355"/>
    <w:rsid w:val="00797485"/>
    <w:rsid w:val="007A0DA2"/>
    <w:rsid w:val="007A15D9"/>
    <w:rsid w:val="007A1BE5"/>
    <w:rsid w:val="007A2B63"/>
    <w:rsid w:val="007A2BBC"/>
    <w:rsid w:val="007A2F80"/>
    <w:rsid w:val="007A30F0"/>
    <w:rsid w:val="007A337B"/>
    <w:rsid w:val="007A396F"/>
    <w:rsid w:val="007A4C5E"/>
    <w:rsid w:val="007A5276"/>
    <w:rsid w:val="007A544F"/>
    <w:rsid w:val="007A54B5"/>
    <w:rsid w:val="007A58F5"/>
    <w:rsid w:val="007A58FF"/>
    <w:rsid w:val="007A59C0"/>
    <w:rsid w:val="007A5A4C"/>
    <w:rsid w:val="007A6A10"/>
    <w:rsid w:val="007A6B78"/>
    <w:rsid w:val="007A6FD4"/>
    <w:rsid w:val="007B03E4"/>
    <w:rsid w:val="007B0407"/>
    <w:rsid w:val="007B1945"/>
    <w:rsid w:val="007B1C64"/>
    <w:rsid w:val="007B457D"/>
    <w:rsid w:val="007B46B4"/>
    <w:rsid w:val="007B487B"/>
    <w:rsid w:val="007B5D87"/>
    <w:rsid w:val="007B5E94"/>
    <w:rsid w:val="007B7BFE"/>
    <w:rsid w:val="007B7F61"/>
    <w:rsid w:val="007C027B"/>
    <w:rsid w:val="007C049A"/>
    <w:rsid w:val="007C0FD2"/>
    <w:rsid w:val="007C1C1D"/>
    <w:rsid w:val="007C31EF"/>
    <w:rsid w:val="007C5105"/>
    <w:rsid w:val="007C5D94"/>
    <w:rsid w:val="007C6401"/>
    <w:rsid w:val="007C6E3D"/>
    <w:rsid w:val="007C6F82"/>
    <w:rsid w:val="007C7769"/>
    <w:rsid w:val="007D05FA"/>
    <w:rsid w:val="007D0A37"/>
    <w:rsid w:val="007D12D6"/>
    <w:rsid w:val="007D32E5"/>
    <w:rsid w:val="007D4270"/>
    <w:rsid w:val="007D4656"/>
    <w:rsid w:val="007D4DF3"/>
    <w:rsid w:val="007D648C"/>
    <w:rsid w:val="007D6E07"/>
    <w:rsid w:val="007D7127"/>
    <w:rsid w:val="007D729A"/>
    <w:rsid w:val="007D783B"/>
    <w:rsid w:val="007D798D"/>
    <w:rsid w:val="007E0214"/>
    <w:rsid w:val="007E0315"/>
    <w:rsid w:val="007E2259"/>
    <w:rsid w:val="007E238A"/>
    <w:rsid w:val="007E2605"/>
    <w:rsid w:val="007E323A"/>
    <w:rsid w:val="007E33B6"/>
    <w:rsid w:val="007E381C"/>
    <w:rsid w:val="007E3AB2"/>
    <w:rsid w:val="007E3F18"/>
    <w:rsid w:val="007E5EFD"/>
    <w:rsid w:val="007E6966"/>
    <w:rsid w:val="007E753F"/>
    <w:rsid w:val="007F096A"/>
    <w:rsid w:val="007F11B3"/>
    <w:rsid w:val="007F28D2"/>
    <w:rsid w:val="007F3BE2"/>
    <w:rsid w:val="007F434A"/>
    <w:rsid w:val="007F43D6"/>
    <w:rsid w:val="007F4E9D"/>
    <w:rsid w:val="007F58BF"/>
    <w:rsid w:val="007F788D"/>
    <w:rsid w:val="007F7BCF"/>
    <w:rsid w:val="0080020C"/>
    <w:rsid w:val="008002A0"/>
    <w:rsid w:val="00802A6F"/>
    <w:rsid w:val="00805150"/>
    <w:rsid w:val="0080541C"/>
    <w:rsid w:val="00805E42"/>
    <w:rsid w:val="00806109"/>
    <w:rsid w:val="008062C7"/>
    <w:rsid w:val="00806905"/>
    <w:rsid w:val="008077BA"/>
    <w:rsid w:val="00810255"/>
    <w:rsid w:val="00811531"/>
    <w:rsid w:val="00812069"/>
    <w:rsid w:val="008123DF"/>
    <w:rsid w:val="0081293D"/>
    <w:rsid w:val="00812F65"/>
    <w:rsid w:val="008134EE"/>
    <w:rsid w:val="00813959"/>
    <w:rsid w:val="008145A8"/>
    <w:rsid w:val="0081483E"/>
    <w:rsid w:val="00814B2C"/>
    <w:rsid w:val="00814DB1"/>
    <w:rsid w:val="0081629D"/>
    <w:rsid w:val="00816DFC"/>
    <w:rsid w:val="0081779B"/>
    <w:rsid w:val="008205BA"/>
    <w:rsid w:val="00820FF9"/>
    <w:rsid w:val="00821543"/>
    <w:rsid w:val="0082171E"/>
    <w:rsid w:val="00822056"/>
    <w:rsid w:val="00822DEA"/>
    <w:rsid w:val="00822EFF"/>
    <w:rsid w:val="008233EC"/>
    <w:rsid w:val="00824B62"/>
    <w:rsid w:val="008256B4"/>
    <w:rsid w:val="00827658"/>
    <w:rsid w:val="00827B6D"/>
    <w:rsid w:val="00831034"/>
    <w:rsid w:val="00831BAE"/>
    <w:rsid w:val="00831EA1"/>
    <w:rsid w:val="0083235A"/>
    <w:rsid w:val="008323BC"/>
    <w:rsid w:val="00832BF7"/>
    <w:rsid w:val="00833B08"/>
    <w:rsid w:val="0083535B"/>
    <w:rsid w:val="00837442"/>
    <w:rsid w:val="0084123B"/>
    <w:rsid w:val="008417B7"/>
    <w:rsid w:val="00842A16"/>
    <w:rsid w:val="00842E0D"/>
    <w:rsid w:val="008439CC"/>
    <w:rsid w:val="00843BA3"/>
    <w:rsid w:val="0084470D"/>
    <w:rsid w:val="00845E3A"/>
    <w:rsid w:val="00846D8F"/>
    <w:rsid w:val="0084703B"/>
    <w:rsid w:val="008478E0"/>
    <w:rsid w:val="00850477"/>
    <w:rsid w:val="00850D55"/>
    <w:rsid w:val="0085156D"/>
    <w:rsid w:val="00851E2D"/>
    <w:rsid w:val="00852794"/>
    <w:rsid w:val="0085407E"/>
    <w:rsid w:val="008549A4"/>
    <w:rsid w:val="00854BC7"/>
    <w:rsid w:val="00855DE5"/>
    <w:rsid w:val="00856E2A"/>
    <w:rsid w:val="00857B4E"/>
    <w:rsid w:val="00862AAE"/>
    <w:rsid w:val="00862F94"/>
    <w:rsid w:val="008633A8"/>
    <w:rsid w:val="00863979"/>
    <w:rsid w:val="00865811"/>
    <w:rsid w:val="00865B59"/>
    <w:rsid w:val="00866271"/>
    <w:rsid w:val="00866930"/>
    <w:rsid w:val="008671B1"/>
    <w:rsid w:val="008678EB"/>
    <w:rsid w:val="008700F4"/>
    <w:rsid w:val="00870824"/>
    <w:rsid w:val="008717D9"/>
    <w:rsid w:val="00871D81"/>
    <w:rsid w:val="00871DFA"/>
    <w:rsid w:val="00872A40"/>
    <w:rsid w:val="00873CB8"/>
    <w:rsid w:val="00873E84"/>
    <w:rsid w:val="00874F12"/>
    <w:rsid w:val="00876AE2"/>
    <w:rsid w:val="00876CBE"/>
    <w:rsid w:val="00880AB9"/>
    <w:rsid w:val="008814E3"/>
    <w:rsid w:val="00882110"/>
    <w:rsid w:val="00882FD2"/>
    <w:rsid w:val="008842D6"/>
    <w:rsid w:val="00884DD3"/>
    <w:rsid w:val="008858BF"/>
    <w:rsid w:val="00885C39"/>
    <w:rsid w:val="008862FD"/>
    <w:rsid w:val="00886D9E"/>
    <w:rsid w:val="00891326"/>
    <w:rsid w:val="00891CAE"/>
    <w:rsid w:val="00892181"/>
    <w:rsid w:val="00892927"/>
    <w:rsid w:val="00893A9A"/>
    <w:rsid w:val="00895A75"/>
    <w:rsid w:val="00895C51"/>
    <w:rsid w:val="00896774"/>
    <w:rsid w:val="00897735"/>
    <w:rsid w:val="008978D6"/>
    <w:rsid w:val="008A003F"/>
    <w:rsid w:val="008A064F"/>
    <w:rsid w:val="008A1585"/>
    <w:rsid w:val="008A17E3"/>
    <w:rsid w:val="008A28B4"/>
    <w:rsid w:val="008A300D"/>
    <w:rsid w:val="008A4262"/>
    <w:rsid w:val="008A486A"/>
    <w:rsid w:val="008A58B3"/>
    <w:rsid w:val="008A5D63"/>
    <w:rsid w:val="008A62EB"/>
    <w:rsid w:val="008A66E0"/>
    <w:rsid w:val="008A6CD6"/>
    <w:rsid w:val="008B023C"/>
    <w:rsid w:val="008B0CE2"/>
    <w:rsid w:val="008B1534"/>
    <w:rsid w:val="008B23EF"/>
    <w:rsid w:val="008B2471"/>
    <w:rsid w:val="008B3176"/>
    <w:rsid w:val="008B3541"/>
    <w:rsid w:val="008B3830"/>
    <w:rsid w:val="008B3BA5"/>
    <w:rsid w:val="008B49BA"/>
    <w:rsid w:val="008B5A03"/>
    <w:rsid w:val="008B5D95"/>
    <w:rsid w:val="008B615E"/>
    <w:rsid w:val="008B6D63"/>
    <w:rsid w:val="008B6E13"/>
    <w:rsid w:val="008B7663"/>
    <w:rsid w:val="008B788F"/>
    <w:rsid w:val="008C1350"/>
    <w:rsid w:val="008C19CB"/>
    <w:rsid w:val="008C37AE"/>
    <w:rsid w:val="008C667C"/>
    <w:rsid w:val="008C6C78"/>
    <w:rsid w:val="008C7668"/>
    <w:rsid w:val="008D0FDA"/>
    <w:rsid w:val="008D1144"/>
    <w:rsid w:val="008D15BF"/>
    <w:rsid w:val="008D1CA7"/>
    <w:rsid w:val="008D29A3"/>
    <w:rsid w:val="008D3B2B"/>
    <w:rsid w:val="008D6654"/>
    <w:rsid w:val="008D6A9D"/>
    <w:rsid w:val="008D7EC5"/>
    <w:rsid w:val="008E12DD"/>
    <w:rsid w:val="008E1C73"/>
    <w:rsid w:val="008E24DA"/>
    <w:rsid w:val="008E2904"/>
    <w:rsid w:val="008E38D7"/>
    <w:rsid w:val="008E43DC"/>
    <w:rsid w:val="008E501D"/>
    <w:rsid w:val="008E5BB0"/>
    <w:rsid w:val="008E5C1C"/>
    <w:rsid w:val="008E618F"/>
    <w:rsid w:val="008E6839"/>
    <w:rsid w:val="008E75C8"/>
    <w:rsid w:val="008F3494"/>
    <w:rsid w:val="008F3A94"/>
    <w:rsid w:val="008F58D2"/>
    <w:rsid w:val="008F757E"/>
    <w:rsid w:val="008F7726"/>
    <w:rsid w:val="00900220"/>
    <w:rsid w:val="009006D0"/>
    <w:rsid w:val="00902628"/>
    <w:rsid w:val="00902A2B"/>
    <w:rsid w:val="00903370"/>
    <w:rsid w:val="00904115"/>
    <w:rsid w:val="0090452F"/>
    <w:rsid w:val="0090466A"/>
    <w:rsid w:val="00904AED"/>
    <w:rsid w:val="00905441"/>
    <w:rsid w:val="009074FE"/>
    <w:rsid w:val="00907CE8"/>
    <w:rsid w:val="00910CDE"/>
    <w:rsid w:val="00910D1F"/>
    <w:rsid w:val="009121A5"/>
    <w:rsid w:val="0091237F"/>
    <w:rsid w:val="009127F9"/>
    <w:rsid w:val="00912940"/>
    <w:rsid w:val="00912F84"/>
    <w:rsid w:val="00913D7D"/>
    <w:rsid w:val="0091404E"/>
    <w:rsid w:val="00914D77"/>
    <w:rsid w:val="009151AD"/>
    <w:rsid w:val="00915D39"/>
    <w:rsid w:val="009164C3"/>
    <w:rsid w:val="0091668E"/>
    <w:rsid w:val="0091674D"/>
    <w:rsid w:val="0091713A"/>
    <w:rsid w:val="00917469"/>
    <w:rsid w:val="00917DCD"/>
    <w:rsid w:val="00920311"/>
    <w:rsid w:val="009203F1"/>
    <w:rsid w:val="009218BA"/>
    <w:rsid w:val="00921A7D"/>
    <w:rsid w:val="00923771"/>
    <w:rsid w:val="00923910"/>
    <w:rsid w:val="009241B4"/>
    <w:rsid w:val="0092470C"/>
    <w:rsid w:val="009249F0"/>
    <w:rsid w:val="00925D68"/>
    <w:rsid w:val="009266B8"/>
    <w:rsid w:val="00926AB1"/>
    <w:rsid w:val="00926C79"/>
    <w:rsid w:val="0092770C"/>
    <w:rsid w:val="00931772"/>
    <w:rsid w:val="009317A2"/>
    <w:rsid w:val="009318E4"/>
    <w:rsid w:val="00931906"/>
    <w:rsid w:val="0093199E"/>
    <w:rsid w:val="009319D5"/>
    <w:rsid w:val="00931CD7"/>
    <w:rsid w:val="009323CA"/>
    <w:rsid w:val="00932931"/>
    <w:rsid w:val="009331A7"/>
    <w:rsid w:val="009334EF"/>
    <w:rsid w:val="00933869"/>
    <w:rsid w:val="00933B9C"/>
    <w:rsid w:val="00934761"/>
    <w:rsid w:val="0093569B"/>
    <w:rsid w:val="009359F9"/>
    <w:rsid w:val="0093768C"/>
    <w:rsid w:val="009401DC"/>
    <w:rsid w:val="00940774"/>
    <w:rsid w:val="009417BF"/>
    <w:rsid w:val="00942D05"/>
    <w:rsid w:val="009437AE"/>
    <w:rsid w:val="00944A3F"/>
    <w:rsid w:val="00945645"/>
    <w:rsid w:val="00946516"/>
    <w:rsid w:val="00947BB5"/>
    <w:rsid w:val="0095068A"/>
    <w:rsid w:val="00950BB1"/>
    <w:rsid w:val="00950D94"/>
    <w:rsid w:val="00950F56"/>
    <w:rsid w:val="00952109"/>
    <w:rsid w:val="0095384A"/>
    <w:rsid w:val="00953ABB"/>
    <w:rsid w:val="009557F3"/>
    <w:rsid w:val="009567D2"/>
    <w:rsid w:val="0095776F"/>
    <w:rsid w:val="00962A76"/>
    <w:rsid w:val="0096342E"/>
    <w:rsid w:val="009646BA"/>
    <w:rsid w:val="00964948"/>
    <w:rsid w:val="00964BAA"/>
    <w:rsid w:val="0096648B"/>
    <w:rsid w:val="009668D8"/>
    <w:rsid w:val="0096766B"/>
    <w:rsid w:val="009676EF"/>
    <w:rsid w:val="009679CE"/>
    <w:rsid w:val="009708D8"/>
    <w:rsid w:val="009708E4"/>
    <w:rsid w:val="00971008"/>
    <w:rsid w:val="00971FA8"/>
    <w:rsid w:val="00972949"/>
    <w:rsid w:val="00973543"/>
    <w:rsid w:val="00974349"/>
    <w:rsid w:val="00974EE4"/>
    <w:rsid w:val="009755AF"/>
    <w:rsid w:val="009760D8"/>
    <w:rsid w:val="009768DD"/>
    <w:rsid w:val="0097758B"/>
    <w:rsid w:val="009776CE"/>
    <w:rsid w:val="009778BB"/>
    <w:rsid w:val="00977DB9"/>
    <w:rsid w:val="00977E18"/>
    <w:rsid w:val="009817E2"/>
    <w:rsid w:val="009818F6"/>
    <w:rsid w:val="00981B44"/>
    <w:rsid w:val="00982D68"/>
    <w:rsid w:val="009832C6"/>
    <w:rsid w:val="00983D91"/>
    <w:rsid w:val="00983FC9"/>
    <w:rsid w:val="0098596B"/>
    <w:rsid w:val="00985F12"/>
    <w:rsid w:val="0098667F"/>
    <w:rsid w:val="009870A2"/>
    <w:rsid w:val="00987AA8"/>
    <w:rsid w:val="009917F3"/>
    <w:rsid w:val="0099327B"/>
    <w:rsid w:val="00993854"/>
    <w:rsid w:val="00993A93"/>
    <w:rsid w:val="00996158"/>
    <w:rsid w:val="00996923"/>
    <w:rsid w:val="009A0F10"/>
    <w:rsid w:val="009A1769"/>
    <w:rsid w:val="009A274B"/>
    <w:rsid w:val="009A2B79"/>
    <w:rsid w:val="009A2CF6"/>
    <w:rsid w:val="009A4714"/>
    <w:rsid w:val="009A4F72"/>
    <w:rsid w:val="009A79AE"/>
    <w:rsid w:val="009A7A02"/>
    <w:rsid w:val="009A7B9A"/>
    <w:rsid w:val="009B002C"/>
    <w:rsid w:val="009B0BA1"/>
    <w:rsid w:val="009B1652"/>
    <w:rsid w:val="009B36F4"/>
    <w:rsid w:val="009B4188"/>
    <w:rsid w:val="009B599C"/>
    <w:rsid w:val="009B744C"/>
    <w:rsid w:val="009C12CF"/>
    <w:rsid w:val="009C1F00"/>
    <w:rsid w:val="009C268C"/>
    <w:rsid w:val="009C2745"/>
    <w:rsid w:val="009C2D49"/>
    <w:rsid w:val="009C5019"/>
    <w:rsid w:val="009C6F1A"/>
    <w:rsid w:val="009D0247"/>
    <w:rsid w:val="009D0428"/>
    <w:rsid w:val="009D0489"/>
    <w:rsid w:val="009D1AFC"/>
    <w:rsid w:val="009D1D35"/>
    <w:rsid w:val="009D3BCF"/>
    <w:rsid w:val="009D53BC"/>
    <w:rsid w:val="009D5E24"/>
    <w:rsid w:val="009D6652"/>
    <w:rsid w:val="009D6928"/>
    <w:rsid w:val="009D7832"/>
    <w:rsid w:val="009D7DF2"/>
    <w:rsid w:val="009E012E"/>
    <w:rsid w:val="009E1396"/>
    <w:rsid w:val="009E1E52"/>
    <w:rsid w:val="009E23D3"/>
    <w:rsid w:val="009E3F63"/>
    <w:rsid w:val="009E5AE6"/>
    <w:rsid w:val="009E5F58"/>
    <w:rsid w:val="009E7EF5"/>
    <w:rsid w:val="009F02DE"/>
    <w:rsid w:val="009F05B5"/>
    <w:rsid w:val="009F1EF8"/>
    <w:rsid w:val="009F25F8"/>
    <w:rsid w:val="009F3A92"/>
    <w:rsid w:val="009F4A3C"/>
    <w:rsid w:val="009F53E5"/>
    <w:rsid w:val="009F5BBD"/>
    <w:rsid w:val="009F6BF2"/>
    <w:rsid w:val="009F7276"/>
    <w:rsid w:val="009F75F7"/>
    <w:rsid w:val="009F7784"/>
    <w:rsid w:val="00A009E7"/>
    <w:rsid w:val="00A00AB4"/>
    <w:rsid w:val="00A0120A"/>
    <w:rsid w:val="00A0214F"/>
    <w:rsid w:val="00A025F9"/>
    <w:rsid w:val="00A03904"/>
    <w:rsid w:val="00A03D2A"/>
    <w:rsid w:val="00A04212"/>
    <w:rsid w:val="00A0486C"/>
    <w:rsid w:val="00A04921"/>
    <w:rsid w:val="00A06AD5"/>
    <w:rsid w:val="00A06EB6"/>
    <w:rsid w:val="00A078A0"/>
    <w:rsid w:val="00A07920"/>
    <w:rsid w:val="00A07DD5"/>
    <w:rsid w:val="00A1077C"/>
    <w:rsid w:val="00A11EA3"/>
    <w:rsid w:val="00A1272E"/>
    <w:rsid w:val="00A131DF"/>
    <w:rsid w:val="00A139C7"/>
    <w:rsid w:val="00A14C78"/>
    <w:rsid w:val="00A14DA0"/>
    <w:rsid w:val="00A150B9"/>
    <w:rsid w:val="00A15A93"/>
    <w:rsid w:val="00A15D14"/>
    <w:rsid w:val="00A15DD9"/>
    <w:rsid w:val="00A163AB"/>
    <w:rsid w:val="00A1663C"/>
    <w:rsid w:val="00A170DC"/>
    <w:rsid w:val="00A17E24"/>
    <w:rsid w:val="00A20C49"/>
    <w:rsid w:val="00A20F37"/>
    <w:rsid w:val="00A21402"/>
    <w:rsid w:val="00A21CC8"/>
    <w:rsid w:val="00A22771"/>
    <w:rsid w:val="00A22C2F"/>
    <w:rsid w:val="00A237B8"/>
    <w:rsid w:val="00A2382C"/>
    <w:rsid w:val="00A24756"/>
    <w:rsid w:val="00A252F3"/>
    <w:rsid w:val="00A265A4"/>
    <w:rsid w:val="00A26647"/>
    <w:rsid w:val="00A266E9"/>
    <w:rsid w:val="00A26A53"/>
    <w:rsid w:val="00A2725B"/>
    <w:rsid w:val="00A31759"/>
    <w:rsid w:val="00A31D5F"/>
    <w:rsid w:val="00A337E8"/>
    <w:rsid w:val="00A33B97"/>
    <w:rsid w:val="00A3479A"/>
    <w:rsid w:val="00A34E95"/>
    <w:rsid w:val="00A35EAC"/>
    <w:rsid w:val="00A362C4"/>
    <w:rsid w:val="00A3639A"/>
    <w:rsid w:val="00A36D3D"/>
    <w:rsid w:val="00A40BCB"/>
    <w:rsid w:val="00A41778"/>
    <w:rsid w:val="00A41D37"/>
    <w:rsid w:val="00A420A2"/>
    <w:rsid w:val="00A42666"/>
    <w:rsid w:val="00A42A6C"/>
    <w:rsid w:val="00A42B2D"/>
    <w:rsid w:val="00A42F93"/>
    <w:rsid w:val="00A436C4"/>
    <w:rsid w:val="00A445CE"/>
    <w:rsid w:val="00A44801"/>
    <w:rsid w:val="00A44909"/>
    <w:rsid w:val="00A44C1B"/>
    <w:rsid w:val="00A44F49"/>
    <w:rsid w:val="00A45368"/>
    <w:rsid w:val="00A46D59"/>
    <w:rsid w:val="00A50F53"/>
    <w:rsid w:val="00A51360"/>
    <w:rsid w:val="00A539F2"/>
    <w:rsid w:val="00A5656D"/>
    <w:rsid w:val="00A56A60"/>
    <w:rsid w:val="00A56B83"/>
    <w:rsid w:val="00A607C9"/>
    <w:rsid w:val="00A607E1"/>
    <w:rsid w:val="00A60A98"/>
    <w:rsid w:val="00A61456"/>
    <w:rsid w:val="00A62012"/>
    <w:rsid w:val="00A62FAD"/>
    <w:rsid w:val="00A64ACA"/>
    <w:rsid w:val="00A65819"/>
    <w:rsid w:val="00A66511"/>
    <w:rsid w:val="00A666B0"/>
    <w:rsid w:val="00A67C2C"/>
    <w:rsid w:val="00A67FE0"/>
    <w:rsid w:val="00A7050B"/>
    <w:rsid w:val="00A724B2"/>
    <w:rsid w:val="00A740DD"/>
    <w:rsid w:val="00A75358"/>
    <w:rsid w:val="00A7572D"/>
    <w:rsid w:val="00A77A5B"/>
    <w:rsid w:val="00A80659"/>
    <w:rsid w:val="00A81153"/>
    <w:rsid w:val="00A81445"/>
    <w:rsid w:val="00A81C2C"/>
    <w:rsid w:val="00A82DA0"/>
    <w:rsid w:val="00A8320B"/>
    <w:rsid w:val="00A83793"/>
    <w:rsid w:val="00A83991"/>
    <w:rsid w:val="00A83AC2"/>
    <w:rsid w:val="00A83B8F"/>
    <w:rsid w:val="00A84DEB"/>
    <w:rsid w:val="00A84FB1"/>
    <w:rsid w:val="00A853AC"/>
    <w:rsid w:val="00A8563B"/>
    <w:rsid w:val="00A86883"/>
    <w:rsid w:val="00A87458"/>
    <w:rsid w:val="00A874C1"/>
    <w:rsid w:val="00A913D7"/>
    <w:rsid w:val="00A92E9F"/>
    <w:rsid w:val="00A9305D"/>
    <w:rsid w:val="00A937ED"/>
    <w:rsid w:val="00A94C4E"/>
    <w:rsid w:val="00A96127"/>
    <w:rsid w:val="00A965C2"/>
    <w:rsid w:val="00A97000"/>
    <w:rsid w:val="00A97217"/>
    <w:rsid w:val="00A97301"/>
    <w:rsid w:val="00AA0BA2"/>
    <w:rsid w:val="00AA1056"/>
    <w:rsid w:val="00AA182A"/>
    <w:rsid w:val="00AA1B9A"/>
    <w:rsid w:val="00AA27E9"/>
    <w:rsid w:val="00AA38DC"/>
    <w:rsid w:val="00AA3D41"/>
    <w:rsid w:val="00AA4780"/>
    <w:rsid w:val="00AA4841"/>
    <w:rsid w:val="00AA5100"/>
    <w:rsid w:val="00AA54F2"/>
    <w:rsid w:val="00AA795C"/>
    <w:rsid w:val="00AA7C6F"/>
    <w:rsid w:val="00AB01DF"/>
    <w:rsid w:val="00AB20E2"/>
    <w:rsid w:val="00AB24D7"/>
    <w:rsid w:val="00AB2729"/>
    <w:rsid w:val="00AB3A76"/>
    <w:rsid w:val="00AB3C2E"/>
    <w:rsid w:val="00AB4388"/>
    <w:rsid w:val="00AB4B45"/>
    <w:rsid w:val="00AB529B"/>
    <w:rsid w:val="00AB5415"/>
    <w:rsid w:val="00AB55B1"/>
    <w:rsid w:val="00AB6123"/>
    <w:rsid w:val="00AB71C1"/>
    <w:rsid w:val="00AC0293"/>
    <w:rsid w:val="00AC22B7"/>
    <w:rsid w:val="00AC386C"/>
    <w:rsid w:val="00AC4663"/>
    <w:rsid w:val="00AC5CE2"/>
    <w:rsid w:val="00AC6B6A"/>
    <w:rsid w:val="00AC767C"/>
    <w:rsid w:val="00AC7BFF"/>
    <w:rsid w:val="00AC7CE0"/>
    <w:rsid w:val="00AC7F07"/>
    <w:rsid w:val="00AD012D"/>
    <w:rsid w:val="00AD17E9"/>
    <w:rsid w:val="00AD2734"/>
    <w:rsid w:val="00AD275A"/>
    <w:rsid w:val="00AD2D6F"/>
    <w:rsid w:val="00AD434B"/>
    <w:rsid w:val="00AD5306"/>
    <w:rsid w:val="00AD5983"/>
    <w:rsid w:val="00AD6279"/>
    <w:rsid w:val="00AD68CA"/>
    <w:rsid w:val="00AD69C3"/>
    <w:rsid w:val="00AD6B25"/>
    <w:rsid w:val="00AD6B86"/>
    <w:rsid w:val="00AD7BE4"/>
    <w:rsid w:val="00AD7C65"/>
    <w:rsid w:val="00AE0072"/>
    <w:rsid w:val="00AE0494"/>
    <w:rsid w:val="00AE0499"/>
    <w:rsid w:val="00AE29CC"/>
    <w:rsid w:val="00AE3062"/>
    <w:rsid w:val="00AE3276"/>
    <w:rsid w:val="00AE3A80"/>
    <w:rsid w:val="00AE4C52"/>
    <w:rsid w:val="00AE5361"/>
    <w:rsid w:val="00AE5463"/>
    <w:rsid w:val="00AE66BA"/>
    <w:rsid w:val="00AE7063"/>
    <w:rsid w:val="00AF0943"/>
    <w:rsid w:val="00AF1717"/>
    <w:rsid w:val="00AF1FE5"/>
    <w:rsid w:val="00AF2EE9"/>
    <w:rsid w:val="00AF560D"/>
    <w:rsid w:val="00AF5F02"/>
    <w:rsid w:val="00AF61A3"/>
    <w:rsid w:val="00B0289B"/>
    <w:rsid w:val="00B02A97"/>
    <w:rsid w:val="00B035A6"/>
    <w:rsid w:val="00B035DD"/>
    <w:rsid w:val="00B03609"/>
    <w:rsid w:val="00B038D4"/>
    <w:rsid w:val="00B03B77"/>
    <w:rsid w:val="00B03BC7"/>
    <w:rsid w:val="00B03D6D"/>
    <w:rsid w:val="00B041FA"/>
    <w:rsid w:val="00B0477A"/>
    <w:rsid w:val="00B0496D"/>
    <w:rsid w:val="00B0508D"/>
    <w:rsid w:val="00B05588"/>
    <w:rsid w:val="00B05EAD"/>
    <w:rsid w:val="00B07066"/>
    <w:rsid w:val="00B0761A"/>
    <w:rsid w:val="00B07EBA"/>
    <w:rsid w:val="00B10C0A"/>
    <w:rsid w:val="00B11161"/>
    <w:rsid w:val="00B11D1A"/>
    <w:rsid w:val="00B11DFD"/>
    <w:rsid w:val="00B11EF1"/>
    <w:rsid w:val="00B1217F"/>
    <w:rsid w:val="00B12677"/>
    <w:rsid w:val="00B12B69"/>
    <w:rsid w:val="00B131A2"/>
    <w:rsid w:val="00B13564"/>
    <w:rsid w:val="00B136AF"/>
    <w:rsid w:val="00B149A1"/>
    <w:rsid w:val="00B14C0F"/>
    <w:rsid w:val="00B151F9"/>
    <w:rsid w:val="00B15305"/>
    <w:rsid w:val="00B1624D"/>
    <w:rsid w:val="00B17975"/>
    <w:rsid w:val="00B2027C"/>
    <w:rsid w:val="00B20476"/>
    <w:rsid w:val="00B213B0"/>
    <w:rsid w:val="00B21707"/>
    <w:rsid w:val="00B21E45"/>
    <w:rsid w:val="00B22E40"/>
    <w:rsid w:val="00B242D8"/>
    <w:rsid w:val="00B25F08"/>
    <w:rsid w:val="00B2605B"/>
    <w:rsid w:val="00B26513"/>
    <w:rsid w:val="00B26B53"/>
    <w:rsid w:val="00B27C6C"/>
    <w:rsid w:val="00B339AD"/>
    <w:rsid w:val="00B3446C"/>
    <w:rsid w:val="00B34972"/>
    <w:rsid w:val="00B34B31"/>
    <w:rsid w:val="00B3769C"/>
    <w:rsid w:val="00B40FC7"/>
    <w:rsid w:val="00B422B9"/>
    <w:rsid w:val="00B427F4"/>
    <w:rsid w:val="00B428BE"/>
    <w:rsid w:val="00B429AE"/>
    <w:rsid w:val="00B42C85"/>
    <w:rsid w:val="00B43534"/>
    <w:rsid w:val="00B435E8"/>
    <w:rsid w:val="00B4429B"/>
    <w:rsid w:val="00B4554B"/>
    <w:rsid w:val="00B45717"/>
    <w:rsid w:val="00B46383"/>
    <w:rsid w:val="00B47A8B"/>
    <w:rsid w:val="00B50183"/>
    <w:rsid w:val="00B50554"/>
    <w:rsid w:val="00B51417"/>
    <w:rsid w:val="00B515EC"/>
    <w:rsid w:val="00B52136"/>
    <w:rsid w:val="00B52EEF"/>
    <w:rsid w:val="00B53058"/>
    <w:rsid w:val="00B54143"/>
    <w:rsid w:val="00B57BDA"/>
    <w:rsid w:val="00B6028D"/>
    <w:rsid w:val="00B63CFC"/>
    <w:rsid w:val="00B63DE9"/>
    <w:rsid w:val="00B65044"/>
    <w:rsid w:val="00B65589"/>
    <w:rsid w:val="00B65E6B"/>
    <w:rsid w:val="00B66073"/>
    <w:rsid w:val="00B67AB5"/>
    <w:rsid w:val="00B67F74"/>
    <w:rsid w:val="00B720DF"/>
    <w:rsid w:val="00B74A6F"/>
    <w:rsid w:val="00B74C48"/>
    <w:rsid w:val="00B75CBA"/>
    <w:rsid w:val="00B76A67"/>
    <w:rsid w:val="00B77508"/>
    <w:rsid w:val="00B80037"/>
    <w:rsid w:val="00B819DE"/>
    <w:rsid w:val="00B81F73"/>
    <w:rsid w:val="00B82B9F"/>
    <w:rsid w:val="00B831CE"/>
    <w:rsid w:val="00B83263"/>
    <w:rsid w:val="00B83E51"/>
    <w:rsid w:val="00B84064"/>
    <w:rsid w:val="00B85F75"/>
    <w:rsid w:val="00B90AA1"/>
    <w:rsid w:val="00B920DA"/>
    <w:rsid w:val="00B92622"/>
    <w:rsid w:val="00B92F0F"/>
    <w:rsid w:val="00B9319C"/>
    <w:rsid w:val="00B933BE"/>
    <w:rsid w:val="00B9396B"/>
    <w:rsid w:val="00B93E4D"/>
    <w:rsid w:val="00B9427B"/>
    <w:rsid w:val="00B9485D"/>
    <w:rsid w:val="00B949E1"/>
    <w:rsid w:val="00B94B50"/>
    <w:rsid w:val="00B94BAA"/>
    <w:rsid w:val="00B94C05"/>
    <w:rsid w:val="00B94C47"/>
    <w:rsid w:val="00B95097"/>
    <w:rsid w:val="00B95611"/>
    <w:rsid w:val="00B9602B"/>
    <w:rsid w:val="00B9645B"/>
    <w:rsid w:val="00B9648D"/>
    <w:rsid w:val="00B96C9D"/>
    <w:rsid w:val="00B97B6A"/>
    <w:rsid w:val="00B97C8C"/>
    <w:rsid w:val="00B97EC5"/>
    <w:rsid w:val="00BA0BEA"/>
    <w:rsid w:val="00BA1C63"/>
    <w:rsid w:val="00BA2154"/>
    <w:rsid w:val="00BA538F"/>
    <w:rsid w:val="00BA6F0B"/>
    <w:rsid w:val="00BB0081"/>
    <w:rsid w:val="00BB0134"/>
    <w:rsid w:val="00BB1FC5"/>
    <w:rsid w:val="00BB2E93"/>
    <w:rsid w:val="00BB38A2"/>
    <w:rsid w:val="00BB66A7"/>
    <w:rsid w:val="00BB66BB"/>
    <w:rsid w:val="00BB6C06"/>
    <w:rsid w:val="00BB7232"/>
    <w:rsid w:val="00BC02DF"/>
    <w:rsid w:val="00BC0303"/>
    <w:rsid w:val="00BC03AB"/>
    <w:rsid w:val="00BC059F"/>
    <w:rsid w:val="00BC05D9"/>
    <w:rsid w:val="00BC08D8"/>
    <w:rsid w:val="00BC1CEF"/>
    <w:rsid w:val="00BC2132"/>
    <w:rsid w:val="00BC2A61"/>
    <w:rsid w:val="00BC2FE3"/>
    <w:rsid w:val="00BC5541"/>
    <w:rsid w:val="00BC570B"/>
    <w:rsid w:val="00BC5ABF"/>
    <w:rsid w:val="00BC5BAD"/>
    <w:rsid w:val="00BC7264"/>
    <w:rsid w:val="00BD028E"/>
    <w:rsid w:val="00BD0503"/>
    <w:rsid w:val="00BD0D7A"/>
    <w:rsid w:val="00BD1DD9"/>
    <w:rsid w:val="00BD1DEF"/>
    <w:rsid w:val="00BD2192"/>
    <w:rsid w:val="00BD3EFC"/>
    <w:rsid w:val="00BD4771"/>
    <w:rsid w:val="00BD57EE"/>
    <w:rsid w:val="00BD63BF"/>
    <w:rsid w:val="00BD6E96"/>
    <w:rsid w:val="00BD7C6C"/>
    <w:rsid w:val="00BE07D0"/>
    <w:rsid w:val="00BE0B3D"/>
    <w:rsid w:val="00BE1F10"/>
    <w:rsid w:val="00BE1FB6"/>
    <w:rsid w:val="00BE2CD8"/>
    <w:rsid w:val="00BE2D71"/>
    <w:rsid w:val="00BE2F59"/>
    <w:rsid w:val="00BE3866"/>
    <w:rsid w:val="00BE4B17"/>
    <w:rsid w:val="00BE4D1D"/>
    <w:rsid w:val="00BE4EB4"/>
    <w:rsid w:val="00BE5A7A"/>
    <w:rsid w:val="00BE5C95"/>
    <w:rsid w:val="00BE5ECB"/>
    <w:rsid w:val="00BE6006"/>
    <w:rsid w:val="00BE7AA0"/>
    <w:rsid w:val="00BE7B00"/>
    <w:rsid w:val="00BF08A7"/>
    <w:rsid w:val="00BF0B49"/>
    <w:rsid w:val="00BF267A"/>
    <w:rsid w:val="00BF2841"/>
    <w:rsid w:val="00BF3151"/>
    <w:rsid w:val="00BF38DC"/>
    <w:rsid w:val="00BF4A16"/>
    <w:rsid w:val="00BF5A69"/>
    <w:rsid w:val="00BF73FB"/>
    <w:rsid w:val="00BF75A6"/>
    <w:rsid w:val="00C0011E"/>
    <w:rsid w:val="00C0012A"/>
    <w:rsid w:val="00C013E5"/>
    <w:rsid w:val="00C015F9"/>
    <w:rsid w:val="00C0195C"/>
    <w:rsid w:val="00C031BD"/>
    <w:rsid w:val="00C0452A"/>
    <w:rsid w:val="00C04646"/>
    <w:rsid w:val="00C10761"/>
    <w:rsid w:val="00C108B0"/>
    <w:rsid w:val="00C10D9D"/>
    <w:rsid w:val="00C1275D"/>
    <w:rsid w:val="00C129C3"/>
    <w:rsid w:val="00C12A38"/>
    <w:rsid w:val="00C14C78"/>
    <w:rsid w:val="00C15180"/>
    <w:rsid w:val="00C1559A"/>
    <w:rsid w:val="00C15E51"/>
    <w:rsid w:val="00C165BB"/>
    <w:rsid w:val="00C21960"/>
    <w:rsid w:val="00C23388"/>
    <w:rsid w:val="00C23431"/>
    <w:rsid w:val="00C24192"/>
    <w:rsid w:val="00C24200"/>
    <w:rsid w:val="00C24437"/>
    <w:rsid w:val="00C25DDA"/>
    <w:rsid w:val="00C26688"/>
    <w:rsid w:val="00C273A1"/>
    <w:rsid w:val="00C27F71"/>
    <w:rsid w:val="00C30B6A"/>
    <w:rsid w:val="00C30BA3"/>
    <w:rsid w:val="00C315A5"/>
    <w:rsid w:val="00C32253"/>
    <w:rsid w:val="00C326FF"/>
    <w:rsid w:val="00C3274D"/>
    <w:rsid w:val="00C3317E"/>
    <w:rsid w:val="00C3362B"/>
    <w:rsid w:val="00C3485F"/>
    <w:rsid w:val="00C34CF4"/>
    <w:rsid w:val="00C354F5"/>
    <w:rsid w:val="00C354FE"/>
    <w:rsid w:val="00C35B97"/>
    <w:rsid w:val="00C36EA2"/>
    <w:rsid w:val="00C40889"/>
    <w:rsid w:val="00C41DC6"/>
    <w:rsid w:val="00C429DE"/>
    <w:rsid w:val="00C4311A"/>
    <w:rsid w:val="00C448DB"/>
    <w:rsid w:val="00C44EAE"/>
    <w:rsid w:val="00C46149"/>
    <w:rsid w:val="00C46155"/>
    <w:rsid w:val="00C46AC3"/>
    <w:rsid w:val="00C4706E"/>
    <w:rsid w:val="00C47326"/>
    <w:rsid w:val="00C4756B"/>
    <w:rsid w:val="00C477D5"/>
    <w:rsid w:val="00C47D1A"/>
    <w:rsid w:val="00C51861"/>
    <w:rsid w:val="00C5224C"/>
    <w:rsid w:val="00C53AF7"/>
    <w:rsid w:val="00C541E3"/>
    <w:rsid w:val="00C546E6"/>
    <w:rsid w:val="00C557D7"/>
    <w:rsid w:val="00C55AEA"/>
    <w:rsid w:val="00C56A1F"/>
    <w:rsid w:val="00C56D8B"/>
    <w:rsid w:val="00C57D6D"/>
    <w:rsid w:val="00C61951"/>
    <w:rsid w:val="00C62F76"/>
    <w:rsid w:val="00C62FFC"/>
    <w:rsid w:val="00C63412"/>
    <w:rsid w:val="00C63FEC"/>
    <w:rsid w:val="00C65A78"/>
    <w:rsid w:val="00C70056"/>
    <w:rsid w:val="00C70485"/>
    <w:rsid w:val="00C70D6C"/>
    <w:rsid w:val="00C70F97"/>
    <w:rsid w:val="00C71276"/>
    <w:rsid w:val="00C7129E"/>
    <w:rsid w:val="00C7229C"/>
    <w:rsid w:val="00C72401"/>
    <w:rsid w:val="00C73D79"/>
    <w:rsid w:val="00C743AC"/>
    <w:rsid w:val="00C746A5"/>
    <w:rsid w:val="00C75BDA"/>
    <w:rsid w:val="00C769A8"/>
    <w:rsid w:val="00C778E9"/>
    <w:rsid w:val="00C77A59"/>
    <w:rsid w:val="00C81425"/>
    <w:rsid w:val="00C81C49"/>
    <w:rsid w:val="00C823F0"/>
    <w:rsid w:val="00C83BE1"/>
    <w:rsid w:val="00C83E41"/>
    <w:rsid w:val="00C84119"/>
    <w:rsid w:val="00C85193"/>
    <w:rsid w:val="00C857AB"/>
    <w:rsid w:val="00C85EAD"/>
    <w:rsid w:val="00C87188"/>
    <w:rsid w:val="00C87D29"/>
    <w:rsid w:val="00C87F33"/>
    <w:rsid w:val="00C909E7"/>
    <w:rsid w:val="00C91F14"/>
    <w:rsid w:val="00C926CC"/>
    <w:rsid w:val="00C95436"/>
    <w:rsid w:val="00C9544E"/>
    <w:rsid w:val="00C958CD"/>
    <w:rsid w:val="00C95DEC"/>
    <w:rsid w:val="00C97687"/>
    <w:rsid w:val="00C976F7"/>
    <w:rsid w:val="00CA0282"/>
    <w:rsid w:val="00CA0530"/>
    <w:rsid w:val="00CA18FA"/>
    <w:rsid w:val="00CA2DFA"/>
    <w:rsid w:val="00CA38F1"/>
    <w:rsid w:val="00CA4D24"/>
    <w:rsid w:val="00CA63C6"/>
    <w:rsid w:val="00CA6694"/>
    <w:rsid w:val="00CA7091"/>
    <w:rsid w:val="00CA72B9"/>
    <w:rsid w:val="00CA72BF"/>
    <w:rsid w:val="00CB0DAA"/>
    <w:rsid w:val="00CB1905"/>
    <w:rsid w:val="00CB1AA5"/>
    <w:rsid w:val="00CB219B"/>
    <w:rsid w:val="00CB2C8B"/>
    <w:rsid w:val="00CB45D7"/>
    <w:rsid w:val="00CB5128"/>
    <w:rsid w:val="00CB5A33"/>
    <w:rsid w:val="00CB6981"/>
    <w:rsid w:val="00CB6ACF"/>
    <w:rsid w:val="00CB6EF0"/>
    <w:rsid w:val="00CC0A47"/>
    <w:rsid w:val="00CC0BA2"/>
    <w:rsid w:val="00CC10CF"/>
    <w:rsid w:val="00CC1713"/>
    <w:rsid w:val="00CC1C01"/>
    <w:rsid w:val="00CC1D53"/>
    <w:rsid w:val="00CC2081"/>
    <w:rsid w:val="00CC2623"/>
    <w:rsid w:val="00CC30D7"/>
    <w:rsid w:val="00CC4A1B"/>
    <w:rsid w:val="00CC4FB2"/>
    <w:rsid w:val="00CC525F"/>
    <w:rsid w:val="00CC5671"/>
    <w:rsid w:val="00CC66AF"/>
    <w:rsid w:val="00CC6DA0"/>
    <w:rsid w:val="00CC777C"/>
    <w:rsid w:val="00CC7A76"/>
    <w:rsid w:val="00CC7D50"/>
    <w:rsid w:val="00CC7F66"/>
    <w:rsid w:val="00CD08F8"/>
    <w:rsid w:val="00CD0BE7"/>
    <w:rsid w:val="00CD1109"/>
    <w:rsid w:val="00CD34A0"/>
    <w:rsid w:val="00CD41FC"/>
    <w:rsid w:val="00CD45BF"/>
    <w:rsid w:val="00CD4981"/>
    <w:rsid w:val="00CD5129"/>
    <w:rsid w:val="00CD52AD"/>
    <w:rsid w:val="00CD5677"/>
    <w:rsid w:val="00CD5789"/>
    <w:rsid w:val="00CD718B"/>
    <w:rsid w:val="00CD7736"/>
    <w:rsid w:val="00CD7982"/>
    <w:rsid w:val="00CE0E1B"/>
    <w:rsid w:val="00CE0FE6"/>
    <w:rsid w:val="00CE34CD"/>
    <w:rsid w:val="00CE4770"/>
    <w:rsid w:val="00CE53C6"/>
    <w:rsid w:val="00CE64F2"/>
    <w:rsid w:val="00CE6613"/>
    <w:rsid w:val="00CE6F98"/>
    <w:rsid w:val="00CE7A33"/>
    <w:rsid w:val="00CE7C1B"/>
    <w:rsid w:val="00CF0278"/>
    <w:rsid w:val="00CF0426"/>
    <w:rsid w:val="00CF0D0C"/>
    <w:rsid w:val="00CF13A9"/>
    <w:rsid w:val="00CF1717"/>
    <w:rsid w:val="00CF214D"/>
    <w:rsid w:val="00CF2404"/>
    <w:rsid w:val="00CF3304"/>
    <w:rsid w:val="00CF35F0"/>
    <w:rsid w:val="00CF3792"/>
    <w:rsid w:val="00CF3BDE"/>
    <w:rsid w:val="00CF55E2"/>
    <w:rsid w:val="00CF5E17"/>
    <w:rsid w:val="00D00D88"/>
    <w:rsid w:val="00D01919"/>
    <w:rsid w:val="00D03321"/>
    <w:rsid w:val="00D037C8"/>
    <w:rsid w:val="00D041E6"/>
    <w:rsid w:val="00D049DC"/>
    <w:rsid w:val="00D068F9"/>
    <w:rsid w:val="00D070BB"/>
    <w:rsid w:val="00D07184"/>
    <w:rsid w:val="00D079FD"/>
    <w:rsid w:val="00D10628"/>
    <w:rsid w:val="00D11105"/>
    <w:rsid w:val="00D11416"/>
    <w:rsid w:val="00D1186A"/>
    <w:rsid w:val="00D11A96"/>
    <w:rsid w:val="00D130AB"/>
    <w:rsid w:val="00D148FB"/>
    <w:rsid w:val="00D14D2D"/>
    <w:rsid w:val="00D15268"/>
    <w:rsid w:val="00D161D4"/>
    <w:rsid w:val="00D1660C"/>
    <w:rsid w:val="00D167BB"/>
    <w:rsid w:val="00D17C79"/>
    <w:rsid w:val="00D211E9"/>
    <w:rsid w:val="00D2142A"/>
    <w:rsid w:val="00D21871"/>
    <w:rsid w:val="00D21FFD"/>
    <w:rsid w:val="00D22289"/>
    <w:rsid w:val="00D22A70"/>
    <w:rsid w:val="00D22CDD"/>
    <w:rsid w:val="00D23700"/>
    <w:rsid w:val="00D243F7"/>
    <w:rsid w:val="00D2490B"/>
    <w:rsid w:val="00D2504E"/>
    <w:rsid w:val="00D257E5"/>
    <w:rsid w:val="00D26376"/>
    <w:rsid w:val="00D27083"/>
    <w:rsid w:val="00D27AE6"/>
    <w:rsid w:val="00D300FF"/>
    <w:rsid w:val="00D30BB7"/>
    <w:rsid w:val="00D30E29"/>
    <w:rsid w:val="00D322F4"/>
    <w:rsid w:val="00D323C7"/>
    <w:rsid w:val="00D32E79"/>
    <w:rsid w:val="00D3311E"/>
    <w:rsid w:val="00D339A3"/>
    <w:rsid w:val="00D34349"/>
    <w:rsid w:val="00D36752"/>
    <w:rsid w:val="00D36FA4"/>
    <w:rsid w:val="00D375AB"/>
    <w:rsid w:val="00D40351"/>
    <w:rsid w:val="00D4070F"/>
    <w:rsid w:val="00D43895"/>
    <w:rsid w:val="00D43CD7"/>
    <w:rsid w:val="00D44764"/>
    <w:rsid w:val="00D45010"/>
    <w:rsid w:val="00D451BD"/>
    <w:rsid w:val="00D45207"/>
    <w:rsid w:val="00D45C74"/>
    <w:rsid w:val="00D45CD7"/>
    <w:rsid w:val="00D47BFB"/>
    <w:rsid w:val="00D47C60"/>
    <w:rsid w:val="00D518B9"/>
    <w:rsid w:val="00D5342A"/>
    <w:rsid w:val="00D5358F"/>
    <w:rsid w:val="00D545D9"/>
    <w:rsid w:val="00D54634"/>
    <w:rsid w:val="00D54848"/>
    <w:rsid w:val="00D554C8"/>
    <w:rsid w:val="00D56897"/>
    <w:rsid w:val="00D57B42"/>
    <w:rsid w:val="00D6064B"/>
    <w:rsid w:val="00D60961"/>
    <w:rsid w:val="00D609E1"/>
    <w:rsid w:val="00D613F8"/>
    <w:rsid w:val="00D62337"/>
    <w:rsid w:val="00D62499"/>
    <w:rsid w:val="00D6435E"/>
    <w:rsid w:val="00D645ED"/>
    <w:rsid w:val="00D65367"/>
    <w:rsid w:val="00D65D78"/>
    <w:rsid w:val="00D6609B"/>
    <w:rsid w:val="00D66B68"/>
    <w:rsid w:val="00D66F37"/>
    <w:rsid w:val="00D67994"/>
    <w:rsid w:val="00D67B29"/>
    <w:rsid w:val="00D7167B"/>
    <w:rsid w:val="00D71798"/>
    <w:rsid w:val="00D7181C"/>
    <w:rsid w:val="00D7183E"/>
    <w:rsid w:val="00D7186D"/>
    <w:rsid w:val="00D72866"/>
    <w:rsid w:val="00D72A6C"/>
    <w:rsid w:val="00D72AB6"/>
    <w:rsid w:val="00D74B29"/>
    <w:rsid w:val="00D74CD2"/>
    <w:rsid w:val="00D75504"/>
    <w:rsid w:val="00D76B53"/>
    <w:rsid w:val="00D77B2A"/>
    <w:rsid w:val="00D77CA7"/>
    <w:rsid w:val="00D80172"/>
    <w:rsid w:val="00D810B5"/>
    <w:rsid w:val="00D81523"/>
    <w:rsid w:val="00D81FBF"/>
    <w:rsid w:val="00D82AB6"/>
    <w:rsid w:val="00D82EC3"/>
    <w:rsid w:val="00D82EE3"/>
    <w:rsid w:val="00D837A3"/>
    <w:rsid w:val="00D84077"/>
    <w:rsid w:val="00D8491C"/>
    <w:rsid w:val="00D84B46"/>
    <w:rsid w:val="00D84F95"/>
    <w:rsid w:val="00D85394"/>
    <w:rsid w:val="00D868F7"/>
    <w:rsid w:val="00D86E27"/>
    <w:rsid w:val="00D87763"/>
    <w:rsid w:val="00D87FA9"/>
    <w:rsid w:val="00D90D51"/>
    <w:rsid w:val="00D90FEE"/>
    <w:rsid w:val="00D91AFB"/>
    <w:rsid w:val="00D92003"/>
    <w:rsid w:val="00D928AC"/>
    <w:rsid w:val="00D928F0"/>
    <w:rsid w:val="00D93137"/>
    <w:rsid w:val="00D93DA4"/>
    <w:rsid w:val="00D95B92"/>
    <w:rsid w:val="00D96990"/>
    <w:rsid w:val="00DA142A"/>
    <w:rsid w:val="00DA181A"/>
    <w:rsid w:val="00DA231A"/>
    <w:rsid w:val="00DA3C32"/>
    <w:rsid w:val="00DA4C04"/>
    <w:rsid w:val="00DA5990"/>
    <w:rsid w:val="00DA63E5"/>
    <w:rsid w:val="00DA741B"/>
    <w:rsid w:val="00DB0A14"/>
    <w:rsid w:val="00DB1664"/>
    <w:rsid w:val="00DB1E1E"/>
    <w:rsid w:val="00DB33AC"/>
    <w:rsid w:val="00DB51E8"/>
    <w:rsid w:val="00DB58D1"/>
    <w:rsid w:val="00DB5953"/>
    <w:rsid w:val="00DB62B4"/>
    <w:rsid w:val="00DB6A32"/>
    <w:rsid w:val="00DB6F8E"/>
    <w:rsid w:val="00DC057A"/>
    <w:rsid w:val="00DC0991"/>
    <w:rsid w:val="00DC17C1"/>
    <w:rsid w:val="00DC18F2"/>
    <w:rsid w:val="00DC1DD3"/>
    <w:rsid w:val="00DC25FE"/>
    <w:rsid w:val="00DC26A7"/>
    <w:rsid w:val="00DC26AB"/>
    <w:rsid w:val="00DC2B1F"/>
    <w:rsid w:val="00DC2DAE"/>
    <w:rsid w:val="00DC518B"/>
    <w:rsid w:val="00DC51B8"/>
    <w:rsid w:val="00DC5391"/>
    <w:rsid w:val="00DC66AD"/>
    <w:rsid w:val="00DC765A"/>
    <w:rsid w:val="00DC7A44"/>
    <w:rsid w:val="00DC7C1C"/>
    <w:rsid w:val="00DC7F39"/>
    <w:rsid w:val="00DD04FF"/>
    <w:rsid w:val="00DD179D"/>
    <w:rsid w:val="00DD1855"/>
    <w:rsid w:val="00DD19B7"/>
    <w:rsid w:val="00DD1BE0"/>
    <w:rsid w:val="00DD20AF"/>
    <w:rsid w:val="00DD2247"/>
    <w:rsid w:val="00DD320E"/>
    <w:rsid w:val="00DD3456"/>
    <w:rsid w:val="00DD3903"/>
    <w:rsid w:val="00DD409F"/>
    <w:rsid w:val="00DD53BD"/>
    <w:rsid w:val="00DD593C"/>
    <w:rsid w:val="00DD68ED"/>
    <w:rsid w:val="00DD7C34"/>
    <w:rsid w:val="00DD7FCE"/>
    <w:rsid w:val="00DE0439"/>
    <w:rsid w:val="00DE0D84"/>
    <w:rsid w:val="00DE1835"/>
    <w:rsid w:val="00DE1B47"/>
    <w:rsid w:val="00DE1D68"/>
    <w:rsid w:val="00DE23B0"/>
    <w:rsid w:val="00DE2A48"/>
    <w:rsid w:val="00DE2B4C"/>
    <w:rsid w:val="00DE2DE6"/>
    <w:rsid w:val="00DE398E"/>
    <w:rsid w:val="00DE4D9D"/>
    <w:rsid w:val="00DE54F4"/>
    <w:rsid w:val="00DE58A0"/>
    <w:rsid w:val="00DE65D9"/>
    <w:rsid w:val="00DE6B41"/>
    <w:rsid w:val="00DE6D67"/>
    <w:rsid w:val="00DE7084"/>
    <w:rsid w:val="00DE7444"/>
    <w:rsid w:val="00DE781C"/>
    <w:rsid w:val="00DE7E06"/>
    <w:rsid w:val="00DF22C7"/>
    <w:rsid w:val="00DF2994"/>
    <w:rsid w:val="00DF3EEC"/>
    <w:rsid w:val="00DF4B1F"/>
    <w:rsid w:val="00DF4DCD"/>
    <w:rsid w:val="00DF5405"/>
    <w:rsid w:val="00DF54B3"/>
    <w:rsid w:val="00DF572B"/>
    <w:rsid w:val="00DF6B41"/>
    <w:rsid w:val="00DF6D02"/>
    <w:rsid w:val="00DF78C2"/>
    <w:rsid w:val="00DF7AC4"/>
    <w:rsid w:val="00DF7B8E"/>
    <w:rsid w:val="00E007C6"/>
    <w:rsid w:val="00E013DB"/>
    <w:rsid w:val="00E01821"/>
    <w:rsid w:val="00E03555"/>
    <w:rsid w:val="00E035D4"/>
    <w:rsid w:val="00E03E0C"/>
    <w:rsid w:val="00E04487"/>
    <w:rsid w:val="00E04523"/>
    <w:rsid w:val="00E05379"/>
    <w:rsid w:val="00E05CDC"/>
    <w:rsid w:val="00E062EC"/>
    <w:rsid w:val="00E06339"/>
    <w:rsid w:val="00E0645D"/>
    <w:rsid w:val="00E071E3"/>
    <w:rsid w:val="00E07ED7"/>
    <w:rsid w:val="00E1180C"/>
    <w:rsid w:val="00E126A8"/>
    <w:rsid w:val="00E1328E"/>
    <w:rsid w:val="00E13468"/>
    <w:rsid w:val="00E1350C"/>
    <w:rsid w:val="00E14C93"/>
    <w:rsid w:val="00E1642F"/>
    <w:rsid w:val="00E16FC7"/>
    <w:rsid w:val="00E21506"/>
    <w:rsid w:val="00E21569"/>
    <w:rsid w:val="00E22157"/>
    <w:rsid w:val="00E223E4"/>
    <w:rsid w:val="00E2289F"/>
    <w:rsid w:val="00E24CBA"/>
    <w:rsid w:val="00E24EB7"/>
    <w:rsid w:val="00E24F7A"/>
    <w:rsid w:val="00E2567C"/>
    <w:rsid w:val="00E26593"/>
    <w:rsid w:val="00E26A27"/>
    <w:rsid w:val="00E2730F"/>
    <w:rsid w:val="00E2756B"/>
    <w:rsid w:val="00E27DBB"/>
    <w:rsid w:val="00E27FE9"/>
    <w:rsid w:val="00E3004D"/>
    <w:rsid w:val="00E3018C"/>
    <w:rsid w:val="00E310AA"/>
    <w:rsid w:val="00E31221"/>
    <w:rsid w:val="00E32919"/>
    <w:rsid w:val="00E332A3"/>
    <w:rsid w:val="00E33B54"/>
    <w:rsid w:val="00E35062"/>
    <w:rsid w:val="00E37DF0"/>
    <w:rsid w:val="00E417DB"/>
    <w:rsid w:val="00E41D84"/>
    <w:rsid w:val="00E43141"/>
    <w:rsid w:val="00E434C3"/>
    <w:rsid w:val="00E43835"/>
    <w:rsid w:val="00E43F17"/>
    <w:rsid w:val="00E44013"/>
    <w:rsid w:val="00E456B7"/>
    <w:rsid w:val="00E457D0"/>
    <w:rsid w:val="00E46D40"/>
    <w:rsid w:val="00E4776F"/>
    <w:rsid w:val="00E500A9"/>
    <w:rsid w:val="00E50942"/>
    <w:rsid w:val="00E5206A"/>
    <w:rsid w:val="00E52A51"/>
    <w:rsid w:val="00E53112"/>
    <w:rsid w:val="00E548D6"/>
    <w:rsid w:val="00E55091"/>
    <w:rsid w:val="00E556A7"/>
    <w:rsid w:val="00E56C6C"/>
    <w:rsid w:val="00E56D1B"/>
    <w:rsid w:val="00E56E08"/>
    <w:rsid w:val="00E57A6D"/>
    <w:rsid w:val="00E608F2"/>
    <w:rsid w:val="00E61DB3"/>
    <w:rsid w:val="00E62CE0"/>
    <w:rsid w:val="00E634E9"/>
    <w:rsid w:val="00E638A3"/>
    <w:rsid w:val="00E64346"/>
    <w:rsid w:val="00E66426"/>
    <w:rsid w:val="00E66C13"/>
    <w:rsid w:val="00E6761B"/>
    <w:rsid w:val="00E67D61"/>
    <w:rsid w:val="00E67E93"/>
    <w:rsid w:val="00E7089C"/>
    <w:rsid w:val="00E70D20"/>
    <w:rsid w:val="00E71606"/>
    <w:rsid w:val="00E721F7"/>
    <w:rsid w:val="00E72EBE"/>
    <w:rsid w:val="00E7395B"/>
    <w:rsid w:val="00E74DC7"/>
    <w:rsid w:val="00E750E6"/>
    <w:rsid w:val="00E751CC"/>
    <w:rsid w:val="00E754A7"/>
    <w:rsid w:val="00E75C0C"/>
    <w:rsid w:val="00E76371"/>
    <w:rsid w:val="00E76FF9"/>
    <w:rsid w:val="00E7736F"/>
    <w:rsid w:val="00E774C3"/>
    <w:rsid w:val="00E77A18"/>
    <w:rsid w:val="00E80B93"/>
    <w:rsid w:val="00E8109E"/>
    <w:rsid w:val="00E812EE"/>
    <w:rsid w:val="00E81794"/>
    <w:rsid w:val="00E853B1"/>
    <w:rsid w:val="00E85790"/>
    <w:rsid w:val="00E85BE2"/>
    <w:rsid w:val="00E85C35"/>
    <w:rsid w:val="00E863AB"/>
    <w:rsid w:val="00E863C2"/>
    <w:rsid w:val="00E86486"/>
    <w:rsid w:val="00E86BC7"/>
    <w:rsid w:val="00E86D84"/>
    <w:rsid w:val="00E87959"/>
    <w:rsid w:val="00E90324"/>
    <w:rsid w:val="00E91055"/>
    <w:rsid w:val="00E912D3"/>
    <w:rsid w:val="00E91CA9"/>
    <w:rsid w:val="00E929A7"/>
    <w:rsid w:val="00E92F07"/>
    <w:rsid w:val="00E95089"/>
    <w:rsid w:val="00E95679"/>
    <w:rsid w:val="00E95A42"/>
    <w:rsid w:val="00E95AD0"/>
    <w:rsid w:val="00E95D66"/>
    <w:rsid w:val="00E95DFA"/>
    <w:rsid w:val="00E966E2"/>
    <w:rsid w:val="00E96BBF"/>
    <w:rsid w:val="00E96DD4"/>
    <w:rsid w:val="00E97915"/>
    <w:rsid w:val="00EA094D"/>
    <w:rsid w:val="00EA0FF9"/>
    <w:rsid w:val="00EA1C89"/>
    <w:rsid w:val="00EA2681"/>
    <w:rsid w:val="00EA3C87"/>
    <w:rsid w:val="00EA4BA4"/>
    <w:rsid w:val="00EA7659"/>
    <w:rsid w:val="00EA76DA"/>
    <w:rsid w:val="00EB0082"/>
    <w:rsid w:val="00EB011D"/>
    <w:rsid w:val="00EB0BD0"/>
    <w:rsid w:val="00EB1A30"/>
    <w:rsid w:val="00EB3F28"/>
    <w:rsid w:val="00EB46A7"/>
    <w:rsid w:val="00EB580C"/>
    <w:rsid w:val="00EB6664"/>
    <w:rsid w:val="00EB68D6"/>
    <w:rsid w:val="00EB6F29"/>
    <w:rsid w:val="00EB753C"/>
    <w:rsid w:val="00EB768F"/>
    <w:rsid w:val="00EB7E44"/>
    <w:rsid w:val="00EB7F8D"/>
    <w:rsid w:val="00EC1DDF"/>
    <w:rsid w:val="00EC24D2"/>
    <w:rsid w:val="00EC2BEC"/>
    <w:rsid w:val="00EC3268"/>
    <w:rsid w:val="00EC3426"/>
    <w:rsid w:val="00EC4093"/>
    <w:rsid w:val="00EC44FA"/>
    <w:rsid w:val="00EC4A75"/>
    <w:rsid w:val="00EC4E1C"/>
    <w:rsid w:val="00EC5317"/>
    <w:rsid w:val="00EC61A1"/>
    <w:rsid w:val="00EC6293"/>
    <w:rsid w:val="00EC69E0"/>
    <w:rsid w:val="00EC6A76"/>
    <w:rsid w:val="00EC78CC"/>
    <w:rsid w:val="00ED045B"/>
    <w:rsid w:val="00ED2673"/>
    <w:rsid w:val="00ED391D"/>
    <w:rsid w:val="00ED3F55"/>
    <w:rsid w:val="00ED3F58"/>
    <w:rsid w:val="00ED53B4"/>
    <w:rsid w:val="00ED5E63"/>
    <w:rsid w:val="00ED6812"/>
    <w:rsid w:val="00ED78AA"/>
    <w:rsid w:val="00ED7A59"/>
    <w:rsid w:val="00EE0535"/>
    <w:rsid w:val="00EE0742"/>
    <w:rsid w:val="00EE09FD"/>
    <w:rsid w:val="00EE1A50"/>
    <w:rsid w:val="00EE21DA"/>
    <w:rsid w:val="00EE24CE"/>
    <w:rsid w:val="00EE252D"/>
    <w:rsid w:val="00EE2A83"/>
    <w:rsid w:val="00EE2FE9"/>
    <w:rsid w:val="00EE3647"/>
    <w:rsid w:val="00EE46A2"/>
    <w:rsid w:val="00EE57B9"/>
    <w:rsid w:val="00EE680B"/>
    <w:rsid w:val="00EF03ED"/>
    <w:rsid w:val="00EF1198"/>
    <w:rsid w:val="00EF158B"/>
    <w:rsid w:val="00EF2A67"/>
    <w:rsid w:val="00EF3A56"/>
    <w:rsid w:val="00EF3ED7"/>
    <w:rsid w:val="00EF4425"/>
    <w:rsid w:val="00EF4CEB"/>
    <w:rsid w:val="00EF577F"/>
    <w:rsid w:val="00EF5B27"/>
    <w:rsid w:val="00EF6C9E"/>
    <w:rsid w:val="00EF7C56"/>
    <w:rsid w:val="00EF7FCC"/>
    <w:rsid w:val="00F00132"/>
    <w:rsid w:val="00F00193"/>
    <w:rsid w:val="00F00AF4"/>
    <w:rsid w:val="00F01417"/>
    <w:rsid w:val="00F01D36"/>
    <w:rsid w:val="00F02887"/>
    <w:rsid w:val="00F031B5"/>
    <w:rsid w:val="00F03373"/>
    <w:rsid w:val="00F036E7"/>
    <w:rsid w:val="00F04F86"/>
    <w:rsid w:val="00F05AF8"/>
    <w:rsid w:val="00F0670A"/>
    <w:rsid w:val="00F071AA"/>
    <w:rsid w:val="00F0781E"/>
    <w:rsid w:val="00F07AC1"/>
    <w:rsid w:val="00F07FCE"/>
    <w:rsid w:val="00F1019A"/>
    <w:rsid w:val="00F10AF5"/>
    <w:rsid w:val="00F11AA5"/>
    <w:rsid w:val="00F12CC1"/>
    <w:rsid w:val="00F12F51"/>
    <w:rsid w:val="00F1451B"/>
    <w:rsid w:val="00F152BB"/>
    <w:rsid w:val="00F15CBA"/>
    <w:rsid w:val="00F15CC4"/>
    <w:rsid w:val="00F1606A"/>
    <w:rsid w:val="00F1678E"/>
    <w:rsid w:val="00F1785A"/>
    <w:rsid w:val="00F22CE8"/>
    <w:rsid w:val="00F22DC6"/>
    <w:rsid w:val="00F23209"/>
    <w:rsid w:val="00F24565"/>
    <w:rsid w:val="00F24AA8"/>
    <w:rsid w:val="00F252BB"/>
    <w:rsid w:val="00F2580D"/>
    <w:rsid w:val="00F258D4"/>
    <w:rsid w:val="00F26121"/>
    <w:rsid w:val="00F26BEB"/>
    <w:rsid w:val="00F2718C"/>
    <w:rsid w:val="00F27A4B"/>
    <w:rsid w:val="00F306E8"/>
    <w:rsid w:val="00F31EB9"/>
    <w:rsid w:val="00F32058"/>
    <w:rsid w:val="00F32661"/>
    <w:rsid w:val="00F32CC5"/>
    <w:rsid w:val="00F34E9F"/>
    <w:rsid w:val="00F35711"/>
    <w:rsid w:val="00F35928"/>
    <w:rsid w:val="00F363D1"/>
    <w:rsid w:val="00F366C4"/>
    <w:rsid w:val="00F36BF5"/>
    <w:rsid w:val="00F36BF7"/>
    <w:rsid w:val="00F370F3"/>
    <w:rsid w:val="00F4153D"/>
    <w:rsid w:val="00F416C5"/>
    <w:rsid w:val="00F4235C"/>
    <w:rsid w:val="00F43C1F"/>
    <w:rsid w:val="00F44EBF"/>
    <w:rsid w:val="00F44F07"/>
    <w:rsid w:val="00F457BA"/>
    <w:rsid w:val="00F465D8"/>
    <w:rsid w:val="00F47122"/>
    <w:rsid w:val="00F47AAB"/>
    <w:rsid w:val="00F5029F"/>
    <w:rsid w:val="00F503C2"/>
    <w:rsid w:val="00F513B9"/>
    <w:rsid w:val="00F5143C"/>
    <w:rsid w:val="00F51C4D"/>
    <w:rsid w:val="00F525FC"/>
    <w:rsid w:val="00F52BE5"/>
    <w:rsid w:val="00F53E48"/>
    <w:rsid w:val="00F53F72"/>
    <w:rsid w:val="00F546CC"/>
    <w:rsid w:val="00F54777"/>
    <w:rsid w:val="00F54B90"/>
    <w:rsid w:val="00F55476"/>
    <w:rsid w:val="00F5547A"/>
    <w:rsid w:val="00F5552F"/>
    <w:rsid w:val="00F56308"/>
    <w:rsid w:val="00F56993"/>
    <w:rsid w:val="00F56A96"/>
    <w:rsid w:val="00F56B03"/>
    <w:rsid w:val="00F61B54"/>
    <w:rsid w:val="00F63B5E"/>
    <w:rsid w:val="00F64164"/>
    <w:rsid w:val="00F64756"/>
    <w:rsid w:val="00F65196"/>
    <w:rsid w:val="00F6525C"/>
    <w:rsid w:val="00F65C04"/>
    <w:rsid w:val="00F65D16"/>
    <w:rsid w:val="00F66BCD"/>
    <w:rsid w:val="00F6741A"/>
    <w:rsid w:val="00F67704"/>
    <w:rsid w:val="00F70065"/>
    <w:rsid w:val="00F70555"/>
    <w:rsid w:val="00F712D3"/>
    <w:rsid w:val="00F7166E"/>
    <w:rsid w:val="00F719AA"/>
    <w:rsid w:val="00F71B71"/>
    <w:rsid w:val="00F71C56"/>
    <w:rsid w:val="00F72871"/>
    <w:rsid w:val="00F72BBC"/>
    <w:rsid w:val="00F74212"/>
    <w:rsid w:val="00F745D6"/>
    <w:rsid w:val="00F74A75"/>
    <w:rsid w:val="00F74CAB"/>
    <w:rsid w:val="00F75E3A"/>
    <w:rsid w:val="00F76C83"/>
    <w:rsid w:val="00F77048"/>
    <w:rsid w:val="00F77647"/>
    <w:rsid w:val="00F77CC9"/>
    <w:rsid w:val="00F80A9C"/>
    <w:rsid w:val="00F8103D"/>
    <w:rsid w:val="00F81A21"/>
    <w:rsid w:val="00F81CE4"/>
    <w:rsid w:val="00F8262B"/>
    <w:rsid w:val="00F8288E"/>
    <w:rsid w:val="00F8292D"/>
    <w:rsid w:val="00F82AEF"/>
    <w:rsid w:val="00F83E62"/>
    <w:rsid w:val="00F84D60"/>
    <w:rsid w:val="00F863E6"/>
    <w:rsid w:val="00F86E27"/>
    <w:rsid w:val="00F874F7"/>
    <w:rsid w:val="00F87CFE"/>
    <w:rsid w:val="00F87E5A"/>
    <w:rsid w:val="00F9005A"/>
    <w:rsid w:val="00F90674"/>
    <w:rsid w:val="00F910E8"/>
    <w:rsid w:val="00F91213"/>
    <w:rsid w:val="00F913B6"/>
    <w:rsid w:val="00F91A51"/>
    <w:rsid w:val="00F91E13"/>
    <w:rsid w:val="00F93472"/>
    <w:rsid w:val="00F96B63"/>
    <w:rsid w:val="00F96DD1"/>
    <w:rsid w:val="00F9743A"/>
    <w:rsid w:val="00FA07AA"/>
    <w:rsid w:val="00FA1CD9"/>
    <w:rsid w:val="00FA3DFC"/>
    <w:rsid w:val="00FA46C1"/>
    <w:rsid w:val="00FA59B5"/>
    <w:rsid w:val="00FA5BB2"/>
    <w:rsid w:val="00FA67F2"/>
    <w:rsid w:val="00FA732E"/>
    <w:rsid w:val="00FA7553"/>
    <w:rsid w:val="00FA7A4D"/>
    <w:rsid w:val="00FA7DF1"/>
    <w:rsid w:val="00FA7FD2"/>
    <w:rsid w:val="00FB0858"/>
    <w:rsid w:val="00FB20B5"/>
    <w:rsid w:val="00FB2137"/>
    <w:rsid w:val="00FB2E06"/>
    <w:rsid w:val="00FB33AA"/>
    <w:rsid w:val="00FB3CDD"/>
    <w:rsid w:val="00FB46F2"/>
    <w:rsid w:val="00FB48B1"/>
    <w:rsid w:val="00FB5AB0"/>
    <w:rsid w:val="00FB63B1"/>
    <w:rsid w:val="00FB69C3"/>
    <w:rsid w:val="00FB7AE5"/>
    <w:rsid w:val="00FB7EFE"/>
    <w:rsid w:val="00FC0305"/>
    <w:rsid w:val="00FC08C9"/>
    <w:rsid w:val="00FC10AD"/>
    <w:rsid w:val="00FC15FE"/>
    <w:rsid w:val="00FC1CF7"/>
    <w:rsid w:val="00FC2161"/>
    <w:rsid w:val="00FC22EC"/>
    <w:rsid w:val="00FC2577"/>
    <w:rsid w:val="00FC2581"/>
    <w:rsid w:val="00FC2791"/>
    <w:rsid w:val="00FC3534"/>
    <w:rsid w:val="00FC399A"/>
    <w:rsid w:val="00FC4BAB"/>
    <w:rsid w:val="00FC5C91"/>
    <w:rsid w:val="00FC6116"/>
    <w:rsid w:val="00FC7871"/>
    <w:rsid w:val="00FD0353"/>
    <w:rsid w:val="00FD142F"/>
    <w:rsid w:val="00FD1BA2"/>
    <w:rsid w:val="00FD2622"/>
    <w:rsid w:val="00FD279E"/>
    <w:rsid w:val="00FD3A91"/>
    <w:rsid w:val="00FD3B0F"/>
    <w:rsid w:val="00FD3F90"/>
    <w:rsid w:val="00FD4DDD"/>
    <w:rsid w:val="00FD5073"/>
    <w:rsid w:val="00FD5602"/>
    <w:rsid w:val="00FD6428"/>
    <w:rsid w:val="00FD6C39"/>
    <w:rsid w:val="00FD6F24"/>
    <w:rsid w:val="00FD7512"/>
    <w:rsid w:val="00FD7F9B"/>
    <w:rsid w:val="00FE005B"/>
    <w:rsid w:val="00FE1082"/>
    <w:rsid w:val="00FE12BC"/>
    <w:rsid w:val="00FE167A"/>
    <w:rsid w:val="00FE225B"/>
    <w:rsid w:val="00FE2E6A"/>
    <w:rsid w:val="00FE4B79"/>
    <w:rsid w:val="00FE522A"/>
    <w:rsid w:val="00FE6054"/>
    <w:rsid w:val="00FE63E0"/>
    <w:rsid w:val="00FE72A5"/>
    <w:rsid w:val="00FE7E06"/>
    <w:rsid w:val="00FF167D"/>
    <w:rsid w:val="00FF1EB0"/>
    <w:rsid w:val="00FF5273"/>
    <w:rsid w:val="00FF631F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1761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Body Text First Indent" w:semiHidden="1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2605"/>
    <w:pPr>
      <w:spacing w:line="260" w:lineRule="atLeast"/>
    </w:pPr>
    <w:rPr>
      <w:rFonts w:eastAsia="Calibr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C56"/>
    <w:pPr>
      <w:keepNext/>
      <w:keepLines/>
      <w:numPr>
        <w:numId w:val="26"/>
      </w:numPr>
      <w:spacing w:before="200" w:line="280" w:lineRule="atLeast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1C56"/>
    <w:pPr>
      <w:keepNext/>
      <w:keepLines/>
      <w:numPr>
        <w:ilvl w:val="1"/>
        <w:numId w:val="26"/>
      </w:numPr>
      <w:spacing w:before="200" w:line="280" w:lineRule="atLeast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1C56"/>
    <w:pPr>
      <w:keepNext/>
      <w:keepLines/>
      <w:numPr>
        <w:ilvl w:val="2"/>
        <w:numId w:val="26"/>
      </w:numPr>
      <w:spacing w:before="200" w:line="280" w:lineRule="atLeast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71C56"/>
    <w:pPr>
      <w:keepNext/>
      <w:keepLines/>
      <w:numPr>
        <w:ilvl w:val="3"/>
        <w:numId w:val="26"/>
      </w:numPr>
      <w:spacing w:before="200" w:line="280" w:lineRule="atLeast"/>
      <w:outlineLvl w:val="3"/>
    </w:pPr>
    <w:rPr>
      <w:rFonts w:ascii="Arial" w:hAnsi="Arial" w:cs="Arial"/>
      <w:bCs/>
      <w:i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71C56"/>
    <w:pPr>
      <w:keepNext/>
      <w:keepLines/>
      <w:numPr>
        <w:ilvl w:val="4"/>
        <w:numId w:val="26"/>
      </w:numPr>
      <w:spacing w:before="200" w:line="280" w:lineRule="atLeast"/>
      <w:outlineLvl w:val="4"/>
    </w:pPr>
    <w:rPr>
      <w:rFonts w:ascii="Arial" w:hAnsi="Arial"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8F3A94"/>
    <w:pPr>
      <w:numPr>
        <w:ilvl w:val="5"/>
        <w:numId w:val="26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8F3A94"/>
    <w:pPr>
      <w:numPr>
        <w:ilvl w:val="6"/>
        <w:numId w:val="26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nhideWhenUsed/>
    <w:qFormat/>
    <w:rsid w:val="008F3A94"/>
    <w:pPr>
      <w:numPr>
        <w:ilvl w:val="7"/>
        <w:numId w:val="26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qFormat/>
    <w:rsid w:val="00F71C56"/>
    <w:pPr>
      <w:numPr>
        <w:ilvl w:val="8"/>
        <w:numId w:val="26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44E"/>
    <w:rPr>
      <w:rFonts w:ascii="Arial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144E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C144E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C144E"/>
    <w:rPr>
      <w:rFonts w:ascii="Arial" w:hAnsi="Arial" w:cs="Arial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C144E"/>
    <w:rPr>
      <w:rFonts w:ascii="Arial" w:hAnsi="Arial" w:cs="Arial"/>
      <w:b/>
      <w:bCs/>
      <w:iCs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8F3A9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F3A9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F3A9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C144E"/>
    <w:rPr>
      <w:rFonts w:ascii="Arial" w:hAnsi="Arial" w:cs="Arial"/>
      <w:sz w:val="22"/>
      <w:szCs w:val="22"/>
    </w:rPr>
  </w:style>
  <w:style w:type="paragraph" w:customStyle="1" w:styleId="baseheading">
    <w:name w:val="base_heading"/>
    <w:rsid w:val="00F71C56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character" w:styleId="EndnoteReference">
    <w:name w:val="endnote reference"/>
    <w:basedOn w:val="DefaultParagraphFont"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rsid w:val="00F71C56"/>
    <w:pPr>
      <w:tabs>
        <w:tab w:val="left" w:pos="425"/>
      </w:tabs>
      <w:spacing w:after="60"/>
      <w:ind w:left="425" w:hanging="425"/>
    </w:pPr>
    <w:rPr>
      <w:rFonts w:ascii="Arial" w:hAnsi="Arial" w:cs="Arial"/>
      <w:sz w:val="18"/>
    </w:rPr>
  </w:style>
  <w:style w:type="character" w:customStyle="1" w:styleId="EndnoteTextChar">
    <w:name w:val="Endnote Text Char"/>
    <w:basedOn w:val="DefaultParagraphFont"/>
    <w:link w:val="EndnoteText"/>
    <w:rsid w:val="00F71C56"/>
    <w:rPr>
      <w:rFonts w:ascii="Arial" w:hAnsi="Arial" w:cs="Arial"/>
      <w:sz w:val="18"/>
    </w:rPr>
  </w:style>
  <w:style w:type="paragraph" w:customStyle="1" w:styleId="ENotesHeading1">
    <w:name w:val="ENotesHeading 1"/>
    <w:aliases w:val="Enh1"/>
    <w:basedOn w:val="OPCParaBase"/>
    <w:next w:val="Normal"/>
    <w:rsid w:val="00D67B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7B29"/>
    <w:pPr>
      <w:spacing w:before="120" w:after="120"/>
      <w:outlineLvl w:val="2"/>
    </w:pPr>
    <w:rPr>
      <w:b/>
      <w:sz w:val="24"/>
      <w:szCs w:val="28"/>
    </w:rPr>
  </w:style>
  <w:style w:type="paragraph" w:customStyle="1" w:styleId="ENoteTableHeading">
    <w:name w:val="ENoteTableHeading"/>
    <w:aliases w:val="enth"/>
    <w:basedOn w:val="OPCParaBase"/>
    <w:rsid w:val="00D67B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D67B29"/>
    <w:pPr>
      <w:spacing w:before="60" w:line="240" w:lineRule="atLeast"/>
    </w:pPr>
    <w:rPr>
      <w:sz w:val="16"/>
    </w:rPr>
  </w:style>
  <w:style w:type="paragraph" w:styleId="Footer">
    <w:name w:val="footer"/>
    <w:link w:val="FooterChar"/>
    <w:rsid w:val="00D67B29"/>
    <w:pPr>
      <w:tabs>
        <w:tab w:val="center" w:pos="4153"/>
        <w:tab w:val="right" w:pos="8306"/>
      </w:tabs>
    </w:pPr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F71C56"/>
    <w:rPr>
      <w:sz w:val="22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uiPriority w:val="99"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71C56"/>
    <w:pPr>
      <w:tabs>
        <w:tab w:val="left" w:pos="425"/>
      </w:tabs>
      <w:spacing w:after="60"/>
      <w:ind w:left="425" w:right="567" w:hanging="425"/>
    </w:pPr>
    <w:rPr>
      <w:rFonts w:ascii="Arial" w:hAnsi="Arial" w:cs="Arial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1C56"/>
    <w:rPr>
      <w:rFonts w:ascii="Arial" w:hAnsi="Arial" w:cs="Arial"/>
      <w:sz w:val="18"/>
    </w:rPr>
  </w:style>
  <w:style w:type="paragraph" w:customStyle="1" w:styleId="h1Sch">
    <w:name w:val="h1_Sch"/>
    <w:basedOn w:val="baseheading"/>
    <w:next w:val="h2SchPart"/>
    <w:qFormat/>
    <w:rsid w:val="00AD2D6F"/>
    <w:pPr>
      <w:spacing w:before="480"/>
      <w:outlineLvl w:val="0"/>
    </w:pPr>
    <w:rPr>
      <w:rFonts w:ascii="Times New Roman" w:hAnsi="Times New Roman"/>
      <w:sz w:val="36"/>
    </w:rPr>
  </w:style>
  <w:style w:type="paragraph" w:customStyle="1" w:styleId="h2SchPart">
    <w:name w:val="h2_Sch_Part"/>
    <w:basedOn w:val="baseheading"/>
    <w:next w:val="h3SchDiv"/>
    <w:qFormat/>
    <w:rsid w:val="00F71C56"/>
    <w:rPr>
      <w:sz w:val="36"/>
    </w:rPr>
  </w:style>
  <w:style w:type="paragraph" w:customStyle="1" w:styleId="h3SchDiv">
    <w:name w:val="h3_Sch_Div"/>
    <w:basedOn w:val="baseheading"/>
    <w:next w:val="Normal"/>
    <w:qFormat/>
    <w:rsid w:val="00F71C56"/>
    <w:rPr>
      <w:sz w:val="32"/>
    </w:rPr>
  </w:style>
  <w:style w:type="paragraph" w:customStyle="1" w:styleId="h2Endnote">
    <w:name w:val="h2_Endnote"/>
    <w:basedOn w:val="baseheading"/>
    <w:rsid w:val="00F71C56"/>
    <w:pPr>
      <w:outlineLvl w:val="1"/>
    </w:pPr>
    <w:rPr>
      <w:sz w:val="36"/>
    </w:rPr>
  </w:style>
  <w:style w:type="paragraph" w:customStyle="1" w:styleId="h4SchSubdiv">
    <w:name w:val="h4_Sch_Subdiv"/>
    <w:basedOn w:val="baseheading"/>
    <w:qFormat/>
    <w:rsid w:val="00F71C56"/>
    <w:pPr>
      <w:spacing w:before="200"/>
      <w:ind w:left="2693" w:hanging="2693"/>
    </w:pPr>
    <w:rPr>
      <w:sz w:val="28"/>
    </w:rPr>
  </w:style>
  <w:style w:type="paragraph" w:customStyle="1" w:styleId="h5Endnote">
    <w:name w:val="h5_Endnote"/>
    <w:basedOn w:val="baseheading"/>
    <w:rsid w:val="00F71C56"/>
    <w:pPr>
      <w:spacing w:after="60"/>
    </w:pPr>
  </w:style>
  <w:style w:type="paragraph" w:customStyle="1" w:styleId="h5SchItem">
    <w:name w:val="h5_Sch_Item"/>
    <w:basedOn w:val="baseheading"/>
    <w:next w:val="Normal"/>
    <w:qFormat/>
    <w:rsid w:val="00F71C56"/>
    <w:pPr>
      <w:spacing w:after="60"/>
      <w:ind w:left="964" w:hanging="964"/>
    </w:pPr>
  </w:style>
  <w:style w:type="paragraph" w:customStyle="1" w:styleId="h7Example">
    <w:name w:val="h7_Example"/>
    <w:basedOn w:val="baseheading"/>
    <w:next w:val="Normal"/>
    <w:qFormat/>
    <w:rsid w:val="00F71C56"/>
    <w:pPr>
      <w:spacing w:before="120"/>
      <w:ind w:left="964" w:hanging="964"/>
    </w:pPr>
    <w:rPr>
      <w:b w:val="0"/>
      <w:i/>
    </w:rPr>
  </w:style>
  <w:style w:type="paragraph" w:styleId="Header">
    <w:name w:val="header"/>
    <w:basedOn w:val="OPCParaBase"/>
    <w:link w:val="HeaderChar"/>
    <w:unhideWhenUsed/>
    <w:rsid w:val="006A45FF"/>
    <w:pPr>
      <w:keepNext/>
      <w:keepLines/>
      <w:tabs>
        <w:tab w:val="center" w:pos="4150"/>
        <w:tab w:val="right" w:pos="8307"/>
      </w:tabs>
      <w:spacing w:line="240" w:lineRule="auto"/>
      <w:ind w:left="1134" w:right="1134"/>
      <w:jc w:val="center"/>
    </w:pPr>
    <w:rPr>
      <w:i/>
    </w:rPr>
  </w:style>
  <w:style w:type="character" w:customStyle="1" w:styleId="HeaderChar">
    <w:name w:val="Header Char"/>
    <w:basedOn w:val="DefaultParagraphFont"/>
    <w:link w:val="Header"/>
    <w:rsid w:val="006A45FF"/>
    <w:rPr>
      <w:i/>
      <w:sz w:val="22"/>
    </w:rPr>
  </w:style>
  <w:style w:type="paragraph" w:customStyle="1" w:styleId="nDrafterComment">
    <w:name w:val="n_Drafter_Comment"/>
    <w:basedOn w:val="Normal"/>
    <w:qFormat/>
    <w:rsid w:val="00BE4D1D"/>
    <w:pPr>
      <w:spacing w:before="80"/>
    </w:pPr>
    <w:rPr>
      <w:rFonts w:ascii="Arial" w:hAnsi="Arial"/>
      <w:color w:val="7030A0"/>
    </w:rPr>
  </w:style>
  <w:style w:type="paragraph" w:customStyle="1" w:styleId="nEndnote">
    <w:name w:val="n_Endnote"/>
    <w:basedOn w:val="Normal"/>
    <w:rsid w:val="00F71C56"/>
    <w:pPr>
      <w:keepLines/>
      <w:spacing w:before="120" w:line="240" w:lineRule="exact"/>
      <w:ind w:left="567" w:hanging="567"/>
      <w:jc w:val="both"/>
    </w:pPr>
  </w:style>
  <w:style w:type="paragraph" w:customStyle="1" w:styleId="nSubpara">
    <w:name w:val="n_Subpara"/>
    <w:basedOn w:val="Normal"/>
    <w:qFormat/>
    <w:rsid w:val="007B1C64"/>
    <w:pPr>
      <w:tabs>
        <w:tab w:val="right" w:pos="2948"/>
      </w:tabs>
      <w:spacing w:after="100" w:line="220" w:lineRule="exact"/>
      <w:ind w:left="3119" w:hanging="3119"/>
    </w:pPr>
    <w:rPr>
      <w:sz w:val="18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F71C56"/>
    <w:rPr>
      <w:rFonts w:ascii="Arial" w:hAnsi="Arial" w:cs="Arial"/>
      <w:b w:val="0"/>
      <w:i w:val="0"/>
      <w:sz w:val="16"/>
    </w:rPr>
  </w:style>
  <w:style w:type="paragraph" w:customStyle="1" w:styleId="ParagraphText">
    <w:name w:val="Paragraph_Text"/>
    <w:basedOn w:val="Normal"/>
    <w:uiPriority w:val="1"/>
    <w:rsid w:val="00F71C56"/>
    <w:rPr>
      <w:rFonts w:ascii="Arial" w:hAnsi="Arial" w:cs="Arial"/>
      <w:bCs/>
      <w:szCs w:val="2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PlainParagraph">
    <w:name w:val="Plain Paragraph"/>
    <w:basedOn w:val="NormalBase"/>
    <w:uiPriority w:val="1"/>
    <w:rsid w:val="00F71C56"/>
  </w:style>
  <w:style w:type="paragraph" w:customStyle="1" w:styleId="sbFirstSection">
    <w:name w:val="sb_First_Section"/>
    <w:basedOn w:val="Normal"/>
    <w:qFormat/>
    <w:rsid w:val="00F71C56"/>
    <w:pPr>
      <w:spacing w:line="160" w:lineRule="exact"/>
    </w:pPr>
    <w:rPr>
      <w:sz w:val="16"/>
    </w:rPr>
  </w:style>
  <w:style w:type="paragraph" w:customStyle="1" w:styleId="sbContents">
    <w:name w:val="sb_Contents"/>
    <w:basedOn w:val="sbFirstSection"/>
    <w:qFormat/>
    <w:rsid w:val="00F71C56"/>
  </w:style>
  <w:style w:type="paragraph" w:customStyle="1" w:styleId="sbMainSection">
    <w:name w:val="sb_Main_Section"/>
    <w:basedOn w:val="sbFirstSection"/>
    <w:qFormat/>
    <w:rsid w:val="00F71C56"/>
    <w:rPr>
      <w:b/>
      <w:bCs/>
      <w:kern w:val="32"/>
    </w:rPr>
  </w:style>
  <w:style w:type="paragraph" w:customStyle="1" w:styleId="sbSchedules">
    <w:name w:val="sb_Schedules"/>
    <w:basedOn w:val="sbFirstSection"/>
    <w:qFormat/>
    <w:rsid w:val="00F71C56"/>
  </w:style>
  <w:style w:type="paragraph" w:customStyle="1" w:styleId="Tabletext">
    <w:name w:val="Tabletext"/>
    <w:aliases w:val="tt"/>
    <w:basedOn w:val="OPCParaBase"/>
    <w:rsid w:val="00D67B29"/>
    <w:pPr>
      <w:spacing w:before="60" w:line="240" w:lineRule="atLeast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qFormat/>
    <w:rsid w:val="003E284A"/>
    <w:pPr>
      <w:keepNext/>
      <w:keepLines/>
      <w:tabs>
        <w:tab w:val="right" w:pos="8278"/>
      </w:tabs>
      <w:spacing w:before="120" w:line="240" w:lineRule="auto"/>
      <w:ind w:left="1474" w:right="1021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qFormat/>
    <w:rsid w:val="003E284A"/>
    <w:pPr>
      <w:keepNext/>
      <w:keepLines/>
      <w:tabs>
        <w:tab w:val="right" w:pos="8278"/>
      </w:tabs>
      <w:spacing w:before="120" w:line="240" w:lineRule="auto"/>
      <w:ind w:left="879" w:right="1021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qFormat/>
    <w:rsid w:val="003E284A"/>
    <w:pPr>
      <w:keepNext/>
      <w:keepLines/>
      <w:tabs>
        <w:tab w:val="right" w:pos="8278"/>
      </w:tabs>
      <w:spacing w:before="80" w:line="240" w:lineRule="auto"/>
      <w:ind w:left="1604" w:right="1021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80" w:line="240" w:lineRule="auto"/>
      <w:ind w:left="2183" w:right="1021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qFormat/>
    <w:rsid w:val="003E284A"/>
    <w:pPr>
      <w:keepLines/>
      <w:tabs>
        <w:tab w:val="right" w:pos="8278"/>
      </w:tabs>
      <w:spacing w:before="40" w:line="240" w:lineRule="auto"/>
      <w:ind w:left="1985" w:right="1021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120" w:line="240" w:lineRule="auto"/>
      <w:ind w:left="1344" w:right="1021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120" w:line="240" w:lineRule="auto"/>
      <w:ind w:left="1253" w:right="1021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80" w:line="240" w:lineRule="auto"/>
      <w:ind w:left="1900" w:right="1021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80" w:line="240" w:lineRule="auto"/>
      <w:ind w:left="851" w:right="1021"/>
    </w:pPr>
    <w:rPr>
      <w:i/>
      <w:kern w:val="28"/>
      <w:sz w:val="20"/>
    </w:rPr>
  </w:style>
  <w:style w:type="paragraph" w:customStyle="1" w:styleId="ttAuthorisingAct">
    <w:name w:val="tt_Authorising_Act"/>
    <w:basedOn w:val="Normal"/>
    <w:rsid w:val="00F71C56"/>
    <w:pPr>
      <w:pBdr>
        <w:bottom w:val="single" w:sz="4" w:space="3" w:color="auto"/>
      </w:pBdr>
      <w:spacing w:before="480"/>
    </w:pPr>
    <w:rPr>
      <w:rFonts w:ascii="Arial" w:hAnsi="Arial" w:cs="Arial"/>
      <w:i/>
      <w:sz w:val="28"/>
      <w:szCs w:val="28"/>
      <w:lang w:val="en-US"/>
    </w:rPr>
  </w:style>
  <w:style w:type="paragraph" w:customStyle="1" w:styleId="h2ContentsIntro">
    <w:name w:val="h2_Contents_Intro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ttCrest">
    <w:name w:val="tt_Crest"/>
    <w:basedOn w:val="Normal"/>
    <w:rsid w:val="006C4A30"/>
    <w:pPr>
      <w:spacing w:after="300" w:line="240" w:lineRule="atLeast"/>
    </w:pPr>
    <w:rPr>
      <w:rFonts w:ascii="Arial" w:hAnsi="Arial"/>
    </w:rPr>
  </w:style>
  <w:style w:type="paragraph" w:customStyle="1" w:styleId="ttDraftstrip">
    <w:name w:val="tt_Draft_strip"/>
    <w:basedOn w:val="Normal"/>
    <w:qFormat/>
    <w:rsid w:val="00B13564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hAnsi="Arial" w:cs="Arial"/>
      <w:b/>
      <w:sz w:val="32"/>
      <w:szCs w:val="32"/>
    </w:rPr>
  </w:style>
  <w:style w:type="paragraph" w:customStyle="1" w:styleId="ttFooter">
    <w:name w:val="tt_Footer"/>
    <w:basedOn w:val="Normal"/>
    <w:rsid w:val="00BE4D1D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</w:rPr>
  </w:style>
  <w:style w:type="paragraph" w:customStyle="1" w:styleId="ttFooterdraft">
    <w:name w:val="tt_Footer_draft"/>
    <w:basedOn w:val="Normal"/>
    <w:rsid w:val="00F71C56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</w:rPr>
  </w:style>
  <w:style w:type="paragraph" w:customStyle="1" w:styleId="ttHeader">
    <w:name w:val="tt_Header"/>
    <w:basedOn w:val="Normal"/>
    <w:link w:val="ttHeaderCharChar"/>
    <w:rsid w:val="00F71C56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</w:rPr>
  </w:style>
  <w:style w:type="character" w:customStyle="1" w:styleId="ttHeaderCharChar">
    <w:name w:val="tt_Header Char Char"/>
    <w:basedOn w:val="DefaultParagraphFont"/>
    <w:link w:val="ttHeader"/>
    <w:rsid w:val="00F71C56"/>
    <w:rPr>
      <w:rFonts w:ascii="Arial" w:hAnsi="Arial"/>
      <w:b/>
      <w:noProof/>
      <w:sz w:val="24"/>
      <w:szCs w:val="24"/>
    </w:rPr>
  </w:style>
  <w:style w:type="paragraph" w:customStyle="1" w:styleId="ttheaderDivref">
    <w:name w:val="tt_header_Div_ref"/>
    <w:basedOn w:val="ttHeader"/>
    <w:rsid w:val="00F71C56"/>
    <w:rPr>
      <w:sz w:val="20"/>
    </w:rPr>
  </w:style>
  <w:style w:type="paragraph" w:customStyle="1" w:styleId="ttheaderpage1">
    <w:name w:val="tt_header_page_1"/>
    <w:basedOn w:val="Normal"/>
    <w:rsid w:val="00F71C56"/>
    <w:pPr>
      <w:jc w:val="both"/>
    </w:pPr>
  </w:style>
  <w:style w:type="paragraph" w:customStyle="1" w:styleId="ttheaderPartref">
    <w:name w:val="tt_header_Part_ref"/>
    <w:basedOn w:val="ttHeader"/>
    <w:rsid w:val="00F71C56"/>
  </w:style>
  <w:style w:type="paragraph" w:customStyle="1" w:styleId="ttheaderSectionref">
    <w:name w:val="tt_header_Section_ref"/>
    <w:basedOn w:val="ttHeader"/>
    <w:link w:val="ttheaderSectionrefChar"/>
    <w:rsid w:val="00F71C56"/>
  </w:style>
  <w:style w:type="character" w:customStyle="1" w:styleId="ttheaderSectionrefChar">
    <w:name w:val="tt_header_Section_ref Char"/>
    <w:basedOn w:val="ttHeaderCharChar"/>
    <w:link w:val="ttheaderSectionref"/>
    <w:rsid w:val="00F71C56"/>
    <w:rPr>
      <w:rFonts w:ascii="Arial" w:hAnsi="Arial"/>
      <w:b/>
      <w:noProof/>
      <w:sz w:val="24"/>
      <w:szCs w:val="24"/>
    </w:rPr>
  </w:style>
  <w:style w:type="paragraph" w:customStyle="1" w:styleId="ttMakingWords">
    <w:name w:val="tt_Making_Words"/>
    <w:basedOn w:val="Normal"/>
    <w:qFormat/>
    <w:rsid w:val="00F71C56"/>
    <w:pPr>
      <w:spacing w:before="360"/>
      <w:jc w:val="both"/>
    </w:pPr>
  </w:style>
  <w:style w:type="paragraph" w:customStyle="1" w:styleId="ttParaMark">
    <w:name w:val="tt_Para_Mark"/>
    <w:basedOn w:val="Normal"/>
    <w:next w:val="sbFirstSection"/>
    <w:qFormat/>
    <w:rsid w:val="00F71C56"/>
    <w:rPr>
      <w:sz w:val="16"/>
    </w:rPr>
  </w:style>
  <w:style w:type="paragraph" w:customStyle="1" w:styleId="ttSigDate">
    <w:name w:val="tt_Sig_Date"/>
    <w:basedOn w:val="Normal"/>
    <w:qFormat/>
    <w:rsid w:val="00F71C56"/>
    <w:pPr>
      <w:tabs>
        <w:tab w:val="left" w:pos="2220"/>
      </w:tabs>
      <w:spacing w:before="300" w:after="1000" w:line="300" w:lineRule="atLeast"/>
    </w:pPr>
  </w:style>
  <w:style w:type="paragraph" w:customStyle="1" w:styleId="ttSigName">
    <w:name w:val="tt_Sig_Name"/>
    <w:basedOn w:val="Normal"/>
    <w:qFormat/>
    <w:rsid w:val="00F71C56"/>
    <w:pPr>
      <w:tabs>
        <w:tab w:val="left" w:pos="3969"/>
      </w:tabs>
      <w:spacing w:before="1000" w:after="120"/>
    </w:pPr>
  </w:style>
  <w:style w:type="paragraph" w:customStyle="1" w:styleId="ttSigPosition">
    <w:name w:val="tt_Sig_Position"/>
    <w:basedOn w:val="Normal"/>
    <w:link w:val="ttSigPositionChar"/>
    <w:rsid w:val="00F71C56"/>
    <w:pPr>
      <w:pBdr>
        <w:bottom w:val="single" w:sz="4" w:space="12" w:color="auto"/>
      </w:pBdr>
      <w:tabs>
        <w:tab w:val="left" w:pos="3119"/>
      </w:tabs>
      <w:spacing w:after="240" w:line="300" w:lineRule="atLeast"/>
    </w:pPr>
  </w:style>
  <w:style w:type="character" w:customStyle="1" w:styleId="ttSigPositionChar">
    <w:name w:val="tt_Sig_Position Char"/>
    <w:basedOn w:val="DefaultParagraphFont"/>
    <w:link w:val="ttSigPosition"/>
    <w:rsid w:val="00F71C56"/>
    <w:rPr>
      <w:sz w:val="24"/>
      <w:szCs w:val="24"/>
    </w:rPr>
  </w:style>
  <w:style w:type="paragraph" w:customStyle="1" w:styleId="ttTitleofInstrument">
    <w:name w:val="tt_Title_of_Instrument"/>
    <w:basedOn w:val="Normal"/>
    <w:rsid w:val="00F71C56"/>
    <w:pPr>
      <w:spacing w:before="200"/>
    </w:pPr>
    <w:rPr>
      <w:rFonts w:ascii="Arial" w:hAnsi="Arial"/>
      <w:b/>
      <w:sz w:val="32"/>
    </w:rPr>
  </w:style>
  <w:style w:type="paragraph" w:customStyle="1" w:styleId="ttExplainTemplate">
    <w:name w:val="tt_Explain_Template"/>
    <w:basedOn w:val="nDrafterComment"/>
    <w:qFormat/>
    <w:rsid w:val="00855DE5"/>
    <w:pPr>
      <w:tabs>
        <w:tab w:val="left" w:pos="737"/>
        <w:tab w:val="left" w:pos="1191"/>
        <w:tab w:val="left" w:pos="1644"/>
      </w:tabs>
    </w:pPr>
  </w:style>
  <w:style w:type="paragraph" w:styleId="BalloonText">
    <w:name w:val="Balloon Text"/>
    <w:basedOn w:val="Normal"/>
    <w:link w:val="BalloonTextChar"/>
    <w:uiPriority w:val="99"/>
    <w:unhideWhenUsed/>
    <w:rsid w:val="00D67B2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235A"/>
    <w:rPr>
      <w:rFonts w:ascii="Tahoma" w:eastAsia="Calibri" w:hAnsi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57896"/>
    <w:pPr>
      <w:ind w:left="720"/>
      <w:contextualSpacing/>
    </w:pPr>
  </w:style>
  <w:style w:type="paragraph" w:customStyle="1" w:styleId="ttContents">
    <w:name w:val="tt_Contents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BoxText">
    <w:name w:val="BoxText"/>
    <w:aliases w:val="bt"/>
    <w:basedOn w:val="OPCParaBase"/>
    <w:qFormat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TableHeading">
    <w:name w:val="TableHeading"/>
    <w:aliases w:val="th"/>
    <w:basedOn w:val="OPCParaBase"/>
    <w:next w:val="Tabletext"/>
    <w:rsid w:val="00D67B29"/>
    <w:pPr>
      <w:keepNext/>
      <w:spacing w:before="60" w:line="240" w:lineRule="atLeast"/>
    </w:pPr>
    <w:rPr>
      <w:b/>
      <w:sz w:val="20"/>
    </w:rPr>
  </w:style>
  <w:style w:type="paragraph" w:customStyle="1" w:styleId="bbaseheading">
    <w:name w:val="b_base_heading"/>
    <w:rsid w:val="003D7C75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bbasepara">
    <w:name w:val="b_base_para"/>
    <w:rsid w:val="003D7C75"/>
    <w:pPr>
      <w:keepLines/>
      <w:spacing w:after="80"/>
    </w:pPr>
    <w:rPr>
      <w:rFonts w:cs="Arial"/>
      <w:iCs/>
      <w:sz w:val="24"/>
      <w:szCs w:val="22"/>
    </w:rPr>
  </w:style>
  <w:style w:type="paragraph" w:customStyle="1" w:styleId="bbaseTOC">
    <w:name w:val="b_base_TOC"/>
    <w:rsid w:val="003D7C75"/>
    <w:pPr>
      <w:tabs>
        <w:tab w:val="right" w:pos="8278"/>
      </w:tabs>
      <w:ind w:left="2126" w:hanging="2126"/>
    </w:pPr>
    <w:rPr>
      <w:rFonts w:ascii="Arial" w:hAnsi="Arial" w:cs="Arial"/>
      <w:noProof/>
      <w:sz w:val="24"/>
      <w:szCs w:val="22"/>
    </w:rPr>
  </w:style>
  <w:style w:type="paragraph" w:customStyle="1" w:styleId="OPCParaBase">
    <w:name w:val="OPCParaBase"/>
    <w:qFormat/>
    <w:rsid w:val="00D67B29"/>
    <w:pPr>
      <w:spacing w:line="260" w:lineRule="atLeast"/>
    </w:pPr>
    <w:rPr>
      <w:sz w:val="22"/>
    </w:rPr>
  </w:style>
  <w:style w:type="paragraph" w:customStyle="1" w:styleId="h1Chap">
    <w:name w:val="h1_Chap"/>
    <w:aliases w:val="ActHead 1,c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h2Part">
    <w:name w:val="h2_Part"/>
    <w:aliases w:val="ActHead 2,p"/>
    <w:basedOn w:val="OPCParaBase"/>
    <w:next w:val="Normal"/>
    <w:qFormat/>
    <w:rsid w:val="007E2605"/>
    <w:pPr>
      <w:keepNext/>
      <w:keepLines/>
      <w:pageBreakBefore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h3Div">
    <w:name w:val="h3_Div"/>
    <w:aliases w:val="ActHead 3,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h4Subdiv">
    <w:name w:val="h4_Subdiv"/>
    <w:aliases w:val="ActHead 4,sd"/>
    <w:basedOn w:val="OPCParaBase"/>
    <w:next w:val="Normal"/>
    <w:qFormat/>
    <w:rsid w:val="00D67B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h5Section">
    <w:name w:val="h5_Section"/>
    <w:aliases w:val="ActHead 5,s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ShortT">
    <w:name w:val="ShortT"/>
    <w:basedOn w:val="OPCParaBase"/>
    <w:next w:val="Normal"/>
    <w:qFormat/>
    <w:rsid w:val="00D67B29"/>
    <w:pPr>
      <w:spacing w:line="240" w:lineRule="auto"/>
    </w:pPr>
    <w:rPr>
      <w:b/>
      <w:sz w:val="40"/>
    </w:rPr>
  </w:style>
  <w:style w:type="paragraph" w:customStyle="1" w:styleId="Actno">
    <w:name w:val="Actno"/>
    <w:basedOn w:val="ShortT"/>
    <w:next w:val="Normal"/>
    <w:qFormat/>
    <w:rsid w:val="00D67B29"/>
  </w:style>
  <w:style w:type="paragraph" w:customStyle="1" w:styleId="Blocks">
    <w:name w:val="Blocks"/>
    <w:aliases w:val="bb"/>
    <w:basedOn w:val="OPCParaBase"/>
    <w:qFormat/>
    <w:rsid w:val="00D67B29"/>
    <w:pPr>
      <w:spacing w:line="240" w:lineRule="auto"/>
    </w:pPr>
    <w:rPr>
      <w:sz w:val="24"/>
    </w:rPr>
  </w:style>
  <w:style w:type="paragraph" w:customStyle="1" w:styleId="BoxHeadBold">
    <w:name w:val="BoxHeadBold"/>
    <w:aliases w:val="bhb"/>
    <w:basedOn w:val="BoxText"/>
    <w:next w:val="BoxText"/>
    <w:qFormat/>
    <w:rsid w:val="00D67B29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D67B29"/>
    <w:rPr>
      <w:i/>
    </w:rPr>
  </w:style>
  <w:style w:type="paragraph" w:customStyle="1" w:styleId="BoxList">
    <w:name w:val="BoxList"/>
    <w:aliases w:val="bl"/>
    <w:basedOn w:val="BoxText"/>
    <w:qFormat/>
    <w:rsid w:val="00D67B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7B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7B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7B29"/>
    <w:pPr>
      <w:ind w:left="1985" w:hanging="851"/>
    </w:pPr>
  </w:style>
  <w:style w:type="table" w:customStyle="1" w:styleId="CFlag">
    <w:name w:val="CFlag"/>
    <w:basedOn w:val="TableNormal"/>
    <w:uiPriority w:val="99"/>
    <w:rsid w:val="00D67B29"/>
    <w:tblPr/>
  </w:style>
  <w:style w:type="character" w:customStyle="1" w:styleId="OPCCharBase">
    <w:name w:val="OPCCharBase"/>
    <w:uiPriority w:val="1"/>
    <w:qFormat/>
    <w:rsid w:val="00D67B29"/>
  </w:style>
  <w:style w:type="character" w:customStyle="1" w:styleId="CharAmPartNo">
    <w:name w:val="CharAmPartNo"/>
    <w:basedOn w:val="OPCCharBase"/>
    <w:uiPriority w:val="1"/>
    <w:qFormat/>
    <w:rsid w:val="00D67B29"/>
  </w:style>
  <w:style w:type="character" w:customStyle="1" w:styleId="CharAmPartText">
    <w:name w:val="CharAmPartText"/>
    <w:basedOn w:val="OPCCharBase"/>
    <w:uiPriority w:val="1"/>
    <w:qFormat/>
    <w:rsid w:val="00D67B29"/>
  </w:style>
  <w:style w:type="character" w:customStyle="1" w:styleId="CharAmSchNo">
    <w:name w:val="CharAmSchNo"/>
    <w:basedOn w:val="OPCCharBase"/>
    <w:uiPriority w:val="1"/>
    <w:qFormat/>
    <w:rsid w:val="00D67B29"/>
  </w:style>
  <w:style w:type="character" w:customStyle="1" w:styleId="CharAmSchText">
    <w:name w:val="CharAmSchText"/>
    <w:basedOn w:val="OPCCharBase"/>
    <w:uiPriority w:val="1"/>
    <w:qFormat/>
    <w:rsid w:val="00D67B29"/>
  </w:style>
  <w:style w:type="character" w:customStyle="1" w:styleId="CharBoldItalic">
    <w:name w:val="CharBoldItalic"/>
    <w:uiPriority w:val="1"/>
    <w:qFormat/>
    <w:rsid w:val="00D67B29"/>
    <w:rPr>
      <w:b/>
      <w:i/>
    </w:rPr>
  </w:style>
  <w:style w:type="character" w:customStyle="1" w:styleId="CharChapNo">
    <w:name w:val="CharChapNo"/>
    <w:basedOn w:val="OPCCharBase"/>
    <w:qFormat/>
    <w:rsid w:val="00D67B29"/>
  </w:style>
  <w:style w:type="character" w:customStyle="1" w:styleId="CharChapText">
    <w:name w:val="CharChapText"/>
    <w:basedOn w:val="OPCCharBase"/>
    <w:qFormat/>
    <w:rsid w:val="00D67B29"/>
  </w:style>
  <w:style w:type="character" w:customStyle="1" w:styleId="CharDivNo">
    <w:name w:val="CharDivNo"/>
    <w:basedOn w:val="OPCCharBase"/>
    <w:uiPriority w:val="1"/>
    <w:qFormat/>
    <w:rsid w:val="00D67B29"/>
  </w:style>
  <w:style w:type="character" w:customStyle="1" w:styleId="CharDivText">
    <w:name w:val="CharDivText"/>
    <w:basedOn w:val="OPCCharBase"/>
    <w:uiPriority w:val="1"/>
    <w:qFormat/>
    <w:rsid w:val="00D67B29"/>
  </w:style>
  <w:style w:type="character" w:customStyle="1" w:styleId="CharItalic">
    <w:name w:val="CharItalic"/>
    <w:uiPriority w:val="1"/>
    <w:qFormat/>
    <w:rsid w:val="00D67B29"/>
    <w:rPr>
      <w:i/>
    </w:rPr>
  </w:style>
  <w:style w:type="character" w:customStyle="1" w:styleId="CharPartNo">
    <w:name w:val="CharPartNo"/>
    <w:basedOn w:val="OPCCharBase"/>
    <w:uiPriority w:val="1"/>
    <w:qFormat/>
    <w:rsid w:val="00D67B29"/>
  </w:style>
  <w:style w:type="character" w:customStyle="1" w:styleId="CharPartText">
    <w:name w:val="CharPartText"/>
    <w:basedOn w:val="OPCCharBase"/>
    <w:uiPriority w:val="1"/>
    <w:qFormat/>
    <w:rsid w:val="00D67B29"/>
  </w:style>
  <w:style w:type="character" w:customStyle="1" w:styleId="CharSectno">
    <w:name w:val="CharSectno"/>
    <w:basedOn w:val="OPCCharBase"/>
    <w:qFormat/>
    <w:rsid w:val="00D67B29"/>
  </w:style>
  <w:style w:type="character" w:customStyle="1" w:styleId="CharSubdNo">
    <w:name w:val="CharSubdNo"/>
    <w:basedOn w:val="OPCCharBase"/>
    <w:uiPriority w:val="1"/>
    <w:qFormat/>
    <w:rsid w:val="00D67B29"/>
  </w:style>
  <w:style w:type="character" w:customStyle="1" w:styleId="CharSubdText">
    <w:name w:val="CharSubdText"/>
    <w:basedOn w:val="OPCCharBase"/>
    <w:uiPriority w:val="1"/>
    <w:qFormat/>
    <w:rsid w:val="00D67B29"/>
  </w:style>
  <w:style w:type="character" w:customStyle="1" w:styleId="CharSubPartNoCASA">
    <w:name w:val="CharSubPartNo(CASA)"/>
    <w:basedOn w:val="OPCCharBase"/>
    <w:uiPriority w:val="1"/>
    <w:rsid w:val="00D67B29"/>
  </w:style>
  <w:style w:type="character" w:customStyle="1" w:styleId="CharSubPartTextCASA">
    <w:name w:val="CharSubPartText(CASA)"/>
    <w:basedOn w:val="OPCCharBase"/>
    <w:uiPriority w:val="1"/>
    <w:rsid w:val="00D67B29"/>
  </w:style>
  <w:style w:type="paragraph" w:customStyle="1" w:styleId="CompiledActNo">
    <w:name w:val="CompiledActNo"/>
    <w:basedOn w:val="OPCParaBase"/>
    <w:next w:val="Normal"/>
    <w:rsid w:val="00D67B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7B29"/>
    <w:rPr>
      <w:i/>
      <w:sz w:val="24"/>
      <w:szCs w:val="24"/>
    </w:rPr>
  </w:style>
  <w:style w:type="paragraph" w:customStyle="1" w:styleId="CTA-">
    <w:name w:val="CTA -"/>
    <w:basedOn w:val="OPCParaBase"/>
    <w:rsid w:val="00D67B29"/>
    <w:pPr>
      <w:spacing w:before="60" w:line="240" w:lineRule="atLeast"/>
      <w:ind w:left="85" w:hanging="85"/>
    </w:pPr>
    <w:rPr>
      <w:sz w:val="20"/>
    </w:rPr>
  </w:style>
  <w:style w:type="paragraph" w:customStyle="1" w:styleId="CTA--">
    <w:name w:val="CTA --"/>
    <w:basedOn w:val="OPCParaBase"/>
    <w:next w:val="Normal"/>
    <w:rsid w:val="00D67B29"/>
    <w:pPr>
      <w:spacing w:before="60" w:line="240" w:lineRule="atLeast"/>
      <w:ind w:left="142" w:hanging="142"/>
    </w:pPr>
    <w:rPr>
      <w:sz w:val="20"/>
    </w:rPr>
  </w:style>
  <w:style w:type="paragraph" w:customStyle="1" w:styleId="CTA---">
    <w:name w:val="CTA ---"/>
    <w:basedOn w:val="OPCParaBase"/>
    <w:next w:val="Normal"/>
    <w:rsid w:val="00D67B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7B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7B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7B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7B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7B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7B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7B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7B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7B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7B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7B29"/>
    <w:pPr>
      <w:spacing w:before="60" w:line="240" w:lineRule="auto"/>
      <w:jc w:val="right"/>
    </w:pPr>
    <w:rPr>
      <w:sz w:val="20"/>
    </w:rPr>
  </w:style>
  <w:style w:type="paragraph" w:customStyle="1" w:styleId="tDefn">
    <w:name w:val="t_Defn"/>
    <w:aliases w:val="Definition,dd"/>
    <w:basedOn w:val="OPCParaBase"/>
    <w:rsid w:val="00D67B29"/>
    <w:pPr>
      <w:spacing w:before="180" w:line="240" w:lineRule="auto"/>
      <w:ind w:left="1134"/>
    </w:pPr>
  </w:style>
  <w:style w:type="paragraph" w:customStyle="1" w:styleId="DivisionMigration">
    <w:name w:val="DivisionMigration"/>
    <w:aliases w:val="dm"/>
    <w:basedOn w:val="OPCParaBase"/>
    <w:next w:val="Normal"/>
    <w:rsid w:val="00D67B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EndNotespara">
    <w:name w:val="EndNotes(para)"/>
    <w:aliases w:val="eta"/>
    <w:basedOn w:val="OPCParaBase"/>
    <w:next w:val="Normal"/>
    <w:rsid w:val="00D67B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7B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67B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7B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3">
    <w:name w:val="ENotesHeading 3"/>
    <w:aliases w:val="Enh3"/>
    <w:basedOn w:val="OPCParaBase"/>
    <w:next w:val="Normal"/>
    <w:rsid w:val="00D67B2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D67B29"/>
    <w:pPr>
      <w:spacing w:before="120"/>
    </w:pPr>
  </w:style>
  <w:style w:type="paragraph" w:customStyle="1" w:styleId="ENoteTTi">
    <w:name w:val="ENoteTTi"/>
    <w:aliases w:val="entti"/>
    <w:basedOn w:val="OPCParaBase"/>
    <w:rsid w:val="00D67B2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D67B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TIndentHeadingSub">
    <w:name w:val="ENoteTTIndentHeadingSub"/>
    <w:aliases w:val="enTTHis"/>
    <w:basedOn w:val="OPCParaBase"/>
    <w:rsid w:val="00D67B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7B29"/>
    <w:pPr>
      <w:keepNext/>
      <w:spacing w:before="60" w:line="240" w:lineRule="atLeast"/>
      <w:ind w:left="340"/>
    </w:pPr>
    <w:rPr>
      <w:sz w:val="16"/>
    </w:rPr>
  </w:style>
  <w:style w:type="paragraph" w:customStyle="1" w:styleId="FileName">
    <w:name w:val="FileName"/>
    <w:basedOn w:val="Normal"/>
    <w:rsid w:val="00D67B29"/>
  </w:style>
  <w:style w:type="paragraph" w:customStyle="1" w:styleId="Formula">
    <w:name w:val="Formula"/>
    <w:basedOn w:val="OPCParaBase"/>
    <w:rsid w:val="00D67B29"/>
    <w:pPr>
      <w:spacing w:line="240" w:lineRule="auto"/>
      <w:ind w:left="1134"/>
    </w:pPr>
    <w:rPr>
      <w:sz w:val="20"/>
    </w:rPr>
  </w:style>
  <w:style w:type="paragraph" w:customStyle="1" w:styleId="FreeForm">
    <w:name w:val="FreeForm"/>
    <w:rsid w:val="00D67B29"/>
    <w:rPr>
      <w:rFonts w:ascii="Arial" w:eastAsia="Calibri" w:hAnsi="Arial"/>
      <w:sz w:val="22"/>
      <w:lang w:eastAsia="en-US"/>
    </w:rPr>
  </w:style>
  <w:style w:type="paragraph" w:customStyle="1" w:styleId="House">
    <w:name w:val="House"/>
    <w:basedOn w:val="OPCParaBase"/>
    <w:rsid w:val="00D67B29"/>
    <w:pPr>
      <w:spacing w:line="240" w:lineRule="auto"/>
    </w:pPr>
    <w:rPr>
      <w:sz w:val="28"/>
    </w:rPr>
  </w:style>
  <w:style w:type="character" w:styleId="Hyperlink">
    <w:name w:val="Hyperlink"/>
    <w:unhideWhenUsed/>
    <w:rsid w:val="00D67B29"/>
    <w:rPr>
      <w:color w:val="0000FF"/>
      <w:u w:val="single"/>
    </w:rPr>
  </w:style>
  <w:style w:type="paragraph" w:customStyle="1" w:styleId="InstNo">
    <w:name w:val="InstNo"/>
    <w:basedOn w:val="OPCParaBase"/>
    <w:next w:val="Normal"/>
    <w:rsid w:val="00D67B29"/>
    <w:rPr>
      <w:b/>
      <w:sz w:val="28"/>
      <w:szCs w:val="32"/>
    </w:rPr>
  </w:style>
  <w:style w:type="paragraph" w:customStyle="1" w:styleId="Item">
    <w:name w:val="Item"/>
    <w:aliases w:val="i"/>
    <w:basedOn w:val="OPCParaBase"/>
    <w:next w:val="Normal"/>
    <w:rsid w:val="00D67B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7B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egislationMadeUnder">
    <w:name w:val="LegislationMadeUnder"/>
    <w:basedOn w:val="OPCParaBase"/>
    <w:next w:val="Normal"/>
    <w:rsid w:val="00D67B29"/>
    <w:rPr>
      <w:i/>
      <w:sz w:val="32"/>
      <w:szCs w:val="32"/>
    </w:rPr>
  </w:style>
  <w:style w:type="character" w:styleId="LineNumber">
    <w:name w:val="line number"/>
    <w:uiPriority w:val="99"/>
    <w:unhideWhenUsed/>
    <w:rsid w:val="00D67B29"/>
    <w:rPr>
      <w:sz w:val="16"/>
    </w:rPr>
  </w:style>
  <w:style w:type="paragraph" w:customStyle="1" w:styleId="LongT">
    <w:name w:val="LongT"/>
    <w:basedOn w:val="OPCParaBase"/>
    <w:rsid w:val="00D67B29"/>
    <w:pPr>
      <w:spacing w:line="240" w:lineRule="auto"/>
    </w:pPr>
    <w:rPr>
      <w:b/>
      <w:sz w:val="32"/>
    </w:rPr>
  </w:style>
  <w:style w:type="paragraph" w:customStyle="1" w:styleId="MadeunderText">
    <w:name w:val="MadeunderText"/>
    <w:basedOn w:val="OPCParaBase"/>
    <w:next w:val="CompiledMadeUnder"/>
    <w:rsid w:val="00D67B29"/>
    <w:pPr>
      <w:spacing w:before="240"/>
    </w:pPr>
    <w:rPr>
      <w:sz w:val="24"/>
      <w:szCs w:val="24"/>
    </w:rPr>
  </w:style>
  <w:style w:type="paragraph" w:customStyle="1" w:styleId="notedraft">
    <w:name w:val="note(draft)"/>
    <w:aliases w:val="nd"/>
    <w:basedOn w:val="OPCParaBase"/>
    <w:rsid w:val="00D67B29"/>
    <w:pPr>
      <w:spacing w:before="240" w:line="240" w:lineRule="auto"/>
      <w:ind w:left="284" w:hanging="284"/>
    </w:pPr>
    <w:rPr>
      <w:i/>
      <w:sz w:val="24"/>
    </w:rPr>
  </w:style>
  <w:style w:type="paragraph" w:customStyle="1" w:styleId="ntoHeading">
    <w:name w:val="n_to_Heading"/>
    <w:aliases w:val="nm,note(margin)"/>
    <w:basedOn w:val="OPCParaBase"/>
    <w:rsid w:val="00F67704"/>
    <w:pPr>
      <w:tabs>
        <w:tab w:val="left" w:pos="709"/>
      </w:tabs>
      <w:spacing w:before="120" w:line="240" w:lineRule="auto"/>
      <w:ind w:left="709" w:hanging="709"/>
    </w:pPr>
    <w:rPr>
      <w:sz w:val="18"/>
    </w:rPr>
  </w:style>
  <w:style w:type="paragraph" w:customStyle="1" w:styleId="nPara">
    <w:name w:val="n_Para"/>
    <w:aliases w:val="na,note(para)"/>
    <w:basedOn w:val="OPCParaBase"/>
    <w:rsid w:val="00F67704"/>
    <w:pPr>
      <w:spacing w:before="40" w:line="240" w:lineRule="auto"/>
      <w:ind w:left="2268" w:hanging="567"/>
    </w:pPr>
    <w:rPr>
      <w:sz w:val="18"/>
    </w:rPr>
  </w:style>
  <w:style w:type="paragraph" w:customStyle="1" w:styleId="noteParlAmend">
    <w:name w:val="note(ParlAmend)"/>
    <w:aliases w:val="npp"/>
    <w:basedOn w:val="OPCParaBase"/>
    <w:next w:val="Normal"/>
    <w:rsid w:val="00D67B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Main">
    <w:name w:val="n_Main"/>
    <w:aliases w:val="n,note(text)"/>
    <w:basedOn w:val="OPCParaBase"/>
    <w:link w:val="notetextChar"/>
    <w:qFormat/>
    <w:rsid w:val="00F67704"/>
    <w:pPr>
      <w:spacing w:before="120" w:line="240" w:lineRule="auto"/>
      <w:ind w:left="1985" w:hanging="851"/>
    </w:pPr>
    <w:rPr>
      <w:sz w:val="18"/>
    </w:rPr>
  </w:style>
  <w:style w:type="paragraph" w:customStyle="1" w:styleId="NotesHeading1">
    <w:name w:val="NotesHeading 1"/>
    <w:basedOn w:val="OPCParaBase"/>
    <w:next w:val="Normal"/>
    <w:rsid w:val="00D67B2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7B29"/>
    <w:rPr>
      <w:b/>
      <w:sz w:val="28"/>
      <w:szCs w:val="28"/>
    </w:rPr>
  </w:style>
  <w:style w:type="paragraph" w:customStyle="1" w:styleId="noteToPara">
    <w:name w:val="noteToPara"/>
    <w:aliases w:val="ntp"/>
    <w:basedOn w:val="OPCParaBase"/>
    <w:rsid w:val="00D67B29"/>
    <w:pPr>
      <w:spacing w:before="122" w:line="198" w:lineRule="exact"/>
      <w:ind w:left="2353" w:hanging="709"/>
    </w:pPr>
    <w:rPr>
      <w:sz w:val="18"/>
    </w:rPr>
  </w:style>
  <w:style w:type="paragraph" w:customStyle="1" w:styleId="NoteToSubpara">
    <w:name w:val="NoteToSubpara"/>
    <w:aliases w:val="nts"/>
    <w:basedOn w:val="OPCParaBase"/>
    <w:rsid w:val="00D67B29"/>
    <w:pPr>
      <w:spacing w:before="40" w:line="198" w:lineRule="exact"/>
      <w:ind w:left="2835" w:hanging="709"/>
    </w:pPr>
    <w:rPr>
      <w:sz w:val="18"/>
    </w:rPr>
  </w:style>
  <w:style w:type="paragraph" w:customStyle="1" w:styleId="Page1">
    <w:name w:val="Page1"/>
    <w:basedOn w:val="OPCParaBase"/>
    <w:rsid w:val="00D67B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7B29"/>
    <w:pPr>
      <w:spacing w:line="240" w:lineRule="auto"/>
    </w:pPr>
    <w:rPr>
      <w:sz w:val="20"/>
    </w:rPr>
  </w:style>
  <w:style w:type="paragraph" w:customStyle="1" w:styleId="tSubpara">
    <w:name w:val="t_Subpara"/>
    <w:aliases w:val="paragraph(sub),aa"/>
    <w:basedOn w:val="OPCParaBase"/>
    <w:qFormat/>
    <w:rsid w:val="00D67B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tSubsub">
    <w:name w:val="t_Subsub"/>
    <w:aliases w:val="paragraph(sub-sub),aaa"/>
    <w:basedOn w:val="OPCParaBase"/>
    <w:qFormat/>
    <w:rsid w:val="00D67B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sub-sub-sub">
    <w:name w:val="Paragraph(sub-sub-sub)"/>
    <w:aliases w:val="aaaa"/>
    <w:basedOn w:val="OPCParaBase"/>
    <w:rsid w:val="00D67B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Para">
    <w:name w:val="t_Para"/>
    <w:aliases w:val="paragraph,a"/>
    <w:basedOn w:val="OPCParaBase"/>
    <w:link w:val="paragraphChar"/>
    <w:qFormat/>
    <w:rsid w:val="00D67B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7B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7B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7B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7B29"/>
    <w:pPr>
      <w:spacing w:line="240" w:lineRule="auto"/>
    </w:pPr>
    <w:rPr>
      <w:sz w:val="28"/>
    </w:rPr>
  </w:style>
  <w:style w:type="paragraph" w:customStyle="1" w:styleId="SignCoverPageEnd">
    <w:name w:val="SignCoverPageEnd"/>
    <w:basedOn w:val="OPCParaBase"/>
    <w:next w:val="Normal"/>
    <w:rsid w:val="00D67B2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7B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SOText">
    <w:name w:val="SO Text"/>
    <w:aliases w:val="sot"/>
    <w:link w:val="SOTextChar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="Calibri"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67B29"/>
    <w:pPr>
      <w:ind w:left="1559" w:hanging="425"/>
    </w:pPr>
  </w:style>
  <w:style w:type="paragraph" w:customStyle="1" w:styleId="SOTextNote">
    <w:name w:val="SO TextNote"/>
    <w:aliases w:val="sont"/>
    <w:basedOn w:val="SOText"/>
    <w:qFormat/>
    <w:rsid w:val="00D67B29"/>
    <w:pPr>
      <w:spacing w:before="122" w:line="198" w:lineRule="exact"/>
      <w:ind w:left="1843" w:hanging="709"/>
    </w:pPr>
    <w:rPr>
      <w:sz w:val="18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67B29"/>
    <w:pPr>
      <w:tabs>
        <w:tab w:val="left" w:pos="1560"/>
      </w:tabs>
      <w:ind w:left="2268" w:hanging="1134"/>
    </w:p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67B29"/>
    <w:rPr>
      <w:b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67B29"/>
    <w:rPr>
      <w:i/>
    </w:rPr>
  </w:style>
  <w:style w:type="paragraph" w:customStyle="1" w:styleId="SOPara">
    <w:name w:val="SO Para"/>
    <w:aliases w:val="soa"/>
    <w:basedOn w:val="SOText"/>
    <w:link w:val="SOParaChar"/>
    <w:qFormat/>
    <w:rsid w:val="00D67B29"/>
    <w:pPr>
      <w:tabs>
        <w:tab w:val="right" w:pos="1786"/>
      </w:tabs>
      <w:spacing w:before="40"/>
      <w:ind w:left="2070" w:hanging="936"/>
    </w:pPr>
  </w:style>
  <w:style w:type="paragraph" w:customStyle="1" w:styleId="SOText2">
    <w:name w:val="SO Text2"/>
    <w:aliases w:val="sot2"/>
    <w:basedOn w:val="Normal"/>
    <w:next w:val="SOText"/>
    <w:link w:val="SOText2Char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paragraph" w:customStyle="1" w:styleId="Sponsor">
    <w:name w:val="Sponsor"/>
    <w:basedOn w:val="OPCParaBase"/>
    <w:rsid w:val="00D67B29"/>
    <w:pPr>
      <w:spacing w:line="240" w:lineRule="auto"/>
    </w:pPr>
    <w:rPr>
      <w:i/>
    </w:rPr>
  </w:style>
  <w:style w:type="paragraph" w:customStyle="1" w:styleId="SubDivisionMigration">
    <w:name w:val="SubDivisionMigration"/>
    <w:aliases w:val="sdm"/>
    <w:basedOn w:val="OPCParaBase"/>
    <w:rsid w:val="00D67B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Subitem">
    <w:name w:val="Subitem"/>
    <w:aliases w:val="iss"/>
    <w:basedOn w:val="OPCParaBase"/>
    <w:rsid w:val="00D67B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7B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PartCASA">
    <w:name w:val="SubPart(CASA)"/>
    <w:aliases w:val="csp"/>
    <w:basedOn w:val="OPCParaBase"/>
    <w:next w:val="h3Div"/>
    <w:rsid w:val="00D67B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Main">
    <w:name w:val="t_Main"/>
    <w:aliases w:val="subsection,ss,Subsection"/>
    <w:basedOn w:val="OPCParaBase"/>
    <w:link w:val="subsectionChar"/>
    <w:qFormat/>
    <w:rsid w:val="00D67B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subsection2">
    <w:name w:val="subsection2"/>
    <w:aliases w:val="ss2"/>
    <w:basedOn w:val="OPCParaBase"/>
    <w:next w:val="tMain"/>
    <w:rsid w:val="00D67B29"/>
    <w:pPr>
      <w:spacing w:before="40" w:line="240" w:lineRule="auto"/>
      <w:ind w:left="1134"/>
    </w:pPr>
  </w:style>
  <w:style w:type="paragraph" w:customStyle="1" w:styleId="h6Subsec">
    <w:name w:val="h6_Subsec"/>
    <w:aliases w:val="SubsectionHead,ssh"/>
    <w:basedOn w:val="OPCParaBase"/>
    <w:next w:val="tMain"/>
    <w:qFormat/>
    <w:rsid w:val="00D67B29"/>
    <w:pPr>
      <w:keepNext/>
      <w:keepLines/>
      <w:spacing w:before="240" w:line="240" w:lineRule="auto"/>
      <w:ind w:left="1134"/>
    </w:pPr>
    <w:rPr>
      <w:i/>
    </w:rPr>
  </w:style>
  <w:style w:type="table" w:styleId="TableGrid">
    <w:name w:val="Table Grid"/>
    <w:basedOn w:val="TableNormal"/>
    <w:uiPriority w:val="59"/>
    <w:rsid w:val="00D67B2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">
    <w:name w:val="Table(a)"/>
    <w:aliases w:val="ta"/>
    <w:basedOn w:val="OPCParaBase"/>
    <w:rsid w:val="00D67B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7B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7B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7B29"/>
    <w:pPr>
      <w:spacing w:before="60" w:line="240" w:lineRule="auto"/>
    </w:pPr>
    <w:rPr>
      <w:rFonts w:cs="Arial"/>
      <w:sz w:val="20"/>
      <w:szCs w:val="22"/>
    </w:rPr>
  </w:style>
  <w:style w:type="paragraph" w:customStyle="1" w:styleId="TLPBoxTextnote">
    <w:name w:val="TLPBoxText(note"/>
    <w:aliases w:val="right)"/>
    <w:basedOn w:val="OPCParaBase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518B"/>
    <w:pPr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D67B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7B29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Normal"/>
    <w:rsid w:val="00D67B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7B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7B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7B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7B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518B"/>
  </w:style>
  <w:style w:type="paragraph" w:styleId="BlockText">
    <w:name w:val="Block Text"/>
    <w:basedOn w:val="Normal"/>
    <w:unhideWhenUsed/>
    <w:rsid w:val="00DC51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DC518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C518B"/>
    <w:rPr>
      <w:rFonts w:eastAsia="Calibri"/>
      <w:sz w:val="22"/>
      <w:lang w:eastAsia="en-US"/>
    </w:rPr>
  </w:style>
  <w:style w:type="paragraph" w:styleId="BodyText2">
    <w:name w:val="Body Text 2"/>
    <w:basedOn w:val="Normal"/>
    <w:link w:val="BodyText2Char"/>
    <w:unhideWhenUsed/>
    <w:rsid w:val="00DC51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C518B"/>
    <w:rPr>
      <w:rFonts w:eastAsia="Calibri"/>
      <w:sz w:val="22"/>
      <w:lang w:eastAsia="en-US"/>
    </w:rPr>
  </w:style>
  <w:style w:type="paragraph" w:styleId="BodyText3">
    <w:name w:val="Body Text 3"/>
    <w:basedOn w:val="Normal"/>
    <w:link w:val="BodyText3Char"/>
    <w:unhideWhenUsed/>
    <w:rsid w:val="00DC51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518B"/>
    <w:rPr>
      <w:rFonts w:eastAsia="Calibr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DC518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DC518B"/>
    <w:rPr>
      <w:rFonts w:eastAsia="Calibri"/>
      <w:sz w:val="22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DC51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C518B"/>
    <w:rPr>
      <w:rFonts w:eastAsia="Calibri"/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DC51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DC518B"/>
    <w:rPr>
      <w:rFonts w:eastAsia="Calibri"/>
      <w:sz w:val="22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DC51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C518B"/>
    <w:rPr>
      <w:rFonts w:eastAsia="Calibri"/>
      <w:sz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DC51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C518B"/>
    <w:rPr>
      <w:rFonts w:eastAsia="Calibri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DC518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DC518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rsid w:val="00DC518B"/>
    <w:rPr>
      <w:rFonts w:eastAsia="Calibri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DC51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18B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C5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C518B"/>
    <w:rPr>
      <w:rFonts w:eastAsia="Calibr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DC518B"/>
  </w:style>
  <w:style w:type="character" w:customStyle="1" w:styleId="DateChar">
    <w:name w:val="Date Char"/>
    <w:basedOn w:val="DefaultParagraphFont"/>
    <w:link w:val="Date"/>
    <w:rsid w:val="00DC518B"/>
    <w:rPr>
      <w:rFonts w:eastAsia="Calibri"/>
      <w:sz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DC51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C518B"/>
    <w:rPr>
      <w:rFonts w:ascii="Tahoma" w:eastAsia="Calibri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nhideWhenUsed/>
    <w:rsid w:val="00DC518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DC518B"/>
    <w:rPr>
      <w:rFonts w:eastAsia="Calibri"/>
      <w:sz w:val="22"/>
      <w:lang w:eastAsia="en-US"/>
    </w:rPr>
  </w:style>
  <w:style w:type="paragraph" w:styleId="EnvelopeAddress">
    <w:name w:val="envelope address"/>
    <w:basedOn w:val="Normal"/>
    <w:unhideWhenUsed/>
    <w:rsid w:val="00DC518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DC518B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nhideWhenUsed/>
    <w:rsid w:val="00DC518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C518B"/>
    <w:rPr>
      <w:rFonts w:eastAsia="Calibri"/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DC518B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C518B"/>
    <w:rPr>
      <w:rFonts w:ascii="Consolas" w:eastAsia="Calibri" w:hAnsi="Consolas"/>
      <w:lang w:eastAsia="en-US"/>
    </w:rPr>
  </w:style>
  <w:style w:type="paragraph" w:styleId="Index1">
    <w:name w:val="index 1"/>
    <w:basedOn w:val="Normal"/>
    <w:next w:val="Normal"/>
    <w:autoRedefine/>
    <w:unhideWhenUsed/>
    <w:rsid w:val="00DC518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nhideWhenUsed/>
    <w:rsid w:val="00DC518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nhideWhenUsed/>
    <w:rsid w:val="00DC518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nhideWhenUsed/>
    <w:rsid w:val="00DC518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nhideWhenUsed/>
    <w:rsid w:val="00DC518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nhideWhenUsed/>
    <w:rsid w:val="00DC518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nhideWhenUsed/>
    <w:rsid w:val="00DC518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nhideWhenUsed/>
    <w:rsid w:val="00DC518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nhideWhenUsed/>
    <w:rsid w:val="00DC518B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nhideWhenUsed/>
    <w:rsid w:val="00DC51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DC51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DC518B"/>
    <w:rPr>
      <w:rFonts w:eastAsia="Calibri"/>
      <w:b/>
      <w:bCs/>
      <w:i/>
      <w:iCs/>
      <w:color w:val="4F81BD" w:themeColor="accent1"/>
      <w:sz w:val="22"/>
      <w:lang w:eastAsia="en-US"/>
    </w:rPr>
  </w:style>
  <w:style w:type="paragraph" w:styleId="List">
    <w:name w:val="List"/>
    <w:basedOn w:val="Normal"/>
    <w:unhideWhenUsed/>
    <w:rsid w:val="00DC518B"/>
    <w:pPr>
      <w:ind w:left="283" w:hanging="283"/>
      <w:contextualSpacing/>
    </w:pPr>
  </w:style>
  <w:style w:type="paragraph" w:styleId="List2">
    <w:name w:val="List 2"/>
    <w:basedOn w:val="Normal"/>
    <w:unhideWhenUsed/>
    <w:rsid w:val="00DC518B"/>
    <w:pPr>
      <w:ind w:left="566" w:hanging="283"/>
      <w:contextualSpacing/>
    </w:pPr>
  </w:style>
  <w:style w:type="paragraph" w:styleId="List3">
    <w:name w:val="List 3"/>
    <w:basedOn w:val="Normal"/>
    <w:unhideWhenUsed/>
    <w:rsid w:val="00DC518B"/>
    <w:pPr>
      <w:ind w:left="849" w:hanging="283"/>
      <w:contextualSpacing/>
    </w:pPr>
  </w:style>
  <w:style w:type="paragraph" w:styleId="List4">
    <w:name w:val="List 4"/>
    <w:basedOn w:val="Normal"/>
    <w:rsid w:val="00DC518B"/>
    <w:pPr>
      <w:ind w:left="1132" w:hanging="283"/>
      <w:contextualSpacing/>
    </w:pPr>
  </w:style>
  <w:style w:type="paragraph" w:styleId="List5">
    <w:name w:val="List 5"/>
    <w:basedOn w:val="Normal"/>
    <w:rsid w:val="00DC518B"/>
    <w:pPr>
      <w:ind w:left="1415" w:hanging="283"/>
      <w:contextualSpacing/>
    </w:pPr>
  </w:style>
  <w:style w:type="paragraph" w:styleId="ListBullet">
    <w:name w:val="List Bullet"/>
    <w:basedOn w:val="Normal"/>
    <w:unhideWhenUsed/>
    <w:rsid w:val="00DC518B"/>
    <w:pPr>
      <w:contextualSpacing/>
    </w:pPr>
  </w:style>
  <w:style w:type="paragraph" w:styleId="ListBullet2">
    <w:name w:val="List Bullet 2"/>
    <w:basedOn w:val="Normal"/>
    <w:unhideWhenUsed/>
    <w:rsid w:val="00DC518B"/>
    <w:pPr>
      <w:contextualSpacing/>
    </w:pPr>
  </w:style>
  <w:style w:type="paragraph" w:styleId="ListBullet3">
    <w:name w:val="List Bullet 3"/>
    <w:basedOn w:val="Normal"/>
    <w:unhideWhenUsed/>
    <w:rsid w:val="00DC518B"/>
    <w:pPr>
      <w:contextualSpacing/>
    </w:pPr>
  </w:style>
  <w:style w:type="paragraph" w:styleId="ListBullet4">
    <w:name w:val="List Bullet 4"/>
    <w:basedOn w:val="Normal"/>
    <w:unhideWhenUsed/>
    <w:rsid w:val="00DC518B"/>
    <w:pPr>
      <w:contextualSpacing/>
    </w:pPr>
  </w:style>
  <w:style w:type="paragraph" w:styleId="ListBullet5">
    <w:name w:val="List Bullet 5"/>
    <w:basedOn w:val="Normal"/>
    <w:unhideWhenUsed/>
    <w:rsid w:val="00DC518B"/>
    <w:pPr>
      <w:contextualSpacing/>
    </w:pPr>
  </w:style>
  <w:style w:type="paragraph" w:styleId="ListContinue">
    <w:name w:val="List Continue"/>
    <w:basedOn w:val="Normal"/>
    <w:unhideWhenUsed/>
    <w:rsid w:val="00DC518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DC518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DC518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DC518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DC518B"/>
    <w:pPr>
      <w:spacing w:after="120"/>
      <w:ind w:left="1415"/>
      <w:contextualSpacing/>
    </w:pPr>
  </w:style>
  <w:style w:type="paragraph" w:styleId="ListNumber">
    <w:name w:val="List Number"/>
    <w:basedOn w:val="Normal"/>
    <w:rsid w:val="00DC518B"/>
    <w:pPr>
      <w:contextualSpacing/>
    </w:pPr>
  </w:style>
  <w:style w:type="paragraph" w:styleId="ListNumber2">
    <w:name w:val="List Number 2"/>
    <w:basedOn w:val="Normal"/>
    <w:unhideWhenUsed/>
    <w:rsid w:val="00DC518B"/>
    <w:pPr>
      <w:contextualSpacing/>
    </w:pPr>
  </w:style>
  <w:style w:type="paragraph" w:styleId="ListNumber3">
    <w:name w:val="List Number 3"/>
    <w:basedOn w:val="Normal"/>
    <w:unhideWhenUsed/>
    <w:rsid w:val="00DC518B"/>
    <w:pPr>
      <w:contextualSpacing/>
    </w:pPr>
  </w:style>
  <w:style w:type="paragraph" w:styleId="ListNumber4">
    <w:name w:val="List Number 4"/>
    <w:basedOn w:val="Normal"/>
    <w:unhideWhenUsed/>
    <w:rsid w:val="00DC518B"/>
    <w:pPr>
      <w:contextualSpacing/>
    </w:pPr>
  </w:style>
  <w:style w:type="paragraph" w:styleId="ListNumber5">
    <w:name w:val="List Number 5"/>
    <w:basedOn w:val="Normal"/>
    <w:unhideWhenUsed/>
    <w:rsid w:val="00DC518B"/>
    <w:pPr>
      <w:contextualSpacing/>
    </w:pPr>
  </w:style>
  <w:style w:type="paragraph" w:styleId="MacroText">
    <w:name w:val="macro"/>
    <w:link w:val="MacroTextChar"/>
    <w:unhideWhenUsed/>
    <w:rsid w:val="00DC51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eastAsia="Calibri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DC518B"/>
    <w:rPr>
      <w:rFonts w:ascii="Consolas" w:eastAsia="Calibri" w:hAnsi="Consolas"/>
      <w:lang w:eastAsia="en-US"/>
    </w:rPr>
  </w:style>
  <w:style w:type="paragraph" w:styleId="MessageHeader">
    <w:name w:val="Message Header"/>
    <w:basedOn w:val="Normal"/>
    <w:link w:val="MessageHeaderChar"/>
    <w:unhideWhenUsed/>
    <w:rsid w:val="00DC51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C518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8"/>
    <w:rsid w:val="00DC518B"/>
    <w:rPr>
      <w:rFonts w:eastAsia="Calibri"/>
      <w:sz w:val="22"/>
      <w:lang w:eastAsia="en-US"/>
    </w:rPr>
  </w:style>
  <w:style w:type="paragraph" w:styleId="NormalWeb">
    <w:name w:val="Normal (Web)"/>
    <w:basedOn w:val="Normal"/>
    <w:unhideWhenUsed/>
    <w:rsid w:val="00DC518B"/>
    <w:rPr>
      <w:sz w:val="24"/>
      <w:szCs w:val="24"/>
    </w:rPr>
  </w:style>
  <w:style w:type="paragraph" w:styleId="NormalIndent">
    <w:name w:val="Normal Indent"/>
    <w:basedOn w:val="Normal"/>
    <w:unhideWhenUsed/>
    <w:rsid w:val="00DC518B"/>
    <w:pPr>
      <w:ind w:left="720"/>
    </w:pPr>
  </w:style>
  <w:style w:type="paragraph" w:styleId="NoteHeading">
    <w:name w:val="Note Heading"/>
    <w:aliases w:val="HN"/>
    <w:basedOn w:val="Normal"/>
    <w:next w:val="Normal"/>
    <w:link w:val="NoteHeadingChar"/>
    <w:unhideWhenUsed/>
    <w:rsid w:val="00DC518B"/>
    <w:pPr>
      <w:spacing w:line="240" w:lineRule="auto"/>
    </w:pPr>
  </w:style>
  <w:style w:type="character" w:customStyle="1" w:styleId="NoteHeadingChar">
    <w:name w:val="Note Heading Char"/>
    <w:aliases w:val="HN Char"/>
    <w:basedOn w:val="DefaultParagraphFont"/>
    <w:link w:val="NoteHeading"/>
    <w:rsid w:val="00DC518B"/>
    <w:rPr>
      <w:rFonts w:eastAsia="Calibri"/>
      <w:sz w:val="22"/>
      <w:lang w:eastAsia="en-US"/>
    </w:rPr>
  </w:style>
  <w:style w:type="paragraph" w:styleId="PlainText">
    <w:name w:val="Plain Text"/>
    <w:basedOn w:val="Normal"/>
    <w:link w:val="PlainTextChar"/>
    <w:unhideWhenUsed/>
    <w:rsid w:val="00DC518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C518B"/>
    <w:rPr>
      <w:rFonts w:ascii="Consolas" w:eastAsia="Calibri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99"/>
    <w:semiHidden/>
    <w:rsid w:val="00DC51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DC518B"/>
    <w:rPr>
      <w:rFonts w:eastAsia="Calibri"/>
      <w:i/>
      <w:iCs/>
      <w:color w:val="000000" w:themeColor="text1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DC518B"/>
  </w:style>
  <w:style w:type="character" w:customStyle="1" w:styleId="SalutationChar">
    <w:name w:val="Salutation Char"/>
    <w:basedOn w:val="DefaultParagraphFont"/>
    <w:link w:val="Salutation"/>
    <w:rsid w:val="00DC518B"/>
    <w:rPr>
      <w:rFonts w:eastAsia="Calibri"/>
      <w:sz w:val="22"/>
      <w:lang w:eastAsia="en-US"/>
    </w:rPr>
  </w:style>
  <w:style w:type="paragraph" w:styleId="Signature">
    <w:name w:val="Signature"/>
    <w:basedOn w:val="Normal"/>
    <w:link w:val="SignatureChar"/>
    <w:unhideWhenUsed/>
    <w:rsid w:val="00DC518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rsid w:val="00DC518B"/>
    <w:rPr>
      <w:rFonts w:eastAsia="Calibri"/>
      <w:sz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DC5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5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nhideWhenUsed/>
    <w:rsid w:val="00DC518B"/>
    <w:pPr>
      <w:ind w:left="220" w:hanging="220"/>
    </w:pPr>
  </w:style>
  <w:style w:type="paragraph" w:styleId="TableofFigures">
    <w:name w:val="table of figures"/>
    <w:basedOn w:val="Normal"/>
    <w:next w:val="Normal"/>
    <w:unhideWhenUsed/>
    <w:rsid w:val="00DC518B"/>
  </w:style>
  <w:style w:type="paragraph" w:styleId="Title">
    <w:name w:val="Title"/>
    <w:basedOn w:val="Normal"/>
    <w:next w:val="Normal"/>
    <w:link w:val="TitleChar"/>
    <w:qFormat/>
    <w:rsid w:val="00DC5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C5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OAHeading">
    <w:name w:val="toa heading"/>
    <w:basedOn w:val="Normal"/>
    <w:next w:val="Normal"/>
    <w:unhideWhenUsed/>
    <w:rsid w:val="00DC51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C518B"/>
    <w:pPr>
      <w:spacing w:before="480" w:line="260" w:lineRule="atLeas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customStyle="1" w:styleId="tFormula">
    <w:name w:val="t_Formula"/>
    <w:basedOn w:val="Normal"/>
    <w:qFormat/>
    <w:rsid w:val="003E284A"/>
    <w:pPr>
      <w:tabs>
        <w:tab w:val="center" w:pos="3969"/>
        <w:tab w:val="right" w:pos="8789"/>
      </w:tabs>
      <w:spacing w:before="120" w:after="60" w:line="240" w:lineRule="auto"/>
      <w:ind w:left="1134" w:hanging="1134"/>
    </w:pPr>
    <w:rPr>
      <w:rFonts w:eastAsia="Times New Roman"/>
      <w:b/>
      <w:i/>
      <w:lang w:eastAsia="en-AU"/>
    </w:rPr>
  </w:style>
  <w:style w:type="paragraph" w:customStyle="1" w:styleId="tParameter">
    <w:name w:val="t_Parameter"/>
    <w:basedOn w:val="Normal"/>
    <w:rsid w:val="003E284A"/>
    <w:pPr>
      <w:tabs>
        <w:tab w:val="right" w:pos="1985"/>
      </w:tabs>
      <w:spacing w:before="40" w:line="240" w:lineRule="auto"/>
      <w:ind w:left="2098" w:hanging="45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61118A"/>
    <w:rPr>
      <w:sz w:val="16"/>
      <w:szCs w:val="16"/>
    </w:rPr>
  </w:style>
  <w:style w:type="character" w:customStyle="1" w:styleId="paragraphChar">
    <w:name w:val="paragraph Char"/>
    <w:aliases w:val="a Char"/>
    <w:basedOn w:val="DefaultParagraphFont"/>
    <w:link w:val="tPara"/>
    <w:rsid w:val="0061118A"/>
    <w:rPr>
      <w:sz w:val="22"/>
    </w:rPr>
  </w:style>
  <w:style w:type="character" w:customStyle="1" w:styleId="subsectionChar">
    <w:name w:val="subsection Char"/>
    <w:aliases w:val="ss Char"/>
    <w:basedOn w:val="DefaultParagraphFont"/>
    <w:link w:val="tMain"/>
    <w:rsid w:val="0061118A"/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1118A"/>
    <w:rPr>
      <w:rFonts w:eastAsia="Calibri"/>
      <w:sz w:val="22"/>
    </w:rPr>
  </w:style>
  <w:style w:type="character" w:customStyle="1" w:styleId="SOParaChar">
    <w:name w:val="SO Para Char"/>
    <w:aliases w:val="soa Char"/>
    <w:basedOn w:val="DefaultParagraphFont"/>
    <w:link w:val="SOPara"/>
    <w:rsid w:val="0061118A"/>
    <w:rPr>
      <w:rFonts w:eastAsia="Calibri"/>
      <w:sz w:val="22"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1118A"/>
    <w:rPr>
      <w:rFonts w:eastAsia="Calibri"/>
      <w:b/>
      <w:sz w:val="22"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1118A"/>
    <w:rPr>
      <w:rFonts w:eastAsia="Calibri"/>
      <w:i/>
      <w:sz w:val="22"/>
    </w:rPr>
  </w:style>
  <w:style w:type="character" w:customStyle="1" w:styleId="SOBulletChar">
    <w:name w:val="SO Bullet Char"/>
    <w:aliases w:val="sotb Char"/>
    <w:basedOn w:val="DefaultParagraphFont"/>
    <w:link w:val="SOBullet"/>
    <w:rsid w:val="0061118A"/>
    <w:rPr>
      <w:rFonts w:eastAsia="Calibri"/>
      <w:sz w:val="22"/>
    </w:rPr>
  </w:style>
  <w:style w:type="character" w:customStyle="1" w:styleId="SOBulletNoteChar">
    <w:name w:val="SO BulletNote Char"/>
    <w:aliases w:val="sonb Char"/>
    <w:basedOn w:val="DefaultParagraphFont"/>
    <w:link w:val="SOBulletNote"/>
    <w:rsid w:val="0061118A"/>
    <w:rPr>
      <w:rFonts w:eastAsia="Calibri"/>
      <w:sz w:val="18"/>
    </w:rPr>
  </w:style>
  <w:style w:type="character" w:customStyle="1" w:styleId="SOText2Char">
    <w:name w:val="SO Text2 Char"/>
    <w:aliases w:val="sot2 Char"/>
    <w:basedOn w:val="DefaultParagraphFont"/>
    <w:link w:val="SOText2"/>
    <w:rsid w:val="0061118A"/>
    <w:rPr>
      <w:rFonts w:eastAsia="Calibri"/>
      <w:sz w:val="22"/>
      <w:lang w:eastAsia="en-US"/>
    </w:rPr>
  </w:style>
  <w:style w:type="paragraph" w:styleId="Revision">
    <w:name w:val="Revision"/>
    <w:hidden/>
    <w:uiPriority w:val="99"/>
    <w:semiHidden/>
    <w:rsid w:val="005A5DE4"/>
    <w:rPr>
      <w:rFonts w:eastAsia="Calibri"/>
      <w:sz w:val="22"/>
      <w:lang w:eastAsia="en-US"/>
    </w:rPr>
  </w:style>
  <w:style w:type="paragraph" w:customStyle="1" w:styleId="Tempstyle">
    <w:name w:val="Temp style"/>
    <w:basedOn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h1ChSch">
    <w:name w:val="h1_Ch_Sch"/>
    <w:basedOn w:val="Heading1"/>
    <w:next w:val="Normal"/>
    <w:qFormat/>
    <w:rsid w:val="00384323"/>
    <w:pPr>
      <w:pageBreakBefore/>
      <w:numPr>
        <w:numId w:val="0"/>
      </w:numPr>
      <w:spacing w:before="480" w:after="60" w:line="240" w:lineRule="auto"/>
      <w:ind w:left="2410" w:hanging="2410"/>
    </w:pPr>
    <w:rPr>
      <w:rFonts w:eastAsia="Times New Roman"/>
      <w:caps w:val="0"/>
      <w:sz w:val="40"/>
      <w:lang w:eastAsia="en-AU"/>
    </w:rPr>
  </w:style>
  <w:style w:type="paragraph" w:customStyle="1" w:styleId="noteDrafter">
    <w:name w:val="note_Drafter"/>
    <w:basedOn w:val="Normal"/>
    <w:qFormat/>
    <w:rsid w:val="00384323"/>
    <w:pPr>
      <w:spacing w:before="80" w:after="80" w:line="240" w:lineRule="auto"/>
    </w:pPr>
    <w:rPr>
      <w:rFonts w:eastAsia="Times New Roman"/>
      <w:color w:val="0070C0"/>
      <w:sz w:val="24"/>
      <w:szCs w:val="24"/>
      <w:lang w:eastAsia="en-AU"/>
    </w:rPr>
  </w:style>
  <w:style w:type="paragraph" w:customStyle="1" w:styleId="HeaderBoldOdd">
    <w:name w:val="HeaderBoldOdd"/>
    <w:basedOn w:val="Normal"/>
    <w:rsid w:val="00384323"/>
    <w:pPr>
      <w:spacing w:before="120" w:after="60" w:line="240" w:lineRule="auto"/>
      <w:jc w:val="right"/>
    </w:pPr>
    <w:rPr>
      <w:rFonts w:ascii="Arial" w:eastAsia="Times New Roman" w:hAnsi="Arial"/>
      <w:b/>
      <w:sz w:val="20"/>
      <w:szCs w:val="24"/>
      <w:lang w:eastAsia="en-AU"/>
    </w:rPr>
  </w:style>
  <w:style w:type="paragraph" w:customStyle="1" w:styleId="HeaderLiteOdd">
    <w:name w:val="HeaderLiteOdd"/>
    <w:basedOn w:val="Normal"/>
    <w:rsid w:val="00384323"/>
    <w:pPr>
      <w:tabs>
        <w:tab w:val="center" w:pos="3969"/>
        <w:tab w:val="right" w:pos="8505"/>
      </w:tabs>
      <w:spacing w:before="60" w:line="240" w:lineRule="auto"/>
      <w:jc w:val="right"/>
    </w:pPr>
    <w:rPr>
      <w:rFonts w:ascii="Arial" w:eastAsia="Times New Roman" w:hAnsi="Arial"/>
      <w:sz w:val="18"/>
      <w:szCs w:val="24"/>
      <w:lang w:eastAsia="en-AU"/>
    </w:rPr>
  </w:style>
  <w:style w:type="paragraph" w:customStyle="1" w:styleId="FooterDraft">
    <w:name w:val="FooterDraft"/>
    <w:basedOn w:val="Normal"/>
    <w:rsid w:val="00384323"/>
    <w:pPr>
      <w:spacing w:line="240" w:lineRule="auto"/>
      <w:jc w:val="center"/>
    </w:pPr>
    <w:rPr>
      <w:rFonts w:ascii="Arial" w:eastAsia="Times New Roman" w:hAnsi="Arial"/>
      <w:b/>
      <w:sz w:val="40"/>
      <w:szCs w:val="24"/>
      <w:lang w:eastAsia="en-AU"/>
    </w:rPr>
  </w:style>
  <w:style w:type="paragraph" w:customStyle="1" w:styleId="FooterCitation">
    <w:name w:val="FooterCitation"/>
    <w:basedOn w:val="Footer"/>
    <w:rsid w:val="00384323"/>
    <w:pPr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ec">
    <w:name w:val="Sec"/>
    <w:basedOn w:val="Normal"/>
    <w:next w:val="Normal"/>
    <w:uiPriority w:val="99"/>
    <w:rsid w:val="00384323"/>
    <w:pPr>
      <w:keepLines/>
      <w:tabs>
        <w:tab w:val="right" w:pos="794"/>
      </w:tabs>
      <w:spacing w:before="80" w:after="10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EquationNote">
    <w:name w:val="EquationNote"/>
    <w:basedOn w:val="Normal"/>
    <w:link w:val="EquationNoteChar"/>
    <w:uiPriority w:val="99"/>
    <w:rsid w:val="00384323"/>
    <w:pPr>
      <w:tabs>
        <w:tab w:val="right" w:pos="9000"/>
      </w:tabs>
      <w:spacing w:before="60" w:line="240" w:lineRule="auto"/>
      <w:ind w:left="360" w:hanging="360"/>
    </w:pPr>
    <w:rPr>
      <w:rFonts w:ascii="Arial" w:eastAsia="Times New Roman" w:hAnsi="Arial" w:cs="Arial"/>
      <w:iCs/>
      <w:sz w:val="18"/>
    </w:rPr>
  </w:style>
  <w:style w:type="character" w:customStyle="1" w:styleId="EquationNoteChar">
    <w:name w:val="EquationNote Char"/>
    <w:basedOn w:val="DefaultParagraphFont"/>
    <w:link w:val="EquationNote"/>
    <w:uiPriority w:val="99"/>
    <w:locked/>
    <w:rsid w:val="00384323"/>
    <w:rPr>
      <w:rFonts w:ascii="Arial" w:hAnsi="Arial" w:cs="Arial"/>
      <w:iCs/>
      <w:sz w:val="18"/>
      <w:lang w:eastAsia="en-US"/>
    </w:rPr>
  </w:style>
  <w:style w:type="paragraph" w:customStyle="1" w:styleId="NoteEnd">
    <w:name w:val="Note End"/>
    <w:basedOn w:val="Normal"/>
    <w:rsid w:val="00384323"/>
    <w:pPr>
      <w:keepLines/>
      <w:spacing w:before="120" w:line="240" w:lineRule="exact"/>
      <w:ind w:left="567" w:hanging="567"/>
      <w:jc w:val="both"/>
    </w:pPr>
    <w:rPr>
      <w:rFonts w:eastAsia="Times New Roman"/>
      <w:szCs w:val="24"/>
      <w:lang w:eastAsia="en-AU"/>
    </w:rPr>
  </w:style>
  <w:style w:type="paragraph" w:customStyle="1" w:styleId="noteMain">
    <w:name w:val="note_Main"/>
    <w:basedOn w:val="tMain"/>
    <w:qFormat/>
    <w:rsid w:val="00384323"/>
    <w:pPr>
      <w:keepLines/>
      <w:tabs>
        <w:tab w:val="clear" w:pos="1021"/>
        <w:tab w:val="right" w:pos="794"/>
      </w:tabs>
      <w:spacing w:before="80" w:after="100" w:line="220" w:lineRule="exact"/>
      <w:ind w:left="964" w:hanging="964"/>
      <w:jc w:val="both"/>
    </w:pPr>
    <w:rPr>
      <w:sz w:val="20"/>
      <w:szCs w:val="24"/>
    </w:rPr>
  </w:style>
  <w:style w:type="paragraph" w:customStyle="1" w:styleId="notePara">
    <w:name w:val="note_Para"/>
    <w:basedOn w:val="tPara"/>
    <w:qFormat/>
    <w:rsid w:val="00384323"/>
    <w:pPr>
      <w:keepLines/>
      <w:spacing w:before="0" w:after="100" w:line="220" w:lineRule="exact"/>
      <w:ind w:left="1701" w:hanging="1701"/>
      <w:jc w:val="both"/>
    </w:pPr>
    <w:rPr>
      <w:sz w:val="20"/>
      <w:szCs w:val="24"/>
    </w:rPr>
  </w:style>
  <w:style w:type="paragraph" w:customStyle="1" w:styleId="noteSubpara">
    <w:name w:val="note_Subpara"/>
    <w:basedOn w:val="tSubpara"/>
    <w:qFormat/>
    <w:rsid w:val="00384323"/>
    <w:pPr>
      <w:keepLines/>
      <w:tabs>
        <w:tab w:val="clear" w:pos="1985"/>
        <w:tab w:val="right" w:pos="2211"/>
      </w:tabs>
      <w:spacing w:before="0" w:after="100" w:line="220" w:lineRule="exact"/>
      <w:ind w:left="2410" w:hanging="2410"/>
      <w:jc w:val="both"/>
    </w:pPr>
    <w:rPr>
      <w:sz w:val="20"/>
      <w:szCs w:val="24"/>
    </w:rPr>
  </w:style>
  <w:style w:type="paragraph" w:customStyle="1" w:styleId="noteSubsub">
    <w:name w:val="note_Subsub"/>
    <w:basedOn w:val="tSubsub"/>
    <w:qFormat/>
    <w:rsid w:val="00384323"/>
    <w:pPr>
      <w:tabs>
        <w:tab w:val="clear" w:pos="2722"/>
        <w:tab w:val="right" w:pos="2948"/>
      </w:tabs>
      <w:spacing w:before="0" w:after="100" w:line="220" w:lineRule="exact"/>
      <w:ind w:left="3119" w:hanging="3119"/>
      <w:jc w:val="both"/>
    </w:pPr>
    <w:rPr>
      <w:sz w:val="20"/>
      <w:szCs w:val="24"/>
    </w:rPr>
  </w:style>
  <w:style w:type="paragraph" w:customStyle="1" w:styleId="definition">
    <w:name w:val="definition"/>
    <w:basedOn w:val="Normal"/>
    <w:rsid w:val="00384323"/>
    <w:pPr>
      <w:spacing w:before="80" w:line="260" w:lineRule="exact"/>
      <w:ind w:left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Default">
    <w:name w:val="Default"/>
    <w:rsid w:val="0038432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HSR">
    <w:name w:val="HSR"/>
    <w:aliases w:val="Subregulation Heading,HSS"/>
    <w:basedOn w:val="Normal"/>
    <w:next w:val="Normal"/>
    <w:rsid w:val="00384323"/>
    <w:pPr>
      <w:keepNext/>
      <w:spacing w:before="300" w:line="240" w:lineRule="auto"/>
      <w:ind w:left="964"/>
    </w:pPr>
    <w:rPr>
      <w:rFonts w:ascii="Arial" w:eastAsia="Times New Roman" w:hAnsi="Arial"/>
      <w:i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384323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384323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equation">
    <w:name w:val="equation"/>
    <w:basedOn w:val="Normal"/>
    <w:rsid w:val="00384323"/>
    <w:pPr>
      <w:tabs>
        <w:tab w:val="left" w:pos="1134"/>
        <w:tab w:val="left" w:pos="1701"/>
        <w:tab w:val="center" w:pos="9072"/>
      </w:tabs>
      <w:spacing w:line="240" w:lineRule="auto"/>
    </w:pPr>
    <w:rPr>
      <w:rFonts w:eastAsia="MS Mincho"/>
      <w:szCs w:val="22"/>
      <w:lang w:val="es-ES_tradnl"/>
    </w:rPr>
  </w:style>
  <w:style w:type="paragraph" w:customStyle="1" w:styleId="P1">
    <w:name w:val="P1"/>
    <w:aliases w:val="(a)"/>
    <w:basedOn w:val="Normal"/>
    <w:uiPriority w:val="99"/>
    <w:rsid w:val="00384323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3843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Def">
    <w:name w:val="Def"/>
    <w:basedOn w:val="Normal"/>
    <w:uiPriority w:val="99"/>
    <w:rsid w:val="00384323"/>
    <w:pPr>
      <w:spacing w:before="80" w:after="100" w:line="260" w:lineRule="exact"/>
      <w:ind w:left="964"/>
      <w:jc w:val="both"/>
    </w:pPr>
    <w:rPr>
      <w:rFonts w:asciiTheme="minorHAnsi" w:eastAsiaTheme="minorHAnsi" w:hAnsiTheme="minorHAnsi" w:cstheme="minorBidi"/>
      <w:szCs w:val="22"/>
    </w:rPr>
  </w:style>
  <w:style w:type="paragraph" w:customStyle="1" w:styleId="HC">
    <w:name w:val="HC"/>
    <w:aliases w:val="Sch,Chapter Heading"/>
    <w:basedOn w:val="Heading1"/>
    <w:next w:val="Normal"/>
    <w:rsid w:val="00384323"/>
    <w:pPr>
      <w:pageBreakBefore/>
      <w:numPr>
        <w:numId w:val="0"/>
      </w:numPr>
      <w:spacing w:before="480" w:after="60" w:line="276" w:lineRule="auto"/>
      <w:ind w:left="2410" w:hanging="2410"/>
    </w:pPr>
    <w:rPr>
      <w:rFonts w:eastAsia="Times New Roman"/>
      <w:caps w:val="0"/>
      <w:sz w:val="40"/>
    </w:rPr>
  </w:style>
  <w:style w:type="paragraph" w:customStyle="1" w:styleId="HD">
    <w:name w:val="HD"/>
    <w:aliases w:val="Division Heading"/>
    <w:basedOn w:val="Heading3"/>
    <w:next w:val="Normal"/>
    <w:rsid w:val="00384323"/>
    <w:pPr>
      <w:numPr>
        <w:ilvl w:val="0"/>
        <w:numId w:val="0"/>
      </w:numPr>
      <w:spacing w:before="360" w:after="60" w:line="276" w:lineRule="auto"/>
      <w:ind w:left="2410" w:hanging="2410"/>
    </w:pPr>
    <w:rPr>
      <w:rFonts w:eastAsia="Times New Roman"/>
      <w:i w:val="0"/>
      <w:sz w:val="28"/>
    </w:rPr>
  </w:style>
  <w:style w:type="paragraph" w:customStyle="1" w:styleId="HE">
    <w:name w:val="HE"/>
    <w:aliases w:val="Example heading"/>
    <w:basedOn w:val="Normal"/>
    <w:next w:val="Normal"/>
    <w:rsid w:val="00384323"/>
    <w:pPr>
      <w:keepNext/>
      <w:spacing w:before="120" w:after="200" w:line="220" w:lineRule="exact"/>
      <w:ind w:left="964"/>
    </w:pPr>
    <w:rPr>
      <w:rFonts w:asciiTheme="minorHAnsi" w:eastAsiaTheme="minorHAnsi" w:hAnsiTheme="minorHAnsi" w:cstheme="minorBidi"/>
      <w:i/>
      <w:szCs w:val="22"/>
    </w:rPr>
  </w:style>
  <w:style w:type="paragraph" w:customStyle="1" w:styleId="HP">
    <w:name w:val="HP"/>
    <w:aliases w:val="Part Heading"/>
    <w:basedOn w:val="Heading2"/>
    <w:next w:val="HD"/>
    <w:rsid w:val="00384323"/>
    <w:pPr>
      <w:pageBreakBefore/>
      <w:numPr>
        <w:ilvl w:val="0"/>
        <w:numId w:val="0"/>
      </w:numPr>
      <w:spacing w:before="360" w:after="60" w:line="276" w:lineRule="auto"/>
      <w:ind w:left="2410" w:hanging="2410"/>
    </w:pPr>
    <w:rPr>
      <w:rFonts w:eastAsia="Times New Roman"/>
      <w:bCs w:val="0"/>
      <w:sz w:val="36"/>
      <w:szCs w:val="22"/>
    </w:rPr>
  </w:style>
  <w:style w:type="paragraph" w:customStyle="1" w:styleId="HS">
    <w:name w:val="HS"/>
    <w:aliases w:val="Subdiv Heading"/>
    <w:basedOn w:val="Heading4"/>
    <w:next w:val="Normal"/>
    <w:rsid w:val="00384323"/>
    <w:pPr>
      <w:numPr>
        <w:ilvl w:val="0"/>
        <w:numId w:val="0"/>
      </w:numPr>
      <w:spacing w:before="360" w:after="60" w:line="276" w:lineRule="auto"/>
      <w:ind w:left="2410" w:hanging="2410"/>
    </w:pPr>
    <w:rPr>
      <w:rFonts w:eastAsia="Times New Roman" w:cs="Times New Roman"/>
      <w:b/>
      <w:i w:val="0"/>
      <w:sz w:val="28"/>
    </w:rPr>
  </w:style>
  <w:style w:type="paragraph" w:customStyle="1" w:styleId="HSec">
    <w:name w:val="HSec"/>
    <w:basedOn w:val="Heading5"/>
    <w:next w:val="Normal"/>
    <w:uiPriority w:val="99"/>
    <w:rsid w:val="00384323"/>
    <w:pPr>
      <w:numPr>
        <w:ilvl w:val="0"/>
        <w:numId w:val="0"/>
      </w:numPr>
      <w:spacing w:before="360" w:after="60" w:line="276" w:lineRule="auto"/>
      <w:ind w:left="964" w:hanging="964"/>
    </w:pPr>
    <w:rPr>
      <w:rFonts w:eastAsia="Times New Roman" w:cs="Times New Roman"/>
      <w:sz w:val="22"/>
    </w:rPr>
  </w:style>
  <w:style w:type="paragraph" w:customStyle="1" w:styleId="Notequery">
    <w:name w:val="Note query"/>
    <w:basedOn w:val="Normal"/>
    <w:qFormat/>
    <w:rsid w:val="00384323"/>
    <w:pPr>
      <w:spacing w:before="80" w:after="80" w:line="276" w:lineRule="auto"/>
    </w:pPr>
    <w:rPr>
      <w:rFonts w:asciiTheme="minorHAnsi" w:eastAsiaTheme="minorHAnsi" w:hAnsiTheme="minorHAnsi" w:cstheme="minorBidi"/>
      <w:color w:val="0070C0"/>
      <w:szCs w:val="22"/>
    </w:rPr>
  </w:style>
  <w:style w:type="paragraph" w:customStyle="1" w:styleId="Notepara0">
    <w:name w:val="Note para"/>
    <w:basedOn w:val="Normal"/>
    <w:rsid w:val="00384323"/>
    <w:pPr>
      <w:keepLines/>
      <w:spacing w:before="60" w:after="200" w:line="220" w:lineRule="exact"/>
      <w:ind w:left="1304" w:hanging="340"/>
      <w:jc w:val="both"/>
    </w:pPr>
    <w:rPr>
      <w:rFonts w:asciiTheme="minorHAnsi" w:eastAsiaTheme="minorHAnsi" w:hAnsiTheme="minorHAnsi" w:cstheme="minorBidi"/>
      <w:sz w:val="20"/>
      <w:szCs w:val="22"/>
    </w:rPr>
  </w:style>
  <w:style w:type="paragraph" w:customStyle="1" w:styleId="NoteSec">
    <w:name w:val="Note Sec"/>
    <w:basedOn w:val="Normal"/>
    <w:qFormat/>
    <w:rsid w:val="00384323"/>
    <w:pPr>
      <w:keepLines/>
      <w:spacing w:before="120" w:after="200" w:line="220" w:lineRule="exact"/>
      <w:jc w:val="both"/>
    </w:pPr>
    <w:rPr>
      <w:rFonts w:asciiTheme="minorHAnsi" w:eastAsiaTheme="minorHAnsi" w:hAnsiTheme="minorHAnsi" w:cstheme="minorBidi"/>
      <w:sz w:val="20"/>
      <w:szCs w:val="22"/>
    </w:rPr>
  </w:style>
  <w:style w:type="paragraph" w:customStyle="1" w:styleId="NoteSS">
    <w:name w:val="Note SS"/>
    <w:basedOn w:val="Normal"/>
    <w:qFormat/>
    <w:rsid w:val="00384323"/>
    <w:pPr>
      <w:keepLines/>
      <w:spacing w:before="120" w:after="200" w:line="220" w:lineRule="exact"/>
      <w:ind w:left="964"/>
      <w:jc w:val="both"/>
    </w:pPr>
    <w:rPr>
      <w:rFonts w:asciiTheme="minorHAnsi" w:eastAsiaTheme="minorHAnsi" w:hAnsiTheme="minorHAnsi" w:cstheme="minorBidi"/>
      <w:sz w:val="20"/>
      <w:szCs w:val="22"/>
    </w:rPr>
  </w:style>
  <w:style w:type="paragraph" w:customStyle="1" w:styleId="P2">
    <w:name w:val="P2"/>
    <w:aliases w:val="(i)"/>
    <w:basedOn w:val="Normal"/>
    <w:rsid w:val="00384323"/>
    <w:pPr>
      <w:keepLines/>
      <w:tabs>
        <w:tab w:val="right" w:pos="2098"/>
      </w:tabs>
      <w:spacing w:after="100" w:line="260" w:lineRule="exact"/>
      <w:ind w:left="2268" w:hanging="2268"/>
      <w:jc w:val="both"/>
    </w:pPr>
    <w:rPr>
      <w:rFonts w:asciiTheme="minorHAnsi" w:eastAsiaTheme="minorHAnsi" w:hAnsiTheme="minorHAnsi" w:cstheme="minorBidi"/>
      <w:szCs w:val="22"/>
    </w:rPr>
  </w:style>
  <w:style w:type="paragraph" w:customStyle="1" w:styleId="P3">
    <w:name w:val="P3"/>
    <w:aliases w:val="(A)"/>
    <w:basedOn w:val="Normal"/>
    <w:rsid w:val="00384323"/>
    <w:pPr>
      <w:tabs>
        <w:tab w:val="right" w:pos="2722"/>
      </w:tabs>
      <w:spacing w:after="100" w:line="260" w:lineRule="exact"/>
      <w:ind w:left="2892" w:hanging="2892"/>
      <w:jc w:val="both"/>
    </w:pPr>
    <w:rPr>
      <w:rFonts w:asciiTheme="minorHAnsi" w:eastAsiaTheme="minorHAnsi" w:hAnsiTheme="minorHAnsi" w:cstheme="minorBidi"/>
      <w:szCs w:val="22"/>
    </w:rPr>
  </w:style>
  <w:style w:type="paragraph" w:customStyle="1" w:styleId="Subsec">
    <w:name w:val="Subsec"/>
    <w:basedOn w:val="Normal"/>
    <w:uiPriority w:val="99"/>
    <w:rsid w:val="00384323"/>
    <w:pPr>
      <w:keepLines/>
      <w:tabs>
        <w:tab w:val="right" w:pos="794"/>
      </w:tabs>
      <w:spacing w:before="80" w:after="100" w:line="260" w:lineRule="exact"/>
      <w:ind w:left="964" w:hanging="964"/>
      <w:jc w:val="both"/>
    </w:pPr>
    <w:rPr>
      <w:rFonts w:asciiTheme="minorHAnsi" w:eastAsiaTheme="minorHAnsi" w:hAnsiTheme="minorHAnsi" w:cstheme="minorBidi"/>
      <w:szCs w:val="22"/>
    </w:rPr>
  </w:style>
  <w:style w:type="paragraph" w:customStyle="1" w:styleId="Green">
    <w:name w:val="Green"/>
    <w:basedOn w:val="Normal"/>
    <w:qFormat/>
    <w:rsid w:val="00384323"/>
    <w:pPr>
      <w:spacing w:before="80" w:after="80" w:line="276" w:lineRule="auto"/>
    </w:pPr>
    <w:rPr>
      <w:rFonts w:ascii="Arial" w:eastAsiaTheme="minorHAnsi" w:hAnsi="Arial" w:cstheme="minorBidi"/>
      <w:b/>
      <w:color w:val="00B050"/>
      <w:sz w:val="20"/>
      <w:szCs w:val="22"/>
    </w:rPr>
  </w:style>
  <w:style w:type="paragraph" w:customStyle="1" w:styleId="h5section0">
    <w:name w:val="h5section"/>
    <w:basedOn w:val="Normal"/>
    <w:uiPriority w:val="99"/>
    <w:rsid w:val="00384323"/>
    <w:pPr>
      <w:keepNext/>
      <w:spacing w:before="360" w:after="60" w:line="240" w:lineRule="auto"/>
      <w:ind w:left="964" w:hanging="964"/>
    </w:pPr>
    <w:rPr>
      <w:rFonts w:ascii="Arial" w:eastAsiaTheme="minorHAnsi" w:hAnsi="Arial" w:cs="Arial"/>
      <w:b/>
      <w:bCs/>
      <w:sz w:val="24"/>
      <w:szCs w:val="24"/>
      <w:lang w:eastAsia="en-AU"/>
    </w:rPr>
  </w:style>
  <w:style w:type="paragraph" w:customStyle="1" w:styleId="tpara0">
    <w:name w:val="tpara"/>
    <w:basedOn w:val="Normal"/>
    <w:uiPriority w:val="99"/>
    <w:rsid w:val="00384323"/>
    <w:pPr>
      <w:spacing w:after="100"/>
      <w:ind w:left="1701" w:hanging="1701"/>
      <w:jc w:val="both"/>
    </w:pPr>
    <w:rPr>
      <w:rFonts w:eastAsiaTheme="minorHAnsi"/>
      <w:sz w:val="24"/>
      <w:szCs w:val="24"/>
      <w:lang w:eastAsia="en-AU"/>
    </w:rPr>
  </w:style>
  <w:style w:type="paragraph" w:customStyle="1" w:styleId="tmain0">
    <w:name w:val="tmain"/>
    <w:basedOn w:val="Normal"/>
    <w:uiPriority w:val="99"/>
    <w:rsid w:val="00384323"/>
    <w:pPr>
      <w:spacing w:before="80" w:after="100"/>
      <w:ind w:left="964" w:hanging="964"/>
      <w:jc w:val="both"/>
    </w:pPr>
    <w:rPr>
      <w:rFonts w:eastAsiaTheme="minorHAnsi"/>
      <w:sz w:val="24"/>
      <w:szCs w:val="24"/>
      <w:lang w:eastAsia="en-AU"/>
    </w:rPr>
  </w:style>
  <w:style w:type="paragraph" w:customStyle="1" w:styleId="notepara1">
    <w:name w:val="notepara"/>
    <w:basedOn w:val="Normal"/>
    <w:uiPriority w:val="99"/>
    <w:rsid w:val="00384323"/>
    <w:pPr>
      <w:spacing w:after="100" w:line="220" w:lineRule="atLeast"/>
      <w:ind w:left="1701" w:hanging="1701"/>
      <w:jc w:val="both"/>
    </w:pPr>
    <w:rPr>
      <w:rFonts w:eastAsiaTheme="minorHAnsi"/>
      <w:sz w:val="20"/>
      <w:lang w:eastAsia="en-AU"/>
    </w:rPr>
  </w:style>
  <w:style w:type="paragraph" w:customStyle="1" w:styleId="Bullet">
    <w:name w:val="Bullet"/>
    <w:aliases w:val="b"/>
    <w:basedOn w:val="Normal"/>
    <w:link w:val="BulletChar"/>
    <w:uiPriority w:val="99"/>
    <w:qFormat/>
    <w:rsid w:val="00384323"/>
    <w:pPr>
      <w:tabs>
        <w:tab w:val="num" w:pos="520"/>
      </w:tabs>
      <w:spacing w:before="120" w:after="120" w:line="276" w:lineRule="auto"/>
      <w:ind w:left="520" w:hanging="520"/>
    </w:pPr>
    <w:rPr>
      <w:rFonts w:ascii="Calibri" w:eastAsia="Times New Roman" w:hAnsi="Calibri"/>
      <w:szCs w:val="22"/>
    </w:rPr>
  </w:style>
  <w:style w:type="character" w:customStyle="1" w:styleId="BulletChar">
    <w:name w:val="Bullet Char"/>
    <w:aliases w:val="b Char"/>
    <w:basedOn w:val="DefaultParagraphFont"/>
    <w:link w:val="Bullet"/>
    <w:uiPriority w:val="99"/>
    <w:locked/>
    <w:rsid w:val="00384323"/>
    <w:rPr>
      <w:rFonts w:ascii="Calibri" w:hAnsi="Calibri"/>
      <w:sz w:val="22"/>
      <w:szCs w:val="22"/>
      <w:lang w:eastAsia="en-US"/>
    </w:rPr>
  </w:style>
  <w:style w:type="paragraph" w:customStyle="1" w:styleId="Dash">
    <w:name w:val="Dash"/>
    <w:basedOn w:val="Normal"/>
    <w:link w:val="DashChar"/>
    <w:uiPriority w:val="99"/>
    <w:qFormat/>
    <w:rsid w:val="00384323"/>
    <w:pPr>
      <w:tabs>
        <w:tab w:val="num" w:pos="1040"/>
      </w:tabs>
      <w:spacing w:before="120" w:after="120" w:line="276" w:lineRule="auto"/>
      <w:ind w:left="1040" w:hanging="520"/>
    </w:pPr>
    <w:rPr>
      <w:rFonts w:ascii="Calibri" w:eastAsia="Times New Roman" w:hAnsi="Calibri"/>
      <w:szCs w:val="22"/>
    </w:rPr>
  </w:style>
  <w:style w:type="paragraph" w:customStyle="1" w:styleId="DoubleDot">
    <w:name w:val="Double Dot"/>
    <w:basedOn w:val="Normal"/>
    <w:link w:val="DoubleDotChar"/>
    <w:uiPriority w:val="99"/>
    <w:rsid w:val="00384323"/>
    <w:pPr>
      <w:tabs>
        <w:tab w:val="num" w:pos="1560"/>
      </w:tabs>
      <w:spacing w:before="120" w:after="120" w:line="276" w:lineRule="auto"/>
      <w:ind w:left="1560" w:hanging="520"/>
    </w:pPr>
    <w:rPr>
      <w:rFonts w:ascii="Calibri" w:eastAsia="Times New Roman" w:hAnsi="Calibri"/>
      <w:szCs w:val="22"/>
    </w:rPr>
  </w:style>
  <w:style w:type="paragraph" w:customStyle="1" w:styleId="ldclauseheading">
    <w:name w:val="ldclauseheading"/>
    <w:basedOn w:val="Normal"/>
    <w:rsid w:val="003843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ldclause">
    <w:name w:val="ldclause"/>
    <w:basedOn w:val="Normal"/>
    <w:rsid w:val="003843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ldp1a">
    <w:name w:val="ldp1a"/>
    <w:basedOn w:val="Normal"/>
    <w:rsid w:val="003843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tdefn0">
    <w:name w:val="tdefn"/>
    <w:basedOn w:val="Normal"/>
    <w:rsid w:val="003843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unhideWhenUsed/>
    <w:rsid w:val="00384323"/>
    <w:rPr>
      <w:color w:val="800080" w:themeColor="followedHyperlink"/>
      <w:u w:val="single"/>
    </w:rPr>
  </w:style>
  <w:style w:type="character" w:customStyle="1" w:styleId="CompDate">
    <w:name w:val="CompDate"/>
    <w:basedOn w:val="DefaultParagraphFont"/>
    <w:uiPriority w:val="1"/>
    <w:qFormat/>
    <w:rsid w:val="00384323"/>
    <w:rPr>
      <w:rFonts w:cs="Arial"/>
      <w:b/>
      <w:color w:val="008000"/>
    </w:rPr>
  </w:style>
  <w:style w:type="character" w:customStyle="1" w:styleId="RegDate">
    <w:name w:val="RegDate"/>
    <w:basedOn w:val="DefaultParagraphFont"/>
    <w:uiPriority w:val="1"/>
    <w:qFormat/>
    <w:rsid w:val="00384323"/>
    <w:rPr>
      <w:rFonts w:cs="Arial"/>
      <w:color w:val="008000"/>
    </w:rPr>
  </w:style>
  <w:style w:type="character" w:customStyle="1" w:styleId="legsubtitle1">
    <w:name w:val="legsubtitle1"/>
    <w:basedOn w:val="DefaultParagraphFont"/>
    <w:rsid w:val="00384323"/>
    <w:rPr>
      <w:rFonts w:ascii="Helvetica Neue" w:hAnsi="Helvetica Neue" w:hint="default"/>
      <w:b/>
      <w:bCs/>
      <w:sz w:val="28"/>
      <w:szCs w:val="28"/>
    </w:rPr>
  </w:style>
  <w:style w:type="character" w:customStyle="1" w:styleId="FRLIreg">
    <w:name w:val="FRLI_reg"/>
    <w:basedOn w:val="DefaultParagraphFont"/>
    <w:uiPriority w:val="1"/>
    <w:qFormat/>
    <w:rsid w:val="00384323"/>
    <w:rPr>
      <w:color w:val="008000"/>
    </w:rPr>
  </w:style>
  <w:style w:type="paragraph" w:customStyle="1" w:styleId="HR">
    <w:name w:val="HR"/>
    <w:aliases w:val="Regulation Heading"/>
    <w:basedOn w:val="Normal"/>
    <w:next w:val="Normal"/>
    <w:rsid w:val="00384323"/>
    <w:pPr>
      <w:keepNext/>
      <w:keepLines/>
      <w:spacing w:before="360" w:line="240" w:lineRule="auto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Rc">
    <w:name w:val="Rc"/>
    <w:aliases w:val="Rn continued"/>
    <w:basedOn w:val="Normal"/>
    <w:next w:val="R2"/>
    <w:rsid w:val="00384323"/>
    <w:pPr>
      <w:spacing w:before="60" w:line="260" w:lineRule="exact"/>
      <w:ind w:left="964"/>
      <w:jc w:val="both"/>
    </w:pPr>
    <w:rPr>
      <w:rFonts w:eastAsia="Times New Roman"/>
      <w:sz w:val="24"/>
      <w:szCs w:val="24"/>
      <w:lang w:eastAsia="en-AU"/>
    </w:rPr>
  </w:style>
  <w:style w:type="character" w:customStyle="1" w:styleId="DashChar">
    <w:name w:val="Dash Char"/>
    <w:link w:val="Dash"/>
    <w:uiPriority w:val="99"/>
    <w:locked/>
    <w:rsid w:val="00384323"/>
    <w:rPr>
      <w:rFonts w:ascii="Calibri" w:hAnsi="Calibri"/>
      <w:sz w:val="22"/>
      <w:szCs w:val="22"/>
      <w:lang w:eastAsia="en-US"/>
    </w:rPr>
  </w:style>
  <w:style w:type="character" w:customStyle="1" w:styleId="DoubleDotChar">
    <w:name w:val="Double Dot Char"/>
    <w:link w:val="DoubleDot"/>
    <w:uiPriority w:val="99"/>
    <w:locked/>
    <w:rsid w:val="00384323"/>
    <w:rPr>
      <w:rFonts w:ascii="Calibri" w:hAnsi="Calibri"/>
      <w:sz w:val="22"/>
      <w:szCs w:val="22"/>
      <w:lang w:eastAsia="en-US"/>
    </w:rPr>
  </w:style>
  <w:style w:type="character" w:styleId="Emphasis">
    <w:name w:val="Emphasis"/>
    <w:uiPriority w:val="20"/>
    <w:qFormat/>
    <w:rsid w:val="00384323"/>
    <w:rPr>
      <w:rFonts w:cs="Times New Roman"/>
      <w:b/>
      <w:bCs/>
    </w:rPr>
  </w:style>
  <w:style w:type="paragraph" w:customStyle="1" w:styleId="OutlineNumbered1">
    <w:name w:val="Outline Numbered 1"/>
    <w:basedOn w:val="Normal"/>
    <w:link w:val="OutlineNumbered1Char"/>
    <w:rsid w:val="00384323"/>
    <w:pPr>
      <w:numPr>
        <w:numId w:val="27"/>
      </w:numPr>
      <w:spacing w:before="120" w:after="120" w:line="276" w:lineRule="auto"/>
    </w:pPr>
    <w:rPr>
      <w:rFonts w:ascii="Calibri" w:eastAsia="Times New Roman" w:hAnsi="Calibri"/>
      <w:szCs w:val="22"/>
    </w:rPr>
  </w:style>
  <w:style w:type="character" w:customStyle="1" w:styleId="OutlineNumbered1Char">
    <w:name w:val="Outline Numbered 1 Char"/>
    <w:link w:val="OutlineNumbered1"/>
    <w:locked/>
    <w:rsid w:val="00384323"/>
    <w:rPr>
      <w:rFonts w:ascii="Calibri" w:hAnsi="Calibri"/>
      <w:sz w:val="22"/>
      <w:szCs w:val="22"/>
      <w:lang w:eastAsia="en-US"/>
    </w:rPr>
  </w:style>
  <w:style w:type="paragraph" w:customStyle="1" w:styleId="OutlineNumbered2">
    <w:name w:val="Outline Numbered 2"/>
    <w:basedOn w:val="Normal"/>
    <w:rsid w:val="00384323"/>
    <w:pPr>
      <w:numPr>
        <w:ilvl w:val="1"/>
        <w:numId w:val="27"/>
      </w:numPr>
      <w:spacing w:before="120" w:after="120" w:line="276" w:lineRule="auto"/>
    </w:pPr>
    <w:rPr>
      <w:rFonts w:ascii="Calibri" w:eastAsia="Times New Roman" w:hAnsi="Calibri"/>
      <w:szCs w:val="22"/>
    </w:rPr>
  </w:style>
  <w:style w:type="paragraph" w:customStyle="1" w:styleId="OutlineNumbered3">
    <w:name w:val="Outline Numbered 3"/>
    <w:basedOn w:val="Normal"/>
    <w:rsid w:val="00384323"/>
    <w:pPr>
      <w:numPr>
        <w:ilvl w:val="2"/>
        <w:numId w:val="27"/>
      </w:numPr>
      <w:spacing w:before="120" w:after="120" w:line="276" w:lineRule="auto"/>
    </w:pPr>
    <w:rPr>
      <w:rFonts w:ascii="Calibri" w:eastAsia="Times New Roman" w:hAnsi="Calibri"/>
      <w:szCs w:val="22"/>
    </w:rPr>
  </w:style>
  <w:style w:type="paragraph" w:customStyle="1" w:styleId="CABNETParagraph">
    <w:name w:val="CABNET Paragraph"/>
    <w:basedOn w:val="Normal"/>
    <w:link w:val="CABNETParagraphChar"/>
    <w:qFormat/>
    <w:rsid w:val="00384323"/>
    <w:pPr>
      <w:spacing w:before="120" w:after="120" w:line="240" w:lineRule="auto"/>
    </w:pPr>
    <w:rPr>
      <w:rFonts w:ascii="Verdana" w:eastAsia="Times New Roman" w:hAnsi="Verdana"/>
      <w:szCs w:val="22"/>
    </w:rPr>
  </w:style>
  <w:style w:type="character" w:customStyle="1" w:styleId="CABNETParagraphChar">
    <w:name w:val="CABNET Paragraph Char"/>
    <w:link w:val="CABNETParagraph"/>
    <w:locked/>
    <w:rsid w:val="00384323"/>
    <w:rPr>
      <w:rFonts w:ascii="Verdana" w:hAnsi="Verdana"/>
      <w:sz w:val="22"/>
      <w:szCs w:val="22"/>
      <w:lang w:eastAsia="en-US"/>
    </w:rPr>
  </w:style>
  <w:style w:type="character" w:styleId="Strong">
    <w:name w:val="Strong"/>
    <w:qFormat/>
    <w:rsid w:val="00384323"/>
    <w:rPr>
      <w:rFonts w:cs="Times New Roman"/>
      <w:b/>
      <w:bCs/>
    </w:rPr>
  </w:style>
  <w:style w:type="paragraph" w:customStyle="1" w:styleId="RegPara">
    <w:name w:val="RegPara"/>
    <w:basedOn w:val="Default"/>
    <w:next w:val="Default"/>
    <w:uiPriority w:val="99"/>
    <w:rsid w:val="00384323"/>
    <w:rPr>
      <w:rFonts w:ascii="Times New Roman" w:eastAsia="Times New Roman" w:hAnsi="Times New Roman" w:cs="Times New Roman"/>
      <w:color w:val="auto"/>
      <w:lang w:eastAsia="en-AU"/>
    </w:rPr>
  </w:style>
  <w:style w:type="paragraph" w:customStyle="1" w:styleId="TableNormal1">
    <w:name w:val="Table Normal1"/>
    <w:basedOn w:val="Normal"/>
    <w:uiPriority w:val="99"/>
    <w:rsid w:val="00384323"/>
    <w:pPr>
      <w:spacing w:before="40" w:line="240" w:lineRule="exact"/>
    </w:pPr>
    <w:rPr>
      <w:rFonts w:ascii="Arial" w:eastAsia="Times New Roman" w:hAnsi="Arial"/>
      <w:sz w:val="20"/>
      <w:szCs w:val="24"/>
    </w:rPr>
  </w:style>
  <w:style w:type="numbering" w:customStyle="1" w:styleId="CABNETList">
    <w:name w:val="CABNET List"/>
    <w:rsid w:val="00384323"/>
    <w:pPr>
      <w:numPr>
        <w:numId w:val="28"/>
      </w:numPr>
    </w:pPr>
  </w:style>
  <w:style w:type="numbering" w:styleId="ArticleSection">
    <w:name w:val="Outline List 3"/>
    <w:basedOn w:val="NoList"/>
    <w:unhideWhenUsed/>
    <w:rsid w:val="00384323"/>
    <w:pPr>
      <w:numPr>
        <w:numId w:val="29"/>
      </w:numPr>
    </w:pPr>
  </w:style>
  <w:style w:type="character" w:customStyle="1" w:styleId="tl">
    <w:name w:val="tl"/>
    <w:rsid w:val="00384323"/>
  </w:style>
  <w:style w:type="paragraph" w:customStyle="1" w:styleId="Normal1">
    <w:name w:val="Normal 1"/>
    <w:rsid w:val="00384323"/>
    <w:pPr>
      <w:spacing w:after="240" w:line="300" w:lineRule="exact"/>
    </w:pPr>
    <w:rPr>
      <w:rFonts w:ascii="Arial" w:hAnsi="Arial" w:cs="Arial"/>
      <w:sz w:val="22"/>
      <w:lang w:eastAsia="en-US"/>
    </w:rPr>
  </w:style>
  <w:style w:type="character" w:customStyle="1" w:styleId="subtitle1">
    <w:name w:val="subtitle1"/>
    <w:basedOn w:val="DefaultParagraphFont"/>
    <w:rsid w:val="00384323"/>
    <w:rPr>
      <w:b/>
      <w:bCs/>
      <w:color w:val="D12B2C"/>
      <w:sz w:val="23"/>
      <w:szCs w:val="23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84323"/>
    <w:rPr>
      <w:rFonts w:eastAsia="Calibri"/>
      <w:sz w:val="22"/>
      <w:lang w:eastAsia="en-US"/>
    </w:rPr>
  </w:style>
  <w:style w:type="paragraph" w:customStyle="1" w:styleId="HeaderBoldEven">
    <w:name w:val="HeaderBoldEven"/>
    <w:basedOn w:val="Normal"/>
    <w:rsid w:val="00384323"/>
    <w:pPr>
      <w:spacing w:before="120" w:after="60" w:line="240" w:lineRule="auto"/>
    </w:pPr>
    <w:rPr>
      <w:rFonts w:ascii="Arial" w:eastAsia="Times New Roman" w:hAnsi="Arial"/>
      <w:b/>
      <w:sz w:val="20"/>
      <w:szCs w:val="24"/>
      <w:lang w:eastAsia="en-AU"/>
    </w:rPr>
  </w:style>
  <w:style w:type="paragraph" w:customStyle="1" w:styleId="HeaderLiteEven">
    <w:name w:val="HeaderLiteEven"/>
    <w:basedOn w:val="Normal"/>
    <w:rsid w:val="00384323"/>
    <w:pPr>
      <w:tabs>
        <w:tab w:val="center" w:pos="3969"/>
        <w:tab w:val="right" w:pos="8505"/>
      </w:tabs>
      <w:spacing w:before="60" w:line="240" w:lineRule="auto"/>
    </w:pPr>
    <w:rPr>
      <w:rFonts w:ascii="Arial" w:eastAsia="Times New Roman" w:hAnsi="Arial"/>
      <w:sz w:val="18"/>
      <w:szCs w:val="24"/>
      <w:lang w:eastAsia="en-AU"/>
    </w:rPr>
  </w:style>
  <w:style w:type="paragraph" w:customStyle="1" w:styleId="HeaderContentsPage">
    <w:name w:val="HeaderContents&quot;Page&quot;"/>
    <w:basedOn w:val="Normal"/>
    <w:rsid w:val="00384323"/>
    <w:pPr>
      <w:spacing w:before="120" w:after="120" w:line="240" w:lineRule="auto"/>
      <w:jc w:val="right"/>
    </w:pPr>
    <w:rPr>
      <w:rFonts w:ascii="Arial" w:eastAsia="Times New Roman" w:hAnsi="Arial"/>
      <w:sz w:val="20"/>
      <w:szCs w:val="24"/>
      <w:lang w:eastAsia="en-AU"/>
    </w:rPr>
  </w:style>
  <w:style w:type="paragraph" w:customStyle="1" w:styleId="FooterInfo">
    <w:name w:val="FooterInfo"/>
    <w:basedOn w:val="Normal"/>
    <w:rsid w:val="00384323"/>
    <w:pPr>
      <w:spacing w:line="240" w:lineRule="auto"/>
    </w:pPr>
    <w:rPr>
      <w:rFonts w:ascii="Arial" w:eastAsia="Times New Roman" w:hAnsi="Arial"/>
      <w:sz w:val="12"/>
      <w:szCs w:val="24"/>
      <w:lang w:eastAsia="en-AU"/>
    </w:rPr>
  </w:style>
  <w:style w:type="numbering" w:styleId="111111">
    <w:name w:val="Outline List 2"/>
    <w:basedOn w:val="NoList"/>
    <w:rsid w:val="00384323"/>
    <w:pPr>
      <w:numPr>
        <w:numId w:val="30"/>
      </w:numPr>
    </w:pPr>
  </w:style>
  <w:style w:type="numbering" w:styleId="1ai">
    <w:name w:val="Outline List 1"/>
    <w:basedOn w:val="NoList"/>
    <w:rsid w:val="00384323"/>
    <w:pPr>
      <w:numPr>
        <w:numId w:val="31"/>
      </w:numPr>
    </w:pPr>
  </w:style>
  <w:style w:type="character" w:styleId="HTMLAcronym">
    <w:name w:val="HTML Acronym"/>
    <w:basedOn w:val="DefaultParagraphFont"/>
    <w:rsid w:val="00384323"/>
  </w:style>
  <w:style w:type="character" w:styleId="HTMLCite">
    <w:name w:val="HTML Cite"/>
    <w:basedOn w:val="DefaultParagraphFont"/>
    <w:rsid w:val="00384323"/>
    <w:rPr>
      <w:i/>
      <w:iCs/>
    </w:rPr>
  </w:style>
  <w:style w:type="character" w:styleId="HTMLCode">
    <w:name w:val="HTML Code"/>
    <w:basedOn w:val="DefaultParagraphFont"/>
    <w:rsid w:val="0038432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84323"/>
    <w:rPr>
      <w:i/>
      <w:iCs/>
    </w:rPr>
  </w:style>
  <w:style w:type="character" w:styleId="HTMLKeyboard">
    <w:name w:val="HTML Keyboard"/>
    <w:basedOn w:val="DefaultParagraphFont"/>
    <w:rsid w:val="0038432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38432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8432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84323"/>
    <w:rPr>
      <w:i/>
      <w:iCs/>
    </w:rPr>
  </w:style>
  <w:style w:type="table" w:styleId="Table3Deffects1">
    <w:name w:val="Table 3D effects 1"/>
    <w:basedOn w:val="TableNormal"/>
    <w:rsid w:val="0038432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8432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843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8432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8432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8432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8432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8432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843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8432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8432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8432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8432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8432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8432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38432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8432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38432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8432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8432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8432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843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843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8432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8432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8432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8432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8432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843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8432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8432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8432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8432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38432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38432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8432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843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8432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8432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84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8432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8432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8432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A1"/>
    <w:aliases w:val="Heading Amendment,1. Amendment"/>
    <w:basedOn w:val="Normal"/>
    <w:next w:val="Normal"/>
    <w:rsid w:val="00384323"/>
    <w:pPr>
      <w:keepNext/>
      <w:keepLines/>
      <w:spacing w:before="480" w:line="260" w:lineRule="exact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A1S">
    <w:name w:val="A1S"/>
    <w:aliases w:val="1.Schedule Amendment"/>
    <w:basedOn w:val="Normal"/>
    <w:next w:val="A2S"/>
    <w:rsid w:val="00384323"/>
    <w:pPr>
      <w:keepNext/>
      <w:keepLines/>
      <w:spacing w:before="480" w:line="260" w:lineRule="exact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A2">
    <w:name w:val="A2"/>
    <w:aliases w:val="1.1 amendment,Instruction amendment"/>
    <w:basedOn w:val="Normal"/>
    <w:next w:val="Normal"/>
    <w:rsid w:val="00384323"/>
    <w:pPr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A2S">
    <w:name w:val="A2S"/>
    <w:aliases w:val="Schedule Inst Amendment"/>
    <w:basedOn w:val="Normal"/>
    <w:next w:val="A3S"/>
    <w:rsid w:val="00384323"/>
    <w:pPr>
      <w:keepNext/>
      <w:spacing w:before="120" w:line="260" w:lineRule="exact"/>
      <w:ind w:left="964"/>
    </w:pPr>
    <w:rPr>
      <w:rFonts w:eastAsia="Times New Roman"/>
      <w:i/>
      <w:sz w:val="24"/>
      <w:szCs w:val="24"/>
      <w:lang w:eastAsia="en-AU"/>
    </w:rPr>
  </w:style>
  <w:style w:type="paragraph" w:customStyle="1" w:styleId="A3">
    <w:name w:val="A3"/>
    <w:aliases w:val="1.2 amendment"/>
    <w:basedOn w:val="Normal"/>
    <w:rsid w:val="00384323"/>
    <w:pPr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A3S">
    <w:name w:val="A3S"/>
    <w:aliases w:val="Schedule Amendment"/>
    <w:basedOn w:val="Normal"/>
    <w:next w:val="A1S"/>
    <w:rsid w:val="00384323"/>
    <w:pPr>
      <w:spacing w:before="60" w:line="260" w:lineRule="exact"/>
      <w:ind w:left="1247"/>
      <w:jc w:val="both"/>
    </w:pPr>
    <w:rPr>
      <w:rFonts w:eastAsia="Times New Roman"/>
      <w:sz w:val="24"/>
      <w:szCs w:val="24"/>
      <w:lang w:eastAsia="en-AU"/>
    </w:rPr>
  </w:style>
  <w:style w:type="paragraph" w:customStyle="1" w:styleId="A4">
    <w:name w:val="A4"/>
    <w:aliases w:val="(a) Amendment"/>
    <w:basedOn w:val="Normal"/>
    <w:rsid w:val="00384323"/>
    <w:pPr>
      <w:tabs>
        <w:tab w:val="right" w:pos="1247"/>
      </w:tabs>
      <w:spacing w:before="60" w:line="260" w:lineRule="exact"/>
      <w:ind w:left="1531" w:hanging="1531"/>
      <w:jc w:val="both"/>
    </w:pPr>
    <w:rPr>
      <w:rFonts w:eastAsia="Times New Roman"/>
      <w:sz w:val="24"/>
      <w:szCs w:val="24"/>
      <w:lang w:eastAsia="en-AU"/>
    </w:rPr>
  </w:style>
  <w:style w:type="paragraph" w:customStyle="1" w:styleId="A5">
    <w:name w:val="A5"/>
    <w:aliases w:val="(i) Amendment"/>
    <w:basedOn w:val="Normal"/>
    <w:rsid w:val="00384323"/>
    <w:pPr>
      <w:tabs>
        <w:tab w:val="right" w:pos="1758"/>
      </w:tabs>
      <w:spacing w:before="60" w:line="260" w:lineRule="exact"/>
      <w:ind w:left="2041" w:hanging="2041"/>
      <w:jc w:val="both"/>
    </w:pPr>
    <w:rPr>
      <w:rFonts w:eastAsia="Times New Roman"/>
      <w:sz w:val="24"/>
      <w:szCs w:val="24"/>
      <w:lang w:eastAsia="en-AU"/>
    </w:rPr>
  </w:style>
  <w:style w:type="paragraph" w:customStyle="1" w:styleId="AN">
    <w:name w:val="AN"/>
    <w:aliases w:val="Note Amendment"/>
    <w:basedOn w:val="Normal"/>
    <w:next w:val="A1"/>
    <w:rsid w:val="00384323"/>
    <w:pPr>
      <w:spacing w:before="120" w:line="220" w:lineRule="exact"/>
      <w:ind w:left="964"/>
      <w:jc w:val="both"/>
    </w:pPr>
    <w:rPr>
      <w:rFonts w:eastAsia="Times New Roman"/>
      <w:sz w:val="20"/>
      <w:szCs w:val="24"/>
      <w:lang w:eastAsia="en-AU"/>
    </w:rPr>
  </w:style>
  <w:style w:type="paragraph" w:customStyle="1" w:styleId="ASref">
    <w:name w:val="AS ref"/>
    <w:basedOn w:val="Normal"/>
    <w:next w:val="A1S"/>
    <w:rsid w:val="00384323"/>
    <w:pPr>
      <w:keepNext/>
      <w:spacing w:before="60" w:line="200" w:lineRule="exact"/>
      <w:ind w:left="2410"/>
    </w:pPr>
    <w:rPr>
      <w:rFonts w:ascii="Arial" w:eastAsia="Times New Roman" w:hAnsi="Arial"/>
      <w:sz w:val="18"/>
      <w:szCs w:val="18"/>
      <w:lang w:eastAsia="en-AU"/>
    </w:rPr>
  </w:style>
  <w:style w:type="paragraph" w:customStyle="1" w:styleId="AS">
    <w:name w:val="AS"/>
    <w:aliases w:val="Schedule title Amendment"/>
    <w:basedOn w:val="Normal"/>
    <w:next w:val="ASref"/>
    <w:rsid w:val="00384323"/>
    <w:pPr>
      <w:keepNext/>
      <w:keepLines/>
      <w:spacing w:before="480" w:line="240" w:lineRule="auto"/>
      <w:ind w:left="2410" w:hanging="2410"/>
    </w:pPr>
    <w:rPr>
      <w:rFonts w:ascii="Arial" w:eastAsia="Times New Roman" w:hAnsi="Arial"/>
      <w:b/>
      <w:sz w:val="32"/>
      <w:szCs w:val="24"/>
      <w:lang w:eastAsia="en-AU"/>
    </w:rPr>
  </w:style>
  <w:style w:type="paragraph" w:customStyle="1" w:styleId="ASP">
    <w:name w:val="ASP"/>
    <w:aliases w:val="Schedule Part Amendment"/>
    <w:basedOn w:val="Normal"/>
    <w:next w:val="A1S"/>
    <w:rsid w:val="00384323"/>
    <w:pPr>
      <w:keepNext/>
      <w:keepLines/>
      <w:spacing w:before="360" w:line="240" w:lineRule="auto"/>
      <w:ind w:left="2410" w:hanging="2410"/>
    </w:pPr>
    <w:rPr>
      <w:rFonts w:ascii="Arial" w:eastAsia="Times New Roman" w:hAnsi="Arial"/>
      <w:b/>
      <w:sz w:val="28"/>
      <w:szCs w:val="24"/>
      <w:lang w:eastAsia="en-AU"/>
    </w:rPr>
  </w:style>
  <w:style w:type="character" w:customStyle="1" w:styleId="CharSchPTNo">
    <w:name w:val="CharSchPTNo"/>
    <w:basedOn w:val="DefaultParagraphFont"/>
    <w:rsid w:val="00384323"/>
  </w:style>
  <w:style w:type="character" w:customStyle="1" w:styleId="CharSchPTText">
    <w:name w:val="CharSchPTText"/>
    <w:basedOn w:val="DefaultParagraphFont"/>
    <w:rsid w:val="00384323"/>
  </w:style>
  <w:style w:type="paragraph" w:customStyle="1" w:styleId="ContentsHead">
    <w:name w:val="ContentsHead"/>
    <w:basedOn w:val="Normal"/>
    <w:next w:val="Normal"/>
    <w:rsid w:val="00384323"/>
    <w:pPr>
      <w:keepNext/>
      <w:keepLines/>
      <w:spacing w:before="240" w:after="240" w:line="240" w:lineRule="auto"/>
    </w:pPr>
    <w:rPr>
      <w:rFonts w:ascii="Arial" w:eastAsia="Times New Roman" w:hAnsi="Arial"/>
      <w:b/>
      <w:sz w:val="28"/>
      <w:szCs w:val="24"/>
      <w:lang w:eastAsia="en-AU"/>
    </w:rPr>
  </w:style>
  <w:style w:type="paragraph" w:customStyle="1" w:styleId="ContentsSectionBreak">
    <w:name w:val="ContentsSectionBreak"/>
    <w:basedOn w:val="Normal"/>
    <w:next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DD">
    <w:name w:val="DD"/>
    <w:aliases w:val="Dictionary Definition"/>
    <w:basedOn w:val="Normal"/>
    <w:rsid w:val="00384323"/>
    <w:pPr>
      <w:spacing w:before="80" w:line="260" w:lineRule="exact"/>
      <w:jc w:val="both"/>
    </w:pPr>
    <w:rPr>
      <w:rFonts w:eastAsia="Times New Roman"/>
      <w:sz w:val="24"/>
      <w:szCs w:val="24"/>
      <w:lang w:eastAsia="en-AU"/>
    </w:rPr>
  </w:style>
  <w:style w:type="paragraph" w:customStyle="1" w:styleId="DictionaryHeading">
    <w:name w:val="Dictionary Heading"/>
    <w:basedOn w:val="Normal"/>
    <w:next w:val="DD"/>
    <w:rsid w:val="00384323"/>
    <w:pPr>
      <w:keepNext/>
      <w:keepLines/>
      <w:spacing w:before="480" w:line="240" w:lineRule="auto"/>
      <w:ind w:left="2552" w:hanging="2552"/>
    </w:pPr>
    <w:rPr>
      <w:rFonts w:ascii="Arial" w:eastAsia="Times New Roman" w:hAnsi="Arial"/>
      <w:b/>
      <w:sz w:val="32"/>
      <w:szCs w:val="24"/>
      <w:lang w:eastAsia="en-AU"/>
    </w:rPr>
  </w:style>
  <w:style w:type="paragraph" w:customStyle="1" w:styleId="DictionarySectionBreak">
    <w:name w:val="DictionarySectionBreak"/>
    <w:basedOn w:val="Normal"/>
    <w:next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DNote">
    <w:name w:val="DNote"/>
    <w:aliases w:val="DictionaryNote"/>
    <w:basedOn w:val="Normal"/>
    <w:rsid w:val="00384323"/>
    <w:pPr>
      <w:spacing w:before="120" w:line="220" w:lineRule="exact"/>
      <w:ind w:left="425"/>
      <w:jc w:val="both"/>
    </w:pPr>
    <w:rPr>
      <w:rFonts w:eastAsia="Times New Roman"/>
      <w:sz w:val="20"/>
      <w:szCs w:val="24"/>
      <w:lang w:eastAsia="en-AU"/>
    </w:rPr>
  </w:style>
  <w:style w:type="paragraph" w:customStyle="1" w:styleId="DP1a">
    <w:name w:val="DP1(a)"/>
    <w:aliases w:val="Dictionary (a)"/>
    <w:basedOn w:val="Normal"/>
    <w:rsid w:val="00384323"/>
    <w:pPr>
      <w:tabs>
        <w:tab w:val="right" w:pos="709"/>
      </w:tabs>
      <w:spacing w:before="60" w:line="260" w:lineRule="exact"/>
      <w:ind w:left="936" w:hanging="936"/>
      <w:jc w:val="both"/>
    </w:pPr>
    <w:rPr>
      <w:rFonts w:eastAsia="Times New Roman"/>
      <w:sz w:val="24"/>
      <w:szCs w:val="24"/>
      <w:lang w:eastAsia="en-AU"/>
    </w:rPr>
  </w:style>
  <w:style w:type="paragraph" w:customStyle="1" w:styleId="DP2i">
    <w:name w:val="DP2(i)"/>
    <w:aliases w:val="Dictionary(i)"/>
    <w:basedOn w:val="Normal"/>
    <w:rsid w:val="00384323"/>
    <w:pPr>
      <w:tabs>
        <w:tab w:val="right" w:pos="1276"/>
      </w:tabs>
      <w:spacing w:before="60" w:line="260" w:lineRule="exact"/>
      <w:ind w:left="1503" w:hanging="1503"/>
      <w:jc w:val="both"/>
    </w:pPr>
    <w:rPr>
      <w:rFonts w:eastAsia="Times New Roman"/>
      <w:sz w:val="24"/>
      <w:szCs w:val="24"/>
      <w:lang w:eastAsia="en-AU"/>
    </w:rPr>
  </w:style>
  <w:style w:type="paragraph" w:customStyle="1" w:styleId="ExampleBody">
    <w:name w:val="Example Body"/>
    <w:basedOn w:val="Normal"/>
    <w:rsid w:val="00384323"/>
    <w:pPr>
      <w:keepLines/>
      <w:spacing w:before="60" w:line="220" w:lineRule="exact"/>
      <w:ind w:left="964"/>
      <w:jc w:val="both"/>
    </w:pPr>
    <w:rPr>
      <w:rFonts w:eastAsia="Times New Roman"/>
      <w:sz w:val="20"/>
      <w:szCs w:val="24"/>
      <w:lang w:eastAsia="en-AU"/>
    </w:rPr>
  </w:style>
  <w:style w:type="paragraph" w:customStyle="1" w:styleId="ExampleList">
    <w:name w:val="Example List"/>
    <w:basedOn w:val="Normal"/>
    <w:rsid w:val="00384323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rFonts w:eastAsia="Times New Roman"/>
      <w:sz w:val="20"/>
      <w:szCs w:val="24"/>
      <w:lang w:eastAsia="en-AU"/>
    </w:rPr>
  </w:style>
  <w:style w:type="paragraph" w:customStyle="1" w:styleId="Lt">
    <w:name w:val="Lt"/>
    <w:aliases w:val="Long title"/>
    <w:basedOn w:val="Normal"/>
    <w:rsid w:val="00384323"/>
    <w:pPr>
      <w:spacing w:before="260" w:line="240" w:lineRule="auto"/>
    </w:pPr>
    <w:rPr>
      <w:rFonts w:ascii="Arial" w:eastAsia="Times New Roman" w:hAnsi="Arial"/>
      <w:b/>
      <w:sz w:val="28"/>
      <w:szCs w:val="24"/>
      <w:lang w:eastAsia="en-AU"/>
    </w:rPr>
  </w:style>
  <w:style w:type="paragraph" w:customStyle="1" w:styleId="M1">
    <w:name w:val="M1"/>
    <w:aliases w:val="Modification Heading"/>
    <w:basedOn w:val="Normal"/>
    <w:next w:val="Normal"/>
    <w:rsid w:val="00384323"/>
    <w:pPr>
      <w:keepNext/>
      <w:spacing w:before="480" w:line="260" w:lineRule="exact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M2">
    <w:name w:val="M2"/>
    <w:aliases w:val="Modification Instruction"/>
    <w:basedOn w:val="Normal"/>
    <w:next w:val="Normal"/>
    <w:rsid w:val="00384323"/>
    <w:pPr>
      <w:keepNext/>
      <w:spacing w:before="120" w:line="260" w:lineRule="exact"/>
      <w:ind w:left="964"/>
    </w:pPr>
    <w:rPr>
      <w:rFonts w:eastAsia="Times New Roman"/>
      <w:i/>
      <w:sz w:val="24"/>
      <w:szCs w:val="24"/>
      <w:lang w:eastAsia="en-AU"/>
    </w:rPr>
  </w:style>
  <w:style w:type="paragraph" w:customStyle="1" w:styleId="M3">
    <w:name w:val="M3"/>
    <w:aliases w:val="Modification Text"/>
    <w:basedOn w:val="Normal"/>
    <w:next w:val="M1"/>
    <w:rsid w:val="00384323"/>
    <w:pPr>
      <w:spacing w:before="60" w:line="260" w:lineRule="exact"/>
      <w:ind w:left="1247"/>
      <w:jc w:val="both"/>
    </w:pPr>
    <w:rPr>
      <w:rFonts w:eastAsia="Times New Roman"/>
      <w:sz w:val="24"/>
      <w:szCs w:val="24"/>
      <w:lang w:eastAsia="en-AU"/>
    </w:rPr>
  </w:style>
  <w:style w:type="paragraph" w:customStyle="1" w:styleId="MainBodySectionBreak">
    <w:name w:val="MainBody Section Break"/>
    <w:basedOn w:val="Normal"/>
    <w:next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Maker">
    <w:name w:val="Maker"/>
    <w:basedOn w:val="Normal"/>
    <w:rsid w:val="00384323"/>
    <w:pPr>
      <w:tabs>
        <w:tab w:val="left" w:pos="3119"/>
      </w:tabs>
      <w:spacing w:line="300" w:lineRule="atLeast"/>
    </w:pPr>
    <w:rPr>
      <w:rFonts w:eastAsia="Times New Roman"/>
      <w:sz w:val="24"/>
      <w:szCs w:val="24"/>
      <w:lang w:eastAsia="en-AU"/>
    </w:rPr>
  </w:style>
  <w:style w:type="paragraph" w:customStyle="1" w:styleId="MHD">
    <w:name w:val="MHD"/>
    <w:aliases w:val="Mod Division Heading"/>
    <w:basedOn w:val="Normal"/>
    <w:next w:val="Normal"/>
    <w:rsid w:val="00384323"/>
    <w:pPr>
      <w:keepNext/>
      <w:spacing w:before="360" w:line="240" w:lineRule="auto"/>
      <w:ind w:left="2410" w:hanging="2410"/>
    </w:pPr>
    <w:rPr>
      <w:rFonts w:eastAsia="Times New Roman"/>
      <w:b/>
      <w:sz w:val="28"/>
      <w:szCs w:val="24"/>
      <w:lang w:eastAsia="en-AU"/>
    </w:rPr>
  </w:style>
  <w:style w:type="paragraph" w:customStyle="1" w:styleId="MHP">
    <w:name w:val="MHP"/>
    <w:aliases w:val="Mod Part Heading"/>
    <w:basedOn w:val="Normal"/>
    <w:next w:val="Normal"/>
    <w:rsid w:val="00384323"/>
    <w:pPr>
      <w:keepNext/>
      <w:spacing w:before="360" w:line="240" w:lineRule="auto"/>
      <w:ind w:left="2410" w:hanging="2410"/>
    </w:pPr>
    <w:rPr>
      <w:rFonts w:eastAsia="Times New Roman"/>
      <w:b/>
      <w:sz w:val="32"/>
      <w:szCs w:val="24"/>
      <w:lang w:eastAsia="en-AU"/>
    </w:rPr>
  </w:style>
  <w:style w:type="paragraph" w:customStyle="1" w:styleId="MHR">
    <w:name w:val="MHR"/>
    <w:aliases w:val="Mod Regulation Heading"/>
    <w:basedOn w:val="Normal"/>
    <w:next w:val="Normal"/>
    <w:rsid w:val="00384323"/>
    <w:pPr>
      <w:keepNext/>
      <w:spacing w:before="360" w:line="240" w:lineRule="auto"/>
      <w:ind w:left="964" w:hanging="964"/>
    </w:pPr>
    <w:rPr>
      <w:rFonts w:eastAsia="Times New Roman"/>
      <w:b/>
      <w:sz w:val="24"/>
      <w:szCs w:val="24"/>
      <w:lang w:eastAsia="en-AU"/>
    </w:rPr>
  </w:style>
  <w:style w:type="paragraph" w:customStyle="1" w:styleId="MHS">
    <w:name w:val="MHS"/>
    <w:aliases w:val="Mod Subdivision Heading"/>
    <w:basedOn w:val="Normal"/>
    <w:next w:val="MHR"/>
    <w:rsid w:val="00384323"/>
    <w:pPr>
      <w:keepNext/>
      <w:spacing w:before="360" w:line="240" w:lineRule="auto"/>
      <w:ind w:left="2410" w:hanging="2410"/>
    </w:pPr>
    <w:rPr>
      <w:rFonts w:eastAsia="Times New Roman"/>
      <w:b/>
      <w:sz w:val="24"/>
      <w:szCs w:val="24"/>
      <w:lang w:eastAsia="en-AU"/>
    </w:rPr>
  </w:style>
  <w:style w:type="paragraph" w:customStyle="1" w:styleId="MHSR">
    <w:name w:val="MHSR"/>
    <w:aliases w:val="Mod Subregulation Heading"/>
    <w:basedOn w:val="Normal"/>
    <w:next w:val="Normal"/>
    <w:rsid w:val="00384323"/>
    <w:pPr>
      <w:keepNext/>
      <w:spacing w:before="300" w:line="240" w:lineRule="auto"/>
      <w:ind w:left="964" w:hanging="964"/>
    </w:pPr>
    <w:rPr>
      <w:rFonts w:eastAsia="Times New Roman"/>
      <w:i/>
      <w:sz w:val="24"/>
      <w:szCs w:val="24"/>
      <w:lang w:eastAsia="en-AU"/>
    </w:rPr>
  </w:style>
  <w:style w:type="paragraph" w:customStyle="1" w:styleId="Note">
    <w:name w:val="Note"/>
    <w:basedOn w:val="Normal"/>
    <w:rsid w:val="00384323"/>
    <w:pPr>
      <w:keepLines/>
      <w:spacing w:before="120" w:line="220" w:lineRule="exact"/>
      <w:ind w:left="964"/>
      <w:jc w:val="both"/>
    </w:pPr>
    <w:rPr>
      <w:rFonts w:eastAsia="Times New Roman"/>
      <w:sz w:val="20"/>
      <w:szCs w:val="24"/>
      <w:lang w:eastAsia="en-AU"/>
    </w:rPr>
  </w:style>
  <w:style w:type="paragraph" w:customStyle="1" w:styleId="NotesSectionBreak">
    <w:name w:val="NotesSectionBreak"/>
    <w:basedOn w:val="Normal"/>
    <w:next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P4">
    <w:name w:val="P4"/>
    <w:aliases w:val="(I)"/>
    <w:basedOn w:val="Normal"/>
    <w:rsid w:val="00384323"/>
    <w:pPr>
      <w:tabs>
        <w:tab w:val="right" w:pos="3119"/>
      </w:tabs>
      <w:spacing w:before="60" w:line="260" w:lineRule="exact"/>
      <w:ind w:left="3419" w:hanging="3419"/>
      <w:jc w:val="both"/>
    </w:pPr>
    <w:rPr>
      <w:rFonts w:eastAsia="Times New Roman"/>
      <w:sz w:val="24"/>
      <w:szCs w:val="24"/>
      <w:lang w:eastAsia="en-AU"/>
    </w:rPr>
  </w:style>
  <w:style w:type="paragraph" w:customStyle="1" w:styleId="Query">
    <w:name w:val="Query"/>
    <w:aliases w:val="QY"/>
    <w:basedOn w:val="Normal"/>
    <w:rsid w:val="00384323"/>
    <w:pPr>
      <w:spacing w:before="180" w:line="260" w:lineRule="exact"/>
      <w:ind w:left="964" w:hanging="964"/>
      <w:jc w:val="both"/>
    </w:pPr>
    <w:rPr>
      <w:rFonts w:eastAsia="Times New Roman"/>
      <w:b/>
      <w:i/>
      <w:sz w:val="24"/>
      <w:szCs w:val="24"/>
      <w:lang w:eastAsia="en-AU"/>
    </w:rPr>
  </w:style>
  <w:style w:type="paragraph" w:customStyle="1" w:styleId="ReadersGuideSectionBreak">
    <w:name w:val="ReadersGuideSectionBreak"/>
    <w:basedOn w:val="Normal"/>
    <w:next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RGHead">
    <w:name w:val="RGHead"/>
    <w:basedOn w:val="Normal"/>
    <w:next w:val="Normal"/>
    <w:rsid w:val="00384323"/>
    <w:pPr>
      <w:keepNext/>
      <w:spacing w:before="360" w:line="240" w:lineRule="auto"/>
    </w:pPr>
    <w:rPr>
      <w:rFonts w:ascii="Arial" w:eastAsia="Times New Roman" w:hAnsi="Arial"/>
      <w:b/>
      <w:sz w:val="32"/>
      <w:szCs w:val="24"/>
      <w:lang w:eastAsia="en-AU"/>
    </w:rPr>
  </w:style>
  <w:style w:type="paragraph" w:customStyle="1" w:styleId="RGPara">
    <w:name w:val="RGPara"/>
    <w:aliases w:val="Readers Guide Para"/>
    <w:basedOn w:val="Normal"/>
    <w:rsid w:val="00384323"/>
    <w:pPr>
      <w:spacing w:before="120" w:line="260" w:lineRule="exact"/>
      <w:jc w:val="both"/>
    </w:pPr>
    <w:rPr>
      <w:rFonts w:eastAsia="Times New Roman"/>
      <w:sz w:val="24"/>
      <w:szCs w:val="24"/>
      <w:lang w:eastAsia="en-AU"/>
    </w:rPr>
  </w:style>
  <w:style w:type="paragraph" w:customStyle="1" w:styleId="RGPtHd">
    <w:name w:val="RGPtHd"/>
    <w:aliases w:val="Readers Guide PT Heading"/>
    <w:basedOn w:val="Normal"/>
    <w:next w:val="Normal"/>
    <w:rsid w:val="00384323"/>
    <w:pPr>
      <w:keepNext/>
      <w:spacing w:before="360" w:line="240" w:lineRule="auto"/>
    </w:pPr>
    <w:rPr>
      <w:rFonts w:ascii="Arial" w:eastAsia="Times New Roman" w:hAnsi="Arial"/>
      <w:b/>
      <w:sz w:val="28"/>
      <w:szCs w:val="24"/>
      <w:lang w:eastAsia="en-AU"/>
    </w:rPr>
  </w:style>
  <w:style w:type="paragraph" w:customStyle="1" w:styleId="RGSecHdg">
    <w:name w:val="RGSecHdg"/>
    <w:aliases w:val="Readers Guide Sec Heading"/>
    <w:basedOn w:val="Normal"/>
    <w:next w:val="RGPara"/>
    <w:rsid w:val="00384323"/>
    <w:pPr>
      <w:keepNext/>
      <w:spacing w:before="360" w:line="240" w:lineRule="auto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LandscapeSectionBreak">
    <w:name w:val="LandscapeSectionBreak"/>
    <w:basedOn w:val="Normal"/>
    <w:next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ScheduleDivision">
    <w:name w:val="Schedule Division"/>
    <w:basedOn w:val="Normal"/>
    <w:next w:val="ScheduleHeading"/>
    <w:rsid w:val="00384323"/>
    <w:pPr>
      <w:keepNext/>
      <w:keepLines/>
      <w:spacing w:before="360" w:line="240" w:lineRule="auto"/>
      <w:ind w:left="1559" w:hanging="1559"/>
    </w:pPr>
    <w:rPr>
      <w:rFonts w:ascii="Arial" w:eastAsia="Times New Roman" w:hAnsi="Arial"/>
      <w:b/>
      <w:sz w:val="24"/>
      <w:szCs w:val="24"/>
      <w:lang w:eastAsia="en-AU"/>
    </w:rPr>
  </w:style>
  <w:style w:type="character" w:customStyle="1" w:styleId="CharSchNo">
    <w:name w:val="CharSchNo"/>
    <w:basedOn w:val="DefaultParagraphFont"/>
    <w:rsid w:val="00384323"/>
  </w:style>
  <w:style w:type="character" w:customStyle="1" w:styleId="CharSchText">
    <w:name w:val="CharSchText"/>
    <w:basedOn w:val="DefaultParagraphFont"/>
    <w:rsid w:val="00384323"/>
  </w:style>
  <w:style w:type="paragraph" w:customStyle="1" w:styleId="IntroP1a">
    <w:name w:val="IntroP1(a)"/>
    <w:basedOn w:val="Normal"/>
    <w:rsid w:val="00384323"/>
    <w:pPr>
      <w:spacing w:before="60" w:line="260" w:lineRule="exact"/>
      <w:ind w:left="454" w:hanging="454"/>
      <w:jc w:val="both"/>
    </w:pPr>
    <w:rPr>
      <w:rFonts w:eastAsia="Times New Roman"/>
      <w:sz w:val="24"/>
      <w:szCs w:val="24"/>
      <w:lang w:eastAsia="en-AU"/>
    </w:rPr>
  </w:style>
  <w:style w:type="character" w:customStyle="1" w:styleId="CharAmSchPTNo">
    <w:name w:val="CharAmSchPTNo"/>
    <w:basedOn w:val="DefaultParagraphFont"/>
    <w:rsid w:val="00384323"/>
  </w:style>
  <w:style w:type="character" w:customStyle="1" w:styleId="CharAmSchPTText">
    <w:name w:val="CharAmSchPTText"/>
    <w:basedOn w:val="DefaultParagraphFont"/>
    <w:rsid w:val="00384323"/>
  </w:style>
  <w:style w:type="paragraph" w:customStyle="1" w:styleId="Footerinfo0">
    <w:name w:val="Footerinfo"/>
    <w:basedOn w:val="Footer"/>
    <w:rsid w:val="00384323"/>
    <w:pPr>
      <w:tabs>
        <w:tab w:val="clear" w:pos="4153"/>
        <w:tab w:val="clear" w:pos="830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PageEven">
    <w:name w:val="FooterPageEven"/>
    <w:basedOn w:val="FooterPageOdd"/>
    <w:rsid w:val="00384323"/>
    <w:pPr>
      <w:jc w:val="left"/>
    </w:pPr>
  </w:style>
  <w:style w:type="paragraph" w:customStyle="1" w:styleId="FooterPageOdd">
    <w:name w:val="FooterPageOdd"/>
    <w:basedOn w:val="Footer"/>
    <w:rsid w:val="00384323"/>
    <w:pPr>
      <w:tabs>
        <w:tab w:val="clear" w:pos="4153"/>
        <w:tab w:val="clear" w:pos="8306"/>
        <w:tab w:val="center" w:pos="3600"/>
        <w:tab w:val="right" w:pos="7201"/>
      </w:tabs>
      <w:spacing w:before="20"/>
      <w:jc w:val="right"/>
    </w:pPr>
    <w:rPr>
      <w:rFonts w:ascii="Arial" w:hAnsi="Arial"/>
      <w:szCs w:val="18"/>
    </w:rPr>
  </w:style>
  <w:style w:type="paragraph" w:customStyle="1" w:styleId="SchedSectionBreak">
    <w:name w:val="SchedSectionBreak"/>
    <w:basedOn w:val="Normal"/>
    <w:next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ScheduleHeading">
    <w:name w:val="Schedule Heading"/>
    <w:basedOn w:val="Normal"/>
    <w:next w:val="Normal"/>
    <w:rsid w:val="00384323"/>
    <w:pPr>
      <w:keepNext/>
      <w:keepLines/>
      <w:spacing w:before="360" w:line="240" w:lineRule="auto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Schedulelist">
    <w:name w:val="Schedule list"/>
    <w:basedOn w:val="Normal"/>
    <w:rsid w:val="00384323"/>
    <w:pPr>
      <w:tabs>
        <w:tab w:val="right" w:pos="1985"/>
      </w:tabs>
      <w:spacing w:before="60" w:line="260" w:lineRule="exact"/>
      <w:ind w:left="454"/>
    </w:pPr>
    <w:rPr>
      <w:rFonts w:eastAsia="Times New Roman"/>
      <w:sz w:val="24"/>
      <w:szCs w:val="24"/>
      <w:lang w:eastAsia="en-AU"/>
    </w:rPr>
  </w:style>
  <w:style w:type="paragraph" w:customStyle="1" w:styleId="Schedulepara">
    <w:name w:val="Schedule para"/>
    <w:basedOn w:val="Normal"/>
    <w:rsid w:val="00384323"/>
    <w:pPr>
      <w:tabs>
        <w:tab w:val="right" w:pos="567"/>
      </w:tabs>
      <w:spacing w:before="18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Schedulepart">
    <w:name w:val="Schedule part"/>
    <w:basedOn w:val="Normal"/>
    <w:rsid w:val="00384323"/>
    <w:pPr>
      <w:keepNext/>
      <w:keepLines/>
      <w:spacing w:before="360" w:line="240" w:lineRule="auto"/>
      <w:ind w:left="1559" w:hanging="1559"/>
    </w:pPr>
    <w:rPr>
      <w:rFonts w:ascii="Arial" w:eastAsia="Times New Roman" w:hAnsi="Arial"/>
      <w:b/>
      <w:sz w:val="28"/>
      <w:szCs w:val="24"/>
      <w:lang w:eastAsia="en-AU"/>
    </w:rPr>
  </w:style>
  <w:style w:type="paragraph" w:customStyle="1" w:styleId="Schedulereference">
    <w:name w:val="Schedule reference"/>
    <w:basedOn w:val="Normal"/>
    <w:next w:val="Schedulepart"/>
    <w:rsid w:val="00384323"/>
    <w:pPr>
      <w:keepNext/>
      <w:keepLines/>
      <w:spacing w:before="60" w:line="200" w:lineRule="exact"/>
      <w:ind w:left="2410"/>
    </w:pPr>
    <w:rPr>
      <w:rFonts w:ascii="Arial" w:eastAsia="Times New Roman" w:hAnsi="Arial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384323"/>
    <w:pPr>
      <w:keepNext/>
      <w:keepLines/>
      <w:spacing w:before="480" w:line="240" w:lineRule="auto"/>
      <w:ind w:left="2410" w:hanging="2410"/>
    </w:pPr>
    <w:rPr>
      <w:rFonts w:ascii="Arial" w:eastAsia="Times New Roman" w:hAnsi="Arial"/>
      <w:b/>
      <w:sz w:val="32"/>
      <w:szCs w:val="24"/>
      <w:lang w:eastAsia="en-AU"/>
    </w:rPr>
  </w:style>
  <w:style w:type="paragraph" w:customStyle="1" w:styleId="SigningPageBreak">
    <w:name w:val="SigningPageBreak"/>
    <w:basedOn w:val="Normal"/>
    <w:next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SRNo">
    <w:name w:val="SRNo"/>
    <w:basedOn w:val="Normal"/>
    <w:next w:val="Normal"/>
    <w:rsid w:val="00384323"/>
    <w:pPr>
      <w:pBdr>
        <w:bottom w:val="single" w:sz="4" w:space="3" w:color="auto"/>
      </w:pBdr>
      <w:spacing w:before="480" w:line="240" w:lineRule="auto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TableColHead">
    <w:name w:val="TableColHead"/>
    <w:basedOn w:val="Normal"/>
    <w:rsid w:val="00384323"/>
    <w:pPr>
      <w:keepNext/>
      <w:spacing w:before="120" w:after="60" w:line="200" w:lineRule="exact"/>
    </w:pPr>
    <w:rPr>
      <w:rFonts w:ascii="Arial" w:eastAsia="Times New Roman" w:hAnsi="Arial"/>
      <w:b/>
      <w:sz w:val="18"/>
      <w:szCs w:val="24"/>
      <w:lang w:eastAsia="en-AU"/>
    </w:rPr>
  </w:style>
  <w:style w:type="table" w:customStyle="1" w:styleId="TableGeneral">
    <w:name w:val="TableGeneral"/>
    <w:basedOn w:val="TableNormal"/>
    <w:rsid w:val="0038432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384323"/>
    <w:pPr>
      <w:tabs>
        <w:tab w:val="right" w:pos="408"/>
      </w:tabs>
      <w:spacing w:after="60" w:line="240" w:lineRule="exact"/>
      <w:ind w:left="533" w:hanging="533"/>
    </w:pPr>
    <w:rPr>
      <w:rFonts w:eastAsia="Times New Roman"/>
      <w:szCs w:val="24"/>
      <w:lang w:eastAsia="en-AU"/>
    </w:rPr>
  </w:style>
  <w:style w:type="paragraph" w:customStyle="1" w:styleId="TableP2i">
    <w:name w:val="TableP2(i)"/>
    <w:basedOn w:val="Normal"/>
    <w:rsid w:val="00384323"/>
    <w:pPr>
      <w:tabs>
        <w:tab w:val="right" w:pos="726"/>
      </w:tabs>
      <w:spacing w:after="60" w:line="240" w:lineRule="exact"/>
      <w:ind w:left="868" w:hanging="868"/>
    </w:pPr>
    <w:rPr>
      <w:rFonts w:eastAsia="Times New Roman"/>
      <w:szCs w:val="24"/>
      <w:lang w:eastAsia="en-AU"/>
    </w:rPr>
  </w:style>
  <w:style w:type="paragraph" w:customStyle="1" w:styleId="TableText1">
    <w:name w:val="TableText"/>
    <w:basedOn w:val="Normal"/>
    <w:rsid w:val="00384323"/>
    <w:pPr>
      <w:spacing w:before="60" w:after="60" w:line="240" w:lineRule="exact"/>
    </w:pPr>
    <w:rPr>
      <w:rFonts w:eastAsia="Times New Roman"/>
      <w:szCs w:val="24"/>
      <w:lang w:eastAsia="en-AU"/>
    </w:rPr>
  </w:style>
  <w:style w:type="paragraph" w:customStyle="1" w:styleId="TOC">
    <w:name w:val="TOC"/>
    <w:basedOn w:val="Normal"/>
    <w:next w:val="Normal"/>
    <w:rsid w:val="00384323"/>
    <w:pPr>
      <w:tabs>
        <w:tab w:val="right" w:pos="7088"/>
      </w:tabs>
      <w:spacing w:after="120" w:line="240" w:lineRule="auto"/>
    </w:pPr>
    <w:rPr>
      <w:rFonts w:ascii="Arial" w:eastAsia="Times New Roman" w:hAnsi="Arial"/>
      <w:sz w:val="20"/>
      <w:szCs w:val="24"/>
    </w:rPr>
  </w:style>
  <w:style w:type="paragraph" w:customStyle="1" w:styleId="IntroP2i">
    <w:name w:val="IntroP2(i)"/>
    <w:basedOn w:val="Normal"/>
    <w:rsid w:val="00384323"/>
    <w:pPr>
      <w:tabs>
        <w:tab w:val="right" w:pos="709"/>
      </w:tabs>
      <w:spacing w:before="60" w:line="260" w:lineRule="exact"/>
      <w:ind w:left="907" w:hanging="907"/>
      <w:jc w:val="both"/>
    </w:pPr>
    <w:rPr>
      <w:rFonts w:eastAsia="Times New Roman"/>
      <w:sz w:val="24"/>
      <w:szCs w:val="24"/>
      <w:lang w:eastAsia="en-AU"/>
    </w:rPr>
  </w:style>
  <w:style w:type="paragraph" w:customStyle="1" w:styleId="IntroP3A">
    <w:name w:val="IntroP3(A)"/>
    <w:basedOn w:val="Normal"/>
    <w:rsid w:val="00384323"/>
    <w:pPr>
      <w:tabs>
        <w:tab w:val="right" w:pos="1276"/>
      </w:tabs>
      <w:spacing w:before="60" w:line="260" w:lineRule="exact"/>
      <w:ind w:left="1503" w:hanging="1503"/>
      <w:jc w:val="both"/>
    </w:pPr>
    <w:rPr>
      <w:rFonts w:eastAsia="Times New Roman"/>
      <w:sz w:val="24"/>
      <w:szCs w:val="24"/>
      <w:lang w:eastAsia="en-AU"/>
    </w:rPr>
  </w:style>
  <w:style w:type="paragraph" w:customStyle="1" w:styleId="InstructorsNote">
    <w:name w:val="InstructorsNote"/>
    <w:basedOn w:val="Normal"/>
    <w:next w:val="Normal"/>
    <w:rsid w:val="00384323"/>
    <w:pPr>
      <w:spacing w:before="120" w:line="240" w:lineRule="auto"/>
      <w:ind w:left="958" w:hanging="958"/>
    </w:pPr>
    <w:rPr>
      <w:rFonts w:ascii="Arial" w:eastAsia="Times New Roman" w:hAnsi="Arial" w:cs="Arial"/>
      <w:b/>
      <w:sz w:val="16"/>
      <w:szCs w:val="18"/>
    </w:rPr>
  </w:style>
  <w:style w:type="paragraph" w:customStyle="1" w:styleId="ZA2">
    <w:name w:val="ZA2"/>
    <w:basedOn w:val="A2"/>
    <w:rsid w:val="00384323"/>
    <w:pPr>
      <w:keepNext/>
    </w:pPr>
  </w:style>
  <w:style w:type="paragraph" w:customStyle="1" w:styleId="ZA3">
    <w:name w:val="ZA3"/>
    <w:basedOn w:val="A3"/>
    <w:rsid w:val="00384323"/>
    <w:pPr>
      <w:keepNext/>
    </w:pPr>
  </w:style>
  <w:style w:type="paragraph" w:customStyle="1" w:styleId="ZA4">
    <w:name w:val="ZA4"/>
    <w:basedOn w:val="Normal"/>
    <w:next w:val="A4"/>
    <w:rsid w:val="00384323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rFonts w:eastAsia="Times New Roman"/>
      <w:sz w:val="24"/>
      <w:szCs w:val="24"/>
      <w:lang w:eastAsia="en-AU"/>
    </w:rPr>
  </w:style>
  <w:style w:type="paragraph" w:customStyle="1" w:styleId="ZDD">
    <w:name w:val="ZDD"/>
    <w:aliases w:val="Dict Def"/>
    <w:basedOn w:val="DD"/>
    <w:rsid w:val="00384323"/>
    <w:pPr>
      <w:keepNext/>
    </w:pPr>
  </w:style>
  <w:style w:type="paragraph" w:customStyle="1" w:styleId="Zdefinition">
    <w:name w:val="Zdefinition"/>
    <w:basedOn w:val="definition"/>
    <w:rsid w:val="00384323"/>
    <w:pPr>
      <w:keepNext/>
    </w:pPr>
  </w:style>
  <w:style w:type="paragraph" w:customStyle="1" w:styleId="ZDP1">
    <w:name w:val="ZDP1"/>
    <w:basedOn w:val="DP1a"/>
    <w:rsid w:val="00384323"/>
    <w:pPr>
      <w:keepNext/>
    </w:pPr>
  </w:style>
  <w:style w:type="paragraph" w:customStyle="1" w:styleId="ZExampleBody">
    <w:name w:val="ZExample Body"/>
    <w:basedOn w:val="ExampleBody"/>
    <w:rsid w:val="00384323"/>
    <w:pPr>
      <w:keepNext/>
    </w:pPr>
  </w:style>
  <w:style w:type="paragraph" w:customStyle="1" w:styleId="ZNote">
    <w:name w:val="ZNote"/>
    <w:basedOn w:val="Note"/>
    <w:rsid w:val="00384323"/>
    <w:pPr>
      <w:keepNext/>
    </w:pPr>
  </w:style>
  <w:style w:type="paragraph" w:customStyle="1" w:styleId="ZP1">
    <w:name w:val="ZP1"/>
    <w:basedOn w:val="P1"/>
    <w:rsid w:val="00384323"/>
    <w:pPr>
      <w:keepNext/>
    </w:pPr>
  </w:style>
  <w:style w:type="paragraph" w:customStyle="1" w:styleId="ZP2">
    <w:name w:val="ZP2"/>
    <w:basedOn w:val="P2"/>
    <w:rsid w:val="00384323"/>
    <w:pPr>
      <w:keepNext/>
      <w:tabs>
        <w:tab w:val="clear" w:pos="2098"/>
        <w:tab w:val="right" w:pos="1758"/>
        <w:tab w:val="left" w:pos="2155"/>
      </w:tabs>
      <w:spacing w:before="60" w:after="0"/>
      <w:ind w:left="1985" w:hanging="198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P3">
    <w:name w:val="ZP3"/>
    <w:basedOn w:val="P3"/>
    <w:rsid w:val="00384323"/>
    <w:pPr>
      <w:keepNext/>
      <w:tabs>
        <w:tab w:val="clear" w:pos="2722"/>
        <w:tab w:val="right" w:pos="2410"/>
      </w:tabs>
      <w:spacing w:before="60" w:after="0"/>
      <w:ind w:left="2693" w:hanging="2693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R1">
    <w:name w:val="ZR1"/>
    <w:basedOn w:val="R1"/>
    <w:rsid w:val="00384323"/>
    <w:pPr>
      <w:keepNext/>
    </w:pPr>
  </w:style>
  <w:style w:type="paragraph" w:customStyle="1" w:styleId="ZR2">
    <w:name w:val="ZR2"/>
    <w:basedOn w:val="R2"/>
    <w:rsid w:val="00384323"/>
    <w:pPr>
      <w:keepNext/>
    </w:pPr>
  </w:style>
  <w:style w:type="paragraph" w:customStyle="1" w:styleId="ZRcN">
    <w:name w:val="ZRcN"/>
    <w:basedOn w:val="Rc"/>
    <w:rsid w:val="00384323"/>
    <w:pPr>
      <w:keepNext/>
    </w:pPr>
  </w:style>
  <w:style w:type="character" w:customStyle="1" w:styleId="TitleSuperscript">
    <w:name w:val="TitleSuperscript"/>
    <w:basedOn w:val="DefaultParagraphFont"/>
    <w:rsid w:val="00384323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384323"/>
    <w:pPr>
      <w:keepNext/>
      <w:tabs>
        <w:tab w:val="right" w:pos="7218"/>
      </w:tabs>
      <w:spacing w:before="120" w:line="240" w:lineRule="auto"/>
      <w:ind w:left="2410" w:right="136" w:hanging="1418"/>
    </w:pPr>
    <w:rPr>
      <w:rFonts w:ascii="Arial" w:eastAsia="Times New Roman" w:hAnsi="Arial"/>
      <w:b/>
      <w:sz w:val="18"/>
      <w:szCs w:val="24"/>
    </w:rPr>
  </w:style>
  <w:style w:type="paragraph" w:customStyle="1" w:styleId="top2">
    <w:name w:val="top2"/>
    <w:basedOn w:val="Normal"/>
    <w:rsid w:val="00384323"/>
    <w:pPr>
      <w:tabs>
        <w:tab w:val="left" w:pos="3686"/>
        <w:tab w:val="right" w:pos="7082"/>
      </w:tabs>
      <w:spacing w:before="80" w:line="240" w:lineRule="auto"/>
      <w:ind w:left="2410" w:hanging="1871"/>
    </w:pPr>
    <w:rPr>
      <w:rFonts w:ascii="Arial" w:eastAsia="Times New Roman" w:hAnsi="Arial"/>
      <w:b/>
      <w:sz w:val="18"/>
      <w:szCs w:val="24"/>
    </w:rPr>
  </w:style>
  <w:style w:type="paragraph" w:customStyle="1" w:styleId="top3">
    <w:name w:val="top3"/>
    <w:basedOn w:val="Normal"/>
    <w:rsid w:val="00384323"/>
    <w:pPr>
      <w:spacing w:before="80" w:line="240" w:lineRule="auto"/>
      <w:ind w:left="2410" w:hanging="1168"/>
    </w:pPr>
    <w:rPr>
      <w:rFonts w:ascii="Arial" w:eastAsia="Times New Roman" w:hAnsi="Arial"/>
      <w:sz w:val="18"/>
      <w:szCs w:val="24"/>
    </w:rPr>
  </w:style>
  <w:style w:type="paragraph" w:customStyle="1" w:styleId="CHS">
    <w:name w:val="CHS"/>
    <w:aliases w:val="CASA Subdivision Heading"/>
    <w:basedOn w:val="HS"/>
    <w:next w:val="HR"/>
    <w:rsid w:val="00384323"/>
    <w:pPr>
      <w:spacing w:after="0" w:line="240" w:lineRule="auto"/>
      <w:outlineLvl w:val="9"/>
    </w:pPr>
    <w:rPr>
      <w:b w:val="0"/>
      <w:bCs w:val="0"/>
      <w:i/>
      <w:sz w:val="24"/>
      <w:szCs w:val="24"/>
      <w:lang w:eastAsia="en-AU"/>
    </w:rPr>
  </w:style>
  <w:style w:type="character" w:customStyle="1" w:styleId="FRLIregpar">
    <w:name w:val="FRLI_reg_par"/>
    <w:basedOn w:val="FRLIreg"/>
    <w:uiPriority w:val="1"/>
    <w:qFormat/>
    <w:rsid w:val="00384323"/>
    <w:rPr>
      <w:color w:val="auto"/>
    </w:rPr>
  </w:style>
  <w:style w:type="paragraph" w:customStyle="1" w:styleId="Variablename">
    <w:name w:val="Variable name"/>
    <w:basedOn w:val="tPara"/>
    <w:link w:val="VariablenameChar"/>
    <w:rsid w:val="00384323"/>
    <w:pPr>
      <w:spacing w:before="180"/>
    </w:pPr>
    <w:rPr>
      <w:iCs/>
    </w:rPr>
  </w:style>
  <w:style w:type="character" w:customStyle="1" w:styleId="VariablenameChar">
    <w:name w:val="Variable name Char"/>
    <w:basedOn w:val="paragraphChar"/>
    <w:link w:val="Variablename"/>
    <w:rsid w:val="00384323"/>
    <w:rPr>
      <w:iCs/>
      <w:sz w:val="22"/>
    </w:rPr>
  </w:style>
  <w:style w:type="paragraph" w:customStyle="1" w:styleId="2">
    <w:name w:val="2"/>
    <w:basedOn w:val="tPara"/>
    <w:rsid w:val="00876CBE"/>
  </w:style>
  <w:style w:type="character" w:customStyle="1" w:styleId="apple-converted-space">
    <w:name w:val="apple-converted-space"/>
    <w:basedOn w:val="DefaultParagraphFont"/>
    <w:rsid w:val="005D0E61"/>
  </w:style>
  <w:style w:type="character" w:customStyle="1" w:styleId="notetextChar">
    <w:name w:val="note(text) Char"/>
    <w:aliases w:val="n Char"/>
    <w:basedOn w:val="DefaultParagraphFont"/>
    <w:link w:val="nMain"/>
    <w:rsid w:val="00245C46"/>
    <w:rPr>
      <w:sz w:val="18"/>
    </w:rPr>
  </w:style>
  <w:style w:type="character" w:customStyle="1" w:styleId="charSubscript">
    <w:name w:val="charSubscript"/>
    <w:rsid w:val="00C77A59"/>
    <w:rPr>
      <w:color w:val="auto"/>
      <w:sz w:val="2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DA07760-5917-471A-AE17-07B52A59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2273F3CB.dotm</Template>
  <TotalTime>0</TotalTime>
  <Pages>8</Pages>
  <Words>1351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2018-06-27T05:03:00Z</dcterms:created>
  <dcterms:modified xsi:type="dcterms:W3CDTF">2018-06-27T05:04:00Z</dcterms:modified>
</cp:coreProperties>
</file>