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A343" w14:textId="77777777" w:rsidR="00461315" w:rsidRPr="00D12AEA" w:rsidRDefault="00E33934" w:rsidP="00E33934">
      <w:pPr>
        <w:jc w:val="center"/>
        <w:rPr>
          <w:rFonts w:cs="Times New Roman"/>
          <w:b/>
          <w:u w:val="single"/>
        </w:rPr>
      </w:pPr>
      <w:r w:rsidRPr="00D12AEA">
        <w:rPr>
          <w:rFonts w:cs="Times New Roman"/>
          <w:b/>
          <w:u w:val="single"/>
        </w:rPr>
        <w:t>EXPLANATORY STATEMENT</w:t>
      </w:r>
    </w:p>
    <w:p w14:paraId="2A3C3CC0" w14:textId="77777777" w:rsidR="00E33934" w:rsidRPr="00D12AEA" w:rsidRDefault="00E33934" w:rsidP="00E33934">
      <w:pPr>
        <w:jc w:val="center"/>
        <w:rPr>
          <w:rFonts w:cs="Times New Roman"/>
        </w:rPr>
      </w:pPr>
      <w:r w:rsidRPr="00D12AEA">
        <w:rPr>
          <w:rFonts w:cs="Times New Roman"/>
        </w:rPr>
        <w:t>Issued by the Authority of the Australian Information Commissioner</w:t>
      </w:r>
    </w:p>
    <w:p w14:paraId="63F34B85" w14:textId="77777777" w:rsidR="00E33934" w:rsidRPr="00D12AEA" w:rsidRDefault="00E33934" w:rsidP="00E33934">
      <w:pPr>
        <w:jc w:val="center"/>
        <w:rPr>
          <w:rFonts w:cs="Times New Roman"/>
          <w:i/>
        </w:rPr>
      </w:pPr>
      <w:r w:rsidRPr="00D12AEA">
        <w:rPr>
          <w:rFonts w:cs="Times New Roman"/>
          <w:i/>
        </w:rPr>
        <w:t>Privacy Act 1988</w:t>
      </w:r>
    </w:p>
    <w:p w14:paraId="07A508E2" w14:textId="77777777" w:rsidR="00E33934" w:rsidRPr="00D12AEA" w:rsidRDefault="00E33934" w:rsidP="001376CE">
      <w:pPr>
        <w:jc w:val="center"/>
        <w:rPr>
          <w:rFonts w:cs="Times New Roman"/>
          <w:i/>
        </w:rPr>
      </w:pPr>
      <w:r w:rsidRPr="00D12AEA">
        <w:rPr>
          <w:rFonts w:cs="Times New Roman"/>
          <w:i/>
        </w:rPr>
        <w:t xml:space="preserve">Privacy (Credit Reporting) Code 2014 </w:t>
      </w:r>
      <w:r w:rsidR="0014669D" w:rsidRPr="00D12AEA">
        <w:rPr>
          <w:rFonts w:cs="Times New Roman"/>
          <w:i/>
        </w:rPr>
        <w:t>(</w:t>
      </w:r>
      <w:r w:rsidRPr="00D12AEA">
        <w:rPr>
          <w:rFonts w:cs="Times New Roman"/>
          <w:i/>
        </w:rPr>
        <w:t>Version 2</w:t>
      </w:r>
      <w:r w:rsidR="0014669D" w:rsidRPr="00D12AEA">
        <w:rPr>
          <w:rFonts w:cs="Times New Roman"/>
          <w:i/>
        </w:rPr>
        <w:t>)</w:t>
      </w:r>
    </w:p>
    <w:p w14:paraId="38EC9D20" w14:textId="77777777" w:rsidR="00F40961" w:rsidRDefault="00F40961" w:rsidP="001376CE">
      <w:pPr>
        <w:rPr>
          <w:rFonts w:ascii="Calibri" w:eastAsia="Times New Roman" w:hAnsi="Calibri" w:cs="Times New Roman"/>
          <w:color w:val="000000"/>
          <w:sz w:val="24"/>
          <w:szCs w:val="24"/>
          <w:lang w:eastAsia="en-AU"/>
        </w:rPr>
      </w:pPr>
    </w:p>
    <w:p w14:paraId="04328F2A" w14:textId="32B3DB30" w:rsidR="006052A8" w:rsidRPr="00F40961" w:rsidRDefault="006052A8" w:rsidP="00F40961">
      <w:pPr>
        <w:rPr>
          <w:rFonts w:eastAsia="Times New Roman"/>
          <w:color w:val="000000"/>
          <w:lang w:eastAsia="en-AU"/>
        </w:rPr>
      </w:pPr>
      <w:r w:rsidRPr="00F40961">
        <w:rPr>
          <w:rFonts w:eastAsia="Times New Roman"/>
          <w:color w:val="000000"/>
          <w:lang w:eastAsia="en-AU"/>
        </w:rPr>
        <w:t>Th</w:t>
      </w:r>
      <w:r w:rsidR="005B35B8" w:rsidRPr="00F40961">
        <w:rPr>
          <w:rFonts w:eastAsia="Times New Roman"/>
          <w:color w:val="000000"/>
          <w:lang w:eastAsia="en-AU"/>
        </w:rPr>
        <w:t>is explanatory statement relates to the</w:t>
      </w:r>
      <w:r w:rsidR="00EB57CD" w:rsidRPr="00F40961">
        <w:rPr>
          <w:rFonts w:eastAsia="Times New Roman"/>
          <w:color w:val="000000"/>
          <w:lang w:eastAsia="en-AU"/>
        </w:rPr>
        <w:t xml:space="preserve"> </w:t>
      </w:r>
      <w:r w:rsidRPr="00F40961">
        <w:rPr>
          <w:i/>
        </w:rPr>
        <w:t>Privacy (Credit Reporting) Code 2014 (Version 2)</w:t>
      </w:r>
      <w:r w:rsidRPr="00F40961">
        <w:t xml:space="preserve"> (the CR Code </w:t>
      </w:r>
      <w:r w:rsidR="00567F8D" w:rsidRPr="00F40961">
        <w:t>V</w:t>
      </w:r>
      <w:r w:rsidRPr="00F40961">
        <w:t>2)</w:t>
      </w:r>
      <w:r w:rsidR="0038538D" w:rsidRPr="00F40961">
        <w:t>,</w:t>
      </w:r>
      <w:r w:rsidR="005B35B8" w:rsidRPr="00F40961">
        <w:t xml:space="preserve"> which replaces the </w:t>
      </w:r>
      <w:r w:rsidR="005B35B8" w:rsidRPr="00F40961">
        <w:rPr>
          <w:i/>
        </w:rPr>
        <w:t xml:space="preserve">Privacy (Credit Reporting) Code 2014 (Version 1.2) </w:t>
      </w:r>
      <w:r w:rsidR="0038538D" w:rsidRPr="00F40961">
        <w:t>(the Previous Code)</w:t>
      </w:r>
      <w:r w:rsidR="005B35B8" w:rsidRPr="00F40961">
        <w:rPr>
          <w:i/>
        </w:rPr>
        <w:t xml:space="preserve"> </w:t>
      </w:r>
      <w:r w:rsidRPr="00F40961">
        <w:t>varied</w:t>
      </w:r>
      <w:r w:rsidRPr="00F40961">
        <w:rPr>
          <w:rFonts w:eastAsia="Times New Roman"/>
          <w:color w:val="000000"/>
          <w:lang w:eastAsia="en-AU"/>
        </w:rPr>
        <w:t xml:space="preserve"> under </w:t>
      </w:r>
      <w:r w:rsidR="00F5762E" w:rsidRPr="00F40961">
        <w:rPr>
          <w:rFonts w:eastAsia="Times New Roman"/>
          <w:color w:val="000000"/>
          <w:lang w:eastAsia="en-AU"/>
        </w:rPr>
        <w:t xml:space="preserve">s </w:t>
      </w:r>
      <w:r w:rsidRPr="00F40961">
        <w:rPr>
          <w:rFonts w:eastAsia="Times New Roman"/>
          <w:color w:val="000000"/>
          <w:lang w:eastAsia="en-AU"/>
        </w:rPr>
        <w:t>26T(5) of the </w:t>
      </w:r>
      <w:r w:rsidRPr="00F40961">
        <w:rPr>
          <w:rFonts w:eastAsia="Times New Roman"/>
          <w:i/>
          <w:iCs/>
          <w:color w:val="000000"/>
          <w:lang w:eastAsia="en-AU"/>
        </w:rPr>
        <w:t>Privacy Act 1988 </w:t>
      </w:r>
      <w:r w:rsidRPr="00F40961">
        <w:rPr>
          <w:rFonts w:eastAsia="Times New Roman"/>
          <w:color w:val="000000"/>
          <w:lang w:eastAsia="en-AU"/>
        </w:rPr>
        <w:t>(Privacy Act).</w:t>
      </w:r>
    </w:p>
    <w:p w14:paraId="6FB7B31B" w14:textId="670C87C2" w:rsidR="003D01A7" w:rsidRPr="00F40961" w:rsidRDefault="003D01A7" w:rsidP="00F40961">
      <w:r w:rsidRPr="00F40961">
        <w:t xml:space="preserve">The </w:t>
      </w:r>
      <w:r w:rsidR="00567F8D" w:rsidRPr="00F40961">
        <w:t>CR Code V2 repeals and replaces the Previous Code</w:t>
      </w:r>
      <w:r w:rsidRPr="00F40961">
        <w:t xml:space="preserve"> to clarify obligations under the Previous Code, reflect current industry practice and ensure consistency with the provisions in the Privacy Act. The variations are </w:t>
      </w:r>
      <w:r w:rsidR="00F5762E" w:rsidRPr="00F40961">
        <w:t xml:space="preserve">minor </w:t>
      </w:r>
      <w:r w:rsidRPr="00F40961">
        <w:t>in nature.</w:t>
      </w:r>
    </w:p>
    <w:p w14:paraId="4F4480AD" w14:textId="6F162307" w:rsidR="00772E93" w:rsidRPr="005B35B8" w:rsidRDefault="00772E93" w:rsidP="0055759E">
      <w:pPr>
        <w:pStyle w:val="Heading1"/>
      </w:pPr>
      <w:r>
        <w:t xml:space="preserve">Authority for registration of </w:t>
      </w:r>
      <w:r w:rsidRPr="0055759E">
        <w:t>the</w:t>
      </w:r>
      <w:r>
        <w:t xml:space="preserve"> CR Code </w:t>
      </w:r>
      <w:r w:rsidR="004968DD">
        <w:t>V</w:t>
      </w:r>
      <w:r>
        <w:t>2</w:t>
      </w:r>
    </w:p>
    <w:p w14:paraId="33DB36C4" w14:textId="57140BED" w:rsidR="0014669D" w:rsidRDefault="001376CE" w:rsidP="00E33934">
      <w:pPr>
        <w:rPr>
          <w:rFonts w:cs="Times New Roman"/>
        </w:rPr>
      </w:pPr>
      <w:r>
        <w:rPr>
          <w:rFonts w:cs="Times New Roman"/>
        </w:rPr>
        <w:t>S</w:t>
      </w:r>
      <w:r w:rsidRPr="00D12AEA">
        <w:rPr>
          <w:rFonts w:cs="Times New Roman"/>
        </w:rPr>
        <w:t>ection</w:t>
      </w:r>
      <w:r w:rsidR="0079290C" w:rsidRPr="00D12AEA">
        <w:rPr>
          <w:rFonts w:cs="Times New Roman"/>
        </w:rPr>
        <w:t xml:space="preserve"> 26T(1) of the </w:t>
      </w:r>
      <w:r w:rsidR="0079290C" w:rsidRPr="00D12AEA">
        <w:rPr>
          <w:rFonts w:cs="Times New Roman"/>
          <w:i/>
        </w:rPr>
        <w:t>Privacy Act 1988</w:t>
      </w:r>
      <w:r w:rsidR="0079290C" w:rsidRPr="00D12AEA">
        <w:rPr>
          <w:rFonts w:cs="Times New Roman"/>
        </w:rPr>
        <w:t xml:space="preserve"> (Privacy Act) enables the </w:t>
      </w:r>
      <w:r w:rsidR="005C216B">
        <w:rPr>
          <w:rFonts w:cs="Times New Roman"/>
        </w:rPr>
        <w:t xml:space="preserve">Australian </w:t>
      </w:r>
      <w:r w:rsidR="0079290C" w:rsidRPr="00D12AEA">
        <w:rPr>
          <w:rFonts w:cs="Times New Roman"/>
        </w:rPr>
        <w:t xml:space="preserve">Information Commissioner </w:t>
      </w:r>
      <w:r w:rsidR="005C216B">
        <w:rPr>
          <w:rFonts w:cs="Times New Roman"/>
        </w:rPr>
        <w:t xml:space="preserve">(Commissioner) </w:t>
      </w:r>
      <w:r w:rsidR="0079290C" w:rsidRPr="00D12AEA">
        <w:rPr>
          <w:rFonts w:cs="Times New Roman"/>
        </w:rPr>
        <w:t>to approve a variation of the registered CR Code. Section 26T(5) of the Privacy Act requires the Commissioner to register the CR Code, as varied, on the Codes Register</w:t>
      </w:r>
      <w:r w:rsidR="00F5762E">
        <w:rPr>
          <w:rFonts w:cs="Times New Roman"/>
        </w:rPr>
        <w:t xml:space="preserve"> kept by the Commissioner in accordance with s 26U of the Privacy Act</w:t>
      </w:r>
      <w:r w:rsidR="0079290C" w:rsidRPr="00D12AEA">
        <w:rPr>
          <w:rFonts w:cs="Times New Roman"/>
        </w:rPr>
        <w:t>. Section 26M of the Privacy Act provides that the CR Code, as varied, is a legislative instrument once included on the Codes Register.</w:t>
      </w:r>
    </w:p>
    <w:p w14:paraId="280A7DBB" w14:textId="64CC4A16" w:rsidR="00AB0A09" w:rsidRDefault="00AB0A09" w:rsidP="00AB0A09">
      <w:pPr>
        <w:rPr>
          <w:rFonts w:cs="Times New Roman"/>
        </w:rPr>
      </w:pPr>
      <w:r>
        <w:rPr>
          <w:rFonts w:cs="Times New Roman"/>
        </w:rPr>
        <w:t xml:space="preserve">The </w:t>
      </w:r>
      <w:r w:rsidRPr="00D12AEA">
        <w:rPr>
          <w:rFonts w:cs="Times New Roman"/>
        </w:rPr>
        <w:t>A</w:t>
      </w:r>
      <w:r>
        <w:rPr>
          <w:rFonts w:cs="Times New Roman"/>
        </w:rPr>
        <w:t xml:space="preserve">ustralian </w:t>
      </w:r>
      <w:r w:rsidRPr="00D12AEA">
        <w:rPr>
          <w:rFonts w:cs="Times New Roman"/>
        </w:rPr>
        <w:t>R</w:t>
      </w:r>
      <w:r>
        <w:rPr>
          <w:rFonts w:cs="Times New Roman"/>
        </w:rPr>
        <w:t xml:space="preserve">etail </w:t>
      </w:r>
      <w:r w:rsidRPr="00D12AEA">
        <w:rPr>
          <w:rFonts w:cs="Times New Roman"/>
        </w:rPr>
        <w:t>C</w:t>
      </w:r>
      <w:r>
        <w:rPr>
          <w:rFonts w:cs="Times New Roman"/>
        </w:rPr>
        <w:t xml:space="preserve">redit </w:t>
      </w:r>
      <w:r w:rsidRPr="00D12AEA">
        <w:rPr>
          <w:rFonts w:cs="Times New Roman"/>
        </w:rPr>
        <w:t>A</w:t>
      </w:r>
      <w:r>
        <w:rPr>
          <w:rFonts w:cs="Times New Roman"/>
        </w:rPr>
        <w:t>ssociation (ARCA), the code developer,</w:t>
      </w:r>
      <w:r w:rsidRPr="00D12AEA">
        <w:rPr>
          <w:rFonts w:cs="Times New Roman"/>
        </w:rPr>
        <w:t xml:space="preserve"> submitted an application for variation of the Previous Code</w:t>
      </w:r>
      <w:r>
        <w:rPr>
          <w:rFonts w:cs="Times New Roman"/>
        </w:rPr>
        <w:t xml:space="preserve"> under s</w:t>
      </w:r>
      <w:r w:rsidR="00F5762E">
        <w:rPr>
          <w:rFonts w:cs="Times New Roman"/>
        </w:rPr>
        <w:t> </w:t>
      </w:r>
      <w:r>
        <w:rPr>
          <w:rFonts w:cs="Times New Roman"/>
        </w:rPr>
        <w:t>26T(1)(c)</w:t>
      </w:r>
      <w:r w:rsidRPr="00D12AEA">
        <w:rPr>
          <w:rFonts w:cs="Times New Roman"/>
        </w:rPr>
        <w:t xml:space="preserve"> on 26 April 2018, and, following further consultation, a further amended application on 28 May 2018. Both applications were published on the </w:t>
      </w:r>
      <w:r w:rsidR="0038538D" w:rsidRPr="0038538D">
        <w:rPr>
          <w:rFonts w:cs="Times New Roman"/>
        </w:rPr>
        <w:t>Office of the Australian Information Commissioner</w:t>
      </w:r>
      <w:r w:rsidR="0038538D">
        <w:rPr>
          <w:rFonts w:cs="Times New Roman"/>
        </w:rPr>
        <w:t xml:space="preserve"> (OAIC)</w:t>
      </w:r>
      <w:r w:rsidRPr="00D12AEA">
        <w:rPr>
          <w:rFonts w:cs="Times New Roman"/>
        </w:rPr>
        <w:t xml:space="preserve"> website.</w:t>
      </w:r>
    </w:p>
    <w:p w14:paraId="5942DA61" w14:textId="21081245" w:rsidR="00F5762E" w:rsidRDefault="0038538D" w:rsidP="00E33934">
      <w:pPr>
        <w:rPr>
          <w:rFonts w:cs="Times New Roman"/>
        </w:rPr>
      </w:pPr>
      <w:r>
        <w:rPr>
          <w:rFonts w:cs="Times New Roman"/>
        </w:rPr>
        <w:t>The acting</w:t>
      </w:r>
      <w:r w:rsidR="00AB0A09" w:rsidRPr="00D12AEA">
        <w:rPr>
          <w:rFonts w:cs="Times New Roman"/>
        </w:rPr>
        <w:t xml:space="preserve"> Commissioner, having regard to </w:t>
      </w:r>
      <w:r w:rsidR="009F7C5F">
        <w:rPr>
          <w:rFonts w:cs="Times New Roman"/>
        </w:rPr>
        <w:t>s </w:t>
      </w:r>
      <w:r w:rsidR="00AB0A09" w:rsidRPr="00D12AEA">
        <w:rPr>
          <w:rFonts w:cs="Times New Roman"/>
        </w:rPr>
        <w:t xml:space="preserve">26T(3) of the Privacy Act and the OAIC’s </w:t>
      </w:r>
      <w:r w:rsidR="00AB0A09" w:rsidRPr="00D12AEA">
        <w:rPr>
          <w:rFonts w:cs="Times New Roman"/>
          <w:i/>
        </w:rPr>
        <w:t>Guidelines for developing codes</w:t>
      </w:r>
      <w:r w:rsidR="00AB0A09" w:rsidRPr="00D12AEA">
        <w:rPr>
          <w:rFonts w:cs="Times New Roman"/>
        </w:rPr>
        <w:t>, approved the variations to the Previous Code on 29 May 2018.</w:t>
      </w:r>
      <w:r w:rsidR="00AB0A09">
        <w:rPr>
          <w:rFonts w:cs="Times New Roman"/>
        </w:rPr>
        <w:t xml:space="preserve"> </w:t>
      </w:r>
      <w:r w:rsidR="005B35B8">
        <w:rPr>
          <w:rFonts w:ascii="Calibri" w:hAnsi="Calibri"/>
          <w:color w:val="000000"/>
          <w:shd w:val="clear" w:color="auto" w:fill="FFFFFF"/>
        </w:rPr>
        <w:t>T</w:t>
      </w:r>
      <w:r>
        <w:rPr>
          <w:rFonts w:ascii="Calibri" w:hAnsi="Calibri"/>
          <w:color w:val="000000"/>
          <w:shd w:val="clear" w:color="auto" w:fill="FFFFFF"/>
        </w:rPr>
        <w:t>he CR C</w:t>
      </w:r>
      <w:r w:rsidR="005B35B8">
        <w:rPr>
          <w:rFonts w:ascii="Calibri" w:hAnsi="Calibri"/>
          <w:color w:val="000000"/>
          <w:shd w:val="clear" w:color="auto" w:fill="FFFFFF"/>
        </w:rPr>
        <w:t xml:space="preserve">ode </w:t>
      </w:r>
      <w:r w:rsidR="00AB0A09">
        <w:rPr>
          <w:rFonts w:ascii="Calibri" w:hAnsi="Calibri"/>
          <w:color w:val="000000"/>
          <w:shd w:val="clear" w:color="auto" w:fill="FFFFFF"/>
        </w:rPr>
        <w:t>V</w:t>
      </w:r>
      <w:r w:rsidR="005B35B8">
        <w:rPr>
          <w:rFonts w:ascii="Calibri" w:hAnsi="Calibri"/>
          <w:color w:val="000000"/>
          <w:shd w:val="clear" w:color="auto" w:fill="FFFFFF"/>
        </w:rPr>
        <w:t xml:space="preserve">2 </w:t>
      </w:r>
      <w:r w:rsidR="009F7C5F">
        <w:rPr>
          <w:rFonts w:ascii="Calibri" w:hAnsi="Calibri"/>
          <w:color w:val="000000"/>
          <w:shd w:val="clear" w:color="auto" w:fill="FFFFFF"/>
        </w:rPr>
        <w:t xml:space="preserve">will be </w:t>
      </w:r>
      <w:r w:rsidR="005B35B8">
        <w:rPr>
          <w:rFonts w:ascii="Calibri" w:hAnsi="Calibri"/>
          <w:color w:val="000000"/>
          <w:shd w:val="clear" w:color="auto" w:fill="FFFFFF"/>
        </w:rPr>
        <w:t xml:space="preserve">included on the Codes Register </w:t>
      </w:r>
      <w:r w:rsidR="009F7C5F">
        <w:rPr>
          <w:rFonts w:ascii="Calibri" w:hAnsi="Calibri"/>
          <w:color w:val="000000"/>
          <w:shd w:val="clear" w:color="auto" w:fill="FFFFFF"/>
        </w:rPr>
        <w:t>from 1 July 2018</w:t>
      </w:r>
      <w:r>
        <w:rPr>
          <w:rFonts w:ascii="Calibri" w:hAnsi="Calibri"/>
          <w:color w:val="000000"/>
          <w:shd w:val="clear" w:color="auto" w:fill="FFFFFF"/>
        </w:rPr>
        <w:t>, and the P</w:t>
      </w:r>
      <w:r w:rsidR="005B35B8">
        <w:rPr>
          <w:rFonts w:ascii="Calibri" w:hAnsi="Calibri"/>
          <w:color w:val="000000"/>
          <w:shd w:val="clear" w:color="auto" w:fill="FFFFFF"/>
        </w:rPr>
        <w:t xml:space="preserve">revious </w:t>
      </w:r>
      <w:r>
        <w:rPr>
          <w:rFonts w:ascii="Calibri" w:hAnsi="Calibri"/>
          <w:color w:val="000000"/>
          <w:shd w:val="clear" w:color="auto" w:fill="FFFFFF"/>
        </w:rPr>
        <w:t>C</w:t>
      </w:r>
      <w:r w:rsidR="005B35B8">
        <w:rPr>
          <w:rFonts w:ascii="Calibri" w:hAnsi="Calibri"/>
          <w:color w:val="000000"/>
          <w:shd w:val="clear" w:color="auto" w:fill="FFFFFF"/>
        </w:rPr>
        <w:t xml:space="preserve">ode </w:t>
      </w:r>
      <w:r w:rsidR="009F7C5F">
        <w:rPr>
          <w:rFonts w:ascii="Calibri" w:hAnsi="Calibri"/>
          <w:color w:val="000000"/>
          <w:shd w:val="clear" w:color="auto" w:fill="FFFFFF"/>
        </w:rPr>
        <w:t>will</w:t>
      </w:r>
      <w:r w:rsidR="005B35B8">
        <w:rPr>
          <w:rFonts w:ascii="Calibri" w:hAnsi="Calibri"/>
          <w:color w:val="000000"/>
          <w:shd w:val="clear" w:color="auto" w:fill="FFFFFF"/>
        </w:rPr>
        <w:t xml:space="preserve"> </w:t>
      </w:r>
      <w:r w:rsidR="00D911A2">
        <w:rPr>
          <w:rFonts w:ascii="Calibri" w:hAnsi="Calibri"/>
          <w:color w:val="000000"/>
          <w:shd w:val="clear" w:color="auto" w:fill="FFFFFF"/>
        </w:rPr>
        <w:t xml:space="preserve">be </w:t>
      </w:r>
      <w:r w:rsidR="005B35B8">
        <w:rPr>
          <w:rFonts w:ascii="Calibri" w:hAnsi="Calibri"/>
          <w:color w:val="000000"/>
          <w:shd w:val="clear" w:color="auto" w:fill="FFFFFF"/>
        </w:rPr>
        <w:t xml:space="preserve">removed at the same time. Upon </w:t>
      </w:r>
      <w:r w:rsidR="009F7C5F">
        <w:rPr>
          <w:rFonts w:ascii="Calibri" w:hAnsi="Calibri"/>
          <w:color w:val="000000"/>
          <w:shd w:val="clear" w:color="auto" w:fill="FFFFFF"/>
        </w:rPr>
        <w:t>its inclusion on the Codes Register</w:t>
      </w:r>
      <w:r w:rsidR="005B35B8">
        <w:rPr>
          <w:rFonts w:ascii="Calibri" w:hAnsi="Calibri"/>
          <w:color w:val="000000"/>
          <w:shd w:val="clear" w:color="auto" w:fill="FFFFFF"/>
        </w:rPr>
        <w:t xml:space="preserve">, </w:t>
      </w:r>
      <w:r>
        <w:rPr>
          <w:rFonts w:ascii="Calibri" w:hAnsi="Calibri"/>
          <w:color w:val="000000"/>
          <w:shd w:val="clear" w:color="auto" w:fill="FFFFFF"/>
        </w:rPr>
        <w:t>CR Code V</w:t>
      </w:r>
      <w:r w:rsidR="005B35B8">
        <w:rPr>
          <w:rFonts w:ascii="Calibri" w:hAnsi="Calibri"/>
          <w:color w:val="000000"/>
          <w:shd w:val="clear" w:color="auto" w:fill="FFFFFF"/>
        </w:rPr>
        <w:t xml:space="preserve">2 </w:t>
      </w:r>
      <w:r w:rsidR="009F7C5F">
        <w:rPr>
          <w:rFonts w:ascii="Calibri" w:hAnsi="Calibri"/>
          <w:color w:val="000000"/>
          <w:shd w:val="clear" w:color="auto" w:fill="FFFFFF"/>
        </w:rPr>
        <w:t xml:space="preserve">will become </w:t>
      </w:r>
      <w:r w:rsidR="005B35B8">
        <w:rPr>
          <w:rFonts w:ascii="Calibri" w:hAnsi="Calibri"/>
          <w:color w:val="000000"/>
          <w:shd w:val="clear" w:color="auto" w:fill="FFFFFF"/>
        </w:rPr>
        <w:t>the registered CR code.</w:t>
      </w:r>
    </w:p>
    <w:p w14:paraId="1347B733" w14:textId="77777777" w:rsidR="00D8271E" w:rsidRPr="00D12AEA" w:rsidRDefault="00D8271E" w:rsidP="0055759E">
      <w:pPr>
        <w:pStyle w:val="Heading1"/>
      </w:pPr>
      <w:r w:rsidRPr="00D12AEA">
        <w:t>Purpose and operation of the CR Code</w:t>
      </w:r>
    </w:p>
    <w:p w14:paraId="378AC381" w14:textId="1D634323" w:rsidR="006B6C32" w:rsidRPr="00D12AEA" w:rsidRDefault="00AB0A09" w:rsidP="00E33934">
      <w:pPr>
        <w:rPr>
          <w:rFonts w:cs="Times New Roman"/>
        </w:rPr>
      </w:pPr>
      <w:r w:rsidRPr="00D12AEA">
        <w:rPr>
          <w:rFonts w:cs="Times New Roman"/>
        </w:rPr>
        <w:t>A CR Code</w:t>
      </w:r>
      <w:r w:rsidR="0038538D">
        <w:rPr>
          <w:rFonts w:cs="Times New Roman"/>
        </w:rPr>
        <w:t xml:space="preserve">, defined by </w:t>
      </w:r>
      <w:r w:rsidR="009F7C5F">
        <w:rPr>
          <w:rFonts w:cs="Times New Roman"/>
        </w:rPr>
        <w:t>s </w:t>
      </w:r>
      <w:r w:rsidR="0038538D">
        <w:rPr>
          <w:rFonts w:cs="Times New Roman"/>
        </w:rPr>
        <w:t>26N of the Privacy Act,</w:t>
      </w:r>
      <w:r w:rsidRPr="00D12AEA">
        <w:rPr>
          <w:rFonts w:cs="Times New Roman"/>
        </w:rPr>
        <w:t xml:space="preserve"> is a written code of practice about credit reporting. The CR Code that is include</w:t>
      </w:r>
      <w:r w:rsidR="0038538D">
        <w:rPr>
          <w:rFonts w:cs="Times New Roman"/>
        </w:rPr>
        <w:t>d on the Codes Register by the</w:t>
      </w:r>
      <w:r w:rsidRPr="00D12AEA">
        <w:rPr>
          <w:rFonts w:cs="Times New Roman"/>
        </w:rPr>
        <w:t xml:space="preserve"> Commissioner under </w:t>
      </w:r>
      <w:r w:rsidR="009F7C5F">
        <w:rPr>
          <w:rFonts w:cs="Times New Roman"/>
        </w:rPr>
        <w:t>s </w:t>
      </w:r>
      <w:r w:rsidRPr="00D12AEA">
        <w:rPr>
          <w:rFonts w:cs="Times New Roman"/>
        </w:rPr>
        <w:t>26U of the Privacy Act is called the ‘registered CR code’. The Code</w:t>
      </w:r>
      <w:r>
        <w:rPr>
          <w:rFonts w:cs="Times New Roman"/>
        </w:rPr>
        <w:t>s</w:t>
      </w:r>
      <w:r w:rsidRPr="00D12AEA">
        <w:rPr>
          <w:rFonts w:cs="Times New Roman"/>
        </w:rPr>
        <w:t xml:space="preserve"> Register </w:t>
      </w:r>
      <w:r>
        <w:rPr>
          <w:rFonts w:cs="Times New Roman"/>
        </w:rPr>
        <w:t xml:space="preserve">is kept </w:t>
      </w:r>
      <w:r w:rsidRPr="00D12AEA">
        <w:rPr>
          <w:rFonts w:cs="Times New Roman"/>
        </w:rPr>
        <w:t xml:space="preserve">electronically on the </w:t>
      </w:r>
      <w:r w:rsidR="0038538D">
        <w:rPr>
          <w:rFonts w:cs="Times New Roman"/>
        </w:rPr>
        <w:t>OAIC</w:t>
      </w:r>
      <w:r w:rsidRPr="00D12AEA">
        <w:rPr>
          <w:rFonts w:cs="Times New Roman"/>
        </w:rPr>
        <w:t xml:space="preserve"> website.</w:t>
      </w:r>
      <w:r>
        <w:rPr>
          <w:rFonts w:cs="Times New Roman"/>
        </w:rPr>
        <w:t xml:space="preserve"> The Commissioner is required by </w:t>
      </w:r>
      <w:r w:rsidR="00F83EC3">
        <w:rPr>
          <w:rFonts w:cs="Times New Roman"/>
        </w:rPr>
        <w:t>s </w:t>
      </w:r>
      <w:r w:rsidRPr="00D12AEA">
        <w:rPr>
          <w:rFonts w:cs="Times New Roman"/>
        </w:rPr>
        <w:t xml:space="preserve">26S(4) of the Privacy Act to ensure that there is </w:t>
      </w:r>
      <w:r w:rsidR="00A6339E">
        <w:rPr>
          <w:rFonts w:cs="Times New Roman"/>
        </w:rPr>
        <w:t xml:space="preserve">one, and </w:t>
      </w:r>
      <w:r w:rsidRPr="00D12AEA">
        <w:rPr>
          <w:rFonts w:cs="Times New Roman"/>
        </w:rPr>
        <w:t>only one</w:t>
      </w:r>
      <w:r w:rsidR="00A6339E">
        <w:rPr>
          <w:rFonts w:cs="Times New Roman"/>
        </w:rPr>
        <w:t>,</w:t>
      </w:r>
      <w:r w:rsidRPr="00D12AEA">
        <w:rPr>
          <w:rFonts w:cs="Times New Roman"/>
        </w:rPr>
        <w:t xml:space="preserve"> registered CR Code </w:t>
      </w:r>
      <w:r w:rsidR="00A6339E">
        <w:rPr>
          <w:rFonts w:cs="Times New Roman"/>
        </w:rPr>
        <w:t>at all times</w:t>
      </w:r>
      <w:r w:rsidRPr="00D12AEA">
        <w:rPr>
          <w:rFonts w:cs="Times New Roman"/>
        </w:rPr>
        <w:t>.</w:t>
      </w:r>
      <w:r>
        <w:rPr>
          <w:rFonts w:cs="Times New Roman"/>
        </w:rPr>
        <w:t xml:space="preserve"> </w:t>
      </w:r>
      <w:r w:rsidR="006B6C32" w:rsidRPr="00D12AEA">
        <w:rPr>
          <w:rFonts w:cs="Times New Roman"/>
        </w:rPr>
        <w:t xml:space="preserve">The purpose of the </w:t>
      </w:r>
      <w:r w:rsidR="00D911A2">
        <w:rPr>
          <w:rFonts w:cs="Times New Roman"/>
        </w:rPr>
        <w:t xml:space="preserve">registered </w:t>
      </w:r>
      <w:r w:rsidR="006B6C32" w:rsidRPr="00D12AEA">
        <w:rPr>
          <w:rFonts w:cs="Times New Roman"/>
        </w:rPr>
        <w:t>CR Code</w:t>
      </w:r>
      <w:r w:rsidR="004968DD">
        <w:rPr>
          <w:rFonts w:cs="Times New Roman"/>
        </w:rPr>
        <w:t xml:space="preserve"> </w:t>
      </w:r>
      <w:r w:rsidR="006B6C32" w:rsidRPr="00D12AEA">
        <w:rPr>
          <w:rFonts w:cs="Times New Roman"/>
        </w:rPr>
        <w:t>is to supplement the provisions of Part II</w:t>
      </w:r>
      <w:r w:rsidR="009E641D" w:rsidRPr="00D12AEA">
        <w:rPr>
          <w:rFonts w:cs="Times New Roman"/>
        </w:rPr>
        <w:t>I</w:t>
      </w:r>
      <w:r w:rsidR="006B6C32" w:rsidRPr="00D12AEA">
        <w:rPr>
          <w:rFonts w:cs="Times New Roman"/>
        </w:rPr>
        <w:t xml:space="preserve">A of the Privacy Act and the </w:t>
      </w:r>
      <w:r w:rsidR="006B6C32" w:rsidRPr="00D12AEA">
        <w:rPr>
          <w:rFonts w:cs="Times New Roman"/>
          <w:i/>
        </w:rPr>
        <w:t>Privacy Regulation 2013</w:t>
      </w:r>
      <w:r w:rsidR="006B6C32" w:rsidRPr="00D12AEA">
        <w:rPr>
          <w:rFonts w:cs="Times New Roman"/>
        </w:rPr>
        <w:t>.</w:t>
      </w:r>
    </w:p>
    <w:p w14:paraId="174643E1" w14:textId="6798C105" w:rsidR="00410395" w:rsidRPr="00D12AEA" w:rsidRDefault="00C57659" w:rsidP="00410395">
      <w:pPr>
        <w:rPr>
          <w:rFonts w:cs="Times New Roman"/>
        </w:rPr>
      </w:pPr>
      <w:r>
        <w:rPr>
          <w:rFonts w:cs="Times New Roman"/>
        </w:rPr>
        <w:t>Under</w:t>
      </w:r>
      <w:r w:rsidR="00410395" w:rsidRPr="00D12AEA">
        <w:rPr>
          <w:rFonts w:cs="Times New Roman"/>
        </w:rPr>
        <w:t xml:space="preserve"> </w:t>
      </w:r>
      <w:r w:rsidR="00F5762E">
        <w:rPr>
          <w:rFonts w:cs="Times New Roman"/>
        </w:rPr>
        <w:t>s</w:t>
      </w:r>
      <w:r w:rsidR="00410395" w:rsidRPr="00D12AEA">
        <w:rPr>
          <w:rFonts w:cs="Times New Roman"/>
        </w:rPr>
        <w:t xml:space="preserve"> 26N of the Privacy Act, </w:t>
      </w:r>
      <w:r w:rsidR="00D911A2">
        <w:rPr>
          <w:rFonts w:cs="Times New Roman"/>
        </w:rPr>
        <w:t>a</w:t>
      </w:r>
      <w:r w:rsidR="00410395" w:rsidRPr="00D12AEA">
        <w:rPr>
          <w:rFonts w:cs="Times New Roman"/>
        </w:rPr>
        <w:t xml:space="preserve"> CR </w:t>
      </w:r>
      <w:r w:rsidR="004968DD">
        <w:rPr>
          <w:rFonts w:cs="Times New Roman"/>
        </w:rPr>
        <w:t>C</w:t>
      </w:r>
      <w:r w:rsidR="00410395" w:rsidRPr="00D12AEA">
        <w:rPr>
          <w:rFonts w:cs="Times New Roman"/>
        </w:rPr>
        <w:t xml:space="preserve">ode </w:t>
      </w:r>
      <w:r w:rsidR="00CE0543">
        <w:rPr>
          <w:rFonts w:cs="Times New Roman"/>
        </w:rPr>
        <w:t xml:space="preserve">must </w:t>
      </w:r>
      <w:r w:rsidR="00410395" w:rsidRPr="00D12AEA">
        <w:rPr>
          <w:rFonts w:cs="Times New Roman"/>
        </w:rPr>
        <w:t>perform the following functions:</w:t>
      </w:r>
    </w:p>
    <w:p w14:paraId="7DA6D2B2" w14:textId="2DDBAB86" w:rsidR="00410395" w:rsidRPr="00D12AEA" w:rsidRDefault="00410395" w:rsidP="00410395">
      <w:pPr>
        <w:pStyle w:val="ListParagraph"/>
        <w:numPr>
          <w:ilvl w:val="0"/>
          <w:numId w:val="1"/>
        </w:numPr>
        <w:rPr>
          <w:rFonts w:cs="Times New Roman"/>
        </w:rPr>
      </w:pPr>
      <w:r w:rsidRPr="00D12AEA">
        <w:rPr>
          <w:rFonts w:cs="Times New Roman"/>
        </w:rPr>
        <w:t>set out how one or more of the credit reporting provisions in Part IIIA of the Privacy Act are to be applied or complied with (s 26N(2)(a))</w:t>
      </w:r>
    </w:p>
    <w:p w14:paraId="03EDED34" w14:textId="5F500E57" w:rsidR="00410395" w:rsidRPr="00D12AEA" w:rsidRDefault="00410395" w:rsidP="00410395">
      <w:pPr>
        <w:pStyle w:val="ListParagraph"/>
        <w:numPr>
          <w:ilvl w:val="0"/>
          <w:numId w:val="1"/>
        </w:numPr>
        <w:rPr>
          <w:rFonts w:cs="Times New Roman"/>
        </w:rPr>
      </w:pPr>
      <w:r w:rsidRPr="00D12AEA">
        <w:rPr>
          <w:rFonts w:cs="Times New Roman"/>
        </w:rPr>
        <w:t>make provision for, or in relation to, matters required or permitted by Part IIIA to be provided for by the registered CR code (s 26N(2)(b))</w:t>
      </w:r>
    </w:p>
    <w:p w14:paraId="59B1A527" w14:textId="1D431791" w:rsidR="00410395" w:rsidRPr="00D12AEA" w:rsidRDefault="00410395" w:rsidP="00410395">
      <w:pPr>
        <w:pStyle w:val="ListParagraph"/>
        <w:numPr>
          <w:ilvl w:val="0"/>
          <w:numId w:val="1"/>
        </w:numPr>
        <w:rPr>
          <w:rFonts w:cs="Times New Roman"/>
        </w:rPr>
      </w:pPr>
      <w:r w:rsidRPr="00D12AEA">
        <w:rPr>
          <w:rFonts w:cs="Times New Roman"/>
        </w:rPr>
        <w:t>bind all credit reporting bodies (s 26N(2)(c))</w:t>
      </w:r>
    </w:p>
    <w:p w14:paraId="0F19AB07" w14:textId="7631051A" w:rsidR="00410395" w:rsidRPr="00D12AEA" w:rsidRDefault="00410395" w:rsidP="00410395">
      <w:pPr>
        <w:pStyle w:val="ListParagraph"/>
        <w:numPr>
          <w:ilvl w:val="0"/>
          <w:numId w:val="1"/>
        </w:numPr>
        <w:rPr>
          <w:rFonts w:cs="Times New Roman"/>
        </w:rPr>
      </w:pPr>
      <w:r w:rsidRPr="00D12AEA">
        <w:rPr>
          <w:rFonts w:cs="Times New Roman"/>
        </w:rPr>
        <w:lastRenderedPageBreak/>
        <w:t>specif</w:t>
      </w:r>
      <w:r w:rsidR="00F06934">
        <w:rPr>
          <w:rFonts w:cs="Times New Roman"/>
        </w:rPr>
        <w:t>y</w:t>
      </w:r>
      <w:r w:rsidRPr="00D12AEA">
        <w:rPr>
          <w:rFonts w:cs="Times New Roman"/>
        </w:rPr>
        <w:t xml:space="preserve"> the credit providers that are bound by the CR code, or a way of determining which credit providers are bound (s 26N(2)(d))</w:t>
      </w:r>
    </w:p>
    <w:p w14:paraId="66C2E78F" w14:textId="2024AFD9" w:rsidR="00410395" w:rsidRPr="00D12AEA" w:rsidRDefault="00410395" w:rsidP="00410395">
      <w:pPr>
        <w:pStyle w:val="ListParagraph"/>
        <w:numPr>
          <w:ilvl w:val="0"/>
          <w:numId w:val="1"/>
        </w:numPr>
        <w:rPr>
          <w:rFonts w:cs="Times New Roman"/>
        </w:rPr>
      </w:pPr>
      <w:r w:rsidRPr="00D12AEA">
        <w:rPr>
          <w:rFonts w:cs="Times New Roman"/>
        </w:rPr>
        <w:t>specif</w:t>
      </w:r>
      <w:r w:rsidR="00F06934">
        <w:rPr>
          <w:rFonts w:cs="Times New Roman"/>
        </w:rPr>
        <w:t>y</w:t>
      </w:r>
      <w:r w:rsidRPr="00D12AEA">
        <w:rPr>
          <w:rFonts w:cs="Times New Roman"/>
        </w:rPr>
        <w:t xml:space="preserve"> any other entities subject to Part IIIA of the Privacy Act that are bound by the CR code, or a way of determining which of those entities are bound (s 26N(2)(e)).</w:t>
      </w:r>
    </w:p>
    <w:p w14:paraId="5E3A45BE" w14:textId="12FC3CE4" w:rsidR="00410395" w:rsidRPr="00D12AEA" w:rsidRDefault="00410395" w:rsidP="00410395">
      <w:pPr>
        <w:rPr>
          <w:rFonts w:cs="Times New Roman"/>
        </w:rPr>
      </w:pPr>
      <w:r w:rsidRPr="00D12AEA">
        <w:rPr>
          <w:rFonts w:cs="Times New Roman"/>
        </w:rPr>
        <w:t xml:space="preserve">In addition, </w:t>
      </w:r>
      <w:r w:rsidR="00D911A2">
        <w:rPr>
          <w:rFonts w:cs="Times New Roman"/>
        </w:rPr>
        <w:t>a</w:t>
      </w:r>
      <w:r w:rsidRPr="00D12AEA">
        <w:rPr>
          <w:rFonts w:cs="Times New Roman"/>
        </w:rPr>
        <w:t xml:space="preserve"> CR code</w:t>
      </w:r>
      <w:r w:rsidR="00CE0543">
        <w:rPr>
          <w:rFonts w:cs="Times New Roman"/>
        </w:rPr>
        <w:t xml:space="preserve"> may</w:t>
      </w:r>
      <w:r w:rsidR="009F584D">
        <w:rPr>
          <w:rFonts w:cs="Times New Roman"/>
        </w:rPr>
        <w:t xml:space="preserve"> perform the following functions</w:t>
      </w:r>
      <w:r w:rsidRPr="00D12AEA">
        <w:rPr>
          <w:rFonts w:cs="Times New Roman"/>
        </w:rPr>
        <w:t>:</w:t>
      </w:r>
    </w:p>
    <w:p w14:paraId="7C928055" w14:textId="3A7AE875" w:rsidR="00410395" w:rsidRPr="00D12AEA" w:rsidRDefault="00410395" w:rsidP="00410395">
      <w:pPr>
        <w:pStyle w:val="ListParagraph"/>
        <w:numPr>
          <w:ilvl w:val="0"/>
          <w:numId w:val="2"/>
        </w:numPr>
        <w:rPr>
          <w:rFonts w:cs="Times New Roman"/>
        </w:rPr>
      </w:pPr>
      <w:r w:rsidRPr="00D12AEA">
        <w:rPr>
          <w:rFonts w:cs="Times New Roman"/>
        </w:rPr>
        <w:t>impose additional requirements that are not contrary to, or inconsistent with the requirements of Part IIIA of the Privacy Act (s 26N(3)(a))</w:t>
      </w:r>
    </w:p>
    <w:p w14:paraId="1B5235D1" w14:textId="18349511" w:rsidR="00410395" w:rsidRPr="00D12AEA" w:rsidRDefault="00410395" w:rsidP="00410395">
      <w:pPr>
        <w:pStyle w:val="ListParagraph"/>
        <w:numPr>
          <w:ilvl w:val="0"/>
          <w:numId w:val="2"/>
        </w:numPr>
        <w:rPr>
          <w:rFonts w:cs="Times New Roman"/>
        </w:rPr>
      </w:pPr>
      <w:r w:rsidRPr="00D12AEA">
        <w:rPr>
          <w:rFonts w:cs="Times New Roman"/>
        </w:rPr>
        <w:t>deal with the internal handling of complaints (s 26N(3)(b))</w:t>
      </w:r>
    </w:p>
    <w:p w14:paraId="3BE74CFF" w14:textId="3447685F" w:rsidR="00410395" w:rsidRPr="00D12AEA" w:rsidRDefault="00410395" w:rsidP="00410395">
      <w:pPr>
        <w:pStyle w:val="ListParagraph"/>
        <w:numPr>
          <w:ilvl w:val="0"/>
          <w:numId w:val="2"/>
        </w:numPr>
        <w:rPr>
          <w:rFonts w:cs="Times New Roman"/>
        </w:rPr>
      </w:pPr>
      <w:r w:rsidRPr="00D12AEA">
        <w:rPr>
          <w:rFonts w:cs="Times New Roman"/>
        </w:rPr>
        <w:t>provide for the reporting to the Commissioner about complaints (s 26N(3)(c))</w:t>
      </w:r>
    </w:p>
    <w:p w14:paraId="3381A3B6" w14:textId="327BCB05" w:rsidR="00410395" w:rsidRPr="00D12AEA" w:rsidRDefault="00410395" w:rsidP="00410395">
      <w:pPr>
        <w:pStyle w:val="ListParagraph"/>
        <w:numPr>
          <w:ilvl w:val="0"/>
          <w:numId w:val="2"/>
        </w:numPr>
        <w:rPr>
          <w:rFonts w:cs="Times New Roman"/>
        </w:rPr>
      </w:pPr>
      <w:r w:rsidRPr="00D12AEA">
        <w:rPr>
          <w:rFonts w:cs="Times New Roman"/>
        </w:rPr>
        <w:t>deal with any other relevant matters (s 26N(3)(d)).</w:t>
      </w:r>
    </w:p>
    <w:p w14:paraId="0F724520" w14:textId="41940F0B" w:rsidR="006E7F7A" w:rsidRPr="00D12AEA" w:rsidRDefault="00E75967" w:rsidP="006E7F7A">
      <w:pPr>
        <w:rPr>
          <w:rFonts w:cs="Times New Roman"/>
        </w:rPr>
      </w:pPr>
      <w:r w:rsidRPr="00D12AEA">
        <w:rPr>
          <w:rFonts w:cs="Times New Roman"/>
        </w:rPr>
        <w:t xml:space="preserve">The variations to the Previous Code are minor </w:t>
      </w:r>
      <w:r w:rsidR="00F06934">
        <w:rPr>
          <w:rFonts w:cs="Times New Roman"/>
        </w:rPr>
        <w:t>or</w:t>
      </w:r>
      <w:r w:rsidRPr="00D12AEA">
        <w:rPr>
          <w:rFonts w:cs="Times New Roman"/>
        </w:rPr>
        <w:t xml:space="preserve"> technical in nature. </w:t>
      </w:r>
      <w:r w:rsidR="006E7F7A" w:rsidRPr="00D12AEA">
        <w:rPr>
          <w:rFonts w:cs="Times New Roman"/>
        </w:rPr>
        <w:t>The CR Code</w:t>
      </w:r>
      <w:r w:rsidR="00CA7833">
        <w:rPr>
          <w:rFonts w:cs="Times New Roman"/>
        </w:rPr>
        <w:t xml:space="preserve"> V2</w:t>
      </w:r>
      <w:r w:rsidR="006E7F7A" w:rsidRPr="00D12AEA">
        <w:rPr>
          <w:rFonts w:cs="Times New Roman"/>
        </w:rPr>
        <w:t xml:space="preserve"> differs from the Previous Code by:</w:t>
      </w:r>
    </w:p>
    <w:p w14:paraId="2DD2A575" w14:textId="1D428700" w:rsidR="006E7F7A" w:rsidRPr="00D12AEA" w:rsidRDefault="00E43F51" w:rsidP="006E7F7A">
      <w:pPr>
        <w:pStyle w:val="ListParagraph"/>
        <w:numPr>
          <w:ilvl w:val="0"/>
          <w:numId w:val="3"/>
        </w:numPr>
        <w:rPr>
          <w:rFonts w:cs="Times New Roman"/>
        </w:rPr>
      </w:pPr>
      <w:r w:rsidRPr="00D12AEA">
        <w:rPr>
          <w:rFonts w:cs="Times New Roman"/>
        </w:rPr>
        <w:t>a</w:t>
      </w:r>
      <w:r w:rsidR="009A67D5" w:rsidRPr="00D12AEA">
        <w:rPr>
          <w:rFonts w:cs="Times New Roman"/>
        </w:rPr>
        <w:t>ltering the definition of ‘month’ in paragraph 1.2(i) to align with current industry practices</w:t>
      </w:r>
    </w:p>
    <w:p w14:paraId="05224243" w14:textId="793BBD26" w:rsidR="009A67D5" w:rsidRPr="00D12AEA" w:rsidRDefault="00E43F51" w:rsidP="006E7F7A">
      <w:pPr>
        <w:pStyle w:val="ListParagraph"/>
        <w:numPr>
          <w:ilvl w:val="0"/>
          <w:numId w:val="3"/>
        </w:numPr>
        <w:rPr>
          <w:rFonts w:cs="Times New Roman"/>
        </w:rPr>
      </w:pPr>
      <w:r w:rsidRPr="00D12AEA">
        <w:rPr>
          <w:rFonts w:cs="Times New Roman"/>
        </w:rPr>
        <w:t>r</w:t>
      </w:r>
      <w:r w:rsidR="00134D9A" w:rsidRPr="00D12AEA">
        <w:rPr>
          <w:rFonts w:cs="Times New Roman"/>
        </w:rPr>
        <w:t>emoving redundant categories of ‘maximum amount of credit available’</w:t>
      </w:r>
      <w:r w:rsidR="004A20DF" w:rsidRPr="00D12AEA">
        <w:rPr>
          <w:rFonts w:cs="Times New Roman"/>
        </w:rPr>
        <w:t xml:space="preserve"> from paragraph 6.2(b) </w:t>
      </w:r>
    </w:p>
    <w:p w14:paraId="0E54C621" w14:textId="78BB8A5B" w:rsidR="004A20DF" w:rsidRPr="00D12AEA" w:rsidRDefault="00E43F51" w:rsidP="006E7F7A">
      <w:pPr>
        <w:pStyle w:val="ListParagraph"/>
        <w:numPr>
          <w:ilvl w:val="0"/>
          <w:numId w:val="3"/>
        </w:numPr>
        <w:rPr>
          <w:rFonts w:cs="Times New Roman"/>
        </w:rPr>
      </w:pPr>
      <w:r w:rsidRPr="00D12AEA">
        <w:rPr>
          <w:rFonts w:cs="Times New Roman"/>
        </w:rPr>
        <w:t>a</w:t>
      </w:r>
      <w:r w:rsidR="004A20DF" w:rsidRPr="00D12AEA">
        <w:rPr>
          <w:rFonts w:cs="Times New Roman"/>
        </w:rPr>
        <w:t xml:space="preserve">ltering the requirement under paragraph 6.2(c) to address concerns </w:t>
      </w:r>
      <w:bookmarkStart w:id="0" w:name="_GoBack"/>
      <w:bookmarkEnd w:id="0"/>
      <w:r w:rsidR="004A20DF" w:rsidRPr="00D12AEA">
        <w:rPr>
          <w:rFonts w:cs="Times New Roman"/>
        </w:rPr>
        <w:t xml:space="preserve">about the uncertainty of how account closures are described </w:t>
      </w:r>
    </w:p>
    <w:p w14:paraId="6541A5E5" w14:textId="7ED983F6" w:rsidR="00DF52C5" w:rsidRPr="00D12AEA" w:rsidRDefault="00E43F51" w:rsidP="006E7F7A">
      <w:pPr>
        <w:pStyle w:val="ListParagraph"/>
        <w:numPr>
          <w:ilvl w:val="0"/>
          <w:numId w:val="3"/>
        </w:numPr>
        <w:rPr>
          <w:rFonts w:cs="Times New Roman"/>
        </w:rPr>
      </w:pPr>
      <w:r w:rsidRPr="00D12AEA">
        <w:rPr>
          <w:rFonts w:cs="Times New Roman"/>
        </w:rPr>
        <w:t>a</w:t>
      </w:r>
      <w:r w:rsidR="00DF52C5" w:rsidRPr="00D12AEA">
        <w:rPr>
          <w:rFonts w:cs="Times New Roman"/>
        </w:rPr>
        <w:t xml:space="preserve">ltering the timing of grace periods under paragraph 8.2(c)(ii) to </w:t>
      </w:r>
      <w:r w:rsidRPr="00D12AEA">
        <w:rPr>
          <w:rFonts w:cs="Times New Roman"/>
        </w:rPr>
        <w:t>clarify</w:t>
      </w:r>
      <w:r w:rsidR="00DF52C5" w:rsidRPr="00D12AEA">
        <w:rPr>
          <w:rFonts w:cs="Times New Roman"/>
        </w:rPr>
        <w:t xml:space="preserve"> the application and interpretation </w:t>
      </w:r>
      <w:r w:rsidR="00263ADE">
        <w:rPr>
          <w:rFonts w:cs="Times New Roman"/>
        </w:rPr>
        <w:t>of</w:t>
      </w:r>
      <w:r w:rsidR="00DF52C5" w:rsidRPr="00D12AEA">
        <w:rPr>
          <w:rFonts w:cs="Times New Roman"/>
        </w:rPr>
        <w:t xml:space="preserve"> </w:t>
      </w:r>
      <w:r w:rsidRPr="00D12AEA">
        <w:rPr>
          <w:rFonts w:cs="Times New Roman"/>
        </w:rPr>
        <w:t xml:space="preserve">the </w:t>
      </w:r>
      <w:r w:rsidR="00DF52C5" w:rsidRPr="00D12AEA">
        <w:rPr>
          <w:rFonts w:cs="Times New Roman"/>
        </w:rPr>
        <w:t>grace period</w:t>
      </w:r>
    </w:p>
    <w:p w14:paraId="22862E17" w14:textId="4A2600DC" w:rsidR="00356D00" w:rsidRPr="00D12AEA" w:rsidRDefault="00E43F51" w:rsidP="006E7F7A">
      <w:pPr>
        <w:pStyle w:val="ListParagraph"/>
        <w:numPr>
          <w:ilvl w:val="0"/>
          <w:numId w:val="3"/>
        </w:numPr>
        <w:rPr>
          <w:rFonts w:cs="Times New Roman"/>
        </w:rPr>
      </w:pPr>
      <w:r w:rsidRPr="00D12AEA">
        <w:rPr>
          <w:rFonts w:cs="Times New Roman"/>
        </w:rPr>
        <w:t>a</w:t>
      </w:r>
      <w:r w:rsidR="001C03AC" w:rsidRPr="00D12AEA">
        <w:rPr>
          <w:rFonts w:cs="Times New Roman"/>
        </w:rPr>
        <w:t xml:space="preserve">ltering paragraph 9.3(d) to permit delivery of </w:t>
      </w:r>
      <w:r w:rsidR="009F7C5F">
        <w:rPr>
          <w:rFonts w:cs="Times New Roman"/>
        </w:rPr>
        <w:t>s </w:t>
      </w:r>
      <w:r w:rsidR="001C03AC" w:rsidRPr="00D12AEA">
        <w:rPr>
          <w:rFonts w:cs="Times New Roman"/>
        </w:rPr>
        <w:t>21D notices under the Privacy Act by electronic means</w:t>
      </w:r>
    </w:p>
    <w:p w14:paraId="10A2F16A" w14:textId="64A78A40" w:rsidR="00185A2D" w:rsidRPr="00D12AEA" w:rsidRDefault="00E43F51" w:rsidP="006E7F7A">
      <w:pPr>
        <w:pStyle w:val="ListParagraph"/>
        <w:numPr>
          <w:ilvl w:val="0"/>
          <w:numId w:val="3"/>
        </w:numPr>
        <w:rPr>
          <w:rFonts w:cs="Times New Roman"/>
        </w:rPr>
      </w:pPr>
      <w:r w:rsidRPr="00D12AEA">
        <w:rPr>
          <w:rFonts w:cs="Times New Roman"/>
        </w:rPr>
        <w:t>a</w:t>
      </w:r>
      <w:r w:rsidR="00185A2D" w:rsidRPr="00D12AEA">
        <w:rPr>
          <w:rFonts w:cs="Times New Roman"/>
        </w:rPr>
        <w:t xml:space="preserve">ltering paragraphs 9.3(a), (b), (c), (d) and (f) to address inconsistency between the Previous Code and </w:t>
      </w:r>
      <w:r w:rsidR="009F7C5F">
        <w:rPr>
          <w:rFonts w:cs="Times New Roman"/>
        </w:rPr>
        <w:t>ss</w:t>
      </w:r>
      <w:r w:rsidR="00185A2D" w:rsidRPr="00D12AEA">
        <w:rPr>
          <w:rFonts w:cs="Times New Roman"/>
        </w:rPr>
        <w:t xml:space="preserve"> 6Q and 21D of the Privacy Act</w:t>
      </w:r>
    </w:p>
    <w:p w14:paraId="561426CE" w14:textId="79870CCF" w:rsidR="00185A2D" w:rsidRPr="00D12AEA" w:rsidRDefault="00E43F51" w:rsidP="006E7F7A">
      <w:pPr>
        <w:pStyle w:val="ListParagraph"/>
        <w:numPr>
          <w:ilvl w:val="0"/>
          <w:numId w:val="3"/>
        </w:numPr>
        <w:rPr>
          <w:rFonts w:cs="Times New Roman"/>
        </w:rPr>
      </w:pPr>
      <w:r w:rsidRPr="00D12AEA">
        <w:rPr>
          <w:rFonts w:cs="Times New Roman"/>
        </w:rPr>
        <w:t>a</w:t>
      </w:r>
      <w:r w:rsidR="00914E57" w:rsidRPr="00D12AEA">
        <w:rPr>
          <w:rFonts w:cs="Times New Roman"/>
        </w:rPr>
        <w:t>ltering paragraph 18.1 to extend the prohibition on direct marketing activities by a credit reporting body to the use of credit reporting information in both tools and services provided by a credit reporting body to a credit provider</w:t>
      </w:r>
    </w:p>
    <w:p w14:paraId="5E21889F" w14:textId="79A86342" w:rsidR="00914E57" w:rsidRDefault="00E43F51" w:rsidP="006E7F7A">
      <w:pPr>
        <w:pStyle w:val="ListParagraph"/>
        <w:numPr>
          <w:ilvl w:val="0"/>
          <w:numId w:val="3"/>
        </w:numPr>
        <w:rPr>
          <w:rFonts w:cs="Times New Roman"/>
        </w:rPr>
      </w:pPr>
      <w:r w:rsidRPr="00D12AEA">
        <w:rPr>
          <w:rFonts w:cs="Times New Roman"/>
        </w:rPr>
        <w:t>a</w:t>
      </w:r>
      <w:r w:rsidR="00914E57" w:rsidRPr="00D12AEA">
        <w:rPr>
          <w:rFonts w:cs="Times New Roman"/>
        </w:rPr>
        <w:t xml:space="preserve">ltering paragraph 20.9 to </w:t>
      </w:r>
      <w:r w:rsidR="001E1444" w:rsidRPr="00D12AEA">
        <w:rPr>
          <w:rFonts w:cs="Times New Roman"/>
        </w:rPr>
        <w:t xml:space="preserve">require additional information to be included in a correction notice provided to a credit provider by a credit reporting body, to </w:t>
      </w:r>
      <w:r w:rsidR="00914E57" w:rsidRPr="00D12AEA">
        <w:rPr>
          <w:rFonts w:cs="Times New Roman"/>
        </w:rPr>
        <w:t>enable the credit provider to match the corrected information to a customer or a customer’s account.</w:t>
      </w:r>
    </w:p>
    <w:p w14:paraId="5F66D054" w14:textId="5FB26E61" w:rsidR="00702EEC" w:rsidRPr="00F5762E" w:rsidRDefault="00AB0A09" w:rsidP="0055759E">
      <w:pPr>
        <w:pStyle w:val="Heading1"/>
      </w:pPr>
      <w:r>
        <w:t>Reasons for decision to approve variations to the Previous Code and register the CR Code V2</w:t>
      </w:r>
    </w:p>
    <w:p w14:paraId="44D5634E" w14:textId="71B8BFE1" w:rsidR="0038538D" w:rsidRDefault="00C57659" w:rsidP="00C57659">
      <w:pPr>
        <w:shd w:val="clear" w:color="auto" w:fill="FFFFFF"/>
        <w:spacing w:after="240"/>
        <w:rPr>
          <w:rFonts w:cs="Times New Roman"/>
        </w:rPr>
      </w:pPr>
      <w:r>
        <w:rPr>
          <w:rFonts w:ascii="Calibri" w:hAnsi="Calibri"/>
          <w:color w:val="000000"/>
        </w:rPr>
        <w:t xml:space="preserve">In deciding to approve the CR Code </w:t>
      </w:r>
      <w:r w:rsidR="00702EEC">
        <w:rPr>
          <w:rFonts w:ascii="Calibri" w:hAnsi="Calibri"/>
          <w:color w:val="000000"/>
        </w:rPr>
        <w:t>V2</w:t>
      </w:r>
      <w:r>
        <w:rPr>
          <w:rFonts w:ascii="Calibri" w:hAnsi="Calibri"/>
          <w:color w:val="000000"/>
        </w:rPr>
        <w:t xml:space="preserve">, the </w:t>
      </w:r>
      <w:r w:rsidR="00702EEC">
        <w:rPr>
          <w:rFonts w:ascii="Calibri" w:hAnsi="Calibri"/>
          <w:color w:val="000000"/>
        </w:rPr>
        <w:t xml:space="preserve">acting </w:t>
      </w:r>
      <w:r>
        <w:rPr>
          <w:rFonts w:ascii="Calibri" w:hAnsi="Calibri"/>
          <w:color w:val="000000"/>
        </w:rPr>
        <w:t>Commissioner has had regard to</w:t>
      </w:r>
      <w:r w:rsidR="00F83EC3">
        <w:rPr>
          <w:rFonts w:ascii="Calibri" w:hAnsi="Calibri"/>
          <w:color w:val="000000"/>
        </w:rPr>
        <w:t xml:space="preserve"> s</w:t>
      </w:r>
      <w:r w:rsidR="00D911A2">
        <w:rPr>
          <w:rFonts w:ascii="Calibri" w:hAnsi="Calibri"/>
          <w:color w:val="000000"/>
        </w:rPr>
        <w:t>s</w:t>
      </w:r>
      <w:r w:rsidR="00F83EC3">
        <w:rPr>
          <w:rFonts w:cs="Times New Roman"/>
        </w:rPr>
        <w:t> </w:t>
      </w:r>
      <w:r w:rsidR="00C56826" w:rsidRPr="00D12AEA">
        <w:rPr>
          <w:rFonts w:cs="Times New Roman"/>
        </w:rPr>
        <w:t>26T(3)</w:t>
      </w:r>
      <w:r w:rsidR="00C56826">
        <w:rPr>
          <w:rFonts w:cs="Times New Roman"/>
        </w:rPr>
        <w:t xml:space="preserve"> and 26T(4)</w:t>
      </w:r>
      <w:r w:rsidR="00C56826" w:rsidRPr="00D12AEA">
        <w:rPr>
          <w:rFonts w:cs="Times New Roman"/>
        </w:rPr>
        <w:t xml:space="preserve"> of the Privacy Act</w:t>
      </w:r>
      <w:r w:rsidR="0011003F">
        <w:rPr>
          <w:rFonts w:cs="Times New Roman"/>
        </w:rPr>
        <w:t xml:space="preserve"> and </w:t>
      </w:r>
      <w:r w:rsidR="0011003F" w:rsidRPr="00F83EC3">
        <w:rPr>
          <w:rFonts w:cs="Times New Roman"/>
        </w:rPr>
        <w:t>the OAIC’s</w:t>
      </w:r>
      <w:r w:rsidR="0011003F">
        <w:rPr>
          <w:rFonts w:cs="Times New Roman"/>
          <w:i/>
        </w:rPr>
        <w:t xml:space="preserve"> Guidelines for developing codes</w:t>
      </w:r>
      <w:r w:rsidR="00C56826">
        <w:rPr>
          <w:rFonts w:cs="Times New Roman"/>
        </w:rPr>
        <w:t>.</w:t>
      </w:r>
      <w:r w:rsidR="00C56826" w:rsidRPr="00D12AEA">
        <w:rPr>
          <w:rFonts w:cs="Times New Roman"/>
        </w:rPr>
        <w:t xml:space="preserve"> </w:t>
      </w:r>
    </w:p>
    <w:p w14:paraId="5E00D6BC" w14:textId="7F8B3E68" w:rsidR="004E28F7" w:rsidRPr="009A3D93" w:rsidRDefault="0038538D" w:rsidP="00F40961">
      <w:r>
        <w:t xml:space="preserve">The acting Commissioner also had regard to the recommendations and observations made in the report, titled </w:t>
      </w:r>
      <w:r>
        <w:rPr>
          <w:i/>
        </w:rPr>
        <w:t>Review of Privacy (Credit Reporting) Code 2014 (V1.2) Report</w:t>
      </w:r>
      <w:r>
        <w:t xml:space="preserve"> dated 8 December 2017 by Price</w:t>
      </w:r>
      <w:r w:rsidR="00F83EC3">
        <w:t>w</w:t>
      </w:r>
      <w:r>
        <w:t xml:space="preserve">aterhouseCoopers (PwC). This report was drafted as a result of the independent review of the Previous Code initiated by the former Commissioner as required by paragraph 24.3 of the Previous Code. </w:t>
      </w:r>
    </w:p>
    <w:p w14:paraId="71A72267" w14:textId="2B2D976F" w:rsidR="004E28F7" w:rsidRDefault="004E28F7" w:rsidP="00C57659">
      <w:pPr>
        <w:shd w:val="clear" w:color="auto" w:fill="FFFFFF"/>
        <w:spacing w:after="240"/>
        <w:rPr>
          <w:rFonts w:ascii="Calibri" w:hAnsi="Calibri"/>
          <w:color w:val="000000"/>
        </w:rPr>
      </w:pPr>
      <w:r>
        <w:rPr>
          <w:rFonts w:ascii="Calibri" w:hAnsi="Calibri"/>
          <w:color w:val="000000"/>
        </w:rPr>
        <w:t>In making the decision, the acting Commissioner considered:</w:t>
      </w:r>
    </w:p>
    <w:p w14:paraId="09290309" w14:textId="76817E7B" w:rsidR="004E28F7"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requirement set out in </w:t>
      </w:r>
      <w:r w:rsidR="009F7C5F">
        <w:rPr>
          <w:rFonts w:ascii="Calibri" w:hAnsi="Calibri"/>
          <w:color w:val="000000"/>
        </w:rPr>
        <w:t>s</w:t>
      </w:r>
      <w:r>
        <w:rPr>
          <w:rFonts w:ascii="Calibri" w:hAnsi="Calibri"/>
          <w:color w:val="000000"/>
        </w:rPr>
        <w:t xml:space="preserve"> 26T(3)(a) of the Privacy Act </w:t>
      </w:r>
      <w:r w:rsidR="0038538D">
        <w:rPr>
          <w:rFonts w:ascii="Calibri" w:hAnsi="Calibri"/>
          <w:color w:val="000000"/>
        </w:rPr>
        <w:t>had</w:t>
      </w:r>
      <w:r>
        <w:rPr>
          <w:rFonts w:ascii="Calibri" w:hAnsi="Calibri"/>
          <w:color w:val="000000"/>
        </w:rPr>
        <w:t xml:space="preserve"> been met as ARCA’s application documentation was published on the OAIC’s website from 3 May 2018</w:t>
      </w:r>
    </w:p>
    <w:p w14:paraId="6B736105" w14:textId="513D8310" w:rsidR="004F3932"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requirements set out in </w:t>
      </w:r>
      <w:r w:rsidR="009F7C5F">
        <w:rPr>
          <w:rFonts w:ascii="Calibri" w:hAnsi="Calibri"/>
          <w:color w:val="000000"/>
        </w:rPr>
        <w:t>s</w:t>
      </w:r>
      <w:r>
        <w:rPr>
          <w:rFonts w:ascii="Calibri" w:hAnsi="Calibri"/>
          <w:color w:val="000000"/>
        </w:rPr>
        <w:t xml:space="preserve"> 26T(3)(b) of the Privacy Act, the </w:t>
      </w:r>
      <w:r>
        <w:rPr>
          <w:rFonts w:ascii="Calibri" w:hAnsi="Calibri"/>
          <w:i/>
          <w:color w:val="000000"/>
        </w:rPr>
        <w:t>Guidelines for developing codes</w:t>
      </w:r>
      <w:r>
        <w:rPr>
          <w:rFonts w:ascii="Calibri" w:hAnsi="Calibri"/>
          <w:color w:val="000000"/>
        </w:rPr>
        <w:t xml:space="preserve"> and </w:t>
      </w:r>
      <w:r w:rsidR="009F7C5F">
        <w:rPr>
          <w:rFonts w:ascii="Calibri" w:hAnsi="Calibri"/>
          <w:color w:val="000000"/>
        </w:rPr>
        <w:t>s</w:t>
      </w:r>
      <w:r>
        <w:rPr>
          <w:rFonts w:ascii="Calibri" w:hAnsi="Calibri"/>
          <w:color w:val="000000"/>
        </w:rPr>
        <w:t xml:space="preserve"> 17 of the </w:t>
      </w:r>
      <w:r>
        <w:rPr>
          <w:rFonts w:ascii="Calibri" w:hAnsi="Calibri"/>
          <w:i/>
          <w:color w:val="000000"/>
        </w:rPr>
        <w:t>Legislation Act 2003</w:t>
      </w:r>
      <w:r>
        <w:rPr>
          <w:rFonts w:ascii="Calibri" w:hAnsi="Calibri"/>
          <w:color w:val="000000"/>
        </w:rPr>
        <w:t xml:space="preserve"> have been met as sufficient consultation had </w:t>
      </w:r>
      <w:r>
        <w:rPr>
          <w:rFonts w:ascii="Calibri" w:hAnsi="Calibri"/>
          <w:color w:val="000000"/>
        </w:rPr>
        <w:lastRenderedPageBreak/>
        <w:t xml:space="preserve">taken place; noting that during the review of the </w:t>
      </w:r>
      <w:r w:rsidR="00CA7833">
        <w:rPr>
          <w:rFonts w:ascii="Calibri" w:hAnsi="Calibri"/>
          <w:color w:val="000000"/>
        </w:rPr>
        <w:t>Previous Code</w:t>
      </w:r>
      <w:r>
        <w:rPr>
          <w:rFonts w:ascii="Calibri" w:hAnsi="Calibri"/>
          <w:color w:val="000000"/>
        </w:rPr>
        <w:t>, PwC consulted with stakeholders (including industry representatives groups, external dispute resolution schemes, credit reporting bodies and consumer representative groups) and ARCA consulted with this same set of stakeholders about the variations and took submissions on the variations</w:t>
      </w:r>
    </w:p>
    <w:p w14:paraId="73362726" w14:textId="22BEF9D5" w:rsidR="004F3932"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requirement set out in </w:t>
      </w:r>
      <w:r w:rsidR="009F7C5F">
        <w:rPr>
          <w:rFonts w:ascii="Calibri" w:hAnsi="Calibri"/>
          <w:color w:val="000000"/>
        </w:rPr>
        <w:t>s</w:t>
      </w:r>
      <w:r>
        <w:rPr>
          <w:rFonts w:ascii="Calibri" w:hAnsi="Calibri"/>
          <w:color w:val="000000"/>
        </w:rPr>
        <w:t xml:space="preserve"> 26T(3)(c) of the Privacy Act have been met as the public had </w:t>
      </w:r>
      <w:r w:rsidR="00706F1F">
        <w:rPr>
          <w:rFonts w:ascii="Calibri" w:hAnsi="Calibri"/>
          <w:color w:val="000000"/>
        </w:rPr>
        <w:t xml:space="preserve">the </w:t>
      </w:r>
      <w:r>
        <w:rPr>
          <w:rFonts w:ascii="Calibri" w:hAnsi="Calibri"/>
          <w:color w:val="000000"/>
        </w:rPr>
        <w:t xml:space="preserve">opportunity to comment throughout the PwC review process and </w:t>
      </w:r>
      <w:r w:rsidR="00706F1F">
        <w:rPr>
          <w:rFonts w:ascii="Calibri" w:hAnsi="Calibri"/>
          <w:color w:val="000000"/>
        </w:rPr>
        <w:t xml:space="preserve">a </w:t>
      </w:r>
      <w:r>
        <w:rPr>
          <w:rFonts w:ascii="Calibri" w:hAnsi="Calibri"/>
          <w:color w:val="000000"/>
        </w:rPr>
        <w:t xml:space="preserve">public consultation process </w:t>
      </w:r>
      <w:r w:rsidR="0038538D">
        <w:rPr>
          <w:rFonts w:ascii="Calibri" w:hAnsi="Calibri"/>
          <w:color w:val="000000"/>
        </w:rPr>
        <w:t>conducted by ARCA in April 2018</w:t>
      </w:r>
    </w:p>
    <w:p w14:paraId="1FBE14C4" w14:textId="57A61EC3" w:rsidR="004F3932" w:rsidRPr="004F3932" w:rsidRDefault="004F3932"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 xml:space="preserve">the list of matters set out in the </w:t>
      </w:r>
      <w:r w:rsidRPr="005C4854">
        <w:rPr>
          <w:rFonts w:ascii="Calibri" w:hAnsi="Calibri"/>
          <w:i/>
          <w:color w:val="000000"/>
        </w:rPr>
        <w:t>Guidelines for developing codes</w:t>
      </w:r>
      <w:r>
        <w:rPr>
          <w:rFonts w:ascii="Calibri" w:hAnsi="Calibri"/>
          <w:color w:val="000000"/>
        </w:rPr>
        <w:t xml:space="preserve"> in deciding whether to approve a variation to a CR Code</w:t>
      </w:r>
      <w:r w:rsidR="00D911A2">
        <w:rPr>
          <w:rFonts w:ascii="Calibri" w:hAnsi="Calibri"/>
          <w:color w:val="000000"/>
        </w:rPr>
        <w:t>.</w:t>
      </w:r>
    </w:p>
    <w:p w14:paraId="023F86F0" w14:textId="71197C67" w:rsidR="00702EEC" w:rsidRDefault="00E87F11" w:rsidP="00F40961">
      <w:r>
        <w:t>The acting Commissioner considered that all of these requirements were adequately met.</w:t>
      </w:r>
    </w:p>
    <w:p w14:paraId="47832928" w14:textId="6C0A6716" w:rsidR="00E33934" w:rsidRPr="00D12AEA" w:rsidRDefault="00E33934" w:rsidP="0055759E">
      <w:pPr>
        <w:pStyle w:val="Heading1"/>
      </w:pPr>
      <w:r w:rsidRPr="00D12AEA">
        <w:t>Consultation</w:t>
      </w:r>
    </w:p>
    <w:p w14:paraId="3AE80393" w14:textId="1740BC4F" w:rsidR="00272EF4" w:rsidRDefault="00272EF4" w:rsidP="00F83EC3">
      <w:pPr>
        <w:rPr>
          <w:lang w:eastAsia="en-AU"/>
        </w:rPr>
      </w:pPr>
      <w:r w:rsidRPr="00272EF4">
        <w:rPr>
          <w:lang w:eastAsia="en-AU"/>
        </w:rPr>
        <w:t xml:space="preserve">Consistent with the requirements of s 17 of the </w:t>
      </w:r>
      <w:r w:rsidR="002A6CEA" w:rsidRPr="002A6CEA">
        <w:rPr>
          <w:i/>
          <w:lang w:eastAsia="en-AU"/>
        </w:rPr>
        <w:t>Legislation Act 2003</w:t>
      </w:r>
      <w:r w:rsidRPr="00272EF4">
        <w:rPr>
          <w:lang w:eastAsia="en-AU"/>
        </w:rPr>
        <w:t xml:space="preserve">, the </w:t>
      </w:r>
      <w:r w:rsidR="004968DD">
        <w:rPr>
          <w:lang w:eastAsia="en-AU"/>
        </w:rPr>
        <w:t xml:space="preserve">acting </w:t>
      </w:r>
      <w:r w:rsidRPr="00272EF4">
        <w:rPr>
          <w:lang w:eastAsia="en-AU"/>
        </w:rPr>
        <w:t xml:space="preserve">Commissioner has considered the consultation process undertaken by </w:t>
      </w:r>
      <w:r w:rsidR="002A6CEA">
        <w:rPr>
          <w:lang w:eastAsia="en-AU"/>
        </w:rPr>
        <w:t>ARCA</w:t>
      </w:r>
      <w:r w:rsidRPr="00272EF4">
        <w:rPr>
          <w:lang w:eastAsia="en-AU"/>
        </w:rPr>
        <w:t xml:space="preserve"> as the code developer.</w:t>
      </w:r>
    </w:p>
    <w:p w14:paraId="5ED63E7A" w14:textId="0E6981A4" w:rsidR="002A6CEA" w:rsidRPr="000B2A9F" w:rsidRDefault="00272EF4" w:rsidP="00F83EC3">
      <w:pPr>
        <w:rPr>
          <w:rFonts w:ascii="Times New Roman" w:hAnsi="Times New Roman"/>
          <w:sz w:val="14"/>
          <w:szCs w:val="14"/>
          <w:lang w:eastAsia="en-AU"/>
        </w:rPr>
      </w:pPr>
      <w:r w:rsidRPr="00100995">
        <w:rPr>
          <w:lang w:eastAsia="en-AU"/>
        </w:rPr>
        <w:t>Section 26</w:t>
      </w:r>
      <w:r w:rsidR="002A6CEA" w:rsidRPr="00100995">
        <w:rPr>
          <w:lang w:eastAsia="en-AU"/>
        </w:rPr>
        <w:t>T(</w:t>
      </w:r>
      <w:r w:rsidR="002A6CEA" w:rsidRPr="000B2A9F">
        <w:rPr>
          <w:lang w:eastAsia="en-AU"/>
        </w:rPr>
        <w:t>3)</w:t>
      </w:r>
      <w:r w:rsidRPr="000B2A9F">
        <w:rPr>
          <w:lang w:eastAsia="en-AU"/>
        </w:rPr>
        <w:t xml:space="preserve"> of the Privacy Act requires that before</w:t>
      </w:r>
      <w:r w:rsidR="002A6CEA" w:rsidRPr="000B2A9F">
        <w:rPr>
          <w:lang w:eastAsia="en-AU"/>
        </w:rPr>
        <w:t xml:space="preserve"> deciding whether to approve a variation of the registered CR Code, the Commissioner must:</w:t>
      </w:r>
    </w:p>
    <w:p w14:paraId="23CFF82C" w14:textId="50130F4E" w:rsidR="002A6CEA" w:rsidRPr="00F40961" w:rsidRDefault="00272EF4" w:rsidP="002A6CEA">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 xml:space="preserve">make a draft of the </w:t>
      </w:r>
      <w:r w:rsidR="002A6CEA" w:rsidRPr="00F40961">
        <w:rPr>
          <w:rFonts w:eastAsia="Times New Roman" w:cs="Times New Roman"/>
          <w:color w:val="000000"/>
          <w:lang w:eastAsia="en-AU"/>
        </w:rPr>
        <w:t>variation</w:t>
      </w:r>
      <w:r w:rsidRPr="00F40961">
        <w:rPr>
          <w:rFonts w:eastAsia="Times New Roman" w:cs="Times New Roman"/>
          <w:color w:val="000000"/>
          <w:lang w:eastAsia="en-AU"/>
        </w:rPr>
        <w:t xml:space="preserve"> publicly available (s 2</w:t>
      </w:r>
      <w:r w:rsidR="002A6CEA" w:rsidRPr="00F40961">
        <w:rPr>
          <w:rFonts w:eastAsia="Times New Roman" w:cs="Times New Roman"/>
          <w:color w:val="000000"/>
          <w:lang w:eastAsia="en-AU"/>
        </w:rPr>
        <w:t>6T</w:t>
      </w:r>
      <w:r w:rsidRPr="00F40961">
        <w:rPr>
          <w:rFonts w:eastAsia="Times New Roman" w:cs="Times New Roman"/>
          <w:color w:val="000000"/>
          <w:lang w:eastAsia="en-AU"/>
        </w:rPr>
        <w:t>(</w:t>
      </w:r>
      <w:r w:rsidR="002A6CEA" w:rsidRPr="00F40961">
        <w:rPr>
          <w:rFonts w:eastAsia="Times New Roman" w:cs="Times New Roman"/>
          <w:color w:val="000000"/>
          <w:lang w:eastAsia="en-AU"/>
        </w:rPr>
        <w:t>3</w:t>
      </w:r>
      <w:r w:rsidRPr="00F40961">
        <w:rPr>
          <w:rFonts w:eastAsia="Times New Roman" w:cs="Times New Roman"/>
          <w:color w:val="000000"/>
          <w:lang w:eastAsia="en-AU"/>
        </w:rPr>
        <w:t>)(a))</w:t>
      </w:r>
    </w:p>
    <w:p w14:paraId="676C9234" w14:textId="77777777" w:rsidR="00CB3D5D" w:rsidRPr="00F40961" w:rsidRDefault="00CB3D5D" w:rsidP="002A6CEA">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consult any person the Commissioner considers appropriate about the variation (s 26T(3)(b)</w:t>
      </w:r>
    </w:p>
    <w:p w14:paraId="4506490D" w14:textId="1AF6FAC8" w:rsidR="002A6CEA" w:rsidRPr="00F40961" w:rsidRDefault="00CB3D5D" w:rsidP="00100995">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consider the extent to which members of the public have been given an opportunity to comment on the variation (s 26T(3)(c))</w:t>
      </w:r>
      <w:r w:rsidR="00D911A2">
        <w:rPr>
          <w:rFonts w:eastAsia="Times New Roman" w:cs="Times New Roman"/>
          <w:color w:val="000000"/>
          <w:lang w:eastAsia="en-AU"/>
        </w:rPr>
        <w:t>.</w:t>
      </w:r>
    </w:p>
    <w:p w14:paraId="3F7B6D07" w14:textId="7D7D8AE2" w:rsidR="00272EF4" w:rsidRPr="00F40961" w:rsidRDefault="00100995" w:rsidP="00F40961">
      <w:r w:rsidRPr="00F40961">
        <w:rPr>
          <w:rFonts w:eastAsia="Times New Roman"/>
          <w:color w:val="000000"/>
          <w:lang w:eastAsia="en-AU"/>
        </w:rPr>
        <w:t xml:space="preserve">The acting Commissioner has also considered the relevant matters set out in the Appendix of the </w:t>
      </w:r>
      <w:r w:rsidRPr="00F40961">
        <w:t xml:space="preserve">OAIC’s </w:t>
      </w:r>
      <w:r w:rsidRPr="00F40961">
        <w:rPr>
          <w:i/>
        </w:rPr>
        <w:t>Guidelines for developing codes</w:t>
      </w:r>
      <w:r w:rsidRPr="00F40961">
        <w:t xml:space="preserve"> under s26T(4) in relation to variation of a registered code.</w:t>
      </w:r>
    </w:p>
    <w:p w14:paraId="0DCEC4DE" w14:textId="4CFA0AF7" w:rsidR="008745C5" w:rsidRPr="00D12AEA" w:rsidRDefault="00F2676D" w:rsidP="00F83EC3">
      <w:r w:rsidRPr="00D12AEA">
        <w:t xml:space="preserve">Minor </w:t>
      </w:r>
      <w:r w:rsidR="00F06934">
        <w:t>or</w:t>
      </w:r>
      <w:r w:rsidRPr="00D12AEA">
        <w:t xml:space="preserve"> technical changes made to the</w:t>
      </w:r>
      <w:r w:rsidR="008745C5" w:rsidRPr="00D12AEA">
        <w:t xml:space="preserve"> CR Code</w:t>
      </w:r>
      <w:r w:rsidR="00CA7833">
        <w:t xml:space="preserve"> V2</w:t>
      </w:r>
      <w:r w:rsidRPr="00D12AEA">
        <w:t xml:space="preserve"> were made</w:t>
      </w:r>
      <w:r w:rsidR="008745C5" w:rsidRPr="00D12AEA">
        <w:t xml:space="preserve"> having regard to the following:</w:t>
      </w:r>
    </w:p>
    <w:p w14:paraId="50632A40" w14:textId="6CD00DC4" w:rsidR="00D8271E" w:rsidRPr="00D12AEA" w:rsidRDefault="00D911A2" w:rsidP="00D40DAB">
      <w:pPr>
        <w:pStyle w:val="ListParagraph"/>
        <w:numPr>
          <w:ilvl w:val="0"/>
          <w:numId w:val="4"/>
        </w:numPr>
        <w:rPr>
          <w:rFonts w:cs="Times New Roman"/>
        </w:rPr>
      </w:pPr>
      <w:r>
        <w:rPr>
          <w:rFonts w:cs="Times New Roman"/>
        </w:rPr>
        <w:t>Fr</w:t>
      </w:r>
      <w:r w:rsidR="00D40DAB" w:rsidRPr="00D12AEA">
        <w:rPr>
          <w:rFonts w:cs="Times New Roman"/>
        </w:rPr>
        <w:t xml:space="preserve">om 20 September 2017 to 17 October 2017, PwC undertook targeted and public consultation in the drafting of the Report and developing the recommendations under paragraph 24.3 of the </w:t>
      </w:r>
      <w:r w:rsidR="00CA7833">
        <w:rPr>
          <w:rFonts w:cs="Times New Roman"/>
        </w:rPr>
        <w:t>Previous Code</w:t>
      </w:r>
      <w:r w:rsidR="00272EF4">
        <w:rPr>
          <w:rFonts w:cs="Times New Roman"/>
        </w:rPr>
        <w:t>.</w:t>
      </w:r>
      <w:r w:rsidR="00D40DAB" w:rsidRPr="00D12AEA">
        <w:rPr>
          <w:rFonts w:cs="Times New Roman"/>
        </w:rPr>
        <w:t xml:space="preserve"> T</w:t>
      </w:r>
      <w:r w:rsidR="008745C5" w:rsidRPr="00D12AEA">
        <w:rPr>
          <w:rFonts w:cs="Times New Roman"/>
        </w:rPr>
        <w:t>he variations</w:t>
      </w:r>
      <w:r w:rsidR="00D40DAB" w:rsidRPr="00D12AEA">
        <w:rPr>
          <w:rFonts w:cs="Times New Roman"/>
        </w:rPr>
        <w:t xml:space="preserve"> ARCA has applied for</w:t>
      </w:r>
      <w:r w:rsidR="008745C5" w:rsidRPr="00D12AEA">
        <w:rPr>
          <w:rFonts w:cs="Times New Roman"/>
        </w:rPr>
        <w:t xml:space="preserve"> generally reflect the PwC recommendations</w:t>
      </w:r>
      <w:r w:rsidR="00D40DAB" w:rsidRPr="00D12AEA">
        <w:rPr>
          <w:rFonts w:cs="Times New Roman"/>
        </w:rPr>
        <w:t>.</w:t>
      </w:r>
    </w:p>
    <w:p w14:paraId="0E6906C5" w14:textId="46FF450F" w:rsidR="00F2676D" w:rsidRPr="00D12AEA" w:rsidRDefault="00D911A2" w:rsidP="00593B5C">
      <w:pPr>
        <w:pStyle w:val="ListParagraph"/>
        <w:numPr>
          <w:ilvl w:val="0"/>
          <w:numId w:val="4"/>
        </w:numPr>
        <w:rPr>
          <w:rFonts w:cs="Times New Roman"/>
        </w:rPr>
      </w:pPr>
      <w:r>
        <w:rPr>
          <w:rFonts w:cs="Times New Roman"/>
        </w:rPr>
        <w:t>F</w:t>
      </w:r>
      <w:r w:rsidR="00593B5C" w:rsidRPr="00D12AEA">
        <w:rPr>
          <w:rFonts w:cs="Times New Roman"/>
        </w:rPr>
        <w:t>rom 3 April 201</w:t>
      </w:r>
      <w:r w:rsidR="00864D8F" w:rsidRPr="00D12AEA">
        <w:rPr>
          <w:rFonts w:cs="Times New Roman"/>
        </w:rPr>
        <w:t>8</w:t>
      </w:r>
      <w:r w:rsidR="00593B5C" w:rsidRPr="00D12AEA">
        <w:rPr>
          <w:rFonts w:cs="Times New Roman"/>
        </w:rPr>
        <w:t xml:space="preserve"> to 17 April 201</w:t>
      </w:r>
      <w:r w:rsidR="00864D8F" w:rsidRPr="00D12AEA">
        <w:rPr>
          <w:rFonts w:cs="Times New Roman"/>
        </w:rPr>
        <w:t>8</w:t>
      </w:r>
      <w:r w:rsidR="00593B5C" w:rsidRPr="00D12AEA">
        <w:rPr>
          <w:rFonts w:cs="Times New Roman"/>
        </w:rPr>
        <w:t xml:space="preserve">, ARCA conducted public consultation as well as targeted consultation with industry (including ARCA’s members), external dispute resolution schemes and consumer advocates, on proposed variations to the </w:t>
      </w:r>
      <w:r w:rsidR="00CA7833">
        <w:rPr>
          <w:rFonts w:cs="Times New Roman"/>
        </w:rPr>
        <w:t>Previous Code</w:t>
      </w:r>
      <w:r w:rsidR="00593B5C" w:rsidRPr="00D12AEA">
        <w:rPr>
          <w:rFonts w:cs="Times New Roman"/>
        </w:rPr>
        <w:t xml:space="preserve">. </w:t>
      </w:r>
      <w:r w:rsidR="008745C5" w:rsidRPr="00D12AEA">
        <w:rPr>
          <w:rFonts w:cs="Times New Roman"/>
        </w:rPr>
        <w:t>ARCA</w:t>
      </w:r>
      <w:r w:rsidR="00593B5C" w:rsidRPr="00D12AEA">
        <w:rPr>
          <w:rFonts w:cs="Times New Roman"/>
        </w:rPr>
        <w:t xml:space="preserve"> also</w:t>
      </w:r>
      <w:r w:rsidR="008745C5" w:rsidRPr="00D12AEA">
        <w:rPr>
          <w:rFonts w:cs="Times New Roman"/>
        </w:rPr>
        <w:t xml:space="preserve"> provided an opportunity for comment to stakeholders by publishing a draft variation on their website </w:t>
      </w:r>
      <w:r w:rsidR="00593B5C" w:rsidRPr="00D12AEA">
        <w:rPr>
          <w:rFonts w:cs="Times New Roman"/>
        </w:rPr>
        <w:t>from</w:t>
      </w:r>
      <w:r w:rsidR="008745C5" w:rsidRPr="00D12AEA">
        <w:rPr>
          <w:rFonts w:cs="Times New Roman"/>
        </w:rPr>
        <w:t xml:space="preserve"> 3 and 17 April 2018</w:t>
      </w:r>
      <w:r w:rsidR="00F2676D" w:rsidRPr="00D12AEA">
        <w:rPr>
          <w:rFonts w:cs="Times New Roman"/>
        </w:rPr>
        <w:t>.</w:t>
      </w:r>
    </w:p>
    <w:p w14:paraId="72457ABB" w14:textId="1ED66B6D" w:rsidR="00096AED" w:rsidRPr="00D12AEA" w:rsidRDefault="00D911A2" w:rsidP="008745C5">
      <w:pPr>
        <w:pStyle w:val="ListParagraph"/>
        <w:numPr>
          <w:ilvl w:val="0"/>
          <w:numId w:val="4"/>
        </w:numPr>
        <w:rPr>
          <w:rFonts w:cs="Times New Roman"/>
        </w:rPr>
      </w:pPr>
      <w:r>
        <w:rPr>
          <w:rFonts w:cs="Times New Roman"/>
        </w:rPr>
        <w:t>O</w:t>
      </w:r>
      <w:r w:rsidR="00096AED" w:rsidRPr="00D12AEA">
        <w:rPr>
          <w:rFonts w:cs="Times New Roman"/>
        </w:rPr>
        <w:t xml:space="preserve">n </w:t>
      </w:r>
      <w:r w:rsidR="00F2676D" w:rsidRPr="00D12AEA">
        <w:rPr>
          <w:rFonts w:cs="Times New Roman"/>
        </w:rPr>
        <w:t>3 May 2018</w:t>
      </w:r>
      <w:r w:rsidR="00096AED" w:rsidRPr="00D12AEA">
        <w:rPr>
          <w:rFonts w:cs="Times New Roman"/>
        </w:rPr>
        <w:t>,</w:t>
      </w:r>
      <w:r w:rsidR="00593B5C" w:rsidRPr="00D12AEA">
        <w:rPr>
          <w:rFonts w:cs="Times New Roman"/>
        </w:rPr>
        <w:t xml:space="preserve"> the OAIC published ARCA’s application for variation on the OAIC website</w:t>
      </w:r>
      <w:r w:rsidR="0094631C" w:rsidRPr="00D12AEA">
        <w:rPr>
          <w:rFonts w:cs="Times New Roman"/>
        </w:rPr>
        <w:t xml:space="preserve">. Understanding that </w:t>
      </w:r>
      <w:r w:rsidR="00706F1F">
        <w:rPr>
          <w:rFonts w:cs="Times New Roman"/>
        </w:rPr>
        <w:t xml:space="preserve">the </w:t>
      </w:r>
      <w:r w:rsidR="00593B5C" w:rsidRPr="00D12AEA">
        <w:rPr>
          <w:rFonts w:cs="Times New Roman"/>
        </w:rPr>
        <w:t>Financial Ombudsman Service and the Financial Rights Legal Centre</w:t>
      </w:r>
      <w:r w:rsidR="0094631C" w:rsidRPr="00D12AEA">
        <w:rPr>
          <w:rFonts w:cs="Times New Roman"/>
        </w:rPr>
        <w:t xml:space="preserve"> may have had outstanding concerns about the variation, the OAIC also invited additional comments from these stakeholders on 3 May 2018</w:t>
      </w:r>
      <w:r w:rsidR="00593B5C" w:rsidRPr="00D12AEA">
        <w:rPr>
          <w:rFonts w:cs="Times New Roman"/>
        </w:rPr>
        <w:t>.</w:t>
      </w:r>
      <w:r w:rsidR="00096AED" w:rsidRPr="00D12AEA">
        <w:rPr>
          <w:rFonts w:cs="Times New Roman"/>
        </w:rPr>
        <w:t xml:space="preserve"> </w:t>
      </w:r>
      <w:r w:rsidR="00593B5C" w:rsidRPr="00D12AEA">
        <w:rPr>
          <w:rFonts w:cs="Times New Roman"/>
        </w:rPr>
        <w:t>The Financial Ombudsman Service provided comments on 8 May 2018</w:t>
      </w:r>
      <w:r w:rsidR="0094631C" w:rsidRPr="00D12AEA">
        <w:rPr>
          <w:rFonts w:cs="Times New Roman"/>
        </w:rPr>
        <w:t>,</w:t>
      </w:r>
      <w:r w:rsidR="00593B5C" w:rsidRPr="00D12AEA">
        <w:rPr>
          <w:rFonts w:cs="Times New Roman"/>
        </w:rPr>
        <w:t xml:space="preserve"> which </w:t>
      </w:r>
      <w:r w:rsidR="0094631C" w:rsidRPr="00D12AEA">
        <w:rPr>
          <w:rFonts w:cs="Times New Roman"/>
        </w:rPr>
        <w:t>ARCA</w:t>
      </w:r>
      <w:r>
        <w:rPr>
          <w:rFonts w:cs="Times New Roman"/>
        </w:rPr>
        <w:t xml:space="preserve"> responded to on 16 May 2018.</w:t>
      </w:r>
    </w:p>
    <w:p w14:paraId="573790BE" w14:textId="6C406DAC" w:rsidR="00C935D4" w:rsidRPr="00D12AEA" w:rsidRDefault="00D911A2" w:rsidP="00C935D4">
      <w:pPr>
        <w:pStyle w:val="ListParagraph"/>
        <w:numPr>
          <w:ilvl w:val="0"/>
          <w:numId w:val="4"/>
        </w:numPr>
        <w:rPr>
          <w:rFonts w:cs="Times New Roman"/>
        </w:rPr>
      </w:pPr>
      <w:r>
        <w:rPr>
          <w:rFonts w:cs="Times New Roman"/>
        </w:rPr>
        <w:t>T</w:t>
      </w:r>
      <w:r w:rsidR="00267AF8" w:rsidRPr="00D12AEA">
        <w:rPr>
          <w:rFonts w:cs="Times New Roman"/>
        </w:rPr>
        <w:t>he approved CR Code</w:t>
      </w:r>
      <w:r w:rsidR="00CA7833">
        <w:rPr>
          <w:rFonts w:cs="Times New Roman"/>
        </w:rPr>
        <w:t xml:space="preserve"> V2</w:t>
      </w:r>
      <w:r w:rsidR="00267AF8" w:rsidRPr="00D12AEA">
        <w:rPr>
          <w:rFonts w:cs="Times New Roman"/>
        </w:rPr>
        <w:t xml:space="preserve"> was published on the OAIC website on 30 May 2018.</w:t>
      </w:r>
    </w:p>
    <w:p w14:paraId="4713FC04" w14:textId="2FA04081" w:rsidR="00272EF4" w:rsidRPr="000B2A9F" w:rsidRDefault="00272EF4" w:rsidP="00F83EC3">
      <w:pPr>
        <w:rPr>
          <w:lang w:eastAsia="en-AU"/>
        </w:rPr>
      </w:pPr>
      <w:r w:rsidRPr="000B2A9F">
        <w:rPr>
          <w:lang w:eastAsia="en-AU"/>
        </w:rPr>
        <w:t>The information submitted to the OAIC by A</w:t>
      </w:r>
      <w:r w:rsidR="000B2A9F">
        <w:rPr>
          <w:lang w:eastAsia="en-AU"/>
        </w:rPr>
        <w:t>RCA</w:t>
      </w:r>
      <w:r w:rsidRPr="000B2A9F">
        <w:rPr>
          <w:lang w:eastAsia="en-AU"/>
        </w:rPr>
        <w:t xml:space="preserve"> on </w:t>
      </w:r>
      <w:r w:rsidR="000B2A9F">
        <w:rPr>
          <w:lang w:eastAsia="en-AU"/>
        </w:rPr>
        <w:t>26 April 2018</w:t>
      </w:r>
      <w:r w:rsidRPr="000B2A9F">
        <w:rPr>
          <w:lang w:eastAsia="en-AU"/>
        </w:rPr>
        <w:t xml:space="preserve"> in support of its application, included correspondence showing that </w:t>
      </w:r>
      <w:r w:rsidR="000B2A9F">
        <w:rPr>
          <w:lang w:eastAsia="en-AU"/>
        </w:rPr>
        <w:t>ARCA</w:t>
      </w:r>
      <w:r w:rsidRPr="000B2A9F">
        <w:rPr>
          <w:lang w:eastAsia="en-AU"/>
        </w:rPr>
        <w:t xml:space="preserve"> members that will be bound by the </w:t>
      </w:r>
      <w:r w:rsidR="000B2A9F">
        <w:rPr>
          <w:lang w:eastAsia="en-AU"/>
        </w:rPr>
        <w:t>CR</w:t>
      </w:r>
      <w:r w:rsidRPr="000B2A9F">
        <w:rPr>
          <w:lang w:eastAsia="en-AU"/>
        </w:rPr>
        <w:t xml:space="preserve"> </w:t>
      </w:r>
      <w:r w:rsidR="004968DD">
        <w:rPr>
          <w:lang w:eastAsia="en-AU"/>
        </w:rPr>
        <w:t>C</w:t>
      </w:r>
      <w:r w:rsidRPr="000B2A9F">
        <w:rPr>
          <w:lang w:eastAsia="en-AU"/>
        </w:rPr>
        <w:t>ode</w:t>
      </w:r>
      <w:r w:rsidR="004968DD">
        <w:rPr>
          <w:lang w:eastAsia="en-AU"/>
        </w:rPr>
        <w:t xml:space="preserve"> V2</w:t>
      </w:r>
      <w:r w:rsidRPr="000B2A9F">
        <w:rPr>
          <w:lang w:eastAsia="en-AU"/>
        </w:rPr>
        <w:t xml:space="preserve"> were notified about the public consultation. Further, A</w:t>
      </w:r>
      <w:r w:rsidR="000B2A9F">
        <w:rPr>
          <w:lang w:eastAsia="en-AU"/>
        </w:rPr>
        <w:t>RCA</w:t>
      </w:r>
      <w:r w:rsidRPr="000B2A9F">
        <w:rPr>
          <w:lang w:eastAsia="en-AU"/>
        </w:rPr>
        <w:t xml:space="preserve"> provided copies of the </w:t>
      </w:r>
      <w:r w:rsidR="000B2A9F">
        <w:rPr>
          <w:lang w:eastAsia="en-AU"/>
        </w:rPr>
        <w:t xml:space="preserve">consultation material, detailing their consultation with relevant stakeholders, and submissions that they had received as </w:t>
      </w:r>
      <w:r w:rsidR="000B2A9F">
        <w:rPr>
          <w:lang w:eastAsia="en-AU"/>
        </w:rPr>
        <w:lastRenderedPageBreak/>
        <w:t>part of the consultation process.</w:t>
      </w:r>
      <w:r w:rsidRPr="000B2A9F">
        <w:rPr>
          <w:lang w:eastAsia="en-AU"/>
        </w:rPr>
        <w:t xml:space="preserve"> A</w:t>
      </w:r>
      <w:r w:rsidR="000B2A9F">
        <w:rPr>
          <w:lang w:eastAsia="en-AU"/>
        </w:rPr>
        <w:t>RCA detailed their response to concerns raised in the application for variation.</w:t>
      </w:r>
    </w:p>
    <w:p w14:paraId="52177235" w14:textId="549DC954" w:rsidR="00272EF4" w:rsidRDefault="00272EF4" w:rsidP="00F83EC3">
      <w:r w:rsidRPr="000B2A9F">
        <w:rPr>
          <w:lang w:eastAsia="en-AU"/>
        </w:rPr>
        <w:t xml:space="preserve">The </w:t>
      </w:r>
      <w:r w:rsidR="000B2A9F">
        <w:rPr>
          <w:lang w:eastAsia="en-AU"/>
        </w:rPr>
        <w:t>acting</w:t>
      </w:r>
      <w:r w:rsidRPr="000B2A9F">
        <w:rPr>
          <w:lang w:eastAsia="en-AU"/>
        </w:rPr>
        <w:t xml:space="preserve"> Commissioner is satisfied, for the reasons set out above, that the consultation process undertaken by </w:t>
      </w:r>
      <w:r w:rsidR="000B2A9F">
        <w:rPr>
          <w:lang w:eastAsia="en-AU"/>
        </w:rPr>
        <w:t>ARCA</w:t>
      </w:r>
      <w:r w:rsidRPr="000B2A9F">
        <w:rPr>
          <w:lang w:eastAsia="en-AU"/>
        </w:rPr>
        <w:t xml:space="preserve"> adequately addresses the</w:t>
      </w:r>
      <w:r w:rsidR="000B2A9F">
        <w:rPr>
          <w:lang w:eastAsia="en-AU"/>
        </w:rPr>
        <w:t xml:space="preserve"> statutory</w:t>
      </w:r>
      <w:r w:rsidRPr="000B2A9F">
        <w:rPr>
          <w:lang w:eastAsia="en-AU"/>
        </w:rPr>
        <w:t xml:space="preserve"> criteria required by s 26</w:t>
      </w:r>
      <w:r w:rsidR="000B2A9F">
        <w:rPr>
          <w:lang w:eastAsia="en-AU"/>
        </w:rPr>
        <w:t>T</w:t>
      </w:r>
      <w:r w:rsidRPr="000B2A9F">
        <w:rPr>
          <w:lang w:eastAsia="en-AU"/>
        </w:rPr>
        <w:t xml:space="preserve"> of the Privacy Act</w:t>
      </w:r>
      <w:r w:rsidR="000B2A9F">
        <w:rPr>
          <w:lang w:eastAsia="en-AU"/>
        </w:rPr>
        <w:t xml:space="preserve"> and </w:t>
      </w:r>
      <w:r w:rsidR="009F7C5F">
        <w:rPr>
          <w:lang w:eastAsia="en-AU"/>
        </w:rPr>
        <w:t>s</w:t>
      </w:r>
      <w:r w:rsidR="000B2A9F">
        <w:rPr>
          <w:lang w:eastAsia="en-AU"/>
        </w:rPr>
        <w:t xml:space="preserve"> 17 of the </w:t>
      </w:r>
      <w:r w:rsidR="000B2A9F">
        <w:rPr>
          <w:i/>
          <w:lang w:eastAsia="en-AU"/>
        </w:rPr>
        <w:t>Legislation Act 2003</w:t>
      </w:r>
      <w:r w:rsidRPr="000B2A9F">
        <w:rPr>
          <w:lang w:eastAsia="en-AU"/>
        </w:rPr>
        <w:t>.</w:t>
      </w:r>
    </w:p>
    <w:p w14:paraId="53ADB02F" w14:textId="3A773843" w:rsidR="0093247F" w:rsidRPr="00D12AEA" w:rsidRDefault="0093247F" w:rsidP="00F83EC3">
      <w:r w:rsidRPr="00D12AEA">
        <w:t xml:space="preserve">The Office of Best Practice Regulation (OBPR) was consulted and advised that a Regulation Impact Statement is not required. The OBPR reference is ID: </w:t>
      </w:r>
      <w:r w:rsidR="00524683">
        <w:t>23885</w:t>
      </w:r>
      <w:r w:rsidRPr="00D12AEA">
        <w:t>.</w:t>
      </w:r>
    </w:p>
    <w:p w14:paraId="2959A5EA" w14:textId="0A039911" w:rsidR="00E33934" w:rsidRPr="00D12AEA" w:rsidRDefault="00E33934" w:rsidP="00E33934">
      <w:pPr>
        <w:rPr>
          <w:rFonts w:cs="Times New Roman"/>
        </w:rPr>
      </w:pPr>
      <w:r w:rsidRPr="00D12AEA">
        <w:rPr>
          <w:rFonts w:cs="Times New Roman"/>
        </w:rPr>
        <w:t>The CR Code</w:t>
      </w:r>
      <w:r w:rsidR="004968DD">
        <w:rPr>
          <w:rFonts w:cs="Times New Roman"/>
        </w:rPr>
        <w:t xml:space="preserve"> V2</w:t>
      </w:r>
      <w:r w:rsidRPr="00D12AEA">
        <w:rPr>
          <w:rFonts w:cs="Times New Roman"/>
        </w:rPr>
        <w:t xml:space="preserve"> commences on 1 July 2018.</w:t>
      </w:r>
    </w:p>
    <w:p w14:paraId="6F3EDD45" w14:textId="5E2E2A2F" w:rsidR="00E33934" w:rsidRPr="00D12AEA" w:rsidRDefault="00E33934" w:rsidP="00E33934">
      <w:pPr>
        <w:rPr>
          <w:rFonts w:cs="Times New Roman"/>
        </w:rPr>
      </w:pPr>
      <w:r w:rsidRPr="00D12AEA">
        <w:rPr>
          <w:rFonts w:cs="Times New Roman"/>
        </w:rPr>
        <w:t>The CR Code</w:t>
      </w:r>
      <w:r w:rsidR="004968DD">
        <w:rPr>
          <w:rFonts w:cs="Times New Roman"/>
        </w:rPr>
        <w:t xml:space="preserve"> V2</w:t>
      </w:r>
      <w:r w:rsidRPr="00D12AEA">
        <w:rPr>
          <w:rFonts w:cs="Times New Roman"/>
        </w:rPr>
        <w:t xml:space="preserve"> is a legislative instrument for the purposes of the </w:t>
      </w:r>
      <w:r w:rsidRPr="00D12AEA">
        <w:rPr>
          <w:rFonts w:cs="Times New Roman"/>
          <w:i/>
        </w:rPr>
        <w:t>Legislation Act 2003</w:t>
      </w:r>
      <w:r w:rsidRPr="00D12AEA">
        <w:rPr>
          <w:rFonts w:cs="Times New Roman"/>
        </w:rPr>
        <w:t>.</w:t>
      </w:r>
    </w:p>
    <w:p w14:paraId="59BB830C" w14:textId="77777777" w:rsidR="00E33934" w:rsidRPr="00D12AEA" w:rsidRDefault="00E33934" w:rsidP="00E33934">
      <w:pPr>
        <w:jc w:val="right"/>
        <w:rPr>
          <w:rFonts w:cs="Times New Roman"/>
          <w:u w:val="single"/>
        </w:rPr>
      </w:pPr>
    </w:p>
    <w:p w14:paraId="099F3B41" w14:textId="77777777" w:rsidR="00E33934" w:rsidRPr="00D12AEA" w:rsidRDefault="00E33934" w:rsidP="0014669D">
      <w:pPr>
        <w:jc w:val="right"/>
        <w:rPr>
          <w:rFonts w:cs="Times New Roman"/>
          <w:i/>
        </w:rPr>
      </w:pPr>
      <w:r w:rsidRPr="00D12AEA">
        <w:rPr>
          <w:rFonts w:cs="Times New Roman"/>
          <w:u w:val="single"/>
        </w:rPr>
        <w:t>Authority:</w:t>
      </w:r>
      <w:r w:rsidRPr="00D12AEA">
        <w:rPr>
          <w:rFonts w:cs="Times New Roman"/>
        </w:rPr>
        <w:tab/>
        <w:t>Section 26T</w:t>
      </w:r>
      <w:r w:rsidR="0014669D" w:rsidRPr="00D12AEA">
        <w:rPr>
          <w:rFonts w:cs="Times New Roman"/>
        </w:rPr>
        <w:br/>
      </w:r>
      <w:r w:rsidRPr="00D12AEA">
        <w:rPr>
          <w:rFonts w:cs="Times New Roman"/>
          <w:i/>
        </w:rPr>
        <w:t>Privacy Act 1988</w:t>
      </w:r>
    </w:p>
    <w:p w14:paraId="3CB0E290" w14:textId="77777777" w:rsidR="00C73B2D" w:rsidRPr="00D12AEA" w:rsidRDefault="00C73B2D" w:rsidP="0014669D">
      <w:pPr>
        <w:jc w:val="right"/>
        <w:rPr>
          <w:rFonts w:cs="Times New Roman"/>
        </w:rPr>
      </w:pPr>
    </w:p>
    <w:p w14:paraId="680045BA" w14:textId="77DE1AFF" w:rsidR="0014669D" w:rsidRPr="00D12AEA" w:rsidRDefault="00E33934">
      <w:pPr>
        <w:rPr>
          <w:rFonts w:cs="Times New Roman"/>
          <w:b/>
        </w:rPr>
      </w:pPr>
      <w:r w:rsidRPr="00D12AEA">
        <w:rPr>
          <w:rFonts w:cs="Times New Roman"/>
          <w:b/>
        </w:rPr>
        <w:br w:type="page"/>
      </w:r>
    </w:p>
    <w:p w14:paraId="6D7FCE14" w14:textId="77777777" w:rsidR="00E33934" w:rsidRPr="00D12AEA" w:rsidRDefault="00E33934" w:rsidP="00E33934">
      <w:pPr>
        <w:shd w:val="clear" w:color="auto" w:fill="FFFFFF"/>
        <w:spacing w:after="0" w:line="240" w:lineRule="auto"/>
        <w:jc w:val="center"/>
        <w:rPr>
          <w:rFonts w:eastAsia="Times New Roman" w:cs="Times New Roman"/>
          <w:color w:val="000000"/>
          <w:lang w:eastAsia="en-AU"/>
        </w:rPr>
      </w:pPr>
      <w:r w:rsidRPr="00D12AEA">
        <w:rPr>
          <w:rFonts w:eastAsia="Times New Roman" w:cs="Times New Roman"/>
          <w:b/>
          <w:bCs/>
          <w:color w:val="000000"/>
          <w:lang w:eastAsia="en-AU"/>
        </w:rPr>
        <w:lastRenderedPageBreak/>
        <w:t>Statement of Compatibility with Human Rights</w:t>
      </w:r>
    </w:p>
    <w:p w14:paraId="5B11C97A" w14:textId="77777777" w:rsidR="00E33934" w:rsidRPr="00D12AEA" w:rsidRDefault="00E33934" w:rsidP="00E33934">
      <w:pPr>
        <w:shd w:val="clear" w:color="auto" w:fill="FFFFFF"/>
        <w:spacing w:after="0" w:line="240" w:lineRule="auto"/>
        <w:jc w:val="center"/>
        <w:rPr>
          <w:rFonts w:eastAsia="Times New Roman" w:cs="Times New Roman"/>
          <w:color w:val="000000"/>
          <w:lang w:eastAsia="en-AU"/>
        </w:rPr>
      </w:pPr>
      <w:r w:rsidRPr="00D12AEA">
        <w:rPr>
          <w:rFonts w:eastAsia="Times New Roman" w:cs="Times New Roman"/>
          <w:i/>
          <w:iCs/>
          <w:color w:val="000000"/>
          <w:lang w:eastAsia="en-AU"/>
        </w:rPr>
        <w:t>Prepared in accordance with Part 3 of the Human Rights (Parliamentary Scrutiny) Act 2011</w:t>
      </w:r>
    </w:p>
    <w:p w14:paraId="546B4308" w14:textId="77777777" w:rsidR="00E33934" w:rsidRPr="00D12AEA" w:rsidRDefault="00E33934" w:rsidP="00E33934">
      <w:pPr>
        <w:rPr>
          <w:rFonts w:cs="Times New Roman"/>
        </w:rPr>
      </w:pPr>
    </w:p>
    <w:p w14:paraId="31F77175" w14:textId="109E0886" w:rsidR="00E33934" w:rsidRPr="00D12AEA" w:rsidRDefault="00E33934" w:rsidP="00E33934">
      <w:pPr>
        <w:jc w:val="center"/>
        <w:rPr>
          <w:rFonts w:cs="Times New Roman"/>
          <w:b/>
          <w:i/>
        </w:rPr>
      </w:pPr>
      <w:r w:rsidRPr="00D12AEA">
        <w:rPr>
          <w:rFonts w:cs="Times New Roman"/>
          <w:b/>
          <w:i/>
        </w:rPr>
        <w:t xml:space="preserve">Privacy (Credit Reporting) Code 2014 </w:t>
      </w:r>
      <w:r w:rsidR="00431059" w:rsidRPr="00D12AEA">
        <w:rPr>
          <w:rFonts w:cs="Times New Roman"/>
          <w:b/>
          <w:i/>
        </w:rPr>
        <w:t>(</w:t>
      </w:r>
      <w:r w:rsidRPr="00D12AEA">
        <w:rPr>
          <w:rFonts w:cs="Times New Roman"/>
          <w:b/>
          <w:i/>
        </w:rPr>
        <w:t>Version 2</w:t>
      </w:r>
      <w:r w:rsidR="00431059" w:rsidRPr="00D12AEA">
        <w:rPr>
          <w:rFonts w:cs="Times New Roman"/>
          <w:b/>
          <w:i/>
        </w:rPr>
        <w:t>)</w:t>
      </w:r>
    </w:p>
    <w:p w14:paraId="7CC87063" w14:textId="77777777" w:rsidR="00E33934" w:rsidRPr="00D12AEA" w:rsidRDefault="00E33934" w:rsidP="00E33934">
      <w:pPr>
        <w:jc w:val="center"/>
        <w:rPr>
          <w:rFonts w:cs="Times New Roman"/>
        </w:rPr>
      </w:pPr>
      <w:r w:rsidRPr="00D12AEA">
        <w:rPr>
          <w:rFonts w:cs="Times New Roman"/>
        </w:rPr>
        <w:t xml:space="preserve">This legislative instrument is compatible with the human rights and freedoms recognised or declared in international instruments listed in section 3 of the </w:t>
      </w:r>
      <w:r w:rsidRPr="00D12AEA">
        <w:rPr>
          <w:rFonts w:cs="Times New Roman"/>
          <w:i/>
        </w:rPr>
        <w:t>Human Rights (Parliamentary Scrutiny) Act 2011</w:t>
      </w:r>
      <w:r w:rsidRPr="00D12AEA">
        <w:rPr>
          <w:rFonts w:cs="Times New Roman"/>
        </w:rPr>
        <w:t>.</w:t>
      </w:r>
    </w:p>
    <w:p w14:paraId="308C92D5" w14:textId="77777777" w:rsidR="00E33934" w:rsidRPr="00D12AEA" w:rsidRDefault="00E33934" w:rsidP="00E33934">
      <w:pPr>
        <w:jc w:val="center"/>
        <w:rPr>
          <w:rFonts w:cs="Times New Roman"/>
        </w:rPr>
      </w:pPr>
    </w:p>
    <w:p w14:paraId="1BE9BB70" w14:textId="77777777" w:rsidR="00E33934" w:rsidRPr="00D12AEA" w:rsidRDefault="00E33934" w:rsidP="0055759E">
      <w:pPr>
        <w:pStyle w:val="Heading1"/>
      </w:pPr>
      <w:r w:rsidRPr="00D12AEA">
        <w:t>Overview of the Legislative Instrument</w:t>
      </w:r>
    </w:p>
    <w:p w14:paraId="70C88B28" w14:textId="3C102AEC" w:rsidR="00E33934" w:rsidRPr="00D12AEA" w:rsidRDefault="00431059" w:rsidP="00E33934">
      <w:pPr>
        <w:rPr>
          <w:rFonts w:cs="Times New Roman"/>
        </w:rPr>
      </w:pPr>
      <w:r w:rsidRPr="00D12AEA">
        <w:rPr>
          <w:rFonts w:cs="Times New Roman"/>
        </w:rPr>
        <w:t xml:space="preserve">The </w:t>
      </w:r>
      <w:r w:rsidRPr="00D12AEA">
        <w:rPr>
          <w:rFonts w:cs="Times New Roman"/>
          <w:i/>
        </w:rPr>
        <w:t>Privacy (Credit Reporting) Code 2014 (Version 2)</w:t>
      </w:r>
      <w:r w:rsidR="006B6C32" w:rsidRPr="00D12AEA">
        <w:rPr>
          <w:rFonts w:cs="Times New Roman"/>
        </w:rPr>
        <w:t xml:space="preserve"> (CR Code</w:t>
      </w:r>
      <w:r w:rsidR="004968DD">
        <w:rPr>
          <w:rFonts w:cs="Times New Roman"/>
        </w:rPr>
        <w:t xml:space="preserve"> V2</w:t>
      </w:r>
      <w:r w:rsidR="006B6C32" w:rsidRPr="00D12AEA">
        <w:rPr>
          <w:rFonts w:cs="Times New Roman"/>
        </w:rPr>
        <w:t>) is a binding written code of practice about credit reporting. The purpose of the CR Code</w:t>
      </w:r>
      <w:r w:rsidR="004968DD">
        <w:rPr>
          <w:rFonts w:cs="Times New Roman"/>
        </w:rPr>
        <w:t xml:space="preserve"> V2</w:t>
      </w:r>
      <w:r w:rsidR="006B6C32" w:rsidRPr="00D12AEA">
        <w:rPr>
          <w:rFonts w:cs="Times New Roman"/>
        </w:rPr>
        <w:t xml:space="preserve"> is to supplement the provisions of Part II</w:t>
      </w:r>
      <w:r w:rsidR="00BD6F1E" w:rsidRPr="00D12AEA">
        <w:rPr>
          <w:rFonts w:cs="Times New Roman"/>
        </w:rPr>
        <w:t>I</w:t>
      </w:r>
      <w:r w:rsidR="006B6C32" w:rsidRPr="00D12AEA">
        <w:rPr>
          <w:rFonts w:cs="Times New Roman"/>
        </w:rPr>
        <w:t xml:space="preserve">A of the </w:t>
      </w:r>
      <w:r w:rsidR="006B6C32" w:rsidRPr="00D12AEA">
        <w:rPr>
          <w:rFonts w:cs="Times New Roman"/>
          <w:i/>
        </w:rPr>
        <w:t>Privacy Act 1988</w:t>
      </w:r>
      <w:r w:rsidR="006B6C32" w:rsidRPr="00D12AEA">
        <w:rPr>
          <w:rFonts w:cs="Times New Roman"/>
        </w:rPr>
        <w:t xml:space="preserve"> (Privacy Act) and the </w:t>
      </w:r>
      <w:r w:rsidR="006B6C32" w:rsidRPr="00D12AEA">
        <w:rPr>
          <w:rFonts w:cs="Times New Roman"/>
          <w:i/>
        </w:rPr>
        <w:t>Privacy Regulation 2013</w:t>
      </w:r>
      <w:r w:rsidR="006B6C32" w:rsidRPr="00D12AEA">
        <w:rPr>
          <w:rFonts w:cs="Times New Roman"/>
        </w:rPr>
        <w:t>.</w:t>
      </w:r>
    </w:p>
    <w:p w14:paraId="6F2923E6" w14:textId="755AB879" w:rsidR="006A364E" w:rsidRPr="00D12AEA" w:rsidRDefault="001760D0" w:rsidP="001760D0">
      <w:pPr>
        <w:rPr>
          <w:rFonts w:cs="Times New Roman"/>
        </w:rPr>
      </w:pPr>
      <w:r w:rsidRPr="00D12AEA">
        <w:rPr>
          <w:rFonts w:cs="Times New Roman"/>
        </w:rPr>
        <w:t xml:space="preserve">The CR Code </w:t>
      </w:r>
      <w:r w:rsidR="00CA7833">
        <w:rPr>
          <w:rFonts w:cs="Times New Roman"/>
        </w:rPr>
        <w:t xml:space="preserve">V2 </w:t>
      </w:r>
      <w:r w:rsidRPr="00D12AEA">
        <w:rPr>
          <w:rFonts w:cs="Times New Roman"/>
        </w:rPr>
        <w:t xml:space="preserve">repeals and replaces the </w:t>
      </w:r>
      <w:r w:rsidRPr="00D12AEA">
        <w:rPr>
          <w:rFonts w:cs="Times New Roman"/>
          <w:i/>
        </w:rPr>
        <w:t>Privacy (Credit Reporting) Code 2014 (Version 1.2)</w:t>
      </w:r>
      <w:r w:rsidRPr="00D12AEA">
        <w:rPr>
          <w:rFonts w:cs="Times New Roman"/>
        </w:rPr>
        <w:t xml:space="preserve"> (the Previous Code) to </w:t>
      </w:r>
      <w:r w:rsidR="006A364E" w:rsidRPr="00D12AEA">
        <w:rPr>
          <w:rFonts w:cs="Times New Roman"/>
        </w:rPr>
        <w:t xml:space="preserve">clarify obligations under the Previous Code, reflect current industry practice and ensure consistency with the provisions in the Privacy Act. The variations are minor </w:t>
      </w:r>
      <w:r w:rsidR="00F06934">
        <w:rPr>
          <w:rFonts w:cs="Times New Roman"/>
        </w:rPr>
        <w:t>or</w:t>
      </w:r>
      <w:r w:rsidR="006A364E" w:rsidRPr="00D12AEA">
        <w:rPr>
          <w:rFonts w:cs="Times New Roman"/>
        </w:rPr>
        <w:t xml:space="preserve"> technical in nature.</w:t>
      </w:r>
    </w:p>
    <w:p w14:paraId="45E910C8" w14:textId="6E8BB3D0" w:rsidR="001760D0" w:rsidRPr="00D12AEA" w:rsidRDefault="001760D0" w:rsidP="001760D0">
      <w:pPr>
        <w:rPr>
          <w:rFonts w:cs="Times New Roman"/>
        </w:rPr>
      </w:pPr>
      <w:r w:rsidRPr="00D12AEA">
        <w:rPr>
          <w:rFonts w:cs="Times New Roman"/>
        </w:rPr>
        <w:t>The CR Code</w:t>
      </w:r>
      <w:r w:rsidR="00CA7833">
        <w:rPr>
          <w:rFonts w:cs="Times New Roman"/>
        </w:rPr>
        <w:t xml:space="preserve"> V2</w:t>
      </w:r>
      <w:r w:rsidRPr="00D12AEA">
        <w:rPr>
          <w:rFonts w:cs="Times New Roman"/>
        </w:rPr>
        <w:t xml:space="preserve"> differs from the Previous Code by:</w:t>
      </w:r>
    </w:p>
    <w:p w14:paraId="111FF336" w14:textId="77777777" w:rsidR="00593B5C" w:rsidRPr="00D12AEA" w:rsidRDefault="00593B5C" w:rsidP="00593B5C">
      <w:pPr>
        <w:pStyle w:val="ListParagraph"/>
        <w:numPr>
          <w:ilvl w:val="0"/>
          <w:numId w:val="3"/>
        </w:numPr>
        <w:rPr>
          <w:rFonts w:cs="Times New Roman"/>
        </w:rPr>
      </w:pPr>
      <w:r w:rsidRPr="00D12AEA">
        <w:rPr>
          <w:rFonts w:cs="Times New Roman"/>
        </w:rPr>
        <w:t>altering the definition of ‘month’ in paragraph 1.2(i) to align with current industry practices</w:t>
      </w:r>
    </w:p>
    <w:p w14:paraId="11C22BDF" w14:textId="77777777" w:rsidR="00593B5C" w:rsidRPr="00D12AEA" w:rsidRDefault="00593B5C" w:rsidP="00593B5C">
      <w:pPr>
        <w:pStyle w:val="ListParagraph"/>
        <w:numPr>
          <w:ilvl w:val="0"/>
          <w:numId w:val="3"/>
        </w:numPr>
        <w:rPr>
          <w:rFonts w:cs="Times New Roman"/>
        </w:rPr>
      </w:pPr>
      <w:r w:rsidRPr="00D12AEA">
        <w:rPr>
          <w:rFonts w:cs="Times New Roman"/>
        </w:rPr>
        <w:t xml:space="preserve">removing redundant categories of ‘maximum amount of credit available’ from paragraph 6.2(b) </w:t>
      </w:r>
    </w:p>
    <w:p w14:paraId="6119C7E7" w14:textId="58305519" w:rsidR="00593B5C" w:rsidRPr="00D12AEA" w:rsidRDefault="00593B5C" w:rsidP="00593B5C">
      <w:pPr>
        <w:pStyle w:val="ListParagraph"/>
        <w:numPr>
          <w:ilvl w:val="0"/>
          <w:numId w:val="3"/>
        </w:numPr>
        <w:rPr>
          <w:rFonts w:cs="Times New Roman"/>
        </w:rPr>
      </w:pPr>
      <w:r w:rsidRPr="00D12AEA">
        <w:rPr>
          <w:rFonts w:cs="Times New Roman"/>
        </w:rPr>
        <w:t xml:space="preserve">altering the requirement under paragraph 6.2(c) to address concerns about the uncertainty of how account closures are described </w:t>
      </w:r>
    </w:p>
    <w:p w14:paraId="3516C41B" w14:textId="0A8C50D8" w:rsidR="00593B5C" w:rsidRPr="00D12AEA" w:rsidRDefault="00593B5C" w:rsidP="00593B5C">
      <w:pPr>
        <w:pStyle w:val="ListParagraph"/>
        <w:numPr>
          <w:ilvl w:val="0"/>
          <w:numId w:val="3"/>
        </w:numPr>
        <w:rPr>
          <w:rFonts w:cs="Times New Roman"/>
        </w:rPr>
      </w:pPr>
      <w:r w:rsidRPr="00D12AEA">
        <w:rPr>
          <w:rFonts w:cs="Times New Roman"/>
        </w:rPr>
        <w:t xml:space="preserve">altering the timing of grace periods under paragraph 8.2(c)(ii) to clarify the application and interpretation </w:t>
      </w:r>
      <w:r w:rsidR="00263ADE">
        <w:rPr>
          <w:rFonts w:cs="Times New Roman"/>
        </w:rPr>
        <w:t>of</w:t>
      </w:r>
      <w:r w:rsidRPr="00D12AEA">
        <w:rPr>
          <w:rFonts w:cs="Times New Roman"/>
        </w:rPr>
        <w:t xml:space="preserve"> the grace period</w:t>
      </w:r>
    </w:p>
    <w:p w14:paraId="456E1BD2" w14:textId="2100360C" w:rsidR="00593B5C" w:rsidRPr="00D12AEA" w:rsidRDefault="00593B5C" w:rsidP="00593B5C">
      <w:pPr>
        <w:pStyle w:val="ListParagraph"/>
        <w:numPr>
          <w:ilvl w:val="0"/>
          <w:numId w:val="3"/>
        </w:numPr>
        <w:rPr>
          <w:rFonts w:cs="Times New Roman"/>
        </w:rPr>
      </w:pPr>
      <w:r w:rsidRPr="00D12AEA">
        <w:rPr>
          <w:rFonts w:cs="Times New Roman"/>
        </w:rPr>
        <w:t xml:space="preserve">altering paragraph 9.3(d) to permit delivery of </w:t>
      </w:r>
      <w:r w:rsidR="009F7C5F">
        <w:rPr>
          <w:rFonts w:cs="Times New Roman"/>
        </w:rPr>
        <w:t>s</w:t>
      </w:r>
      <w:r w:rsidRPr="00D12AEA">
        <w:rPr>
          <w:rFonts w:cs="Times New Roman"/>
        </w:rPr>
        <w:t xml:space="preserve"> 21D notices under the Privacy Act by electronic means</w:t>
      </w:r>
    </w:p>
    <w:p w14:paraId="2C2E233A" w14:textId="68CAD864" w:rsidR="00593B5C" w:rsidRPr="00D12AEA" w:rsidRDefault="00593B5C" w:rsidP="00593B5C">
      <w:pPr>
        <w:pStyle w:val="ListParagraph"/>
        <w:numPr>
          <w:ilvl w:val="0"/>
          <w:numId w:val="3"/>
        </w:numPr>
        <w:rPr>
          <w:rFonts w:cs="Times New Roman"/>
        </w:rPr>
      </w:pPr>
      <w:r w:rsidRPr="00D12AEA">
        <w:rPr>
          <w:rFonts w:cs="Times New Roman"/>
        </w:rPr>
        <w:t xml:space="preserve">altering paragraphs 9.3(a), (b), (c), (d) and (f) to address inconsistency between the Previous Code and </w:t>
      </w:r>
      <w:r w:rsidR="009F7C5F">
        <w:rPr>
          <w:rFonts w:cs="Times New Roman"/>
        </w:rPr>
        <w:t>ss</w:t>
      </w:r>
      <w:r w:rsidRPr="00D12AEA">
        <w:rPr>
          <w:rFonts w:cs="Times New Roman"/>
        </w:rPr>
        <w:t xml:space="preserve"> 6Q and 21D of the Privacy Act</w:t>
      </w:r>
    </w:p>
    <w:p w14:paraId="010A3D0B" w14:textId="77777777" w:rsidR="00593B5C" w:rsidRPr="00D12AEA" w:rsidRDefault="00593B5C" w:rsidP="00593B5C">
      <w:pPr>
        <w:pStyle w:val="ListParagraph"/>
        <w:numPr>
          <w:ilvl w:val="0"/>
          <w:numId w:val="3"/>
        </w:numPr>
        <w:rPr>
          <w:rFonts w:cs="Times New Roman"/>
        </w:rPr>
      </w:pPr>
      <w:r w:rsidRPr="00D12AEA">
        <w:rPr>
          <w:rFonts w:cs="Times New Roman"/>
        </w:rPr>
        <w:t>altering paragraph 18.1 to extend the prohibition on direct marketing activities by a credit reporting body to the use of credit reporting information in both tools and services provided by a credit reporting body to a credit provider</w:t>
      </w:r>
    </w:p>
    <w:p w14:paraId="00D481BA" w14:textId="4406137C" w:rsidR="00593B5C" w:rsidRPr="00D12AEA" w:rsidRDefault="00593B5C" w:rsidP="00593B5C">
      <w:pPr>
        <w:pStyle w:val="ListParagraph"/>
        <w:numPr>
          <w:ilvl w:val="0"/>
          <w:numId w:val="3"/>
        </w:numPr>
        <w:rPr>
          <w:rFonts w:cs="Times New Roman"/>
        </w:rPr>
      </w:pPr>
      <w:r w:rsidRPr="00D12AEA">
        <w:rPr>
          <w:rFonts w:cs="Times New Roman"/>
        </w:rPr>
        <w:t>altering paragraph 20.9 to require additional information to be included in a correction notice provided to a credit provider by a credit reporting body, to enable the credit provider to match the corrected information to a customer or a customer’s account.</w:t>
      </w:r>
    </w:p>
    <w:p w14:paraId="588F64B5" w14:textId="77777777" w:rsidR="00E33934" w:rsidRPr="00D12AEA" w:rsidRDefault="00E33934" w:rsidP="0055759E">
      <w:pPr>
        <w:pStyle w:val="Heading1"/>
      </w:pPr>
      <w:r w:rsidRPr="00D12AEA">
        <w:t>Human rights implications</w:t>
      </w:r>
    </w:p>
    <w:p w14:paraId="4958E2FA" w14:textId="7C227C4B" w:rsidR="001760D0" w:rsidRPr="00D12AEA" w:rsidRDefault="001760D0" w:rsidP="001760D0">
      <w:pPr>
        <w:rPr>
          <w:rFonts w:cs="Times New Roman"/>
        </w:rPr>
      </w:pPr>
      <w:r w:rsidRPr="00D12AEA">
        <w:rPr>
          <w:rFonts w:cs="Times New Roman"/>
        </w:rPr>
        <w:t xml:space="preserve">The CR </w:t>
      </w:r>
      <w:r w:rsidR="00F50BF6" w:rsidRPr="00D12AEA">
        <w:rPr>
          <w:rFonts w:cs="Times New Roman"/>
        </w:rPr>
        <w:t>C</w:t>
      </w:r>
      <w:r w:rsidRPr="00D12AEA">
        <w:rPr>
          <w:rFonts w:cs="Times New Roman"/>
        </w:rPr>
        <w:t xml:space="preserve">ode </w:t>
      </w:r>
      <w:r w:rsidR="004968DD">
        <w:rPr>
          <w:rFonts w:cs="Times New Roman"/>
        </w:rPr>
        <w:t xml:space="preserve">V2 </w:t>
      </w:r>
      <w:r w:rsidRPr="00D12AEA">
        <w:rPr>
          <w:rFonts w:cs="Times New Roman"/>
        </w:rPr>
        <w:t xml:space="preserve">engages Article 17 of the </w:t>
      </w:r>
      <w:r w:rsidRPr="00D12AEA">
        <w:rPr>
          <w:rFonts w:cs="Times New Roman"/>
          <w:i/>
        </w:rPr>
        <w:t xml:space="preserve">International Covenant on Civil and Political Rights </w:t>
      </w:r>
      <w:r w:rsidRPr="00D12AEA">
        <w:rPr>
          <w:rFonts w:cs="Times New Roman"/>
        </w:rPr>
        <w:t xml:space="preserve">(ICCPR). 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14:paraId="56A8A5B5" w14:textId="064E5048" w:rsidR="00F50BF6" w:rsidRDefault="001760D0" w:rsidP="00F50BF6">
      <w:pPr>
        <w:rPr>
          <w:rFonts w:cs="Times New Roman"/>
        </w:rPr>
      </w:pPr>
      <w:r w:rsidRPr="00D12AEA">
        <w:rPr>
          <w:rFonts w:cs="Times New Roman"/>
        </w:rPr>
        <w:lastRenderedPageBreak/>
        <w:t xml:space="preserve">The CR </w:t>
      </w:r>
      <w:r w:rsidR="00F50BF6" w:rsidRPr="00D12AEA">
        <w:rPr>
          <w:rFonts w:cs="Times New Roman"/>
        </w:rPr>
        <w:t>C</w:t>
      </w:r>
      <w:r w:rsidRPr="00D12AEA">
        <w:rPr>
          <w:rFonts w:cs="Times New Roman"/>
        </w:rPr>
        <w:t>ode</w:t>
      </w:r>
      <w:r w:rsidR="004968DD">
        <w:rPr>
          <w:rFonts w:cs="Times New Roman"/>
        </w:rPr>
        <w:t xml:space="preserve"> V2</w:t>
      </w:r>
      <w:r w:rsidRPr="00D12AEA">
        <w:rPr>
          <w:rFonts w:cs="Times New Roman"/>
        </w:rPr>
        <w:t xml:space="preserve"> has no implication for the prohibition against arbitrary interference with privacy because the variation</w:t>
      </w:r>
      <w:r w:rsidR="0092494E" w:rsidRPr="00D12AEA">
        <w:rPr>
          <w:rFonts w:cs="Times New Roman"/>
        </w:rPr>
        <w:t>s</w:t>
      </w:r>
      <w:r w:rsidRPr="00D12AEA">
        <w:rPr>
          <w:rFonts w:cs="Times New Roman"/>
        </w:rPr>
        <w:t xml:space="preserve"> from the Previous Code</w:t>
      </w:r>
      <w:r w:rsidR="0093247F" w:rsidRPr="00D12AEA">
        <w:rPr>
          <w:rFonts w:cs="Times New Roman"/>
        </w:rPr>
        <w:t xml:space="preserve"> are </w:t>
      </w:r>
      <w:r w:rsidR="00F40961">
        <w:rPr>
          <w:rFonts w:cs="Times New Roman"/>
        </w:rPr>
        <w:t>minor</w:t>
      </w:r>
      <w:r w:rsidR="0093247F" w:rsidRPr="00D12AEA">
        <w:rPr>
          <w:rFonts w:cs="Times New Roman"/>
        </w:rPr>
        <w:t xml:space="preserve"> in nature</w:t>
      </w:r>
      <w:r w:rsidRPr="00D12AEA">
        <w:rPr>
          <w:rFonts w:cs="Times New Roman"/>
        </w:rPr>
        <w:t xml:space="preserve"> </w:t>
      </w:r>
      <w:r w:rsidR="0093247F" w:rsidRPr="00D12AEA">
        <w:rPr>
          <w:rFonts w:cs="Times New Roman"/>
        </w:rPr>
        <w:t xml:space="preserve">and do not </w:t>
      </w:r>
      <w:r w:rsidRPr="00D12AEA">
        <w:rPr>
          <w:rFonts w:cs="Times New Roman"/>
        </w:rPr>
        <w:t>reduce the privacy protections afforded to individuals by the Previous Code</w:t>
      </w:r>
      <w:r w:rsidR="0093247F" w:rsidRPr="00D12AEA">
        <w:rPr>
          <w:rFonts w:cs="Times New Roman"/>
        </w:rPr>
        <w:t xml:space="preserve"> and maintain the privacy protections set out in the Privacy Act</w:t>
      </w:r>
      <w:r w:rsidR="0094631C" w:rsidRPr="00D12AEA">
        <w:rPr>
          <w:rFonts w:cs="Times New Roman"/>
        </w:rPr>
        <w:t>.</w:t>
      </w:r>
      <w:r w:rsidR="00F50BF6" w:rsidRPr="00D12AEA">
        <w:rPr>
          <w:rFonts w:cs="Times New Roman"/>
        </w:rPr>
        <w:t xml:space="preserve"> </w:t>
      </w:r>
    </w:p>
    <w:p w14:paraId="6D7B2E8B" w14:textId="1FAA4E29" w:rsidR="001D5C98" w:rsidRPr="00D12AEA" w:rsidRDefault="001D5C98" w:rsidP="00F50BF6">
      <w:pPr>
        <w:rPr>
          <w:rFonts w:cs="Times New Roman"/>
        </w:rPr>
      </w:pPr>
      <w:r>
        <w:rPr>
          <w:rFonts w:cs="Times New Roman"/>
        </w:rPr>
        <w:t xml:space="preserve">The CR </w:t>
      </w:r>
      <w:r w:rsidR="00E71B0A">
        <w:rPr>
          <w:rFonts w:cs="Times New Roman"/>
        </w:rPr>
        <w:t xml:space="preserve">Code </w:t>
      </w:r>
      <w:r w:rsidR="004968DD">
        <w:rPr>
          <w:rFonts w:cs="Times New Roman"/>
        </w:rPr>
        <w:t>V</w:t>
      </w:r>
      <w:r w:rsidR="00E71B0A">
        <w:rPr>
          <w:rFonts w:cs="Times New Roman"/>
        </w:rPr>
        <w:t>2</w:t>
      </w:r>
      <w:r w:rsidRPr="001D5C98">
        <w:rPr>
          <w:rFonts w:cs="Times New Roman"/>
        </w:rPr>
        <w:t xml:space="preserve"> supplement</w:t>
      </w:r>
      <w:r w:rsidR="00E71B0A">
        <w:rPr>
          <w:rFonts w:cs="Times New Roman"/>
        </w:rPr>
        <w:t xml:space="preserve">s </w:t>
      </w:r>
      <w:r w:rsidRPr="001D5C98">
        <w:rPr>
          <w:rFonts w:cs="Times New Roman"/>
        </w:rPr>
        <w:t>and strengthe</w:t>
      </w:r>
      <w:r w:rsidR="00E71B0A">
        <w:rPr>
          <w:rFonts w:cs="Times New Roman"/>
        </w:rPr>
        <w:t>ns</w:t>
      </w:r>
      <w:r w:rsidR="00CA7833">
        <w:rPr>
          <w:rFonts w:cs="Times New Roman"/>
        </w:rPr>
        <w:t xml:space="preserve"> the provisions in the P</w:t>
      </w:r>
      <w:r w:rsidRPr="001D5C98">
        <w:rPr>
          <w:rFonts w:cs="Times New Roman"/>
        </w:rPr>
        <w:t>revious Code through the introduction of additional, privacy enhancing requirements for the handling of credit information by the entities that it binds</w:t>
      </w:r>
      <w:r w:rsidR="00E71B0A">
        <w:rPr>
          <w:rFonts w:cs="Times New Roman"/>
        </w:rPr>
        <w:t>.</w:t>
      </w:r>
      <w:r>
        <w:rPr>
          <w:rFonts w:cs="Times New Roman"/>
        </w:rPr>
        <w:t xml:space="preserve"> </w:t>
      </w:r>
    </w:p>
    <w:p w14:paraId="3DDF5670" w14:textId="77777777" w:rsidR="00E33934" w:rsidRPr="00D12AEA" w:rsidRDefault="00E33934" w:rsidP="0055759E">
      <w:pPr>
        <w:pStyle w:val="Heading1"/>
      </w:pPr>
      <w:r w:rsidRPr="00D12AEA">
        <w:t>Conclusion</w:t>
      </w:r>
    </w:p>
    <w:p w14:paraId="3C03EC24" w14:textId="3411E4B1" w:rsidR="00E33934" w:rsidRPr="00D12AEA" w:rsidRDefault="00E33934" w:rsidP="00E33934">
      <w:pPr>
        <w:rPr>
          <w:rFonts w:cs="Times New Roman"/>
        </w:rPr>
      </w:pPr>
      <w:r w:rsidRPr="00D12AEA">
        <w:rPr>
          <w:rFonts w:cs="Times New Roman"/>
        </w:rPr>
        <w:t xml:space="preserve">The CR Code </w:t>
      </w:r>
      <w:r w:rsidR="00CA7833">
        <w:rPr>
          <w:rFonts w:cs="Times New Roman"/>
        </w:rPr>
        <w:t xml:space="preserve">V2 </w:t>
      </w:r>
      <w:r w:rsidR="0094631C" w:rsidRPr="00D12AEA">
        <w:rPr>
          <w:rFonts w:cs="Times New Roman"/>
        </w:rPr>
        <w:t xml:space="preserve">engages the right to privacy. It </w:t>
      </w:r>
      <w:r w:rsidRPr="00D12AEA">
        <w:rPr>
          <w:rFonts w:cs="Times New Roman"/>
        </w:rPr>
        <w:t>is compatible with human rights because</w:t>
      </w:r>
      <w:r w:rsidR="0093247F" w:rsidRPr="00D12AEA">
        <w:rPr>
          <w:rFonts w:cs="Times New Roman"/>
        </w:rPr>
        <w:t xml:space="preserve"> it promotes the protection of </w:t>
      </w:r>
      <w:r w:rsidR="0094631C" w:rsidRPr="00D12AEA">
        <w:rPr>
          <w:rFonts w:cs="Times New Roman"/>
        </w:rPr>
        <w:t>privacy</w:t>
      </w:r>
      <w:r w:rsidR="0093247F" w:rsidRPr="00D12AEA">
        <w:rPr>
          <w:rFonts w:cs="Times New Roman"/>
        </w:rPr>
        <w:t>.</w:t>
      </w:r>
      <w:r w:rsidRPr="00D12AEA">
        <w:rPr>
          <w:rFonts w:cs="Times New Roman"/>
        </w:rPr>
        <w:t xml:space="preserve"> </w:t>
      </w:r>
    </w:p>
    <w:p w14:paraId="7D86F8AA" w14:textId="77777777" w:rsidR="00E33934" w:rsidRPr="00D12AEA" w:rsidRDefault="00E33934" w:rsidP="00E33934">
      <w:pPr>
        <w:jc w:val="center"/>
        <w:rPr>
          <w:rFonts w:cs="Times New Roman"/>
        </w:rPr>
      </w:pPr>
    </w:p>
    <w:p w14:paraId="3DFE9EEC" w14:textId="77777777" w:rsidR="00E33934" w:rsidRPr="00D12AEA" w:rsidRDefault="00E33934" w:rsidP="00E33934">
      <w:pPr>
        <w:jc w:val="center"/>
        <w:rPr>
          <w:rFonts w:cs="Times New Roman"/>
        </w:rPr>
      </w:pPr>
      <w:r w:rsidRPr="00D12AEA">
        <w:rPr>
          <w:rFonts w:cs="Times New Roman"/>
        </w:rPr>
        <w:t>Angelene Falk</w:t>
      </w:r>
      <w:r w:rsidRPr="00D12AEA">
        <w:rPr>
          <w:rFonts w:cs="Times New Roman"/>
        </w:rPr>
        <w:br/>
        <w:t>Acting Australian Information Commissioner</w:t>
      </w:r>
      <w:r w:rsidRPr="00D12AEA">
        <w:rPr>
          <w:rFonts w:cs="Times New Roman"/>
        </w:rPr>
        <w:br/>
        <w:t>Office of the Australian Information Commissioner</w:t>
      </w:r>
    </w:p>
    <w:p w14:paraId="6C23A5AA" w14:textId="77777777" w:rsidR="00E33934" w:rsidRPr="00D12AEA" w:rsidRDefault="00E33934" w:rsidP="00E33934">
      <w:pPr>
        <w:jc w:val="center"/>
        <w:rPr>
          <w:rFonts w:cs="Times New Roman"/>
          <w:i/>
        </w:rPr>
      </w:pPr>
    </w:p>
    <w:sectPr w:rsidR="00E33934" w:rsidRPr="00D12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348"/>
    <w:multiLevelType w:val="hybridMultilevel"/>
    <w:tmpl w:val="59DE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A7552"/>
    <w:multiLevelType w:val="hybridMultilevel"/>
    <w:tmpl w:val="3960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50F03"/>
    <w:multiLevelType w:val="hybridMultilevel"/>
    <w:tmpl w:val="DB0033BA"/>
    <w:lvl w:ilvl="0" w:tplc="7DA2352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517F1"/>
    <w:multiLevelType w:val="hybridMultilevel"/>
    <w:tmpl w:val="6F1E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747361"/>
    <w:multiLevelType w:val="hybridMultilevel"/>
    <w:tmpl w:val="649C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0D12B5"/>
    <w:multiLevelType w:val="hybridMultilevel"/>
    <w:tmpl w:val="69DEC2B6"/>
    <w:lvl w:ilvl="0" w:tplc="61FC822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BA5E75"/>
    <w:multiLevelType w:val="hybridMultilevel"/>
    <w:tmpl w:val="EB2E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CD4474"/>
    <w:multiLevelType w:val="hybridMultilevel"/>
    <w:tmpl w:val="A9189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C00A09"/>
    <w:multiLevelType w:val="hybridMultilevel"/>
    <w:tmpl w:val="7CC8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951356"/>
    <w:multiLevelType w:val="hybridMultilevel"/>
    <w:tmpl w:val="DCEA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49486E"/>
    <w:multiLevelType w:val="hybridMultilevel"/>
    <w:tmpl w:val="C61CD2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10"/>
  </w:num>
  <w:num w:numId="6">
    <w:abstractNumId w:val="3"/>
  </w:num>
  <w:num w:numId="7">
    <w:abstractNumId w:val="2"/>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34"/>
    <w:rsid w:val="000075D1"/>
    <w:rsid w:val="00025210"/>
    <w:rsid w:val="00040660"/>
    <w:rsid w:val="000531DA"/>
    <w:rsid w:val="0007520A"/>
    <w:rsid w:val="00083E41"/>
    <w:rsid w:val="00096AED"/>
    <w:rsid w:val="000B1DAE"/>
    <w:rsid w:val="000B2A9F"/>
    <w:rsid w:val="000C1428"/>
    <w:rsid w:val="000F5B03"/>
    <w:rsid w:val="00100995"/>
    <w:rsid w:val="0011003F"/>
    <w:rsid w:val="0011274E"/>
    <w:rsid w:val="00134D9A"/>
    <w:rsid w:val="001376CE"/>
    <w:rsid w:val="0014669D"/>
    <w:rsid w:val="00156871"/>
    <w:rsid w:val="001760D0"/>
    <w:rsid w:val="00185A2D"/>
    <w:rsid w:val="001C03AC"/>
    <w:rsid w:val="001D5C98"/>
    <w:rsid w:val="001E1444"/>
    <w:rsid w:val="00242B7C"/>
    <w:rsid w:val="00263ADE"/>
    <w:rsid w:val="00267AF8"/>
    <w:rsid w:val="00272EF4"/>
    <w:rsid w:val="0029518B"/>
    <w:rsid w:val="002A6CEA"/>
    <w:rsid w:val="002C7B72"/>
    <w:rsid w:val="002E24EC"/>
    <w:rsid w:val="002F52A1"/>
    <w:rsid w:val="00313541"/>
    <w:rsid w:val="003341EB"/>
    <w:rsid w:val="00341649"/>
    <w:rsid w:val="00356D00"/>
    <w:rsid w:val="0036230B"/>
    <w:rsid w:val="0038538D"/>
    <w:rsid w:val="003A71EB"/>
    <w:rsid w:val="003D01A7"/>
    <w:rsid w:val="003E08DB"/>
    <w:rsid w:val="00403E7B"/>
    <w:rsid w:val="00410395"/>
    <w:rsid w:val="00431059"/>
    <w:rsid w:val="00434BC7"/>
    <w:rsid w:val="0044672B"/>
    <w:rsid w:val="00461315"/>
    <w:rsid w:val="004968DD"/>
    <w:rsid w:val="004A15D0"/>
    <w:rsid w:val="004A20DF"/>
    <w:rsid w:val="004E28F7"/>
    <w:rsid w:val="004F3932"/>
    <w:rsid w:val="00524683"/>
    <w:rsid w:val="00542ECB"/>
    <w:rsid w:val="0055759E"/>
    <w:rsid w:val="00567F8D"/>
    <w:rsid w:val="00580710"/>
    <w:rsid w:val="00584371"/>
    <w:rsid w:val="00593B5C"/>
    <w:rsid w:val="00596047"/>
    <w:rsid w:val="005B35B8"/>
    <w:rsid w:val="005C216B"/>
    <w:rsid w:val="005C4854"/>
    <w:rsid w:val="005D6E52"/>
    <w:rsid w:val="005E3023"/>
    <w:rsid w:val="006052A8"/>
    <w:rsid w:val="006A364E"/>
    <w:rsid w:val="006A7CF6"/>
    <w:rsid w:val="006B6C32"/>
    <w:rsid w:val="006C19CC"/>
    <w:rsid w:val="006E7F7A"/>
    <w:rsid w:val="006F25E1"/>
    <w:rsid w:val="006F5485"/>
    <w:rsid w:val="00702EEC"/>
    <w:rsid w:val="00706F1F"/>
    <w:rsid w:val="00742B1B"/>
    <w:rsid w:val="0074428D"/>
    <w:rsid w:val="0075450C"/>
    <w:rsid w:val="00772E93"/>
    <w:rsid w:val="00784616"/>
    <w:rsid w:val="0079290C"/>
    <w:rsid w:val="007C6C22"/>
    <w:rsid w:val="007E4DFE"/>
    <w:rsid w:val="008265A6"/>
    <w:rsid w:val="0083271D"/>
    <w:rsid w:val="00852E6A"/>
    <w:rsid w:val="00864D8F"/>
    <w:rsid w:val="008745C5"/>
    <w:rsid w:val="008753DA"/>
    <w:rsid w:val="008A2087"/>
    <w:rsid w:val="00914E57"/>
    <w:rsid w:val="00917FC5"/>
    <w:rsid w:val="0092494E"/>
    <w:rsid w:val="0093247F"/>
    <w:rsid w:val="00933824"/>
    <w:rsid w:val="0094631C"/>
    <w:rsid w:val="009A3D93"/>
    <w:rsid w:val="009A67D5"/>
    <w:rsid w:val="009E03EB"/>
    <w:rsid w:val="009E641D"/>
    <w:rsid w:val="009F584D"/>
    <w:rsid w:val="009F7C5F"/>
    <w:rsid w:val="00A6339E"/>
    <w:rsid w:val="00A83606"/>
    <w:rsid w:val="00A947E9"/>
    <w:rsid w:val="00AB0A09"/>
    <w:rsid w:val="00AB5C6D"/>
    <w:rsid w:val="00AB7E4A"/>
    <w:rsid w:val="00B12C83"/>
    <w:rsid w:val="00B550A7"/>
    <w:rsid w:val="00B9132E"/>
    <w:rsid w:val="00BB45E1"/>
    <w:rsid w:val="00BD6F1E"/>
    <w:rsid w:val="00BE3ACE"/>
    <w:rsid w:val="00C064B5"/>
    <w:rsid w:val="00C56826"/>
    <w:rsid w:val="00C57659"/>
    <w:rsid w:val="00C73B2D"/>
    <w:rsid w:val="00C80AB6"/>
    <w:rsid w:val="00C935D4"/>
    <w:rsid w:val="00CA03E2"/>
    <w:rsid w:val="00CA7833"/>
    <w:rsid w:val="00CB3D5D"/>
    <w:rsid w:val="00CC1D04"/>
    <w:rsid w:val="00CC44F1"/>
    <w:rsid w:val="00CE0543"/>
    <w:rsid w:val="00CF1B72"/>
    <w:rsid w:val="00CF3045"/>
    <w:rsid w:val="00D066CC"/>
    <w:rsid w:val="00D12AEA"/>
    <w:rsid w:val="00D149CA"/>
    <w:rsid w:val="00D40DAB"/>
    <w:rsid w:val="00D8271E"/>
    <w:rsid w:val="00D911A2"/>
    <w:rsid w:val="00DA5601"/>
    <w:rsid w:val="00DF52C5"/>
    <w:rsid w:val="00DF5C52"/>
    <w:rsid w:val="00E33934"/>
    <w:rsid w:val="00E36A44"/>
    <w:rsid w:val="00E43F51"/>
    <w:rsid w:val="00E54EC2"/>
    <w:rsid w:val="00E6510E"/>
    <w:rsid w:val="00E67FCB"/>
    <w:rsid w:val="00E71B0A"/>
    <w:rsid w:val="00E75967"/>
    <w:rsid w:val="00E87F11"/>
    <w:rsid w:val="00E93CB9"/>
    <w:rsid w:val="00EB57CD"/>
    <w:rsid w:val="00F06934"/>
    <w:rsid w:val="00F16D19"/>
    <w:rsid w:val="00F2676D"/>
    <w:rsid w:val="00F40961"/>
    <w:rsid w:val="00F43897"/>
    <w:rsid w:val="00F50BF6"/>
    <w:rsid w:val="00F5762E"/>
    <w:rsid w:val="00F83EC3"/>
    <w:rsid w:val="00FB1FEA"/>
    <w:rsid w:val="00FD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77AB"/>
  <w15:chartTrackingRefBased/>
  <w15:docId w15:val="{4B614004-0D55-4F27-813B-2D15EF9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59E"/>
    <w:pPr>
      <w:outlineLvl w:val="0"/>
    </w:pPr>
    <w:rPr>
      <w:rFonts w:cs="Times New Roman"/>
      <w:b/>
    </w:rPr>
  </w:style>
  <w:style w:type="paragraph" w:styleId="Heading2">
    <w:name w:val="heading 2"/>
    <w:basedOn w:val="Normal"/>
    <w:link w:val="Heading2Char"/>
    <w:uiPriority w:val="9"/>
    <w:qFormat/>
    <w:rsid w:val="00C5765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8753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66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0395"/>
    <w:pPr>
      <w:ind w:left="720"/>
      <w:contextualSpacing/>
    </w:pPr>
  </w:style>
  <w:style w:type="character" w:styleId="CommentReference">
    <w:name w:val="annotation reference"/>
    <w:basedOn w:val="DefaultParagraphFont"/>
    <w:uiPriority w:val="99"/>
    <w:semiHidden/>
    <w:unhideWhenUsed/>
    <w:rsid w:val="00AB5C6D"/>
    <w:rPr>
      <w:sz w:val="16"/>
      <w:szCs w:val="16"/>
    </w:rPr>
  </w:style>
  <w:style w:type="paragraph" w:styleId="CommentText">
    <w:name w:val="annotation text"/>
    <w:basedOn w:val="Normal"/>
    <w:link w:val="CommentTextChar"/>
    <w:uiPriority w:val="99"/>
    <w:semiHidden/>
    <w:unhideWhenUsed/>
    <w:rsid w:val="00AB5C6D"/>
    <w:pPr>
      <w:spacing w:line="240" w:lineRule="auto"/>
    </w:pPr>
    <w:rPr>
      <w:sz w:val="20"/>
      <w:szCs w:val="20"/>
    </w:rPr>
  </w:style>
  <w:style w:type="character" w:customStyle="1" w:styleId="CommentTextChar">
    <w:name w:val="Comment Text Char"/>
    <w:basedOn w:val="DefaultParagraphFont"/>
    <w:link w:val="CommentText"/>
    <w:uiPriority w:val="99"/>
    <w:semiHidden/>
    <w:rsid w:val="00AB5C6D"/>
    <w:rPr>
      <w:sz w:val="20"/>
      <w:szCs w:val="20"/>
    </w:rPr>
  </w:style>
  <w:style w:type="paragraph" w:styleId="CommentSubject">
    <w:name w:val="annotation subject"/>
    <w:basedOn w:val="CommentText"/>
    <w:next w:val="CommentText"/>
    <w:link w:val="CommentSubjectChar"/>
    <w:uiPriority w:val="99"/>
    <w:semiHidden/>
    <w:unhideWhenUsed/>
    <w:rsid w:val="00AB5C6D"/>
    <w:rPr>
      <w:b/>
      <w:bCs/>
    </w:rPr>
  </w:style>
  <w:style w:type="character" w:customStyle="1" w:styleId="CommentSubjectChar">
    <w:name w:val="Comment Subject Char"/>
    <w:basedOn w:val="CommentTextChar"/>
    <w:link w:val="CommentSubject"/>
    <w:uiPriority w:val="99"/>
    <w:semiHidden/>
    <w:rsid w:val="00AB5C6D"/>
    <w:rPr>
      <w:b/>
      <w:bCs/>
      <w:sz w:val="20"/>
      <w:szCs w:val="20"/>
    </w:rPr>
  </w:style>
  <w:style w:type="paragraph" w:styleId="BalloonText">
    <w:name w:val="Balloon Text"/>
    <w:basedOn w:val="Normal"/>
    <w:link w:val="BalloonTextChar"/>
    <w:uiPriority w:val="99"/>
    <w:semiHidden/>
    <w:unhideWhenUsed/>
    <w:rsid w:val="00A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6D"/>
    <w:rPr>
      <w:rFonts w:ascii="Segoe UI" w:hAnsi="Segoe UI" w:cs="Segoe UI"/>
      <w:sz w:val="18"/>
      <w:szCs w:val="18"/>
    </w:rPr>
  </w:style>
  <w:style w:type="paragraph" w:styleId="Footer">
    <w:name w:val="footer"/>
    <w:basedOn w:val="Normal"/>
    <w:link w:val="FooterChar"/>
    <w:uiPriority w:val="99"/>
    <w:unhideWhenUsed/>
    <w:rsid w:val="006C19CC"/>
    <w:pPr>
      <w:tabs>
        <w:tab w:val="center" w:pos="4320"/>
        <w:tab w:val="right" w:pos="8640"/>
      </w:tabs>
      <w:spacing w:after="200" w:line="240" w:lineRule="auto"/>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6C19CC"/>
    <w:rPr>
      <w:rFonts w:ascii="Times New Roman" w:eastAsiaTheme="minorEastAsia" w:hAnsi="Times New Roman"/>
      <w:sz w:val="24"/>
      <w:szCs w:val="24"/>
    </w:rPr>
  </w:style>
  <w:style w:type="paragraph" w:customStyle="1" w:styleId="TableTextform">
    <w:name w:val="TableText form"/>
    <w:basedOn w:val="Normal"/>
    <w:qFormat/>
    <w:rsid w:val="006C19CC"/>
    <w:pPr>
      <w:spacing w:before="40" w:after="240" w:line="240" w:lineRule="auto"/>
    </w:pPr>
    <w:rPr>
      <w:rFonts w:ascii="Arial" w:eastAsiaTheme="majorEastAsia" w:hAnsi="Arial" w:cs="Arial"/>
      <w:bCs/>
      <w:sz w:val="20"/>
      <w:szCs w:val="20"/>
    </w:rPr>
  </w:style>
  <w:style w:type="paragraph" w:styleId="Revision">
    <w:name w:val="Revision"/>
    <w:hidden/>
    <w:uiPriority w:val="99"/>
    <w:semiHidden/>
    <w:rsid w:val="0044672B"/>
    <w:pPr>
      <w:spacing w:after="0" w:line="240" w:lineRule="auto"/>
    </w:pPr>
  </w:style>
  <w:style w:type="character" w:styleId="Hyperlink">
    <w:name w:val="Hyperlink"/>
    <w:basedOn w:val="DefaultParagraphFont"/>
    <w:uiPriority w:val="99"/>
    <w:unhideWhenUsed/>
    <w:rsid w:val="0044672B"/>
    <w:rPr>
      <w:color w:val="0563C1" w:themeColor="hyperlink"/>
      <w:u w:val="single"/>
    </w:rPr>
  </w:style>
  <w:style w:type="character" w:styleId="FollowedHyperlink">
    <w:name w:val="FollowedHyperlink"/>
    <w:basedOn w:val="DefaultParagraphFont"/>
    <w:uiPriority w:val="99"/>
    <w:semiHidden/>
    <w:unhideWhenUsed/>
    <w:rsid w:val="0094631C"/>
    <w:rPr>
      <w:color w:val="954F72" w:themeColor="followedHyperlink"/>
      <w:u w:val="single"/>
    </w:rPr>
  </w:style>
  <w:style w:type="character" w:customStyle="1" w:styleId="Heading2Char">
    <w:name w:val="Heading 2 Char"/>
    <w:basedOn w:val="DefaultParagraphFont"/>
    <w:link w:val="Heading2"/>
    <w:uiPriority w:val="9"/>
    <w:rsid w:val="00C57659"/>
    <w:rPr>
      <w:rFonts w:ascii="Times New Roman" w:eastAsia="Times New Roman" w:hAnsi="Times New Roman" w:cs="Times New Roman"/>
      <w:b/>
      <w:bCs/>
      <w:sz w:val="36"/>
      <w:szCs w:val="36"/>
      <w:lang w:eastAsia="en-AU"/>
    </w:rPr>
  </w:style>
  <w:style w:type="paragraph" w:customStyle="1" w:styleId="bulletlist">
    <w:name w:val="bulletlist"/>
    <w:basedOn w:val="Normal"/>
    <w:rsid w:val="00C576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8753DA"/>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5759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1092">
      <w:bodyDiv w:val="1"/>
      <w:marLeft w:val="0"/>
      <w:marRight w:val="0"/>
      <w:marTop w:val="0"/>
      <w:marBottom w:val="0"/>
      <w:divBdr>
        <w:top w:val="none" w:sz="0" w:space="0" w:color="auto"/>
        <w:left w:val="none" w:sz="0" w:space="0" w:color="auto"/>
        <w:bottom w:val="none" w:sz="0" w:space="0" w:color="auto"/>
        <w:right w:val="none" w:sz="0" w:space="0" w:color="auto"/>
      </w:divBdr>
    </w:div>
    <w:div w:id="882450907">
      <w:bodyDiv w:val="1"/>
      <w:marLeft w:val="0"/>
      <w:marRight w:val="0"/>
      <w:marTop w:val="0"/>
      <w:marBottom w:val="0"/>
      <w:divBdr>
        <w:top w:val="none" w:sz="0" w:space="0" w:color="auto"/>
        <w:left w:val="none" w:sz="0" w:space="0" w:color="auto"/>
        <w:bottom w:val="none" w:sz="0" w:space="0" w:color="auto"/>
        <w:right w:val="none" w:sz="0" w:space="0" w:color="auto"/>
      </w:divBdr>
    </w:div>
    <w:div w:id="1067847260">
      <w:bodyDiv w:val="1"/>
      <w:marLeft w:val="0"/>
      <w:marRight w:val="0"/>
      <w:marTop w:val="0"/>
      <w:marBottom w:val="0"/>
      <w:divBdr>
        <w:top w:val="none" w:sz="0" w:space="0" w:color="auto"/>
        <w:left w:val="none" w:sz="0" w:space="0" w:color="auto"/>
        <w:bottom w:val="none" w:sz="0" w:space="0" w:color="auto"/>
        <w:right w:val="none" w:sz="0" w:space="0" w:color="auto"/>
      </w:divBdr>
    </w:div>
    <w:div w:id="1430658163">
      <w:bodyDiv w:val="1"/>
      <w:marLeft w:val="0"/>
      <w:marRight w:val="0"/>
      <w:marTop w:val="0"/>
      <w:marBottom w:val="0"/>
      <w:divBdr>
        <w:top w:val="none" w:sz="0" w:space="0" w:color="auto"/>
        <w:left w:val="none" w:sz="0" w:space="0" w:color="auto"/>
        <w:bottom w:val="none" w:sz="0" w:space="0" w:color="auto"/>
        <w:right w:val="none" w:sz="0" w:space="0" w:color="auto"/>
      </w:divBdr>
    </w:div>
    <w:div w:id="1510556869">
      <w:bodyDiv w:val="1"/>
      <w:marLeft w:val="0"/>
      <w:marRight w:val="0"/>
      <w:marTop w:val="0"/>
      <w:marBottom w:val="0"/>
      <w:divBdr>
        <w:top w:val="none" w:sz="0" w:space="0" w:color="auto"/>
        <w:left w:val="none" w:sz="0" w:space="0" w:color="auto"/>
        <w:bottom w:val="none" w:sz="0" w:space="0" w:color="auto"/>
        <w:right w:val="none" w:sz="0" w:space="0" w:color="auto"/>
      </w:divBdr>
    </w:div>
    <w:div w:id="21144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E502-6736-42C8-B3AB-C2BCD25C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Cailin Schouten</dc:creator>
  <cp:keywords/>
  <dc:description/>
  <cp:lastModifiedBy>Cailin Schouten</cp:lastModifiedBy>
  <cp:revision>6</cp:revision>
  <dcterms:created xsi:type="dcterms:W3CDTF">2018-06-20T00:38:00Z</dcterms:created>
  <dcterms:modified xsi:type="dcterms:W3CDTF">2018-06-26T01:48:00Z</dcterms:modified>
</cp:coreProperties>
</file>